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BC8EB">
      <w:pPr>
        <w:pStyle w:val="46"/>
        <w:wordWrap w:val="0"/>
        <w:adjustRightInd w:val="0"/>
        <w:snapToGrid w:val="0"/>
        <w:spacing w:line="360" w:lineRule="auto"/>
        <w:jc w:val="center"/>
        <w:rPr>
          <w:rFonts w:hint="eastAsia" w:ascii="方正小标宋简体" w:hAnsi="方正小标宋简体" w:eastAsia="方正小标宋简体" w:cs="方正小标宋简体"/>
          <w:b w:val="0"/>
          <w:bCs/>
          <w:snapToGrid w:val="0"/>
          <w:color w:val="auto"/>
          <w:kern w:val="0"/>
          <w:sz w:val="52"/>
          <w:szCs w:val="52"/>
          <w:highlight w:val="none"/>
        </w:rPr>
      </w:pPr>
      <w:r>
        <w:rPr>
          <w:rFonts w:hint="eastAsia" w:ascii="方正小标宋简体" w:hAnsi="方正小标宋简体" w:eastAsia="方正小标宋简体" w:cs="方正小标宋简体"/>
          <w:b w:val="0"/>
          <w:bCs/>
          <w:snapToGrid w:val="0"/>
          <w:color w:val="auto"/>
          <w:kern w:val="0"/>
          <w:sz w:val="52"/>
          <w:szCs w:val="52"/>
          <w:highlight w:val="none"/>
          <w:lang w:eastAsia="zh-CN"/>
        </w:rPr>
        <w:t>浈江区黄金村客运站场分布式屋顶光伏项目、浈江区南郊六公里力士通站场分布式屋顶光伏项目工程施工（第二次）</w:t>
      </w:r>
    </w:p>
    <w:p w14:paraId="3D8AB29E">
      <w:pPr>
        <w:pStyle w:val="46"/>
        <w:wordWrap w:val="0"/>
        <w:adjustRightInd w:val="0"/>
        <w:snapToGrid w:val="0"/>
        <w:spacing w:line="360" w:lineRule="auto"/>
        <w:jc w:val="cente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p>
    <w:p w14:paraId="1A9A95CD">
      <w:pPr>
        <w:pStyle w:val="46"/>
        <w:wordWrap w:val="0"/>
        <w:adjustRightInd w:val="0"/>
        <w:snapToGrid w:val="0"/>
        <w:spacing w:line="360" w:lineRule="auto"/>
        <w:jc w:val="center"/>
        <w:rPr>
          <w:rFonts w:hint="eastAsia" w:eastAsia="宋体"/>
          <w:b/>
          <w:bCs/>
          <w:snapToGrid w:val="0"/>
          <w:color w:val="auto"/>
          <w:kern w:val="0"/>
          <w:sz w:val="48"/>
          <w:szCs w:val="48"/>
          <w:highlight w:val="none"/>
          <w:lang w:eastAsia="zh-CN"/>
        </w:rPr>
      </w:pPr>
      <w: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40110371">
      <w:pPr>
        <w:wordWrap w:val="0"/>
        <w:adjustRightInd w:val="0"/>
        <w:snapToGrid w:val="0"/>
        <w:jc w:val="center"/>
        <w:rPr>
          <w:rFonts w:ascii="Times New Roman"/>
          <w:b/>
          <w:bCs/>
          <w:snapToGrid w:val="0"/>
          <w:color w:val="auto"/>
          <w:kern w:val="0"/>
          <w:sz w:val="48"/>
          <w:szCs w:val="48"/>
          <w:highlight w:val="none"/>
        </w:rPr>
      </w:pPr>
    </w:p>
    <w:p w14:paraId="16E52563">
      <w:pPr>
        <w:pStyle w:val="4"/>
        <w:rPr>
          <w:color w:val="auto"/>
          <w:highlight w:val="none"/>
        </w:rPr>
      </w:pPr>
    </w:p>
    <w:tbl>
      <w:tblPr>
        <w:tblStyle w:val="15"/>
        <w:tblW w:w="0" w:type="auto"/>
        <w:tblInd w:w="-100" w:type="dxa"/>
        <w:tblLayout w:type="fixed"/>
        <w:tblCellMar>
          <w:top w:w="0" w:type="dxa"/>
          <w:left w:w="0" w:type="dxa"/>
          <w:bottom w:w="0" w:type="dxa"/>
          <w:right w:w="0" w:type="dxa"/>
        </w:tblCellMar>
      </w:tblPr>
      <w:tblGrid>
        <w:gridCol w:w="4708"/>
        <w:gridCol w:w="5020"/>
      </w:tblGrid>
      <w:tr w14:paraId="4C5CB6E2">
        <w:tblPrEx>
          <w:tblCellMar>
            <w:top w:w="0" w:type="dxa"/>
            <w:left w:w="0" w:type="dxa"/>
            <w:bottom w:w="0" w:type="dxa"/>
            <w:right w:w="0" w:type="dxa"/>
          </w:tblCellMar>
        </w:tblPrEx>
        <w:trPr>
          <w:trHeight w:val="1023" w:hRule="atLeast"/>
        </w:trPr>
        <w:tc>
          <w:tcPr>
            <w:tcW w:w="4708" w:type="dxa"/>
            <w:noWrap w:val="0"/>
            <w:vAlign w:val="center"/>
          </w:tcPr>
          <w:p w14:paraId="66C275AA">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w:t>
            </w:r>
            <w:r>
              <w:rPr>
                <w:rFonts w:ascii="Times New Roman"/>
                <w:snapToGrid w:val="0"/>
                <w:color w:val="auto"/>
                <w:kern w:val="0"/>
                <w:sz w:val="28"/>
                <w:highlight w:val="none"/>
              </w:rPr>
              <w:t xml:space="preserve"> </w:t>
            </w:r>
            <w:r>
              <w:rPr>
                <w:rFonts w:hint="eastAsia" w:ascii="Times New Roman"/>
                <w:snapToGrid w:val="0"/>
                <w:color w:val="auto"/>
                <w:kern w:val="0"/>
                <w:sz w:val="28"/>
                <w:highlight w:val="none"/>
              </w:rPr>
              <w:t xml:space="preserve">    标</w:t>
            </w:r>
            <w:r>
              <w:rPr>
                <w:rFonts w:ascii="Times New Roman"/>
                <w:snapToGrid w:val="0"/>
                <w:color w:val="auto"/>
                <w:kern w:val="0"/>
                <w:sz w:val="28"/>
                <w:highlight w:val="none"/>
              </w:rPr>
              <w:t xml:space="preserve"> </w:t>
            </w:r>
            <w:r>
              <w:rPr>
                <w:rFonts w:hint="eastAsia" w:ascii="Times New Roman"/>
                <w:snapToGrid w:val="0"/>
                <w:color w:val="auto"/>
                <w:kern w:val="0"/>
                <w:sz w:val="28"/>
                <w:highlight w:val="none"/>
              </w:rPr>
              <w:t xml:space="preserve">    人（盖单位章）：</w:t>
            </w:r>
          </w:p>
        </w:tc>
        <w:tc>
          <w:tcPr>
            <w:tcW w:w="5020" w:type="dxa"/>
            <w:noWrap w:val="0"/>
            <w:vAlign w:val="center"/>
          </w:tcPr>
          <w:p w14:paraId="75903C3E">
            <w:pPr>
              <w:pStyle w:val="47"/>
              <w:wordWrap w:val="0"/>
              <w:adjustRightInd w:val="0"/>
              <w:snapToGrid w:val="0"/>
              <w:spacing w:line="240" w:lineRule="auto"/>
              <w:rPr>
                <w:rFonts w:hint="eastAsia" w:ascii="Times New Roman" w:eastAsia="宋体"/>
                <w:snapToGrid w:val="0"/>
                <w:color w:val="auto"/>
                <w:kern w:val="0"/>
                <w:sz w:val="28"/>
                <w:szCs w:val="28"/>
                <w:highlight w:val="none"/>
                <w:lang w:eastAsia="zh-CN"/>
              </w:rPr>
            </w:pPr>
            <w:r>
              <w:rPr>
                <w:rFonts w:hint="eastAsia" w:ascii="Times New Roman"/>
                <w:snapToGrid w:val="0"/>
                <w:color w:val="auto"/>
                <w:kern w:val="0"/>
                <w:sz w:val="28"/>
                <w:szCs w:val="28"/>
                <w:highlight w:val="none"/>
                <w:lang w:eastAsia="zh-CN"/>
              </w:rPr>
              <w:t>粤北能源投资（广东）有限公司</w:t>
            </w:r>
          </w:p>
        </w:tc>
      </w:tr>
      <w:tr w14:paraId="2F6AE0BF">
        <w:tblPrEx>
          <w:tblCellMar>
            <w:top w:w="0" w:type="dxa"/>
            <w:left w:w="0" w:type="dxa"/>
            <w:bottom w:w="0" w:type="dxa"/>
            <w:right w:w="0" w:type="dxa"/>
          </w:tblCellMar>
        </w:tblPrEx>
        <w:trPr>
          <w:trHeight w:val="1038" w:hRule="atLeast"/>
        </w:trPr>
        <w:tc>
          <w:tcPr>
            <w:tcW w:w="4708" w:type="dxa"/>
            <w:noWrap w:val="0"/>
            <w:vAlign w:val="center"/>
          </w:tcPr>
          <w:p w14:paraId="0193B345">
            <w:pPr>
              <w:pStyle w:val="47"/>
              <w:wordWrap w:val="0"/>
              <w:adjustRightInd w:val="0"/>
              <w:snapToGrid w:val="0"/>
              <w:spacing w:line="240" w:lineRule="auto"/>
              <w:jc w:val="distribute"/>
              <w:rPr>
                <w:rFonts w:hint="eastAsia" w:ascii="Times New Roman"/>
                <w:snapToGrid w:val="0"/>
                <w:color w:val="auto"/>
                <w:kern w:val="0"/>
                <w:sz w:val="28"/>
                <w:highlight w:val="none"/>
              </w:rPr>
            </w:pPr>
          </w:p>
          <w:p w14:paraId="56F65F8A">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招标人工作领导小组负责人（签字）：</w:t>
            </w:r>
          </w:p>
        </w:tc>
        <w:tc>
          <w:tcPr>
            <w:tcW w:w="5020" w:type="dxa"/>
            <w:noWrap w:val="0"/>
            <w:vAlign w:val="center"/>
          </w:tcPr>
          <w:p w14:paraId="7D0F69F3">
            <w:pPr>
              <w:pStyle w:val="47"/>
              <w:wordWrap w:val="0"/>
              <w:adjustRightInd w:val="0"/>
              <w:snapToGrid w:val="0"/>
              <w:spacing w:line="240" w:lineRule="auto"/>
              <w:rPr>
                <w:rFonts w:hint="eastAsia" w:ascii="Times New Roman"/>
                <w:snapToGrid w:val="0"/>
                <w:color w:val="auto"/>
                <w:kern w:val="0"/>
                <w:sz w:val="28"/>
                <w:szCs w:val="28"/>
                <w:highlight w:val="none"/>
              </w:rPr>
            </w:pPr>
          </w:p>
        </w:tc>
      </w:tr>
      <w:tr w14:paraId="314F9075">
        <w:tblPrEx>
          <w:tblCellMar>
            <w:top w:w="0" w:type="dxa"/>
            <w:left w:w="0" w:type="dxa"/>
            <w:bottom w:w="0" w:type="dxa"/>
            <w:right w:w="0" w:type="dxa"/>
          </w:tblCellMar>
        </w:tblPrEx>
        <w:trPr>
          <w:trHeight w:val="1063" w:hRule="atLeast"/>
        </w:trPr>
        <w:tc>
          <w:tcPr>
            <w:tcW w:w="4708" w:type="dxa"/>
            <w:noWrap w:val="0"/>
            <w:vAlign w:val="center"/>
          </w:tcPr>
          <w:p w14:paraId="63899277">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 标 代 理 机 构 （盖单位章）：</w:t>
            </w:r>
          </w:p>
        </w:tc>
        <w:tc>
          <w:tcPr>
            <w:tcW w:w="5020" w:type="dxa"/>
            <w:noWrap w:val="0"/>
            <w:vAlign w:val="center"/>
          </w:tcPr>
          <w:p w14:paraId="5622AD07">
            <w:pPr>
              <w:pStyle w:val="47"/>
              <w:wordWrap w:val="0"/>
              <w:adjustRightInd w:val="0"/>
              <w:snapToGrid w:val="0"/>
              <w:spacing w:line="240" w:lineRule="auto"/>
              <w:rPr>
                <w:rFonts w:hint="eastAsia" w:ascii="Times New Roman" w:eastAsia="宋体"/>
                <w:snapToGrid w:val="0"/>
                <w:color w:val="auto"/>
                <w:kern w:val="0"/>
                <w:sz w:val="28"/>
                <w:szCs w:val="28"/>
                <w:highlight w:val="none"/>
                <w:lang w:eastAsia="zh-CN"/>
              </w:rPr>
            </w:pPr>
            <w:r>
              <w:rPr>
                <w:rFonts w:hint="eastAsia" w:ascii="Times New Roman"/>
                <w:snapToGrid w:val="0"/>
                <w:color w:val="auto"/>
                <w:kern w:val="0"/>
                <w:sz w:val="28"/>
                <w:szCs w:val="28"/>
                <w:highlight w:val="none"/>
                <w:lang w:eastAsia="zh-CN"/>
              </w:rPr>
              <w:t>韶关市建韶工程造价咨询有限公司</w:t>
            </w:r>
          </w:p>
        </w:tc>
      </w:tr>
      <w:tr w14:paraId="51EC31A4">
        <w:tblPrEx>
          <w:tblCellMar>
            <w:top w:w="0" w:type="dxa"/>
            <w:left w:w="0" w:type="dxa"/>
            <w:bottom w:w="0" w:type="dxa"/>
            <w:right w:w="0" w:type="dxa"/>
          </w:tblCellMar>
        </w:tblPrEx>
        <w:trPr>
          <w:trHeight w:val="1082" w:hRule="atLeast"/>
        </w:trPr>
        <w:tc>
          <w:tcPr>
            <w:tcW w:w="4708" w:type="dxa"/>
            <w:noWrap w:val="0"/>
            <w:vAlign w:val="center"/>
          </w:tcPr>
          <w:p w14:paraId="27DC3180">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招标文件编制人（签字）：</w:t>
            </w:r>
          </w:p>
        </w:tc>
        <w:tc>
          <w:tcPr>
            <w:tcW w:w="5020" w:type="dxa"/>
            <w:noWrap w:val="0"/>
            <w:vAlign w:val="center"/>
          </w:tcPr>
          <w:p w14:paraId="029007C5">
            <w:pPr>
              <w:pStyle w:val="47"/>
              <w:wordWrap w:val="0"/>
              <w:adjustRightInd w:val="0"/>
              <w:snapToGrid w:val="0"/>
              <w:spacing w:line="240" w:lineRule="auto"/>
              <w:rPr>
                <w:rFonts w:hint="eastAsia" w:ascii="Times New Roman"/>
                <w:snapToGrid w:val="0"/>
                <w:color w:val="auto"/>
                <w:kern w:val="0"/>
                <w:sz w:val="28"/>
                <w:szCs w:val="28"/>
                <w:highlight w:val="none"/>
              </w:rPr>
            </w:pPr>
          </w:p>
        </w:tc>
      </w:tr>
      <w:tr w14:paraId="1DB11C11">
        <w:tblPrEx>
          <w:tblCellMar>
            <w:top w:w="0" w:type="dxa"/>
            <w:left w:w="0" w:type="dxa"/>
            <w:bottom w:w="0" w:type="dxa"/>
            <w:right w:w="0" w:type="dxa"/>
          </w:tblCellMar>
        </w:tblPrEx>
        <w:trPr>
          <w:trHeight w:val="1058" w:hRule="atLeast"/>
        </w:trPr>
        <w:tc>
          <w:tcPr>
            <w:tcW w:w="4708" w:type="dxa"/>
            <w:noWrap w:val="0"/>
            <w:vAlign w:val="center"/>
          </w:tcPr>
          <w:p w14:paraId="54B553D7">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招标代理机构项目负责人（签字）：</w:t>
            </w:r>
          </w:p>
        </w:tc>
        <w:tc>
          <w:tcPr>
            <w:tcW w:w="5020" w:type="dxa"/>
            <w:noWrap w:val="0"/>
            <w:vAlign w:val="center"/>
          </w:tcPr>
          <w:p w14:paraId="524E8C71">
            <w:pPr>
              <w:pStyle w:val="47"/>
              <w:wordWrap w:val="0"/>
              <w:adjustRightInd w:val="0"/>
              <w:snapToGrid w:val="0"/>
              <w:spacing w:line="240" w:lineRule="auto"/>
              <w:rPr>
                <w:rFonts w:hint="eastAsia" w:ascii="Times New Roman"/>
                <w:snapToGrid w:val="0"/>
                <w:color w:val="auto"/>
                <w:kern w:val="0"/>
                <w:sz w:val="28"/>
                <w:szCs w:val="28"/>
                <w:highlight w:val="none"/>
              </w:rPr>
            </w:pPr>
          </w:p>
        </w:tc>
      </w:tr>
      <w:tr w14:paraId="596D51CF">
        <w:tblPrEx>
          <w:tblCellMar>
            <w:top w:w="0" w:type="dxa"/>
            <w:left w:w="0" w:type="dxa"/>
            <w:bottom w:w="0" w:type="dxa"/>
            <w:right w:w="0" w:type="dxa"/>
          </w:tblCellMar>
        </w:tblPrEx>
        <w:trPr>
          <w:trHeight w:val="892" w:hRule="atLeast"/>
        </w:trPr>
        <w:tc>
          <w:tcPr>
            <w:tcW w:w="4708" w:type="dxa"/>
            <w:noWrap w:val="0"/>
            <w:vAlign w:val="center"/>
          </w:tcPr>
          <w:p w14:paraId="0691A97D">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招标文件编制日期：</w:t>
            </w:r>
          </w:p>
        </w:tc>
        <w:tc>
          <w:tcPr>
            <w:tcW w:w="5020" w:type="dxa"/>
            <w:noWrap w:val="0"/>
            <w:vAlign w:val="center"/>
          </w:tcPr>
          <w:p w14:paraId="485580C4">
            <w:pPr>
              <w:pStyle w:val="47"/>
              <w:wordWrap w:val="0"/>
              <w:adjustRightInd w:val="0"/>
              <w:snapToGrid w:val="0"/>
              <w:spacing w:line="240" w:lineRule="auto"/>
              <w:rPr>
                <w:rFonts w:ascii="Times New Roman"/>
                <w:snapToGrid w:val="0"/>
                <w:color w:val="auto"/>
                <w:kern w:val="0"/>
                <w:sz w:val="28"/>
                <w:highlight w:val="none"/>
              </w:rPr>
            </w:pPr>
            <w:r>
              <w:rPr>
                <w:rFonts w:hint="eastAsia" w:ascii="Times New Roman"/>
                <w:snapToGrid w:val="0"/>
                <w:color w:val="auto"/>
                <w:kern w:val="0"/>
                <w:sz w:val="28"/>
                <w:highlight w:val="none"/>
              </w:rPr>
              <w:t xml:space="preserve">       202</w:t>
            </w:r>
            <w:r>
              <w:rPr>
                <w:rFonts w:hint="eastAsia" w:ascii="Times New Roman"/>
                <w:snapToGrid w:val="0"/>
                <w:color w:val="auto"/>
                <w:kern w:val="0"/>
                <w:sz w:val="28"/>
                <w:highlight w:val="none"/>
                <w:lang w:val="en-US" w:eastAsia="zh-CN"/>
              </w:rPr>
              <w:t>6</w:t>
            </w:r>
            <w:r>
              <w:rPr>
                <w:rFonts w:hint="eastAsia" w:ascii="Times New Roman"/>
                <w:snapToGrid w:val="0"/>
                <w:color w:val="auto"/>
                <w:kern w:val="0"/>
                <w:sz w:val="28"/>
                <w:highlight w:val="none"/>
              </w:rPr>
              <w:t>年</w:t>
            </w:r>
            <w:r>
              <w:rPr>
                <w:rFonts w:hint="eastAsia" w:ascii="Times New Roman"/>
                <w:snapToGrid w:val="0"/>
                <w:color w:val="auto"/>
                <w:kern w:val="0"/>
                <w:sz w:val="28"/>
                <w:highlight w:val="none"/>
                <w:lang w:val="en-US" w:eastAsia="zh-CN"/>
              </w:rPr>
              <w:t>1</w:t>
            </w:r>
            <w:r>
              <w:rPr>
                <w:rFonts w:hint="eastAsia" w:ascii="Times New Roman"/>
                <w:snapToGrid w:val="0"/>
                <w:color w:val="auto"/>
                <w:kern w:val="0"/>
                <w:sz w:val="28"/>
                <w:highlight w:val="none"/>
              </w:rPr>
              <w:t>月</w:t>
            </w:r>
          </w:p>
        </w:tc>
      </w:tr>
    </w:tbl>
    <w:p w14:paraId="564F62F7">
      <w:pPr>
        <w:pStyle w:val="2"/>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sectPr>
          <w:headerReference r:id="rId3" w:type="default"/>
          <w:pgSz w:w="11906" w:h="16839"/>
          <w:pgMar w:top="1660" w:right="1080" w:bottom="1440" w:left="1080" w:header="1200" w:footer="0" w:gutter="0"/>
          <w:pgBorders>
            <w:top w:val="none" w:sz="0" w:space="0"/>
            <w:left w:val="none" w:sz="0" w:space="0"/>
            <w:bottom w:val="none" w:sz="0" w:space="0"/>
            <w:right w:val="none" w:sz="0" w:space="0"/>
          </w:pgBorders>
          <w:pgNumType w:start="1"/>
          <w:cols w:space="720" w:num="1"/>
        </w:sectPr>
      </w:pPr>
    </w:p>
    <w:p w14:paraId="42019161">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p w14:paraId="57B7C14A">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5EFAB9D4">
      <w:pPr>
        <w:pStyle w:val="10"/>
        <w:tabs>
          <w:tab w:val="right" w:leader="dot" w:pos="9746"/>
        </w:tabs>
        <w:spacing w:line="360" w:lineRule="auto"/>
        <w:rPr>
          <w:color w:val="auto"/>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TOC \o "1-3" \h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_Toc6565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第一章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_Toc6565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zCs w:val="21"/>
          <w:highlight w:val="none"/>
        </w:rPr>
        <w:fldChar w:fldCharType="end"/>
      </w:r>
    </w:p>
    <w:p w14:paraId="3357F06C">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_Toc15144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第一节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_Toc15144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zCs w:val="21"/>
          <w:highlight w:val="none"/>
        </w:rPr>
        <w:fldChar w:fldCharType="end"/>
      </w:r>
    </w:p>
    <w:p w14:paraId="3814F5E5">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_Toc8870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_Toc8870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zCs w:val="21"/>
          <w:highlight w:val="none"/>
        </w:rPr>
        <w:fldChar w:fldCharType="end"/>
      </w:r>
    </w:p>
    <w:p w14:paraId="6D00B5E4">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_Toc15564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第三节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_Toc15564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1"/>
          <w:highlight w:val="none"/>
        </w:rPr>
        <w:fldChar w:fldCharType="end"/>
      </w:r>
    </w:p>
    <w:p w14:paraId="6D65A1AA">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_Toc7786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4"/>
          <w:szCs w:val="24"/>
          <w:highlight w:val="none"/>
        </w:rPr>
        <w:t>．项目概况、招标范围和标段划分、投标费用等</w:t>
      </w:r>
      <w:r>
        <w:rPr>
          <w:color w:val="auto"/>
          <w:highlight w:val="none"/>
        </w:rPr>
        <w:tab/>
      </w:r>
      <w:r>
        <w:rPr>
          <w:color w:val="auto"/>
          <w:highlight w:val="none"/>
        </w:rPr>
        <w:fldChar w:fldCharType="begin"/>
      </w:r>
      <w:r>
        <w:rPr>
          <w:color w:val="auto"/>
          <w:highlight w:val="none"/>
        </w:rPr>
        <w:instrText xml:space="preserve"> PAGEREF _Toc7786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1"/>
          <w:highlight w:val="none"/>
        </w:rPr>
        <w:fldChar w:fldCharType="end"/>
      </w:r>
    </w:p>
    <w:p w14:paraId="6C67218F">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_Toc17294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lang w:eastAsia="zh-CN"/>
        </w:rPr>
        <w:t>2.投标人</w:t>
      </w:r>
      <w:r>
        <w:rPr>
          <w:rFonts w:hint="eastAsia" w:ascii="宋体" w:hAnsi="宋体" w:eastAsia="宋体" w:cs="宋体"/>
          <w:bCs/>
          <w:color w:val="auto"/>
          <w:spacing w:val="-4"/>
          <w:szCs w:val="24"/>
          <w:highlight w:val="none"/>
        </w:rPr>
        <w:t>资质要求</w:t>
      </w:r>
      <w:r>
        <w:rPr>
          <w:color w:val="auto"/>
          <w:highlight w:val="none"/>
        </w:rPr>
        <w:tab/>
      </w:r>
      <w:r>
        <w:rPr>
          <w:color w:val="auto"/>
          <w:highlight w:val="none"/>
        </w:rPr>
        <w:fldChar w:fldCharType="begin"/>
      </w:r>
      <w:r>
        <w:rPr>
          <w:color w:val="auto"/>
          <w:highlight w:val="none"/>
        </w:rPr>
        <w:instrText xml:space="preserve"> PAGEREF _Toc17294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1"/>
          <w:highlight w:val="none"/>
        </w:rPr>
        <w:fldChar w:fldCharType="end"/>
      </w:r>
    </w:p>
    <w:p w14:paraId="5A7F00BC">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_Toc10137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lang w:eastAsia="zh-CN"/>
        </w:rPr>
        <w:t>3.</w:t>
      </w:r>
      <w:r>
        <w:rPr>
          <w:rFonts w:hint="eastAsia" w:ascii="宋体" w:hAnsi="宋体" w:eastAsia="宋体" w:cs="宋体"/>
          <w:bCs/>
          <w:color w:val="auto"/>
          <w:spacing w:val="-4"/>
          <w:szCs w:val="24"/>
          <w:highlight w:val="none"/>
        </w:rPr>
        <w:t>招标文件的获取</w:t>
      </w:r>
      <w:r>
        <w:rPr>
          <w:color w:val="auto"/>
          <w:highlight w:val="none"/>
        </w:rPr>
        <w:tab/>
      </w:r>
      <w:r>
        <w:rPr>
          <w:color w:val="auto"/>
          <w:highlight w:val="none"/>
        </w:rPr>
        <w:fldChar w:fldCharType="begin"/>
      </w:r>
      <w:r>
        <w:rPr>
          <w:color w:val="auto"/>
          <w:highlight w:val="none"/>
        </w:rPr>
        <w:instrText xml:space="preserve"> PAGEREF _Toc10137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1"/>
          <w:highlight w:val="none"/>
        </w:rPr>
        <w:fldChar w:fldCharType="end"/>
      </w:r>
    </w:p>
    <w:p w14:paraId="4D97507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_Toc11460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8"/>
          <w:szCs w:val="24"/>
          <w:highlight w:val="none"/>
          <w:lang w:val="en-US" w:eastAsia="zh-CN"/>
        </w:rPr>
        <w:t xml:space="preserve"> </w:t>
      </w:r>
      <w:r>
        <w:rPr>
          <w:rFonts w:hint="eastAsia" w:ascii="宋体" w:hAnsi="宋体" w:eastAsia="宋体" w:cs="宋体"/>
          <w:bCs/>
          <w:color w:val="auto"/>
          <w:spacing w:val="-8"/>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_Toc11460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1"/>
          <w:highlight w:val="none"/>
        </w:rPr>
        <w:fldChar w:fldCharType="end"/>
      </w:r>
    </w:p>
    <w:p w14:paraId="465EA513">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_Toc18003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5"/>
          <w:szCs w:val="24"/>
          <w:highlight w:val="none"/>
        </w:rPr>
        <w:t>5</w:t>
      </w:r>
      <w:r>
        <w:rPr>
          <w:rFonts w:hint="eastAsia" w:ascii="宋体" w:hAnsi="宋体" w:eastAsia="宋体" w:cs="宋体"/>
          <w:bCs/>
          <w:color w:val="auto"/>
          <w:spacing w:val="-5"/>
          <w:szCs w:val="24"/>
          <w:highlight w:val="none"/>
          <w:lang w:val="en-US" w:eastAsia="zh-CN"/>
        </w:rPr>
        <w:t xml:space="preserve"> </w:t>
      </w:r>
      <w:r>
        <w:rPr>
          <w:rFonts w:hint="eastAsia" w:ascii="宋体" w:hAnsi="宋体" w:eastAsia="宋体" w:cs="宋体"/>
          <w:bCs/>
          <w:color w:val="auto"/>
          <w:spacing w:val="-5"/>
          <w:szCs w:val="24"/>
          <w:highlight w:val="none"/>
        </w:rPr>
        <w:t>．质量标准和材料、机械要求</w:t>
      </w:r>
      <w:r>
        <w:rPr>
          <w:color w:val="auto"/>
          <w:highlight w:val="none"/>
        </w:rPr>
        <w:tab/>
      </w:r>
      <w:r>
        <w:rPr>
          <w:color w:val="auto"/>
          <w:highlight w:val="none"/>
        </w:rPr>
        <w:fldChar w:fldCharType="begin"/>
      </w:r>
      <w:r>
        <w:rPr>
          <w:color w:val="auto"/>
          <w:highlight w:val="none"/>
        </w:rPr>
        <w:instrText xml:space="preserve"> PAGEREF _Toc18003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1"/>
          <w:highlight w:val="none"/>
        </w:rPr>
        <w:fldChar w:fldCharType="end"/>
      </w:r>
    </w:p>
    <w:p w14:paraId="78158045">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_Toc1955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rPr>
        <w:t>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6"/>
          <w:szCs w:val="24"/>
          <w:highlight w:val="none"/>
        </w:rPr>
        <w:t>．施工条件及现场踏勘</w:t>
      </w:r>
      <w:r>
        <w:rPr>
          <w:color w:val="auto"/>
          <w:highlight w:val="none"/>
        </w:rPr>
        <w:tab/>
      </w:r>
      <w:r>
        <w:rPr>
          <w:color w:val="auto"/>
          <w:highlight w:val="none"/>
        </w:rPr>
        <w:fldChar w:fldCharType="begin"/>
      </w:r>
      <w:r>
        <w:rPr>
          <w:color w:val="auto"/>
          <w:highlight w:val="none"/>
        </w:rPr>
        <w:instrText xml:space="preserve"> PAGEREF _Toc1955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1"/>
          <w:highlight w:val="none"/>
        </w:rPr>
        <w:fldChar w:fldCharType="end"/>
      </w:r>
    </w:p>
    <w:p w14:paraId="7A5F3285">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_Toc15911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5"/>
          <w:szCs w:val="24"/>
          <w:highlight w:val="none"/>
        </w:rPr>
        <w:t>7</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5"/>
          <w:szCs w:val="24"/>
          <w:highlight w:val="none"/>
        </w:rPr>
        <w:t>．招标文件的提问和答疑</w:t>
      </w:r>
      <w:r>
        <w:rPr>
          <w:color w:val="auto"/>
          <w:highlight w:val="none"/>
        </w:rPr>
        <w:tab/>
      </w:r>
      <w:r>
        <w:rPr>
          <w:color w:val="auto"/>
          <w:highlight w:val="none"/>
        </w:rPr>
        <w:fldChar w:fldCharType="begin"/>
      </w:r>
      <w:r>
        <w:rPr>
          <w:color w:val="auto"/>
          <w:highlight w:val="none"/>
        </w:rPr>
        <w:instrText xml:space="preserve"> PAGEREF _Toc15911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1"/>
          <w:highlight w:val="none"/>
        </w:rPr>
        <w:fldChar w:fldCharType="end"/>
      </w:r>
    </w:p>
    <w:p w14:paraId="7296748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_Toc32237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5"/>
          <w:szCs w:val="24"/>
          <w:highlight w:val="none"/>
        </w:rPr>
        <w:t>8</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5"/>
          <w:szCs w:val="24"/>
          <w:highlight w:val="none"/>
        </w:rPr>
        <w:t>．</w:t>
      </w:r>
      <w:r>
        <w:rPr>
          <w:rFonts w:hint="eastAsia" w:ascii="宋体" w:hAnsi="宋体" w:eastAsia="宋体" w:cs="宋体"/>
          <w:bCs/>
          <w:color w:val="auto"/>
          <w:spacing w:val="-1"/>
          <w:szCs w:val="24"/>
          <w:highlight w:val="none"/>
          <w:lang w:val="en-US" w:eastAsia="zh-CN"/>
        </w:rPr>
        <w:t>最高投标限价</w:t>
      </w:r>
      <w:r>
        <w:rPr>
          <w:color w:val="auto"/>
          <w:highlight w:val="none"/>
        </w:rPr>
        <w:tab/>
      </w:r>
      <w:r>
        <w:rPr>
          <w:color w:val="auto"/>
          <w:highlight w:val="none"/>
        </w:rPr>
        <w:fldChar w:fldCharType="begin"/>
      </w:r>
      <w:r>
        <w:rPr>
          <w:color w:val="auto"/>
          <w:highlight w:val="none"/>
        </w:rPr>
        <w:instrText xml:space="preserve"> PAGEREF _Toc32237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1"/>
          <w:highlight w:val="none"/>
        </w:rPr>
        <w:fldChar w:fldCharType="end"/>
      </w:r>
    </w:p>
    <w:p w14:paraId="737500BD">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_Toc23704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9</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8"/>
          <w:szCs w:val="24"/>
          <w:highlight w:val="none"/>
        </w:rPr>
        <w:t>．投标报价</w:t>
      </w:r>
      <w:r>
        <w:rPr>
          <w:color w:val="auto"/>
          <w:highlight w:val="none"/>
        </w:rPr>
        <w:tab/>
      </w:r>
      <w:r>
        <w:rPr>
          <w:color w:val="auto"/>
          <w:highlight w:val="none"/>
        </w:rPr>
        <w:fldChar w:fldCharType="begin"/>
      </w:r>
      <w:r>
        <w:rPr>
          <w:color w:val="auto"/>
          <w:highlight w:val="none"/>
        </w:rPr>
        <w:instrText xml:space="preserve"> PAGEREF _Toc23704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szCs w:val="21"/>
          <w:highlight w:val="none"/>
        </w:rPr>
        <w:fldChar w:fldCharType="end"/>
      </w:r>
    </w:p>
    <w:p w14:paraId="32E2ABF0">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_Toc20179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rPr>
        <w:t>10</w:t>
      </w:r>
      <w:r>
        <w:rPr>
          <w:rFonts w:hint="eastAsia" w:ascii="宋体" w:hAnsi="宋体" w:eastAsia="宋体" w:cs="宋体"/>
          <w:bCs/>
          <w:color w:val="auto"/>
          <w:spacing w:val="-21"/>
          <w:szCs w:val="24"/>
          <w:highlight w:val="none"/>
        </w:rPr>
        <w:t xml:space="preserve"> </w:t>
      </w:r>
      <w:r>
        <w:rPr>
          <w:rFonts w:hint="eastAsia" w:ascii="宋体" w:hAnsi="宋体" w:eastAsia="宋体" w:cs="宋体"/>
          <w:bCs/>
          <w:color w:val="auto"/>
          <w:spacing w:val="-6"/>
          <w:szCs w:val="24"/>
          <w:highlight w:val="none"/>
        </w:rPr>
        <w:t>．投标文件的编制要求</w:t>
      </w:r>
      <w:r>
        <w:rPr>
          <w:color w:val="auto"/>
          <w:highlight w:val="none"/>
        </w:rPr>
        <w:tab/>
      </w:r>
      <w:r>
        <w:rPr>
          <w:color w:val="auto"/>
          <w:highlight w:val="none"/>
        </w:rPr>
        <w:fldChar w:fldCharType="begin"/>
      </w:r>
      <w:r>
        <w:rPr>
          <w:color w:val="auto"/>
          <w:highlight w:val="none"/>
        </w:rPr>
        <w:instrText xml:space="preserve"> PAGEREF _Toc20179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zCs w:val="21"/>
          <w:highlight w:val="none"/>
        </w:rPr>
        <w:fldChar w:fldCharType="end"/>
      </w:r>
    </w:p>
    <w:p w14:paraId="5C739E62">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_Toc21729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9"/>
          <w:szCs w:val="24"/>
          <w:highlight w:val="none"/>
        </w:rPr>
        <w:t>11.</w:t>
      </w:r>
      <w:r>
        <w:rPr>
          <w:rFonts w:hint="eastAsia" w:ascii="宋体" w:hAnsi="宋体" w:eastAsia="宋体" w:cs="宋体"/>
          <w:bCs/>
          <w:color w:val="auto"/>
          <w:spacing w:val="20"/>
          <w:szCs w:val="24"/>
          <w:highlight w:val="none"/>
        </w:rPr>
        <w:t xml:space="preserve"> </w:t>
      </w:r>
      <w:r>
        <w:rPr>
          <w:rFonts w:hint="eastAsia" w:ascii="宋体" w:hAnsi="宋体" w:eastAsia="宋体" w:cs="宋体"/>
          <w:color w:val="auto"/>
          <w:spacing w:val="-9"/>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_Toc21729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zCs w:val="21"/>
          <w:highlight w:val="none"/>
        </w:rPr>
        <w:fldChar w:fldCharType="end"/>
      </w:r>
    </w:p>
    <w:p w14:paraId="432F7FEF">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_Toc22059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9"/>
          <w:szCs w:val="24"/>
          <w:highlight w:val="none"/>
          <w:lang w:val="en-US" w:eastAsia="zh-CN"/>
        </w:rPr>
        <w:t>12.</w:t>
      </w:r>
      <w:r>
        <w:rPr>
          <w:rFonts w:hint="eastAsia" w:ascii="宋体" w:hAnsi="宋体" w:eastAsia="宋体" w:cs="宋体"/>
          <w:bCs/>
          <w:color w:val="auto"/>
          <w:spacing w:val="22"/>
          <w:w w:val="101"/>
          <w:szCs w:val="24"/>
          <w:highlight w:val="none"/>
        </w:rPr>
        <w:t xml:space="preserve"> </w:t>
      </w:r>
      <w:r>
        <w:rPr>
          <w:rFonts w:hint="eastAsia" w:ascii="宋体" w:hAnsi="宋体" w:eastAsia="宋体" w:cs="宋体"/>
          <w:bCs/>
          <w:color w:val="auto"/>
          <w:spacing w:val="-4"/>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_Toc22059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zCs w:val="21"/>
          <w:highlight w:val="none"/>
        </w:rPr>
        <w:fldChar w:fldCharType="end"/>
      </w:r>
    </w:p>
    <w:p w14:paraId="30CA2A29">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_Toc23264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13</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7"/>
          <w:szCs w:val="24"/>
          <w:highlight w:val="none"/>
        </w:rPr>
        <w:t>．投标文件的提交</w:t>
      </w:r>
      <w:r>
        <w:rPr>
          <w:color w:val="auto"/>
          <w:highlight w:val="none"/>
        </w:rPr>
        <w:tab/>
      </w:r>
      <w:r>
        <w:rPr>
          <w:color w:val="auto"/>
          <w:highlight w:val="none"/>
        </w:rPr>
        <w:fldChar w:fldCharType="begin"/>
      </w:r>
      <w:r>
        <w:rPr>
          <w:color w:val="auto"/>
          <w:highlight w:val="none"/>
        </w:rPr>
        <w:instrText xml:space="preserve"> PAGEREF _Toc23264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zCs w:val="21"/>
          <w:highlight w:val="none"/>
        </w:rPr>
        <w:fldChar w:fldCharType="end"/>
      </w:r>
    </w:p>
    <w:p w14:paraId="1242E10E">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_Toc10803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11"/>
          <w:szCs w:val="24"/>
          <w:highlight w:val="none"/>
        </w:rPr>
        <w:t>14</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．开标</w:t>
      </w:r>
      <w:r>
        <w:rPr>
          <w:color w:val="auto"/>
          <w:highlight w:val="none"/>
        </w:rPr>
        <w:tab/>
      </w:r>
      <w:r>
        <w:rPr>
          <w:color w:val="auto"/>
          <w:highlight w:val="none"/>
        </w:rPr>
        <w:fldChar w:fldCharType="begin"/>
      </w:r>
      <w:r>
        <w:rPr>
          <w:color w:val="auto"/>
          <w:highlight w:val="none"/>
        </w:rPr>
        <w:instrText xml:space="preserve"> PAGEREF _Toc10803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color w:val="auto"/>
          <w:szCs w:val="21"/>
          <w:highlight w:val="none"/>
        </w:rPr>
        <w:fldChar w:fldCharType="end"/>
      </w:r>
    </w:p>
    <w:p w14:paraId="4FC52D21">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_Toc32335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11"/>
          <w:szCs w:val="24"/>
          <w:highlight w:val="none"/>
        </w:rPr>
        <w:t>15</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．评标</w:t>
      </w:r>
      <w:r>
        <w:rPr>
          <w:color w:val="auto"/>
          <w:highlight w:val="none"/>
        </w:rPr>
        <w:tab/>
      </w:r>
      <w:r>
        <w:rPr>
          <w:color w:val="auto"/>
          <w:highlight w:val="none"/>
        </w:rPr>
        <w:fldChar w:fldCharType="begin"/>
      </w:r>
      <w:r>
        <w:rPr>
          <w:color w:val="auto"/>
          <w:highlight w:val="none"/>
        </w:rPr>
        <w:instrText xml:space="preserve"> PAGEREF _Toc32335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eastAsia="宋体" w:cs="宋体"/>
          <w:color w:val="auto"/>
          <w:szCs w:val="21"/>
          <w:highlight w:val="none"/>
        </w:rPr>
        <w:fldChar w:fldCharType="end"/>
      </w:r>
    </w:p>
    <w:p w14:paraId="50E158A0">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_Toc27758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16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7"/>
          <w:szCs w:val="24"/>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_Toc27758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szCs w:val="21"/>
          <w:highlight w:val="none"/>
        </w:rPr>
        <w:fldChar w:fldCharType="end"/>
      </w:r>
    </w:p>
    <w:p w14:paraId="3CA2AE29">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_Toc4267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第四节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_Toc4267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1"/>
          <w:highlight w:val="none"/>
        </w:rPr>
        <w:fldChar w:fldCharType="end"/>
      </w:r>
    </w:p>
    <w:p w14:paraId="606A36FD">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_Toc3676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．资格评审环节</w:t>
      </w:r>
      <w:r>
        <w:rPr>
          <w:color w:val="auto"/>
          <w:highlight w:val="none"/>
        </w:rPr>
        <w:tab/>
      </w:r>
      <w:r>
        <w:rPr>
          <w:color w:val="auto"/>
          <w:highlight w:val="none"/>
        </w:rPr>
        <w:fldChar w:fldCharType="begin"/>
      </w:r>
      <w:r>
        <w:rPr>
          <w:color w:val="auto"/>
          <w:highlight w:val="none"/>
        </w:rPr>
        <w:instrText xml:space="preserve"> PAGEREF _Toc3676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1"/>
          <w:highlight w:val="none"/>
        </w:rPr>
        <w:fldChar w:fldCharType="end"/>
      </w:r>
    </w:p>
    <w:p w14:paraId="26902471">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_Toc29565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．形式评审环节</w:t>
      </w:r>
      <w:r>
        <w:rPr>
          <w:color w:val="auto"/>
          <w:highlight w:val="none"/>
        </w:rPr>
        <w:tab/>
      </w:r>
      <w:r>
        <w:rPr>
          <w:color w:val="auto"/>
          <w:highlight w:val="none"/>
        </w:rPr>
        <w:fldChar w:fldCharType="begin"/>
      </w:r>
      <w:r>
        <w:rPr>
          <w:color w:val="auto"/>
          <w:highlight w:val="none"/>
        </w:rPr>
        <w:instrText xml:space="preserve"> PAGEREF _Toc29565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1"/>
          <w:highlight w:val="none"/>
        </w:rPr>
        <w:fldChar w:fldCharType="end"/>
      </w:r>
    </w:p>
    <w:p w14:paraId="004B57BB">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_Toc4393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rPr>
        <w:t>3</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6"/>
          <w:szCs w:val="24"/>
          <w:highlight w:val="none"/>
        </w:rPr>
        <w:t>．响应性评审环节</w:t>
      </w:r>
      <w:r>
        <w:rPr>
          <w:color w:val="auto"/>
          <w:highlight w:val="none"/>
        </w:rPr>
        <w:tab/>
      </w:r>
      <w:r>
        <w:rPr>
          <w:color w:val="auto"/>
          <w:highlight w:val="none"/>
        </w:rPr>
        <w:fldChar w:fldCharType="begin"/>
      </w:r>
      <w:r>
        <w:rPr>
          <w:color w:val="auto"/>
          <w:highlight w:val="none"/>
        </w:rPr>
        <w:instrText xml:space="preserve"> PAGEREF _Toc4393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1"/>
          <w:highlight w:val="none"/>
        </w:rPr>
        <w:fldChar w:fldCharType="end"/>
      </w:r>
    </w:p>
    <w:p w14:paraId="1B94B3C4">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_Toc23021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11"/>
          <w:szCs w:val="24"/>
          <w:highlight w:val="none"/>
        </w:rPr>
        <w:t>4</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11"/>
          <w:szCs w:val="24"/>
          <w:highlight w:val="none"/>
        </w:rPr>
        <w:t>．其他</w:t>
      </w:r>
      <w:r>
        <w:rPr>
          <w:color w:val="auto"/>
          <w:highlight w:val="none"/>
        </w:rPr>
        <w:tab/>
      </w:r>
      <w:r>
        <w:rPr>
          <w:color w:val="auto"/>
          <w:highlight w:val="none"/>
        </w:rPr>
        <w:fldChar w:fldCharType="begin"/>
      </w:r>
      <w:r>
        <w:rPr>
          <w:color w:val="auto"/>
          <w:highlight w:val="none"/>
        </w:rPr>
        <w:instrText xml:space="preserve"> PAGEREF _Toc23021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1"/>
          <w:highlight w:val="none"/>
        </w:rPr>
        <w:fldChar w:fldCharType="end"/>
      </w:r>
    </w:p>
    <w:p w14:paraId="3FBEB290">
      <w:pPr>
        <w:pStyle w:val="10"/>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_Toc16250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第二章</w:t>
      </w:r>
      <w:r>
        <w:rPr>
          <w:rFonts w:hint="eastAsia" w:ascii="宋体" w:hAnsi="宋体" w:eastAsia="宋体" w:cs="宋体"/>
          <w:color w:val="auto"/>
          <w:spacing w:val="32"/>
          <w:szCs w:val="24"/>
          <w:highlight w:val="none"/>
        </w:rPr>
        <w:t xml:space="preserve"> </w:t>
      </w:r>
      <w:r>
        <w:rPr>
          <w:rFonts w:hint="eastAsia" w:ascii="宋体" w:hAnsi="宋体" w:eastAsia="宋体" w:cs="宋体"/>
          <w:bCs/>
          <w:color w:val="auto"/>
          <w:spacing w:val="-7"/>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_Toc16250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14:paraId="1A298DF1">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_Toc8118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9"/>
          <w:szCs w:val="24"/>
          <w:highlight w:val="none"/>
        </w:rPr>
        <w:t>1</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9"/>
          <w:szCs w:val="24"/>
          <w:highlight w:val="none"/>
        </w:rPr>
        <w:t>．中标通知书</w:t>
      </w:r>
      <w:r>
        <w:rPr>
          <w:color w:val="auto"/>
          <w:highlight w:val="none"/>
        </w:rPr>
        <w:tab/>
      </w:r>
      <w:r>
        <w:rPr>
          <w:color w:val="auto"/>
          <w:highlight w:val="none"/>
        </w:rPr>
        <w:fldChar w:fldCharType="begin"/>
      </w:r>
      <w:r>
        <w:rPr>
          <w:color w:val="auto"/>
          <w:highlight w:val="none"/>
        </w:rPr>
        <w:instrText xml:space="preserve"> PAGEREF _Toc8118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14:paraId="4DB87721">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_Toc6918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．中标结果公示</w:t>
      </w:r>
      <w:r>
        <w:rPr>
          <w:color w:val="auto"/>
          <w:highlight w:val="none"/>
        </w:rPr>
        <w:tab/>
      </w:r>
      <w:r>
        <w:rPr>
          <w:color w:val="auto"/>
          <w:highlight w:val="none"/>
        </w:rPr>
        <w:fldChar w:fldCharType="begin"/>
      </w:r>
      <w:r>
        <w:rPr>
          <w:color w:val="auto"/>
          <w:highlight w:val="none"/>
        </w:rPr>
        <w:instrText xml:space="preserve"> PAGEREF _Toc6918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14:paraId="331F5D10">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_Toc10491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_Toc10491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14:paraId="16C971E0">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_Toc17312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8"/>
          <w:szCs w:val="24"/>
          <w:highlight w:val="none"/>
        </w:rPr>
        <w:t>．合同订立</w:t>
      </w:r>
      <w:r>
        <w:rPr>
          <w:color w:val="auto"/>
          <w:highlight w:val="none"/>
        </w:rPr>
        <w:tab/>
      </w:r>
      <w:r>
        <w:rPr>
          <w:color w:val="auto"/>
          <w:highlight w:val="none"/>
        </w:rPr>
        <w:fldChar w:fldCharType="begin"/>
      </w:r>
      <w:r>
        <w:rPr>
          <w:color w:val="auto"/>
          <w:highlight w:val="none"/>
        </w:rPr>
        <w:instrText xml:space="preserve"> PAGEREF _Toc17312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1"/>
          <w:highlight w:val="none"/>
        </w:rPr>
        <w:fldChar w:fldCharType="end"/>
      </w:r>
    </w:p>
    <w:p w14:paraId="637A1907">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_Toc6544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rPr>
        <w:t>5</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6"/>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_Toc6544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szCs w:val="21"/>
          <w:highlight w:val="none"/>
        </w:rPr>
        <w:fldChar w:fldCharType="end"/>
      </w:r>
    </w:p>
    <w:p w14:paraId="50CA6914">
      <w:pPr>
        <w:pStyle w:val="10"/>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_Toc3032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第三章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_Toc3032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1"/>
          <w:highlight w:val="none"/>
        </w:rPr>
        <w:fldChar w:fldCharType="end"/>
      </w:r>
    </w:p>
    <w:p w14:paraId="697C10C7">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_Toc26539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．工程承包方式</w:t>
      </w:r>
      <w:r>
        <w:rPr>
          <w:color w:val="auto"/>
          <w:highlight w:val="none"/>
        </w:rPr>
        <w:tab/>
      </w:r>
      <w:r>
        <w:rPr>
          <w:color w:val="auto"/>
          <w:highlight w:val="none"/>
        </w:rPr>
        <w:fldChar w:fldCharType="begin"/>
      </w:r>
      <w:r>
        <w:rPr>
          <w:color w:val="auto"/>
          <w:highlight w:val="none"/>
        </w:rPr>
        <w:instrText xml:space="preserve"> PAGEREF _Toc26539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1"/>
          <w:highlight w:val="none"/>
        </w:rPr>
        <w:fldChar w:fldCharType="end"/>
      </w:r>
    </w:p>
    <w:p w14:paraId="09515B29">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_Toc20319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．工程结算原则</w:t>
      </w:r>
      <w:r>
        <w:rPr>
          <w:color w:val="auto"/>
          <w:highlight w:val="none"/>
        </w:rPr>
        <w:tab/>
      </w:r>
      <w:r>
        <w:rPr>
          <w:color w:val="auto"/>
          <w:highlight w:val="none"/>
        </w:rPr>
        <w:fldChar w:fldCharType="begin"/>
      </w:r>
      <w:r>
        <w:rPr>
          <w:color w:val="auto"/>
          <w:highlight w:val="none"/>
        </w:rPr>
        <w:instrText xml:space="preserve"> PAGEREF _Toc20319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1"/>
          <w:highlight w:val="none"/>
        </w:rPr>
        <w:fldChar w:fldCharType="end"/>
      </w:r>
    </w:p>
    <w:p w14:paraId="7B9EB82F">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_Toc11561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4"/>
          <w:highlight w:val="none"/>
        </w:rPr>
        <w:t>3. 工程付款办法</w:t>
      </w:r>
      <w:r>
        <w:rPr>
          <w:color w:val="auto"/>
          <w:highlight w:val="none"/>
        </w:rPr>
        <w:tab/>
      </w:r>
      <w:r>
        <w:rPr>
          <w:color w:val="auto"/>
          <w:highlight w:val="none"/>
        </w:rPr>
        <w:fldChar w:fldCharType="begin"/>
      </w:r>
      <w:r>
        <w:rPr>
          <w:color w:val="auto"/>
          <w:highlight w:val="none"/>
        </w:rPr>
        <w:instrText xml:space="preserve"> PAGEREF _Toc11561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14:paraId="57B45B58">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_Toc464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4</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7"/>
          <w:szCs w:val="24"/>
          <w:highlight w:val="none"/>
        </w:rPr>
        <w:t>．其他专用合同条款</w:t>
      </w:r>
      <w:r>
        <w:rPr>
          <w:color w:val="auto"/>
          <w:highlight w:val="none"/>
        </w:rPr>
        <w:tab/>
      </w:r>
      <w:r>
        <w:rPr>
          <w:color w:val="auto"/>
          <w:highlight w:val="none"/>
        </w:rPr>
        <w:fldChar w:fldCharType="begin"/>
      </w:r>
      <w:r>
        <w:rPr>
          <w:color w:val="auto"/>
          <w:highlight w:val="none"/>
        </w:rPr>
        <w:instrText xml:space="preserve"> PAGEREF _Toc464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eastAsia="宋体" w:cs="宋体"/>
          <w:color w:val="auto"/>
          <w:szCs w:val="21"/>
          <w:highlight w:val="none"/>
        </w:rPr>
        <w:fldChar w:fldCharType="end"/>
      </w:r>
    </w:p>
    <w:p w14:paraId="1DF12465">
      <w:pPr>
        <w:pStyle w:val="10"/>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_Toc29623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第四章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_Toc29623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1"/>
          <w:highlight w:val="none"/>
        </w:rPr>
        <w:fldChar w:fldCharType="end"/>
      </w:r>
    </w:p>
    <w:p w14:paraId="1A74BC96">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_Toc24726 </w:instrText>
      </w:r>
      <w:r>
        <w:rPr>
          <w:rFonts w:hint="eastAsia" w:ascii="宋体" w:hAnsi="宋体" w:eastAsia="宋体" w:cs="宋体"/>
          <w:color w:val="auto"/>
          <w:szCs w:val="21"/>
          <w:highlight w:val="none"/>
        </w:rPr>
        <w:fldChar w:fldCharType="separate"/>
      </w:r>
      <w:r>
        <w:rPr>
          <w:rFonts w:hint="eastAsia" w:hAnsi="宋体"/>
          <w:color w:val="auto"/>
          <w:kern w:val="2"/>
          <w:szCs w:val="24"/>
          <w:highlight w:val="none"/>
        </w:rPr>
        <w:t>1 工程的技术要求</w:t>
      </w:r>
      <w:r>
        <w:rPr>
          <w:color w:val="auto"/>
          <w:highlight w:val="none"/>
        </w:rPr>
        <w:tab/>
      </w:r>
      <w:r>
        <w:rPr>
          <w:color w:val="auto"/>
          <w:highlight w:val="none"/>
        </w:rPr>
        <w:fldChar w:fldCharType="begin"/>
      </w:r>
      <w:r>
        <w:rPr>
          <w:color w:val="auto"/>
          <w:highlight w:val="none"/>
        </w:rPr>
        <w:instrText xml:space="preserve"> PAGEREF _Toc24726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1"/>
          <w:highlight w:val="none"/>
        </w:rPr>
        <w:fldChar w:fldCharType="end"/>
      </w:r>
    </w:p>
    <w:p w14:paraId="02C1968B">
      <w:pPr>
        <w:pStyle w:val="10"/>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_Toc23471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5"/>
          <w:szCs w:val="24"/>
          <w:highlight w:val="none"/>
        </w:rPr>
        <w:t>第五章</w:t>
      </w:r>
      <w:r>
        <w:rPr>
          <w:rFonts w:hint="eastAsia" w:ascii="宋体" w:hAnsi="宋体" w:eastAsia="宋体" w:cs="宋体"/>
          <w:color w:val="auto"/>
          <w:spacing w:val="33"/>
          <w:szCs w:val="24"/>
          <w:highlight w:val="none"/>
        </w:rPr>
        <w:t xml:space="preserve"> </w:t>
      </w:r>
      <w:r>
        <w:rPr>
          <w:rFonts w:hint="eastAsia" w:ascii="宋体" w:hAnsi="宋体" w:eastAsia="宋体" w:cs="宋体"/>
          <w:bCs/>
          <w:color w:val="auto"/>
          <w:spacing w:val="-5"/>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_Toc23471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1"/>
          <w:highlight w:val="none"/>
        </w:rPr>
        <w:fldChar w:fldCharType="end"/>
      </w:r>
    </w:p>
    <w:p w14:paraId="031FCB49">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_Toc18677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14"/>
          <w:szCs w:val="24"/>
          <w:highlight w:val="none"/>
        </w:rPr>
        <w:t>1</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14"/>
          <w:szCs w:val="24"/>
          <w:highlight w:val="none"/>
        </w:rPr>
        <w:t>．图纸</w:t>
      </w:r>
      <w:r>
        <w:rPr>
          <w:color w:val="auto"/>
          <w:highlight w:val="none"/>
        </w:rPr>
        <w:tab/>
      </w:r>
      <w:r>
        <w:rPr>
          <w:color w:val="auto"/>
          <w:highlight w:val="none"/>
        </w:rPr>
        <w:fldChar w:fldCharType="begin"/>
      </w:r>
      <w:r>
        <w:rPr>
          <w:color w:val="auto"/>
          <w:highlight w:val="none"/>
        </w:rPr>
        <w:instrText xml:space="preserve"> PAGEREF _Toc18677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1"/>
          <w:highlight w:val="none"/>
        </w:rPr>
        <w:fldChar w:fldCharType="end"/>
      </w:r>
    </w:p>
    <w:p w14:paraId="1C31624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_Toc14947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rPr>
        <w:t>2</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6"/>
          <w:szCs w:val="24"/>
          <w:highlight w:val="none"/>
        </w:rPr>
        <w:t>．招标工程量清单</w:t>
      </w:r>
      <w:r>
        <w:rPr>
          <w:color w:val="auto"/>
          <w:highlight w:val="none"/>
        </w:rPr>
        <w:tab/>
      </w:r>
      <w:r>
        <w:rPr>
          <w:color w:val="auto"/>
          <w:highlight w:val="none"/>
        </w:rPr>
        <w:fldChar w:fldCharType="begin"/>
      </w:r>
      <w:r>
        <w:rPr>
          <w:color w:val="auto"/>
          <w:highlight w:val="none"/>
        </w:rPr>
        <w:instrText xml:space="preserve"> PAGEREF _Toc14947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1"/>
          <w:highlight w:val="none"/>
        </w:rPr>
        <w:fldChar w:fldCharType="end"/>
      </w:r>
    </w:p>
    <w:p w14:paraId="6C30420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_Toc31627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lang w:val="en-US" w:eastAsia="zh-CN"/>
        </w:rPr>
        <w:t>3.甲供主材设备清单</w:t>
      </w:r>
      <w:r>
        <w:rPr>
          <w:color w:val="auto"/>
          <w:highlight w:val="none"/>
        </w:rPr>
        <w:tab/>
      </w:r>
      <w:r>
        <w:rPr>
          <w:color w:val="auto"/>
          <w:highlight w:val="none"/>
        </w:rPr>
        <w:fldChar w:fldCharType="begin"/>
      </w:r>
      <w:r>
        <w:rPr>
          <w:color w:val="auto"/>
          <w:highlight w:val="none"/>
        </w:rPr>
        <w:instrText xml:space="preserve"> PAGEREF _Toc31627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zCs w:val="21"/>
          <w:highlight w:val="none"/>
        </w:rPr>
        <w:fldChar w:fldCharType="end"/>
      </w:r>
    </w:p>
    <w:p w14:paraId="47996F84">
      <w:pPr>
        <w:pStyle w:val="10"/>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_Toc29734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第六章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_Toc29734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1"/>
          <w:highlight w:val="none"/>
        </w:rPr>
        <w:fldChar w:fldCharType="end"/>
      </w:r>
    </w:p>
    <w:p w14:paraId="4619CA89">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_Toc8398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格式一</w:t>
      </w:r>
      <w:r>
        <w:rPr>
          <w:rFonts w:hint="eastAsia" w:ascii="宋体" w:hAnsi="宋体" w:eastAsia="宋体" w:cs="宋体"/>
          <w:color w:val="auto"/>
          <w:spacing w:val="-4"/>
          <w:szCs w:val="24"/>
          <w:highlight w:val="none"/>
        </w:rPr>
        <w:t xml:space="preserve"> </w:t>
      </w:r>
      <w:r>
        <w:rPr>
          <w:rFonts w:hint="eastAsia" w:ascii="宋体" w:hAnsi="宋体" w:eastAsia="宋体" w:cs="宋体"/>
          <w:bCs/>
          <w:color w:val="auto"/>
          <w:spacing w:val="-4"/>
          <w:szCs w:val="24"/>
          <w:highlight w:val="none"/>
        </w:rPr>
        <w:t>封面</w:t>
      </w:r>
      <w:r>
        <w:rPr>
          <w:color w:val="auto"/>
          <w:highlight w:val="none"/>
        </w:rPr>
        <w:tab/>
      </w:r>
      <w:r>
        <w:rPr>
          <w:color w:val="auto"/>
          <w:highlight w:val="none"/>
        </w:rPr>
        <w:fldChar w:fldCharType="begin"/>
      </w:r>
      <w:r>
        <w:rPr>
          <w:color w:val="auto"/>
          <w:highlight w:val="none"/>
        </w:rPr>
        <w:instrText xml:space="preserve"> PAGEREF _Toc8398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1"/>
          <w:highlight w:val="none"/>
        </w:rPr>
        <w:fldChar w:fldCharType="end"/>
      </w:r>
    </w:p>
    <w:p w14:paraId="4A1D6F1E">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_Toc14176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_Toc14176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color w:val="auto"/>
          <w:szCs w:val="21"/>
          <w:highlight w:val="none"/>
        </w:rPr>
        <w:fldChar w:fldCharType="end"/>
      </w:r>
    </w:p>
    <w:p w14:paraId="494C846A">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_Toc15931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_Toc15931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eastAsia="宋体" w:cs="宋体"/>
          <w:color w:val="auto"/>
          <w:szCs w:val="21"/>
          <w:highlight w:val="none"/>
        </w:rPr>
        <w:fldChar w:fldCharType="end"/>
      </w:r>
    </w:p>
    <w:p w14:paraId="57AC5F3F">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_Toc10597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_Toc10597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color w:val="auto"/>
          <w:szCs w:val="21"/>
          <w:highlight w:val="none"/>
        </w:rPr>
        <w:fldChar w:fldCharType="end"/>
      </w:r>
    </w:p>
    <w:p w14:paraId="7F2E17E2">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_Toc2657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_Toc2657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zCs w:val="21"/>
          <w:highlight w:val="none"/>
        </w:rPr>
        <w:fldChar w:fldCharType="end"/>
      </w:r>
    </w:p>
    <w:p w14:paraId="07561BCE">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_Toc23279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_Toc23279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color w:val="auto"/>
          <w:szCs w:val="21"/>
          <w:highlight w:val="none"/>
        </w:rPr>
        <w:fldChar w:fldCharType="end"/>
      </w:r>
    </w:p>
    <w:p w14:paraId="10224C8D">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_Toc15855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_Toc15855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zCs w:val="21"/>
          <w:highlight w:val="none"/>
        </w:rPr>
        <w:fldChar w:fldCharType="end"/>
      </w:r>
    </w:p>
    <w:p w14:paraId="5E85A66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_Toc18786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_Toc18786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zCs w:val="21"/>
          <w:highlight w:val="none"/>
        </w:rPr>
        <w:fldChar w:fldCharType="end"/>
      </w:r>
    </w:p>
    <w:p w14:paraId="374BA218">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_Toc12898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_Toc12898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zCs w:val="21"/>
          <w:highlight w:val="none"/>
        </w:rPr>
        <w:fldChar w:fldCharType="end"/>
      </w:r>
    </w:p>
    <w:p w14:paraId="31E7C173">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_Toc6986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_Toc6986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zCs w:val="21"/>
          <w:highlight w:val="none"/>
        </w:rPr>
        <w:fldChar w:fldCharType="end"/>
      </w:r>
    </w:p>
    <w:p w14:paraId="5038DF3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_Toc25360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_Toc25360 \h </w:instrText>
      </w:r>
      <w:r>
        <w:rPr>
          <w:color w:val="auto"/>
          <w:highlight w:val="none"/>
        </w:rPr>
        <w:fldChar w:fldCharType="separate"/>
      </w:r>
      <w:r>
        <w:rPr>
          <w:color w:val="auto"/>
          <w:highlight w:val="none"/>
        </w:rPr>
        <w:t>75</w:t>
      </w:r>
      <w:r>
        <w:rPr>
          <w:color w:val="auto"/>
          <w:highlight w:val="none"/>
        </w:rPr>
        <w:fldChar w:fldCharType="end"/>
      </w:r>
      <w:r>
        <w:rPr>
          <w:rFonts w:hint="eastAsia" w:ascii="宋体" w:hAnsi="宋体" w:eastAsia="宋体" w:cs="宋体"/>
          <w:color w:val="auto"/>
          <w:szCs w:val="21"/>
          <w:highlight w:val="none"/>
        </w:rPr>
        <w:fldChar w:fldCharType="end"/>
      </w:r>
    </w:p>
    <w:p w14:paraId="531BFC43">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_Toc31152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_Toc31152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zCs w:val="21"/>
          <w:highlight w:val="none"/>
        </w:rPr>
        <w:fldChar w:fldCharType="end"/>
      </w:r>
    </w:p>
    <w:p w14:paraId="69531A82">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_Toc19364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格式十三：</w:t>
      </w:r>
      <w:r>
        <w:rPr>
          <w:rFonts w:hint="eastAsia" w:ascii="宋体" w:hAnsi="宋体" w:eastAsia="宋体" w:cs="宋体"/>
          <w:bCs/>
          <w:color w:val="auto"/>
          <w:spacing w:val="7"/>
          <w:szCs w:val="22"/>
          <w:highlight w:val="none"/>
        </w:rPr>
        <w:t>危险性较大的分部分项工程清单及超过一定规模的危险性较大的</w:t>
      </w:r>
      <w:r>
        <w:rPr>
          <w:rFonts w:hint="eastAsia" w:ascii="宋体" w:hAnsi="宋体" w:eastAsia="宋体" w:cs="宋体"/>
          <w:bCs/>
          <w:color w:val="auto"/>
          <w:spacing w:val="5"/>
          <w:szCs w:val="22"/>
          <w:highlight w:val="none"/>
        </w:rPr>
        <w:t>分部分项工程清单</w:t>
      </w:r>
      <w:r>
        <w:rPr>
          <w:color w:val="auto"/>
          <w:highlight w:val="none"/>
        </w:rPr>
        <w:tab/>
      </w:r>
      <w:r>
        <w:rPr>
          <w:color w:val="auto"/>
          <w:highlight w:val="none"/>
        </w:rPr>
        <w:fldChar w:fldCharType="begin"/>
      </w:r>
      <w:r>
        <w:rPr>
          <w:color w:val="auto"/>
          <w:highlight w:val="none"/>
        </w:rPr>
        <w:instrText xml:space="preserve"> PAGEREF _Toc19364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eastAsia="宋体" w:cs="宋体"/>
          <w:color w:val="auto"/>
          <w:szCs w:val="21"/>
          <w:highlight w:val="none"/>
        </w:rPr>
        <w:fldChar w:fldCharType="end"/>
      </w:r>
    </w:p>
    <w:p w14:paraId="2CC4CE0F">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_Toc13631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第七章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_Toc13631 \h </w:instrText>
      </w:r>
      <w:r>
        <w:rPr>
          <w:color w:val="auto"/>
          <w:highlight w:val="none"/>
        </w:rPr>
        <w:fldChar w:fldCharType="separate"/>
      </w:r>
      <w:r>
        <w:rPr>
          <w:color w:val="auto"/>
          <w:highlight w:val="none"/>
        </w:rPr>
        <w:t>83</w:t>
      </w:r>
      <w:r>
        <w:rPr>
          <w:color w:val="auto"/>
          <w:highlight w:val="none"/>
        </w:rPr>
        <w:fldChar w:fldCharType="end"/>
      </w:r>
      <w:r>
        <w:rPr>
          <w:rFonts w:hint="eastAsia" w:ascii="宋体" w:hAnsi="宋体" w:eastAsia="宋体" w:cs="宋体"/>
          <w:color w:val="auto"/>
          <w:szCs w:val="21"/>
          <w:highlight w:val="none"/>
        </w:rPr>
        <w:fldChar w:fldCharType="end"/>
      </w:r>
    </w:p>
    <w:p w14:paraId="31DBAE13">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宋体" w:hAnsi="宋体" w:eastAsia="宋体" w:cs="宋体"/>
          <w:color w:val="auto"/>
          <w:sz w:val="21"/>
          <w:szCs w:val="21"/>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Cs w:val="21"/>
          <w:highlight w:val="none"/>
        </w:rPr>
        <w:fldChar w:fldCharType="end"/>
      </w:r>
    </w:p>
    <w:p w14:paraId="7980CD54">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宋体" w:hAnsi="宋体" w:eastAsia="宋体" w:cs="宋体"/>
          <w:color w:val="auto"/>
          <w:highlight w:val="none"/>
        </w:rPr>
      </w:pPr>
    </w:p>
    <w:p w14:paraId="58B6FF9E">
      <w:pPr>
        <w:keepNext w:val="0"/>
        <w:keepLines w:val="0"/>
        <w:pageBreakBefore w:val="0"/>
        <w:widowControl w:val="0"/>
        <w:kinsoku/>
        <w:wordWrap w:val="0"/>
        <w:overflowPunct/>
        <w:topLinePunct/>
        <w:autoSpaceDE/>
        <w:autoSpaceDN/>
        <w:bidi w:val="0"/>
        <w:adjustRightInd w:val="0"/>
        <w:snapToGrid w:val="0"/>
        <w:spacing w:before="78" w:line="219" w:lineRule="auto"/>
        <w:ind w:left="3416" w:right="84" w:rightChars="40"/>
        <w:outlineLvl w:val="0"/>
        <w:rPr>
          <w:rFonts w:hint="eastAsia" w:ascii="宋体" w:hAnsi="宋体" w:eastAsia="宋体" w:cs="宋体"/>
          <w:color w:val="auto"/>
          <w:sz w:val="24"/>
          <w:szCs w:val="24"/>
          <w:highlight w:val="none"/>
        </w:rPr>
      </w:pPr>
      <w:bookmarkStart w:id="0" w:name="bookmark1"/>
      <w:bookmarkEnd w:id="0"/>
      <w:bookmarkStart w:id="1" w:name="_Toc6565"/>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6E5864C3">
      <w:pPr>
        <w:keepNext w:val="0"/>
        <w:keepLines w:val="0"/>
        <w:pageBreakBefore w:val="0"/>
        <w:widowControl w:val="0"/>
        <w:kinsoku/>
        <w:wordWrap w:val="0"/>
        <w:overflowPunct/>
        <w:topLinePunct/>
        <w:autoSpaceDE/>
        <w:autoSpaceDN/>
        <w:bidi w:val="0"/>
        <w:adjustRightInd w:val="0"/>
        <w:snapToGrid w:val="0"/>
        <w:spacing w:before="156" w:line="219" w:lineRule="auto"/>
        <w:ind w:left="17" w:right="84" w:rightChars="40"/>
        <w:outlineLvl w:val="1"/>
        <w:rPr>
          <w:rFonts w:hint="eastAsia" w:ascii="宋体" w:hAnsi="宋体" w:eastAsia="宋体" w:cs="宋体"/>
          <w:color w:val="auto"/>
          <w:sz w:val="24"/>
          <w:szCs w:val="24"/>
          <w:highlight w:val="none"/>
        </w:rPr>
      </w:pPr>
      <w:bookmarkStart w:id="2" w:name="bookmark3"/>
      <w:bookmarkEnd w:id="2"/>
      <w:bookmarkStart w:id="3" w:name="_Toc15144"/>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649DA348">
      <w:pPr>
        <w:keepNext w:val="0"/>
        <w:keepLines w:val="0"/>
        <w:pageBreakBefore w:val="0"/>
        <w:widowControl w:val="0"/>
        <w:kinsoku/>
        <w:wordWrap w:val="0"/>
        <w:overflowPunct/>
        <w:topLinePunct/>
        <w:autoSpaceDE/>
        <w:autoSpaceDN/>
        <w:bidi w:val="0"/>
        <w:adjustRightInd w:val="0"/>
        <w:snapToGrid w:val="0"/>
        <w:spacing w:before="25"/>
        <w:ind w:right="84" w:rightChars="40"/>
        <w:rPr>
          <w:rFonts w:hint="eastAsia" w:ascii="宋体" w:hAnsi="宋体" w:eastAsia="宋体" w:cs="宋体"/>
          <w:color w:val="auto"/>
          <w:highlight w:val="none"/>
        </w:rPr>
      </w:pPr>
    </w:p>
    <w:tbl>
      <w:tblPr>
        <w:tblStyle w:val="15"/>
        <w:tblW w:w="1005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9"/>
        <w:gridCol w:w="1860"/>
        <w:gridCol w:w="7575"/>
      </w:tblGrid>
      <w:tr w14:paraId="48CA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trPr>
        <w:tc>
          <w:tcPr>
            <w:tcW w:w="619" w:type="dxa"/>
            <w:vAlign w:val="top"/>
          </w:tcPr>
          <w:p w14:paraId="3770DBC6">
            <w:pPr>
              <w:keepNext w:val="0"/>
              <w:keepLines w:val="0"/>
              <w:pageBreakBefore w:val="0"/>
              <w:widowControl w:val="0"/>
              <w:kinsoku/>
              <w:wordWrap w:val="0"/>
              <w:overflowPunct/>
              <w:topLinePunct/>
              <w:autoSpaceDE/>
              <w:autoSpaceDN/>
              <w:bidi w:val="0"/>
              <w:adjustRightInd w:val="0"/>
              <w:snapToGrid w:val="0"/>
              <w:spacing w:before="203" w:line="209" w:lineRule="auto"/>
              <w:ind w:left="0" w:leftChars="0" w:right="84" w:rightChars="40" w:firstLine="0" w:firstLineChars="0"/>
              <w:jc w:val="center"/>
              <w:rPr>
                <w:rFonts w:hint="eastAsia" w:asciiTheme="minorEastAsia" w:hAnsiTheme="minorEastAsia" w:eastAsiaTheme="minorEastAsia" w:cstheme="minorEastAsia"/>
                <w:color w:val="auto"/>
                <w:sz w:val="24"/>
                <w:szCs w:val="24"/>
                <w:highlight w:val="none"/>
                <w:lang w:val="en-US" w:eastAsia="zh-CN"/>
              </w:rPr>
            </w:pPr>
            <w:bookmarkStart w:id="4" w:name="bookmark115"/>
            <w:bookmarkEnd w:id="4"/>
            <w:r>
              <w:rPr>
                <w:rFonts w:hint="eastAsia" w:asciiTheme="minorEastAsia" w:hAnsiTheme="minorEastAsia" w:eastAsiaTheme="minorEastAsia" w:cstheme="minorEastAsia"/>
                <w:color w:val="auto"/>
                <w:sz w:val="24"/>
                <w:szCs w:val="24"/>
                <w:highlight w:val="none"/>
                <w:lang w:val="en-US" w:eastAsia="zh-CN"/>
              </w:rPr>
              <w:t>序号</w:t>
            </w:r>
          </w:p>
        </w:tc>
        <w:tc>
          <w:tcPr>
            <w:tcW w:w="1860" w:type="dxa"/>
            <w:vAlign w:val="center"/>
          </w:tcPr>
          <w:p w14:paraId="736CDC72">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内容</w:t>
            </w:r>
          </w:p>
        </w:tc>
        <w:tc>
          <w:tcPr>
            <w:tcW w:w="7575" w:type="dxa"/>
            <w:vAlign w:val="center"/>
          </w:tcPr>
          <w:p w14:paraId="2044CE66">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说明与要求</w:t>
            </w:r>
          </w:p>
        </w:tc>
      </w:tr>
      <w:tr w14:paraId="635F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11AACD86">
            <w:pPr>
              <w:keepNext w:val="0"/>
              <w:keepLines w:val="0"/>
              <w:pageBreakBefore w:val="0"/>
              <w:widowControl w:val="0"/>
              <w:kinsoku/>
              <w:wordWrap w:val="0"/>
              <w:overflowPunct/>
              <w:topLinePunct/>
              <w:autoSpaceDE/>
              <w:autoSpaceDN/>
              <w:bidi w:val="0"/>
              <w:adjustRightInd w:val="0"/>
              <w:snapToGrid w:val="0"/>
              <w:spacing w:before="223" w:line="195" w:lineRule="auto"/>
              <w:ind w:right="84" w:rightChars="40"/>
              <w:jc w:val="center"/>
              <w:rPr>
                <w:rFonts w:hint="eastAsia" w:asciiTheme="minorEastAsia" w:hAnsiTheme="minorEastAsia" w:eastAsiaTheme="minorEastAsia" w:cstheme="minorEastAsia"/>
                <w:color w:val="auto"/>
                <w:sz w:val="24"/>
                <w:szCs w:val="24"/>
                <w:highlight w:val="none"/>
              </w:rPr>
            </w:pPr>
            <w:bookmarkStart w:id="5" w:name="OLE_LINK2" w:colFirst="2" w:colLast="2"/>
            <w:r>
              <w:rPr>
                <w:rFonts w:hint="eastAsia" w:asciiTheme="minorEastAsia" w:hAnsiTheme="minorEastAsia" w:eastAsiaTheme="minorEastAsia" w:cstheme="minorEastAsia"/>
                <w:color w:val="auto"/>
                <w:sz w:val="24"/>
                <w:szCs w:val="24"/>
                <w:highlight w:val="none"/>
              </w:rPr>
              <w:t>1</w:t>
            </w:r>
          </w:p>
        </w:tc>
        <w:tc>
          <w:tcPr>
            <w:tcW w:w="1860" w:type="dxa"/>
            <w:vAlign w:val="center"/>
          </w:tcPr>
          <w:p w14:paraId="57EE556D">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项目名称</w:t>
            </w:r>
          </w:p>
        </w:tc>
        <w:tc>
          <w:tcPr>
            <w:tcW w:w="7575" w:type="dxa"/>
            <w:vAlign w:val="center"/>
          </w:tcPr>
          <w:p w14:paraId="0E4797E6">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浈江区黄金村客运站场分布式屋顶光伏项目、浈江区南郊六公里力士通站场分布式屋顶光伏项目工程施工（第二次）</w:t>
            </w:r>
          </w:p>
        </w:tc>
      </w:tr>
      <w:tr w14:paraId="1D9D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619" w:type="dxa"/>
            <w:vAlign w:val="center"/>
          </w:tcPr>
          <w:p w14:paraId="4CAFFC43">
            <w:pPr>
              <w:keepNext w:val="0"/>
              <w:keepLines w:val="0"/>
              <w:pageBreakBefore w:val="0"/>
              <w:widowControl w:val="0"/>
              <w:kinsoku/>
              <w:wordWrap w:val="0"/>
              <w:overflowPunct/>
              <w:topLinePunct/>
              <w:autoSpaceDE/>
              <w:autoSpaceDN/>
              <w:bidi w:val="0"/>
              <w:adjustRightInd w:val="0"/>
              <w:snapToGrid w:val="0"/>
              <w:spacing w:before="222"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860" w:type="dxa"/>
            <w:vAlign w:val="center"/>
          </w:tcPr>
          <w:p w14:paraId="3DD3672C">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项目业主</w:t>
            </w:r>
          </w:p>
        </w:tc>
        <w:tc>
          <w:tcPr>
            <w:tcW w:w="7575" w:type="dxa"/>
            <w:vAlign w:val="center"/>
          </w:tcPr>
          <w:p w14:paraId="504663A5">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粤北能源投资（广东）有限公司</w:t>
            </w:r>
          </w:p>
        </w:tc>
      </w:tr>
      <w:tr w14:paraId="20CB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AF445DC">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860" w:type="dxa"/>
            <w:vAlign w:val="center"/>
          </w:tcPr>
          <w:p w14:paraId="30094D91">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项目批准部门及项目批准文号</w:t>
            </w:r>
          </w:p>
        </w:tc>
        <w:tc>
          <w:tcPr>
            <w:tcW w:w="7575" w:type="dxa"/>
            <w:vAlign w:val="center"/>
          </w:tcPr>
          <w:p w14:paraId="2EC81498">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韶关市发展和改革局；/</w:t>
            </w:r>
          </w:p>
        </w:tc>
      </w:tr>
      <w:tr w14:paraId="1117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trPr>
        <w:tc>
          <w:tcPr>
            <w:tcW w:w="619" w:type="dxa"/>
            <w:vAlign w:val="center"/>
          </w:tcPr>
          <w:p w14:paraId="23A16513">
            <w:pPr>
              <w:keepNext w:val="0"/>
              <w:keepLines w:val="0"/>
              <w:pageBreakBefore w:val="0"/>
              <w:widowControl w:val="0"/>
              <w:kinsoku/>
              <w:wordWrap w:val="0"/>
              <w:overflowPunct/>
              <w:topLinePunct/>
              <w:autoSpaceDE/>
              <w:autoSpaceDN/>
              <w:bidi w:val="0"/>
              <w:adjustRightInd w:val="0"/>
              <w:snapToGrid w:val="0"/>
              <w:spacing w:before="22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w:t>
            </w:r>
          </w:p>
        </w:tc>
        <w:tc>
          <w:tcPr>
            <w:tcW w:w="1860" w:type="dxa"/>
            <w:vAlign w:val="center"/>
          </w:tcPr>
          <w:p w14:paraId="5256AA0F">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建设地点</w:t>
            </w:r>
          </w:p>
        </w:tc>
        <w:tc>
          <w:tcPr>
            <w:tcW w:w="7575" w:type="dxa"/>
            <w:tcMar>
              <w:top w:w="0" w:type="dxa"/>
              <w:left w:w="0" w:type="dxa"/>
              <w:bottom w:w="0" w:type="dxa"/>
              <w:right w:w="0" w:type="dxa"/>
            </w:tcMar>
            <w:vAlign w:val="center"/>
          </w:tcPr>
          <w:p w14:paraId="6299E14E">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韶关市浈江区</w:t>
            </w:r>
          </w:p>
        </w:tc>
      </w:tr>
      <w:tr w14:paraId="6CBE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trPr>
        <w:tc>
          <w:tcPr>
            <w:tcW w:w="619" w:type="dxa"/>
            <w:vAlign w:val="center"/>
          </w:tcPr>
          <w:p w14:paraId="2EEBF6D3">
            <w:pPr>
              <w:keepNext w:val="0"/>
              <w:keepLines w:val="0"/>
              <w:pageBreakBefore w:val="0"/>
              <w:widowControl w:val="0"/>
              <w:kinsoku/>
              <w:wordWrap w:val="0"/>
              <w:overflowPunct/>
              <w:topLinePunct/>
              <w:autoSpaceDE/>
              <w:autoSpaceDN/>
              <w:bidi w:val="0"/>
              <w:adjustRightInd w:val="0"/>
              <w:snapToGrid w:val="0"/>
              <w:spacing w:before="226" w:line="192"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860" w:type="dxa"/>
            <w:vAlign w:val="center"/>
          </w:tcPr>
          <w:p w14:paraId="4C8648B9">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项目代码</w:t>
            </w:r>
          </w:p>
        </w:tc>
        <w:tc>
          <w:tcPr>
            <w:tcW w:w="7575" w:type="dxa"/>
            <w:vAlign w:val="center"/>
          </w:tcPr>
          <w:p w14:paraId="14C35DD1">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2502-440204-04-01-451549;2502-440204-04-01-723112</w:t>
            </w:r>
          </w:p>
        </w:tc>
      </w:tr>
      <w:tr w14:paraId="46E0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290FE8B9">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860" w:type="dxa"/>
            <w:vAlign w:val="center"/>
          </w:tcPr>
          <w:p w14:paraId="482A66C0">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资金来源及落实</w:t>
            </w:r>
          </w:p>
          <w:p w14:paraId="46B94AB7">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情况</w:t>
            </w:r>
          </w:p>
        </w:tc>
        <w:tc>
          <w:tcPr>
            <w:tcW w:w="7575" w:type="dxa"/>
            <w:vAlign w:val="center"/>
          </w:tcPr>
          <w:p w14:paraId="6A6D3995">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企业自筹，100%</w:t>
            </w:r>
          </w:p>
        </w:tc>
      </w:tr>
      <w:tr w14:paraId="0492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19" w:type="dxa"/>
            <w:vAlign w:val="center"/>
          </w:tcPr>
          <w:p w14:paraId="056FB6A2">
            <w:pPr>
              <w:keepNext w:val="0"/>
              <w:keepLines w:val="0"/>
              <w:pageBreakBefore w:val="0"/>
              <w:widowControl w:val="0"/>
              <w:kinsoku/>
              <w:wordWrap w:val="0"/>
              <w:overflowPunct/>
              <w:topLinePunct/>
              <w:autoSpaceDE/>
              <w:autoSpaceDN/>
              <w:bidi w:val="0"/>
              <w:adjustRightInd w:val="0"/>
              <w:snapToGrid w:val="0"/>
              <w:spacing w:before="228" w:line="192"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860" w:type="dxa"/>
            <w:vAlign w:val="center"/>
          </w:tcPr>
          <w:p w14:paraId="5144FC72">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招标人</w:t>
            </w:r>
          </w:p>
        </w:tc>
        <w:tc>
          <w:tcPr>
            <w:tcW w:w="7575" w:type="dxa"/>
            <w:vAlign w:val="center"/>
          </w:tcPr>
          <w:p w14:paraId="7214D140">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粤北能源投资（广东）有限公司</w:t>
            </w:r>
          </w:p>
        </w:tc>
      </w:tr>
      <w:tr w14:paraId="4FF3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619" w:type="dxa"/>
            <w:vAlign w:val="center"/>
          </w:tcPr>
          <w:p w14:paraId="22DE477E">
            <w:pPr>
              <w:keepNext w:val="0"/>
              <w:keepLines w:val="0"/>
              <w:pageBreakBefore w:val="0"/>
              <w:widowControl w:val="0"/>
              <w:kinsoku/>
              <w:wordWrap w:val="0"/>
              <w:overflowPunct/>
              <w:topLinePunct/>
              <w:autoSpaceDE/>
              <w:autoSpaceDN/>
              <w:bidi w:val="0"/>
              <w:adjustRightInd w:val="0"/>
              <w:snapToGrid w:val="0"/>
              <w:spacing w:before="224"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860" w:type="dxa"/>
            <w:vAlign w:val="center"/>
          </w:tcPr>
          <w:p w14:paraId="6CFC868D">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招标代理机构</w:t>
            </w:r>
          </w:p>
        </w:tc>
        <w:tc>
          <w:tcPr>
            <w:tcW w:w="7575" w:type="dxa"/>
            <w:vAlign w:val="center"/>
          </w:tcPr>
          <w:p w14:paraId="2F7C41F6">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韶关市建韶工程造价咨询有限公司</w:t>
            </w:r>
          </w:p>
        </w:tc>
      </w:tr>
      <w:tr w14:paraId="4803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trPr>
        <w:tc>
          <w:tcPr>
            <w:tcW w:w="619" w:type="dxa"/>
            <w:vAlign w:val="center"/>
          </w:tcPr>
          <w:p w14:paraId="7785D969">
            <w:pPr>
              <w:keepNext w:val="0"/>
              <w:keepLines w:val="0"/>
              <w:pageBreakBefore w:val="0"/>
              <w:widowControl w:val="0"/>
              <w:kinsoku/>
              <w:wordWrap w:val="0"/>
              <w:overflowPunct/>
              <w:topLinePunct/>
              <w:autoSpaceDE/>
              <w:autoSpaceDN/>
              <w:bidi w:val="0"/>
              <w:adjustRightInd w:val="0"/>
              <w:snapToGrid w:val="0"/>
              <w:spacing w:before="22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860" w:type="dxa"/>
            <w:vAlign w:val="center"/>
          </w:tcPr>
          <w:p w14:paraId="24A64A39">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设计单位</w:t>
            </w:r>
          </w:p>
        </w:tc>
        <w:tc>
          <w:tcPr>
            <w:tcW w:w="7575" w:type="dxa"/>
            <w:vAlign w:val="center"/>
          </w:tcPr>
          <w:p w14:paraId="16945A01">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广东联网电力股份有限公司</w:t>
            </w:r>
          </w:p>
        </w:tc>
      </w:tr>
      <w:bookmarkEnd w:id="5"/>
      <w:tr w14:paraId="4DA0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4C99D2C2">
            <w:pPr>
              <w:keepNext w:val="0"/>
              <w:keepLines w:val="0"/>
              <w:pageBreakBefore w:val="0"/>
              <w:widowControl w:val="0"/>
              <w:kinsoku/>
              <w:wordWrap w:val="0"/>
              <w:overflowPunct/>
              <w:topLinePunct/>
              <w:autoSpaceDE/>
              <w:autoSpaceDN/>
              <w:bidi w:val="0"/>
              <w:adjustRightInd w:val="0"/>
              <w:snapToGrid w:val="0"/>
              <w:spacing w:before="24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10</w:t>
            </w:r>
          </w:p>
        </w:tc>
        <w:tc>
          <w:tcPr>
            <w:tcW w:w="1860" w:type="dxa"/>
            <w:vAlign w:val="center"/>
          </w:tcPr>
          <w:p w14:paraId="2827276C">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造价咨询单位</w:t>
            </w:r>
          </w:p>
        </w:tc>
        <w:tc>
          <w:tcPr>
            <w:tcW w:w="7575" w:type="dxa"/>
            <w:vAlign w:val="center"/>
          </w:tcPr>
          <w:p w14:paraId="3ED6393E">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□非全过程造价咨询</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☑全过程造价咨询</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p>
        </w:tc>
      </w:tr>
      <w:tr w14:paraId="7447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3C4734B7">
            <w:pPr>
              <w:keepNext w:val="0"/>
              <w:keepLines w:val="0"/>
              <w:pageBreakBefore w:val="0"/>
              <w:widowControl w:val="0"/>
              <w:kinsoku/>
              <w:wordWrap w:val="0"/>
              <w:overflowPunct/>
              <w:topLinePunct/>
              <w:autoSpaceDE/>
              <w:autoSpaceDN/>
              <w:bidi w:val="0"/>
              <w:adjustRightInd w:val="0"/>
              <w:snapToGrid w:val="0"/>
              <w:spacing w:before="242"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w:t>
            </w:r>
          </w:p>
        </w:tc>
        <w:tc>
          <w:tcPr>
            <w:tcW w:w="1860" w:type="dxa"/>
            <w:vAlign w:val="center"/>
          </w:tcPr>
          <w:p w14:paraId="4C200C4F">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监理单位</w:t>
            </w:r>
          </w:p>
        </w:tc>
        <w:tc>
          <w:tcPr>
            <w:tcW w:w="7575" w:type="dxa"/>
            <w:vAlign w:val="center"/>
          </w:tcPr>
          <w:p w14:paraId="26628F37">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□已确定监理单位</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☑未确定监理单位</w:t>
            </w:r>
          </w:p>
        </w:tc>
      </w:tr>
      <w:tr w14:paraId="145A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5434E158">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lang w:eastAsia="zh-CN"/>
              </w:rPr>
              <w:t>1</w:t>
            </w:r>
            <w:r>
              <w:rPr>
                <w:rFonts w:hint="eastAsia" w:asciiTheme="minorEastAsia" w:hAnsiTheme="minorEastAsia" w:eastAsiaTheme="minorEastAsia" w:cstheme="minorEastAsia"/>
                <w:color w:val="auto"/>
                <w:spacing w:val="-8"/>
                <w:sz w:val="24"/>
                <w:szCs w:val="24"/>
                <w:highlight w:val="none"/>
              </w:rPr>
              <w:t>2</w:t>
            </w:r>
          </w:p>
        </w:tc>
        <w:tc>
          <w:tcPr>
            <w:tcW w:w="1860" w:type="dxa"/>
            <w:vAlign w:val="center"/>
          </w:tcPr>
          <w:p w14:paraId="25C95CA6">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建设内容和规模</w:t>
            </w:r>
          </w:p>
        </w:tc>
        <w:tc>
          <w:tcPr>
            <w:tcW w:w="7575" w:type="dxa"/>
            <w:vAlign w:val="center"/>
          </w:tcPr>
          <w:p w14:paraId="73768958">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☑建设规模：</w:t>
            </w:r>
            <w:r>
              <w:rPr>
                <w:rFonts w:hint="eastAsia" w:asciiTheme="minorEastAsia" w:hAnsiTheme="minorEastAsia" w:eastAsiaTheme="minorEastAsia" w:cstheme="minorEastAsia"/>
                <w:snapToGrid w:val="0"/>
                <w:color w:val="auto"/>
                <w:kern w:val="0"/>
                <w:sz w:val="24"/>
                <w:szCs w:val="24"/>
                <w:highlight w:val="none"/>
                <w:lang w:val="en-US" w:eastAsia="zh-CN"/>
              </w:rPr>
              <w:t>建设规模为3936.72kWp。</w:t>
            </w:r>
          </w:p>
          <w:p w14:paraId="5D2CE9FC">
            <w:pPr>
              <w:pStyle w:val="22"/>
              <w:wordWrap w:val="0"/>
              <w:adjustRightInd w:val="0"/>
              <w:snapToGrid w:val="0"/>
              <w:spacing w:line="440" w:lineRule="atLeas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w:t>
            </w:r>
            <w:r>
              <w:rPr>
                <w:rFonts w:hint="eastAsia" w:asciiTheme="minorEastAsia" w:hAnsiTheme="minorEastAsia" w:eastAsiaTheme="minorEastAsia" w:cstheme="minorEastAsia"/>
                <w:snapToGrid w:val="0"/>
                <w:color w:val="auto"/>
                <w:kern w:val="0"/>
                <w:sz w:val="24"/>
                <w:szCs w:val="24"/>
                <w:highlight w:val="none"/>
                <w:lang w:val="en-US" w:eastAsia="zh-CN"/>
              </w:rPr>
              <w:t>项目利用南郊六公里力士通站场屋顶、黄金村公交客运站车棚面积约 26818 平方米，建设分布式光伏项目。</w:t>
            </w:r>
          </w:p>
        </w:tc>
      </w:tr>
      <w:tr w14:paraId="6743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56E05903">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13</w:t>
            </w:r>
          </w:p>
        </w:tc>
        <w:tc>
          <w:tcPr>
            <w:tcW w:w="1860" w:type="dxa"/>
            <w:vAlign w:val="center"/>
          </w:tcPr>
          <w:p w14:paraId="1A043C8A">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项目总投资</w:t>
            </w:r>
          </w:p>
        </w:tc>
        <w:tc>
          <w:tcPr>
            <w:tcW w:w="7575" w:type="dxa"/>
            <w:vAlign w:val="center"/>
          </w:tcPr>
          <w:p w14:paraId="0A5C6A47">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项目总投资约1424万元，本次招标工程费约562万元。</w:t>
            </w:r>
          </w:p>
        </w:tc>
      </w:tr>
      <w:tr w14:paraId="494C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07F4074">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w:t>
            </w:r>
          </w:p>
        </w:tc>
        <w:tc>
          <w:tcPr>
            <w:tcW w:w="1860" w:type="dxa"/>
            <w:vAlign w:val="center"/>
          </w:tcPr>
          <w:p w14:paraId="1DB12477">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招标范围</w:t>
            </w:r>
          </w:p>
        </w:tc>
        <w:tc>
          <w:tcPr>
            <w:tcW w:w="7575" w:type="dxa"/>
            <w:vAlign w:val="center"/>
          </w:tcPr>
          <w:p w14:paraId="77A91537">
            <w:pPr>
              <w:pStyle w:val="22"/>
              <w:keepNext w:val="0"/>
              <w:keepLines w:val="0"/>
              <w:pageBreakBefore w:val="0"/>
              <w:widowControl w:val="0"/>
              <w:kinsoku/>
              <w:wordWrap w:val="0"/>
              <w:overflowPunct/>
              <w:topLinePunct/>
              <w:autoSpaceDE/>
              <w:autoSpaceDN/>
              <w:bidi w:val="0"/>
              <w:adjustRightInd w:val="0"/>
              <w:snapToGrid w:val="0"/>
              <w:spacing w:line="440" w:lineRule="atLeast"/>
              <w:ind w:firstLine="241" w:firstLineChars="100"/>
              <w:jc w:val="left"/>
              <w:textAlignment w:val="auto"/>
              <w:rPr>
                <w:rFonts w:hint="eastAsia"/>
                <w:snapToGrid w:val="0"/>
                <w:color w:val="auto"/>
                <w:kern w:val="0"/>
                <w:sz w:val="24"/>
                <w:highlight w:val="none"/>
              </w:rPr>
            </w:pPr>
            <w:r>
              <w:rPr>
                <w:rFonts w:hint="eastAsia"/>
                <w:b/>
                <w:bCs/>
                <w:snapToGrid w:val="0"/>
                <w:color w:val="auto"/>
                <w:kern w:val="0"/>
                <w:sz w:val="24"/>
                <w:highlight w:val="none"/>
              </w:rPr>
              <w:t>工程</w:t>
            </w:r>
            <w:r>
              <w:rPr>
                <w:rFonts w:hint="eastAsia"/>
                <w:b/>
                <w:bCs/>
                <w:snapToGrid w:val="0"/>
                <w:color w:val="auto"/>
                <w:kern w:val="0"/>
                <w:sz w:val="24"/>
                <w:highlight w:val="none"/>
                <w:lang w:val="en-US" w:eastAsia="zh-CN"/>
              </w:rPr>
              <w:t>建设</w:t>
            </w:r>
            <w:r>
              <w:rPr>
                <w:rFonts w:hint="eastAsia"/>
                <w:b/>
                <w:bCs/>
                <w:snapToGrid w:val="0"/>
                <w:color w:val="auto"/>
                <w:kern w:val="0"/>
                <w:sz w:val="24"/>
                <w:highlight w:val="none"/>
              </w:rPr>
              <w:t>：</w:t>
            </w:r>
            <w:r>
              <w:rPr>
                <w:rFonts w:hint="eastAsia"/>
                <w:snapToGrid w:val="0"/>
                <w:color w:val="auto"/>
                <w:kern w:val="0"/>
                <w:sz w:val="24"/>
                <w:highlight w:val="none"/>
              </w:rPr>
              <w:t>包括</w:t>
            </w:r>
            <w:r>
              <w:rPr>
                <w:rFonts w:hint="eastAsia"/>
                <w:snapToGrid w:val="0"/>
                <w:color w:val="auto"/>
                <w:kern w:val="0"/>
                <w:sz w:val="24"/>
                <w:highlight w:val="none"/>
                <w:lang w:val="en-US" w:eastAsia="zh-CN"/>
              </w:rPr>
              <w:t>但</w:t>
            </w:r>
            <w:r>
              <w:rPr>
                <w:rFonts w:hint="eastAsia"/>
                <w:snapToGrid w:val="0"/>
                <w:color w:val="auto"/>
                <w:kern w:val="0"/>
                <w:sz w:val="24"/>
                <w:highlight w:val="none"/>
              </w:rPr>
              <w:t>不限于现场施工、设备安装（包括并网柜、汇流箱、</w:t>
            </w:r>
            <w:r>
              <w:rPr>
                <w:rFonts w:hint="eastAsia" w:ascii="Times New Roman" w:hAnsi="Times New Roman" w:cs="Times New Roman"/>
                <w:snapToGrid w:val="0"/>
                <w:color w:val="auto"/>
                <w:kern w:val="0"/>
                <w:sz w:val="24"/>
                <w:highlight w:val="none"/>
                <w:lang w:val="en-US" w:eastAsia="zh-CN"/>
              </w:rPr>
              <w:t>计量柜、光伏组件、逆变器</w:t>
            </w:r>
            <w:r>
              <w:rPr>
                <w:rFonts w:hint="eastAsia" w:cs="Times New Roman"/>
                <w:snapToGrid w:val="0"/>
                <w:color w:val="auto"/>
                <w:kern w:val="0"/>
                <w:sz w:val="24"/>
                <w:highlight w:val="none"/>
                <w:lang w:val="en-US" w:eastAsia="zh-CN"/>
              </w:rPr>
              <w:t>、电缆</w:t>
            </w:r>
            <w:r>
              <w:rPr>
                <w:rFonts w:hint="eastAsia" w:ascii="Times New Roman" w:hAnsi="Times New Roman" w:cs="Times New Roman"/>
                <w:snapToGrid w:val="0"/>
                <w:color w:val="auto"/>
                <w:kern w:val="0"/>
                <w:sz w:val="24"/>
                <w:highlight w:val="none"/>
                <w:lang w:val="en-US" w:eastAsia="zh-CN"/>
              </w:rPr>
              <w:t>等与本工程相关的所有配电设备安装，主要材料甲供）、管理、试验及相关鉴定测试、系统调试、试运营、竣工验收、完成并网发电要求，质量缺陷责任期内的技术服务与缺陷修复、投入使用、保修期的保修工作等全部工程实施内容。</w:t>
            </w:r>
          </w:p>
          <w:p w14:paraId="3878A22D">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b/>
                <w:bCs/>
                <w:snapToGrid w:val="0"/>
                <w:color w:val="auto"/>
                <w:kern w:val="0"/>
                <w:sz w:val="24"/>
                <w:highlight w:val="none"/>
              </w:rPr>
              <w:t>其他：</w:t>
            </w:r>
            <w:r>
              <w:rPr>
                <w:rFonts w:hint="eastAsia"/>
                <w:snapToGrid w:val="0"/>
                <w:color w:val="auto"/>
                <w:kern w:val="0"/>
                <w:sz w:val="24"/>
                <w:highlight w:val="none"/>
              </w:rPr>
              <w:t>项目备案至并网发电后整体交付使用和相关验收手续办理工作，期间一切手续办理及协调工作。</w:t>
            </w:r>
          </w:p>
        </w:tc>
      </w:tr>
      <w:tr w14:paraId="175A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9" w:type="dxa"/>
            <w:vAlign w:val="center"/>
          </w:tcPr>
          <w:p w14:paraId="7A3C2477">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15</w:t>
            </w:r>
          </w:p>
        </w:tc>
        <w:tc>
          <w:tcPr>
            <w:tcW w:w="1860" w:type="dxa"/>
            <w:vAlign w:val="center"/>
          </w:tcPr>
          <w:p w14:paraId="2A9BF732">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标段划分</w:t>
            </w:r>
          </w:p>
        </w:tc>
        <w:tc>
          <w:tcPr>
            <w:tcW w:w="7575" w:type="dxa"/>
            <w:vAlign w:val="center"/>
          </w:tcPr>
          <w:p w14:paraId="057BDE34">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本招标项目不划分标段。 </w:t>
            </w:r>
          </w:p>
        </w:tc>
      </w:tr>
      <w:tr w14:paraId="63D5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6E91D00B">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rPr>
              <w:t>16</w:t>
            </w:r>
          </w:p>
        </w:tc>
        <w:tc>
          <w:tcPr>
            <w:tcW w:w="1860" w:type="dxa"/>
            <w:vAlign w:val="center"/>
          </w:tcPr>
          <w:p w14:paraId="1EC46E91">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工期</w:t>
            </w:r>
          </w:p>
        </w:tc>
        <w:tc>
          <w:tcPr>
            <w:tcW w:w="7575" w:type="dxa"/>
            <w:vAlign w:val="top"/>
          </w:tcPr>
          <w:p w14:paraId="4FAA2EA9">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本招标项目招标工期为</w:t>
            </w:r>
            <w:r>
              <w:rPr>
                <w:rFonts w:hint="eastAsia" w:asciiTheme="minorEastAsia" w:hAnsiTheme="minorEastAsia" w:eastAsiaTheme="minorEastAsia" w:cstheme="minorEastAsia"/>
                <w:snapToGrid w:val="0"/>
                <w:color w:val="auto"/>
                <w:kern w:val="0"/>
                <w:sz w:val="24"/>
                <w:szCs w:val="24"/>
                <w:highlight w:val="none"/>
                <w:lang w:val="en-US" w:eastAsia="zh-CN"/>
              </w:rPr>
              <w:t>180个日历天</w:t>
            </w:r>
            <w:r>
              <w:rPr>
                <w:rFonts w:hint="eastAsia" w:asciiTheme="minorEastAsia" w:hAnsiTheme="minorEastAsia" w:eastAsiaTheme="minorEastAsia" w:cstheme="minorEastAsia"/>
                <w:snapToGrid w:val="0"/>
                <w:color w:val="auto"/>
                <w:kern w:val="0"/>
                <w:sz w:val="24"/>
                <w:szCs w:val="24"/>
                <w:highlight w:val="none"/>
                <w:lang w:eastAsia="zh-CN"/>
              </w:rPr>
              <w:t>。具体如下：</w:t>
            </w:r>
          </w:p>
          <w:p w14:paraId="63F3C798">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☑总工期：</w:t>
            </w:r>
            <w:r>
              <w:rPr>
                <w:rFonts w:hint="eastAsia" w:asciiTheme="minorEastAsia" w:hAnsiTheme="minorEastAsia" w:eastAsiaTheme="minorEastAsia" w:cstheme="minorEastAsia"/>
                <w:snapToGrid w:val="0"/>
                <w:color w:val="auto"/>
                <w:kern w:val="0"/>
                <w:sz w:val="24"/>
                <w:szCs w:val="24"/>
                <w:highlight w:val="none"/>
                <w:lang w:val="en-US" w:eastAsia="zh-CN"/>
              </w:rPr>
              <w:t>180</w:t>
            </w:r>
            <w:r>
              <w:rPr>
                <w:rFonts w:hint="eastAsia" w:asciiTheme="minorEastAsia" w:hAnsiTheme="minorEastAsia" w:eastAsiaTheme="minorEastAsia" w:cstheme="minorEastAsia"/>
                <w:snapToGrid w:val="0"/>
                <w:color w:val="auto"/>
                <w:kern w:val="0"/>
                <w:sz w:val="24"/>
                <w:szCs w:val="24"/>
                <w:highlight w:val="none"/>
                <w:lang w:eastAsia="zh-CN"/>
              </w:rPr>
              <w:t>天 （日历天）。</w:t>
            </w:r>
          </w:p>
          <w:p w14:paraId="7D497AE3">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□计划开工日期：</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年</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月</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日（具体开工日期以合同为准）</w:t>
            </w:r>
          </w:p>
          <w:p w14:paraId="379EFFF3">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□计划竣工日期：</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年</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月</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日</w:t>
            </w:r>
          </w:p>
          <w:p w14:paraId="2F46124F">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□除上述总工期外，发包人还要求以下阶段工期：        </w:t>
            </w:r>
          </w:p>
        </w:tc>
      </w:tr>
      <w:tr w14:paraId="654C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20CAF319">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w:t>
            </w:r>
          </w:p>
        </w:tc>
        <w:tc>
          <w:tcPr>
            <w:tcW w:w="1860" w:type="dxa"/>
            <w:vAlign w:val="center"/>
          </w:tcPr>
          <w:p w14:paraId="56C40A0F">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质量</w:t>
            </w:r>
            <w:r>
              <w:rPr>
                <w:rFonts w:hint="eastAsia" w:asciiTheme="minorEastAsia" w:hAnsiTheme="minorEastAsia" w:eastAsiaTheme="minorEastAsia" w:cstheme="minorEastAsia"/>
                <w:snapToGrid w:val="0"/>
                <w:color w:val="auto"/>
                <w:kern w:val="0"/>
                <w:sz w:val="24"/>
                <w:szCs w:val="24"/>
                <w:highlight w:val="none"/>
                <w:lang w:val="en-US" w:eastAsia="zh-CN"/>
              </w:rPr>
              <w:t>标准及目标</w:t>
            </w:r>
          </w:p>
        </w:tc>
        <w:tc>
          <w:tcPr>
            <w:tcW w:w="7575" w:type="dxa"/>
            <w:vAlign w:val="center"/>
          </w:tcPr>
          <w:p w14:paraId="71A98CCA">
            <w:pPr>
              <w:keepNext w:val="0"/>
              <w:keepLines w:val="0"/>
              <w:pageBreakBefore w:val="0"/>
              <w:widowControl w:val="0"/>
              <w:kinsoku/>
              <w:wordWrap w:val="0"/>
              <w:overflowPunct/>
              <w:topLinePunct/>
              <w:autoSpaceDE/>
              <w:autoSpaceDN/>
              <w:bidi w:val="0"/>
              <w:adjustRightInd w:val="0"/>
              <w:snapToGrid w:val="0"/>
              <w:spacing w:before="116" w:line="220" w:lineRule="auto"/>
              <w:ind w:right="84" w:rightChars="40" w:firstLine="23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w:t>
            </w:r>
            <w:r>
              <w:rPr>
                <w:rFonts w:hint="eastAsia" w:asciiTheme="minorEastAsia" w:hAnsiTheme="minorEastAsia" w:eastAsiaTheme="minorEastAsia" w:cstheme="minorEastAsia"/>
                <w:color w:val="auto"/>
                <w:spacing w:val="-5"/>
                <w:sz w:val="24"/>
                <w:szCs w:val="24"/>
                <w:highlight w:val="none"/>
              </w:rPr>
              <w:t>质量目标：</w:t>
            </w:r>
            <w:r>
              <w:rPr>
                <w:rFonts w:hint="eastAsia" w:asciiTheme="minorEastAsia" w:hAnsiTheme="minorEastAsia" w:eastAsiaTheme="minorEastAsia" w:cstheme="minorEastAsia"/>
                <w:color w:val="auto"/>
                <w:spacing w:val="-4"/>
                <w:sz w:val="24"/>
                <w:szCs w:val="24"/>
                <w:highlight w:val="none"/>
                <w:u w:val="single"/>
              </w:rPr>
              <w:t>合格</w:t>
            </w:r>
            <w:r>
              <w:rPr>
                <w:rFonts w:hint="eastAsia" w:asciiTheme="minorEastAsia" w:hAnsiTheme="minorEastAsia" w:eastAsiaTheme="minorEastAsia" w:cstheme="minorEastAsia"/>
                <w:color w:val="auto"/>
                <w:spacing w:val="-4"/>
                <w:sz w:val="24"/>
                <w:szCs w:val="24"/>
                <w:highlight w:val="none"/>
                <w:u w:val="single"/>
                <w:lang w:eastAsia="zh-CN"/>
              </w:rPr>
              <w:t>。</w:t>
            </w:r>
          </w:p>
          <w:p w14:paraId="22C048CA">
            <w:pPr>
              <w:keepNext w:val="0"/>
              <w:keepLines w:val="0"/>
              <w:pageBreakBefore w:val="0"/>
              <w:widowControl w:val="0"/>
              <w:kinsoku/>
              <w:wordWrap w:val="0"/>
              <w:overflowPunct/>
              <w:topLinePunct/>
              <w:autoSpaceDE/>
              <w:autoSpaceDN/>
              <w:bidi w:val="0"/>
              <w:adjustRightInd w:val="0"/>
              <w:snapToGrid w:val="0"/>
              <w:spacing w:before="112" w:line="265" w:lineRule="auto"/>
              <w:ind w:right="84" w:rightChars="40" w:firstLine="232"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lang w:eastAsia="zh-CN"/>
              </w:rPr>
              <w:t>☑</w:t>
            </w:r>
            <w:r>
              <w:rPr>
                <w:rFonts w:hint="eastAsia" w:asciiTheme="minorEastAsia" w:hAnsiTheme="minorEastAsia" w:eastAsiaTheme="minorEastAsia" w:cstheme="minorEastAsia"/>
                <w:color w:val="auto"/>
                <w:spacing w:val="-4"/>
                <w:sz w:val="24"/>
                <w:szCs w:val="24"/>
                <w:highlight w:val="none"/>
              </w:rPr>
              <w:t>质量标准：</w:t>
            </w:r>
            <w:r>
              <w:rPr>
                <w:rFonts w:hint="eastAsia" w:asciiTheme="minorEastAsia" w:hAnsiTheme="minorEastAsia" w:eastAsiaTheme="minorEastAsia" w:cstheme="minorEastAsia"/>
                <w:color w:val="auto"/>
                <w:spacing w:val="-4"/>
                <w:sz w:val="24"/>
                <w:szCs w:val="24"/>
                <w:highlight w:val="none"/>
                <w:u w:val="single"/>
              </w:rPr>
              <w:t>符合现行国家有关工程施工质量验收规范和标准的要求</w:t>
            </w:r>
            <w:r>
              <w:rPr>
                <w:rFonts w:hint="eastAsia" w:asciiTheme="minorEastAsia" w:hAnsiTheme="minorEastAsia" w:eastAsiaTheme="minorEastAsia" w:cstheme="minorEastAsia"/>
                <w:color w:val="auto"/>
                <w:spacing w:val="-4"/>
                <w:sz w:val="24"/>
                <w:szCs w:val="24"/>
                <w:highlight w:val="none"/>
                <w:u w:val="single"/>
                <w:lang w:eastAsia="zh-CN"/>
              </w:rPr>
              <w:t>，满足并网发电要求</w:t>
            </w:r>
            <w:r>
              <w:rPr>
                <w:rFonts w:hint="eastAsia" w:asciiTheme="minorEastAsia" w:hAnsiTheme="minorEastAsia" w:eastAsiaTheme="minorEastAsia" w:cstheme="minorEastAsia"/>
                <w:color w:val="auto"/>
                <w:spacing w:val="-4"/>
                <w:sz w:val="24"/>
                <w:szCs w:val="24"/>
                <w:highlight w:val="none"/>
              </w:rPr>
              <w:t>。</w:t>
            </w:r>
          </w:p>
          <w:p w14:paraId="2FC56161">
            <w:pPr>
              <w:keepNext w:val="0"/>
              <w:keepLines w:val="0"/>
              <w:pageBreakBefore w:val="0"/>
              <w:widowControl w:val="0"/>
              <w:kinsoku/>
              <w:wordWrap w:val="0"/>
              <w:overflowPunct/>
              <w:topLinePunct/>
              <w:autoSpaceDE/>
              <w:autoSpaceDN/>
              <w:bidi w:val="0"/>
              <w:adjustRightInd w:val="0"/>
              <w:snapToGrid w:val="0"/>
              <w:spacing w:before="75" w:line="277" w:lineRule="auto"/>
              <w:ind w:right="84" w:rightChars="40" w:firstLine="238"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rPr>
              <w:t>优质工程要求：</w:t>
            </w:r>
            <w:r>
              <w:rPr>
                <w:rFonts w:hint="eastAsia" w:asciiTheme="minorEastAsia" w:hAnsiTheme="minorEastAsia" w:eastAsiaTheme="minorEastAsia" w:cstheme="minorEastAsia"/>
                <w:color w:val="auto"/>
                <w:spacing w:val="-1"/>
                <w:sz w:val="24"/>
                <w:szCs w:val="24"/>
                <w:highlight w:val="none"/>
                <w:u w:val="single" w:color="auto"/>
              </w:rPr>
              <w:t>无/市优/省优/.....</w:t>
            </w:r>
          </w:p>
          <w:p w14:paraId="18432AFC">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24"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rPr>
              <w:t>工程优质费：</w:t>
            </w:r>
            <w:r>
              <w:rPr>
                <w:rFonts w:hint="eastAsia" w:asciiTheme="minorEastAsia" w:hAnsiTheme="minorEastAsia" w:eastAsiaTheme="minorEastAsia" w:cstheme="minorEastAsia"/>
                <w:color w:val="auto"/>
                <w:spacing w:val="-80"/>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□无</w:t>
            </w:r>
            <w:r>
              <w:rPr>
                <w:rFonts w:hint="eastAsia" w:asciiTheme="minorEastAsia" w:hAnsiTheme="minorEastAsia" w:eastAsiaTheme="minorEastAsia" w:cstheme="minorEastAsia"/>
                <w:color w:val="auto"/>
                <w:spacing w:val="6"/>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□有：</w:t>
            </w:r>
            <w:r>
              <w:rPr>
                <w:rFonts w:hint="eastAsia" w:asciiTheme="minorEastAsia" w:hAnsiTheme="minorEastAsia" w:eastAsiaTheme="minorEastAsia" w:cstheme="minorEastAsia"/>
                <w:color w:val="auto"/>
                <w:sz w:val="24"/>
                <w:szCs w:val="24"/>
                <w:highlight w:val="none"/>
                <w:u w:val="single" w:color="auto"/>
              </w:rPr>
              <w:t xml:space="preserve">          </w:t>
            </w:r>
          </w:p>
        </w:tc>
      </w:tr>
      <w:tr w14:paraId="2992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Merge w:val="restart"/>
            <w:vAlign w:val="center"/>
          </w:tcPr>
          <w:p w14:paraId="0B67915B">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18</w:t>
            </w:r>
          </w:p>
        </w:tc>
        <w:tc>
          <w:tcPr>
            <w:tcW w:w="1860" w:type="dxa"/>
            <w:vMerge w:val="restart"/>
            <w:vAlign w:val="center"/>
          </w:tcPr>
          <w:p w14:paraId="5FFA918E">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合同类型</w:t>
            </w:r>
          </w:p>
        </w:tc>
        <w:tc>
          <w:tcPr>
            <w:tcW w:w="7575" w:type="dxa"/>
            <w:vAlign w:val="top"/>
          </w:tcPr>
          <w:p w14:paraId="14626225">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☑单价合同：发承包双方约定以工程量清单及其综合单价进行合同价款计算、调整和确认的建设工程施工合同。</w:t>
            </w:r>
          </w:p>
          <w:p w14:paraId="469AF309">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4F47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Merge w:val="continue"/>
            <w:vAlign w:val="center"/>
          </w:tcPr>
          <w:p w14:paraId="1E3C3C26">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pacing w:val="-8"/>
                <w:sz w:val="24"/>
                <w:szCs w:val="24"/>
                <w:highlight w:val="none"/>
              </w:rPr>
            </w:pPr>
          </w:p>
        </w:tc>
        <w:tc>
          <w:tcPr>
            <w:tcW w:w="1860" w:type="dxa"/>
            <w:vMerge w:val="continue"/>
            <w:vAlign w:val="center"/>
          </w:tcPr>
          <w:p w14:paraId="36D9D779">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575" w:type="dxa"/>
            <w:vAlign w:val="top"/>
          </w:tcPr>
          <w:p w14:paraId="4255AB33">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 xml:space="preserve">□总价合同：发承包双方约定以施工图及其预算和有关条件进行合同价款计算、调整和确认的建设工程施工合同。 </w:t>
            </w:r>
          </w:p>
          <w:p w14:paraId="531678FA">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70A8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 w:hRule="atLeast"/>
        </w:trPr>
        <w:tc>
          <w:tcPr>
            <w:tcW w:w="619" w:type="dxa"/>
            <w:vAlign w:val="center"/>
          </w:tcPr>
          <w:p w14:paraId="4E3BEE21">
            <w:pPr>
              <w:keepNext w:val="0"/>
              <w:keepLines w:val="0"/>
              <w:pageBreakBefore w:val="0"/>
              <w:widowControl w:val="0"/>
              <w:kinsoku/>
              <w:wordWrap w:val="0"/>
              <w:overflowPunct/>
              <w:topLinePunct/>
              <w:autoSpaceDE/>
              <w:autoSpaceDN/>
              <w:bidi w:val="0"/>
              <w:adjustRightInd w:val="0"/>
              <w:snapToGrid w:val="0"/>
              <w:spacing w:before="19"/>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p>
        </w:tc>
        <w:tc>
          <w:tcPr>
            <w:tcW w:w="1860" w:type="dxa"/>
            <w:vAlign w:val="center"/>
          </w:tcPr>
          <w:p w14:paraId="1E78DBA5">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房屋建筑工程绿色建筑标准</w:t>
            </w:r>
          </w:p>
        </w:tc>
        <w:tc>
          <w:tcPr>
            <w:tcW w:w="7575" w:type="dxa"/>
            <w:vAlign w:val="center"/>
          </w:tcPr>
          <w:p w14:paraId="284DC9CD">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不 </w:t>
            </w:r>
            <w:r>
              <w:rPr>
                <w:rFonts w:hint="eastAsia" w:asciiTheme="minorEastAsia" w:hAnsiTheme="minorEastAsia" w:eastAsiaTheme="minorEastAsia" w:cstheme="minorEastAsia"/>
                <w:snapToGrid w:val="0"/>
                <w:color w:val="auto"/>
                <w:kern w:val="0"/>
                <w:sz w:val="24"/>
                <w:szCs w:val="24"/>
                <w:highlight w:val="none"/>
                <w:lang w:eastAsia="zh-CN"/>
              </w:rPr>
              <w:t>纳入绿色建设实施范围。</w:t>
            </w:r>
          </w:p>
        </w:tc>
      </w:tr>
      <w:tr w14:paraId="652F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9" w:type="dxa"/>
            <w:vAlign w:val="center"/>
          </w:tcPr>
          <w:p w14:paraId="0442E93E">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19.1</w:t>
            </w:r>
          </w:p>
        </w:tc>
        <w:tc>
          <w:tcPr>
            <w:tcW w:w="1860" w:type="dxa"/>
            <w:vAlign w:val="center"/>
          </w:tcPr>
          <w:p w14:paraId="7F6F2F5E">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装配式建筑标准</w:t>
            </w:r>
          </w:p>
        </w:tc>
        <w:tc>
          <w:tcPr>
            <w:tcW w:w="7575" w:type="dxa"/>
            <w:vAlign w:val="center"/>
          </w:tcPr>
          <w:p w14:paraId="6795E945">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不 </w:t>
            </w:r>
            <w:r>
              <w:rPr>
                <w:rFonts w:hint="eastAsia" w:asciiTheme="minorEastAsia" w:hAnsiTheme="minorEastAsia" w:eastAsiaTheme="minorEastAsia" w:cstheme="minorEastAsia"/>
                <w:snapToGrid w:val="0"/>
                <w:color w:val="auto"/>
                <w:kern w:val="0"/>
                <w:sz w:val="24"/>
                <w:szCs w:val="24"/>
                <w:highlight w:val="none"/>
                <w:lang w:eastAsia="zh-CN"/>
              </w:rPr>
              <w:t>纳入装配式建造建设实施范围。</w:t>
            </w:r>
          </w:p>
        </w:tc>
      </w:tr>
      <w:tr w14:paraId="51A2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274EEA7">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20</w:t>
            </w:r>
          </w:p>
        </w:tc>
        <w:tc>
          <w:tcPr>
            <w:tcW w:w="1860" w:type="dxa"/>
            <w:vAlign w:val="center"/>
          </w:tcPr>
          <w:p w14:paraId="53169357">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w:t>
            </w:r>
          </w:p>
        </w:tc>
        <w:tc>
          <w:tcPr>
            <w:tcW w:w="7575" w:type="dxa"/>
            <w:vAlign w:val="center"/>
          </w:tcPr>
          <w:p w14:paraId="7E691403">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 □无     ☑有：具体详见甲供主材设备清单。</w:t>
            </w:r>
          </w:p>
        </w:tc>
      </w:tr>
      <w:tr w14:paraId="3B1D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8D7EE7C">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21</w:t>
            </w:r>
          </w:p>
        </w:tc>
        <w:tc>
          <w:tcPr>
            <w:tcW w:w="1860" w:type="dxa"/>
            <w:vAlign w:val="center"/>
          </w:tcPr>
          <w:p w14:paraId="4802D78C">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承包人提供材料和工程设备</w:t>
            </w:r>
          </w:p>
        </w:tc>
        <w:tc>
          <w:tcPr>
            <w:tcW w:w="7575" w:type="dxa"/>
            <w:vAlign w:val="top"/>
          </w:tcPr>
          <w:p w14:paraId="6E1AC7A6">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已具有合格证明的材料、工程设备，但经检测证明该项材料、工程设备符合合同约定的质量标准的，发包人应承担由此增加的费用和（或）工期延误，并向承包人支付合理利润。</w:t>
            </w:r>
          </w:p>
          <w:p w14:paraId="061A7FEA">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□其他说明：鼓励承包人积极采购环保产品进行施工。</w:t>
            </w:r>
          </w:p>
        </w:tc>
      </w:tr>
      <w:tr w14:paraId="6F61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18D9BBAD">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22</w:t>
            </w:r>
          </w:p>
        </w:tc>
        <w:tc>
          <w:tcPr>
            <w:tcW w:w="1860" w:type="dxa"/>
            <w:vAlign w:val="center"/>
          </w:tcPr>
          <w:p w14:paraId="7DAC15F9">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最高投标限价</w:t>
            </w:r>
          </w:p>
        </w:tc>
        <w:tc>
          <w:tcPr>
            <w:tcW w:w="7575" w:type="dxa"/>
            <w:vAlign w:val="center"/>
          </w:tcPr>
          <w:p w14:paraId="1EBE076C">
            <w:pPr>
              <w:pStyle w:val="2"/>
              <w:rPr>
                <w:rFonts w:hint="eastAsia"/>
                <w:color w:val="auto"/>
                <w:highlight w:val="none"/>
                <w:lang w:eastAsia="zh-CN"/>
              </w:rPr>
            </w:pP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sz w:val="24"/>
                <w:szCs w:val="24"/>
                <w:highlight w:val="none"/>
                <w:lang w:val="en-US" w:eastAsia="zh-CN"/>
              </w:rPr>
              <w:t>最高投标限价为</w:t>
            </w:r>
            <w:r>
              <w:rPr>
                <w:rFonts w:hint="eastAsia" w:asciiTheme="minorEastAsia" w:hAnsiTheme="minorEastAsia" w:eastAsiaTheme="minorEastAsia" w:cstheme="minorEastAsia"/>
                <w:color w:val="auto"/>
                <w:sz w:val="24"/>
                <w:szCs w:val="24"/>
                <w:highlight w:val="none"/>
                <w:lang w:eastAsia="zh-CN"/>
              </w:rPr>
              <w:t>人民币（大写）：</w:t>
            </w:r>
            <w:r>
              <w:rPr>
                <w:rFonts w:hint="eastAsia" w:asciiTheme="minorEastAsia" w:hAnsiTheme="minorEastAsia" w:eastAsiaTheme="minorEastAsia" w:cstheme="minorEastAsia"/>
                <w:color w:val="auto"/>
                <w:sz w:val="24"/>
                <w:szCs w:val="24"/>
                <w:highlight w:val="none"/>
                <w:u w:val="single"/>
                <w:lang w:val="en-US" w:eastAsia="zh-CN"/>
              </w:rPr>
              <w:t>伍佰贰拾伍万贰仟柒佰伍拾伍元壹角肆分</w:t>
            </w:r>
            <w:r>
              <w:rPr>
                <w:rFonts w:hint="eastAsia" w:asciiTheme="minorEastAsia" w:hAnsiTheme="minorEastAsia" w:eastAsiaTheme="minorEastAsia" w:cstheme="minorEastAsia"/>
                <w:color w:val="auto"/>
                <w:sz w:val="24"/>
                <w:szCs w:val="24"/>
                <w:highlight w:val="none"/>
                <w:u w:val="single"/>
                <w:lang w:eastAsia="zh-CN"/>
              </w:rPr>
              <w:t>（￥</w:t>
            </w:r>
            <w:r>
              <w:rPr>
                <w:rFonts w:hint="eastAsia" w:asciiTheme="minorEastAsia" w:hAnsiTheme="minorEastAsia" w:eastAsiaTheme="minorEastAsia" w:cstheme="minorEastAsia"/>
                <w:color w:val="auto"/>
                <w:sz w:val="24"/>
                <w:szCs w:val="24"/>
                <w:highlight w:val="none"/>
                <w:u w:val="single"/>
                <w:lang w:val="en-US" w:eastAsia="zh-CN"/>
              </w:rPr>
              <w:t>5252755.14</w:t>
            </w:r>
            <w:r>
              <w:rPr>
                <w:rFonts w:hint="eastAsia" w:asciiTheme="minorEastAsia" w:hAnsiTheme="minorEastAsia" w:eastAsiaTheme="minorEastAsia" w:cstheme="minorEastAsia"/>
                <w:color w:val="auto"/>
                <w:sz w:val="24"/>
                <w:szCs w:val="24"/>
                <w:highlight w:val="none"/>
                <w:u w:val="single"/>
                <w:lang w:eastAsia="zh-CN"/>
              </w:rPr>
              <w:t>元）</w:t>
            </w:r>
            <w:r>
              <w:rPr>
                <w:rFonts w:hint="eastAsia" w:asciiTheme="minorEastAsia" w:hAnsiTheme="minorEastAsia" w:eastAsiaTheme="minorEastAsia" w:cstheme="minorEastAsia"/>
                <w:color w:val="auto"/>
                <w:sz w:val="24"/>
                <w:szCs w:val="24"/>
                <w:highlight w:val="none"/>
                <w:lang w:eastAsia="zh-CN"/>
              </w:rPr>
              <w:t>，其中：安全生产措施费为</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u w:val="single"/>
                <w:lang w:val="en-US" w:eastAsia="zh-CN"/>
              </w:rPr>
              <w:t>195196.79</w:t>
            </w:r>
            <w:r>
              <w:rPr>
                <w:rFonts w:hint="eastAsia" w:asciiTheme="minorEastAsia" w:hAnsiTheme="minorEastAsia" w:eastAsiaTheme="minorEastAsia" w:cstheme="minorEastAsia"/>
                <w:color w:val="auto"/>
                <w:sz w:val="24"/>
                <w:szCs w:val="24"/>
                <w:highlight w:val="none"/>
                <w:lang w:eastAsia="zh-CN"/>
              </w:rPr>
              <w:t>元</w:t>
            </w:r>
            <w:r>
              <w:rPr>
                <w:rFonts w:hint="eastAsia" w:asciiTheme="minorEastAsia" w:hAnsiTheme="minorEastAsia" w:eastAsiaTheme="minorEastAsia" w:cstheme="minorEastAsia"/>
                <w:color w:val="auto"/>
                <w:sz w:val="24"/>
                <w:szCs w:val="24"/>
                <w:highlight w:val="none"/>
                <w:lang w:val="en-US" w:eastAsia="zh-CN"/>
              </w:rPr>
              <w:t>，暂列金为￥</w:t>
            </w:r>
            <w:r>
              <w:rPr>
                <w:rFonts w:hint="eastAsia" w:asciiTheme="minorEastAsia" w:hAnsiTheme="minorEastAsia" w:eastAsiaTheme="minorEastAsia" w:cstheme="minorEastAsia"/>
                <w:color w:val="auto"/>
                <w:sz w:val="24"/>
                <w:szCs w:val="24"/>
                <w:highlight w:val="none"/>
                <w:u w:val="single"/>
                <w:lang w:val="en-US" w:eastAsia="zh-CN"/>
              </w:rPr>
              <w:t>395006.25</w:t>
            </w:r>
            <w:r>
              <w:rPr>
                <w:rFonts w:hint="eastAsia" w:asciiTheme="minorEastAsia" w:hAnsiTheme="minorEastAsia" w:eastAsiaTheme="minorEastAsia" w:cstheme="minorEastAsia"/>
                <w:color w:val="auto"/>
                <w:sz w:val="24"/>
                <w:szCs w:val="24"/>
                <w:highlight w:val="none"/>
                <w:lang w:val="en-US" w:eastAsia="zh-CN"/>
              </w:rPr>
              <w:t>元，专业工程暂估价为￥</w:t>
            </w:r>
            <w:r>
              <w:rPr>
                <w:rFonts w:hint="eastAsia" w:asciiTheme="minorEastAsia" w:hAnsiTheme="minorEastAsia" w:eastAsiaTheme="minorEastAsia" w:cstheme="minorEastAsia"/>
                <w:color w:val="auto"/>
                <w:sz w:val="24"/>
                <w:szCs w:val="24"/>
                <w:highlight w:val="none"/>
                <w:u w:val="single"/>
                <w:lang w:val="en-US" w:eastAsia="zh-CN"/>
              </w:rPr>
              <w:t>10000.00</w:t>
            </w:r>
            <w:r>
              <w:rPr>
                <w:rFonts w:hint="eastAsia" w:asciiTheme="minorEastAsia" w:hAnsiTheme="minorEastAsia" w:eastAsiaTheme="minorEastAsia" w:cstheme="minorEastAsia"/>
                <w:color w:val="auto"/>
                <w:sz w:val="24"/>
                <w:szCs w:val="24"/>
                <w:highlight w:val="none"/>
                <w:lang w:val="en-US" w:eastAsia="zh-CN"/>
              </w:rPr>
              <w:t>元</w:t>
            </w:r>
            <w:r>
              <w:rPr>
                <w:rFonts w:hint="eastAsia" w:asciiTheme="minorEastAsia" w:hAnsiTheme="minorEastAsia" w:eastAsiaTheme="minorEastAsia" w:cstheme="minorEastAsia"/>
                <w:color w:val="auto"/>
                <w:sz w:val="24"/>
                <w:szCs w:val="24"/>
                <w:highlight w:val="none"/>
              </w:rPr>
              <w:t>。</w:t>
            </w:r>
          </w:p>
        </w:tc>
      </w:tr>
      <w:tr w14:paraId="1C5F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A6EAFBD">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23</w:t>
            </w:r>
          </w:p>
        </w:tc>
        <w:tc>
          <w:tcPr>
            <w:tcW w:w="1860" w:type="dxa"/>
            <w:vAlign w:val="center"/>
          </w:tcPr>
          <w:p w14:paraId="199CA41D">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投标人的投标</w:t>
            </w:r>
          </w:p>
          <w:p w14:paraId="5DF0F1D2">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报价</w:t>
            </w:r>
          </w:p>
        </w:tc>
        <w:tc>
          <w:tcPr>
            <w:tcW w:w="7575" w:type="dxa"/>
            <w:vAlign w:val="center"/>
          </w:tcPr>
          <w:p w14:paraId="712E210E">
            <w:pPr>
              <w:keepNext w:val="0"/>
              <w:keepLines w:val="0"/>
              <w:pageBreakBefore w:val="0"/>
              <w:widowControl w:val="0"/>
              <w:kinsoku/>
              <w:wordWrap w:val="0"/>
              <w:overflowPunct/>
              <w:topLinePunct/>
              <w:autoSpaceDE/>
              <w:autoSpaceDN/>
              <w:bidi w:val="0"/>
              <w:adjustRightInd w:val="0"/>
              <w:snapToGrid w:val="0"/>
              <w:spacing w:before="118" w:line="308" w:lineRule="auto"/>
              <w:ind w:right="84" w:rightChars="40" w:firstLine="238" w:firstLineChars="1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投标人投标时响应招标文件要求所报出的对已标价工程量清单</w:t>
            </w:r>
            <w:r>
              <w:rPr>
                <w:rFonts w:hint="eastAsia" w:asciiTheme="minorEastAsia" w:hAnsiTheme="minorEastAsia" w:eastAsiaTheme="minorEastAsia" w:cstheme="minorEastAsia"/>
                <w:color w:val="auto"/>
                <w:sz w:val="24"/>
                <w:szCs w:val="24"/>
                <w:highlight w:val="none"/>
              </w:rPr>
              <w:t>汇总后标明的总价。投标人在投标报价填写</w:t>
            </w:r>
            <w:r>
              <w:rPr>
                <w:rFonts w:hint="eastAsia" w:asciiTheme="minorEastAsia" w:hAnsiTheme="minorEastAsia" w:eastAsiaTheme="minorEastAsia" w:cstheme="minorEastAsia"/>
                <w:color w:val="auto"/>
                <w:spacing w:val="-1"/>
                <w:sz w:val="24"/>
                <w:szCs w:val="24"/>
                <w:highlight w:val="none"/>
              </w:rPr>
              <w:t>的工程量清单的项目编</w:t>
            </w:r>
            <w:r>
              <w:rPr>
                <w:rFonts w:hint="eastAsia" w:asciiTheme="minorEastAsia" w:hAnsiTheme="minorEastAsia" w:eastAsiaTheme="minorEastAsia" w:cstheme="minorEastAsia"/>
                <w:color w:val="auto"/>
                <w:spacing w:val="-3"/>
                <w:sz w:val="24"/>
                <w:szCs w:val="24"/>
                <w:highlight w:val="none"/>
              </w:rPr>
              <w:t>码、项目名称、项目特征、计量单位、工程数量必须与招标人招标文</w:t>
            </w:r>
            <w:r>
              <w:rPr>
                <w:rFonts w:hint="eastAsia" w:asciiTheme="minorEastAsia" w:hAnsiTheme="minorEastAsia" w:eastAsiaTheme="minorEastAsia" w:cstheme="minorEastAsia"/>
                <w:color w:val="auto"/>
                <w:sz w:val="24"/>
                <w:szCs w:val="24"/>
                <w:highlight w:val="none"/>
              </w:rPr>
              <w:t>件中提供的一致，投标价不能低于工程成本</w:t>
            </w:r>
            <w:r>
              <w:rPr>
                <w:rFonts w:hint="eastAsia" w:asciiTheme="minorEastAsia" w:hAnsiTheme="minorEastAsia" w:eastAsiaTheme="minorEastAsia" w:cstheme="minorEastAsia"/>
                <w:color w:val="auto"/>
                <w:spacing w:val="-1"/>
                <w:sz w:val="24"/>
                <w:szCs w:val="24"/>
                <w:highlight w:val="none"/>
              </w:rPr>
              <w:t>、高于最高投标限价。</w:t>
            </w:r>
          </w:p>
          <w:p w14:paraId="44704AE8">
            <w:pPr>
              <w:keepNext w:val="0"/>
              <w:keepLines w:val="0"/>
              <w:pageBreakBefore w:val="0"/>
              <w:widowControl w:val="0"/>
              <w:kinsoku/>
              <w:wordWrap w:val="0"/>
              <w:overflowPunct/>
              <w:topLinePunct/>
              <w:autoSpaceDE/>
              <w:autoSpaceDN/>
              <w:bidi w:val="0"/>
              <w:adjustRightInd w:val="0"/>
              <w:snapToGrid w:val="0"/>
              <w:spacing w:line="218" w:lineRule="auto"/>
              <w:ind w:right="84" w:rightChars="40" w:firstLine="236"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投标报价方式：</w:t>
            </w:r>
            <w:r>
              <w:rPr>
                <w:rFonts w:hint="eastAsia" w:asciiTheme="minorEastAsia" w:hAnsiTheme="minorEastAsia" w:eastAsiaTheme="minorEastAsia" w:cstheme="minorEastAsia"/>
                <w:color w:val="auto"/>
                <w:spacing w:val="-8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rPr>
              <w:t>工程量清单报价    □其</w:t>
            </w:r>
            <w:r>
              <w:rPr>
                <w:rFonts w:hint="eastAsia" w:asciiTheme="minorEastAsia" w:hAnsiTheme="minorEastAsia" w:eastAsiaTheme="minorEastAsia" w:cstheme="minorEastAsia"/>
                <w:color w:val="auto"/>
                <w:spacing w:val="-3"/>
                <w:sz w:val="24"/>
                <w:szCs w:val="24"/>
                <w:highlight w:val="none"/>
              </w:rPr>
              <w:t>他：</w:t>
            </w:r>
          </w:p>
          <w:p w14:paraId="276FCBAD">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2"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投标报价时，应按《广东省建设工程计价依据（2018）》规定的费率报价，若招标工程量清单明确说明不计算预算包干费或另外确定</w:t>
            </w:r>
            <w:r>
              <w:rPr>
                <w:rFonts w:hint="eastAsia" w:asciiTheme="minorEastAsia" w:hAnsiTheme="minorEastAsia" w:eastAsiaTheme="minorEastAsia" w:cstheme="minorEastAsia"/>
                <w:color w:val="auto"/>
                <w:spacing w:val="-1"/>
                <w:sz w:val="24"/>
                <w:szCs w:val="24"/>
                <w:highlight w:val="none"/>
              </w:rPr>
              <w:t>预算包干费费率的，则按招标工程量清单报价。</w:t>
            </w:r>
          </w:p>
        </w:tc>
      </w:tr>
      <w:tr w14:paraId="076C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521631C9">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24</w:t>
            </w:r>
          </w:p>
        </w:tc>
        <w:tc>
          <w:tcPr>
            <w:tcW w:w="1860" w:type="dxa"/>
            <w:vAlign w:val="center"/>
          </w:tcPr>
          <w:p w14:paraId="78887000">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投标报价风险</w:t>
            </w:r>
          </w:p>
        </w:tc>
        <w:tc>
          <w:tcPr>
            <w:tcW w:w="7575" w:type="dxa"/>
            <w:vAlign w:val="center"/>
          </w:tcPr>
          <w:p w14:paraId="4CDDA9BA">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☑投标人依据招标文件约定自行考虑风险因素，一旦中标，投标报价（合同价）除合同另有约定外将不因市场变化而调整。</w:t>
            </w:r>
          </w:p>
          <w:p w14:paraId="01A86498">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☑投标报价中应包括工程量清单项目所发生的人工费、材料费、机具费、管理费、利润、措施项目费、其他项目费、税金、暂列金额、暂估价以及所有风险、责任等各项费用。</w:t>
            </w:r>
          </w:p>
          <w:p w14:paraId="4417FFFF">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☑人工费、材料费、机具费、管理费、利润、措施项目费（不含安全生产措施费）投标人漏报或不报，招标人视为有关费用已包括在工程量清单项目的其他单价及合价中不予另外增加。</w:t>
            </w:r>
          </w:p>
          <w:p w14:paraId="3C0D1869">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☑措施项目中的安全生产措施费，必须按国家、省级、市级（即工程所在地）行业建设主管部门的规定计算，不得作为竞争性费用。</w:t>
            </w:r>
          </w:p>
          <w:p w14:paraId="22A871F4">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☑投标人应按照招标文件提供的工程量清单逐项填写单价和合价，投标人未填写的项目，招标人将视为此项费用已包括在工程量清单项目的其他单价及合价中不予另外增加。</w:t>
            </w:r>
          </w:p>
          <w:p w14:paraId="7B072C86">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5BC7C8F8">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☑招标人向投标人提供的有关施工现场资料及数据，是招标人现有的能使投标人利用的资料，招标人对投标人据此作出的推论及理解概不负责。</w:t>
            </w:r>
          </w:p>
          <w:p w14:paraId="48F86E76">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2B392C32">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☑错漏项的认定。中标人已标价工程量清单中，任一清单项目未填报价格或价格为零的，招标人将视为此项费用已包括在工程量清单项目的其他单价及合价中不予另外增加。</w:t>
            </w:r>
          </w:p>
        </w:tc>
      </w:tr>
      <w:tr w14:paraId="25BE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9" w:type="dxa"/>
            <w:vAlign w:val="center"/>
          </w:tcPr>
          <w:p w14:paraId="633EE162">
            <w:pPr>
              <w:keepNext w:val="0"/>
              <w:keepLines w:val="0"/>
              <w:pageBreakBefore w:val="0"/>
              <w:widowControl w:val="0"/>
              <w:kinsoku/>
              <w:wordWrap w:val="0"/>
              <w:overflowPunct/>
              <w:topLinePunct/>
              <w:autoSpaceDE/>
              <w:autoSpaceDN/>
              <w:bidi w:val="0"/>
              <w:adjustRightInd w:val="0"/>
              <w:snapToGrid w:val="0"/>
              <w:spacing w:before="284"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25</w:t>
            </w:r>
          </w:p>
        </w:tc>
        <w:tc>
          <w:tcPr>
            <w:tcW w:w="1860" w:type="dxa"/>
            <w:vAlign w:val="center"/>
          </w:tcPr>
          <w:p w14:paraId="4C765A67">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投标费用</w:t>
            </w:r>
          </w:p>
        </w:tc>
        <w:tc>
          <w:tcPr>
            <w:tcW w:w="7575" w:type="dxa"/>
            <w:vAlign w:val="center"/>
          </w:tcPr>
          <w:p w14:paraId="52FC6F59">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投标人自行承担编制与递交投标文件的一切费用。</w:t>
            </w:r>
          </w:p>
        </w:tc>
      </w:tr>
      <w:tr w14:paraId="250E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9" w:type="dxa"/>
            <w:vAlign w:val="center"/>
          </w:tcPr>
          <w:p w14:paraId="6DBA3BE5">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26</w:t>
            </w:r>
          </w:p>
        </w:tc>
        <w:tc>
          <w:tcPr>
            <w:tcW w:w="1860" w:type="dxa"/>
            <w:vAlign w:val="center"/>
          </w:tcPr>
          <w:p w14:paraId="6C85A1B4">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投标人资格要求</w:t>
            </w:r>
          </w:p>
        </w:tc>
        <w:tc>
          <w:tcPr>
            <w:tcW w:w="7575" w:type="dxa"/>
            <w:vAlign w:val="center"/>
          </w:tcPr>
          <w:p w14:paraId="197BD92C">
            <w:pPr>
              <w:pStyle w:val="22"/>
              <w:keepNext w:val="0"/>
              <w:keepLines w:val="0"/>
              <w:pageBreakBefore w:val="0"/>
              <w:wordWrap w:val="0"/>
              <w:overflowPunct/>
              <w:bidi w:val="0"/>
              <w:adjustRightInd w:val="0"/>
              <w:snapToGrid w:val="0"/>
              <w:spacing w:line="400" w:lineRule="exact"/>
              <w:ind w:left="0" w:leftChars="0" w:firstLine="218" w:firstLineChars="91"/>
              <w:jc w:val="left"/>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sz w:val="24"/>
                <w:szCs w:val="24"/>
                <w:highlight w:val="none"/>
              </w:rPr>
              <w:t>1.本次招标</w:t>
            </w:r>
            <w:r>
              <w:rPr>
                <w:rFonts w:hint="eastAsia" w:ascii="宋体" w:hAnsi="宋体" w:cs="宋体"/>
                <w:bCs/>
                <w:snapToGrid w:val="0"/>
                <w:color w:val="auto"/>
                <w:sz w:val="24"/>
                <w:szCs w:val="24"/>
                <w:highlight w:val="none"/>
                <w:lang w:eastAsia="zh-CN"/>
              </w:rPr>
              <w:t>不</w:t>
            </w:r>
            <w:r>
              <w:rPr>
                <w:rFonts w:hint="eastAsia" w:ascii="宋体" w:hAnsi="宋体" w:eastAsia="宋体" w:cs="宋体"/>
                <w:bCs/>
                <w:snapToGrid w:val="0"/>
                <w:color w:val="auto"/>
                <w:sz w:val="24"/>
                <w:szCs w:val="24"/>
                <w:highlight w:val="none"/>
              </w:rPr>
              <w:t>接受联合体投标。</w:t>
            </w:r>
          </w:p>
          <w:p w14:paraId="054FB8DB">
            <w:pPr>
              <w:keepNext w:val="0"/>
              <w:keepLines w:val="0"/>
              <w:pageBreakBefore w:val="0"/>
              <w:wordWrap w:val="0"/>
              <w:overflowPunct/>
              <w:bidi w:val="0"/>
              <w:adjustRightInd w:val="0"/>
              <w:snapToGrid w:val="0"/>
              <w:spacing w:line="400" w:lineRule="exact"/>
              <w:ind w:left="0" w:leftChars="0" w:firstLine="218" w:firstLineChars="91"/>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2.</w:t>
            </w:r>
            <w:r>
              <w:rPr>
                <w:rFonts w:hint="eastAsia" w:ascii="宋体" w:hAnsi="宋体" w:eastAsia="宋体" w:cs="宋体"/>
                <w:snapToGrid w:val="0"/>
                <w:color w:val="auto"/>
                <w:kern w:val="0"/>
                <w:sz w:val="24"/>
                <w:szCs w:val="24"/>
                <w:highlight w:val="none"/>
              </w:rPr>
              <w:t>资质要求</w:t>
            </w:r>
          </w:p>
          <w:p w14:paraId="226A9DBF">
            <w:pPr>
              <w:keepNext w:val="0"/>
              <w:keepLines w:val="0"/>
              <w:pageBreakBefore w:val="0"/>
              <w:wordWrap w:val="0"/>
              <w:overflowPunct/>
              <w:bidi w:val="0"/>
              <w:adjustRightInd w:val="0"/>
              <w:snapToGrid w:val="0"/>
              <w:spacing w:line="400" w:lineRule="exact"/>
              <w:ind w:left="0" w:leftChars="0" w:firstLine="218" w:firstLineChars="91"/>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 投标人须具备独立法人资格，按国家法律经营。</w:t>
            </w:r>
          </w:p>
          <w:p w14:paraId="49BA8CB4">
            <w:pPr>
              <w:keepNext w:val="0"/>
              <w:keepLines w:val="0"/>
              <w:pageBreakBefore w:val="0"/>
              <w:wordWrap w:val="0"/>
              <w:overflowPunct/>
              <w:bidi w:val="0"/>
              <w:adjustRightInd w:val="0"/>
              <w:snapToGrid w:val="0"/>
              <w:spacing w:line="400" w:lineRule="exact"/>
              <w:ind w:left="0" w:leftChars="0" w:firstLine="218" w:firstLineChars="91"/>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 投标人须持有建设行政主管部门颁发的企业资质证书及安全生产许可证。</w:t>
            </w:r>
          </w:p>
          <w:p w14:paraId="3AC0A29C">
            <w:pPr>
              <w:pStyle w:val="22"/>
              <w:wordWrap w:val="0"/>
              <w:adjustRightInd w:val="0"/>
              <w:snapToGrid w:val="0"/>
              <w:spacing w:line="440" w:lineRule="exact"/>
              <w:ind w:left="216" w:leftChars="103"/>
              <w:jc w:val="left"/>
              <w:rPr>
                <w:rFonts w:hint="eastAsia"/>
                <w:bCs/>
                <w:snapToGrid w:val="0"/>
                <w:color w:val="auto"/>
                <w:kern w:val="0"/>
                <w:sz w:val="24"/>
                <w:highlight w:val="none"/>
              </w:rPr>
            </w:pPr>
            <w:r>
              <w:rPr>
                <w:rFonts w:hint="eastAsia" w:ascii="宋体" w:hAnsi="宋体" w:eastAsia="宋体" w:cs="宋体"/>
                <w:color w:val="auto"/>
                <w:sz w:val="24"/>
                <w:szCs w:val="24"/>
                <w:highlight w:val="none"/>
              </w:rPr>
              <w:t xml:space="preserve">2.3 </w:t>
            </w:r>
            <w:r>
              <w:rPr>
                <w:rFonts w:hint="eastAsia"/>
                <w:bCs/>
                <w:snapToGrid w:val="0"/>
                <w:color w:val="auto"/>
                <w:kern w:val="0"/>
                <w:sz w:val="24"/>
                <w:highlight w:val="none"/>
              </w:rPr>
              <w:t>参加投标的投标人必须</w:t>
            </w:r>
            <w:r>
              <w:rPr>
                <w:rFonts w:hint="eastAsia"/>
                <w:bCs/>
                <w:snapToGrid w:val="0"/>
                <w:color w:val="auto"/>
                <w:kern w:val="0"/>
                <w:sz w:val="24"/>
                <w:highlight w:val="none"/>
                <w:lang w:eastAsia="zh-CN"/>
              </w:rPr>
              <w:t>同时</w:t>
            </w:r>
            <w:r>
              <w:rPr>
                <w:rFonts w:hint="eastAsia"/>
                <w:bCs/>
                <w:snapToGrid w:val="0"/>
                <w:color w:val="auto"/>
                <w:kern w:val="0"/>
                <w:sz w:val="24"/>
                <w:highlight w:val="none"/>
              </w:rPr>
              <w:t>具备以下资质：</w:t>
            </w:r>
          </w:p>
          <w:p w14:paraId="0F4AE006">
            <w:pPr>
              <w:pStyle w:val="22"/>
              <w:numPr>
                <w:ilvl w:val="0"/>
                <w:numId w:val="0"/>
              </w:numPr>
              <w:wordWrap w:val="0"/>
              <w:adjustRightInd w:val="0"/>
              <w:snapToGrid w:val="0"/>
              <w:spacing w:line="440" w:lineRule="exact"/>
              <w:ind w:left="216" w:leftChars="103"/>
              <w:jc w:val="left"/>
              <w:rPr>
                <w:rFonts w:hint="eastAsia" w:eastAsia="宋体"/>
                <w:bCs/>
                <w:snapToGrid w:val="0"/>
                <w:color w:val="auto"/>
                <w:kern w:val="0"/>
                <w:sz w:val="24"/>
                <w:highlight w:val="none"/>
                <w:u w:val="none"/>
                <w:lang w:val="en-US" w:eastAsia="zh-CN"/>
              </w:rPr>
            </w:pPr>
            <w:r>
              <w:rPr>
                <w:rFonts w:hint="eastAsia"/>
                <w:bCs/>
                <w:snapToGrid w:val="0"/>
                <w:color w:val="auto"/>
                <w:kern w:val="0"/>
                <w:sz w:val="24"/>
                <w:szCs w:val="24"/>
                <w:highlight w:val="none"/>
                <w:u w:val="none"/>
                <w:lang w:val="en-US" w:eastAsia="zh-CN" w:bidi="ar-SA"/>
              </w:rPr>
              <w:t>1）</w:t>
            </w:r>
            <w:r>
              <w:rPr>
                <w:rFonts w:hint="eastAsia"/>
                <w:bCs/>
                <w:snapToGrid w:val="0"/>
                <w:color w:val="auto"/>
                <w:kern w:val="0"/>
                <w:sz w:val="24"/>
                <w:highlight w:val="none"/>
                <w:u w:val="none"/>
              </w:rPr>
              <w:t>建设行政主管部门颁发的</w:t>
            </w:r>
            <w:r>
              <w:rPr>
                <w:rFonts w:hint="eastAsia" w:hAnsi="宋体" w:cs="Tahoma"/>
                <w:color w:val="auto"/>
                <w:kern w:val="0"/>
                <w:sz w:val="24"/>
                <w:highlight w:val="none"/>
                <w:u w:val="none"/>
              </w:rPr>
              <w:t>电力工程施工总承包三级</w:t>
            </w:r>
            <w:r>
              <w:rPr>
                <w:rFonts w:hint="eastAsia"/>
                <w:bCs/>
                <w:snapToGrid w:val="0"/>
                <w:color w:val="auto"/>
                <w:kern w:val="0"/>
                <w:sz w:val="24"/>
                <w:highlight w:val="none"/>
                <w:u w:val="none"/>
              </w:rPr>
              <w:t>以上（含三级）资质</w:t>
            </w:r>
            <w:r>
              <w:rPr>
                <w:rFonts w:hint="eastAsia"/>
                <w:bCs/>
                <w:snapToGrid w:val="0"/>
                <w:color w:val="auto"/>
                <w:kern w:val="0"/>
                <w:sz w:val="24"/>
                <w:highlight w:val="none"/>
                <w:u w:val="none"/>
                <w:lang w:eastAsia="zh-CN"/>
              </w:rPr>
              <w:t>；</w:t>
            </w:r>
          </w:p>
          <w:p w14:paraId="1E1CF6A0">
            <w:pPr>
              <w:pStyle w:val="22"/>
              <w:numPr>
                <w:ilvl w:val="0"/>
                <w:numId w:val="0"/>
              </w:numPr>
              <w:wordWrap w:val="0"/>
              <w:adjustRightInd w:val="0"/>
              <w:snapToGrid w:val="0"/>
              <w:spacing w:line="440" w:lineRule="exact"/>
              <w:ind w:left="216" w:leftChars="103"/>
              <w:jc w:val="left"/>
              <w:rPr>
                <w:rFonts w:hint="eastAsia"/>
                <w:bCs/>
                <w:snapToGrid w:val="0"/>
                <w:color w:val="auto"/>
                <w:kern w:val="0"/>
                <w:sz w:val="24"/>
                <w:highlight w:val="none"/>
                <w:u w:val="none"/>
              </w:rPr>
            </w:pPr>
            <w:r>
              <w:rPr>
                <w:rFonts w:hint="eastAsia" w:ascii="宋体" w:hAnsi="宋体" w:cs="宋体"/>
                <w:color w:val="auto"/>
                <w:sz w:val="24"/>
                <w:highlight w:val="none"/>
                <w:u w:val="none"/>
                <w:lang w:val="en-US" w:eastAsia="zh-CN"/>
              </w:rPr>
              <w:t>2</w:t>
            </w:r>
            <w:r>
              <w:rPr>
                <w:rFonts w:hint="eastAsia" w:ascii="宋体" w:hAnsi="宋体" w:cs="宋体"/>
                <w:color w:val="auto"/>
                <w:sz w:val="24"/>
                <w:highlight w:val="none"/>
                <w:u w:val="none"/>
              </w:rPr>
              <w:t>）持有国家能源局颁发的《承装</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电力设施许可证》承装</w:t>
            </w:r>
            <w:r>
              <w:rPr>
                <w:rFonts w:hint="eastAsia" w:ascii="宋体" w:hAnsi="宋体" w:cs="宋体"/>
                <w:color w:val="auto"/>
                <w:sz w:val="24"/>
                <w:highlight w:val="none"/>
                <w:u w:val="none"/>
                <w:lang w:eastAsia="zh-CN"/>
              </w:rPr>
              <w:t>类五级</w:t>
            </w:r>
            <w:r>
              <w:rPr>
                <w:rFonts w:hint="eastAsia" w:ascii="宋体" w:hAnsi="宋体" w:cs="宋体"/>
                <w:color w:val="auto"/>
                <w:sz w:val="24"/>
                <w:highlight w:val="none"/>
                <w:u w:val="none"/>
              </w:rPr>
              <w:t>或以上许可，资质须在有效期内。对应于2025年7月1日起换发的电子证照，应为承装类三级或以上许可资格。 【注</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依据国家能源局关于做好承装</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电力设施许可证换领和延续工作的通知</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国能发资质</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2025</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44 号</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。如有最新政策文件的，从其规定</w:t>
            </w:r>
            <w:r>
              <w:rPr>
                <w:rFonts w:hint="eastAsia" w:ascii="宋体" w:hAnsi="宋体" w:cs="宋体"/>
                <w:color w:val="auto"/>
                <w:sz w:val="24"/>
                <w:highlight w:val="none"/>
                <w:u w:val="none"/>
                <w:lang w:eastAsia="zh-CN"/>
              </w:rPr>
              <w:t>】</w:t>
            </w:r>
            <w:r>
              <w:rPr>
                <w:rFonts w:hint="eastAsia"/>
                <w:bCs/>
                <w:snapToGrid w:val="0"/>
                <w:color w:val="auto"/>
                <w:kern w:val="0"/>
                <w:sz w:val="24"/>
                <w:highlight w:val="none"/>
                <w:u w:val="none"/>
              </w:rPr>
              <w:t>。</w:t>
            </w:r>
          </w:p>
          <w:p w14:paraId="5BA7F08B">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2.4 根据有关文件精神，投标人的企业相关证书到期的，均按该证书的发证机构相关行业主管部门最新文件执行（如自动顺延或推迟办理延期业务的通知），投标人必须将相关文件附在该证书</w:t>
            </w:r>
            <w:r>
              <w:rPr>
                <w:rFonts w:hint="eastAsia" w:ascii="宋体" w:hAnsi="宋体" w:eastAsia="宋体" w:cs="宋体"/>
                <w:snapToGrid w:val="0"/>
                <w:color w:val="auto"/>
                <w:kern w:val="0"/>
                <w:sz w:val="24"/>
                <w:szCs w:val="24"/>
                <w:highlight w:val="none"/>
                <w:lang w:eastAsia="zh-CN"/>
              </w:rPr>
              <w:t>后面</w:t>
            </w:r>
            <w:r>
              <w:rPr>
                <w:rFonts w:hint="eastAsia" w:ascii="宋体" w:hAnsi="宋体" w:eastAsia="宋体" w:cs="宋体"/>
                <w:snapToGrid w:val="0"/>
                <w:color w:val="auto"/>
                <w:kern w:val="0"/>
                <w:sz w:val="24"/>
                <w:szCs w:val="24"/>
                <w:highlight w:val="none"/>
              </w:rPr>
              <w:t>，证明在开标当日继续有效</w:t>
            </w:r>
            <w:r>
              <w:rPr>
                <w:rFonts w:hint="eastAsia" w:ascii="宋体" w:hAnsi="宋体" w:eastAsia="宋体" w:cs="宋体"/>
                <w:color w:val="auto"/>
                <w:sz w:val="24"/>
                <w:szCs w:val="24"/>
                <w:highlight w:val="none"/>
              </w:rPr>
              <w:t>。</w:t>
            </w:r>
          </w:p>
          <w:p w14:paraId="7424FCB3">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3.</w:t>
            </w:r>
            <w:r>
              <w:rPr>
                <w:rFonts w:hint="eastAsia" w:ascii="宋体" w:hAnsi="宋体" w:eastAsia="宋体" w:cs="宋体"/>
                <w:snapToGrid w:val="0"/>
                <w:color w:val="auto"/>
                <w:kern w:val="0"/>
                <w:sz w:val="24"/>
                <w:szCs w:val="24"/>
                <w:highlight w:val="none"/>
              </w:rPr>
              <w:t>相关人员要求</w:t>
            </w:r>
          </w:p>
          <w:p w14:paraId="32C1D06A">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 拟派项目经理为具有</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机电工程</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宋体" w:hAnsi="宋体" w:eastAsia="宋体" w:cs="宋体"/>
                <w:snapToGrid w:val="0"/>
                <w:color w:val="auto"/>
                <w:kern w:val="0"/>
                <w:sz w:val="24"/>
                <w:szCs w:val="24"/>
                <w:highlight w:val="none"/>
              </w:rPr>
              <w:t xml:space="preserve">。 </w:t>
            </w:r>
          </w:p>
          <w:p w14:paraId="26DBB02A">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 投标人拟派项目技术负责人须具备</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Tahoma"/>
                <w:color w:val="auto"/>
                <w:kern w:val="0"/>
                <w:sz w:val="24"/>
                <w:highlight w:val="none"/>
                <w:u w:val="single"/>
              </w:rPr>
              <w:t>电力</w:t>
            </w:r>
            <w:r>
              <w:rPr>
                <w:rFonts w:hint="eastAsia" w:ascii="宋体" w:hAnsi="宋体" w:cs="Tahoma"/>
                <w:color w:val="auto"/>
                <w:kern w:val="0"/>
                <w:sz w:val="24"/>
                <w:highlight w:val="none"/>
                <w:u w:val="single"/>
                <w:lang w:val="en-US" w:eastAsia="zh-CN"/>
              </w:rPr>
              <w:t>或电气</w:t>
            </w:r>
            <w:r>
              <w:rPr>
                <w:rFonts w:hint="eastAsia" w:ascii="宋体" w:hAnsi="宋体" w:cs="Tahoma"/>
                <w:color w:val="auto"/>
                <w:kern w:val="0"/>
                <w:sz w:val="24"/>
                <w:highlight w:val="none"/>
                <w:u w:val="single"/>
              </w:rPr>
              <w:t>工程相关</w:t>
            </w:r>
            <w:r>
              <w:rPr>
                <w:rFonts w:hint="eastAsia" w:ascii="宋体" w:hAnsi="宋体" w:eastAsia="宋体" w:cs="Tahoma"/>
                <w:color w:val="auto"/>
                <w:kern w:val="0"/>
                <w:sz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专业</w:t>
            </w:r>
            <w:r>
              <w:rPr>
                <w:rFonts w:hint="eastAsia" w:ascii="宋体" w:hAnsi="宋体" w:eastAsia="宋体" w:cs="宋体"/>
                <w:snapToGrid w:val="0"/>
                <w:color w:val="auto"/>
                <w:kern w:val="0"/>
                <w:sz w:val="24"/>
                <w:szCs w:val="24"/>
                <w:highlight w:val="none"/>
                <w:u w:val="single"/>
              </w:rPr>
              <w:t>中级</w:t>
            </w:r>
            <w:r>
              <w:rPr>
                <w:rFonts w:hint="eastAsia" w:ascii="宋体" w:hAnsi="宋体" w:eastAsia="宋体" w:cs="宋体"/>
                <w:snapToGrid w:val="0"/>
                <w:color w:val="auto"/>
                <w:kern w:val="0"/>
                <w:sz w:val="24"/>
                <w:szCs w:val="24"/>
                <w:highlight w:val="none"/>
              </w:rPr>
              <w:t>或以上技术职称。</w:t>
            </w:r>
          </w:p>
          <w:p w14:paraId="184F5386">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 投标人拟派专职安全生产管理人员须具备有效安全生产考核合格证明（C证，安全生产考核合格证书或广东省建筑施工企业管理人员安全生产考核系统考核合格信息打印页），</w:t>
            </w:r>
            <w:r>
              <w:rPr>
                <w:rFonts w:hint="eastAsia" w:ascii="宋体" w:hAnsi="宋体" w:eastAsia="宋体" w:cs="宋体"/>
                <w:color w:val="auto"/>
                <w:sz w:val="24"/>
                <w:szCs w:val="24"/>
                <w:highlight w:val="none"/>
              </w:rPr>
              <w:t>且不少于1人。</w:t>
            </w:r>
          </w:p>
          <w:p w14:paraId="7EC9A638">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 投标人（包括组成联合体的所有成员单位）与其拟派往本项目管理机构的所有人员之间必须具备合法、唯一的劳动聘用关系（提供社保证明或劳动合同）。拟派人员中具备注册执业资格的，其注册单位须与投标人保持一致。</w:t>
            </w:r>
          </w:p>
          <w:p w14:paraId="3B850A58">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4.</w:t>
            </w:r>
            <w:r>
              <w:rPr>
                <w:rFonts w:hint="eastAsia" w:ascii="宋体" w:hAnsi="宋体" w:eastAsia="宋体" w:cs="宋体"/>
                <w:snapToGrid w:val="0"/>
                <w:color w:val="auto"/>
                <w:kern w:val="0"/>
                <w:sz w:val="24"/>
                <w:szCs w:val="24"/>
                <w:highlight w:val="none"/>
              </w:rPr>
              <w:t>禁止投标条款：</w:t>
            </w:r>
          </w:p>
          <w:p w14:paraId="01675070">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4.1 投标人不得存在下列情形之一：    </w:t>
            </w:r>
          </w:p>
          <w:p w14:paraId="3C89A089">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（1）为招标人不具有独立法人资格的附属机构（单位）；</w:t>
            </w:r>
          </w:p>
          <w:p w14:paraId="4D6A6F24">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（2）为本招标项目前期准备提供设计或咨询服务的；</w:t>
            </w:r>
          </w:p>
          <w:p w14:paraId="53ABEEE3">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（3）与本招标项目的其他投标人为同一个单位负责人；</w:t>
            </w:r>
          </w:p>
          <w:p w14:paraId="30970EE7">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（4）与本招标项目的其他投标人存在控股、管理关系；</w:t>
            </w:r>
          </w:p>
          <w:p w14:paraId="1550448A">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（5</w:t>
            </w:r>
            <w:r>
              <w:rPr>
                <w:rFonts w:hint="eastAsia" w:ascii="宋体" w:hAnsi="宋体" w:eastAsia="宋体" w:cs="宋体"/>
                <w:snapToGrid w:val="0"/>
                <w:color w:val="auto"/>
                <w:kern w:val="0"/>
                <w:sz w:val="24"/>
                <w:szCs w:val="24"/>
                <w:highlight w:val="none"/>
                <w:lang w:eastAsia="zh-CN"/>
              </w:rPr>
              <w:t>）作</w:t>
            </w:r>
            <w:r>
              <w:rPr>
                <w:rFonts w:hint="eastAsia" w:ascii="宋体" w:hAnsi="宋体" w:eastAsia="宋体" w:cs="宋体"/>
                <w:snapToGrid w:val="0"/>
                <w:color w:val="auto"/>
                <w:kern w:val="0"/>
                <w:sz w:val="24"/>
                <w:szCs w:val="24"/>
                <w:highlight w:val="none"/>
              </w:rPr>
              <w:t>为本招标项目的监理人；</w:t>
            </w:r>
          </w:p>
          <w:p w14:paraId="4509A2D6">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（6）为本招标项目的代建人；</w:t>
            </w:r>
          </w:p>
          <w:p w14:paraId="7B57C1A4">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（7</w:t>
            </w:r>
            <w:r>
              <w:rPr>
                <w:rFonts w:hint="eastAsia" w:ascii="宋体" w:hAnsi="宋体" w:eastAsia="宋体" w:cs="宋体"/>
                <w:snapToGrid w:val="0"/>
                <w:color w:val="auto"/>
                <w:kern w:val="0"/>
                <w:sz w:val="24"/>
                <w:szCs w:val="24"/>
                <w:highlight w:val="none"/>
                <w:lang w:eastAsia="zh-CN"/>
              </w:rPr>
              <w:t>）作</w:t>
            </w:r>
            <w:r>
              <w:rPr>
                <w:rFonts w:hint="eastAsia" w:ascii="宋体" w:hAnsi="宋体" w:eastAsia="宋体" w:cs="宋体"/>
                <w:snapToGrid w:val="0"/>
                <w:color w:val="auto"/>
                <w:kern w:val="0"/>
                <w:sz w:val="24"/>
                <w:szCs w:val="24"/>
                <w:highlight w:val="none"/>
              </w:rPr>
              <w:t>为本招标项目的招标代理机构；</w:t>
            </w:r>
          </w:p>
          <w:p w14:paraId="161B799A">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（8）与本招标项目的监理人或代建人或招标代理机构同为一个法定代表人；</w:t>
            </w:r>
          </w:p>
          <w:p w14:paraId="6F879543">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（9）与本招标项目的监理人或代建人或招标代理机构存在控股或参股关系；</w:t>
            </w:r>
          </w:p>
          <w:p w14:paraId="5C1D90C6">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（10）与本招标项目的监理人或代建人或招标代理机构存在相互任职或工作关系；</w:t>
            </w:r>
          </w:p>
          <w:p w14:paraId="6380FF9E">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（11）被依法暂停或者取消投标资格；</w:t>
            </w:r>
          </w:p>
          <w:p w14:paraId="65489952">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（12）被责令停产停业、暂扣或者吊销许可证、暂扣或者吊销执照；</w:t>
            </w:r>
          </w:p>
          <w:p w14:paraId="1CDF7A45">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（13）进入清算程序，或被宣告破产，或其他丧失履约能力的情形；</w:t>
            </w:r>
          </w:p>
          <w:p w14:paraId="4A538FFD">
            <w:pPr>
              <w:keepNext w:val="0"/>
              <w:keepLines w:val="0"/>
              <w:pageBreakBefore w:val="0"/>
              <w:wordWrap w:val="0"/>
              <w:overflowPunct/>
              <w:bidi w:val="0"/>
              <w:adjustRightInd w:val="0"/>
              <w:snapToGrid w:val="0"/>
              <w:spacing w:line="400" w:lineRule="exact"/>
              <w:ind w:left="0" w:leftChars="0" w:firstLine="458" w:firstLineChars="1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7C1111BF">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（15）被“信用中国”网站（https://www.creditchina.gov.cn）发布的《法人和非法人组织公共信用信息报告》列为严重失信主体名单的。</w:t>
            </w:r>
          </w:p>
          <w:p w14:paraId="18B705A5">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 招标人拒绝以下名单中的单位参加本次投标</w:t>
            </w:r>
          </w:p>
          <w:tbl>
            <w:tblPr>
              <w:tblStyle w:val="15"/>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873"/>
              <w:gridCol w:w="3492"/>
            </w:tblGrid>
            <w:tr w14:paraId="4F2E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80" w:type="dxa"/>
                  <w:noWrap w:val="0"/>
                  <w:vAlign w:val="center"/>
                </w:tcPr>
                <w:p w14:paraId="3ED03516">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873" w:type="dxa"/>
                  <w:noWrap w:val="0"/>
                  <w:vAlign w:val="center"/>
                </w:tcPr>
                <w:p w14:paraId="60FCF8AA">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492" w:type="dxa"/>
                  <w:noWrap w:val="0"/>
                  <w:vAlign w:val="center"/>
                </w:tcPr>
                <w:p w14:paraId="39D50CED">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6331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80" w:type="dxa"/>
                  <w:noWrap w:val="0"/>
                  <w:vAlign w:val="center"/>
                </w:tcPr>
                <w:p w14:paraId="705F46D2">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1</w:t>
                  </w:r>
                </w:p>
              </w:tc>
              <w:tc>
                <w:tcPr>
                  <w:tcW w:w="2873" w:type="dxa"/>
                  <w:shd w:val="clear" w:color="auto" w:fill="auto"/>
                  <w:noWrap w:val="0"/>
                  <w:vAlign w:val="center"/>
                </w:tcPr>
                <w:p w14:paraId="6E7712FF">
                  <w:pPr>
                    <w:keepNext w:val="0"/>
                    <w:keepLines w:val="0"/>
                    <w:pageBreakBefore w:val="0"/>
                    <w:wordWrap w:val="0"/>
                    <w:overflowPunct/>
                    <w:bidi w:val="0"/>
                    <w:adjustRightInd w:val="0"/>
                    <w:snapToGrid w:val="0"/>
                    <w:spacing w:line="240" w:lineRule="auto"/>
                    <w:rPr>
                      <w:rFonts w:hint="eastAsia" w:ascii="宋体" w:hAnsi="宋体" w:eastAsia="宋体" w:cs="宋体"/>
                      <w:bCs/>
                      <w:snapToGrid w:val="0"/>
                      <w:color w:val="auto"/>
                      <w:kern w:val="0"/>
                      <w:sz w:val="24"/>
                      <w:szCs w:val="24"/>
                      <w:highlight w:val="none"/>
                      <w:lang w:val="en-US" w:eastAsia="en-US" w:bidi="ar-SA"/>
                    </w:rPr>
                  </w:pPr>
                  <w:r>
                    <w:rPr>
                      <w:rFonts w:hint="eastAsia" w:ascii="宋体" w:hAnsi="宋体" w:eastAsia="宋体" w:cs="宋体"/>
                      <w:bCs/>
                      <w:snapToGrid w:val="0"/>
                      <w:color w:val="auto"/>
                      <w:kern w:val="0"/>
                      <w:sz w:val="24"/>
                      <w:szCs w:val="24"/>
                      <w:highlight w:val="none"/>
                      <w:lang w:val="en-US" w:eastAsia="en-US" w:bidi="ar-SA"/>
                    </w:rPr>
                    <w:t>广东联网电力股份有限公司</w:t>
                  </w:r>
                </w:p>
              </w:tc>
              <w:tc>
                <w:tcPr>
                  <w:tcW w:w="3492" w:type="dxa"/>
                  <w:shd w:val="clear" w:color="auto" w:fill="auto"/>
                  <w:noWrap w:val="0"/>
                  <w:vAlign w:val="center"/>
                </w:tcPr>
                <w:p w14:paraId="4BC20184">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为本招标项目的可行性研究报告编制单位</w:t>
                  </w:r>
                </w:p>
              </w:tc>
            </w:tr>
            <w:tr w14:paraId="3F78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80" w:type="dxa"/>
                  <w:noWrap w:val="0"/>
                  <w:vAlign w:val="center"/>
                </w:tcPr>
                <w:p w14:paraId="1A327752">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2</w:t>
                  </w:r>
                </w:p>
              </w:tc>
              <w:tc>
                <w:tcPr>
                  <w:tcW w:w="2873" w:type="dxa"/>
                  <w:shd w:val="clear" w:color="auto" w:fill="auto"/>
                  <w:noWrap w:val="0"/>
                  <w:vAlign w:val="center"/>
                </w:tcPr>
                <w:p w14:paraId="6330459C">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en-US" w:bidi="ar-SA"/>
                    </w:rPr>
                  </w:pPr>
                  <w:r>
                    <w:rPr>
                      <w:rFonts w:hint="eastAsia" w:ascii="宋体" w:hAnsi="宋体" w:eastAsia="宋体" w:cs="宋体"/>
                      <w:iCs/>
                      <w:snapToGrid w:val="0"/>
                      <w:color w:val="auto"/>
                      <w:kern w:val="0"/>
                      <w:sz w:val="24"/>
                      <w:szCs w:val="24"/>
                      <w:highlight w:val="none"/>
                      <w:lang w:val="en-US" w:eastAsia="en-US" w:bidi="ar-SA"/>
                    </w:rPr>
                    <w:t>韶关市新辉项目管理有限公司</w:t>
                  </w:r>
                </w:p>
              </w:tc>
              <w:tc>
                <w:tcPr>
                  <w:tcW w:w="3492" w:type="dxa"/>
                  <w:shd w:val="clear" w:color="auto" w:fill="auto"/>
                  <w:noWrap w:val="0"/>
                  <w:vAlign w:val="center"/>
                </w:tcPr>
                <w:p w14:paraId="46FB768C">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为本招标项目的造价咨询单位</w:t>
                  </w:r>
                </w:p>
              </w:tc>
            </w:tr>
            <w:tr w14:paraId="576E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6904E741">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3</w:t>
                  </w:r>
                </w:p>
              </w:tc>
              <w:tc>
                <w:tcPr>
                  <w:tcW w:w="2873" w:type="dxa"/>
                  <w:shd w:val="clear" w:color="auto" w:fill="auto"/>
                  <w:noWrap w:val="0"/>
                  <w:vAlign w:val="center"/>
                </w:tcPr>
                <w:p w14:paraId="0AE7D163">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en-US" w:bidi="ar-SA"/>
                    </w:rPr>
                  </w:pPr>
                  <w:r>
                    <w:rPr>
                      <w:rFonts w:hint="eastAsia" w:ascii="宋体" w:hAnsi="宋体" w:eastAsia="宋体" w:cs="宋体"/>
                      <w:iCs/>
                      <w:snapToGrid w:val="0"/>
                      <w:color w:val="auto"/>
                      <w:kern w:val="0"/>
                      <w:sz w:val="24"/>
                      <w:szCs w:val="24"/>
                      <w:highlight w:val="none"/>
                      <w:lang w:val="en-US" w:eastAsia="en-US" w:bidi="ar-SA"/>
                    </w:rPr>
                    <w:t>广东联网电力股份有限公司</w:t>
                  </w:r>
                </w:p>
              </w:tc>
              <w:tc>
                <w:tcPr>
                  <w:tcW w:w="3492" w:type="dxa"/>
                  <w:shd w:val="clear" w:color="auto" w:fill="auto"/>
                  <w:noWrap w:val="0"/>
                  <w:vAlign w:val="center"/>
                </w:tcPr>
                <w:p w14:paraId="61981C05">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为本招标项目的设计单位</w:t>
                  </w:r>
                </w:p>
              </w:tc>
            </w:tr>
            <w:tr w14:paraId="4E09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7AA6FBE7">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4</w:t>
                  </w:r>
                </w:p>
              </w:tc>
              <w:tc>
                <w:tcPr>
                  <w:tcW w:w="2873" w:type="dxa"/>
                  <w:shd w:val="clear" w:color="auto" w:fill="auto"/>
                  <w:noWrap w:val="0"/>
                  <w:vAlign w:val="center"/>
                </w:tcPr>
                <w:p w14:paraId="16484CBE">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lang w:eastAsia="zh-CN"/>
                    </w:rPr>
                    <w:t>韶关市建韶工程造价咨询有限公司</w:t>
                  </w:r>
                </w:p>
              </w:tc>
              <w:tc>
                <w:tcPr>
                  <w:tcW w:w="3492" w:type="dxa"/>
                  <w:shd w:val="clear" w:color="auto" w:fill="auto"/>
                  <w:noWrap w:val="0"/>
                  <w:vAlign w:val="center"/>
                </w:tcPr>
                <w:p w14:paraId="664B2A55">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为本招标项目的招标代理机构</w:t>
                  </w:r>
                </w:p>
              </w:tc>
            </w:tr>
            <w:tr w14:paraId="1808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80" w:type="dxa"/>
                  <w:shd w:val="clear" w:color="auto" w:fill="auto"/>
                  <w:noWrap w:val="0"/>
                  <w:vAlign w:val="center"/>
                </w:tcPr>
                <w:p w14:paraId="77DF39A7">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6</w:t>
                  </w:r>
                </w:p>
              </w:tc>
              <w:tc>
                <w:tcPr>
                  <w:tcW w:w="2873" w:type="dxa"/>
                  <w:shd w:val="clear" w:color="auto" w:fill="auto"/>
                  <w:noWrap w:val="0"/>
                  <w:vAlign w:val="center"/>
                </w:tcPr>
                <w:p w14:paraId="54F48B8C">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cs="宋体"/>
                      <w:iCs/>
                      <w:snapToGrid w:val="0"/>
                      <w:color w:val="auto"/>
                      <w:kern w:val="0"/>
                      <w:sz w:val="24"/>
                      <w:szCs w:val="24"/>
                      <w:highlight w:val="none"/>
                      <w:lang w:eastAsia="zh-CN"/>
                    </w:rPr>
                    <w:t>粤北能源投资（广东）有限公司</w:t>
                  </w:r>
                </w:p>
              </w:tc>
              <w:tc>
                <w:tcPr>
                  <w:tcW w:w="3492" w:type="dxa"/>
                  <w:shd w:val="clear" w:color="auto" w:fill="auto"/>
                  <w:noWrap w:val="0"/>
                  <w:vAlign w:val="center"/>
                </w:tcPr>
                <w:p w14:paraId="459E34A1">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为本招标项目的业主单位</w:t>
                  </w:r>
                </w:p>
              </w:tc>
            </w:tr>
          </w:tbl>
          <w:p w14:paraId="55297E50">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5.</w:t>
            </w:r>
            <w:r>
              <w:rPr>
                <w:rFonts w:hint="eastAsia" w:ascii="宋体" w:hAnsi="宋体" w:eastAsia="宋体" w:cs="宋体"/>
                <w:snapToGrid w:val="0"/>
                <w:color w:val="auto"/>
                <w:kern w:val="0"/>
                <w:sz w:val="24"/>
                <w:szCs w:val="24"/>
                <w:highlight w:val="none"/>
              </w:rPr>
              <w:t>其他要求</w:t>
            </w:r>
          </w:p>
          <w:p w14:paraId="391A3991">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省外企业</w:t>
            </w:r>
            <w:r>
              <w:rPr>
                <w:rFonts w:hint="eastAsia" w:ascii="宋体" w:hAnsi="宋体" w:eastAsia="宋体" w:cs="宋体"/>
                <w:color w:val="auto"/>
                <w:sz w:val="24"/>
                <w:szCs w:val="24"/>
                <w:highlight w:val="none"/>
              </w:rPr>
              <w:t>（组成联合体时指联合体各方）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tc>
      </w:tr>
      <w:tr w14:paraId="72EB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619" w:type="dxa"/>
            <w:vAlign w:val="center"/>
          </w:tcPr>
          <w:p w14:paraId="6E081D54">
            <w:pPr>
              <w:keepNext w:val="0"/>
              <w:keepLines w:val="0"/>
              <w:pageBreakBefore w:val="0"/>
              <w:widowControl w:val="0"/>
              <w:kinsoku/>
              <w:wordWrap w:val="0"/>
              <w:overflowPunct/>
              <w:topLinePunct/>
              <w:autoSpaceDE/>
              <w:autoSpaceDN/>
              <w:bidi w:val="0"/>
              <w:adjustRightInd w:val="0"/>
              <w:snapToGrid w:val="0"/>
              <w:spacing w:before="19"/>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27</w:t>
            </w:r>
          </w:p>
        </w:tc>
        <w:tc>
          <w:tcPr>
            <w:tcW w:w="1860" w:type="dxa"/>
            <w:vAlign w:val="center"/>
          </w:tcPr>
          <w:p w14:paraId="4A512080">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投标有效期</w:t>
            </w:r>
          </w:p>
        </w:tc>
        <w:tc>
          <w:tcPr>
            <w:tcW w:w="7575" w:type="dxa"/>
            <w:vAlign w:val="center"/>
          </w:tcPr>
          <w:p w14:paraId="0E558CF8">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本次招标的投标有效期为</w:t>
            </w:r>
            <w:r>
              <w:rPr>
                <w:rFonts w:hint="eastAsia" w:asciiTheme="minorEastAsia" w:hAnsiTheme="minorEastAsia" w:eastAsiaTheme="minorEastAsia" w:cstheme="minorEastAsia"/>
                <w:snapToGrid w:val="0"/>
                <w:color w:val="auto"/>
                <w:kern w:val="0"/>
                <w:sz w:val="24"/>
                <w:szCs w:val="24"/>
                <w:highlight w:val="none"/>
                <w:u w:val="single"/>
                <w:lang w:eastAsia="zh-CN"/>
              </w:rPr>
              <w:t>90</w:t>
            </w:r>
            <w:r>
              <w:rPr>
                <w:rFonts w:hint="eastAsia" w:asciiTheme="minorEastAsia" w:hAnsiTheme="minorEastAsia" w:eastAsiaTheme="minorEastAsia" w:cstheme="minorEastAsia"/>
                <w:snapToGrid w:val="0"/>
                <w:color w:val="auto"/>
                <w:kern w:val="0"/>
                <w:sz w:val="24"/>
                <w:szCs w:val="24"/>
                <w:highlight w:val="none"/>
                <w:lang w:eastAsia="zh-CN"/>
              </w:rPr>
              <w:t xml:space="preserve"> 个日历天。</w:t>
            </w:r>
          </w:p>
        </w:tc>
      </w:tr>
      <w:tr w14:paraId="6FB8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trPr>
        <w:tc>
          <w:tcPr>
            <w:tcW w:w="619" w:type="dxa"/>
            <w:vAlign w:val="center"/>
          </w:tcPr>
          <w:p w14:paraId="682114EE">
            <w:pPr>
              <w:keepNext w:val="0"/>
              <w:keepLines w:val="0"/>
              <w:pageBreakBefore w:val="0"/>
              <w:widowControl w:val="0"/>
              <w:kinsoku/>
              <w:wordWrap w:val="0"/>
              <w:overflowPunct/>
              <w:topLinePunct/>
              <w:autoSpaceDE/>
              <w:autoSpaceDN/>
              <w:bidi w:val="0"/>
              <w:adjustRightInd w:val="0"/>
              <w:snapToGrid w:val="0"/>
              <w:spacing w:before="69" w:line="188" w:lineRule="auto"/>
              <w:ind w:left="205"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28</w:t>
            </w:r>
          </w:p>
        </w:tc>
        <w:tc>
          <w:tcPr>
            <w:tcW w:w="1860" w:type="dxa"/>
            <w:vAlign w:val="center"/>
          </w:tcPr>
          <w:p w14:paraId="51432E75">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投标文件组成</w:t>
            </w:r>
          </w:p>
        </w:tc>
        <w:tc>
          <w:tcPr>
            <w:tcW w:w="7575" w:type="dxa"/>
            <w:vAlign w:val="center"/>
          </w:tcPr>
          <w:p w14:paraId="04343C35">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投标文件包括商务标书、经济标书、施工组织设计三个分册。</w:t>
            </w:r>
          </w:p>
        </w:tc>
      </w:tr>
      <w:tr w14:paraId="39D5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600756DB">
            <w:pPr>
              <w:keepNext w:val="0"/>
              <w:keepLines w:val="0"/>
              <w:pageBreakBefore w:val="0"/>
              <w:widowControl w:val="0"/>
              <w:kinsoku/>
              <w:wordWrap w:val="0"/>
              <w:overflowPunct/>
              <w:topLinePunct/>
              <w:autoSpaceDE/>
              <w:autoSpaceDN/>
              <w:bidi w:val="0"/>
              <w:adjustRightInd w:val="0"/>
              <w:snapToGrid w:val="0"/>
              <w:spacing w:before="69" w:line="188" w:lineRule="auto"/>
              <w:ind w:left="205"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29</w:t>
            </w:r>
          </w:p>
        </w:tc>
        <w:tc>
          <w:tcPr>
            <w:tcW w:w="1860" w:type="dxa"/>
            <w:vAlign w:val="center"/>
          </w:tcPr>
          <w:p w14:paraId="40146035">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施工组织设计评审方式</w:t>
            </w:r>
          </w:p>
        </w:tc>
        <w:tc>
          <w:tcPr>
            <w:tcW w:w="7575" w:type="dxa"/>
            <w:vAlign w:val="center"/>
          </w:tcPr>
          <w:p w14:paraId="1D15E9B5">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本次招标施工组织设计</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不采用 </w:t>
            </w:r>
            <w:r>
              <w:rPr>
                <w:rFonts w:hint="eastAsia" w:asciiTheme="minorEastAsia" w:hAnsiTheme="minorEastAsia" w:eastAsiaTheme="minorEastAsia" w:cstheme="minorEastAsia"/>
                <w:snapToGrid w:val="0"/>
                <w:color w:val="auto"/>
                <w:kern w:val="0"/>
                <w:sz w:val="24"/>
                <w:szCs w:val="24"/>
                <w:highlight w:val="none"/>
                <w:lang w:eastAsia="zh-CN"/>
              </w:rPr>
              <w:t>“暗标”方式进行评审。</w:t>
            </w:r>
          </w:p>
        </w:tc>
      </w:tr>
      <w:tr w14:paraId="0E6F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3E18ABBE">
            <w:pPr>
              <w:keepNext w:val="0"/>
              <w:keepLines w:val="0"/>
              <w:pageBreakBefore w:val="0"/>
              <w:widowControl w:val="0"/>
              <w:kinsoku/>
              <w:wordWrap w:val="0"/>
              <w:overflowPunct/>
              <w:topLinePunct/>
              <w:autoSpaceDE/>
              <w:autoSpaceDN/>
              <w:bidi w:val="0"/>
              <w:adjustRightInd w:val="0"/>
              <w:snapToGrid w:val="0"/>
              <w:spacing w:before="69" w:line="188" w:lineRule="auto"/>
              <w:ind w:left="209"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30</w:t>
            </w:r>
          </w:p>
        </w:tc>
        <w:tc>
          <w:tcPr>
            <w:tcW w:w="1860" w:type="dxa"/>
            <w:vAlign w:val="center"/>
          </w:tcPr>
          <w:p w14:paraId="02AB03D0">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w:t>
            </w:r>
          </w:p>
        </w:tc>
        <w:tc>
          <w:tcPr>
            <w:tcW w:w="7575" w:type="dxa"/>
            <w:vAlign w:val="top"/>
          </w:tcPr>
          <w:p w14:paraId="1A2AD732">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评标委员会由5人组成，其中招标人代表0人，专家5人。专家从广东省综合评标评审专家库（韶关区域）中随机抽取，其中技术类专家3人，经济类专家 2 人。</w:t>
            </w:r>
          </w:p>
        </w:tc>
      </w:tr>
      <w:tr w14:paraId="62E2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619" w:type="dxa"/>
            <w:vAlign w:val="center"/>
          </w:tcPr>
          <w:p w14:paraId="2BA5104C">
            <w:pPr>
              <w:keepNext w:val="0"/>
              <w:keepLines w:val="0"/>
              <w:pageBreakBefore w:val="0"/>
              <w:widowControl w:val="0"/>
              <w:kinsoku/>
              <w:wordWrap w:val="0"/>
              <w:overflowPunct/>
              <w:topLinePunct/>
              <w:autoSpaceDE/>
              <w:autoSpaceDN/>
              <w:bidi w:val="0"/>
              <w:adjustRightInd w:val="0"/>
              <w:snapToGrid w:val="0"/>
              <w:spacing w:before="258" w:line="188" w:lineRule="auto"/>
              <w:ind w:left="209"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31</w:t>
            </w:r>
          </w:p>
        </w:tc>
        <w:tc>
          <w:tcPr>
            <w:tcW w:w="1860" w:type="dxa"/>
            <w:vAlign w:val="center"/>
          </w:tcPr>
          <w:p w14:paraId="634D7CF3">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评标方法</w:t>
            </w:r>
          </w:p>
        </w:tc>
        <w:tc>
          <w:tcPr>
            <w:tcW w:w="7575" w:type="dxa"/>
            <w:vAlign w:val="center"/>
          </w:tcPr>
          <w:p w14:paraId="1C9AD8C4">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A＋B 值评标法  □经评审的最低投标价法   ☑综合评估法</w:t>
            </w:r>
          </w:p>
        </w:tc>
      </w:tr>
      <w:tr w14:paraId="5413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2997E770">
            <w:pPr>
              <w:keepNext w:val="0"/>
              <w:keepLines w:val="0"/>
              <w:pageBreakBefore w:val="0"/>
              <w:widowControl w:val="0"/>
              <w:kinsoku/>
              <w:wordWrap w:val="0"/>
              <w:overflowPunct/>
              <w:topLinePunct/>
              <w:autoSpaceDE/>
              <w:autoSpaceDN/>
              <w:bidi w:val="0"/>
              <w:adjustRightInd w:val="0"/>
              <w:snapToGrid w:val="0"/>
              <w:spacing w:before="69" w:line="188" w:lineRule="auto"/>
              <w:ind w:left="209" w:right="84" w:rightChars="40"/>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w:t>
            </w:r>
            <w:r>
              <w:rPr>
                <w:rFonts w:hint="eastAsia" w:asciiTheme="minorEastAsia" w:hAnsiTheme="minorEastAsia" w:eastAsiaTheme="minorEastAsia" w:cstheme="minorEastAsia"/>
                <w:color w:val="auto"/>
                <w:spacing w:val="-5"/>
                <w:sz w:val="24"/>
                <w:szCs w:val="24"/>
                <w:highlight w:val="none"/>
                <w:lang w:val="en-US" w:eastAsia="zh-CN"/>
              </w:rPr>
              <w:t>2</w:t>
            </w:r>
          </w:p>
        </w:tc>
        <w:tc>
          <w:tcPr>
            <w:tcW w:w="1860" w:type="dxa"/>
            <w:vAlign w:val="center"/>
          </w:tcPr>
          <w:p w14:paraId="77C19F78">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招标代理费</w:t>
            </w:r>
          </w:p>
        </w:tc>
        <w:tc>
          <w:tcPr>
            <w:tcW w:w="7575" w:type="dxa"/>
            <w:vAlign w:val="center"/>
          </w:tcPr>
          <w:p w14:paraId="0E809DC8">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本工程的招标代理费由中标人支付，该费用不再另行报价，由投标人在投标报价时综合考虑在内。招标代理服务费为人民币贰万元整（￥20000.00元）。中标人在中标公示结束后三日内须向招标代理机构一次性支付招标代理服务费。</w:t>
            </w:r>
          </w:p>
        </w:tc>
      </w:tr>
      <w:tr w14:paraId="7C14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6A873713">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3</w:t>
            </w:r>
            <w:r>
              <w:rPr>
                <w:rFonts w:hint="eastAsia" w:asciiTheme="minorEastAsia" w:hAnsiTheme="minorEastAsia" w:eastAsiaTheme="minorEastAsia" w:cstheme="minorEastAsia"/>
                <w:color w:val="auto"/>
                <w:spacing w:val="-5"/>
                <w:sz w:val="24"/>
                <w:szCs w:val="24"/>
                <w:highlight w:val="none"/>
                <w:lang w:val="en-US" w:eastAsia="zh-CN"/>
              </w:rPr>
              <w:t>3</w:t>
            </w:r>
          </w:p>
        </w:tc>
        <w:tc>
          <w:tcPr>
            <w:tcW w:w="1860" w:type="dxa"/>
            <w:vAlign w:val="center"/>
          </w:tcPr>
          <w:p w14:paraId="0ABE1136">
            <w:pPr>
              <w:wordWrap w:val="0"/>
              <w:adjustRightInd w:val="0"/>
              <w:snapToGrid w:val="0"/>
              <w:spacing w:line="360" w:lineRule="exact"/>
              <w:jc w:val="center"/>
              <w:rPr>
                <w:rFonts w:ascii="Times New Roman"/>
                <w:snapToGrid w:val="0"/>
                <w:color w:val="auto"/>
                <w:kern w:val="0"/>
                <w:sz w:val="24"/>
                <w:szCs w:val="24"/>
                <w:highlight w:val="none"/>
              </w:rPr>
            </w:pPr>
            <w:r>
              <w:rPr>
                <w:rFonts w:ascii="Times New Roman"/>
                <w:snapToGrid w:val="0"/>
                <w:color w:val="auto"/>
                <w:kern w:val="0"/>
                <w:sz w:val="24"/>
                <w:szCs w:val="24"/>
                <w:highlight w:val="none"/>
              </w:rPr>
              <w:t>招标人</w:t>
            </w:r>
          </w:p>
          <w:p w14:paraId="6C74298F">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ascii="Times New Roman"/>
                <w:snapToGrid w:val="0"/>
                <w:color w:val="auto"/>
                <w:kern w:val="0"/>
                <w:sz w:val="24"/>
                <w:szCs w:val="24"/>
                <w:highlight w:val="none"/>
              </w:rPr>
              <w:t>联系方式</w:t>
            </w:r>
          </w:p>
        </w:tc>
        <w:tc>
          <w:tcPr>
            <w:tcW w:w="7575" w:type="dxa"/>
            <w:vAlign w:val="center"/>
          </w:tcPr>
          <w:p w14:paraId="02B1F81C">
            <w:pPr>
              <w:wordWrap w:val="0"/>
              <w:adjustRightInd w:val="0"/>
              <w:snapToGrid w:val="0"/>
              <w:spacing w:line="400" w:lineRule="exact"/>
              <w:jc w:val="left"/>
              <w:rPr>
                <w:rFonts w:hint="eastAsia" w:eastAsia="宋体"/>
                <w:snapToGrid w:val="0"/>
                <w:color w:val="auto"/>
                <w:kern w:val="0"/>
                <w:sz w:val="24"/>
                <w:szCs w:val="24"/>
                <w:highlight w:val="none"/>
                <w:lang w:eastAsia="zh-CN"/>
              </w:rPr>
            </w:pPr>
            <w:r>
              <w:rPr>
                <w:rFonts w:hint="eastAsia"/>
                <w:snapToGrid w:val="0"/>
                <w:color w:val="auto"/>
                <w:kern w:val="0"/>
                <w:sz w:val="24"/>
                <w:szCs w:val="24"/>
                <w:highlight w:val="none"/>
              </w:rPr>
              <w:t>单位名称</w:t>
            </w:r>
            <w:r>
              <w:rPr>
                <w:rFonts w:hint="eastAsia"/>
                <w:snapToGrid w:val="0"/>
                <w:color w:val="auto"/>
                <w:kern w:val="0"/>
                <w:sz w:val="24"/>
                <w:szCs w:val="24"/>
                <w:highlight w:val="none"/>
                <w:lang w:eastAsia="zh-CN"/>
              </w:rPr>
              <w:t>：粤北能源投资（广东）有限公司</w:t>
            </w:r>
          </w:p>
          <w:p w14:paraId="5E4E30DB">
            <w:pPr>
              <w:wordWrap w:val="0"/>
              <w:adjustRightInd w:val="0"/>
              <w:snapToGrid w:val="0"/>
              <w:spacing w:line="400" w:lineRule="exact"/>
              <w:jc w:val="left"/>
              <w:rPr>
                <w:rFonts w:hint="default"/>
                <w:snapToGrid w:val="0"/>
                <w:color w:val="auto"/>
                <w:kern w:val="0"/>
                <w:sz w:val="24"/>
                <w:szCs w:val="24"/>
                <w:highlight w:val="none"/>
                <w:lang w:val="en-US" w:eastAsia="zh-CN"/>
              </w:rPr>
            </w:pPr>
            <w:r>
              <w:rPr>
                <w:rFonts w:hint="eastAsia"/>
                <w:snapToGrid w:val="0"/>
                <w:color w:val="auto"/>
                <w:kern w:val="0"/>
                <w:sz w:val="24"/>
                <w:szCs w:val="24"/>
                <w:highlight w:val="none"/>
              </w:rPr>
              <w:t>办公地址</w:t>
            </w:r>
            <w:r>
              <w:rPr>
                <w:rFonts w:hint="eastAsia" w:ascii="Times New Roman"/>
                <w:snapToGrid w:val="0"/>
                <w:color w:val="auto"/>
                <w:kern w:val="0"/>
                <w:sz w:val="24"/>
                <w:szCs w:val="24"/>
                <w:highlight w:val="none"/>
              </w:rPr>
              <w:t>：广东省韶关市武江区工业中路19号</w:t>
            </w:r>
          </w:p>
          <w:p w14:paraId="59BAAE11">
            <w:pPr>
              <w:pStyle w:val="22"/>
              <w:wordWrap w:val="0"/>
              <w:adjustRightInd w:val="0"/>
              <w:snapToGrid w:val="0"/>
              <w:spacing w:line="440" w:lineRule="exact"/>
              <w:jc w:val="left"/>
              <w:rPr>
                <w:rFonts w:hint="eastAsia" w:eastAsia="宋体"/>
                <w:snapToGrid w:val="0"/>
                <w:color w:val="auto"/>
                <w:kern w:val="0"/>
                <w:sz w:val="24"/>
                <w:szCs w:val="24"/>
                <w:highlight w:val="none"/>
                <w:lang w:eastAsia="zh-CN"/>
              </w:rPr>
            </w:pPr>
            <w:r>
              <w:rPr>
                <w:rFonts w:hint="eastAsia"/>
                <w:snapToGrid w:val="0"/>
                <w:color w:val="auto"/>
                <w:kern w:val="0"/>
                <w:sz w:val="24"/>
                <w:szCs w:val="24"/>
                <w:highlight w:val="none"/>
              </w:rPr>
              <w:t>联系人（部门）：</w:t>
            </w:r>
            <w:r>
              <w:rPr>
                <w:rFonts w:hint="eastAsia"/>
                <w:snapToGrid w:val="0"/>
                <w:color w:val="auto"/>
                <w:kern w:val="0"/>
                <w:sz w:val="24"/>
                <w:szCs w:val="24"/>
                <w:highlight w:val="none"/>
                <w:lang w:eastAsia="zh-CN"/>
              </w:rPr>
              <w:t>胡工</w:t>
            </w:r>
            <w:r>
              <w:rPr>
                <w:rFonts w:hint="eastAsia"/>
                <w:snapToGrid w:val="0"/>
                <w:color w:val="auto"/>
                <w:kern w:val="0"/>
                <w:sz w:val="24"/>
                <w:szCs w:val="24"/>
                <w:highlight w:val="none"/>
                <w:lang w:val="en-US" w:eastAsia="zh-CN"/>
              </w:rPr>
              <w:t xml:space="preserve">   </w:t>
            </w:r>
          </w:p>
          <w:p w14:paraId="0E94FA5A">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imes New Roman"/>
                <w:snapToGrid w:val="0"/>
                <w:color w:val="auto"/>
                <w:kern w:val="0"/>
                <w:sz w:val="24"/>
                <w:szCs w:val="24"/>
                <w:highlight w:val="none"/>
              </w:rPr>
              <w:t>联系电话：0751-</w:t>
            </w:r>
            <w:r>
              <w:rPr>
                <w:rFonts w:hint="eastAsia" w:ascii="Times New Roman"/>
                <w:snapToGrid w:val="0"/>
                <w:color w:val="auto"/>
                <w:kern w:val="0"/>
                <w:sz w:val="24"/>
                <w:szCs w:val="24"/>
                <w:highlight w:val="none"/>
                <w:lang w:val="en-US" w:eastAsia="zh-CN"/>
              </w:rPr>
              <w:t>8705331</w:t>
            </w:r>
            <w:r>
              <w:rPr>
                <w:rFonts w:hint="eastAsia" w:ascii="Times New Roman"/>
                <w:snapToGrid w:val="0"/>
                <w:color w:val="auto"/>
                <w:kern w:val="0"/>
                <w:sz w:val="24"/>
                <w:szCs w:val="24"/>
                <w:highlight w:val="none"/>
              </w:rPr>
              <w:t xml:space="preserve"> </w:t>
            </w:r>
          </w:p>
        </w:tc>
      </w:tr>
      <w:tr w14:paraId="7F50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A5B9024">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w:t>
            </w:r>
            <w:r>
              <w:rPr>
                <w:rFonts w:hint="eastAsia" w:asciiTheme="minorEastAsia" w:hAnsiTheme="minorEastAsia" w:eastAsiaTheme="minorEastAsia" w:cstheme="minorEastAsia"/>
                <w:color w:val="auto"/>
                <w:spacing w:val="-5"/>
                <w:sz w:val="24"/>
                <w:szCs w:val="24"/>
                <w:highlight w:val="none"/>
                <w:lang w:val="en-US" w:eastAsia="zh-CN"/>
              </w:rPr>
              <w:t>4</w:t>
            </w:r>
          </w:p>
        </w:tc>
        <w:tc>
          <w:tcPr>
            <w:tcW w:w="1860" w:type="dxa"/>
            <w:vAlign w:val="center"/>
          </w:tcPr>
          <w:p w14:paraId="07C32CCE">
            <w:pPr>
              <w:wordWrap w:val="0"/>
              <w:adjustRightInd w:val="0"/>
              <w:snapToGrid w:val="0"/>
              <w:spacing w:line="360" w:lineRule="exact"/>
              <w:jc w:val="center"/>
              <w:rPr>
                <w:rFonts w:ascii="Times New Roman"/>
                <w:snapToGrid w:val="0"/>
                <w:color w:val="auto"/>
                <w:kern w:val="0"/>
                <w:sz w:val="24"/>
                <w:szCs w:val="24"/>
                <w:highlight w:val="none"/>
              </w:rPr>
            </w:pPr>
            <w:r>
              <w:rPr>
                <w:rFonts w:ascii="Times New Roman"/>
                <w:snapToGrid w:val="0"/>
                <w:color w:val="auto"/>
                <w:kern w:val="0"/>
                <w:sz w:val="24"/>
                <w:szCs w:val="24"/>
                <w:highlight w:val="none"/>
              </w:rPr>
              <w:t>招标代理机构</w:t>
            </w:r>
          </w:p>
          <w:p w14:paraId="7E2A3169">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ascii="Times New Roman"/>
                <w:snapToGrid w:val="0"/>
                <w:color w:val="auto"/>
                <w:kern w:val="0"/>
                <w:sz w:val="24"/>
                <w:szCs w:val="24"/>
                <w:highlight w:val="none"/>
              </w:rPr>
              <w:t>联系方式</w:t>
            </w:r>
          </w:p>
        </w:tc>
        <w:tc>
          <w:tcPr>
            <w:tcW w:w="7575" w:type="dxa"/>
            <w:vAlign w:val="center"/>
          </w:tcPr>
          <w:p w14:paraId="7A58BB7B">
            <w:pPr>
              <w:wordWrap w:val="0"/>
              <w:adjustRightInd w:val="0"/>
              <w:snapToGrid w:val="0"/>
              <w:spacing w:line="400" w:lineRule="exact"/>
              <w:jc w:val="left"/>
              <w:rPr>
                <w:rFonts w:hint="eastAsia" w:ascii="Times New Roman"/>
                <w:snapToGrid w:val="0"/>
                <w:color w:val="auto"/>
                <w:kern w:val="0"/>
                <w:sz w:val="24"/>
                <w:szCs w:val="24"/>
                <w:highlight w:val="none"/>
              </w:rPr>
            </w:pPr>
            <w:r>
              <w:rPr>
                <w:rFonts w:hint="eastAsia" w:ascii="Times New Roman"/>
                <w:snapToGrid w:val="0"/>
                <w:color w:val="auto"/>
                <w:kern w:val="0"/>
                <w:sz w:val="24"/>
                <w:szCs w:val="24"/>
                <w:highlight w:val="none"/>
              </w:rPr>
              <w:t>单位名称：韶关市建韶工程造价咨询有限公司</w:t>
            </w:r>
          </w:p>
          <w:p w14:paraId="25C4BE44">
            <w:pPr>
              <w:wordWrap w:val="0"/>
              <w:adjustRightInd w:val="0"/>
              <w:snapToGrid w:val="0"/>
              <w:spacing w:line="400" w:lineRule="exact"/>
              <w:jc w:val="left"/>
              <w:rPr>
                <w:rFonts w:hint="eastAsia" w:ascii="Times New Roman"/>
                <w:snapToGrid w:val="0"/>
                <w:color w:val="auto"/>
                <w:kern w:val="0"/>
                <w:sz w:val="24"/>
                <w:szCs w:val="24"/>
                <w:highlight w:val="none"/>
              </w:rPr>
            </w:pPr>
            <w:r>
              <w:rPr>
                <w:rFonts w:hint="eastAsia" w:ascii="Times New Roman"/>
                <w:snapToGrid w:val="0"/>
                <w:color w:val="auto"/>
                <w:kern w:val="0"/>
                <w:sz w:val="24"/>
                <w:szCs w:val="24"/>
                <w:highlight w:val="none"/>
              </w:rPr>
              <w:t>办公地址：韶关市武江区工业东路24号阳光康地A幢第二层商铺</w:t>
            </w:r>
          </w:p>
          <w:p w14:paraId="29EBE84B">
            <w:pPr>
              <w:wordWrap w:val="0"/>
              <w:adjustRightInd w:val="0"/>
              <w:snapToGrid w:val="0"/>
              <w:spacing w:line="400" w:lineRule="exact"/>
              <w:jc w:val="left"/>
              <w:rPr>
                <w:rFonts w:hint="eastAsia" w:ascii="Times New Roman" w:eastAsia="宋体"/>
                <w:snapToGrid w:val="0"/>
                <w:color w:val="auto"/>
                <w:kern w:val="0"/>
                <w:sz w:val="24"/>
                <w:szCs w:val="24"/>
                <w:highlight w:val="none"/>
                <w:lang w:eastAsia="zh-CN"/>
              </w:rPr>
            </w:pPr>
            <w:r>
              <w:rPr>
                <w:rFonts w:hint="eastAsia" w:ascii="Times New Roman"/>
                <w:snapToGrid w:val="0"/>
                <w:color w:val="auto"/>
                <w:kern w:val="0"/>
                <w:sz w:val="24"/>
                <w:szCs w:val="24"/>
                <w:highlight w:val="none"/>
              </w:rPr>
              <w:t>联系人：</w:t>
            </w:r>
            <w:r>
              <w:rPr>
                <w:rFonts w:hint="eastAsia" w:ascii="Times New Roman"/>
                <w:snapToGrid w:val="0"/>
                <w:color w:val="auto"/>
                <w:kern w:val="0"/>
                <w:sz w:val="24"/>
                <w:szCs w:val="24"/>
                <w:highlight w:val="none"/>
                <w:lang w:eastAsia="zh-CN"/>
              </w:rPr>
              <w:t>郑</w:t>
            </w:r>
            <w:r>
              <w:rPr>
                <w:rFonts w:hint="eastAsia" w:ascii="Times New Roman"/>
                <w:snapToGrid w:val="0"/>
                <w:color w:val="auto"/>
                <w:kern w:val="0"/>
                <w:sz w:val="24"/>
                <w:szCs w:val="24"/>
                <w:highlight w:val="none"/>
              </w:rPr>
              <w:t>工</w:t>
            </w:r>
            <w:r>
              <w:rPr>
                <w:rFonts w:hint="eastAsia" w:ascii="Times New Roman" w:eastAsia="宋体"/>
                <w:snapToGrid w:val="0"/>
                <w:color w:val="auto"/>
                <w:kern w:val="0"/>
                <w:sz w:val="24"/>
                <w:szCs w:val="24"/>
                <w:highlight w:val="none"/>
                <w:lang w:eastAsia="zh-CN"/>
              </w:rPr>
              <w:t>、杨工</w:t>
            </w:r>
          </w:p>
          <w:p w14:paraId="2718C6C9">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imes New Roman"/>
                <w:snapToGrid w:val="0"/>
                <w:color w:val="auto"/>
                <w:kern w:val="0"/>
                <w:sz w:val="24"/>
                <w:szCs w:val="24"/>
                <w:highlight w:val="none"/>
              </w:rPr>
              <w:t>联系电话：0751-8616600</w:t>
            </w:r>
          </w:p>
        </w:tc>
      </w:tr>
      <w:tr w14:paraId="7FD4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13D02F3F">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w:t>
            </w:r>
            <w:r>
              <w:rPr>
                <w:rFonts w:hint="eastAsia" w:asciiTheme="minorEastAsia" w:hAnsiTheme="minorEastAsia" w:eastAsiaTheme="minorEastAsia" w:cstheme="minorEastAsia"/>
                <w:color w:val="auto"/>
                <w:spacing w:val="-5"/>
                <w:sz w:val="24"/>
                <w:szCs w:val="24"/>
                <w:highlight w:val="none"/>
                <w:lang w:val="en-US" w:eastAsia="zh-CN"/>
              </w:rPr>
              <w:t>5</w:t>
            </w:r>
          </w:p>
        </w:tc>
        <w:tc>
          <w:tcPr>
            <w:tcW w:w="1860" w:type="dxa"/>
            <w:vAlign w:val="center"/>
          </w:tcPr>
          <w:p w14:paraId="61041A03">
            <w:pPr>
              <w:wordWrap w:val="0"/>
              <w:adjustRightInd w:val="0"/>
              <w:snapToGrid w:val="0"/>
              <w:spacing w:line="360" w:lineRule="exact"/>
              <w:jc w:val="center"/>
              <w:rPr>
                <w:rFonts w:ascii="Times New Roman"/>
                <w:snapToGrid w:val="0"/>
                <w:color w:val="auto"/>
                <w:kern w:val="0"/>
                <w:sz w:val="24"/>
                <w:szCs w:val="24"/>
                <w:highlight w:val="none"/>
              </w:rPr>
            </w:pPr>
            <w:r>
              <w:rPr>
                <w:rFonts w:ascii="Times New Roman"/>
                <w:snapToGrid w:val="0"/>
                <w:color w:val="auto"/>
                <w:kern w:val="0"/>
                <w:sz w:val="24"/>
                <w:szCs w:val="24"/>
                <w:highlight w:val="none"/>
              </w:rPr>
              <w:t>交易场所</w:t>
            </w:r>
          </w:p>
          <w:p w14:paraId="2CEB522F">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ascii="Times New Roman"/>
                <w:snapToGrid w:val="0"/>
                <w:color w:val="auto"/>
                <w:kern w:val="0"/>
                <w:sz w:val="24"/>
                <w:szCs w:val="24"/>
                <w:highlight w:val="none"/>
              </w:rPr>
              <w:t>联系方式</w:t>
            </w:r>
          </w:p>
        </w:tc>
        <w:tc>
          <w:tcPr>
            <w:tcW w:w="7575" w:type="dxa"/>
            <w:vAlign w:val="center"/>
          </w:tcPr>
          <w:p w14:paraId="78100BB5">
            <w:pPr>
              <w:wordWrap w:val="0"/>
              <w:adjustRightInd w:val="0"/>
              <w:snapToGrid w:val="0"/>
              <w:spacing w:line="400" w:lineRule="exact"/>
              <w:jc w:val="left"/>
              <w:rPr>
                <w:rFonts w:hint="eastAsia"/>
                <w:snapToGrid w:val="0"/>
                <w:color w:val="auto"/>
                <w:kern w:val="0"/>
                <w:sz w:val="24"/>
                <w:szCs w:val="24"/>
                <w:highlight w:val="none"/>
              </w:rPr>
            </w:pPr>
            <w:r>
              <w:rPr>
                <w:rFonts w:hint="eastAsia"/>
                <w:snapToGrid w:val="0"/>
                <w:color w:val="auto"/>
                <w:kern w:val="0"/>
                <w:sz w:val="24"/>
                <w:szCs w:val="24"/>
                <w:highlight w:val="none"/>
              </w:rPr>
              <w:t>单位名称：韶关市公共资源交易中心</w:t>
            </w:r>
          </w:p>
          <w:p w14:paraId="63B3EF31">
            <w:pPr>
              <w:wordWrap w:val="0"/>
              <w:adjustRightInd w:val="0"/>
              <w:snapToGrid w:val="0"/>
              <w:spacing w:line="400" w:lineRule="exact"/>
              <w:jc w:val="left"/>
              <w:rPr>
                <w:rFonts w:hint="eastAsia"/>
                <w:snapToGrid w:val="0"/>
                <w:color w:val="auto"/>
                <w:kern w:val="0"/>
                <w:sz w:val="24"/>
                <w:szCs w:val="24"/>
                <w:highlight w:val="none"/>
              </w:rPr>
            </w:pPr>
            <w:r>
              <w:rPr>
                <w:rFonts w:hint="eastAsia"/>
                <w:snapToGrid w:val="0"/>
                <w:color w:val="auto"/>
                <w:kern w:val="0"/>
                <w:sz w:val="24"/>
                <w:szCs w:val="24"/>
                <w:highlight w:val="none"/>
              </w:rPr>
              <w:t>办公地址：广东省韶关市武江区西联镇</w:t>
            </w:r>
          </w:p>
          <w:p w14:paraId="6DE520E2">
            <w:pPr>
              <w:wordWrap w:val="0"/>
              <w:adjustRightInd w:val="0"/>
              <w:snapToGrid w:val="0"/>
              <w:spacing w:line="400" w:lineRule="exact"/>
              <w:jc w:val="left"/>
              <w:rPr>
                <w:rFonts w:hint="eastAsia"/>
                <w:snapToGrid w:val="0"/>
                <w:color w:val="auto"/>
                <w:kern w:val="0"/>
                <w:sz w:val="24"/>
                <w:szCs w:val="24"/>
                <w:highlight w:val="none"/>
              </w:rPr>
            </w:pPr>
            <w:r>
              <w:rPr>
                <w:rFonts w:hint="eastAsia"/>
                <w:snapToGrid w:val="0"/>
                <w:color w:val="auto"/>
                <w:kern w:val="0"/>
                <w:sz w:val="24"/>
                <w:szCs w:val="24"/>
                <w:highlight w:val="none"/>
              </w:rPr>
              <w:t>联系人（部门）：工程交易部</w:t>
            </w:r>
          </w:p>
          <w:p w14:paraId="3CA6A23A">
            <w:pPr>
              <w:wordWrap w:val="0"/>
              <w:adjustRightInd w:val="0"/>
              <w:snapToGrid w:val="0"/>
              <w:spacing w:line="400" w:lineRule="exac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snapToGrid w:val="0"/>
                <w:color w:val="auto"/>
                <w:kern w:val="0"/>
                <w:sz w:val="24"/>
                <w:szCs w:val="24"/>
                <w:highlight w:val="none"/>
              </w:rPr>
              <w:t>联系电话：0751-8633211</w:t>
            </w:r>
          </w:p>
        </w:tc>
      </w:tr>
      <w:tr w14:paraId="2E04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45478860">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default" w:asciiTheme="minorEastAsia" w:hAnsiTheme="minorEastAsia" w:eastAsiaTheme="minorEastAsia" w:cstheme="minorEastAsia"/>
                <w:color w:val="auto"/>
                <w:spacing w:val="-5"/>
                <w:sz w:val="28"/>
                <w:szCs w:val="28"/>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36</w:t>
            </w:r>
          </w:p>
        </w:tc>
        <w:tc>
          <w:tcPr>
            <w:tcW w:w="1860" w:type="dxa"/>
            <w:vAlign w:val="center"/>
          </w:tcPr>
          <w:p w14:paraId="51DFB9DE">
            <w:pPr>
              <w:wordWrap w:val="0"/>
              <w:adjustRightInd w:val="0"/>
              <w:snapToGrid w:val="0"/>
              <w:spacing w:line="400" w:lineRule="exact"/>
              <w:jc w:val="center"/>
              <w:rPr>
                <w:rFonts w:ascii="Times New Roman"/>
                <w:snapToGrid w:val="0"/>
                <w:color w:val="auto"/>
                <w:kern w:val="0"/>
                <w:sz w:val="24"/>
                <w:szCs w:val="24"/>
                <w:highlight w:val="none"/>
              </w:rPr>
            </w:pPr>
            <w:r>
              <w:rPr>
                <w:rFonts w:ascii="Times New Roman"/>
                <w:snapToGrid w:val="0"/>
                <w:color w:val="auto"/>
                <w:kern w:val="0"/>
                <w:sz w:val="24"/>
                <w:szCs w:val="24"/>
                <w:highlight w:val="none"/>
              </w:rPr>
              <w:t>行政监督部门</w:t>
            </w:r>
          </w:p>
          <w:p w14:paraId="2C5C4CF3">
            <w:pPr>
              <w:pStyle w:val="2"/>
              <w:ind w:firstLine="240" w:firstLineChars="100"/>
              <w:rPr>
                <w:rFonts w:hint="eastAsia"/>
                <w:color w:val="auto"/>
                <w:highlight w:val="none"/>
              </w:rPr>
            </w:pPr>
            <w:r>
              <w:rPr>
                <w:rFonts w:ascii="Times New Roman"/>
                <w:snapToGrid w:val="0"/>
                <w:color w:val="auto"/>
                <w:kern w:val="0"/>
                <w:sz w:val="24"/>
                <w:szCs w:val="24"/>
                <w:highlight w:val="none"/>
              </w:rPr>
              <w:t>联系方式</w:t>
            </w:r>
          </w:p>
        </w:tc>
        <w:tc>
          <w:tcPr>
            <w:tcW w:w="7575" w:type="dxa"/>
            <w:vAlign w:val="center"/>
          </w:tcPr>
          <w:p w14:paraId="3F0AC453">
            <w:pPr>
              <w:wordWrap w:val="0"/>
              <w:adjustRightInd w:val="0"/>
              <w:snapToGrid w:val="0"/>
              <w:spacing w:line="400" w:lineRule="exact"/>
              <w:jc w:val="left"/>
              <w:rPr>
                <w:rFonts w:ascii="Times New Roman"/>
                <w:snapToGrid w:val="0"/>
                <w:color w:val="auto"/>
                <w:kern w:val="0"/>
                <w:sz w:val="24"/>
                <w:szCs w:val="24"/>
                <w:highlight w:val="none"/>
              </w:rPr>
            </w:pPr>
            <w:r>
              <w:rPr>
                <w:rFonts w:ascii="Times New Roman"/>
                <w:snapToGrid w:val="0"/>
                <w:color w:val="auto"/>
                <w:kern w:val="0"/>
                <w:sz w:val="24"/>
                <w:szCs w:val="24"/>
                <w:highlight w:val="none"/>
              </w:rPr>
              <w:t>单位名称：</w:t>
            </w:r>
            <w:r>
              <w:rPr>
                <w:rFonts w:ascii="Times New Roman"/>
                <w:snapToGrid w:val="0"/>
                <w:color w:val="auto"/>
                <w:kern w:val="0"/>
                <w:sz w:val="24"/>
                <w:szCs w:val="24"/>
                <w:highlight w:val="none"/>
              </w:rPr>
              <w:fldChar w:fldCharType="begin"/>
            </w:r>
            <w:r>
              <w:rPr>
                <w:rFonts w:ascii="Times New Roman"/>
                <w:snapToGrid w:val="0"/>
                <w:color w:val="auto"/>
                <w:kern w:val="0"/>
                <w:sz w:val="24"/>
                <w:szCs w:val="24"/>
                <w:highlight w:val="none"/>
              </w:rPr>
              <w:instrText xml:space="preserve"> HYPERLINK "http://www.baidu.com/link?url=To8jlHcD1_hx7plWzT83EfzQK8hvsX351cywy6UQGz5hQuKwLrA9iU9j6gfKrb1tTV--re_Ief2zn-uSOyE1MjMUaAkjlfwMnBbRzbRFy2xI-QKWGHo0suCMqBQdPqRHLtVR7AZepOK8DrmOrgNwKVMQN0kJyiOkhUX_F8r2-e7Cnz7yx_n_3XxgyvMqXsz1r7N1tMWDmEOcSN9d3GHTG1B9FvXGNji-UONHj5B2IV7" \t "https://www.baidu.com/_blank" </w:instrText>
            </w:r>
            <w:r>
              <w:rPr>
                <w:rFonts w:ascii="Times New Roman"/>
                <w:snapToGrid w:val="0"/>
                <w:color w:val="auto"/>
                <w:kern w:val="0"/>
                <w:sz w:val="24"/>
                <w:szCs w:val="24"/>
                <w:highlight w:val="none"/>
              </w:rPr>
              <w:fldChar w:fldCharType="separate"/>
            </w:r>
            <w:r>
              <w:rPr>
                <w:rFonts w:ascii="Times New Roman"/>
                <w:snapToGrid w:val="0"/>
                <w:color w:val="auto"/>
                <w:kern w:val="0"/>
                <w:sz w:val="24"/>
                <w:szCs w:val="24"/>
                <w:highlight w:val="none"/>
              </w:rPr>
              <w:t>韶关市金财投资集团有限公司</w:t>
            </w:r>
            <w:r>
              <w:rPr>
                <w:rFonts w:ascii="Times New Roman"/>
                <w:snapToGrid w:val="0"/>
                <w:color w:val="auto"/>
                <w:kern w:val="0"/>
                <w:sz w:val="24"/>
                <w:szCs w:val="24"/>
                <w:highlight w:val="none"/>
              </w:rPr>
              <w:fldChar w:fldCharType="end"/>
            </w:r>
          </w:p>
          <w:p w14:paraId="24066E31">
            <w:pPr>
              <w:wordWrap w:val="0"/>
              <w:adjustRightInd w:val="0"/>
              <w:snapToGrid w:val="0"/>
              <w:spacing w:line="400" w:lineRule="exact"/>
              <w:jc w:val="left"/>
              <w:rPr>
                <w:rFonts w:ascii="Times New Roman"/>
                <w:snapToGrid w:val="0"/>
                <w:color w:val="auto"/>
                <w:kern w:val="0"/>
                <w:sz w:val="24"/>
                <w:szCs w:val="24"/>
                <w:highlight w:val="none"/>
              </w:rPr>
            </w:pPr>
            <w:r>
              <w:rPr>
                <w:rFonts w:ascii="Times New Roman"/>
                <w:snapToGrid w:val="0"/>
                <w:color w:val="auto"/>
                <w:kern w:val="0"/>
                <w:sz w:val="24"/>
                <w:szCs w:val="24"/>
                <w:highlight w:val="none"/>
              </w:rPr>
              <w:t>办公地址：广东省韶关市武江区惠民北路68号</w:t>
            </w:r>
          </w:p>
          <w:p w14:paraId="09394A62">
            <w:pPr>
              <w:wordWrap w:val="0"/>
              <w:adjustRightInd w:val="0"/>
              <w:snapToGrid w:val="0"/>
              <w:spacing w:line="400" w:lineRule="exact"/>
              <w:jc w:val="left"/>
              <w:rPr>
                <w:rFonts w:ascii="Times New Roman"/>
                <w:snapToGrid w:val="0"/>
                <w:color w:val="auto"/>
                <w:kern w:val="0"/>
                <w:sz w:val="24"/>
                <w:szCs w:val="24"/>
                <w:highlight w:val="none"/>
              </w:rPr>
            </w:pPr>
            <w:r>
              <w:rPr>
                <w:rFonts w:ascii="Times New Roman"/>
                <w:snapToGrid w:val="0"/>
                <w:color w:val="auto"/>
                <w:kern w:val="0"/>
                <w:sz w:val="24"/>
                <w:szCs w:val="24"/>
                <w:highlight w:val="none"/>
              </w:rPr>
              <w:t>联系人（部门）：纪检监察审计室</w:t>
            </w:r>
          </w:p>
          <w:p w14:paraId="5300F996">
            <w:pPr>
              <w:wordWrap w:val="0"/>
              <w:adjustRightInd w:val="0"/>
              <w:snapToGrid w:val="0"/>
              <w:spacing w:line="400" w:lineRule="exact"/>
              <w:jc w:val="left"/>
              <w:rPr>
                <w:rFonts w:hint="eastAsia" w:ascii="宋体" w:hAnsi="宋体" w:cs="宋体"/>
                <w:snapToGrid w:val="0"/>
                <w:color w:val="auto"/>
                <w:kern w:val="0"/>
                <w:sz w:val="24"/>
                <w:szCs w:val="24"/>
                <w:highlight w:val="none"/>
              </w:rPr>
            </w:pPr>
            <w:r>
              <w:rPr>
                <w:rFonts w:ascii="Times New Roman"/>
                <w:snapToGrid w:val="0"/>
                <w:color w:val="auto"/>
                <w:kern w:val="0"/>
                <w:sz w:val="24"/>
                <w:szCs w:val="24"/>
                <w:highlight w:val="none"/>
              </w:rPr>
              <w:t>联系电话：0751-8705971</w:t>
            </w:r>
          </w:p>
        </w:tc>
      </w:tr>
      <w:tr w14:paraId="0262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6526CC11">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val="en-US" w:eastAsia="zh-CN"/>
              </w:rPr>
            </w:pPr>
          </w:p>
        </w:tc>
        <w:tc>
          <w:tcPr>
            <w:tcW w:w="1860" w:type="dxa"/>
            <w:vAlign w:val="center"/>
          </w:tcPr>
          <w:p w14:paraId="6D391416">
            <w:pPr>
              <w:pStyle w:val="2"/>
              <w:ind w:firstLine="240" w:firstLineChars="100"/>
              <w:rPr>
                <w:rFonts w:ascii="Times New Roman"/>
                <w:snapToGrid w:val="0"/>
                <w:color w:val="auto"/>
                <w:kern w:val="0"/>
                <w:sz w:val="24"/>
                <w:szCs w:val="24"/>
                <w:highlight w:val="none"/>
              </w:rPr>
            </w:pPr>
          </w:p>
        </w:tc>
        <w:tc>
          <w:tcPr>
            <w:tcW w:w="7575" w:type="dxa"/>
            <w:vAlign w:val="center"/>
          </w:tcPr>
          <w:p w14:paraId="5B4C05B2">
            <w:pPr>
              <w:wordWrap w:val="0"/>
              <w:adjustRightInd w:val="0"/>
              <w:snapToGrid w:val="0"/>
              <w:spacing w:line="400" w:lineRule="exact"/>
              <w:jc w:val="left"/>
              <w:rPr>
                <w:rFonts w:ascii="Times New Roman"/>
                <w:snapToGrid w:val="0"/>
                <w:color w:val="auto"/>
                <w:kern w:val="0"/>
                <w:sz w:val="24"/>
                <w:szCs w:val="24"/>
                <w:highlight w:val="none"/>
              </w:rPr>
            </w:pPr>
          </w:p>
        </w:tc>
      </w:tr>
    </w:tbl>
    <w:p w14:paraId="21F0C4A2">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12046B46">
      <w:pPr>
        <w:keepNext w:val="0"/>
        <w:keepLines w:val="0"/>
        <w:pageBreakBefore w:val="0"/>
        <w:widowControl w:val="0"/>
        <w:kinsoku/>
        <w:wordWrap w:val="0"/>
        <w:overflowPunct/>
        <w:topLinePunct/>
        <w:autoSpaceDE/>
        <w:autoSpaceDN/>
        <w:bidi w:val="0"/>
        <w:adjustRightInd w:val="0"/>
        <w:snapToGrid w:val="0"/>
        <w:spacing w:before="156" w:line="219" w:lineRule="auto"/>
        <w:ind w:left="17" w:right="84" w:rightChars="40"/>
        <w:jc w:val="left"/>
        <w:outlineLvl w:val="1"/>
        <w:rPr>
          <w:rFonts w:hint="eastAsia" w:ascii="宋体" w:hAnsi="宋体" w:eastAsia="宋体" w:cs="宋体"/>
          <w:color w:val="auto"/>
          <w:highlight w:val="none"/>
        </w:rPr>
      </w:pPr>
      <w:bookmarkStart w:id="6" w:name="_Toc8870"/>
      <w:r>
        <w:rPr>
          <w:rFonts w:hint="eastAsia" w:ascii="宋体" w:hAnsi="宋体" w:eastAsia="宋体" w:cs="宋体"/>
          <w:b/>
          <w:bCs/>
          <w:color w:val="auto"/>
          <w:spacing w:val="-3"/>
          <w:sz w:val="24"/>
          <w:szCs w:val="24"/>
          <w:highlight w:val="none"/>
        </w:rPr>
        <w:t>第二节 重要事项时间地点一览表</w:t>
      </w:r>
      <w:bookmarkEnd w:id="6"/>
    </w:p>
    <w:p w14:paraId="6BB82484">
      <w:pPr>
        <w:pStyle w:val="6"/>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tbl>
      <w:tblPr>
        <w:tblStyle w:val="15"/>
        <w:tblW w:w="10179"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57" w:type="dxa"/>
          <w:bottom w:w="0" w:type="dxa"/>
          <w:right w:w="57" w:type="dxa"/>
        </w:tblCellMar>
      </w:tblPr>
      <w:tblGrid>
        <w:gridCol w:w="491"/>
        <w:gridCol w:w="1756"/>
        <w:gridCol w:w="7932"/>
      </w:tblGrid>
      <w:tr w14:paraId="08C316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4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7E53C9DD">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56" w:type="dxa"/>
            <w:tcBorders>
              <w:top w:val="single" w:color="080000" w:sz="4" w:space="0"/>
              <w:left w:val="single" w:color="080000" w:sz="4" w:space="0"/>
              <w:bottom w:val="single" w:color="080000" w:sz="4" w:space="0"/>
              <w:right w:val="single" w:color="080000" w:sz="4" w:space="0"/>
            </w:tcBorders>
            <w:vAlign w:val="center"/>
          </w:tcPr>
          <w:p w14:paraId="12343EF8">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招标公告</w:t>
            </w:r>
          </w:p>
          <w:p w14:paraId="5AD9942A">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发布时间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44A61E6D">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01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15</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12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  </w:t>
            </w:r>
            <w:r>
              <w:rPr>
                <w:rFonts w:hint="eastAsia" w:ascii="宋体" w:hAnsi="宋体" w:eastAsia="宋体" w:cs="宋体"/>
                <w:color w:val="auto"/>
                <w:kern w:val="0"/>
                <w:sz w:val="24"/>
                <w:szCs w:val="24"/>
                <w:highlight w:val="none"/>
                <w:lang w:val="en-US" w:eastAsia="zh-CN" w:bidi="ar-SA"/>
              </w:rPr>
              <w:t>分</w:t>
            </w:r>
          </w:p>
        </w:tc>
      </w:tr>
      <w:tr w14:paraId="19F850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2"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6B2B6ECD">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56" w:type="dxa"/>
            <w:tcBorders>
              <w:top w:val="single" w:color="080000" w:sz="4" w:space="0"/>
              <w:left w:val="single" w:color="080000" w:sz="4" w:space="0"/>
              <w:bottom w:val="single" w:color="080000" w:sz="4" w:space="0"/>
              <w:right w:val="single" w:color="080000" w:sz="4" w:space="0"/>
            </w:tcBorders>
            <w:vAlign w:val="center"/>
          </w:tcPr>
          <w:p w14:paraId="20840B09">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获取招标文件截止时间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75F4BA72">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02</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05</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tc>
      </w:tr>
      <w:tr w14:paraId="7990B9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8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42D906A5">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56" w:type="dxa"/>
            <w:tcBorders>
              <w:top w:val="single" w:color="080000" w:sz="4" w:space="0"/>
              <w:left w:val="single" w:color="080000" w:sz="4" w:space="0"/>
              <w:bottom w:val="single" w:color="080000" w:sz="4" w:space="0"/>
              <w:right w:val="single" w:color="080000" w:sz="4" w:space="0"/>
            </w:tcBorders>
            <w:vAlign w:val="center"/>
          </w:tcPr>
          <w:p w14:paraId="39B3D658">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网上提问</w:t>
            </w:r>
          </w:p>
          <w:p w14:paraId="14C98F03">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75938A76">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01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26</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 </w:t>
            </w:r>
            <w:r>
              <w:rPr>
                <w:rFonts w:hint="eastAsia" w:ascii="宋体" w:hAnsi="宋体" w:eastAsia="宋体" w:cs="宋体"/>
                <w:color w:val="auto"/>
                <w:kern w:val="0"/>
                <w:sz w:val="24"/>
                <w:szCs w:val="24"/>
                <w:highlight w:val="none"/>
                <w:lang w:val="en-US" w:eastAsia="zh-CN" w:bidi="ar-SA"/>
              </w:rPr>
              <w:t>分</w:t>
            </w:r>
          </w:p>
        </w:tc>
      </w:tr>
      <w:tr w14:paraId="3B110E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1"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471C1F2F">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56" w:type="dxa"/>
            <w:tcBorders>
              <w:top w:val="single" w:color="080000" w:sz="4" w:space="0"/>
              <w:left w:val="single" w:color="080000" w:sz="4" w:space="0"/>
              <w:bottom w:val="single" w:color="080000" w:sz="4" w:space="0"/>
              <w:right w:val="single" w:color="080000" w:sz="4" w:space="0"/>
            </w:tcBorders>
            <w:vAlign w:val="center"/>
          </w:tcPr>
          <w:p w14:paraId="38CFF048">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网上答疑</w:t>
            </w:r>
          </w:p>
          <w:p w14:paraId="3C1E0F02">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71547709">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 xml:space="preserve">2026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01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26</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分至</w:t>
            </w: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01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29</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w:t>
            </w:r>
            <w:r>
              <w:rPr>
                <w:rFonts w:hint="eastAsia" w:ascii="宋体" w:hAnsi="宋体" w:eastAsia="宋体" w:cs="宋体"/>
                <w:color w:val="auto"/>
                <w:kern w:val="0"/>
                <w:sz w:val="24"/>
                <w:szCs w:val="24"/>
                <w:highlight w:val="none"/>
                <w:lang w:val="en-US" w:eastAsia="zh-CN" w:bidi="ar-SA"/>
              </w:rPr>
              <w:t>分</w:t>
            </w:r>
          </w:p>
        </w:tc>
      </w:tr>
      <w:tr w14:paraId="226247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638"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ECD74D2">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56" w:type="dxa"/>
            <w:tcBorders>
              <w:top w:val="single" w:color="080000" w:sz="4" w:space="0"/>
              <w:left w:val="single" w:color="080000" w:sz="4" w:space="0"/>
              <w:bottom w:val="single" w:color="080000" w:sz="4" w:space="0"/>
              <w:right w:val="single" w:color="080000" w:sz="4" w:space="0"/>
            </w:tcBorders>
            <w:vAlign w:val="center"/>
          </w:tcPr>
          <w:p w14:paraId="0605F92E">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投标保证缴</w:t>
            </w:r>
          </w:p>
          <w:p w14:paraId="284B7D46">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纳截止时间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0F29A9B7">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投标保证金到账截止时间：</w:t>
            </w: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02</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04</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p w14:paraId="38467AD5">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投标保证担保上传截止时间：</w:t>
            </w: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02</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04</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p w14:paraId="7A4DE236">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投标保证保险投保截止时间：</w:t>
            </w: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02</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04</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tc>
      </w:tr>
      <w:tr w14:paraId="26A640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9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4780D2D8">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56" w:type="dxa"/>
            <w:tcBorders>
              <w:top w:val="single" w:color="080000" w:sz="4" w:space="0"/>
              <w:left w:val="single" w:color="080000" w:sz="4" w:space="0"/>
              <w:bottom w:val="single" w:color="080000" w:sz="4" w:space="0"/>
              <w:right w:val="single" w:color="080000" w:sz="4" w:space="0"/>
            </w:tcBorders>
            <w:vAlign w:val="center"/>
          </w:tcPr>
          <w:p w14:paraId="68123129">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电子投标</w:t>
            </w:r>
          </w:p>
          <w:p w14:paraId="6C367952">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1D2FFA2E">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02</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05</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tc>
      </w:tr>
      <w:tr w14:paraId="06E8BA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3C0C0234">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7</w:t>
            </w:r>
          </w:p>
        </w:tc>
        <w:tc>
          <w:tcPr>
            <w:tcW w:w="1756" w:type="dxa"/>
            <w:tcBorders>
              <w:top w:val="single" w:color="080000" w:sz="4" w:space="0"/>
              <w:left w:val="single" w:color="080000" w:sz="4" w:space="0"/>
              <w:bottom w:val="single" w:color="080000" w:sz="4" w:space="0"/>
              <w:right w:val="single" w:color="080000" w:sz="4" w:space="0"/>
            </w:tcBorders>
            <w:vAlign w:val="center"/>
          </w:tcPr>
          <w:p w14:paraId="7B147CED">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开标时间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30D526B8">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snapToGrid w:val="0"/>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02</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05</w:t>
            </w:r>
            <w:r>
              <w:rPr>
                <w:rFonts w:hint="eastAsia" w:ascii="宋体" w:hAnsi="宋体" w:eastAsia="宋体" w:cs="宋体"/>
                <w:snapToGrid w:val="0"/>
                <w:color w:val="auto"/>
                <w:kern w:val="0"/>
                <w:sz w:val="24"/>
                <w:szCs w:val="24"/>
                <w:highlight w:val="none"/>
                <w:lang w:val="en-US" w:eastAsia="zh-CN" w:bidi="ar-SA"/>
              </w:rPr>
              <w:t>日</w:t>
            </w:r>
            <w:r>
              <w:rPr>
                <w:rFonts w:hint="eastAsia" w:ascii="宋体" w:hAnsi="宋体" w:eastAsia="宋体" w:cs="宋体"/>
                <w:snapToGrid w:val="0"/>
                <w:color w:val="auto"/>
                <w:kern w:val="0"/>
                <w:sz w:val="24"/>
                <w:szCs w:val="24"/>
                <w:highlight w:val="none"/>
                <w:u w:val="single"/>
                <w:lang w:val="en-US" w:eastAsia="zh-CN" w:bidi="ar-SA"/>
              </w:rPr>
              <w:t xml:space="preserve"> 9 </w:t>
            </w:r>
            <w:r>
              <w:rPr>
                <w:rFonts w:hint="eastAsia" w:ascii="宋体" w:hAnsi="宋体" w:eastAsia="宋体" w:cs="宋体"/>
                <w:snapToGrid w:val="0"/>
                <w:color w:val="auto"/>
                <w:kern w:val="0"/>
                <w:sz w:val="24"/>
                <w:szCs w:val="24"/>
                <w:highlight w:val="none"/>
                <w:lang w:val="en-US" w:eastAsia="zh-CN" w:bidi="ar-SA"/>
              </w:rPr>
              <w:t>时</w:t>
            </w:r>
            <w:r>
              <w:rPr>
                <w:rFonts w:hint="eastAsia" w:ascii="宋体" w:hAnsi="宋体" w:eastAsia="宋体" w:cs="宋体"/>
                <w:snapToGrid w:val="0"/>
                <w:color w:val="auto"/>
                <w:kern w:val="0"/>
                <w:sz w:val="24"/>
                <w:szCs w:val="24"/>
                <w:highlight w:val="none"/>
                <w:u w:val="single"/>
                <w:lang w:val="en-US" w:eastAsia="zh-CN" w:bidi="ar-SA"/>
              </w:rPr>
              <w:t xml:space="preserve"> 30 </w:t>
            </w:r>
            <w:r>
              <w:rPr>
                <w:rFonts w:hint="eastAsia" w:ascii="宋体" w:hAnsi="宋体" w:eastAsia="宋体" w:cs="宋体"/>
                <w:snapToGrid w:val="0"/>
                <w:color w:val="auto"/>
                <w:kern w:val="0"/>
                <w:sz w:val="24"/>
                <w:szCs w:val="24"/>
                <w:highlight w:val="none"/>
                <w:lang w:val="en-US" w:eastAsia="zh-CN" w:bidi="ar-SA"/>
              </w:rPr>
              <w:t>分</w:t>
            </w:r>
          </w:p>
        </w:tc>
      </w:tr>
      <w:tr w14:paraId="4EE915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1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7910F806">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8</w:t>
            </w:r>
          </w:p>
        </w:tc>
        <w:tc>
          <w:tcPr>
            <w:tcW w:w="1756" w:type="dxa"/>
            <w:tcBorders>
              <w:top w:val="single" w:color="080000" w:sz="4" w:space="0"/>
              <w:left w:val="single" w:color="080000" w:sz="4" w:space="0"/>
              <w:bottom w:val="single" w:color="080000" w:sz="4" w:space="0"/>
              <w:right w:val="single" w:color="080000" w:sz="4" w:space="0"/>
            </w:tcBorders>
            <w:vAlign w:val="center"/>
          </w:tcPr>
          <w:p w14:paraId="44620FBD">
            <w:pPr>
              <w:pStyle w:val="22"/>
              <w:wordWrap w:val="0"/>
              <w:adjustRightInd w:val="0"/>
              <w:snapToGrid w:val="0"/>
              <w:jc w:val="center"/>
              <w:rPr>
                <w:rFonts w:hint="eastAsia" w:ascii="宋体" w:hAnsi="宋体" w:eastAsia="宋体" w:cs="宋体"/>
                <w:b w:val="0"/>
                <w:bCs w:val="0"/>
                <w:snapToGrid w:val="0"/>
                <w:color w:val="auto"/>
                <w:kern w:val="0"/>
                <w:sz w:val="24"/>
                <w:szCs w:val="24"/>
                <w:highlight w:val="none"/>
              </w:rPr>
            </w:pPr>
            <w:r>
              <w:rPr>
                <w:rFonts w:hint="eastAsia"/>
                <w:snapToGrid w:val="0"/>
                <w:color w:val="auto"/>
                <w:kern w:val="0"/>
                <w:sz w:val="24"/>
                <w:highlight w:val="none"/>
              </w:rPr>
              <w:t xml:space="preserve">开标地点 </w:t>
            </w:r>
          </w:p>
        </w:tc>
        <w:tc>
          <w:tcPr>
            <w:tcW w:w="7932" w:type="dxa"/>
            <w:tcBorders>
              <w:top w:val="single" w:color="080000" w:sz="4" w:space="0"/>
              <w:left w:val="single" w:color="080000" w:sz="4" w:space="0"/>
              <w:bottom w:val="single" w:color="080000" w:sz="4" w:space="0"/>
              <w:right w:val="single" w:color="080000" w:sz="4" w:space="0"/>
            </w:tcBorders>
            <w:vAlign w:val="center"/>
          </w:tcPr>
          <w:p w14:paraId="2589DBA0">
            <w:pPr>
              <w:pStyle w:val="12"/>
              <w:wordWrap w:val="0"/>
              <w:adjustRightInd w:val="0"/>
              <w:snapToGrid w:val="0"/>
              <w:spacing w:line="240" w:lineRule="auto"/>
              <w:jc w:val="left"/>
              <w:rPr>
                <w:rFonts w:hint="eastAsia" w:cs="宋体"/>
                <w:snapToGrid w:val="0"/>
                <w:color w:val="auto"/>
                <w:kern w:val="0"/>
                <w:szCs w:val="24"/>
                <w:highlight w:val="none"/>
              </w:rPr>
            </w:pPr>
            <w:r>
              <w:rPr>
                <w:rFonts w:hint="eastAsia" w:cs="宋体"/>
                <w:snapToGrid w:val="0"/>
                <w:color w:val="auto"/>
                <w:kern w:val="0"/>
                <w:szCs w:val="24"/>
                <w:highlight w:val="none"/>
              </w:rPr>
              <w:t>开标场所：韶关市公共资源交易中心</w:t>
            </w:r>
          </w:p>
          <w:p w14:paraId="6996BAC0">
            <w:pPr>
              <w:pStyle w:val="12"/>
              <w:wordWrap w:val="0"/>
              <w:adjustRightInd w:val="0"/>
              <w:snapToGrid w:val="0"/>
              <w:spacing w:line="240" w:lineRule="auto"/>
              <w:jc w:val="left"/>
              <w:rPr>
                <w:rFonts w:hint="eastAsia" w:ascii="宋体" w:hAnsi="宋体" w:eastAsia="宋体" w:cs="宋体"/>
                <w:b w:val="0"/>
                <w:bCs w:val="0"/>
                <w:snapToGrid w:val="0"/>
                <w:color w:val="auto"/>
                <w:kern w:val="0"/>
                <w:sz w:val="24"/>
                <w:szCs w:val="24"/>
                <w:highlight w:val="none"/>
              </w:rPr>
            </w:pPr>
            <w:r>
              <w:rPr>
                <w:rFonts w:hint="eastAsia" w:cs="宋体"/>
                <w:snapToGrid w:val="0"/>
                <w:color w:val="auto"/>
                <w:kern w:val="0"/>
                <w:szCs w:val="24"/>
                <w:highlight w:val="none"/>
              </w:rPr>
              <w:t>地址：</w:t>
            </w:r>
            <w:bookmarkStart w:id="243" w:name="_GoBack"/>
            <w:r>
              <w:rPr>
                <w:rFonts w:hint="eastAsia" w:cs="宋体"/>
                <w:snapToGrid w:val="0"/>
                <w:color w:val="auto"/>
                <w:kern w:val="0"/>
                <w:szCs w:val="24"/>
                <w:highlight w:val="none"/>
              </w:rPr>
              <w:t>广东省韶关市武江区西联镇</w:t>
            </w:r>
            <w:bookmarkEnd w:id="243"/>
            <w:r>
              <w:rPr>
                <w:rFonts w:hint="eastAsia" w:cs="宋体"/>
                <w:snapToGrid w:val="0"/>
                <w:color w:val="auto"/>
                <w:kern w:val="0"/>
                <w:szCs w:val="24"/>
                <w:highlight w:val="none"/>
              </w:rPr>
              <w:t>，具体递交场所以当日现场通知为准</w:t>
            </w:r>
            <w:r>
              <w:rPr>
                <w:rFonts w:hint="eastAsia"/>
                <w:snapToGrid w:val="0"/>
                <w:color w:val="auto"/>
                <w:kern w:val="0"/>
                <w:szCs w:val="24"/>
                <w:highlight w:val="none"/>
              </w:rPr>
              <w:t>。</w:t>
            </w:r>
          </w:p>
        </w:tc>
      </w:tr>
      <w:tr w14:paraId="56FDA0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732" w:hRule="atLeast"/>
        </w:trPr>
        <w:tc>
          <w:tcPr>
            <w:tcW w:w="2247" w:type="dxa"/>
            <w:gridSpan w:val="2"/>
            <w:tcBorders>
              <w:top w:val="single" w:color="080000" w:sz="4" w:space="0"/>
              <w:left w:val="single" w:color="080000" w:sz="4" w:space="0"/>
              <w:bottom w:val="single" w:color="080000" w:sz="4" w:space="0"/>
              <w:right w:val="single" w:color="080000" w:sz="4" w:space="0"/>
            </w:tcBorders>
            <w:vAlign w:val="center"/>
          </w:tcPr>
          <w:p w14:paraId="6A39F122">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7932" w:type="dxa"/>
            <w:tcBorders>
              <w:top w:val="single" w:color="080000" w:sz="4" w:space="0"/>
              <w:left w:val="single" w:color="080000" w:sz="4" w:space="0"/>
              <w:bottom w:val="single" w:color="080000" w:sz="4" w:space="0"/>
              <w:right w:val="single" w:color="080000" w:sz="4" w:space="0"/>
            </w:tcBorders>
            <w:vAlign w:val="center"/>
          </w:tcPr>
          <w:p w14:paraId="4313370D">
            <w:pPr>
              <w:pStyle w:val="22"/>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F0C25BC">
      <w:pPr>
        <w:keepNext w:val="0"/>
        <w:keepLines w:val="0"/>
        <w:pageBreakBefore w:val="0"/>
        <w:widowControl w:val="0"/>
        <w:tabs>
          <w:tab w:val="left" w:pos="8820"/>
        </w:tabs>
        <w:kinsoku/>
        <w:wordWrap w:val="0"/>
        <w:overflowPunct/>
        <w:topLinePunct/>
        <w:autoSpaceDE/>
        <w:autoSpaceDN/>
        <w:bidi w:val="0"/>
        <w:adjustRightInd w:val="0"/>
        <w:snapToGrid w:val="0"/>
        <w:ind w:right="84" w:rightChars="40"/>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58A3191A">
      <w:pPr>
        <w:keepNext w:val="0"/>
        <w:keepLines w:val="0"/>
        <w:pageBreakBefore w:val="0"/>
        <w:widowControl w:val="0"/>
        <w:kinsoku/>
        <w:wordWrap w:val="0"/>
        <w:overflowPunct/>
        <w:topLinePunct/>
        <w:autoSpaceDE/>
        <w:autoSpaceDN/>
        <w:bidi w:val="0"/>
        <w:adjustRightInd w:val="0"/>
        <w:snapToGrid w:val="0"/>
        <w:ind w:right="84" w:rightChars="40"/>
        <w:jc w:val="center"/>
        <w:outlineLvl w:val="1"/>
        <w:rPr>
          <w:rFonts w:hint="eastAsia" w:ascii="宋体" w:hAnsi="宋体" w:eastAsia="宋体" w:cs="宋体"/>
          <w:color w:val="auto"/>
          <w:sz w:val="24"/>
          <w:szCs w:val="24"/>
          <w:highlight w:val="none"/>
        </w:rPr>
      </w:pPr>
      <w:bookmarkStart w:id="7" w:name="_Toc15564"/>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F1B6CE7">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highlight w:val="none"/>
        </w:rPr>
      </w:pPr>
    </w:p>
    <w:p w14:paraId="1F0A09EA">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5A953563">
      <w:pPr>
        <w:keepNext w:val="0"/>
        <w:keepLines w:val="0"/>
        <w:pageBreakBefore w:val="0"/>
        <w:widowControl w:val="0"/>
        <w:suppressLineNumbers w:val="0"/>
        <w:tabs>
          <w:tab w:val="left" w:pos="9040"/>
          <w:tab w:val="left" w:pos="9240"/>
        </w:tabs>
        <w:kinsoku/>
        <w:wordWrap w:val="0"/>
        <w:overflowPunct/>
        <w:topLinePunct/>
        <w:autoSpaceDE/>
        <w:autoSpaceDN/>
        <w:bidi w:val="0"/>
        <w:adjustRightInd w:val="0"/>
        <w:snapToGrid w:val="0"/>
        <w:spacing w:line="360" w:lineRule="auto"/>
        <w:ind w:right="84" w:rightChars="4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0"/>
          <w:sz w:val="24"/>
          <w:szCs w:val="24"/>
          <w:highlight w:val="none"/>
          <w:u w:val="single"/>
          <w:lang w:eastAsia="zh-CN"/>
        </w:rPr>
        <w:t>浈江区黄金村客运站场分布式屋顶光伏项目、浈江区南郊六公里力士通站场分布式屋顶光伏项目工程施工</w:t>
      </w:r>
      <w:r>
        <w:rPr>
          <w:rFonts w:hint="eastAsia" w:ascii="宋体" w:hAnsi="宋体" w:eastAsia="宋体" w:cs="宋体"/>
          <w:snapToGrid w:val="0"/>
          <w:color w:val="auto"/>
          <w:kern w:val="0"/>
          <w:sz w:val="24"/>
          <w:szCs w:val="24"/>
          <w:highlight w:val="none"/>
        </w:rPr>
        <w:t>业经</w:t>
      </w:r>
      <w:r>
        <w:rPr>
          <w:rFonts w:hint="eastAsia" w:ascii="宋体" w:hAnsi="宋体" w:eastAsia="宋体" w:cs="宋体"/>
          <w:color w:val="auto"/>
          <w:kern w:val="0"/>
          <w:sz w:val="24"/>
          <w:szCs w:val="24"/>
          <w:highlight w:val="none"/>
          <w:u w:val="single"/>
          <w:lang w:eastAsia="zh-CN"/>
        </w:rPr>
        <w:t>韶关市发展和改革局</w:t>
      </w:r>
      <w:r>
        <w:rPr>
          <w:rFonts w:hint="eastAsia" w:ascii="宋体" w:hAnsi="宋体" w:eastAsia="宋体" w:cs="宋体"/>
          <w:snapToGrid w:val="0"/>
          <w:color w:val="auto"/>
          <w:kern w:val="0"/>
          <w:sz w:val="24"/>
          <w:szCs w:val="24"/>
          <w:highlight w:val="none"/>
          <w:u w:val="none"/>
        </w:rPr>
        <w:t>批准建设</w:t>
      </w:r>
      <w:r>
        <w:rPr>
          <w:rFonts w:hint="eastAsia" w:ascii="宋体" w:hAnsi="宋体" w:eastAsia="宋体" w:cs="宋体"/>
          <w:snapToGrid w:val="0"/>
          <w:color w:val="auto"/>
          <w:kern w:val="0"/>
          <w:sz w:val="24"/>
          <w:szCs w:val="24"/>
          <w:highlight w:val="none"/>
        </w:rPr>
        <w:t>，项目代码为</w:t>
      </w:r>
      <w:r>
        <w:rPr>
          <w:rFonts w:hint="eastAsia" w:ascii="宋体" w:hAnsi="宋体" w:eastAsia="宋体" w:cs="宋体"/>
          <w:snapToGrid w:val="0"/>
          <w:color w:val="auto"/>
          <w:kern w:val="0"/>
          <w:sz w:val="24"/>
          <w:szCs w:val="24"/>
          <w:highlight w:val="none"/>
          <w:u w:val="single"/>
          <w:lang w:eastAsia="zh-CN"/>
        </w:rPr>
        <w:t>2502-440204-04-01-451549；2502-440204-04-01-723112</w:t>
      </w:r>
      <w:r>
        <w:rPr>
          <w:rFonts w:hint="eastAsia" w:ascii="宋体" w:hAnsi="宋体" w:eastAsia="宋体" w:cs="宋体"/>
          <w:snapToGrid w:val="0"/>
          <w:color w:val="auto"/>
          <w:kern w:val="0"/>
          <w:sz w:val="24"/>
          <w:szCs w:val="24"/>
          <w:highlight w:val="none"/>
        </w:rPr>
        <w:t>。项目业主为：</w:t>
      </w:r>
      <w:r>
        <w:rPr>
          <w:rFonts w:hint="eastAsia" w:ascii="宋体" w:hAnsi="宋体" w:eastAsia="宋体" w:cs="宋体"/>
          <w:snapToGrid w:val="0"/>
          <w:color w:val="auto"/>
          <w:kern w:val="0"/>
          <w:sz w:val="24"/>
          <w:szCs w:val="24"/>
          <w:highlight w:val="none"/>
          <w:u w:val="single"/>
          <w:lang w:eastAsia="zh-CN"/>
        </w:rPr>
        <w:t>粤北能源投资（广东）有限公司</w:t>
      </w:r>
      <w:r>
        <w:rPr>
          <w:rFonts w:hint="eastAsia" w:ascii="宋体" w:hAnsi="宋体" w:eastAsia="宋体" w:cs="宋体"/>
          <w:snapToGrid w:val="0"/>
          <w:color w:val="auto"/>
          <w:kern w:val="0"/>
          <w:sz w:val="24"/>
          <w:szCs w:val="24"/>
          <w:highlight w:val="none"/>
        </w:rPr>
        <w:t>，建设资金：</w:t>
      </w:r>
      <w:r>
        <w:rPr>
          <w:rFonts w:hint="eastAsia" w:ascii="宋体" w:hAnsi="宋体" w:eastAsia="宋体" w:cs="宋体"/>
          <w:bCs/>
          <w:color w:val="auto"/>
          <w:sz w:val="24"/>
          <w:szCs w:val="24"/>
          <w:highlight w:val="none"/>
          <w:u w:val="single"/>
        </w:rPr>
        <w:t xml:space="preserve">企业自筹 </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招标人为</w:t>
      </w:r>
      <w:r>
        <w:rPr>
          <w:rFonts w:hint="eastAsia" w:ascii="宋体" w:hAnsi="宋体" w:eastAsia="宋体" w:cs="宋体"/>
          <w:color w:val="auto"/>
          <w:kern w:val="0"/>
          <w:sz w:val="24"/>
          <w:szCs w:val="24"/>
          <w:highlight w:val="none"/>
          <w:u w:val="single"/>
          <w:lang w:eastAsia="zh-CN"/>
        </w:rPr>
        <w:t>粤北能源投资（广东）有限公司</w:t>
      </w:r>
      <w:r>
        <w:rPr>
          <w:rFonts w:hint="eastAsia" w:ascii="宋体" w:hAnsi="宋体" w:eastAsia="宋体" w:cs="宋体"/>
          <w:snapToGrid w:val="0"/>
          <w:color w:val="auto"/>
          <w:kern w:val="0"/>
          <w:sz w:val="24"/>
          <w:szCs w:val="24"/>
          <w:highlight w:val="none"/>
        </w:rPr>
        <w:t>，招标代理机构为</w:t>
      </w:r>
      <w:r>
        <w:rPr>
          <w:rFonts w:hint="eastAsia" w:ascii="宋体" w:hAnsi="宋体" w:eastAsia="宋体" w:cs="宋体"/>
          <w:color w:val="auto"/>
          <w:kern w:val="0"/>
          <w:sz w:val="24"/>
          <w:szCs w:val="24"/>
          <w:highlight w:val="none"/>
          <w:u w:val="single"/>
          <w:lang w:eastAsia="zh-CN"/>
        </w:rPr>
        <w:t>韶关市建韶工程造价咨询有限公司</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工程</w:t>
      </w:r>
      <w:r>
        <w:rPr>
          <w:rFonts w:hint="eastAsia" w:ascii="宋体" w:hAnsi="宋体" w:eastAsia="宋体" w:cs="宋体"/>
          <w:snapToGrid w:val="0"/>
          <w:color w:val="auto"/>
          <w:kern w:val="0"/>
          <w:sz w:val="24"/>
          <w:szCs w:val="24"/>
          <w:highlight w:val="none"/>
          <w:u w:val="single"/>
        </w:rPr>
        <w:t>施工</w:t>
      </w:r>
      <w:r>
        <w:rPr>
          <w:rFonts w:hint="eastAsia" w:ascii="宋体" w:hAnsi="宋体" w:eastAsia="宋体" w:cs="宋体"/>
          <w:snapToGrid w:val="0"/>
          <w:color w:val="auto"/>
          <w:kern w:val="0"/>
          <w:sz w:val="24"/>
          <w:szCs w:val="24"/>
          <w:highlight w:val="none"/>
        </w:rPr>
        <w:t>进行公开招标</w:t>
      </w:r>
      <w:r>
        <w:rPr>
          <w:rFonts w:hint="eastAsia" w:ascii="宋体" w:hAnsi="宋体" w:eastAsia="宋体" w:cs="宋体"/>
          <w:snapToGrid w:val="0"/>
          <w:color w:val="auto"/>
          <w:kern w:val="0"/>
          <w:sz w:val="24"/>
          <w:szCs w:val="24"/>
          <w:highlight w:val="none"/>
          <w:lang w:eastAsia="zh-CN"/>
        </w:rPr>
        <w:t>。</w:t>
      </w:r>
    </w:p>
    <w:p w14:paraId="10327E7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41" w:firstLineChars="275"/>
        <w:textAlignment w:val="baseline"/>
        <w:outlineLvl w:val="2"/>
        <w:rPr>
          <w:rFonts w:hint="eastAsia" w:ascii="宋体" w:hAnsi="宋体" w:eastAsia="宋体" w:cs="宋体"/>
          <w:color w:val="auto"/>
          <w:sz w:val="24"/>
          <w:szCs w:val="24"/>
          <w:highlight w:val="none"/>
        </w:rPr>
      </w:pPr>
      <w:bookmarkStart w:id="8" w:name="bookmark73"/>
      <w:bookmarkEnd w:id="8"/>
      <w:bookmarkStart w:id="9" w:name="bookmark52"/>
      <w:bookmarkEnd w:id="9"/>
      <w:bookmarkStart w:id="10" w:name="bookmark59"/>
      <w:bookmarkEnd w:id="10"/>
      <w:bookmarkStart w:id="11" w:name="_Toc15993"/>
      <w:bookmarkStart w:id="12" w:name="_Toc7786"/>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46528D6F">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35" w:firstLineChars="2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7A5C7DCA">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2" w:firstLineChars="275"/>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pacing w:val="-2"/>
          <w:sz w:val="24"/>
          <w:szCs w:val="24"/>
          <w:highlight w:val="none"/>
          <w:u w:val="single"/>
          <w:lang w:val="en-US" w:eastAsia="zh-CN"/>
        </w:rPr>
        <w:t>韶关市浈江区</w:t>
      </w:r>
      <w:r>
        <w:rPr>
          <w:rFonts w:hint="eastAsia" w:ascii="宋体" w:hAnsi="宋体" w:eastAsia="宋体" w:cs="宋体"/>
          <w:color w:val="auto"/>
          <w:sz w:val="24"/>
          <w:szCs w:val="24"/>
          <w:highlight w:val="none"/>
          <w:u w:val="single"/>
          <w:lang w:val="en-US" w:eastAsia="zh-CN"/>
        </w:rPr>
        <w:t>。</w:t>
      </w:r>
    </w:p>
    <w:p w14:paraId="27C99B5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2" w:firstLineChars="275"/>
        <w:textAlignment w:val="baseline"/>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Theme="minorEastAsia" w:hAnsiTheme="minorEastAsia" w:eastAsiaTheme="minorEastAsia" w:cstheme="minorEastAsia"/>
          <w:snapToGrid w:val="0"/>
          <w:color w:val="auto"/>
          <w:kern w:val="0"/>
          <w:sz w:val="24"/>
          <w:szCs w:val="24"/>
          <w:highlight w:val="none"/>
          <w:lang w:val="en-US" w:eastAsia="zh-CN"/>
        </w:rPr>
        <w:t>项目利用南郊六公里力士通站场屋顶、黄金村公交客运站车棚面积约 26818 平方米，建设分布式光伏项目，建设规模约为3936.72kWp。</w:t>
      </w:r>
    </w:p>
    <w:p w14:paraId="3265AE0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2" w:firstLineChars="275"/>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Theme="minorEastAsia" w:hAnsiTheme="minorEastAsia" w:eastAsiaTheme="minorEastAsia" w:cstheme="minorEastAsia"/>
          <w:snapToGrid w:val="0"/>
          <w:color w:val="auto"/>
          <w:kern w:val="0"/>
          <w:sz w:val="24"/>
          <w:szCs w:val="24"/>
          <w:highlight w:val="none"/>
          <w:lang w:val="en-US" w:eastAsia="zh-CN"/>
        </w:rPr>
        <w:t>项目总投资约1424万元，本次招标工程费约562万元。</w:t>
      </w:r>
    </w:p>
    <w:p w14:paraId="07E1EE27">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63" w:firstLineChars="275"/>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none"/>
          <w:lang w:val="en-US" w:eastAsia="zh-CN"/>
        </w:rPr>
        <w:t xml:space="preserve"> 招标范围和标段划分</w:t>
      </w:r>
    </w:p>
    <w:p w14:paraId="087C32F2">
      <w:pPr>
        <w:pStyle w:val="22"/>
        <w:keepNext w:val="0"/>
        <w:keepLines w:val="0"/>
        <w:pageBreakBefore w:val="0"/>
        <w:widowControl w:val="0"/>
        <w:kinsoku/>
        <w:wordWrap w:val="0"/>
        <w:overflowPunct/>
        <w:topLinePunct/>
        <w:autoSpaceDE/>
        <w:autoSpaceDN/>
        <w:bidi w:val="0"/>
        <w:adjustRightInd w:val="0"/>
        <w:snapToGrid w:val="0"/>
        <w:spacing w:line="360" w:lineRule="auto"/>
        <w:ind w:firstLine="711" w:firstLineChars="300"/>
        <w:jc w:val="left"/>
        <w:textAlignment w:val="auto"/>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p>
    <w:p w14:paraId="03498955">
      <w:pPr>
        <w:pStyle w:val="22"/>
        <w:keepNext w:val="0"/>
        <w:keepLines w:val="0"/>
        <w:pageBreakBefore w:val="0"/>
        <w:widowControl w:val="0"/>
        <w:kinsoku/>
        <w:wordWrap w:val="0"/>
        <w:overflowPunct/>
        <w:topLinePunct/>
        <w:autoSpaceDE/>
        <w:autoSpaceDN/>
        <w:bidi w:val="0"/>
        <w:adjustRightInd w:val="0"/>
        <w:snapToGrid w:val="0"/>
        <w:spacing w:line="360" w:lineRule="auto"/>
        <w:ind w:firstLine="723" w:firstLineChars="300"/>
        <w:jc w:val="left"/>
        <w:textAlignment w:val="auto"/>
        <w:rPr>
          <w:rFonts w:hint="eastAsia"/>
          <w:snapToGrid w:val="0"/>
          <w:color w:val="auto"/>
          <w:kern w:val="0"/>
          <w:sz w:val="24"/>
          <w:highlight w:val="none"/>
        </w:rPr>
      </w:pPr>
      <w:r>
        <w:rPr>
          <w:rFonts w:hint="eastAsia"/>
          <w:b/>
          <w:bCs/>
          <w:snapToGrid w:val="0"/>
          <w:color w:val="auto"/>
          <w:kern w:val="0"/>
          <w:sz w:val="24"/>
          <w:highlight w:val="none"/>
        </w:rPr>
        <w:t>工程</w:t>
      </w:r>
      <w:r>
        <w:rPr>
          <w:rFonts w:hint="eastAsia"/>
          <w:b/>
          <w:bCs/>
          <w:snapToGrid w:val="0"/>
          <w:color w:val="auto"/>
          <w:kern w:val="0"/>
          <w:sz w:val="24"/>
          <w:highlight w:val="none"/>
          <w:lang w:val="en-US" w:eastAsia="zh-CN"/>
        </w:rPr>
        <w:t>建设</w:t>
      </w:r>
      <w:r>
        <w:rPr>
          <w:rFonts w:hint="eastAsia"/>
          <w:b/>
          <w:bCs/>
          <w:snapToGrid w:val="0"/>
          <w:color w:val="auto"/>
          <w:kern w:val="0"/>
          <w:sz w:val="24"/>
          <w:highlight w:val="none"/>
        </w:rPr>
        <w:t>：</w:t>
      </w:r>
      <w:r>
        <w:rPr>
          <w:rFonts w:hint="eastAsia"/>
          <w:snapToGrid w:val="0"/>
          <w:color w:val="auto"/>
          <w:kern w:val="0"/>
          <w:sz w:val="24"/>
          <w:highlight w:val="none"/>
        </w:rPr>
        <w:t>包括</w:t>
      </w:r>
      <w:r>
        <w:rPr>
          <w:rFonts w:hint="eastAsia"/>
          <w:snapToGrid w:val="0"/>
          <w:color w:val="auto"/>
          <w:kern w:val="0"/>
          <w:sz w:val="24"/>
          <w:highlight w:val="none"/>
          <w:lang w:val="en-US" w:eastAsia="zh-CN"/>
        </w:rPr>
        <w:t>但</w:t>
      </w:r>
      <w:r>
        <w:rPr>
          <w:rFonts w:hint="eastAsia"/>
          <w:snapToGrid w:val="0"/>
          <w:color w:val="auto"/>
          <w:kern w:val="0"/>
          <w:sz w:val="24"/>
          <w:highlight w:val="none"/>
        </w:rPr>
        <w:t>不限于现场施工、设备安装（包括并网柜、汇流箱、</w:t>
      </w:r>
      <w:r>
        <w:rPr>
          <w:rFonts w:hint="eastAsia" w:ascii="Times New Roman" w:hAnsi="Times New Roman" w:cs="Times New Roman"/>
          <w:snapToGrid w:val="0"/>
          <w:color w:val="auto"/>
          <w:kern w:val="0"/>
          <w:sz w:val="24"/>
          <w:highlight w:val="none"/>
          <w:lang w:val="en-US" w:eastAsia="zh-CN"/>
        </w:rPr>
        <w:t>计量柜、光伏组件、逆变器</w:t>
      </w:r>
      <w:r>
        <w:rPr>
          <w:rFonts w:hint="eastAsia" w:cs="Times New Roman"/>
          <w:snapToGrid w:val="0"/>
          <w:color w:val="auto"/>
          <w:kern w:val="0"/>
          <w:sz w:val="24"/>
          <w:highlight w:val="none"/>
          <w:lang w:val="en-US" w:eastAsia="zh-CN"/>
        </w:rPr>
        <w:t>、电缆</w:t>
      </w:r>
      <w:r>
        <w:rPr>
          <w:rFonts w:hint="eastAsia" w:ascii="Times New Roman" w:hAnsi="Times New Roman" w:cs="Times New Roman"/>
          <w:snapToGrid w:val="0"/>
          <w:color w:val="auto"/>
          <w:kern w:val="0"/>
          <w:sz w:val="24"/>
          <w:highlight w:val="none"/>
          <w:lang w:val="en-US" w:eastAsia="zh-CN"/>
        </w:rPr>
        <w:t>等与本工程相关的所有配电设备安装，主要材料甲供）、管理、试验及相关鉴定测试、系统调试、试运营、竣工验收、完成并网发电要求，质量缺陷责任期内的技术服务与缺陷修复、投入使用、保修期的保修工作等全部工程实施内容。</w:t>
      </w:r>
    </w:p>
    <w:p w14:paraId="6DB8926D">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720" w:firstLineChars="300"/>
        <w:textAlignment w:val="baseline"/>
        <w:rPr>
          <w:rFonts w:hint="eastAsia" w:ascii="宋体" w:hAnsi="宋体" w:eastAsia="宋体" w:cs="宋体"/>
          <w:color w:val="auto"/>
          <w:sz w:val="24"/>
          <w:szCs w:val="24"/>
          <w:highlight w:val="none"/>
          <w:lang w:eastAsia="zh-CN"/>
        </w:rPr>
      </w:pPr>
      <w:r>
        <w:rPr>
          <w:rFonts w:hint="eastAsia"/>
          <w:b/>
          <w:bCs/>
          <w:snapToGrid w:val="0"/>
          <w:color w:val="auto"/>
          <w:kern w:val="0"/>
          <w:sz w:val="24"/>
          <w:highlight w:val="none"/>
        </w:rPr>
        <w:t>其他：</w:t>
      </w:r>
      <w:r>
        <w:rPr>
          <w:rFonts w:hint="eastAsia"/>
          <w:snapToGrid w:val="0"/>
          <w:color w:val="auto"/>
          <w:kern w:val="0"/>
          <w:sz w:val="24"/>
          <w:highlight w:val="none"/>
        </w:rPr>
        <w:t>项目备案至并网发电后整体交付使用和相关验收手续办理工作，期间一切手续办理及协调工作。</w:t>
      </w:r>
    </w:p>
    <w:p w14:paraId="42569C8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2" w:firstLineChars="275"/>
        <w:textAlignment w:val="baseline"/>
        <w:outlineLvl w:val="9"/>
        <w:rPr>
          <w:rFonts w:hint="eastAsia" w:ascii="宋体" w:hAnsi="宋体" w:eastAsia="宋体" w:cs="宋体"/>
          <w:color w:val="auto"/>
          <w:sz w:val="24"/>
          <w:szCs w:val="24"/>
          <w:highlight w:val="none"/>
        </w:rPr>
      </w:pPr>
      <w:bookmarkStart w:id="13" w:name="_Toc24593"/>
      <w:bookmarkStart w:id="14" w:name="_Toc20855"/>
      <w:bookmarkStart w:id="15" w:name="_Toc14190"/>
      <w:bookmarkStart w:id="16" w:name="_Toc28202"/>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09EE4B31">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499E1505">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30" w:firstLineChars="2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558C1E0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41" w:firstLineChars="275"/>
        <w:textAlignment w:val="baseline"/>
        <w:outlineLvl w:val="2"/>
        <w:rPr>
          <w:rFonts w:hint="eastAsia" w:ascii="宋体" w:hAnsi="宋体" w:eastAsia="宋体" w:cs="宋体"/>
          <w:b/>
          <w:bCs/>
          <w:color w:val="auto"/>
          <w:spacing w:val="-4"/>
          <w:sz w:val="24"/>
          <w:szCs w:val="24"/>
          <w:highlight w:val="none"/>
        </w:rPr>
      </w:pPr>
      <w:bookmarkStart w:id="17" w:name="_Toc17294"/>
      <w:r>
        <w:rPr>
          <w:rFonts w:hint="eastAsia" w:ascii="宋体" w:hAnsi="宋体" w:eastAsia="宋体" w:cs="宋体"/>
          <w:b/>
          <w:bCs/>
          <w:color w:val="auto"/>
          <w:spacing w:val="-4"/>
          <w:sz w:val="24"/>
          <w:szCs w:val="24"/>
          <w:highlight w:val="none"/>
          <w:lang w:eastAsia="zh-CN"/>
        </w:rPr>
        <w:t>2.投标人</w:t>
      </w:r>
      <w:r>
        <w:rPr>
          <w:rFonts w:hint="eastAsia" w:ascii="宋体" w:hAnsi="宋体" w:eastAsia="宋体" w:cs="宋体"/>
          <w:b/>
          <w:bCs/>
          <w:color w:val="auto"/>
          <w:spacing w:val="-4"/>
          <w:sz w:val="24"/>
          <w:szCs w:val="24"/>
          <w:highlight w:val="none"/>
        </w:rPr>
        <w:t>资质要求</w:t>
      </w:r>
      <w:bookmarkEnd w:id="17"/>
    </w:p>
    <w:p w14:paraId="327743FC">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2.1.</w:t>
      </w:r>
      <w:r>
        <w:rPr>
          <w:rFonts w:hint="eastAsia" w:ascii="宋体" w:hAnsi="宋体" w:eastAsia="宋体" w:cs="宋体"/>
          <w:color w:val="auto"/>
          <w:spacing w:val="-1"/>
          <w:sz w:val="24"/>
          <w:szCs w:val="24"/>
          <w:highlight w:val="none"/>
        </w:rPr>
        <w:t>本次招标</w:t>
      </w:r>
      <w:r>
        <w:rPr>
          <w:rFonts w:hint="eastAsia" w:ascii="宋体" w:hAnsi="宋体" w:eastAsia="宋体" w:cs="宋体"/>
          <w:color w:val="auto"/>
          <w:spacing w:val="-1"/>
          <w:sz w:val="24"/>
          <w:szCs w:val="24"/>
          <w:highlight w:val="none"/>
          <w:lang w:eastAsia="zh-CN"/>
        </w:rPr>
        <w:t>不</w:t>
      </w:r>
      <w:r>
        <w:rPr>
          <w:rFonts w:hint="eastAsia" w:ascii="宋体" w:hAnsi="宋体" w:eastAsia="宋体" w:cs="宋体"/>
          <w:color w:val="auto"/>
          <w:spacing w:val="-1"/>
          <w:sz w:val="24"/>
          <w:szCs w:val="24"/>
          <w:highlight w:val="none"/>
        </w:rPr>
        <w:t>接受联合体投标。</w:t>
      </w:r>
    </w:p>
    <w:p w14:paraId="340249A2">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2</w:t>
      </w:r>
      <w:r>
        <w:rPr>
          <w:rFonts w:hint="eastAsia" w:ascii="宋体" w:hAnsi="宋体" w:eastAsia="宋体" w:cs="宋体"/>
          <w:color w:val="auto"/>
          <w:spacing w:val="-1"/>
          <w:sz w:val="24"/>
          <w:szCs w:val="24"/>
          <w:highlight w:val="none"/>
        </w:rPr>
        <w:t>．资质要求</w:t>
      </w:r>
    </w:p>
    <w:p w14:paraId="486A35E7">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2.1</w:t>
      </w:r>
      <w:r>
        <w:rPr>
          <w:rFonts w:hint="eastAsia" w:ascii="宋体" w:hAnsi="宋体" w:eastAsia="宋体" w:cs="宋体"/>
          <w:color w:val="auto"/>
          <w:spacing w:val="-1"/>
          <w:sz w:val="24"/>
          <w:szCs w:val="24"/>
          <w:highlight w:val="none"/>
        </w:rPr>
        <w:t xml:space="preserve"> 投标人须具备独立法人资格，按国家法律经营。</w:t>
      </w:r>
    </w:p>
    <w:p w14:paraId="17D7EC91">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2.2</w:t>
      </w:r>
      <w:r>
        <w:rPr>
          <w:rFonts w:hint="eastAsia" w:ascii="宋体" w:hAnsi="宋体" w:eastAsia="宋体" w:cs="宋体"/>
          <w:color w:val="auto"/>
          <w:spacing w:val="-1"/>
          <w:sz w:val="24"/>
          <w:szCs w:val="24"/>
          <w:highlight w:val="none"/>
        </w:rPr>
        <w:t xml:space="preserve"> 投标人须持有建设行政主管部门颁发的企业资质证书及安全生产许可证。</w:t>
      </w:r>
    </w:p>
    <w:p w14:paraId="3D8A662A">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val="en-US" w:eastAsia="zh-CN"/>
        </w:rPr>
        <w:t xml:space="preserve">2.2.3 </w:t>
      </w:r>
      <w:r>
        <w:rPr>
          <w:rFonts w:hint="eastAsia"/>
          <w:bCs/>
          <w:snapToGrid w:val="0"/>
          <w:color w:val="auto"/>
          <w:kern w:val="0"/>
          <w:sz w:val="24"/>
          <w:highlight w:val="none"/>
        </w:rPr>
        <w:t>参加投标的投标人必须</w:t>
      </w:r>
      <w:r>
        <w:rPr>
          <w:rFonts w:hint="eastAsia" w:eastAsia="宋体"/>
          <w:bCs/>
          <w:snapToGrid w:val="0"/>
          <w:color w:val="auto"/>
          <w:kern w:val="0"/>
          <w:sz w:val="24"/>
          <w:highlight w:val="none"/>
          <w:lang w:eastAsia="zh-CN"/>
        </w:rPr>
        <w:t>同时</w:t>
      </w:r>
      <w:r>
        <w:rPr>
          <w:rFonts w:hint="eastAsia"/>
          <w:bCs/>
          <w:snapToGrid w:val="0"/>
          <w:color w:val="auto"/>
          <w:kern w:val="0"/>
          <w:sz w:val="24"/>
          <w:highlight w:val="none"/>
        </w:rPr>
        <w:t>具备以下资质</w:t>
      </w:r>
      <w:r>
        <w:rPr>
          <w:rFonts w:hint="eastAsia" w:ascii="宋体" w:hAnsi="宋体" w:eastAsia="宋体" w:cs="宋体"/>
          <w:color w:val="auto"/>
          <w:spacing w:val="-1"/>
          <w:sz w:val="24"/>
          <w:szCs w:val="24"/>
          <w:highlight w:val="none"/>
          <w:lang w:eastAsia="zh-CN"/>
        </w:rPr>
        <w:t>：</w:t>
      </w:r>
    </w:p>
    <w:p w14:paraId="45D5B333">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lang w:val="en-US" w:eastAsia="zh-CN"/>
        </w:rPr>
      </w:pP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rPr>
        <w:t>建设行政主管部门颁发的电力工程施工总承包三级以上（含三级）资质</w:t>
      </w:r>
      <w:r>
        <w:rPr>
          <w:rFonts w:hint="eastAsia" w:ascii="宋体" w:hAnsi="宋体" w:eastAsia="宋体" w:cs="宋体"/>
          <w:color w:val="auto"/>
          <w:spacing w:val="-1"/>
          <w:sz w:val="24"/>
          <w:szCs w:val="24"/>
          <w:highlight w:val="none"/>
          <w:lang w:eastAsia="zh-CN"/>
        </w:rPr>
        <w:t>；</w:t>
      </w:r>
    </w:p>
    <w:p w14:paraId="5C95FDCE">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rPr>
        <w:t>）持有国家能源局颁发的《承装</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修、试</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电力设施许可证》承装</w:t>
      </w:r>
      <w:r>
        <w:rPr>
          <w:rFonts w:hint="eastAsia" w:ascii="宋体" w:hAnsi="宋体" w:eastAsia="宋体" w:cs="宋体"/>
          <w:color w:val="auto"/>
          <w:spacing w:val="-1"/>
          <w:sz w:val="24"/>
          <w:szCs w:val="24"/>
          <w:highlight w:val="none"/>
          <w:lang w:eastAsia="zh-CN"/>
        </w:rPr>
        <w:t>类</w:t>
      </w:r>
      <w:r>
        <w:rPr>
          <w:rFonts w:hint="eastAsia" w:ascii="宋体" w:hAnsi="宋体" w:eastAsia="宋体" w:cs="宋体"/>
          <w:color w:val="auto"/>
          <w:spacing w:val="-1"/>
          <w:sz w:val="24"/>
          <w:szCs w:val="24"/>
          <w:highlight w:val="none"/>
        </w:rPr>
        <w:t>五级或以上许可，资质须在有效期内。对应于2025年7月1日起换发的电子证照，应为承装类三级或以上许可资格。 【注</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依据国家能源局关于做好承装</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修、试</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电力设施许可证换领和延续工作的通知</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国能发资质</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2025</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44 号</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。如有最新政策文件的，从其规定</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w:t>
      </w:r>
    </w:p>
    <w:p w14:paraId="47571B6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.2.4</w:t>
      </w:r>
      <w:r>
        <w:rPr>
          <w:rFonts w:hint="eastAsia" w:ascii="宋体" w:hAnsi="宋体" w:eastAsia="宋体" w:cs="宋体"/>
          <w:color w:val="auto"/>
          <w:spacing w:val="-1"/>
          <w:sz w:val="24"/>
          <w:szCs w:val="24"/>
          <w:highlight w:val="none"/>
        </w:rPr>
        <w:t xml:space="preserve"> 根据有关文件精神，投标人的企业相关证书到期的，均按该证书的发证机构相关行业主管部门最新文件执行（如自动顺延或推迟办理延期业务的通知），投标人必须将相关文件附在该证书</w:t>
      </w:r>
      <w:r>
        <w:rPr>
          <w:rFonts w:hint="eastAsia" w:ascii="宋体" w:hAnsi="宋体" w:eastAsia="宋体" w:cs="宋体"/>
          <w:color w:val="auto"/>
          <w:spacing w:val="-1"/>
          <w:sz w:val="24"/>
          <w:szCs w:val="24"/>
          <w:highlight w:val="none"/>
          <w:lang w:eastAsia="zh-CN"/>
        </w:rPr>
        <w:t>后面</w:t>
      </w:r>
      <w:r>
        <w:rPr>
          <w:rFonts w:hint="eastAsia" w:ascii="宋体" w:hAnsi="宋体" w:eastAsia="宋体" w:cs="宋体"/>
          <w:color w:val="auto"/>
          <w:spacing w:val="-1"/>
          <w:sz w:val="24"/>
          <w:szCs w:val="24"/>
          <w:highlight w:val="none"/>
        </w:rPr>
        <w:t>，证明在开标当日继续有效。</w:t>
      </w:r>
    </w:p>
    <w:p w14:paraId="23DBFD4D">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2.3 </w:t>
      </w:r>
      <w:r>
        <w:rPr>
          <w:rFonts w:hint="eastAsia" w:ascii="宋体" w:hAnsi="宋体" w:eastAsia="宋体" w:cs="宋体"/>
          <w:color w:val="auto"/>
          <w:spacing w:val="-1"/>
          <w:sz w:val="24"/>
          <w:szCs w:val="24"/>
          <w:highlight w:val="none"/>
        </w:rPr>
        <w:t>相关人员要求</w:t>
      </w:r>
    </w:p>
    <w:p w14:paraId="4E5161CE">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2.3.1</w:t>
      </w:r>
      <w:r>
        <w:rPr>
          <w:rFonts w:hint="eastAsia" w:ascii="宋体" w:hAnsi="宋体" w:eastAsia="宋体" w:cs="宋体"/>
          <w:color w:val="auto"/>
          <w:spacing w:val="-1"/>
          <w:sz w:val="24"/>
          <w:szCs w:val="24"/>
          <w:highlight w:val="none"/>
        </w:rPr>
        <w:t>拟派项目经理为具有机电工程</w:t>
      </w:r>
      <w:r>
        <w:rPr>
          <w:rFonts w:hint="eastAsia" w:ascii="宋体" w:hAnsi="宋体" w:eastAsia="宋体" w:cs="宋体"/>
          <w:color w:val="auto"/>
          <w:spacing w:val="-1"/>
          <w:sz w:val="24"/>
          <w:szCs w:val="24"/>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宋体" w:hAnsi="宋体" w:eastAsia="宋体" w:cs="宋体"/>
          <w:color w:val="auto"/>
          <w:spacing w:val="-1"/>
          <w:sz w:val="24"/>
          <w:szCs w:val="24"/>
          <w:highlight w:val="none"/>
        </w:rPr>
        <w:t xml:space="preserve">。  </w:t>
      </w:r>
    </w:p>
    <w:p w14:paraId="1712E03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2.3.2</w:t>
      </w:r>
      <w:r>
        <w:rPr>
          <w:rFonts w:hint="eastAsia" w:ascii="宋体" w:hAnsi="宋体" w:eastAsia="宋体" w:cs="宋体"/>
          <w:color w:val="auto"/>
          <w:spacing w:val="-1"/>
          <w:sz w:val="24"/>
          <w:szCs w:val="24"/>
          <w:highlight w:val="none"/>
        </w:rPr>
        <w:t>投标人拟派项目技术负责人须具备</w:t>
      </w:r>
      <w:r>
        <w:rPr>
          <w:rFonts w:hint="eastAsia" w:ascii="宋体" w:hAnsi="宋体" w:cs="Tahoma"/>
          <w:color w:val="auto"/>
          <w:kern w:val="0"/>
          <w:sz w:val="24"/>
          <w:highlight w:val="none"/>
          <w:u w:val="none"/>
        </w:rPr>
        <w:t>电力</w:t>
      </w:r>
      <w:r>
        <w:rPr>
          <w:rFonts w:hint="eastAsia" w:ascii="宋体" w:hAnsi="宋体" w:cs="Tahoma"/>
          <w:color w:val="auto"/>
          <w:kern w:val="0"/>
          <w:sz w:val="24"/>
          <w:highlight w:val="none"/>
          <w:u w:val="none"/>
          <w:lang w:val="en-US" w:eastAsia="zh-CN"/>
        </w:rPr>
        <w:t>或电气</w:t>
      </w:r>
      <w:r>
        <w:rPr>
          <w:rFonts w:hint="eastAsia" w:ascii="宋体" w:hAnsi="宋体" w:cs="Tahoma"/>
          <w:color w:val="auto"/>
          <w:kern w:val="0"/>
          <w:sz w:val="24"/>
          <w:highlight w:val="none"/>
          <w:u w:val="none"/>
        </w:rPr>
        <w:t>工程</w:t>
      </w:r>
      <w:r>
        <w:rPr>
          <w:rFonts w:hint="eastAsia" w:ascii="宋体" w:hAnsi="宋体" w:eastAsia="宋体" w:cs="宋体"/>
          <w:color w:val="auto"/>
          <w:spacing w:val="-1"/>
          <w:sz w:val="24"/>
          <w:szCs w:val="24"/>
          <w:highlight w:val="none"/>
        </w:rPr>
        <w:t>相关专业中级或以上技术职称。</w:t>
      </w:r>
    </w:p>
    <w:p w14:paraId="25F7D6B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 xml:space="preserve">拟派专职安全生产管理人员须具备有效安全生产考核合格证明（C证，安全生产考核合格证书或“广东省建筑施工企业管理人员安全生产考核信息系统”考核合格信息打印页），且不少于1人。 </w:t>
      </w:r>
    </w:p>
    <w:p w14:paraId="0DA6AD60">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2.3.4</w:t>
      </w:r>
      <w:r>
        <w:rPr>
          <w:rFonts w:hint="eastAsia" w:ascii="宋体" w:hAnsi="宋体" w:eastAsia="宋体" w:cs="宋体"/>
          <w:color w:val="auto"/>
          <w:spacing w:val="-1"/>
          <w:sz w:val="24"/>
          <w:szCs w:val="24"/>
          <w:highlight w:val="none"/>
        </w:rPr>
        <w:t xml:space="preserve"> 投标人（包括组成联合体的所有成员单位）与其拟派往本项目管理机构的所有人员之间必须具备合法、唯一的劳动聘用关系（提供社保证明或劳动合同）。拟派人员中具备注册执业资格的，其注册单位须与投标人保持一致。</w:t>
      </w:r>
    </w:p>
    <w:p w14:paraId="41F9D7F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2.4</w:t>
      </w:r>
      <w:r>
        <w:rPr>
          <w:rFonts w:hint="eastAsia" w:ascii="宋体" w:hAnsi="宋体" w:eastAsia="宋体" w:cs="宋体"/>
          <w:color w:val="auto"/>
          <w:spacing w:val="-1"/>
          <w:sz w:val="24"/>
          <w:szCs w:val="24"/>
          <w:highlight w:val="none"/>
        </w:rPr>
        <w:t xml:space="preserve"> 禁止投标条款</w:t>
      </w:r>
    </w:p>
    <w:p w14:paraId="55F4E8BA">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12C018A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p>
    <w:p w14:paraId="60FCAE67">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027F4F4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495930B1">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796A930B">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1"/>
          <w:sz w:val="24"/>
          <w:szCs w:val="24"/>
          <w:highlight w:val="none"/>
          <w:lang w:eastAsia="zh-CN"/>
        </w:rPr>
        <w:t>）作</w:t>
      </w:r>
      <w:r>
        <w:rPr>
          <w:rFonts w:hint="eastAsia" w:ascii="宋体" w:hAnsi="宋体" w:eastAsia="宋体" w:cs="宋体"/>
          <w:color w:val="auto"/>
          <w:spacing w:val="-1"/>
          <w:sz w:val="24"/>
          <w:szCs w:val="24"/>
          <w:highlight w:val="none"/>
        </w:rPr>
        <w:t>为本招标项目的监理人；</w:t>
      </w:r>
    </w:p>
    <w:p w14:paraId="7A337164">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（6）为本招标项目的代建人；</w:t>
      </w:r>
    </w:p>
    <w:p w14:paraId="0303692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1"/>
          <w:sz w:val="24"/>
          <w:szCs w:val="24"/>
          <w:highlight w:val="none"/>
          <w:lang w:eastAsia="zh-CN"/>
        </w:rPr>
        <w:t>）作</w:t>
      </w:r>
      <w:r>
        <w:rPr>
          <w:rFonts w:hint="eastAsia" w:ascii="宋体" w:hAnsi="宋体" w:eastAsia="宋体" w:cs="宋体"/>
          <w:color w:val="auto"/>
          <w:spacing w:val="-1"/>
          <w:sz w:val="24"/>
          <w:szCs w:val="24"/>
          <w:highlight w:val="none"/>
        </w:rPr>
        <w:t>为本招标项目的招标代理机构；</w:t>
      </w:r>
    </w:p>
    <w:p w14:paraId="618C55DA">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35D95A59">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68BC355D">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（10）与本招标项目的监理人或代建人或招标代理机构存在相互任职或工作关系；</w:t>
      </w:r>
    </w:p>
    <w:p w14:paraId="09E0E232">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（11）被依法暂停或者取消投标资格；</w:t>
      </w:r>
    </w:p>
    <w:p w14:paraId="7F7F5FC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B4EBAE3">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39BC91C2">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（14）在最近三年内发生重大工程质量或安全问题（以相关行业主管部门的行政处罚决定或司法机关出具的有关法律文书为准）；</w:t>
      </w:r>
    </w:p>
    <w:p w14:paraId="78CBC1F4">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（15）被“信用中国”网站（https://www.creditchina.gov.cn）发布的《法人和非法人组织公共信用信息报告》列为严重失信主体名单的。</w:t>
      </w:r>
    </w:p>
    <w:p w14:paraId="17E2FDFF">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2.4.2</w:t>
      </w:r>
      <w:r>
        <w:rPr>
          <w:rFonts w:hint="eastAsia" w:ascii="宋体" w:hAnsi="宋体" w:eastAsia="宋体" w:cs="宋体"/>
          <w:color w:val="auto"/>
          <w:spacing w:val="-1"/>
          <w:sz w:val="24"/>
          <w:szCs w:val="24"/>
          <w:highlight w:val="none"/>
        </w:rPr>
        <w:t xml:space="preserve"> 招标人拒绝以下名单中的单位参加本次投标：</w:t>
      </w:r>
    </w:p>
    <w:p w14:paraId="7AC5A647">
      <w:pPr>
        <w:keepNext w:val="0"/>
        <w:keepLines w:val="0"/>
        <w:pageBreakBefore w:val="0"/>
        <w:widowControl w:val="0"/>
        <w:kinsoku/>
        <w:wordWrap w:val="0"/>
        <w:overflowPunct/>
        <w:topLinePunct/>
        <w:autoSpaceDE/>
        <w:autoSpaceDN/>
        <w:bidi w:val="0"/>
        <w:adjustRightInd w:val="0"/>
        <w:snapToGrid w:val="0"/>
        <w:spacing w:line="360" w:lineRule="auto"/>
        <w:ind w:right="84" w:rightChars="40"/>
        <w:rPr>
          <w:rFonts w:hint="eastAsia" w:ascii="宋体" w:hAnsi="宋体" w:eastAsia="宋体" w:cs="宋体"/>
          <w:color w:val="auto"/>
          <w:sz w:val="2"/>
          <w:highlight w:val="none"/>
        </w:rPr>
      </w:pPr>
    </w:p>
    <w:tbl>
      <w:tblPr>
        <w:tblStyle w:val="15"/>
        <w:tblW w:w="9451"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4051"/>
        <w:gridCol w:w="4620"/>
      </w:tblGrid>
      <w:tr w14:paraId="4D63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80" w:type="dxa"/>
            <w:noWrap w:val="0"/>
            <w:vAlign w:val="center"/>
          </w:tcPr>
          <w:p w14:paraId="0605B7C0">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4051" w:type="dxa"/>
            <w:noWrap w:val="0"/>
            <w:vAlign w:val="center"/>
          </w:tcPr>
          <w:p w14:paraId="7F748F40">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4620" w:type="dxa"/>
            <w:noWrap w:val="0"/>
            <w:vAlign w:val="center"/>
          </w:tcPr>
          <w:p w14:paraId="6BC9E93C">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EFC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80" w:type="dxa"/>
            <w:noWrap w:val="0"/>
            <w:vAlign w:val="center"/>
          </w:tcPr>
          <w:p w14:paraId="0ADFAF8F">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1</w:t>
            </w:r>
          </w:p>
        </w:tc>
        <w:tc>
          <w:tcPr>
            <w:tcW w:w="4051" w:type="dxa"/>
            <w:shd w:val="clear" w:color="auto" w:fill="auto"/>
            <w:noWrap w:val="0"/>
            <w:vAlign w:val="center"/>
          </w:tcPr>
          <w:p w14:paraId="7AA8D8F4">
            <w:pPr>
              <w:keepNext w:val="0"/>
              <w:keepLines w:val="0"/>
              <w:pageBreakBefore w:val="0"/>
              <w:wordWrap w:val="0"/>
              <w:overflowPunct/>
              <w:bidi w:val="0"/>
              <w:adjustRightInd w:val="0"/>
              <w:snapToGrid w:val="0"/>
              <w:spacing w:line="240" w:lineRule="auto"/>
              <w:rPr>
                <w:rFonts w:hint="eastAsia" w:ascii="宋体" w:hAnsi="宋体" w:eastAsia="宋体" w:cs="宋体"/>
                <w:bCs/>
                <w:snapToGrid w:val="0"/>
                <w:color w:val="auto"/>
                <w:kern w:val="0"/>
                <w:sz w:val="24"/>
                <w:szCs w:val="24"/>
                <w:highlight w:val="none"/>
                <w:lang w:val="en-US" w:eastAsia="en-US" w:bidi="ar-SA"/>
              </w:rPr>
            </w:pPr>
            <w:r>
              <w:rPr>
                <w:rFonts w:hint="eastAsia" w:ascii="宋体" w:hAnsi="宋体" w:eastAsia="宋体" w:cs="宋体"/>
                <w:bCs/>
                <w:snapToGrid w:val="0"/>
                <w:color w:val="auto"/>
                <w:kern w:val="0"/>
                <w:sz w:val="24"/>
                <w:szCs w:val="24"/>
                <w:highlight w:val="none"/>
                <w:lang w:val="en-US" w:eastAsia="en-US" w:bidi="ar-SA"/>
              </w:rPr>
              <w:t>广东联网电力股份有限公司</w:t>
            </w:r>
          </w:p>
        </w:tc>
        <w:tc>
          <w:tcPr>
            <w:tcW w:w="4620" w:type="dxa"/>
            <w:shd w:val="clear" w:color="auto" w:fill="auto"/>
            <w:noWrap w:val="0"/>
            <w:vAlign w:val="center"/>
          </w:tcPr>
          <w:p w14:paraId="0A9BAB79">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为本招标项目的可行性研究报告编制单位</w:t>
            </w:r>
          </w:p>
        </w:tc>
      </w:tr>
      <w:tr w14:paraId="2B37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80" w:type="dxa"/>
            <w:noWrap w:val="0"/>
            <w:vAlign w:val="center"/>
          </w:tcPr>
          <w:p w14:paraId="3F94B6F2">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2</w:t>
            </w:r>
          </w:p>
        </w:tc>
        <w:tc>
          <w:tcPr>
            <w:tcW w:w="4051" w:type="dxa"/>
            <w:shd w:val="clear" w:color="auto" w:fill="auto"/>
            <w:noWrap w:val="0"/>
            <w:vAlign w:val="center"/>
          </w:tcPr>
          <w:p w14:paraId="5D56BEFC">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en-US" w:bidi="ar-SA"/>
              </w:rPr>
            </w:pPr>
            <w:r>
              <w:rPr>
                <w:rFonts w:hint="eastAsia" w:ascii="宋体" w:hAnsi="宋体" w:eastAsia="宋体" w:cs="宋体"/>
                <w:iCs/>
                <w:snapToGrid w:val="0"/>
                <w:color w:val="auto"/>
                <w:kern w:val="0"/>
                <w:sz w:val="24"/>
                <w:szCs w:val="24"/>
                <w:highlight w:val="none"/>
                <w:lang w:val="en-US" w:eastAsia="en-US" w:bidi="ar-SA"/>
              </w:rPr>
              <w:t>韶关市新辉项目管理有限公司</w:t>
            </w:r>
          </w:p>
        </w:tc>
        <w:tc>
          <w:tcPr>
            <w:tcW w:w="4620" w:type="dxa"/>
            <w:shd w:val="clear" w:color="auto" w:fill="auto"/>
            <w:noWrap w:val="0"/>
            <w:vAlign w:val="center"/>
          </w:tcPr>
          <w:p w14:paraId="064CCEA7">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为本招标项目的造价咨询单位</w:t>
            </w:r>
          </w:p>
        </w:tc>
      </w:tr>
      <w:tr w14:paraId="646D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1CD7230D">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3</w:t>
            </w:r>
          </w:p>
        </w:tc>
        <w:tc>
          <w:tcPr>
            <w:tcW w:w="4051" w:type="dxa"/>
            <w:shd w:val="clear" w:color="auto" w:fill="auto"/>
            <w:noWrap w:val="0"/>
            <w:vAlign w:val="center"/>
          </w:tcPr>
          <w:p w14:paraId="535AF1E0">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en-US" w:bidi="ar-SA"/>
              </w:rPr>
            </w:pPr>
            <w:r>
              <w:rPr>
                <w:rFonts w:hint="eastAsia" w:ascii="宋体" w:hAnsi="宋体" w:eastAsia="宋体" w:cs="宋体"/>
                <w:iCs/>
                <w:snapToGrid w:val="0"/>
                <w:color w:val="auto"/>
                <w:kern w:val="0"/>
                <w:sz w:val="24"/>
                <w:szCs w:val="24"/>
                <w:highlight w:val="none"/>
                <w:lang w:val="en-US" w:eastAsia="en-US" w:bidi="ar-SA"/>
              </w:rPr>
              <w:t>广东联网电力股份有限公司</w:t>
            </w:r>
          </w:p>
        </w:tc>
        <w:tc>
          <w:tcPr>
            <w:tcW w:w="4620" w:type="dxa"/>
            <w:shd w:val="clear" w:color="auto" w:fill="auto"/>
            <w:noWrap w:val="0"/>
            <w:vAlign w:val="center"/>
          </w:tcPr>
          <w:p w14:paraId="321D63CC">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为本招标项目的设计单位</w:t>
            </w:r>
          </w:p>
        </w:tc>
      </w:tr>
      <w:tr w14:paraId="4FCE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674B79B5">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4</w:t>
            </w:r>
          </w:p>
        </w:tc>
        <w:tc>
          <w:tcPr>
            <w:tcW w:w="4051" w:type="dxa"/>
            <w:shd w:val="clear" w:color="auto" w:fill="auto"/>
            <w:noWrap w:val="0"/>
            <w:vAlign w:val="center"/>
          </w:tcPr>
          <w:p w14:paraId="594940AC">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lang w:eastAsia="zh-CN"/>
              </w:rPr>
              <w:t>韶关市建韶工程造价咨询有限公司</w:t>
            </w:r>
          </w:p>
        </w:tc>
        <w:tc>
          <w:tcPr>
            <w:tcW w:w="4620" w:type="dxa"/>
            <w:shd w:val="clear" w:color="auto" w:fill="auto"/>
            <w:noWrap w:val="0"/>
            <w:vAlign w:val="center"/>
          </w:tcPr>
          <w:p w14:paraId="33033DD7">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为本招标项目的招标代理机构</w:t>
            </w:r>
          </w:p>
        </w:tc>
      </w:tr>
      <w:tr w14:paraId="1EF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80" w:type="dxa"/>
            <w:shd w:val="clear" w:color="auto" w:fill="auto"/>
            <w:noWrap w:val="0"/>
            <w:vAlign w:val="center"/>
          </w:tcPr>
          <w:p w14:paraId="5A76279A">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6</w:t>
            </w:r>
          </w:p>
        </w:tc>
        <w:tc>
          <w:tcPr>
            <w:tcW w:w="4051" w:type="dxa"/>
            <w:shd w:val="clear" w:color="auto" w:fill="auto"/>
            <w:noWrap w:val="0"/>
            <w:vAlign w:val="center"/>
          </w:tcPr>
          <w:p w14:paraId="2BC45FD0">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cs="宋体"/>
                <w:iCs/>
                <w:snapToGrid w:val="0"/>
                <w:color w:val="auto"/>
                <w:kern w:val="0"/>
                <w:sz w:val="24"/>
                <w:szCs w:val="24"/>
                <w:highlight w:val="none"/>
                <w:lang w:eastAsia="zh-CN"/>
              </w:rPr>
              <w:t>粤北能源投资（广东）有限公司</w:t>
            </w:r>
          </w:p>
        </w:tc>
        <w:tc>
          <w:tcPr>
            <w:tcW w:w="4620" w:type="dxa"/>
            <w:shd w:val="clear" w:color="auto" w:fill="auto"/>
            <w:noWrap w:val="0"/>
            <w:vAlign w:val="center"/>
          </w:tcPr>
          <w:p w14:paraId="3F7EB1DB">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为本招标项目的业主单位</w:t>
            </w:r>
          </w:p>
        </w:tc>
      </w:tr>
    </w:tbl>
    <w:p w14:paraId="282445A4">
      <w:pPr>
        <w:rPr>
          <w:rFonts w:hint="eastAsia"/>
          <w:color w:val="auto"/>
          <w:highlight w:val="none"/>
        </w:rPr>
      </w:pPr>
    </w:p>
    <w:p w14:paraId="0ECD6F27">
      <w:pPr>
        <w:keepNext w:val="0"/>
        <w:keepLines w:val="0"/>
        <w:pageBreakBefore w:val="0"/>
        <w:widowControl w:val="0"/>
        <w:kinsoku/>
        <w:wordWrap w:val="0"/>
        <w:overflowPunct/>
        <w:topLinePunct/>
        <w:autoSpaceDE/>
        <w:autoSpaceDN/>
        <w:bidi w:val="0"/>
        <w:adjustRightInd w:val="0"/>
        <w:snapToGrid w:val="0"/>
        <w:spacing w:line="360" w:lineRule="auto"/>
        <w:ind w:left="70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81D3E93">
      <w:pPr>
        <w:keepNext w:val="0"/>
        <w:keepLines w:val="0"/>
        <w:pageBreakBefore w:val="0"/>
        <w:widowControl w:val="0"/>
        <w:kinsoku/>
        <w:wordWrap w:val="0"/>
        <w:overflowPunct/>
        <w:topLinePunct/>
        <w:autoSpaceDE/>
        <w:autoSpaceDN/>
        <w:bidi w:val="0"/>
        <w:adjustRightInd w:val="0"/>
        <w:snapToGrid w:val="0"/>
        <w:spacing w:line="360" w:lineRule="auto"/>
        <w:ind w:left="232" w:right="84" w:rightChars="40" w:firstLine="481"/>
        <w:rPr>
          <w:rFonts w:hint="eastAsia" w:ascii="宋体" w:hAnsi="宋体" w:eastAsia="宋体" w:cs="宋体"/>
          <w:color w:val="auto"/>
          <w:highlight w:val="none"/>
        </w:rPr>
      </w:pPr>
      <w:r>
        <w:rPr>
          <w:rFonts w:hint="eastAsia" w:ascii="宋体" w:hAnsi="宋体" w:eastAsia="宋体" w:cs="宋体"/>
          <w:color w:val="auto"/>
          <w:spacing w:val="-6"/>
          <w:sz w:val="24"/>
          <w:szCs w:val="24"/>
          <w:highlight w:val="none"/>
        </w:rPr>
        <w:t>省外企业（组成联合体时指联合体各方）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p w14:paraId="1A23D81E">
      <w:pPr>
        <w:keepNext w:val="0"/>
        <w:keepLines w:val="0"/>
        <w:pageBreakBefore w:val="0"/>
        <w:widowControl w:val="0"/>
        <w:kinsoku/>
        <w:wordWrap w:val="0"/>
        <w:overflowPunct/>
        <w:topLinePunct/>
        <w:autoSpaceDE/>
        <w:autoSpaceDN/>
        <w:bidi w:val="0"/>
        <w:adjustRightInd w:val="0"/>
        <w:snapToGrid w:val="0"/>
        <w:spacing w:line="360" w:lineRule="auto"/>
        <w:ind w:left="715" w:right="84" w:rightChars="40"/>
        <w:outlineLvl w:val="2"/>
        <w:rPr>
          <w:rFonts w:hint="eastAsia" w:ascii="宋体" w:hAnsi="宋体" w:eastAsia="宋体" w:cs="宋体"/>
          <w:color w:val="auto"/>
          <w:sz w:val="24"/>
          <w:szCs w:val="24"/>
          <w:highlight w:val="none"/>
        </w:rPr>
      </w:pPr>
      <w:bookmarkStart w:id="18" w:name="_Toc23243"/>
      <w:bookmarkStart w:id="19" w:name="_Toc10137"/>
      <w:r>
        <w:rPr>
          <w:rFonts w:hint="eastAsia" w:ascii="宋体" w:hAnsi="宋体" w:eastAsia="宋体" w:cs="宋体"/>
          <w:b/>
          <w:bCs/>
          <w:color w:val="auto"/>
          <w:spacing w:val="-4"/>
          <w:sz w:val="24"/>
          <w:szCs w:val="24"/>
          <w:highlight w:val="none"/>
          <w:lang w:eastAsia="zh-CN"/>
        </w:rPr>
        <w:t>3.</w:t>
      </w:r>
      <w:r>
        <w:rPr>
          <w:rFonts w:hint="eastAsia" w:ascii="宋体" w:hAnsi="宋体" w:eastAsia="宋体" w:cs="宋体"/>
          <w:b/>
          <w:bCs/>
          <w:color w:val="auto"/>
          <w:spacing w:val="-4"/>
          <w:sz w:val="24"/>
          <w:szCs w:val="24"/>
          <w:highlight w:val="none"/>
        </w:rPr>
        <w:t>招标文件的获取</w:t>
      </w:r>
      <w:bookmarkEnd w:id="18"/>
      <w:bookmarkEnd w:id="19"/>
    </w:p>
    <w:p w14:paraId="799C8256">
      <w:pPr>
        <w:keepNext w:val="0"/>
        <w:keepLines w:val="0"/>
        <w:pageBreakBefore w:val="0"/>
        <w:widowControl w:val="0"/>
        <w:kinsoku/>
        <w:wordWrap w:val="0"/>
        <w:overflowPunct/>
        <w:topLinePunct/>
        <w:autoSpaceDE/>
        <w:autoSpaceDN/>
        <w:bidi w:val="0"/>
        <w:adjustRightInd w:val="0"/>
        <w:snapToGrid w:val="0"/>
        <w:spacing w:line="360" w:lineRule="auto"/>
        <w:ind w:left="704"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3F97C815">
      <w:pPr>
        <w:keepNext w:val="0"/>
        <w:keepLines w:val="0"/>
        <w:pageBreakBefore w:val="0"/>
        <w:widowControl w:val="0"/>
        <w:kinsoku/>
        <w:wordWrap w:val="0"/>
        <w:overflowPunct/>
        <w:topLinePunct/>
        <w:autoSpaceDE/>
        <w:autoSpaceDN/>
        <w:bidi w:val="0"/>
        <w:adjustRightInd w:val="0"/>
        <w:snapToGrid w:val="0"/>
        <w:spacing w:line="360" w:lineRule="auto"/>
        <w:ind w:left="229" w:right="84" w:rightChars="40"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在全国公共资源交易平台（广东省·韶关市）网站下载。请于招标文件获取期间</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pacing w:val="-4"/>
          <w:sz w:val="24"/>
          <w:szCs w:val="24"/>
          <w:highlight w:val="none"/>
        </w:rPr>
        <w:t>致，投标人须登录全国公共资源交易平台（广东省·韶关市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投</w:t>
      </w:r>
      <w:r>
        <w:rPr>
          <w:rFonts w:hint="eastAsia" w:ascii="宋体" w:hAnsi="宋体" w:eastAsia="宋体" w:cs="宋体"/>
          <w:color w:val="auto"/>
          <w:spacing w:val="-1"/>
          <w:sz w:val="24"/>
          <w:szCs w:val="24"/>
          <w:highlight w:val="none"/>
        </w:rPr>
        <w:t>标人操作指南（电子评标）》（附件2），了解网上获取招标文件操作流程。技术咨询电话：0751-837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pacing w:val="-1"/>
          <w:sz w:val="24"/>
          <w:szCs w:val="24"/>
          <w:highlight w:val="none"/>
        </w:rPr>
        <w:t>业务咨询电话：0751-8633211、8633071。</w:t>
      </w:r>
    </w:p>
    <w:p w14:paraId="217B4B89">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2C0B48C6">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交易平台（广东省·韶关市）</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64139537">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2"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损失和后果，由投标人自行承担。</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电子印章：是指获得</w:t>
      </w:r>
      <w:r>
        <w:rPr>
          <w:rFonts w:hint="eastAsia" w:ascii="宋体" w:hAnsi="宋体" w:eastAsia="宋体" w:cs="宋体"/>
          <w:color w:val="auto"/>
          <w:spacing w:val="-2"/>
          <w:sz w:val="24"/>
          <w:szCs w:val="24"/>
          <w:highlight w:val="none"/>
          <w:lang w:eastAsia="zh-CN"/>
        </w:rPr>
        <w:t>工业和信息化部</w:t>
      </w:r>
      <w:r>
        <w:rPr>
          <w:rFonts w:hint="eastAsia" w:ascii="宋体" w:hAnsi="宋体" w:eastAsia="宋体" w:cs="宋体"/>
          <w:color w:val="auto"/>
          <w:spacing w:val="-2"/>
          <w:sz w:val="24"/>
          <w:szCs w:val="24"/>
          <w:highlight w:val="none"/>
        </w:rPr>
        <w:t>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76642721">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0"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EB370D0">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8"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 xml:space="preserve"> 10万元</w:t>
      </w:r>
      <w:r>
        <w:rPr>
          <w:rFonts w:hint="eastAsia" w:ascii="宋体" w:hAnsi="宋体" w:eastAsia="宋体" w:cs="宋体"/>
          <w:color w:val="auto"/>
          <w:spacing w:val="-1"/>
          <w:sz w:val="24"/>
          <w:szCs w:val="24"/>
          <w:highlight w:val="none"/>
        </w:rPr>
        <w:t>人民币的投标保证。联合体投标的，由联合体牵头人</w:t>
      </w:r>
      <w:r>
        <w:rPr>
          <w:rFonts w:hint="eastAsia" w:ascii="宋体" w:hAnsi="宋体" w:eastAsia="宋体" w:cs="宋体"/>
          <w:color w:val="auto"/>
          <w:spacing w:val="-3"/>
          <w:sz w:val="24"/>
          <w:szCs w:val="24"/>
          <w:highlight w:val="none"/>
        </w:rPr>
        <w:t>缴纳。</w:t>
      </w:r>
    </w:p>
    <w:p w14:paraId="170F1F4F">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90"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bookmarkStart w:id="20" w:name="bookmark117"/>
      <w:bookmarkEnd w:id="20"/>
    </w:p>
    <w:p w14:paraId="25878007">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88"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止时间（见本招标文件“重要事项时间地点一览表”）前，从其基本账户将投标保证金转账到指定的缴纳账号。逾期到账的、从非投标人基本账户转出的，其投标无效。</w:t>
      </w:r>
    </w:p>
    <w:p w14:paraId="369EF07D">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6"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17A46BD3">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6"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效期不得短于投标有效期。投标人可登录全国公共资源交易平台（广东省·韶关市）（</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），在【服务指南】栏目中下载《建设工程网上交易系统保险保证金缴纳操作指南》，了解网上投保具体操作流程。逾期投保的</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其投标无效。</w:t>
      </w:r>
    </w:p>
    <w:p w14:paraId="1E4B3672">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68"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温馨提示：1.投标人采用投标保证担保或投标保证保险的，为避免在评标过程中因有效期发生争议，建议投标人将银行保函或电子保单有效期设置为较招标文件规定的投标有效期延长不少于20个日历天。</w:t>
      </w:r>
    </w:p>
    <w:p w14:paraId="62DDC4BD">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0" w:firstLineChars="200"/>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bookmarkStart w:id="21" w:name="bookmark64"/>
      <w:bookmarkEnd w:id="21"/>
      <w:bookmarkStart w:id="22" w:name="bookmark78"/>
      <w:bookmarkEnd w:id="22"/>
      <w:bookmarkStart w:id="23" w:name="_Toc15498"/>
    </w:p>
    <w:p w14:paraId="4CD31FE2">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19" w:firstLineChars="275"/>
        <w:textAlignment w:val="baseline"/>
        <w:outlineLvl w:val="2"/>
        <w:rPr>
          <w:rFonts w:hint="eastAsia" w:ascii="宋体" w:hAnsi="宋体" w:eastAsia="宋体" w:cs="宋体"/>
          <w:b/>
          <w:bCs/>
          <w:color w:val="auto"/>
          <w:spacing w:val="-8"/>
          <w:sz w:val="24"/>
          <w:szCs w:val="24"/>
          <w:highlight w:val="none"/>
        </w:rPr>
      </w:pPr>
      <w:bookmarkStart w:id="24" w:name="_Toc11460"/>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3"/>
      <w:bookmarkEnd w:id="24"/>
    </w:p>
    <w:p w14:paraId="6B4405E0">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2" w:firstLineChars="200"/>
        <w:jc w:val="both"/>
        <w:textAlignment w:val="baseline"/>
        <w:rPr>
          <w:rFonts w:hint="eastAsia" w:ascii="宋体" w:hAnsi="宋体" w:eastAsia="宋体" w:cs="宋体"/>
          <w:i w:val="0"/>
          <w:iCs w:val="0"/>
          <w:color w:val="auto"/>
          <w:spacing w:val="-5"/>
          <w:sz w:val="24"/>
          <w:szCs w:val="24"/>
          <w:highlight w:val="none"/>
        </w:rPr>
      </w:pPr>
      <w:r>
        <w:rPr>
          <w:rFonts w:hint="eastAsia" w:ascii="宋体" w:hAnsi="宋体" w:eastAsia="宋体" w:cs="宋体"/>
          <w:i w:val="0"/>
          <w:iCs w:val="0"/>
          <w:color w:val="auto"/>
          <w:spacing w:val="-2"/>
          <w:sz w:val="24"/>
          <w:szCs w:val="24"/>
          <w:highlight w:val="none"/>
        </w:rPr>
        <w:t>本招标项目招标工期为</w:t>
      </w:r>
      <w:r>
        <w:rPr>
          <w:rFonts w:hint="eastAsia" w:ascii="宋体" w:hAnsi="宋体" w:eastAsia="宋体" w:cs="宋体"/>
          <w:i w:val="0"/>
          <w:iCs w:val="0"/>
          <w:color w:val="auto"/>
          <w:spacing w:val="-2"/>
          <w:sz w:val="24"/>
          <w:szCs w:val="24"/>
          <w:highlight w:val="none"/>
          <w:u w:val="single"/>
          <w:lang w:val="en-US" w:eastAsia="zh-CN"/>
        </w:rPr>
        <w:t xml:space="preserve">  180 个日历天</w:t>
      </w:r>
      <w:r>
        <w:rPr>
          <w:rFonts w:hint="eastAsia" w:ascii="宋体" w:hAnsi="宋体" w:eastAsia="宋体" w:cs="宋体"/>
          <w:i w:val="0"/>
          <w:iCs w:val="0"/>
          <w:color w:val="auto"/>
          <w:spacing w:val="-2"/>
          <w:sz w:val="24"/>
          <w:szCs w:val="24"/>
          <w:highlight w:val="none"/>
        </w:rPr>
        <w:t>，中标人必须在招标工期内完成招标范围内</w:t>
      </w:r>
      <w:r>
        <w:rPr>
          <w:rFonts w:hint="eastAsia" w:ascii="宋体" w:hAnsi="宋体" w:eastAsia="宋体" w:cs="宋体"/>
          <w:i w:val="0"/>
          <w:iCs w:val="0"/>
          <w:color w:val="auto"/>
          <w:spacing w:val="-5"/>
          <w:sz w:val="24"/>
          <w:szCs w:val="24"/>
          <w:highlight w:val="none"/>
        </w:rPr>
        <w:t>的全部内容。</w:t>
      </w:r>
      <w:bookmarkStart w:id="25" w:name="_Toc4154"/>
    </w:p>
    <w:p w14:paraId="793102EA">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35" w:firstLineChars="275"/>
        <w:textAlignment w:val="baseline"/>
        <w:outlineLvl w:val="2"/>
        <w:rPr>
          <w:rFonts w:hint="eastAsia" w:ascii="宋体" w:hAnsi="宋体" w:eastAsia="宋体" w:cs="宋体"/>
          <w:b/>
          <w:bCs/>
          <w:color w:val="auto"/>
          <w:spacing w:val="-5"/>
          <w:sz w:val="24"/>
          <w:szCs w:val="24"/>
          <w:highlight w:val="none"/>
        </w:rPr>
      </w:pPr>
      <w:bookmarkStart w:id="26" w:name="_Toc18003"/>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5"/>
      <w:bookmarkEnd w:id="26"/>
    </w:p>
    <w:p w14:paraId="6AE0B1D0">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82" w:firstLineChars="200"/>
        <w:jc w:val="both"/>
        <w:textAlignment w:val="baseline"/>
        <w:rPr>
          <w:rFonts w:hint="eastAsia" w:ascii="宋体" w:hAnsi="宋体" w:eastAsia="宋体" w:cs="宋体"/>
          <w:color w:val="auto"/>
          <w:spacing w:val="-1"/>
          <w:sz w:val="24"/>
          <w:szCs w:val="24"/>
          <w:highlight w:val="none"/>
          <w:u w:val="singl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w:t>
      </w:r>
      <w:r>
        <w:rPr>
          <w:rFonts w:hint="eastAsia" w:ascii="宋体" w:hAnsi="宋体" w:eastAsia="宋体" w:cs="宋体"/>
          <w:color w:val="auto"/>
          <w:spacing w:val="-1"/>
          <w:sz w:val="24"/>
          <w:szCs w:val="24"/>
          <w:highlight w:val="none"/>
          <w:u w:val="single"/>
          <w:lang w:val="en-US" w:eastAsia="zh-CN"/>
        </w:rPr>
        <w:t xml:space="preserve"> </w:t>
      </w:r>
      <w:r>
        <w:rPr>
          <w:rFonts w:hint="eastAsia" w:asciiTheme="minorEastAsia" w:hAnsiTheme="minorEastAsia" w:eastAsiaTheme="minorEastAsia" w:cstheme="minorEastAsia"/>
          <w:color w:val="auto"/>
          <w:spacing w:val="-4"/>
          <w:sz w:val="24"/>
          <w:szCs w:val="24"/>
          <w:highlight w:val="none"/>
          <w:u w:val="single"/>
        </w:rPr>
        <w:t>符合现行国家有关工程施工质量验收规范和标准的要求</w:t>
      </w:r>
      <w:r>
        <w:rPr>
          <w:rFonts w:hint="eastAsia" w:asciiTheme="minorEastAsia" w:hAnsiTheme="minorEastAsia" w:eastAsiaTheme="minorEastAsia" w:cstheme="minorEastAsia"/>
          <w:color w:val="auto"/>
          <w:spacing w:val="-4"/>
          <w:sz w:val="24"/>
          <w:szCs w:val="24"/>
          <w:highlight w:val="none"/>
          <w:u w:val="single"/>
          <w:lang w:eastAsia="zh-CN"/>
        </w:rPr>
        <w:t>，满足并网发电要求。</w:t>
      </w:r>
      <w:r>
        <w:rPr>
          <w:rFonts w:hint="eastAsia" w:ascii="宋体" w:hAnsi="宋体" w:eastAsia="宋体" w:cs="宋体"/>
          <w:color w:val="auto"/>
          <w:spacing w:val="-1"/>
          <w:sz w:val="24"/>
          <w:szCs w:val="24"/>
          <w:highlight w:val="none"/>
          <w:u w:val="single"/>
          <w:lang w:val="en-US" w:eastAsia="zh-CN"/>
        </w:rPr>
        <w:t>达到合格标准</w:t>
      </w:r>
      <w:r>
        <w:rPr>
          <w:rFonts w:hint="eastAsia" w:ascii="宋体" w:hAnsi="宋体" w:eastAsia="宋体" w:cs="宋体"/>
          <w:color w:val="auto"/>
          <w:spacing w:val="-1"/>
          <w:sz w:val="24"/>
          <w:szCs w:val="24"/>
          <w:highlight w:val="none"/>
          <w:u w:val="single"/>
        </w:rPr>
        <w:t>。</w:t>
      </w:r>
    </w:p>
    <w:p w14:paraId="1DBE3AD1">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698C092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58"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0F2C983B">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6"/>
          <w:sz w:val="24"/>
          <w:szCs w:val="24"/>
          <w:highlight w:val="none"/>
          <w:lang w:val="en-US" w:eastAsia="zh-CN"/>
        </w:rPr>
        <w:t>本招标项目不纳入绿色建筑实施范围。</w:t>
      </w:r>
    </w:p>
    <w:p w14:paraId="1A8AC744">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eastAsia="zh-CN"/>
        </w:rPr>
        <w:t>其他</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66FA1D45">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eastAsia="zh-CN"/>
        </w:rPr>
        <w:t>其他</w:t>
      </w:r>
      <w:r>
        <w:rPr>
          <w:rFonts w:hint="eastAsia" w:ascii="宋体" w:hAnsi="宋体" w:eastAsia="宋体" w:cs="宋体"/>
          <w:color w:val="auto"/>
          <w:spacing w:val="-1"/>
          <w:sz w:val="24"/>
          <w:szCs w:val="24"/>
          <w:highlight w:val="none"/>
        </w:rPr>
        <w:t>：本招标文件（包括答疑纪要、补充及修改文件）中招标人对材料或设备有明确要求的，投标人必须响应招标人要求，如投标人在投标文</w:t>
      </w:r>
      <w:r>
        <w:rPr>
          <w:rFonts w:hint="eastAsia" w:ascii="宋体" w:hAnsi="宋体" w:eastAsia="宋体" w:cs="宋体"/>
          <w:color w:val="auto"/>
          <w:spacing w:val="-1"/>
          <w:sz w:val="24"/>
          <w:szCs w:val="24"/>
          <w:highlight w:val="none"/>
          <w:lang w:eastAsia="zh-CN"/>
        </w:rPr>
        <w:t>件中</w:t>
      </w:r>
      <w:r>
        <w:rPr>
          <w:rFonts w:hint="eastAsia" w:ascii="宋体" w:hAnsi="宋体" w:eastAsia="宋体" w:cs="宋体"/>
          <w:color w:val="auto"/>
          <w:spacing w:val="-1"/>
          <w:sz w:val="24"/>
          <w:szCs w:val="24"/>
          <w:highlight w:val="none"/>
        </w:rPr>
        <w:t>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63613996">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75BD844D">
      <w:pPr>
        <w:keepNext w:val="0"/>
        <w:keepLines w:val="0"/>
        <w:pageBreakBefore w:val="0"/>
        <w:widowControl w:val="0"/>
        <w:kinsoku/>
        <w:wordWrap w:val="0"/>
        <w:overflowPunct/>
        <w:topLinePunct/>
        <w:autoSpaceDE/>
        <w:autoSpaceDN/>
        <w:bidi w:val="0"/>
        <w:adjustRightInd w:val="0"/>
        <w:snapToGrid w:val="0"/>
        <w:spacing w:line="360" w:lineRule="auto"/>
        <w:ind w:left="489" w:right="84" w:rightChars="40"/>
        <w:outlineLvl w:val="2"/>
        <w:rPr>
          <w:rFonts w:hint="eastAsia" w:ascii="宋体" w:hAnsi="宋体" w:eastAsia="宋体" w:cs="宋体"/>
          <w:color w:val="auto"/>
          <w:sz w:val="24"/>
          <w:szCs w:val="24"/>
          <w:highlight w:val="none"/>
        </w:rPr>
      </w:pPr>
      <w:bookmarkStart w:id="27" w:name="_Toc7763"/>
      <w:bookmarkStart w:id="28" w:name="_Toc1955"/>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7"/>
      <w:bookmarkEnd w:id="28"/>
    </w:p>
    <w:p w14:paraId="7F93D640">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1D8BE6DB">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pacing w:val="-2"/>
          <w:sz w:val="24"/>
          <w:szCs w:val="24"/>
          <w:highlight w:val="none"/>
        </w:rPr>
      </w:pPr>
      <w:bookmarkStart w:id="29" w:name="bookmark118"/>
      <w:bookmarkEnd w:id="29"/>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2FD901C4">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7F8DE980">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6.4</w:t>
      </w:r>
      <w:r>
        <w:rPr>
          <w:rFonts w:hint="eastAsia" w:ascii="宋体" w:hAnsi="宋体" w:eastAsia="宋体" w:cs="宋体"/>
          <w:color w:val="auto"/>
          <w:spacing w:val="-2"/>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2"/>
          <w:sz w:val="24"/>
          <w:szCs w:val="24"/>
          <w:highlight w:val="none"/>
          <w:u w:val="single"/>
          <w:lang w:val="en-US" w:eastAsia="zh-CN"/>
        </w:rPr>
        <w:t xml:space="preserve"> 韶关市 </w:t>
      </w:r>
      <w:r>
        <w:rPr>
          <w:rFonts w:hint="eastAsia" w:ascii="宋体" w:hAnsi="宋体" w:eastAsia="宋体" w:cs="宋体"/>
          <w:color w:val="auto"/>
          <w:spacing w:val="-2"/>
          <w:sz w:val="24"/>
          <w:szCs w:val="24"/>
          <w:highlight w:val="none"/>
        </w:rPr>
        <w:t>基建工程水、电计费</w:t>
      </w:r>
      <w:r>
        <w:rPr>
          <w:rFonts w:hint="eastAsia" w:ascii="宋体" w:hAnsi="宋体" w:eastAsia="宋体" w:cs="宋体"/>
          <w:color w:val="auto"/>
          <w:spacing w:val="-3"/>
          <w:sz w:val="24"/>
          <w:szCs w:val="24"/>
          <w:highlight w:val="none"/>
        </w:rPr>
        <w:t>标准计算并由中标人缴纳。</w:t>
      </w:r>
    </w:p>
    <w:p w14:paraId="2A3C6E3E">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6.5  </w:t>
      </w:r>
      <w:r>
        <w:rPr>
          <w:rFonts w:hint="eastAsia" w:ascii="宋体" w:hAnsi="宋体" w:eastAsia="宋体" w:cs="宋体"/>
          <w:color w:val="auto"/>
          <w:spacing w:val="-2"/>
          <w:sz w:val="24"/>
          <w:szCs w:val="24"/>
          <w:highlight w:val="none"/>
        </w:rPr>
        <w:t>招标人不组织现场踏勘，但会在招标文件及有关设计文件中明确告知招标项</w:t>
      </w:r>
      <w:r>
        <w:rPr>
          <w:rFonts w:hint="eastAsia" w:ascii="宋体" w:hAnsi="宋体" w:eastAsia="宋体" w:cs="宋体"/>
          <w:color w:val="auto"/>
          <w:spacing w:val="-1"/>
          <w:sz w:val="24"/>
          <w:szCs w:val="24"/>
          <w:highlight w:val="none"/>
        </w:rPr>
        <w:t>目的具体位置和周边环境，并在现场设置足以识别的标识或提</w:t>
      </w:r>
      <w:r>
        <w:rPr>
          <w:rFonts w:hint="eastAsia" w:ascii="宋体" w:hAnsi="宋体" w:eastAsia="宋体" w:cs="宋体"/>
          <w:color w:val="auto"/>
          <w:spacing w:val="-2"/>
          <w:sz w:val="24"/>
          <w:szCs w:val="24"/>
          <w:highlight w:val="none"/>
        </w:rPr>
        <w:t>供足以表明招标项目具</w:t>
      </w:r>
      <w:r>
        <w:rPr>
          <w:rFonts w:hint="eastAsia" w:ascii="宋体" w:hAnsi="宋体" w:eastAsia="宋体" w:cs="宋体"/>
          <w:color w:val="auto"/>
          <w:sz w:val="24"/>
          <w:szCs w:val="24"/>
          <w:highlight w:val="none"/>
        </w:rPr>
        <w:t>体位置的文字或图片。投标人需要了解现场情况的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5897F35C">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6.6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5A3A215">
      <w:pPr>
        <w:keepNext w:val="0"/>
        <w:keepLines w:val="0"/>
        <w:pageBreakBefore w:val="0"/>
        <w:widowControl w:val="0"/>
        <w:kinsoku/>
        <w:wordWrap w:val="0"/>
        <w:overflowPunct/>
        <w:topLinePunct/>
        <w:autoSpaceDE/>
        <w:autoSpaceDN/>
        <w:bidi w:val="0"/>
        <w:adjustRightInd w:val="0"/>
        <w:snapToGrid w:val="0"/>
        <w:spacing w:line="360" w:lineRule="auto"/>
        <w:ind w:left="568" w:right="84" w:rightChars="40"/>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6.7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0CCB0C5C">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outlineLvl w:val="2"/>
        <w:rPr>
          <w:rFonts w:hint="eastAsia" w:ascii="宋体" w:hAnsi="宋体" w:eastAsia="宋体" w:cs="宋体"/>
          <w:color w:val="auto"/>
          <w:sz w:val="24"/>
          <w:szCs w:val="24"/>
          <w:highlight w:val="none"/>
        </w:rPr>
      </w:pPr>
      <w:bookmarkStart w:id="30" w:name="bookmark81"/>
      <w:bookmarkEnd w:id="30"/>
      <w:bookmarkStart w:id="31" w:name="bookmark69"/>
      <w:bookmarkEnd w:id="31"/>
      <w:bookmarkStart w:id="32" w:name="bookmark67"/>
      <w:bookmarkEnd w:id="32"/>
      <w:bookmarkStart w:id="33" w:name="_Toc15911"/>
      <w:bookmarkStart w:id="34"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3"/>
      <w:bookmarkEnd w:id="34"/>
    </w:p>
    <w:p w14:paraId="7AEF1ACA">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36EA8B3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5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w:t>
      </w:r>
      <w:r>
        <w:rPr>
          <w:rFonts w:hint="eastAsia" w:ascii="宋体" w:hAnsi="宋体" w:eastAsia="宋体" w:cs="宋体"/>
          <w:color w:val="auto"/>
          <w:spacing w:val="-1"/>
          <w:sz w:val="24"/>
          <w:szCs w:val="24"/>
          <w:highlight w:val="none"/>
          <w:lang w:eastAsia="zh-CN"/>
        </w:rPr>
        <w:t>视为</w:t>
      </w:r>
      <w:r>
        <w:rPr>
          <w:rFonts w:hint="eastAsia" w:ascii="宋体" w:hAnsi="宋体" w:eastAsia="宋体" w:cs="宋体"/>
          <w:color w:val="auto"/>
          <w:spacing w:val="-1"/>
          <w:sz w:val="24"/>
          <w:szCs w:val="24"/>
          <w:highlight w:val="none"/>
        </w:rPr>
        <w:t>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516973E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9E2C6F1">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outlineLvl w:val="2"/>
        <w:rPr>
          <w:rFonts w:hint="eastAsia" w:ascii="宋体" w:hAnsi="宋体" w:eastAsia="宋体" w:cs="宋体"/>
          <w:color w:val="auto"/>
          <w:sz w:val="24"/>
          <w:szCs w:val="24"/>
          <w:highlight w:val="none"/>
          <w:lang w:eastAsia="zh-CN"/>
        </w:rPr>
      </w:pPr>
      <w:bookmarkStart w:id="35" w:name="_Toc6897"/>
      <w:bookmarkStart w:id="36" w:name="_Toc3223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bookmarkEnd w:id="35"/>
      <w:r>
        <w:rPr>
          <w:rFonts w:hint="eastAsia" w:ascii="宋体" w:hAnsi="宋体" w:eastAsia="宋体" w:cs="宋体"/>
          <w:b/>
          <w:bCs/>
          <w:color w:val="auto"/>
          <w:spacing w:val="-1"/>
          <w:sz w:val="24"/>
          <w:szCs w:val="24"/>
          <w:highlight w:val="none"/>
          <w:lang w:val="en-US" w:eastAsia="zh-CN"/>
        </w:rPr>
        <w:t>最高投标限价</w:t>
      </w:r>
      <w:bookmarkEnd w:id="36"/>
    </w:p>
    <w:p w14:paraId="2A9A92E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9"/>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val="en-US" w:eastAsia="zh-CN"/>
        </w:rPr>
        <w:t>最高投标限价</w:t>
      </w:r>
    </w:p>
    <w:p w14:paraId="5B260883">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1"/>
          <w:sz w:val="24"/>
          <w:szCs w:val="24"/>
          <w:highlight w:val="none"/>
        </w:rPr>
        <w:t>；</w:t>
      </w:r>
    </w:p>
    <w:p w14:paraId="0C194691">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（2）《广东省建设工程计价依据（2018）》。具体</w:t>
      </w:r>
      <w:r>
        <w:rPr>
          <w:rFonts w:hint="eastAsia" w:ascii="宋体" w:hAnsi="宋体" w:eastAsia="宋体" w:cs="宋体"/>
          <w:color w:val="auto"/>
          <w:spacing w:val="1"/>
          <w:sz w:val="24"/>
          <w:szCs w:val="24"/>
          <w:highlight w:val="none"/>
        </w:rPr>
        <w:t>包括：《广东省房屋建筑与</w:t>
      </w:r>
      <w:r>
        <w:rPr>
          <w:rFonts w:hint="eastAsia" w:ascii="宋体" w:hAnsi="宋体" w:eastAsia="宋体" w:cs="宋体"/>
          <w:color w:val="auto"/>
          <w:spacing w:val="-1"/>
          <w:sz w:val="24"/>
          <w:szCs w:val="24"/>
          <w:highlight w:val="none"/>
        </w:rPr>
        <w:t>装饰工程综合定额（2018）》《广东省市政工程综合定额（2018）》《</w:t>
      </w:r>
      <w:r>
        <w:rPr>
          <w:rFonts w:hint="eastAsia" w:ascii="宋体" w:hAnsi="宋体" w:eastAsia="宋体" w:cs="宋体"/>
          <w:color w:val="auto"/>
          <w:spacing w:val="-2"/>
          <w:sz w:val="24"/>
          <w:szCs w:val="24"/>
          <w:highlight w:val="none"/>
        </w:rPr>
        <w:t>广东省通用安</w:t>
      </w:r>
      <w:r>
        <w:rPr>
          <w:rFonts w:hint="eastAsia" w:ascii="宋体" w:hAnsi="宋体" w:eastAsia="宋体" w:cs="宋体"/>
          <w:color w:val="auto"/>
          <w:spacing w:val="-1"/>
          <w:sz w:val="24"/>
          <w:szCs w:val="24"/>
          <w:highlight w:val="none"/>
        </w:rPr>
        <w:t>装工程综合定额（2018）》《广东省园林绿化工程综合定额（2018）》</w:t>
      </w:r>
      <w:r>
        <w:rPr>
          <w:rFonts w:hint="eastAsia" w:ascii="宋体" w:hAnsi="宋体" w:eastAsia="宋体" w:cs="宋体"/>
          <w:color w:val="auto"/>
          <w:spacing w:val="-2"/>
          <w:sz w:val="24"/>
          <w:szCs w:val="24"/>
          <w:highlight w:val="none"/>
        </w:rPr>
        <w:t>《广东省建设</w:t>
      </w:r>
      <w:r>
        <w:rPr>
          <w:rFonts w:hint="eastAsia" w:ascii="宋体" w:hAnsi="宋体" w:eastAsia="宋体" w:cs="宋体"/>
          <w:color w:val="auto"/>
          <w:spacing w:val="-1"/>
          <w:sz w:val="24"/>
          <w:szCs w:val="24"/>
          <w:highlight w:val="none"/>
        </w:rPr>
        <w:t>工程施工机具台班费用编制规则（2018）》等；</w:t>
      </w:r>
    </w:p>
    <w:p w14:paraId="4909B38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04999D7B">
      <w:pPr>
        <w:keepNext w:val="0"/>
        <w:keepLines w:val="0"/>
        <w:pageBreakBefore w:val="0"/>
        <w:widowControl w:val="0"/>
        <w:kinsoku/>
        <w:wordWrap w:val="0"/>
        <w:overflowPunct/>
        <w:topLinePunct/>
        <w:autoSpaceDE/>
        <w:autoSpaceDN/>
        <w:bidi w:val="0"/>
        <w:adjustRightInd w:val="0"/>
        <w:snapToGrid w:val="0"/>
        <w:spacing w:line="360" w:lineRule="auto"/>
        <w:ind w:left="502" w:right="84" w:rightChars="40"/>
        <w:rPr>
          <w:rFonts w:hint="eastAsia" w:ascii="宋体" w:hAnsi="宋体" w:eastAsia="宋体" w:cs="宋体"/>
          <w:color w:val="auto"/>
          <w:sz w:val="24"/>
          <w:szCs w:val="24"/>
          <w:highlight w:val="none"/>
        </w:rPr>
      </w:pPr>
      <w:bookmarkStart w:id="37" w:name="bookmark119"/>
      <w:bookmarkEnd w:id="37"/>
      <w:r>
        <w:rPr>
          <w:rFonts w:hint="eastAsia" w:ascii="宋体" w:hAnsi="宋体" w:eastAsia="宋体" w:cs="宋体"/>
          <w:color w:val="auto"/>
          <w:spacing w:val="-2"/>
          <w:sz w:val="24"/>
          <w:szCs w:val="24"/>
          <w:highlight w:val="none"/>
        </w:rPr>
        <w:t>（4）招标文件及招标工程量清单；</w:t>
      </w:r>
    </w:p>
    <w:p w14:paraId="26B6A47E">
      <w:pPr>
        <w:keepNext w:val="0"/>
        <w:keepLines w:val="0"/>
        <w:pageBreakBefore w:val="0"/>
        <w:widowControl w:val="0"/>
        <w:kinsoku/>
        <w:wordWrap w:val="0"/>
        <w:overflowPunct/>
        <w:topLinePunct/>
        <w:autoSpaceDE/>
        <w:autoSpaceDN/>
        <w:bidi w:val="0"/>
        <w:adjustRightInd w:val="0"/>
        <w:snapToGrid w:val="0"/>
        <w:spacing w:line="360" w:lineRule="auto"/>
        <w:ind w:left="50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5326EFA5">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0528693F">
      <w:pPr>
        <w:keepNext w:val="0"/>
        <w:keepLines w:val="0"/>
        <w:pageBreakBefore w:val="0"/>
        <w:widowControl w:val="0"/>
        <w:kinsoku/>
        <w:wordWrap w:val="0"/>
        <w:overflowPunct/>
        <w:topLinePunct/>
        <w:autoSpaceDE/>
        <w:autoSpaceDN/>
        <w:bidi w:val="0"/>
        <w:adjustRightInd w:val="0"/>
        <w:snapToGrid w:val="0"/>
        <w:spacing w:line="360" w:lineRule="auto"/>
        <w:ind w:left="50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3BE80B29">
      <w:pPr>
        <w:spacing w:line="360" w:lineRule="auto"/>
        <w:ind w:firstLine="482" w:firstLineChars="200"/>
        <w:rPr>
          <w:rFonts w:hint="eastAsia" w:ascii="Times New Roman"/>
          <w:snapToGrid w:val="0"/>
          <w:color w:val="auto"/>
          <w:kern w:val="0"/>
          <w:sz w:val="24"/>
          <w:szCs w:val="24"/>
          <w:highlight w:val="none"/>
        </w:rPr>
      </w:pPr>
      <w:r>
        <w:rPr>
          <w:rFonts w:hint="eastAsia" w:asciiTheme="minorEastAsia" w:hAnsiTheme="minorEastAsia" w:eastAsiaTheme="minorEastAsia" w:cstheme="minorEastAsia"/>
          <w:b/>
          <w:bCs/>
          <w:snapToGrid w:val="0"/>
          <w:color w:val="auto"/>
          <w:kern w:val="0"/>
          <w:sz w:val="24"/>
          <w:szCs w:val="24"/>
          <w:highlight w:val="none"/>
          <w:lang w:val="en-US" w:eastAsia="zh-CN"/>
        </w:rPr>
        <w:t>8.2</w:t>
      </w:r>
      <w:r>
        <w:rPr>
          <w:rFonts w:hint="eastAsia" w:asciiTheme="minorEastAsia" w:hAnsiTheme="minorEastAsia" w:eastAsiaTheme="minorEastAsia" w:cstheme="minorEastAsia"/>
          <w:b w:val="0"/>
          <w:bCs w:val="0"/>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sz w:val="24"/>
          <w:szCs w:val="24"/>
          <w:highlight w:val="none"/>
          <w:lang w:val="en-US" w:eastAsia="zh-CN"/>
        </w:rPr>
        <w:t>最高投标限价为</w:t>
      </w:r>
      <w:r>
        <w:rPr>
          <w:rFonts w:hint="eastAsia" w:asciiTheme="minorEastAsia" w:hAnsiTheme="minorEastAsia" w:eastAsiaTheme="minorEastAsia" w:cstheme="minorEastAsia"/>
          <w:color w:val="auto"/>
          <w:sz w:val="24"/>
          <w:szCs w:val="24"/>
          <w:highlight w:val="none"/>
          <w:lang w:eastAsia="zh-CN"/>
        </w:rPr>
        <w:t>人民币（大写）：</w:t>
      </w:r>
      <w:r>
        <w:rPr>
          <w:rFonts w:hint="eastAsia" w:asciiTheme="minorEastAsia" w:hAnsiTheme="minorEastAsia" w:eastAsiaTheme="minorEastAsia" w:cstheme="minorEastAsia"/>
          <w:color w:val="auto"/>
          <w:sz w:val="24"/>
          <w:szCs w:val="24"/>
          <w:highlight w:val="none"/>
          <w:u w:val="single"/>
          <w:lang w:val="en-US" w:eastAsia="zh-CN"/>
        </w:rPr>
        <w:t>伍佰贰拾伍万贰仟柒佰伍拾伍元壹角肆分</w:t>
      </w:r>
      <w:r>
        <w:rPr>
          <w:rFonts w:hint="eastAsia" w:asciiTheme="minorEastAsia" w:hAnsiTheme="minorEastAsia" w:eastAsiaTheme="minorEastAsia" w:cstheme="minorEastAsia"/>
          <w:color w:val="auto"/>
          <w:sz w:val="24"/>
          <w:szCs w:val="24"/>
          <w:highlight w:val="none"/>
          <w:u w:val="single"/>
          <w:lang w:eastAsia="zh-CN"/>
        </w:rPr>
        <w:t>（￥</w:t>
      </w:r>
      <w:r>
        <w:rPr>
          <w:rFonts w:hint="eastAsia" w:asciiTheme="minorEastAsia" w:hAnsiTheme="minorEastAsia" w:eastAsiaTheme="minorEastAsia" w:cstheme="minorEastAsia"/>
          <w:color w:val="auto"/>
          <w:sz w:val="24"/>
          <w:szCs w:val="24"/>
          <w:highlight w:val="none"/>
          <w:u w:val="single"/>
          <w:lang w:val="en-US" w:eastAsia="zh-CN"/>
        </w:rPr>
        <w:t>5252755.14</w:t>
      </w:r>
      <w:r>
        <w:rPr>
          <w:rFonts w:hint="eastAsia" w:asciiTheme="minorEastAsia" w:hAnsiTheme="minorEastAsia" w:eastAsiaTheme="minorEastAsia" w:cstheme="minorEastAsia"/>
          <w:color w:val="auto"/>
          <w:sz w:val="24"/>
          <w:szCs w:val="24"/>
          <w:highlight w:val="none"/>
          <w:u w:val="single"/>
          <w:lang w:eastAsia="zh-CN"/>
        </w:rPr>
        <w:t>元）</w:t>
      </w:r>
      <w:r>
        <w:rPr>
          <w:rFonts w:hint="eastAsia" w:asciiTheme="minorEastAsia" w:hAnsiTheme="minorEastAsia" w:eastAsiaTheme="minorEastAsia" w:cstheme="minorEastAsia"/>
          <w:color w:val="auto"/>
          <w:sz w:val="24"/>
          <w:szCs w:val="24"/>
          <w:highlight w:val="none"/>
          <w:lang w:eastAsia="zh-CN"/>
        </w:rPr>
        <w:t>，其中：安全生产措施费为</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u w:val="single"/>
          <w:lang w:val="en-US" w:eastAsia="zh-CN"/>
        </w:rPr>
        <w:t>195196.79</w:t>
      </w:r>
      <w:r>
        <w:rPr>
          <w:rFonts w:hint="eastAsia" w:asciiTheme="minorEastAsia" w:hAnsiTheme="minorEastAsia" w:eastAsiaTheme="minorEastAsia" w:cstheme="minorEastAsia"/>
          <w:color w:val="auto"/>
          <w:sz w:val="24"/>
          <w:szCs w:val="24"/>
          <w:highlight w:val="none"/>
          <w:lang w:eastAsia="zh-CN"/>
        </w:rPr>
        <w:t>元</w:t>
      </w:r>
      <w:r>
        <w:rPr>
          <w:rFonts w:hint="eastAsia" w:asciiTheme="minorEastAsia" w:hAnsiTheme="minorEastAsia" w:eastAsiaTheme="minorEastAsia" w:cstheme="minorEastAsia"/>
          <w:color w:val="auto"/>
          <w:sz w:val="24"/>
          <w:szCs w:val="24"/>
          <w:highlight w:val="none"/>
          <w:lang w:val="en-US" w:eastAsia="zh-CN"/>
        </w:rPr>
        <w:t>，暂列金为￥</w:t>
      </w:r>
      <w:r>
        <w:rPr>
          <w:rFonts w:hint="eastAsia" w:asciiTheme="minorEastAsia" w:hAnsiTheme="minorEastAsia" w:eastAsiaTheme="minorEastAsia" w:cstheme="minorEastAsia"/>
          <w:color w:val="auto"/>
          <w:sz w:val="24"/>
          <w:szCs w:val="24"/>
          <w:highlight w:val="none"/>
          <w:u w:val="single"/>
          <w:lang w:val="en-US" w:eastAsia="zh-CN"/>
        </w:rPr>
        <w:t>395006.25</w:t>
      </w:r>
      <w:r>
        <w:rPr>
          <w:rFonts w:hint="eastAsia" w:asciiTheme="minorEastAsia" w:hAnsiTheme="minorEastAsia" w:eastAsiaTheme="minorEastAsia" w:cstheme="minorEastAsia"/>
          <w:color w:val="auto"/>
          <w:sz w:val="24"/>
          <w:szCs w:val="24"/>
          <w:highlight w:val="none"/>
          <w:lang w:val="en-US" w:eastAsia="zh-CN"/>
        </w:rPr>
        <w:t>元，专业工程暂估价为￥</w:t>
      </w:r>
      <w:r>
        <w:rPr>
          <w:rFonts w:hint="eastAsia" w:asciiTheme="minorEastAsia" w:hAnsiTheme="minorEastAsia" w:eastAsiaTheme="minorEastAsia" w:cstheme="minorEastAsia"/>
          <w:color w:val="auto"/>
          <w:sz w:val="24"/>
          <w:szCs w:val="24"/>
          <w:highlight w:val="none"/>
          <w:u w:val="single"/>
          <w:lang w:val="en-US" w:eastAsia="zh-CN"/>
        </w:rPr>
        <w:t>10000.00</w:t>
      </w:r>
      <w:r>
        <w:rPr>
          <w:rFonts w:hint="eastAsia" w:asciiTheme="minorEastAsia" w:hAnsiTheme="minorEastAsia" w:eastAsiaTheme="minorEastAsia" w:cstheme="minorEastAsia"/>
          <w:color w:val="auto"/>
          <w:sz w:val="24"/>
          <w:szCs w:val="24"/>
          <w:highlight w:val="none"/>
          <w:lang w:val="en-US" w:eastAsia="zh-CN"/>
        </w:rPr>
        <w:t>元</w:t>
      </w:r>
      <w:r>
        <w:rPr>
          <w:rFonts w:hint="eastAsia" w:asciiTheme="minorEastAsia" w:hAnsiTheme="minorEastAsia" w:eastAsiaTheme="minorEastAsia" w:cstheme="minorEastAsia"/>
          <w:color w:val="auto"/>
          <w:sz w:val="24"/>
          <w:szCs w:val="24"/>
          <w:highlight w:val="none"/>
        </w:rPr>
        <w:t>。</w:t>
      </w:r>
      <w:r>
        <w:rPr>
          <w:rFonts w:hint="eastAsia" w:ascii="Times New Roman"/>
          <w:snapToGrid w:val="0"/>
          <w:color w:val="auto"/>
          <w:kern w:val="0"/>
          <w:sz w:val="24"/>
          <w:szCs w:val="24"/>
          <w:highlight w:val="none"/>
        </w:rPr>
        <w:t>具体详见下表：</w:t>
      </w:r>
    </w:p>
    <w:tbl>
      <w:tblPr>
        <w:tblStyle w:val="43"/>
        <w:tblW w:w="916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6"/>
        <w:gridCol w:w="5476"/>
        <w:gridCol w:w="2550"/>
      </w:tblGrid>
      <w:tr w14:paraId="32A2E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136" w:type="dxa"/>
            <w:tcBorders>
              <w:top w:val="single" w:color="000000" w:sz="10" w:space="0"/>
              <w:left w:val="single" w:color="000000" w:sz="10" w:space="0"/>
            </w:tcBorders>
            <w:vAlign w:val="center"/>
          </w:tcPr>
          <w:p w14:paraId="5C69F5B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476" w:type="dxa"/>
            <w:tcBorders>
              <w:top w:val="single" w:color="000000" w:sz="10" w:space="0"/>
            </w:tcBorders>
            <w:vAlign w:val="center"/>
          </w:tcPr>
          <w:p w14:paraId="099FCC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 目 内 容</w:t>
            </w:r>
          </w:p>
        </w:tc>
        <w:tc>
          <w:tcPr>
            <w:tcW w:w="2550" w:type="dxa"/>
            <w:tcBorders>
              <w:top w:val="single" w:color="000000" w:sz="10" w:space="0"/>
              <w:right w:val="single" w:color="000000" w:sz="8" w:space="0"/>
            </w:tcBorders>
            <w:vAlign w:val="center"/>
          </w:tcPr>
          <w:p w14:paraId="51307C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金 额（元）</w:t>
            </w:r>
          </w:p>
        </w:tc>
      </w:tr>
      <w:tr w14:paraId="4E590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36" w:type="dxa"/>
            <w:tcBorders>
              <w:left w:val="single" w:color="000000" w:sz="10" w:space="0"/>
            </w:tcBorders>
            <w:vAlign w:val="center"/>
          </w:tcPr>
          <w:p w14:paraId="40951F7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476" w:type="dxa"/>
            <w:vAlign w:val="center"/>
          </w:tcPr>
          <w:p w14:paraId="7C5E072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分部分项工程费</w:t>
            </w:r>
          </w:p>
        </w:tc>
        <w:tc>
          <w:tcPr>
            <w:tcW w:w="2550" w:type="dxa"/>
            <w:tcBorders>
              <w:right w:val="single" w:color="000000" w:sz="8" w:space="0"/>
            </w:tcBorders>
            <w:vAlign w:val="center"/>
          </w:tcPr>
          <w:p w14:paraId="6F0AFE8C">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3950062.54</w:t>
            </w:r>
          </w:p>
        </w:tc>
      </w:tr>
      <w:tr w14:paraId="22554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36" w:type="dxa"/>
            <w:tcBorders>
              <w:left w:val="single" w:color="000000" w:sz="10" w:space="0"/>
            </w:tcBorders>
            <w:vAlign w:val="center"/>
          </w:tcPr>
          <w:p w14:paraId="440DFE2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w:t>
            </w:r>
          </w:p>
        </w:tc>
        <w:tc>
          <w:tcPr>
            <w:tcW w:w="5476" w:type="dxa"/>
            <w:vAlign w:val="center"/>
          </w:tcPr>
          <w:p w14:paraId="1CBE875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浈江区南郊六公里力士通站场分布式屋顶光伏项目</w:t>
            </w:r>
          </w:p>
        </w:tc>
        <w:tc>
          <w:tcPr>
            <w:tcW w:w="2550" w:type="dxa"/>
            <w:tcBorders>
              <w:right w:val="single" w:color="000000" w:sz="8" w:space="0"/>
            </w:tcBorders>
            <w:vAlign w:val="center"/>
          </w:tcPr>
          <w:p w14:paraId="4A2B77CE">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3183177.61</w:t>
            </w:r>
          </w:p>
        </w:tc>
      </w:tr>
      <w:tr w14:paraId="70453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36" w:type="dxa"/>
            <w:tcBorders>
              <w:left w:val="single" w:color="000000" w:sz="10" w:space="0"/>
            </w:tcBorders>
            <w:vAlign w:val="center"/>
          </w:tcPr>
          <w:p w14:paraId="0460C9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1.1.1</w:t>
            </w:r>
          </w:p>
        </w:tc>
        <w:tc>
          <w:tcPr>
            <w:tcW w:w="5476" w:type="dxa"/>
            <w:vAlign w:val="center"/>
          </w:tcPr>
          <w:p w14:paraId="22EC00B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南郊六公里力士通公交总站-装饰工程</w:t>
            </w:r>
          </w:p>
        </w:tc>
        <w:tc>
          <w:tcPr>
            <w:tcW w:w="2550" w:type="dxa"/>
            <w:tcBorders>
              <w:right w:val="single" w:color="000000" w:sz="8" w:space="0"/>
            </w:tcBorders>
            <w:vAlign w:val="center"/>
          </w:tcPr>
          <w:p w14:paraId="1EDC57D6">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1290870.34</w:t>
            </w:r>
          </w:p>
        </w:tc>
      </w:tr>
      <w:tr w14:paraId="4D28A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36" w:type="dxa"/>
            <w:tcBorders>
              <w:left w:val="single" w:color="000000" w:sz="10" w:space="0"/>
            </w:tcBorders>
            <w:vAlign w:val="center"/>
          </w:tcPr>
          <w:p w14:paraId="2A0877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1.1.2</w:t>
            </w:r>
          </w:p>
        </w:tc>
        <w:tc>
          <w:tcPr>
            <w:tcW w:w="5476" w:type="dxa"/>
            <w:vAlign w:val="center"/>
          </w:tcPr>
          <w:p w14:paraId="295949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南郊六公里力士通公交总站-安装工程</w:t>
            </w:r>
          </w:p>
        </w:tc>
        <w:tc>
          <w:tcPr>
            <w:tcW w:w="2550" w:type="dxa"/>
            <w:tcBorders>
              <w:right w:val="single" w:color="000000" w:sz="8" w:space="0"/>
            </w:tcBorders>
            <w:vAlign w:val="center"/>
          </w:tcPr>
          <w:p w14:paraId="0BECC02A">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1550464</w:t>
            </w:r>
          </w:p>
        </w:tc>
      </w:tr>
      <w:tr w14:paraId="46168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36" w:type="dxa"/>
            <w:tcBorders>
              <w:left w:val="single" w:color="000000" w:sz="10" w:space="0"/>
            </w:tcBorders>
            <w:vAlign w:val="center"/>
          </w:tcPr>
          <w:p w14:paraId="6E21F8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1.1.3</w:t>
            </w:r>
          </w:p>
        </w:tc>
        <w:tc>
          <w:tcPr>
            <w:tcW w:w="5476" w:type="dxa"/>
            <w:vAlign w:val="center"/>
          </w:tcPr>
          <w:p w14:paraId="10580DF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南郊六公里力士通公交总站-市政工程</w:t>
            </w:r>
          </w:p>
        </w:tc>
        <w:tc>
          <w:tcPr>
            <w:tcW w:w="2550" w:type="dxa"/>
            <w:tcBorders>
              <w:right w:val="single" w:color="000000" w:sz="8" w:space="0"/>
            </w:tcBorders>
            <w:vAlign w:val="center"/>
          </w:tcPr>
          <w:p w14:paraId="78613DF3">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341843.27</w:t>
            </w:r>
          </w:p>
        </w:tc>
      </w:tr>
      <w:tr w14:paraId="3D524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136" w:type="dxa"/>
            <w:tcBorders>
              <w:left w:val="single" w:color="000000" w:sz="10" w:space="0"/>
            </w:tcBorders>
            <w:vAlign w:val="center"/>
          </w:tcPr>
          <w:p w14:paraId="13F357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w:t>
            </w:r>
          </w:p>
        </w:tc>
        <w:tc>
          <w:tcPr>
            <w:tcW w:w="5476" w:type="dxa"/>
            <w:vAlign w:val="center"/>
          </w:tcPr>
          <w:p w14:paraId="16997E6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浈江区黄金村客运站场分布式屋顶光伏项目</w:t>
            </w:r>
          </w:p>
        </w:tc>
        <w:tc>
          <w:tcPr>
            <w:tcW w:w="2550" w:type="dxa"/>
            <w:tcBorders>
              <w:right w:val="single" w:color="000000" w:sz="8" w:space="0"/>
            </w:tcBorders>
            <w:vAlign w:val="center"/>
          </w:tcPr>
          <w:p w14:paraId="769C5083">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766884.93</w:t>
            </w:r>
          </w:p>
        </w:tc>
      </w:tr>
      <w:tr w14:paraId="14AD5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36" w:type="dxa"/>
            <w:tcBorders>
              <w:left w:val="single" w:color="000000" w:sz="10" w:space="0"/>
            </w:tcBorders>
            <w:vAlign w:val="center"/>
          </w:tcPr>
          <w:p w14:paraId="3D3896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1.2.1</w:t>
            </w:r>
          </w:p>
        </w:tc>
        <w:tc>
          <w:tcPr>
            <w:tcW w:w="5476" w:type="dxa"/>
            <w:vAlign w:val="center"/>
          </w:tcPr>
          <w:p w14:paraId="463B9A8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浈江区黄金村客运站-安装工程</w:t>
            </w:r>
          </w:p>
        </w:tc>
        <w:tc>
          <w:tcPr>
            <w:tcW w:w="2550" w:type="dxa"/>
            <w:tcBorders>
              <w:right w:val="single" w:color="000000" w:sz="8" w:space="0"/>
            </w:tcBorders>
            <w:vAlign w:val="center"/>
          </w:tcPr>
          <w:p w14:paraId="62EC5CD4">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282049.76</w:t>
            </w:r>
          </w:p>
        </w:tc>
      </w:tr>
      <w:tr w14:paraId="2AE26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36" w:type="dxa"/>
            <w:tcBorders>
              <w:left w:val="single" w:color="000000" w:sz="10" w:space="0"/>
            </w:tcBorders>
            <w:vAlign w:val="center"/>
          </w:tcPr>
          <w:p w14:paraId="186692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1.2.2</w:t>
            </w:r>
          </w:p>
        </w:tc>
        <w:tc>
          <w:tcPr>
            <w:tcW w:w="5476" w:type="dxa"/>
            <w:vAlign w:val="center"/>
          </w:tcPr>
          <w:p w14:paraId="71BAAEA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浈江区黄金村客运站-市政工程</w:t>
            </w:r>
          </w:p>
        </w:tc>
        <w:tc>
          <w:tcPr>
            <w:tcW w:w="2550" w:type="dxa"/>
            <w:tcBorders>
              <w:right w:val="single" w:color="000000" w:sz="8" w:space="0"/>
            </w:tcBorders>
            <w:vAlign w:val="center"/>
          </w:tcPr>
          <w:p w14:paraId="27252C4B">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162397.86</w:t>
            </w:r>
          </w:p>
        </w:tc>
      </w:tr>
      <w:tr w14:paraId="3EFFD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136" w:type="dxa"/>
            <w:tcBorders>
              <w:left w:val="single" w:color="000000" w:sz="10" w:space="0"/>
            </w:tcBorders>
            <w:vAlign w:val="center"/>
          </w:tcPr>
          <w:p w14:paraId="2F7AFC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1.2.3</w:t>
            </w:r>
          </w:p>
        </w:tc>
        <w:tc>
          <w:tcPr>
            <w:tcW w:w="5476" w:type="dxa"/>
            <w:vAlign w:val="center"/>
          </w:tcPr>
          <w:p w14:paraId="2D75B6D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浈江区黄金村客运站-建筑工程</w:t>
            </w:r>
          </w:p>
        </w:tc>
        <w:tc>
          <w:tcPr>
            <w:tcW w:w="2550" w:type="dxa"/>
            <w:tcBorders>
              <w:right w:val="single" w:color="000000" w:sz="8" w:space="0"/>
            </w:tcBorders>
            <w:vAlign w:val="center"/>
          </w:tcPr>
          <w:p w14:paraId="3FB11D84">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322437.31</w:t>
            </w:r>
          </w:p>
        </w:tc>
      </w:tr>
      <w:tr w14:paraId="3729A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36" w:type="dxa"/>
            <w:tcBorders>
              <w:left w:val="single" w:color="000000" w:sz="10" w:space="0"/>
            </w:tcBorders>
            <w:vAlign w:val="center"/>
          </w:tcPr>
          <w:p w14:paraId="6BE173A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476" w:type="dxa"/>
            <w:vAlign w:val="center"/>
          </w:tcPr>
          <w:p w14:paraId="60EDD1D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措施项目费</w:t>
            </w:r>
          </w:p>
        </w:tc>
        <w:tc>
          <w:tcPr>
            <w:tcW w:w="2550" w:type="dxa"/>
            <w:tcBorders>
              <w:right w:val="single" w:color="000000" w:sz="8" w:space="0"/>
            </w:tcBorders>
            <w:vAlign w:val="center"/>
          </w:tcPr>
          <w:p w14:paraId="476F34E2">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464798.31</w:t>
            </w:r>
          </w:p>
        </w:tc>
      </w:tr>
      <w:tr w14:paraId="2F44C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36" w:type="dxa"/>
            <w:tcBorders>
              <w:left w:val="single" w:color="000000" w:sz="10" w:space="0"/>
            </w:tcBorders>
            <w:vAlign w:val="center"/>
          </w:tcPr>
          <w:p w14:paraId="24FB2FB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w:t>
            </w:r>
          </w:p>
        </w:tc>
        <w:tc>
          <w:tcPr>
            <w:tcW w:w="5476" w:type="dxa"/>
            <w:vAlign w:val="center"/>
          </w:tcPr>
          <w:p w14:paraId="0EC7DD6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安全生产措施费</w:t>
            </w:r>
          </w:p>
        </w:tc>
        <w:tc>
          <w:tcPr>
            <w:tcW w:w="2550" w:type="dxa"/>
            <w:tcBorders>
              <w:right w:val="single" w:color="000000" w:sz="8" w:space="0"/>
            </w:tcBorders>
            <w:vAlign w:val="center"/>
          </w:tcPr>
          <w:p w14:paraId="3596F650">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195196.79</w:t>
            </w:r>
          </w:p>
        </w:tc>
      </w:tr>
      <w:tr w14:paraId="49D8B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136" w:type="dxa"/>
            <w:tcBorders>
              <w:left w:val="single" w:color="000000" w:sz="10" w:space="0"/>
            </w:tcBorders>
            <w:vAlign w:val="center"/>
          </w:tcPr>
          <w:p w14:paraId="698B9D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476" w:type="dxa"/>
            <w:vAlign w:val="center"/>
          </w:tcPr>
          <w:p w14:paraId="67CF146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其他项目费</w:t>
            </w:r>
          </w:p>
        </w:tc>
        <w:tc>
          <w:tcPr>
            <w:tcW w:w="2550" w:type="dxa"/>
            <w:tcBorders>
              <w:right w:val="single" w:color="000000" w:sz="8" w:space="0"/>
            </w:tcBorders>
            <w:vAlign w:val="center"/>
          </w:tcPr>
          <w:p w14:paraId="527D5BBA">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405006.25</w:t>
            </w:r>
          </w:p>
        </w:tc>
      </w:tr>
      <w:tr w14:paraId="11015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36" w:type="dxa"/>
            <w:tcBorders>
              <w:left w:val="single" w:color="000000" w:sz="10" w:space="0"/>
            </w:tcBorders>
            <w:vAlign w:val="center"/>
          </w:tcPr>
          <w:p w14:paraId="031E59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w:t>
            </w:r>
          </w:p>
        </w:tc>
        <w:tc>
          <w:tcPr>
            <w:tcW w:w="5476" w:type="dxa"/>
            <w:vAlign w:val="center"/>
          </w:tcPr>
          <w:p w14:paraId="7FDA3AC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其中：暂列金额</w:t>
            </w:r>
          </w:p>
        </w:tc>
        <w:tc>
          <w:tcPr>
            <w:tcW w:w="2550" w:type="dxa"/>
            <w:tcBorders>
              <w:right w:val="single" w:color="000000" w:sz="8" w:space="0"/>
            </w:tcBorders>
            <w:vAlign w:val="center"/>
          </w:tcPr>
          <w:p w14:paraId="5FE24332">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395006.25</w:t>
            </w:r>
          </w:p>
        </w:tc>
      </w:tr>
      <w:tr w14:paraId="4C5A9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136" w:type="dxa"/>
            <w:tcBorders>
              <w:left w:val="single" w:color="000000" w:sz="10" w:space="0"/>
            </w:tcBorders>
            <w:vAlign w:val="center"/>
          </w:tcPr>
          <w:p w14:paraId="03D191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w:t>
            </w:r>
          </w:p>
        </w:tc>
        <w:tc>
          <w:tcPr>
            <w:tcW w:w="5476" w:type="dxa"/>
            <w:vAlign w:val="center"/>
          </w:tcPr>
          <w:p w14:paraId="73DD0BF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其中：专业工程暂估价</w:t>
            </w:r>
          </w:p>
        </w:tc>
        <w:tc>
          <w:tcPr>
            <w:tcW w:w="2550" w:type="dxa"/>
            <w:tcBorders>
              <w:right w:val="single" w:color="000000" w:sz="8" w:space="0"/>
            </w:tcBorders>
            <w:vAlign w:val="center"/>
          </w:tcPr>
          <w:p w14:paraId="77D0C754">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10000</w:t>
            </w:r>
            <w:r>
              <w:rPr>
                <w:rFonts w:hint="eastAsia" w:ascii="宋体" w:hAnsi="宋体" w:eastAsia="宋体" w:cs="宋体"/>
                <w:color w:val="auto"/>
                <w:sz w:val="24"/>
                <w:szCs w:val="24"/>
                <w:lang w:val="en-US" w:eastAsia="zh-CN"/>
              </w:rPr>
              <w:t>.00</w:t>
            </w:r>
          </w:p>
        </w:tc>
      </w:tr>
      <w:tr w14:paraId="77838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36" w:type="dxa"/>
            <w:tcBorders>
              <w:left w:val="single" w:color="000000" w:sz="10" w:space="0"/>
            </w:tcBorders>
            <w:vAlign w:val="center"/>
          </w:tcPr>
          <w:p w14:paraId="737E7D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5476" w:type="dxa"/>
            <w:vAlign w:val="center"/>
          </w:tcPr>
          <w:p w14:paraId="66A3BAC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税前工程造价</w:t>
            </w:r>
          </w:p>
        </w:tc>
        <w:tc>
          <w:tcPr>
            <w:tcW w:w="2550" w:type="dxa"/>
            <w:tcBorders>
              <w:right w:val="single" w:color="000000" w:sz="8" w:space="0"/>
            </w:tcBorders>
            <w:vAlign w:val="center"/>
          </w:tcPr>
          <w:p w14:paraId="2AE318FF">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4819867.1</w:t>
            </w:r>
            <w:r>
              <w:rPr>
                <w:rFonts w:hint="eastAsia" w:ascii="宋体" w:hAnsi="宋体" w:eastAsia="宋体" w:cs="宋体"/>
                <w:color w:val="auto"/>
                <w:sz w:val="24"/>
                <w:szCs w:val="24"/>
                <w:lang w:val="en-US" w:eastAsia="zh-CN"/>
              </w:rPr>
              <w:t>0</w:t>
            </w:r>
          </w:p>
        </w:tc>
      </w:tr>
      <w:tr w14:paraId="6BEFA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36" w:type="dxa"/>
            <w:tcBorders>
              <w:left w:val="single" w:color="000000" w:sz="10" w:space="0"/>
            </w:tcBorders>
            <w:vAlign w:val="center"/>
          </w:tcPr>
          <w:p w14:paraId="3407A3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5476" w:type="dxa"/>
            <w:vAlign w:val="center"/>
          </w:tcPr>
          <w:p w14:paraId="2E3EC00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增值税</w:t>
            </w:r>
          </w:p>
        </w:tc>
        <w:tc>
          <w:tcPr>
            <w:tcW w:w="2550" w:type="dxa"/>
            <w:tcBorders>
              <w:right w:val="single" w:color="000000" w:sz="8" w:space="0"/>
            </w:tcBorders>
            <w:vAlign w:val="center"/>
          </w:tcPr>
          <w:p w14:paraId="16EB9A7D">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432888.04</w:t>
            </w:r>
          </w:p>
        </w:tc>
      </w:tr>
      <w:tr w14:paraId="01D6C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36" w:type="dxa"/>
            <w:tcBorders>
              <w:left w:val="single" w:color="000000" w:sz="10" w:space="0"/>
            </w:tcBorders>
            <w:vAlign w:val="center"/>
          </w:tcPr>
          <w:p w14:paraId="2C4035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5476" w:type="dxa"/>
            <w:vAlign w:val="center"/>
          </w:tcPr>
          <w:p w14:paraId="506A31C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合   计</w:t>
            </w:r>
          </w:p>
        </w:tc>
        <w:tc>
          <w:tcPr>
            <w:tcW w:w="2550" w:type="dxa"/>
            <w:tcBorders>
              <w:right w:val="single" w:color="000000" w:sz="8" w:space="0"/>
            </w:tcBorders>
            <w:vAlign w:val="center"/>
          </w:tcPr>
          <w:p w14:paraId="3A9BB888">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5252755.14</w:t>
            </w:r>
          </w:p>
        </w:tc>
      </w:tr>
    </w:tbl>
    <w:p w14:paraId="2A26421C">
      <w:pPr>
        <w:pStyle w:val="2"/>
        <w:rPr>
          <w:color w:val="auto"/>
        </w:rPr>
      </w:pPr>
    </w:p>
    <w:p w14:paraId="35B82A74">
      <w:pPr>
        <w:keepNext w:val="0"/>
        <w:keepLines w:val="0"/>
        <w:pageBreakBefore w:val="0"/>
        <w:widowControl w:val="0"/>
        <w:kinsoku/>
        <w:wordWrap w:val="0"/>
        <w:overflowPunct/>
        <w:topLinePunct/>
        <w:autoSpaceDE/>
        <w:autoSpaceDN/>
        <w:bidi w:val="0"/>
        <w:adjustRightInd w:val="0"/>
        <w:snapToGrid w:val="0"/>
        <w:spacing w:line="360" w:lineRule="auto"/>
        <w:ind w:right="0" w:rightChars="0" w:firstLine="482"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31D35C1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3FE2A53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71816367">
      <w:pPr>
        <w:keepNext w:val="0"/>
        <w:keepLines w:val="0"/>
        <w:pageBreakBefore w:val="0"/>
        <w:widowControl w:val="0"/>
        <w:kinsoku/>
        <w:wordWrap w:val="0"/>
        <w:overflowPunct/>
        <w:topLinePunct/>
        <w:autoSpaceDE/>
        <w:autoSpaceDN/>
        <w:bidi w:val="0"/>
        <w:adjustRightInd w:val="0"/>
        <w:snapToGrid w:val="0"/>
        <w:spacing w:line="360" w:lineRule="auto"/>
        <w:ind w:left="-6" w:leftChars="0" w:right="84" w:rightChars="4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中标人招标</w:t>
      </w:r>
      <w:r>
        <w:rPr>
          <w:rFonts w:hint="eastAsia" w:ascii="宋体" w:hAnsi="宋体" w:eastAsia="宋体" w:cs="宋体"/>
          <w:bCs/>
          <w:color w:val="auto"/>
          <w:spacing w:val="-1"/>
          <w:sz w:val="24"/>
          <w:szCs w:val="24"/>
          <w:highlight w:val="none"/>
          <w:u w:val="single"/>
          <w:lang w:eastAsia="zh-CN"/>
        </w:rPr>
        <w:t>，由</w:t>
      </w:r>
      <w:r>
        <w:rPr>
          <w:rFonts w:hint="eastAsia" w:ascii="宋体" w:hAnsi="宋体" w:eastAsia="宋体" w:cs="宋体"/>
          <w:bCs/>
          <w:color w:val="auto"/>
          <w:spacing w:val="-1"/>
          <w:sz w:val="24"/>
          <w:szCs w:val="24"/>
          <w:highlight w:val="none"/>
          <w:u w:val="single"/>
        </w:rPr>
        <w:t xml:space="preserve">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确定专业工程承包人（或材料、工程设备供应商）和合同价格。</w:t>
      </w:r>
    </w:p>
    <w:p w14:paraId="46E30C59">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CD1D353">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同中标人结算原则按本招标文件相关条款执行。</w:t>
      </w:r>
    </w:p>
    <w:p w14:paraId="245B8930">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2B3C701E">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6FCFA400">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w:t>
      </w:r>
      <w:r>
        <w:rPr>
          <w:rFonts w:hint="eastAsia" w:ascii="宋体" w:hAnsi="宋体" w:eastAsia="宋体" w:cs="宋体"/>
          <w:color w:val="auto"/>
          <w:spacing w:val="-2"/>
          <w:sz w:val="24"/>
          <w:szCs w:val="24"/>
          <w:highlight w:val="none"/>
          <w:lang w:eastAsia="zh-CN"/>
        </w:rPr>
        <w:t>，由</w:t>
      </w:r>
      <w:r>
        <w:rPr>
          <w:rFonts w:hint="eastAsia" w:ascii="宋体" w:hAnsi="宋体" w:eastAsia="宋体" w:cs="宋体"/>
          <w:color w:val="auto"/>
          <w:spacing w:val="-2"/>
          <w:sz w:val="24"/>
          <w:szCs w:val="24"/>
          <w:highlight w:val="none"/>
        </w:rPr>
        <w:t>中标人向招标人承担责任。</w:t>
      </w:r>
    </w:p>
    <w:p w14:paraId="0FBAD91E">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outlineLvl w:val="2"/>
        <w:rPr>
          <w:rFonts w:hint="eastAsia" w:ascii="宋体" w:hAnsi="宋体" w:eastAsia="宋体" w:cs="宋体"/>
          <w:color w:val="auto"/>
          <w:sz w:val="24"/>
          <w:szCs w:val="24"/>
          <w:highlight w:val="none"/>
        </w:rPr>
      </w:pPr>
      <w:bookmarkStart w:id="38" w:name="_Toc23704"/>
      <w:bookmarkStart w:id="39" w:name="_Toc22978"/>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8"/>
      <w:bookmarkEnd w:id="39"/>
    </w:p>
    <w:p w14:paraId="424B44C2">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1D467EED">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4"/>
          <w:sz w:val="24"/>
          <w:szCs w:val="24"/>
          <w:highlight w:val="none"/>
        </w:rPr>
        <w:t>；</w:t>
      </w:r>
    </w:p>
    <w:p w14:paraId="179CA87B">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（2）《广东省建设工程计价依据（2018）》。具体</w:t>
      </w:r>
      <w:r>
        <w:rPr>
          <w:rFonts w:hint="eastAsia" w:ascii="宋体" w:hAnsi="宋体" w:eastAsia="宋体" w:cs="宋体"/>
          <w:color w:val="auto"/>
          <w:spacing w:val="1"/>
          <w:sz w:val="24"/>
          <w:szCs w:val="24"/>
          <w:highlight w:val="none"/>
        </w:rPr>
        <w:t>包括：《广东省房屋建筑与</w:t>
      </w:r>
      <w:r>
        <w:rPr>
          <w:rFonts w:hint="eastAsia" w:ascii="宋体" w:hAnsi="宋体" w:eastAsia="宋体" w:cs="宋体"/>
          <w:color w:val="auto"/>
          <w:spacing w:val="-1"/>
          <w:sz w:val="24"/>
          <w:szCs w:val="24"/>
          <w:highlight w:val="none"/>
        </w:rPr>
        <w:t>装饰工程综合定额（2018）》《广东省市政工程综合定额（2018）》《</w:t>
      </w:r>
      <w:r>
        <w:rPr>
          <w:rFonts w:hint="eastAsia" w:ascii="宋体" w:hAnsi="宋体" w:eastAsia="宋体" w:cs="宋体"/>
          <w:color w:val="auto"/>
          <w:spacing w:val="-2"/>
          <w:sz w:val="24"/>
          <w:szCs w:val="24"/>
          <w:highlight w:val="none"/>
        </w:rPr>
        <w:t>广东省通用安</w:t>
      </w:r>
      <w:r>
        <w:rPr>
          <w:rFonts w:hint="eastAsia" w:ascii="宋体" w:hAnsi="宋体" w:eastAsia="宋体" w:cs="宋体"/>
          <w:color w:val="auto"/>
          <w:spacing w:val="-1"/>
          <w:sz w:val="24"/>
          <w:szCs w:val="24"/>
          <w:highlight w:val="none"/>
        </w:rPr>
        <w:t>装工程综合定额（2018）》《广东省园林绿化工程综合定额（2018）》</w:t>
      </w:r>
      <w:r>
        <w:rPr>
          <w:rFonts w:hint="eastAsia" w:ascii="宋体" w:hAnsi="宋体" w:eastAsia="宋体" w:cs="宋体"/>
          <w:color w:val="auto"/>
          <w:spacing w:val="-2"/>
          <w:sz w:val="24"/>
          <w:szCs w:val="24"/>
          <w:highlight w:val="none"/>
        </w:rPr>
        <w:t>《广东省建设</w:t>
      </w:r>
      <w:r>
        <w:rPr>
          <w:rFonts w:hint="eastAsia" w:ascii="宋体" w:hAnsi="宋体" w:eastAsia="宋体" w:cs="宋体"/>
          <w:color w:val="auto"/>
          <w:spacing w:val="-1"/>
          <w:sz w:val="24"/>
          <w:szCs w:val="24"/>
          <w:highlight w:val="none"/>
        </w:rPr>
        <w:t>工程施工机具台班费用编制规则（2018）》等；</w:t>
      </w:r>
    </w:p>
    <w:p w14:paraId="111A59D1">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bookmarkStart w:id="40" w:name="bookmark120"/>
      <w:bookmarkEnd w:id="40"/>
      <w:r>
        <w:rPr>
          <w:rFonts w:hint="eastAsia" w:ascii="宋体" w:hAnsi="宋体" w:eastAsia="宋体" w:cs="宋体"/>
          <w:color w:val="auto"/>
          <w:spacing w:val="-3"/>
          <w:sz w:val="24"/>
          <w:szCs w:val="24"/>
          <w:highlight w:val="none"/>
        </w:rPr>
        <w:t>（3）企业定额；</w:t>
      </w:r>
    </w:p>
    <w:p w14:paraId="4CECC87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77B2520E">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08E6426F">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609EDC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00CAF18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3F0F5B0F">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8100800">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w:t>
      </w:r>
      <w:r>
        <w:rPr>
          <w:rFonts w:hint="eastAsia" w:ascii="宋体" w:hAnsi="宋体" w:eastAsia="宋体" w:cs="宋体"/>
          <w:color w:val="auto"/>
          <w:spacing w:val="-1"/>
          <w:sz w:val="24"/>
          <w:szCs w:val="24"/>
          <w:highlight w:val="none"/>
          <w:lang w:eastAsia="zh-CN"/>
        </w:rPr>
        <w:t>影响</w:t>
      </w:r>
      <w:r>
        <w:rPr>
          <w:rFonts w:hint="eastAsia" w:ascii="宋体" w:hAnsi="宋体" w:eastAsia="宋体" w:cs="宋体"/>
          <w:color w:val="auto"/>
          <w:spacing w:val="-1"/>
          <w:sz w:val="24"/>
          <w:szCs w:val="24"/>
          <w:highlight w:val="none"/>
        </w:rPr>
        <w:t>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64578EF2">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5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09906FD0">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5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6CD49F27">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7"/>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1C43D901">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7"/>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04B202D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1175" w:firstLineChars="500"/>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7FBA7A7A">
      <w:pPr>
        <w:keepNext w:val="0"/>
        <w:keepLines w:val="0"/>
        <w:pageBreakBefore w:val="0"/>
        <w:widowControl w:val="0"/>
        <w:kinsoku/>
        <w:wordWrap w:val="0"/>
        <w:overflowPunct/>
        <w:topLinePunct/>
        <w:autoSpaceDE/>
        <w:autoSpaceDN/>
        <w:bidi w:val="0"/>
        <w:adjustRightInd w:val="0"/>
        <w:snapToGrid w:val="0"/>
        <w:spacing w:line="360" w:lineRule="auto"/>
        <w:ind w:left="29" w:right="84" w:rightChars="40" w:firstLine="45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9.8  </w:t>
      </w:r>
      <w:r>
        <w:rPr>
          <w:rFonts w:hint="eastAsia" w:ascii="宋体" w:hAnsi="宋体" w:eastAsia="宋体" w:cs="宋体"/>
          <w:color w:val="auto"/>
          <w:sz w:val="24"/>
          <w:szCs w:val="24"/>
          <w:highlight w:val="none"/>
        </w:rPr>
        <w:t>投标人的</w:t>
      </w:r>
      <w:r>
        <w:rPr>
          <w:rFonts w:hint="eastAsia" w:ascii="宋体" w:hAnsi="宋体" w:eastAsia="宋体" w:cs="宋体"/>
          <w:color w:val="auto"/>
          <w:sz w:val="24"/>
          <w:szCs w:val="24"/>
          <w:highlight w:val="none"/>
          <w:lang w:eastAsia="zh-CN"/>
        </w:rPr>
        <w:t>安全生产措施费</w:t>
      </w:r>
      <w:r>
        <w:rPr>
          <w:rFonts w:hint="eastAsia" w:ascii="宋体" w:hAnsi="宋体" w:eastAsia="宋体" w:cs="宋体"/>
          <w:color w:val="auto"/>
          <w:sz w:val="24"/>
          <w:szCs w:val="24"/>
          <w:highlight w:val="none"/>
        </w:rPr>
        <w:t>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中</w:t>
      </w:r>
      <w:r>
        <w:rPr>
          <w:rFonts w:hint="eastAsia" w:ascii="宋体" w:hAnsi="宋体" w:eastAsia="宋体" w:cs="宋体"/>
          <w:color w:val="auto"/>
          <w:spacing w:val="-1"/>
          <w:sz w:val="24"/>
          <w:szCs w:val="24"/>
          <w:highlight w:val="none"/>
        </w:rPr>
        <w:t>提供</w:t>
      </w:r>
      <w:r>
        <w:rPr>
          <w:rFonts w:hint="eastAsia" w:ascii="宋体" w:hAnsi="宋体" w:eastAsia="宋体" w:cs="宋体"/>
          <w:color w:val="auto"/>
          <w:spacing w:val="-3"/>
          <w:sz w:val="24"/>
          <w:szCs w:val="24"/>
          <w:highlight w:val="none"/>
        </w:rPr>
        <w:t>的</w:t>
      </w:r>
      <w:r>
        <w:rPr>
          <w:rFonts w:hint="eastAsia" w:ascii="宋体" w:hAnsi="宋体" w:eastAsia="宋体" w:cs="宋体"/>
          <w:color w:val="auto"/>
          <w:spacing w:val="-3"/>
          <w:sz w:val="24"/>
          <w:szCs w:val="24"/>
          <w:highlight w:val="none"/>
          <w:lang w:eastAsia="zh-CN"/>
        </w:rPr>
        <w:t>安全生产措施费</w:t>
      </w:r>
      <w:r>
        <w:rPr>
          <w:rFonts w:hint="eastAsia" w:ascii="宋体" w:hAnsi="宋体" w:eastAsia="宋体" w:cs="宋体"/>
          <w:color w:val="auto"/>
          <w:spacing w:val="-3"/>
          <w:sz w:val="24"/>
          <w:szCs w:val="24"/>
          <w:highlight w:val="none"/>
        </w:rPr>
        <w:t>。</w:t>
      </w:r>
    </w:p>
    <w:p w14:paraId="48C0425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1E401F7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rPr>
          <w:rFonts w:hint="eastAsia" w:ascii="宋体" w:hAnsi="宋体" w:eastAsia="宋体" w:cs="宋体"/>
          <w:color w:val="auto"/>
          <w:spacing w:val="-1"/>
          <w:sz w:val="24"/>
          <w:szCs w:val="24"/>
          <w:highlight w:val="none"/>
          <w:lang w:val="en-US" w:eastAsia="en-US"/>
        </w:rPr>
      </w:pPr>
      <w:r>
        <w:rPr>
          <w:rFonts w:hint="eastAsia" w:ascii="宋体" w:hAnsi="宋体" w:eastAsia="宋体" w:cs="宋体"/>
          <w:b/>
          <w:bCs/>
          <w:color w:val="auto"/>
          <w:spacing w:val="-1"/>
          <w:sz w:val="24"/>
          <w:szCs w:val="24"/>
          <w:highlight w:val="none"/>
        </w:rPr>
        <w:t xml:space="preserve">9.10 </w:t>
      </w:r>
      <w:r>
        <w:rPr>
          <w:rFonts w:hint="eastAsia" w:ascii="宋体" w:hAnsi="宋体" w:eastAsia="宋体" w:cs="宋体"/>
          <w:color w:val="auto"/>
          <w:spacing w:val="-1"/>
          <w:sz w:val="24"/>
          <w:szCs w:val="24"/>
          <w:highlight w:val="none"/>
          <w:lang w:val="en-US" w:eastAsia="en-US"/>
        </w:rPr>
        <w:t>预算包干内容一般包括</w:t>
      </w:r>
      <w:r>
        <w:rPr>
          <w:rFonts w:hint="eastAsia" w:ascii="宋体" w:hAnsi="宋体" w:eastAsia="宋体" w:cs="宋体"/>
          <w:color w:val="auto"/>
          <w:spacing w:val="-1"/>
          <w:sz w:val="24"/>
          <w:szCs w:val="24"/>
          <w:highlight w:val="none"/>
          <w:u w:val="single"/>
          <w:lang w:val="en-US" w:eastAsia="en-US"/>
        </w:rPr>
        <w:t>施工雨（污）水的排除、因地形影响造成的场内料具二次运输、20 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r>
        <w:rPr>
          <w:rFonts w:hint="eastAsia" w:ascii="宋体" w:hAnsi="宋体" w:eastAsia="宋体" w:cs="宋体"/>
          <w:color w:val="auto"/>
          <w:spacing w:val="-1"/>
          <w:sz w:val="24"/>
          <w:szCs w:val="24"/>
          <w:highlight w:val="none"/>
          <w:lang w:val="en-US" w:eastAsia="en-US"/>
        </w:rPr>
        <w:t>。</w:t>
      </w:r>
    </w:p>
    <w:p w14:paraId="0F20B2B1">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41" w:name="_Toc16322"/>
      <w:bookmarkStart w:id="42" w:name="_Toc20179"/>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1"/>
      <w:bookmarkEnd w:id="42"/>
    </w:p>
    <w:p w14:paraId="07987CF5">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9"/>
        <w:rPr>
          <w:rFonts w:hint="eastAsia" w:ascii="宋体" w:hAnsi="宋体" w:eastAsia="宋体" w:cs="宋体"/>
          <w:color w:val="auto"/>
          <w:sz w:val="24"/>
          <w:szCs w:val="24"/>
          <w:highlight w:val="none"/>
        </w:rPr>
      </w:pPr>
      <w:bookmarkStart w:id="43" w:name="_Toc20590"/>
      <w:bookmarkStart w:id="44"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3"/>
      <w:bookmarkEnd w:id="44"/>
    </w:p>
    <w:p w14:paraId="62E4E8CD">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0001B2B">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2A668192">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10.1.2  </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交易平台（广东省·韶关市）</w:t>
      </w:r>
      <w:r>
        <w:rPr>
          <w:rFonts w:hint="eastAsia" w:ascii="宋体" w:hAnsi="宋体" w:eastAsia="宋体" w:cs="宋体"/>
          <w:color w:val="auto"/>
          <w:spacing w:val="-2"/>
          <w:sz w:val="24"/>
          <w:szCs w:val="24"/>
          <w:highlight w:val="none"/>
        </w:rPr>
        <w:t>交易指引。</w:t>
      </w:r>
    </w:p>
    <w:p w14:paraId="79F227CA">
      <w:pPr>
        <w:keepNext w:val="0"/>
        <w:keepLines w:val="0"/>
        <w:pageBreakBefore w:val="0"/>
        <w:widowControl w:val="0"/>
        <w:kinsoku/>
        <w:wordWrap w:val="0"/>
        <w:overflowPunct/>
        <w:topLinePunct/>
        <w:autoSpaceDE/>
        <w:autoSpaceDN/>
        <w:bidi w:val="0"/>
        <w:adjustRightInd w:val="0"/>
        <w:snapToGrid w:val="0"/>
        <w:spacing w:line="360" w:lineRule="auto"/>
        <w:ind w:left="579"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565FA6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578"/>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70A3D8D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0657412E">
      <w:pPr>
        <w:keepNext w:val="0"/>
        <w:keepLines w:val="0"/>
        <w:pageBreakBefore w:val="0"/>
        <w:widowControl w:val="0"/>
        <w:kinsoku/>
        <w:wordWrap w:val="0"/>
        <w:overflowPunct/>
        <w:topLinePunct/>
        <w:autoSpaceDE/>
        <w:autoSpaceDN/>
        <w:bidi w:val="0"/>
        <w:adjustRightInd w:val="0"/>
        <w:snapToGrid w:val="0"/>
        <w:spacing w:line="360" w:lineRule="auto"/>
        <w:ind w:left="16" w:right="84" w:rightChars="40"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6C46FB65">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74" w:firstLineChars="200"/>
        <w:outlineLvl w:val="9"/>
        <w:rPr>
          <w:rFonts w:hint="eastAsia" w:ascii="宋体" w:hAnsi="宋体" w:eastAsia="宋体" w:cs="宋体"/>
          <w:b w:val="0"/>
          <w:bCs w:val="0"/>
          <w:color w:val="auto"/>
          <w:spacing w:val="-2"/>
          <w:sz w:val="24"/>
          <w:szCs w:val="24"/>
          <w:highlight w:val="none"/>
        </w:rPr>
      </w:pPr>
      <w:bookmarkStart w:id="45" w:name="_Toc21271"/>
      <w:bookmarkStart w:id="46"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联合体投标的，除《联合体协议书》外，由联合体牵头人按以上要求签亲笔署名或签章（电子印章）即可。</w:t>
      </w:r>
    </w:p>
    <w:p w14:paraId="1B3C2AD6">
      <w:pPr>
        <w:keepNext w:val="0"/>
        <w:keepLines w:val="0"/>
        <w:pageBreakBefore w:val="0"/>
        <w:widowControl w:val="0"/>
        <w:kinsoku/>
        <w:wordWrap w:val="0"/>
        <w:overflowPunct/>
        <w:topLinePunct/>
        <w:autoSpaceDE/>
        <w:autoSpaceDN/>
        <w:bidi w:val="0"/>
        <w:adjustRightInd w:val="0"/>
        <w:snapToGrid w:val="0"/>
        <w:spacing w:line="360" w:lineRule="auto"/>
        <w:ind w:left="500" w:right="84" w:rightChars="40"/>
        <w:outlineLvl w:val="9"/>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10.2  </w:t>
      </w:r>
      <w:r>
        <w:rPr>
          <w:rFonts w:hint="eastAsia" w:ascii="宋体" w:hAnsi="宋体" w:eastAsia="宋体" w:cs="宋体"/>
          <w:color w:val="auto"/>
          <w:spacing w:val="-2"/>
          <w:sz w:val="24"/>
          <w:szCs w:val="24"/>
          <w:highlight w:val="none"/>
        </w:rPr>
        <w:t>商务标书的编制要求</w:t>
      </w:r>
      <w:bookmarkEnd w:id="45"/>
      <w:bookmarkEnd w:id="46"/>
    </w:p>
    <w:p w14:paraId="6F086A4B">
      <w:pPr>
        <w:keepNext w:val="0"/>
        <w:keepLines w:val="0"/>
        <w:pageBreakBefore w:val="0"/>
        <w:widowControl w:val="0"/>
        <w:kinsoku/>
        <w:wordWrap w:val="0"/>
        <w:overflowPunct/>
        <w:topLinePunct/>
        <w:autoSpaceDE/>
        <w:autoSpaceDN/>
        <w:bidi w:val="0"/>
        <w:adjustRightInd w:val="0"/>
        <w:snapToGrid w:val="0"/>
        <w:spacing w:line="360" w:lineRule="auto"/>
        <w:ind w:left="581"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9BA43AF">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5C31F31B">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5AEBB5A0">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76BD0DA2">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0DAFD09">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634869EE">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0A2E83AC">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03A48095">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40AC9E0E">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（9）《投标人基本情况表》（格式七）及所附资料；</w:t>
      </w:r>
    </w:p>
    <w:p w14:paraId="2EC3224D">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（10）《项目经理简历表》（格式八）及所附资料；</w:t>
      </w:r>
    </w:p>
    <w:p w14:paraId="6CF23199">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（11）《项目经理任职声明》（格式九）；</w:t>
      </w:r>
    </w:p>
    <w:p w14:paraId="00856C77">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（12）《项目技术负责人简历表》（格式十）及所附资料；</w:t>
      </w:r>
    </w:p>
    <w:p w14:paraId="1E4E5FEE">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（13）《项</w:t>
      </w:r>
      <w:bookmarkStart w:id="47" w:name="OLE_LINK7"/>
      <w:r>
        <w:rPr>
          <w:rFonts w:hint="eastAsia" w:ascii="宋体" w:hAnsi="宋体" w:eastAsia="宋体" w:cs="宋体"/>
          <w:color w:val="auto"/>
          <w:spacing w:val="-2"/>
          <w:sz w:val="24"/>
          <w:szCs w:val="24"/>
          <w:highlight w:val="none"/>
        </w:rPr>
        <w:t>目管理机构组成表》（格式十一）及</w:t>
      </w:r>
      <w:bookmarkEnd w:id="47"/>
      <w:r>
        <w:rPr>
          <w:rFonts w:hint="eastAsia" w:ascii="宋体" w:hAnsi="宋体" w:eastAsia="宋体" w:cs="宋体"/>
          <w:color w:val="auto"/>
          <w:spacing w:val="-2"/>
          <w:sz w:val="24"/>
          <w:szCs w:val="24"/>
          <w:highlight w:val="none"/>
        </w:rPr>
        <w:t>所附资料；</w:t>
      </w:r>
    </w:p>
    <w:p w14:paraId="75A6A669">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val="en-US" w:eastAsia="zh-CN"/>
        </w:rPr>
        <w:t>4</w:t>
      </w:r>
      <w:r>
        <w:rPr>
          <w:rFonts w:hint="eastAsia" w:ascii="宋体" w:hAnsi="宋体" w:eastAsia="宋体" w:cs="宋体"/>
          <w:color w:val="auto"/>
          <w:spacing w:val="-2"/>
          <w:sz w:val="24"/>
          <w:szCs w:val="24"/>
          <w:highlight w:val="none"/>
        </w:rPr>
        <w:t>）本节第 15.5.1目“评标方法 ”要求提供的评审资料；</w:t>
      </w:r>
    </w:p>
    <w:p w14:paraId="428A3BF4">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）投标人认为有必要补充的其他资料。（例如投标人已经工商变更，但其企业资质证书、安全生产许可证或其员工执业资格注册证书上的企业名称未能在投标期间完成变更的书面说明和佐证材料等）</w:t>
      </w:r>
    </w:p>
    <w:p w14:paraId="7DB860BC">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10.2.2  </w:t>
      </w:r>
      <w:r>
        <w:rPr>
          <w:rFonts w:hint="eastAsia" w:ascii="宋体" w:hAnsi="宋体" w:eastAsia="宋体" w:cs="宋体"/>
          <w:color w:val="auto"/>
          <w:spacing w:val="-2"/>
          <w:sz w:val="24"/>
          <w:szCs w:val="24"/>
          <w:highlight w:val="none"/>
        </w:rPr>
        <w:t>本节第 10.2.1目中所列出的商务标书组成内容中，第（1）至第（13）项所有投标人均应提供，但非联合体投标的，无需提供第（7）项内容。</w:t>
      </w:r>
    </w:p>
    <w:p w14:paraId="67FD9C5A">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10.2.3 </w:t>
      </w:r>
      <w:r>
        <w:rPr>
          <w:rFonts w:hint="eastAsia" w:ascii="宋体" w:hAnsi="宋体" w:eastAsia="宋体" w:cs="宋体"/>
          <w:color w:val="auto"/>
          <w:spacing w:val="-2"/>
          <w:sz w:val="24"/>
          <w:szCs w:val="24"/>
          <w:highlight w:val="none"/>
        </w:rPr>
        <w:t>商务标书的组成内容按本节第10.2.1目规定的顺序整理、编排后，逐页（页码起始从封面开始）连续标记页码。</w:t>
      </w:r>
    </w:p>
    <w:p w14:paraId="0835CA0F">
      <w:pPr>
        <w:pStyle w:val="6"/>
        <w:keepNext w:val="0"/>
        <w:keepLines w:val="0"/>
        <w:pageBreakBefore w:val="0"/>
        <w:widowControl w:val="0"/>
        <w:kinsoku/>
        <w:wordWrap w:val="0"/>
        <w:overflowPunct/>
        <w:topLinePunct/>
        <w:autoSpaceDE/>
        <w:autoSpaceDN/>
        <w:bidi w:val="0"/>
        <w:adjustRightInd w:val="0"/>
        <w:snapToGrid w:val="0"/>
        <w:spacing w:line="360" w:lineRule="auto"/>
        <w:ind w:right="84" w:rightChars="40"/>
        <w:rPr>
          <w:rFonts w:hint="eastAsia" w:ascii="宋体" w:hAnsi="宋体" w:eastAsia="宋体" w:cs="宋体"/>
          <w:color w:val="auto"/>
          <w:highlight w:val="none"/>
        </w:rPr>
      </w:pPr>
    </w:p>
    <w:p w14:paraId="15C758F4">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9"/>
        <w:rPr>
          <w:rFonts w:hint="eastAsia" w:ascii="宋体" w:hAnsi="宋体" w:eastAsia="宋体" w:cs="宋体"/>
          <w:color w:val="auto"/>
          <w:sz w:val="24"/>
          <w:szCs w:val="24"/>
          <w:highlight w:val="none"/>
        </w:rPr>
      </w:pPr>
      <w:bookmarkStart w:id="48" w:name="_Toc29370"/>
      <w:bookmarkStart w:id="49" w:name="_Toc10602"/>
      <w:r>
        <w:rPr>
          <w:rFonts w:hint="eastAsia" w:ascii="宋体" w:hAnsi="宋体" w:eastAsia="宋体" w:cs="宋体"/>
          <w:b/>
          <w:bCs/>
          <w:color w:val="auto"/>
          <w:spacing w:val="-2"/>
          <w:sz w:val="24"/>
          <w:szCs w:val="24"/>
          <w:highlight w:val="none"/>
        </w:rPr>
        <w:t xml:space="preserve">10.3  </w:t>
      </w:r>
      <w:r>
        <w:rPr>
          <w:rFonts w:hint="eastAsia" w:ascii="宋体" w:hAnsi="宋体" w:eastAsia="宋体" w:cs="宋体"/>
          <w:color w:val="auto"/>
          <w:spacing w:val="-2"/>
          <w:sz w:val="24"/>
          <w:szCs w:val="24"/>
          <w:highlight w:val="none"/>
        </w:rPr>
        <w:t>经济标书的编制要求</w:t>
      </w:r>
      <w:bookmarkEnd w:id="48"/>
      <w:bookmarkEnd w:id="49"/>
    </w:p>
    <w:p w14:paraId="3BD6F256">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12820C54">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（1）封面（格式一）；</w:t>
      </w:r>
    </w:p>
    <w:p w14:paraId="29EA44B7">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 目录；</w:t>
      </w:r>
    </w:p>
    <w:p w14:paraId="4AD37ED1">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（3）《投标总价》；</w:t>
      </w:r>
    </w:p>
    <w:p w14:paraId="58AC3AEE">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说明：《投标总价》的格式按照《</w:t>
      </w:r>
      <w:r>
        <w:rPr>
          <w:rFonts w:hint="eastAsia" w:ascii="宋体" w:hAnsi="宋体" w:eastAsia="宋体" w:cs="宋体"/>
          <w:color w:val="auto"/>
          <w:spacing w:val="-2"/>
          <w:sz w:val="24"/>
          <w:szCs w:val="24"/>
          <w:highlight w:val="none"/>
          <w:lang w:eastAsia="zh-CN"/>
        </w:rPr>
        <w:t>建设工程工程量清单计价标准</w:t>
      </w:r>
      <w:r>
        <w:rPr>
          <w:rFonts w:hint="eastAsia" w:ascii="宋体" w:hAnsi="宋体" w:eastAsia="宋体" w:cs="宋体"/>
          <w:color w:val="auto"/>
          <w:spacing w:val="-2"/>
          <w:sz w:val="24"/>
          <w:szCs w:val="24"/>
          <w:highlight w:val="none"/>
        </w:rPr>
        <w:t>》（GB/T50500-2024）执行，并应满足以下要求：</w:t>
      </w:r>
    </w:p>
    <w:p w14:paraId="29C23DF3">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并在该页后附造价咨询人的营业执照副本彩色扫描件。</w:t>
      </w:r>
    </w:p>
    <w:p w14:paraId="0C4BBE75">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14:paraId="3D35CD77">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 xml:space="preserve">10.3.1 </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213B40">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.3.1目规定的顺序整理、编排后，逐页（页</w:t>
      </w:r>
      <w:r>
        <w:rPr>
          <w:rFonts w:hint="eastAsia" w:ascii="宋体" w:hAnsi="宋体" w:eastAsia="宋体" w:cs="宋体"/>
          <w:color w:val="auto"/>
          <w:spacing w:val="-1"/>
          <w:sz w:val="24"/>
          <w:szCs w:val="24"/>
          <w:highlight w:val="none"/>
        </w:rPr>
        <w:t>码起始从封面开始）连续标记页码。</w:t>
      </w:r>
    </w:p>
    <w:p w14:paraId="2D763206">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10.4  </w:t>
      </w:r>
      <w:r>
        <w:rPr>
          <w:rFonts w:hint="eastAsia" w:ascii="宋体" w:hAnsi="宋体" w:eastAsia="宋体" w:cs="宋体"/>
          <w:color w:val="auto"/>
          <w:spacing w:val="-3"/>
          <w:sz w:val="24"/>
          <w:szCs w:val="24"/>
          <w:highlight w:val="none"/>
        </w:rPr>
        <w:t>施工组织设计的编制要求</w:t>
      </w:r>
    </w:p>
    <w:p w14:paraId="1A1A2998">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6F0C36E6">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5B677E18">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4CDF36D7">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0DB1DAD3">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w:t>
      </w:r>
      <w:r>
        <w:rPr>
          <w:rFonts w:hint="eastAsia" w:ascii="宋体" w:hAnsi="宋体" w:eastAsia="宋体" w:cs="宋体"/>
          <w:color w:val="auto"/>
          <w:spacing w:val="-2"/>
          <w:sz w:val="24"/>
          <w:szCs w:val="24"/>
          <w:highlight w:val="none"/>
          <w:lang w:eastAsia="zh-CN"/>
        </w:rPr>
        <w:t>法律法规</w:t>
      </w:r>
      <w:r>
        <w:rPr>
          <w:rFonts w:hint="eastAsia" w:ascii="宋体" w:hAnsi="宋体" w:eastAsia="宋体" w:cs="宋体"/>
          <w:color w:val="auto"/>
          <w:spacing w:val="-2"/>
          <w:sz w:val="24"/>
          <w:szCs w:val="24"/>
          <w:highlight w:val="none"/>
        </w:rPr>
        <w:t>、规定；</w:t>
      </w:r>
    </w:p>
    <w:p w14:paraId="7D96FF0B">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1D797AF5">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35132FA2">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316D8C7">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14835C8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2D244E7B">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45D84419">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6E07A076">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52A50F73">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5D6016BA">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详见格式十三</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进行投标文件回应，如有</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3"/>
          <w:sz w:val="24"/>
          <w:szCs w:val="24"/>
          <w:highlight w:val="none"/>
        </w:rPr>
        <w:t>；</w:t>
      </w:r>
    </w:p>
    <w:p w14:paraId="386DD15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0"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0"/>
      <w:r>
        <w:rPr>
          <w:rFonts w:hint="eastAsia" w:ascii="宋体" w:hAnsi="宋体" w:eastAsia="宋体" w:cs="宋体"/>
          <w:color w:val="auto"/>
          <w:spacing w:val="9"/>
          <w:sz w:val="24"/>
          <w:szCs w:val="24"/>
          <w:highlight w:val="none"/>
        </w:rPr>
        <w:t>）；</w:t>
      </w:r>
    </w:p>
    <w:p w14:paraId="59B5273E">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5B89F80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6018CC7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49C4567F">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62"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施工组织设计的组成内容按本节第10.4.2目规定的顺序整理、编排后，逐</w:t>
      </w:r>
      <w:r>
        <w:rPr>
          <w:rFonts w:hint="eastAsia" w:ascii="宋体" w:hAnsi="宋体" w:eastAsia="宋体" w:cs="宋体"/>
          <w:color w:val="auto"/>
          <w:spacing w:val="-1"/>
          <w:sz w:val="24"/>
          <w:szCs w:val="24"/>
          <w:highlight w:val="none"/>
        </w:rPr>
        <w:t>页（页码起始从封面开始）连续标记页码。</w:t>
      </w:r>
    </w:p>
    <w:p w14:paraId="35CB49F2">
      <w:pPr>
        <w:keepNext w:val="0"/>
        <w:keepLines w:val="0"/>
        <w:pageBreakBefore w:val="0"/>
        <w:widowControl w:val="0"/>
        <w:kinsoku/>
        <w:wordWrap w:val="0"/>
        <w:overflowPunct/>
        <w:topLinePunct/>
        <w:autoSpaceDE/>
        <w:autoSpaceDN/>
        <w:bidi w:val="0"/>
        <w:adjustRightInd w:val="0"/>
        <w:snapToGrid w:val="0"/>
        <w:spacing w:line="360" w:lineRule="auto"/>
        <w:ind w:right="84" w:rightChars="40"/>
        <w:outlineLvl w:val="9"/>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b/>
          <w:bCs/>
          <w:color w:val="auto"/>
          <w:spacing w:val="-1"/>
          <w:sz w:val="24"/>
          <w:szCs w:val="24"/>
          <w:highlight w:val="none"/>
        </w:rPr>
        <w:t>10.4.5</w:t>
      </w:r>
      <w:bookmarkStart w:id="51"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500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1"/>
      <w:bookmarkStart w:id="52" w:name="bookmark121"/>
      <w:bookmarkEnd w:id="52"/>
    </w:p>
    <w:p w14:paraId="7E1D02FD">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53" w:name="_Toc21729"/>
      <w:bookmarkStart w:id="54" w:name="_Toc21936"/>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3"/>
      <w:bookmarkEnd w:id="54"/>
    </w:p>
    <w:p w14:paraId="11ADACB4">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2"/>
          <w:sz w:val="24"/>
          <w:szCs w:val="24"/>
          <w:highlight w:val="none"/>
        </w:rPr>
        <w:t>具体操作参照《韶关市公共资源建设工程交易系统</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1F264F91">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1"/>
          <w:sz w:val="24"/>
          <w:szCs w:val="24"/>
          <w:highlight w:val="none"/>
          <w:lang w:eastAsia="zh-CN"/>
        </w:rPr>
        <w:t>前</w:t>
      </w:r>
      <w:r>
        <w:rPr>
          <w:rFonts w:hint="eastAsia" w:ascii="宋体" w:hAnsi="宋体" w:eastAsia="宋体" w:cs="宋体"/>
          <w:color w:val="auto"/>
          <w:spacing w:val="-2"/>
          <w:sz w:val="24"/>
          <w:szCs w:val="24"/>
          <w:highlight w:val="none"/>
        </w:rPr>
        <w:t>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47782C6">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ind w:right="84" w:rightChars="40" w:firstLine="446" w:firstLineChars="200"/>
        <w:outlineLvl w:val="2"/>
        <w:rPr>
          <w:rFonts w:hint="eastAsia" w:ascii="宋体" w:hAnsi="宋体" w:eastAsia="宋体" w:cs="宋体"/>
          <w:b/>
          <w:bCs/>
          <w:color w:val="auto"/>
          <w:spacing w:val="-4"/>
          <w:sz w:val="24"/>
          <w:szCs w:val="24"/>
          <w:highlight w:val="none"/>
        </w:rPr>
      </w:pPr>
      <w:bookmarkStart w:id="55" w:name="_Toc22059"/>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6" w:name="_Toc29834"/>
      <w:r>
        <w:rPr>
          <w:rFonts w:hint="eastAsia" w:ascii="宋体" w:hAnsi="宋体" w:eastAsia="宋体" w:cs="宋体"/>
          <w:b/>
          <w:bCs/>
          <w:color w:val="auto"/>
          <w:spacing w:val="-4"/>
          <w:sz w:val="24"/>
          <w:szCs w:val="24"/>
          <w:highlight w:val="none"/>
        </w:rPr>
        <w:t>电子投标及投标解密失败及突发情况的补救方案</w:t>
      </w:r>
      <w:bookmarkEnd w:id="55"/>
      <w:bookmarkEnd w:id="56"/>
    </w:p>
    <w:p w14:paraId="7EBA08C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49C59ED1">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A4F6FEE">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0CB7BC8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指网络瘫痪、服务器损坏、交易系统故障短期无法恢复</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7" w:name="bookmark122"/>
      <w:bookmarkEnd w:id="57"/>
      <w:r>
        <w:rPr>
          <w:rFonts w:hint="eastAsia" w:ascii="宋体" w:hAnsi="宋体" w:eastAsia="宋体" w:cs="宋体"/>
          <w:color w:val="auto"/>
          <w:spacing w:val="-1"/>
          <w:sz w:val="24"/>
          <w:szCs w:val="24"/>
          <w:highlight w:val="none"/>
        </w:rPr>
        <w:t>重新提交投标文件继续开标程序。</w:t>
      </w:r>
    </w:p>
    <w:p w14:paraId="6263DD17">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2E0CB6D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50C98CA0">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7A634205">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58" w:name="_Toc27195"/>
      <w:bookmarkStart w:id="59" w:name="_Toc23264"/>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58"/>
      <w:bookmarkEnd w:id="59"/>
    </w:p>
    <w:p w14:paraId="26E9A4BC">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东省·韶关市）将予以拒收。</w:t>
      </w:r>
    </w:p>
    <w:p w14:paraId="1EA21CB3">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6D303DB2">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6826100D">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678D957F">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686D2310">
      <w:pPr>
        <w:keepNext w:val="0"/>
        <w:keepLines w:val="0"/>
        <w:pageBreakBefore w:val="0"/>
        <w:widowControl w:val="0"/>
        <w:kinsoku/>
        <w:wordWrap w:val="0"/>
        <w:overflowPunct/>
        <w:topLinePunct/>
        <w:autoSpaceDE/>
        <w:autoSpaceDN/>
        <w:bidi w:val="0"/>
        <w:adjustRightInd w:val="0"/>
        <w:snapToGrid w:val="0"/>
        <w:spacing w:line="360" w:lineRule="auto"/>
        <w:ind w:left="7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2C000C09">
      <w:pPr>
        <w:keepNext w:val="0"/>
        <w:keepLines w:val="0"/>
        <w:pageBreakBefore w:val="0"/>
        <w:widowControl w:val="0"/>
        <w:kinsoku/>
        <w:wordWrap w:val="0"/>
        <w:overflowPunct/>
        <w:topLinePunct/>
        <w:autoSpaceDE/>
        <w:autoSpaceDN/>
        <w:bidi w:val="0"/>
        <w:adjustRightInd w:val="0"/>
        <w:snapToGrid w:val="0"/>
        <w:spacing w:line="360" w:lineRule="auto"/>
        <w:ind w:left="7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395825B3">
      <w:pPr>
        <w:keepNext w:val="0"/>
        <w:keepLines w:val="0"/>
        <w:pageBreakBefore w:val="0"/>
        <w:widowControl w:val="0"/>
        <w:kinsoku/>
        <w:wordWrap w:val="0"/>
        <w:overflowPunct/>
        <w:topLinePunct/>
        <w:autoSpaceDE/>
        <w:autoSpaceDN/>
        <w:bidi w:val="0"/>
        <w:adjustRightInd w:val="0"/>
        <w:snapToGrid w:val="0"/>
        <w:spacing w:line="360" w:lineRule="auto"/>
        <w:ind w:left="7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7149659E">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CC1DF99">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2D855702">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4966071C">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60" w:name="_Toc22047"/>
      <w:bookmarkStart w:id="61" w:name="_Toc10803"/>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0"/>
      <w:bookmarkEnd w:id="61"/>
    </w:p>
    <w:p w14:paraId="782270CF">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w:t>
      </w:r>
      <w:r>
        <w:rPr>
          <w:rFonts w:hint="eastAsia" w:ascii="宋体" w:hAnsi="宋体" w:eastAsia="宋体" w:cs="宋体"/>
          <w:color w:val="auto"/>
          <w:spacing w:val="-1"/>
          <w:sz w:val="24"/>
          <w:szCs w:val="24"/>
          <w:highlight w:val="none"/>
          <w:lang w:eastAsia="zh-CN"/>
        </w:rPr>
        <w:t>登录</w:t>
      </w:r>
      <w:r>
        <w:rPr>
          <w:rFonts w:hint="eastAsia" w:ascii="宋体" w:hAnsi="宋体" w:eastAsia="宋体" w:cs="宋体"/>
          <w:color w:val="auto"/>
          <w:spacing w:val="-1"/>
          <w:sz w:val="24"/>
          <w:szCs w:val="24"/>
          <w:highlight w:val="none"/>
        </w:rPr>
        <w:t>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2" w:name="bookmark123"/>
      <w:bookmarkEnd w:id="62"/>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2A21DC31">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7686F22A">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161654C6">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w:t>
      </w:r>
      <w:r>
        <w:rPr>
          <w:rFonts w:hint="eastAsia" w:ascii="宋体" w:hAnsi="宋体" w:eastAsia="宋体" w:cs="宋体"/>
          <w:color w:val="auto"/>
          <w:spacing w:val="-1"/>
          <w:sz w:val="24"/>
          <w:szCs w:val="24"/>
          <w:highlight w:val="none"/>
          <w:lang w:eastAsia="zh-CN"/>
        </w:rPr>
        <w:t>截止</w:t>
      </w:r>
      <w:r>
        <w:rPr>
          <w:rFonts w:hint="eastAsia" w:ascii="宋体" w:hAnsi="宋体" w:eastAsia="宋体" w:cs="宋体"/>
          <w:color w:val="auto"/>
          <w:spacing w:val="-1"/>
          <w:sz w:val="24"/>
          <w:szCs w:val="24"/>
          <w:highlight w:val="none"/>
        </w:rPr>
        <w:t>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722B81D4">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3C70C530">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63" w:name="_Toc10291"/>
      <w:bookmarkStart w:id="64" w:name="_Toc10685"/>
      <w:bookmarkStart w:id="65" w:name="_Toc8314"/>
      <w:bookmarkStart w:id="66" w:name="_Toc15587"/>
      <w:r>
        <w:rPr>
          <w:rFonts w:hint="eastAsia" w:ascii="宋体" w:hAnsi="宋体" w:eastAsia="宋体" w:cs="宋体"/>
          <w:color w:val="auto"/>
          <w:spacing w:val="-1"/>
          <w:sz w:val="24"/>
          <w:szCs w:val="24"/>
          <w:highlight w:val="none"/>
        </w:rPr>
        <w:t>（1）主持人（招标人代表或招标人授权的招标代理机构人员）宣读开标纪律。</w:t>
      </w:r>
      <w:bookmarkEnd w:id="63"/>
      <w:bookmarkEnd w:id="64"/>
      <w:bookmarkEnd w:id="65"/>
      <w:bookmarkEnd w:id="66"/>
    </w:p>
    <w:p w14:paraId="1BF35E75">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67" w:name="_Toc20238"/>
      <w:bookmarkStart w:id="68" w:name="_Toc2011"/>
      <w:bookmarkStart w:id="69" w:name="_Toc30853"/>
      <w:bookmarkStart w:id="70" w:name="_Toc16292"/>
      <w:r>
        <w:rPr>
          <w:rFonts w:hint="eastAsia" w:ascii="宋体" w:hAnsi="宋体" w:eastAsia="宋体" w:cs="宋体"/>
          <w:color w:val="auto"/>
          <w:spacing w:val="-1"/>
          <w:sz w:val="24"/>
          <w:szCs w:val="24"/>
          <w:highlight w:val="none"/>
        </w:rPr>
        <w:t>（2）主持人宣布唱标人、记录人、见证人、监督人等有关人员姓名。</w:t>
      </w:r>
      <w:bookmarkEnd w:id="67"/>
      <w:bookmarkEnd w:id="68"/>
      <w:bookmarkEnd w:id="69"/>
      <w:bookmarkEnd w:id="70"/>
    </w:p>
    <w:p w14:paraId="0047692A">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71" w:name="_Toc1974"/>
      <w:bookmarkStart w:id="72" w:name="_Toc31716"/>
      <w:bookmarkStart w:id="73" w:name="_Toc26494"/>
      <w:bookmarkStart w:id="74" w:name="_Toc17462"/>
      <w:r>
        <w:rPr>
          <w:rFonts w:hint="eastAsia" w:ascii="宋体" w:hAnsi="宋体" w:eastAsia="宋体" w:cs="宋体"/>
          <w:color w:val="auto"/>
          <w:spacing w:val="-1"/>
          <w:sz w:val="24"/>
          <w:szCs w:val="24"/>
          <w:highlight w:val="none"/>
        </w:rPr>
        <w:t>（3）唱标人公布在投标截止时间前进行投标文件的投标人数量和名称</w:t>
      </w:r>
      <w:bookmarkEnd w:id="71"/>
      <w:bookmarkEnd w:id="72"/>
      <w:bookmarkEnd w:id="73"/>
      <w:bookmarkEnd w:id="74"/>
    </w:p>
    <w:p w14:paraId="360BD6F3">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pacing w:val="-1"/>
          <w:sz w:val="24"/>
          <w:szCs w:val="24"/>
          <w:highlight w:val="none"/>
        </w:rPr>
      </w:pPr>
      <w:bookmarkStart w:id="75" w:name="_Toc20559"/>
      <w:bookmarkStart w:id="76" w:name="_Toc15860"/>
      <w:bookmarkStart w:id="77" w:name="_Toc8179"/>
      <w:bookmarkStart w:id="78" w:name="_Toc27967"/>
      <w:r>
        <w:rPr>
          <w:rFonts w:hint="eastAsia" w:ascii="宋体" w:hAnsi="宋体" w:eastAsia="宋体" w:cs="宋体"/>
          <w:color w:val="auto"/>
          <w:spacing w:val="-1"/>
          <w:sz w:val="24"/>
          <w:szCs w:val="24"/>
          <w:highlight w:val="none"/>
        </w:rPr>
        <w:t>（4）招标代理机构会同交易场所工作人员对投标人的电子投标信息进行解密，</w:t>
      </w:r>
      <w:bookmarkEnd w:id="75"/>
      <w:bookmarkEnd w:id="76"/>
      <w:bookmarkEnd w:id="77"/>
      <w:bookmarkEnd w:id="78"/>
      <w:r>
        <w:rPr>
          <w:rFonts w:hint="eastAsia" w:ascii="宋体" w:hAnsi="宋体" w:eastAsia="宋体" w:cs="宋体"/>
          <w:color w:val="auto"/>
          <w:spacing w:val="-1"/>
          <w:sz w:val="24"/>
          <w:szCs w:val="24"/>
          <w:highlight w:val="none"/>
        </w:rPr>
        <w:t>建设工程交易系统自动生成《投标保证缴纳情况表》和《开标一览表》。</w:t>
      </w:r>
    </w:p>
    <w:p w14:paraId="68987A2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66" w:firstLineChars="200"/>
        <w:outlineLvl w:val="9"/>
        <w:rPr>
          <w:rFonts w:hint="eastAsia" w:ascii="宋体" w:hAnsi="宋体" w:eastAsia="宋体" w:cs="宋体"/>
          <w:color w:val="auto"/>
          <w:sz w:val="24"/>
          <w:szCs w:val="24"/>
          <w:highlight w:val="none"/>
        </w:rPr>
      </w:pPr>
      <w:bookmarkStart w:id="79" w:name="_Toc28812"/>
      <w:bookmarkStart w:id="80" w:name="_Toc28266"/>
      <w:bookmarkStart w:id="81" w:name="_Toc2199"/>
      <w:bookmarkStart w:id="82"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79"/>
      <w:bookmarkEnd w:id="80"/>
      <w:bookmarkEnd w:id="81"/>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2"/>
    </w:p>
    <w:p w14:paraId="02A221E4">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3FB871EB">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78E39F9C">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highlight w:val="none"/>
        </w:rPr>
      </w:pPr>
      <w:bookmarkStart w:id="83" w:name="_Toc32335"/>
      <w:bookmarkStart w:id="84"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3"/>
      <w:bookmarkEnd w:id="84"/>
    </w:p>
    <w:p w14:paraId="3F75F778">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82"/>
        <w:textAlignment w:val="baseline"/>
        <w:rPr>
          <w:rFonts w:hint="eastAsia" w:ascii="宋体" w:hAnsi="宋体" w:eastAsia="宋体" w:cs="宋体"/>
          <w:color w:val="auto"/>
          <w:sz w:val="24"/>
          <w:szCs w:val="24"/>
          <w:highlight w:val="none"/>
        </w:rPr>
      </w:pPr>
      <w:bookmarkStart w:id="85" w:name="bookmark124"/>
      <w:bookmarkEnd w:id="85"/>
      <w:r>
        <w:rPr>
          <w:rFonts w:hint="eastAsia" w:ascii="宋体" w:hAnsi="宋体" w:eastAsia="宋体" w:cs="宋体"/>
          <w:color w:val="auto"/>
          <w:spacing w:val="-1"/>
          <w:sz w:val="24"/>
          <w:szCs w:val="24"/>
          <w:highlight w:val="none"/>
        </w:rPr>
        <w:t>评标分为初步评审和详细评审两个阶段，由评标委员会</w:t>
      </w:r>
      <w:r>
        <w:rPr>
          <w:rFonts w:hint="eastAsia" w:ascii="宋体" w:hAnsi="宋体" w:eastAsia="宋体" w:cs="宋体"/>
          <w:color w:val="auto"/>
          <w:spacing w:val="-2"/>
          <w:sz w:val="24"/>
          <w:szCs w:val="24"/>
          <w:highlight w:val="none"/>
        </w:rPr>
        <w:t>在有关部门的监督下，严</w:t>
      </w:r>
      <w:r>
        <w:rPr>
          <w:rFonts w:hint="eastAsia" w:ascii="宋体" w:hAnsi="宋体" w:eastAsia="宋体" w:cs="宋体"/>
          <w:color w:val="auto"/>
          <w:spacing w:val="-1"/>
          <w:sz w:val="24"/>
          <w:szCs w:val="24"/>
          <w:highlight w:val="none"/>
        </w:rPr>
        <w:t>格按照本招标文件指定的评标方法，对投标人的投标文件进行审</w:t>
      </w:r>
      <w:r>
        <w:rPr>
          <w:rFonts w:hint="eastAsia" w:ascii="宋体" w:hAnsi="宋体" w:eastAsia="宋体" w:cs="宋体"/>
          <w:color w:val="auto"/>
          <w:spacing w:val="-2"/>
          <w:sz w:val="24"/>
          <w:szCs w:val="24"/>
          <w:highlight w:val="none"/>
        </w:rPr>
        <w:t>查、评审。评标委员</w:t>
      </w:r>
      <w:r>
        <w:rPr>
          <w:rFonts w:hint="eastAsia" w:ascii="宋体" w:hAnsi="宋体" w:eastAsia="宋体" w:cs="宋体"/>
          <w:color w:val="auto"/>
          <w:spacing w:val="2"/>
          <w:sz w:val="24"/>
          <w:szCs w:val="24"/>
          <w:highlight w:val="none"/>
        </w:rPr>
        <w:t>会完成评标后，向招标人推荐</w:t>
      </w:r>
      <w:r>
        <w:rPr>
          <w:rFonts w:hint="eastAsia" w:ascii="宋体" w:hAnsi="宋体" w:eastAsia="宋体" w:cs="宋体"/>
          <w:color w:val="auto"/>
          <w:spacing w:val="2"/>
          <w:sz w:val="24"/>
          <w:szCs w:val="24"/>
          <w:highlight w:val="none"/>
          <w:u w:val="single"/>
        </w:rPr>
        <w:t xml:space="preserve"> 3 </w:t>
      </w:r>
      <w:r>
        <w:rPr>
          <w:rFonts w:hint="eastAsia" w:ascii="宋体" w:hAnsi="宋体" w:eastAsia="宋体" w:cs="宋体"/>
          <w:color w:val="auto"/>
          <w:spacing w:val="2"/>
          <w:sz w:val="24"/>
          <w:szCs w:val="24"/>
          <w:highlight w:val="none"/>
        </w:rPr>
        <w:t>个中标候选人，并向招标人提交由全</w:t>
      </w:r>
      <w:r>
        <w:rPr>
          <w:rFonts w:hint="eastAsia" w:ascii="宋体" w:hAnsi="宋体" w:eastAsia="宋体" w:cs="宋体"/>
          <w:color w:val="auto"/>
          <w:spacing w:val="1"/>
          <w:sz w:val="24"/>
          <w:szCs w:val="24"/>
          <w:highlight w:val="none"/>
        </w:rPr>
        <w:t>体评标委员会</w:t>
      </w:r>
      <w:r>
        <w:rPr>
          <w:rFonts w:hint="eastAsia" w:ascii="宋体" w:hAnsi="宋体" w:eastAsia="宋体" w:cs="宋体"/>
          <w:color w:val="auto"/>
          <w:spacing w:val="-1"/>
          <w:sz w:val="24"/>
          <w:szCs w:val="24"/>
          <w:highlight w:val="none"/>
        </w:rPr>
        <w:t>成员签字的评标报告。</w:t>
      </w:r>
    </w:p>
    <w:p w14:paraId="3D291E21">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4E5F1ADD">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131C4B7B">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04BD2D99">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0BB77285">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61B54ADA">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4BBB9E6">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67B2E484">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2D64422C">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7C1B6FE4">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B759835">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19656F7F">
      <w:pPr>
        <w:keepNext w:val="0"/>
        <w:keepLines w:val="0"/>
        <w:pageBreakBefore w:val="0"/>
        <w:widowControl w:val="0"/>
        <w:kinsoku/>
        <w:wordWrap w:val="0"/>
        <w:overflowPunct/>
        <w:topLinePunct/>
        <w:autoSpaceDE/>
        <w:autoSpaceDN/>
        <w:bidi w:val="0"/>
        <w:adjustRightInd w:val="0"/>
        <w:snapToGrid w:val="0"/>
        <w:spacing w:line="360" w:lineRule="auto"/>
        <w:ind w:left="577" w:right="84" w:rightChars="40"/>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3B757360">
      <w:pPr>
        <w:keepNext w:val="0"/>
        <w:keepLines w:val="0"/>
        <w:pageBreakBefore w:val="0"/>
        <w:widowControl w:val="0"/>
        <w:kinsoku/>
        <w:wordWrap w:val="0"/>
        <w:overflowPunct/>
        <w:topLinePunct/>
        <w:autoSpaceDE/>
        <w:autoSpaceDN/>
        <w:bidi w:val="0"/>
        <w:adjustRightInd w:val="0"/>
        <w:snapToGrid w:val="0"/>
        <w:spacing w:line="360" w:lineRule="auto"/>
        <w:ind w:left="231" w:right="84" w:rightChars="40" w:firstLine="560"/>
        <w:rPr>
          <w:rFonts w:hint="eastAsia" w:ascii="宋体" w:hAnsi="宋体" w:eastAsia="宋体" w:cs="宋体"/>
          <w:color w:val="auto"/>
          <w:highlight w:val="none"/>
        </w:rPr>
      </w:pPr>
      <w:bookmarkStart w:id="86" w:name="bookmark125"/>
      <w:bookmarkEnd w:id="86"/>
      <w:r>
        <w:rPr>
          <w:rFonts w:hint="eastAsia" w:ascii="宋体" w:hAnsi="宋体" w:eastAsia="宋体" w:cs="宋体"/>
          <w:color w:val="auto"/>
          <w:spacing w:val="-4"/>
          <w:sz w:val="24"/>
          <w:szCs w:val="24"/>
          <w:highlight w:val="none"/>
        </w:rPr>
        <w:t>根据有关</w:t>
      </w:r>
      <w:r>
        <w:rPr>
          <w:rFonts w:hint="eastAsia" w:ascii="宋体" w:hAnsi="宋体" w:eastAsia="宋体" w:cs="宋体"/>
          <w:color w:val="auto"/>
          <w:spacing w:val="-4"/>
          <w:sz w:val="24"/>
          <w:szCs w:val="24"/>
          <w:highlight w:val="none"/>
          <w:lang w:eastAsia="zh-CN"/>
        </w:rPr>
        <w:t>法律法规</w:t>
      </w:r>
      <w:r>
        <w:rPr>
          <w:rFonts w:hint="eastAsia" w:ascii="宋体" w:hAnsi="宋体" w:eastAsia="宋体" w:cs="宋体"/>
          <w:color w:val="auto"/>
          <w:spacing w:val="-4"/>
          <w:sz w:val="24"/>
          <w:szCs w:val="24"/>
          <w:highlight w:val="none"/>
        </w:rPr>
        <w:t>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 xml:space="preserve"> 综合评估法</w:t>
      </w:r>
      <w:r>
        <w:rPr>
          <w:rFonts w:hint="eastAsia" w:ascii="宋体" w:hAnsi="宋体" w:eastAsia="宋体" w:cs="宋体"/>
          <w:color w:val="auto"/>
          <w:spacing w:val="-4"/>
          <w:sz w:val="24"/>
          <w:szCs w:val="24"/>
          <w:highlight w:val="none"/>
          <w:u w:val="single"/>
        </w:rPr>
        <w:t>（</w:t>
      </w:r>
      <w:r>
        <w:rPr>
          <w:rFonts w:hint="eastAsia" w:ascii="宋体" w:hAnsi="宋体" w:eastAsia="宋体" w:cs="宋体"/>
          <w:color w:val="auto"/>
          <w:spacing w:val="-1"/>
          <w:sz w:val="24"/>
          <w:szCs w:val="24"/>
          <w:highlight w:val="none"/>
        </w:rPr>
        <w:t>评标方法名称）进行评标。</w:t>
      </w:r>
    </w:p>
    <w:p w14:paraId="1A5BEF3B">
      <w:pPr>
        <w:keepNext w:val="0"/>
        <w:keepLines w:val="0"/>
        <w:pageBreakBefore w:val="0"/>
        <w:widowControl w:val="0"/>
        <w:kinsoku/>
        <w:wordWrap w:val="0"/>
        <w:overflowPunct/>
        <w:topLinePunct/>
        <w:autoSpaceDE/>
        <w:autoSpaceDN/>
        <w:bidi w:val="0"/>
        <w:adjustRightInd w:val="0"/>
        <w:snapToGrid w:val="0"/>
        <w:spacing w:line="360" w:lineRule="auto"/>
        <w:ind w:left="220" w:right="84" w:rightChars="40"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055DDC04">
      <w:pPr>
        <w:keepNext w:val="0"/>
        <w:keepLines w:val="0"/>
        <w:pageBreakBefore w:val="0"/>
        <w:widowControl w:val="0"/>
        <w:kinsoku/>
        <w:wordWrap w:val="0"/>
        <w:overflowPunct/>
        <w:topLinePunct/>
        <w:autoSpaceDE/>
        <w:autoSpaceDN/>
        <w:bidi w:val="0"/>
        <w:adjustRightInd w:val="0"/>
        <w:snapToGrid w:val="0"/>
        <w:spacing w:line="360" w:lineRule="auto"/>
        <w:ind w:left="71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3B45D58B">
      <w:pPr>
        <w:keepNext w:val="0"/>
        <w:keepLines w:val="0"/>
        <w:pageBreakBefore w:val="0"/>
        <w:widowControl w:val="0"/>
        <w:kinsoku/>
        <w:wordWrap w:val="0"/>
        <w:overflowPunct/>
        <w:topLinePunct/>
        <w:autoSpaceDE/>
        <w:autoSpaceDN/>
        <w:bidi w:val="0"/>
        <w:adjustRightInd w:val="0"/>
        <w:snapToGrid w:val="0"/>
        <w:spacing w:line="360" w:lineRule="auto"/>
        <w:ind w:left="70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0827C974">
      <w:pPr>
        <w:keepNext w:val="0"/>
        <w:keepLines w:val="0"/>
        <w:pageBreakBefore w:val="0"/>
        <w:widowControl w:val="0"/>
        <w:kinsoku/>
        <w:wordWrap w:val="0"/>
        <w:overflowPunct/>
        <w:topLinePunct/>
        <w:autoSpaceDE/>
        <w:autoSpaceDN/>
        <w:bidi w:val="0"/>
        <w:adjustRightInd w:val="0"/>
        <w:snapToGrid w:val="0"/>
        <w:spacing w:line="360" w:lineRule="auto"/>
        <w:ind w:left="719" w:right="84" w:rightChars="40" w:hanging="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节资格评审事项包括：</w:t>
      </w:r>
    </w:p>
    <w:p w14:paraId="61708ED7">
      <w:pPr>
        <w:keepNext w:val="0"/>
        <w:keepLines w:val="0"/>
        <w:pageBreakBefore w:val="0"/>
        <w:widowControl w:val="0"/>
        <w:kinsoku/>
        <w:wordWrap w:val="0"/>
        <w:overflowPunct/>
        <w:topLinePunct/>
        <w:autoSpaceDE/>
        <w:autoSpaceDN/>
        <w:bidi w:val="0"/>
        <w:adjustRightInd w:val="0"/>
        <w:snapToGrid w:val="0"/>
        <w:spacing w:line="360" w:lineRule="auto"/>
        <w:ind w:left="231" w:right="84" w:rightChars="40" w:firstLine="4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（1）投标人是否符合本章第三节第 2.4 条“禁止投标条款”规定。如果“禁止投标条款”包括失信惩戒的，投标人信用信息的获取采用现场实时查询的方式实施。由</w:t>
      </w:r>
      <w:r>
        <w:rPr>
          <w:rFonts w:hint="eastAsia" w:ascii="宋体" w:hAnsi="宋体" w:eastAsia="宋体" w:cs="宋体"/>
          <w:color w:val="auto"/>
          <w:spacing w:val="-4"/>
          <w:sz w:val="24"/>
          <w:szCs w:val="24"/>
          <w:highlight w:val="none"/>
          <w:lang w:val="en-US" w:eastAsia="zh-CN"/>
        </w:rPr>
        <w:t>评标委员会</w:t>
      </w:r>
      <w:r>
        <w:rPr>
          <w:rFonts w:hint="eastAsia" w:ascii="宋体" w:hAnsi="宋体" w:eastAsia="宋体" w:cs="宋体"/>
          <w:color w:val="auto"/>
          <w:spacing w:val="-4"/>
          <w:sz w:val="24"/>
          <w:szCs w:val="24"/>
          <w:highlight w:val="none"/>
        </w:rPr>
        <w:t>登录信用中国网站（https://www.creditchina.gov.cn），在企业查询界面下载和打印《法人和非法人组织公共信用信息报告》。</w:t>
      </w:r>
    </w:p>
    <w:p w14:paraId="61C4B6EF">
      <w:pPr>
        <w:keepNext w:val="0"/>
        <w:keepLines w:val="0"/>
        <w:pageBreakBefore w:val="0"/>
        <w:widowControl w:val="0"/>
        <w:kinsoku/>
        <w:wordWrap w:val="0"/>
        <w:overflowPunct/>
        <w:topLinePunct/>
        <w:autoSpaceDE/>
        <w:autoSpaceDN/>
        <w:bidi w:val="0"/>
        <w:adjustRightInd w:val="0"/>
        <w:snapToGrid w:val="0"/>
        <w:spacing w:line="360" w:lineRule="auto"/>
        <w:ind w:left="72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（2）投标人名称是否与营业执照、资质证书、安全生产许可证</w:t>
      </w:r>
      <w:r>
        <w:rPr>
          <w:rFonts w:hint="eastAsia" w:ascii="宋体" w:hAnsi="宋体" w:eastAsia="宋体" w:cs="宋体"/>
          <w:color w:val="auto"/>
          <w:spacing w:val="-1"/>
          <w:sz w:val="24"/>
          <w:szCs w:val="24"/>
          <w:highlight w:val="none"/>
          <w:lang w:eastAsia="zh-CN"/>
        </w:rPr>
        <w:t>、</w:t>
      </w:r>
      <w:r>
        <w:rPr>
          <w:rFonts w:hint="eastAsia" w:ascii="宋体" w:hAnsi="宋体" w:cs="宋体"/>
          <w:color w:val="auto"/>
          <w:sz w:val="24"/>
          <w:highlight w:val="none"/>
          <w:u w:val="none"/>
        </w:rPr>
        <w:t>《承装</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电力设施许可证》</w:t>
      </w:r>
      <w:r>
        <w:rPr>
          <w:rFonts w:hint="eastAsia" w:ascii="宋体" w:hAnsi="宋体" w:eastAsia="宋体" w:cs="宋体"/>
          <w:color w:val="auto"/>
          <w:spacing w:val="-1"/>
          <w:sz w:val="24"/>
          <w:szCs w:val="24"/>
          <w:highlight w:val="none"/>
        </w:rPr>
        <w:t>一致。</w:t>
      </w:r>
    </w:p>
    <w:p w14:paraId="081AAC95">
      <w:pPr>
        <w:keepNext w:val="0"/>
        <w:keepLines w:val="0"/>
        <w:pageBreakBefore w:val="0"/>
        <w:widowControl w:val="0"/>
        <w:kinsoku/>
        <w:wordWrap w:val="0"/>
        <w:overflowPunct/>
        <w:topLinePunct/>
        <w:autoSpaceDE/>
        <w:autoSpaceDN/>
        <w:bidi w:val="0"/>
        <w:adjustRightInd w:val="0"/>
        <w:snapToGrid w:val="0"/>
        <w:spacing w:line="360" w:lineRule="auto"/>
        <w:ind w:left="232"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（3）投标人的资质是否符合招标文件规定；其营业执照、资质证书、安全生产许可证（含实时网页查询页，可参考网址 https://zlaq.mohurd.gov.cn/fwmh/bjxcjgl/fwm</w:t>
      </w:r>
      <w:bookmarkStart w:id="87" w:name="bookmark126"/>
      <w:bookmarkEnd w:id="87"/>
      <w:r>
        <w:rPr>
          <w:rFonts w:hint="eastAsia" w:ascii="宋体" w:hAnsi="宋体" w:eastAsia="宋体" w:cs="宋体"/>
          <w:color w:val="auto"/>
          <w:spacing w:val="2"/>
          <w:sz w:val="24"/>
          <w:szCs w:val="24"/>
          <w:highlight w:val="none"/>
        </w:rPr>
        <w:t>h/pages/construction_safety/qyaqscxkz/qyaqscxkz）</w:t>
      </w:r>
      <w:r>
        <w:rPr>
          <w:rFonts w:hint="eastAsia" w:ascii="宋体" w:hAnsi="宋体" w:eastAsia="宋体" w:cs="宋体"/>
          <w:color w:val="auto"/>
          <w:spacing w:val="2"/>
          <w:sz w:val="24"/>
          <w:szCs w:val="24"/>
          <w:highlight w:val="none"/>
          <w:lang w:eastAsia="zh-CN"/>
        </w:rPr>
        <w:t>、</w:t>
      </w:r>
      <w:r>
        <w:rPr>
          <w:rFonts w:hint="eastAsia" w:ascii="宋体" w:hAnsi="宋体" w:cs="宋体"/>
          <w:color w:val="auto"/>
          <w:sz w:val="24"/>
          <w:highlight w:val="none"/>
          <w:u w:val="none"/>
        </w:rPr>
        <w:t>《承装</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电力设施许可证》</w:t>
      </w:r>
      <w:r>
        <w:rPr>
          <w:rFonts w:hint="eastAsia" w:ascii="宋体" w:hAnsi="宋体" w:eastAsia="宋体" w:cs="宋体"/>
          <w:color w:val="auto"/>
          <w:spacing w:val="2"/>
          <w:sz w:val="24"/>
          <w:szCs w:val="24"/>
          <w:highlight w:val="none"/>
        </w:rPr>
        <w:t>是否合法、有效、准确</w:t>
      </w:r>
      <w:r>
        <w:rPr>
          <w:rFonts w:hint="eastAsia" w:ascii="宋体" w:hAnsi="宋体" w:eastAsia="宋体" w:cs="宋体"/>
          <w:color w:val="auto"/>
          <w:spacing w:val="-1"/>
          <w:position w:val="3"/>
          <w:sz w:val="24"/>
          <w:szCs w:val="24"/>
          <w:highlight w:val="none"/>
        </w:rPr>
        <w:t>。</w:t>
      </w:r>
    </w:p>
    <w:p w14:paraId="0B334558">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（4）《项目经理简历表》中拟派项目经理是否与《开标一览表》一致。</w:t>
      </w:r>
    </w:p>
    <w:p w14:paraId="0BCF7418">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（5）拟派项目经理、项目技术负责人、专职安全员的条件</w:t>
      </w:r>
      <w:r>
        <w:rPr>
          <w:rFonts w:hint="eastAsia" w:ascii="宋体" w:hAnsi="宋体" w:eastAsia="宋体" w:cs="宋体"/>
          <w:color w:val="auto"/>
          <w:spacing w:val="1"/>
          <w:sz w:val="24"/>
          <w:szCs w:val="24"/>
          <w:highlight w:val="none"/>
        </w:rPr>
        <w:t>是否符合招标文件规</w:t>
      </w:r>
      <w:r>
        <w:rPr>
          <w:rFonts w:hint="eastAsia" w:ascii="宋体" w:hAnsi="宋体" w:eastAsia="宋体" w:cs="宋体"/>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03F0887D">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（6）联合体投标的，是否提交《联合体协议书》；是否擅</w:t>
      </w:r>
      <w:r>
        <w:rPr>
          <w:rFonts w:hint="eastAsia" w:ascii="宋体" w:hAnsi="宋体" w:eastAsia="宋体" w:cs="宋体"/>
          <w:color w:val="auto"/>
          <w:spacing w:val="1"/>
          <w:sz w:val="24"/>
          <w:szCs w:val="24"/>
          <w:highlight w:val="none"/>
        </w:rPr>
        <w:t>自修改、遗漏《联合</w:t>
      </w:r>
      <w:r>
        <w:rPr>
          <w:rFonts w:hint="eastAsia" w:ascii="宋体" w:hAnsi="宋体" w:eastAsia="宋体" w:cs="宋体"/>
          <w:color w:val="auto"/>
          <w:spacing w:val="-1"/>
          <w:sz w:val="24"/>
          <w:szCs w:val="24"/>
          <w:highlight w:val="none"/>
        </w:rPr>
        <w:t>体协议书》的实质性内容；联合体成员的数量、资质是否符合</w:t>
      </w:r>
      <w:r>
        <w:rPr>
          <w:rFonts w:hint="eastAsia" w:ascii="宋体" w:hAnsi="宋体" w:eastAsia="宋体" w:cs="宋体"/>
          <w:color w:val="auto"/>
          <w:spacing w:val="-2"/>
          <w:sz w:val="24"/>
          <w:szCs w:val="24"/>
          <w:highlight w:val="none"/>
        </w:rPr>
        <w:t>招标文件规定；联合体</w:t>
      </w:r>
      <w:r>
        <w:rPr>
          <w:rFonts w:hint="eastAsia" w:ascii="宋体" w:hAnsi="宋体" w:eastAsia="宋体" w:cs="宋体"/>
          <w:color w:val="auto"/>
          <w:sz w:val="24"/>
          <w:szCs w:val="24"/>
          <w:highlight w:val="none"/>
        </w:rPr>
        <w:t>成员是否以自己名义单独或者参加其他联合</w:t>
      </w:r>
      <w:r>
        <w:rPr>
          <w:rFonts w:hint="eastAsia" w:ascii="宋体" w:hAnsi="宋体" w:eastAsia="宋体" w:cs="宋体"/>
          <w:color w:val="auto"/>
          <w:spacing w:val="-1"/>
          <w:sz w:val="24"/>
          <w:szCs w:val="24"/>
          <w:highlight w:val="none"/>
        </w:rPr>
        <w:t>体参与本招标项目投标。</w:t>
      </w:r>
    </w:p>
    <w:p w14:paraId="207244CC">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（7）投标人为外省建筑企业的，是否按规定在“进粤</w:t>
      </w:r>
      <w:r>
        <w:rPr>
          <w:rFonts w:hint="eastAsia" w:ascii="宋体" w:hAnsi="宋体" w:eastAsia="宋体" w:cs="宋体"/>
          <w:color w:val="auto"/>
          <w:spacing w:val="1"/>
          <w:sz w:val="24"/>
          <w:szCs w:val="24"/>
          <w:highlight w:val="none"/>
        </w:rPr>
        <w:t>企业和人员诚信信息登记</w:t>
      </w:r>
      <w:r>
        <w:rPr>
          <w:rFonts w:hint="eastAsia" w:ascii="宋体" w:hAnsi="宋体" w:eastAsia="宋体" w:cs="宋体"/>
          <w:color w:val="auto"/>
          <w:spacing w:val="-2"/>
          <w:sz w:val="24"/>
          <w:szCs w:val="24"/>
          <w:highlight w:val="none"/>
        </w:rPr>
        <w:t>平台</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2"/>
          <w:sz w:val="24"/>
          <w:szCs w:val="24"/>
          <w:highlight w:val="none"/>
        </w:rPr>
        <w:t>”录入企业及其拟派人员有关信息并通过数据规范检查。</w:t>
      </w:r>
    </w:p>
    <w:p w14:paraId="0951839D">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4" w:firstLineChars="200"/>
        <w:jc w:val="both"/>
        <w:outlineLvl w:val="9"/>
        <w:rPr>
          <w:rFonts w:hint="eastAsia" w:ascii="宋体" w:hAnsi="宋体" w:eastAsia="宋体" w:cs="宋体"/>
          <w:color w:val="auto"/>
          <w:spacing w:val="1"/>
          <w:sz w:val="24"/>
          <w:szCs w:val="24"/>
          <w:highlight w:val="none"/>
        </w:rPr>
      </w:pPr>
      <w:bookmarkStart w:id="88" w:name="_Toc22778"/>
      <w:r>
        <w:rPr>
          <w:rFonts w:hint="eastAsia" w:ascii="宋体" w:hAnsi="宋体" w:eastAsia="宋体" w:cs="宋体"/>
          <w:b/>
          <w:bCs/>
          <w:color w:val="auto"/>
          <w:spacing w:val="-2"/>
          <w:sz w:val="24"/>
          <w:szCs w:val="24"/>
          <w:highlight w:val="none"/>
        </w:rPr>
        <w:t xml:space="preserve">15.4.2 </w:t>
      </w:r>
      <w:r>
        <w:rPr>
          <w:rFonts w:hint="eastAsia" w:ascii="宋体" w:hAnsi="宋体" w:eastAsia="宋体" w:cs="宋体"/>
          <w:color w:val="auto"/>
          <w:spacing w:val="1"/>
          <w:sz w:val="24"/>
          <w:szCs w:val="24"/>
          <w:highlight w:val="none"/>
        </w:rPr>
        <w:t xml:space="preserve"> 形式评审环节</w:t>
      </w:r>
    </w:p>
    <w:p w14:paraId="4A4A759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8"/>
    </w:p>
    <w:p w14:paraId="713C03C6">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89" w:name="_Toc4914"/>
      <w:bookmarkStart w:id="90" w:name="_Toc20481"/>
      <w:bookmarkStart w:id="91" w:name="_Toc23632"/>
      <w:bookmarkStart w:id="92" w:name="_Toc13304"/>
      <w:r>
        <w:rPr>
          <w:rFonts w:hint="eastAsia" w:ascii="宋体" w:hAnsi="宋体" w:eastAsia="宋体" w:cs="宋体"/>
          <w:color w:val="auto"/>
          <w:spacing w:val="-1"/>
          <w:sz w:val="24"/>
          <w:szCs w:val="24"/>
          <w:highlight w:val="none"/>
        </w:rPr>
        <w:t>（1）各分册是否按招标文件规定加盖电子印章。</w:t>
      </w:r>
      <w:bookmarkEnd w:id="89"/>
      <w:bookmarkEnd w:id="90"/>
      <w:bookmarkEnd w:id="91"/>
      <w:bookmarkEnd w:id="92"/>
    </w:p>
    <w:p w14:paraId="0111D0F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64" w:firstLineChars="200"/>
        <w:outlineLvl w:val="9"/>
        <w:rPr>
          <w:rFonts w:hint="eastAsia" w:ascii="宋体" w:hAnsi="宋体" w:eastAsia="宋体" w:cs="宋体"/>
          <w:color w:val="auto"/>
          <w:spacing w:val="-1"/>
          <w:sz w:val="24"/>
          <w:szCs w:val="24"/>
          <w:highlight w:val="none"/>
          <w:lang w:eastAsia="zh-CN"/>
        </w:rPr>
      </w:pPr>
      <w:bookmarkStart w:id="93" w:name="_Toc10806"/>
      <w:bookmarkStart w:id="94" w:name="_Toc27432"/>
      <w:bookmarkStart w:id="95" w:name="_Toc28409"/>
      <w:bookmarkStart w:id="96"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10.4.3目中规定</w:t>
      </w:r>
      <w:r>
        <w:rPr>
          <w:rFonts w:hint="eastAsia" w:ascii="宋体" w:hAnsi="宋体" w:eastAsia="宋体" w:cs="宋体"/>
          <w:color w:val="auto"/>
          <w:spacing w:val="-5"/>
          <w:sz w:val="24"/>
          <w:szCs w:val="24"/>
          <w:highlight w:val="none"/>
        </w:rPr>
        <w:t>的“所有投标人均应提</w:t>
      </w:r>
      <w:bookmarkEnd w:id="93"/>
      <w:bookmarkEnd w:id="94"/>
      <w:bookmarkEnd w:id="95"/>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6"/>
      <w:r>
        <w:rPr>
          <w:rFonts w:hint="eastAsia" w:ascii="宋体" w:hAnsi="宋体" w:eastAsia="宋体" w:cs="宋体"/>
          <w:color w:val="auto"/>
          <w:spacing w:val="-1"/>
          <w:sz w:val="24"/>
          <w:szCs w:val="24"/>
          <w:highlight w:val="none"/>
          <w:lang w:eastAsia="zh-CN"/>
        </w:rPr>
        <w:t>。</w:t>
      </w:r>
    </w:p>
    <w:p w14:paraId="7747F3C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4" w:firstLineChars="200"/>
        <w:jc w:val="both"/>
        <w:outlineLvl w:val="9"/>
        <w:rPr>
          <w:rFonts w:hint="eastAsia" w:ascii="宋体" w:hAnsi="宋体" w:eastAsia="宋体" w:cs="宋体"/>
          <w:color w:val="auto"/>
          <w:spacing w:val="2"/>
          <w:sz w:val="24"/>
          <w:szCs w:val="24"/>
          <w:highlight w:val="none"/>
        </w:rPr>
      </w:pPr>
      <w:bookmarkStart w:id="97" w:name="_Toc16645"/>
      <w:bookmarkStart w:id="98" w:name="_Toc22642"/>
      <w:bookmarkStart w:id="99" w:name="_Toc14202"/>
      <w:bookmarkStart w:id="100" w:name="_Toc22562"/>
      <w:r>
        <w:rPr>
          <w:rFonts w:hint="eastAsia" w:ascii="宋体" w:hAnsi="宋体" w:eastAsia="宋体" w:cs="宋体"/>
          <w:b/>
          <w:bCs/>
          <w:color w:val="auto"/>
          <w:spacing w:val="-2"/>
          <w:sz w:val="24"/>
          <w:szCs w:val="24"/>
          <w:highlight w:val="none"/>
        </w:rPr>
        <w:t xml:space="preserve">15.4.3  </w:t>
      </w:r>
      <w:r>
        <w:rPr>
          <w:rFonts w:hint="eastAsia" w:ascii="宋体" w:hAnsi="宋体" w:eastAsia="宋体" w:cs="宋体"/>
          <w:color w:val="auto"/>
          <w:spacing w:val="2"/>
          <w:sz w:val="24"/>
          <w:szCs w:val="24"/>
          <w:highlight w:val="none"/>
        </w:rPr>
        <w:t xml:space="preserve">响应性评审环节 </w:t>
      </w:r>
    </w:p>
    <w:p w14:paraId="36ECE01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7"/>
      <w:bookmarkEnd w:id="98"/>
      <w:bookmarkEnd w:id="99"/>
      <w:bookmarkEnd w:id="100"/>
    </w:p>
    <w:p w14:paraId="32AC8268">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w:t>
      </w:r>
      <w:r>
        <w:rPr>
          <w:rFonts w:hint="eastAsia" w:ascii="宋体" w:hAnsi="宋体" w:eastAsia="宋体" w:cs="宋体"/>
          <w:color w:val="auto"/>
          <w:spacing w:val="-1"/>
          <w:sz w:val="24"/>
          <w:szCs w:val="24"/>
          <w:highlight w:val="none"/>
          <w:lang w:eastAsia="zh-CN"/>
        </w:rPr>
        <w:t>》和</w:t>
      </w:r>
      <w:r>
        <w:rPr>
          <w:rFonts w:hint="eastAsia" w:ascii="宋体" w:hAnsi="宋体" w:eastAsia="宋体" w:cs="宋体"/>
          <w:color w:val="auto"/>
          <w:spacing w:val="-1"/>
          <w:sz w:val="24"/>
          <w:szCs w:val="24"/>
          <w:highlight w:val="none"/>
        </w:rPr>
        <w:t>《各项承诺一览表》的实质性内容。</w:t>
      </w:r>
    </w:p>
    <w:p w14:paraId="3FD995B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F9C5E47">
      <w:pPr>
        <w:keepNext w:val="0"/>
        <w:keepLines w:val="0"/>
        <w:pageBreakBefore w:val="0"/>
        <w:widowControl w:val="0"/>
        <w:kinsoku/>
        <w:wordWrap w:val="0"/>
        <w:overflowPunct/>
        <w:topLinePunct/>
        <w:autoSpaceDE/>
        <w:autoSpaceDN/>
        <w:bidi w:val="0"/>
        <w:adjustRightInd w:val="0"/>
        <w:snapToGrid w:val="0"/>
        <w:spacing w:line="360" w:lineRule="auto"/>
        <w:ind w:left="23"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w:t>
      </w:r>
      <w:r>
        <w:rPr>
          <w:rFonts w:hint="eastAsia" w:ascii="宋体" w:hAnsi="宋体" w:eastAsia="宋体" w:cs="宋体"/>
          <w:color w:val="auto"/>
          <w:spacing w:val="1"/>
          <w:sz w:val="24"/>
          <w:szCs w:val="24"/>
          <w:highlight w:val="none"/>
          <w:lang w:eastAsia="zh-CN"/>
        </w:rPr>
        <w:t>封面</w:t>
      </w: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034F6ADB">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7F757018">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1" w:name="bookmark127"/>
      <w:bookmarkEnd w:id="101"/>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标委员会接受该投标人的投标总价而未否决其投标的，应在评标报告中说明判断理由。投标总价下浮率＝（1－投标总价÷</w:t>
      </w:r>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）×100%。</w:t>
      </w:r>
    </w:p>
    <w:p w14:paraId="1942033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05" w:firstLineChars="20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7884496B">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outlineLvl w:val="9"/>
        <w:rPr>
          <w:rFonts w:hint="eastAsia" w:ascii="宋体" w:hAnsi="宋体" w:eastAsia="宋体" w:cs="宋体"/>
          <w:color w:val="auto"/>
          <w:sz w:val="25"/>
          <w:szCs w:val="25"/>
          <w:highlight w:val="none"/>
        </w:rPr>
      </w:pPr>
      <w:bookmarkStart w:id="102" w:name="_Toc18204"/>
      <w:bookmarkStart w:id="103" w:name="_Toc15367"/>
      <w:bookmarkStart w:id="104" w:name="_Toc32114"/>
      <w:bookmarkStart w:id="105" w:name="_Toc19814"/>
      <w:r>
        <w:rPr>
          <w:rFonts w:hint="eastAsia" w:ascii="宋体" w:hAnsi="宋体" w:eastAsia="宋体" w:cs="宋体"/>
          <w:b/>
          <w:bCs/>
          <w:color w:val="auto"/>
          <w:spacing w:val="-3"/>
          <w:sz w:val="24"/>
          <w:szCs w:val="24"/>
          <w:highlight w:val="none"/>
        </w:rPr>
        <w:t xml:space="preserve">15.4.4  </w:t>
      </w:r>
      <w:r>
        <w:rPr>
          <w:rFonts w:hint="eastAsia" w:ascii="宋体" w:hAnsi="宋体" w:eastAsia="宋体" w:cs="宋体"/>
          <w:color w:val="auto"/>
          <w:spacing w:val="-3"/>
          <w:sz w:val="24"/>
          <w:szCs w:val="24"/>
          <w:highlight w:val="none"/>
        </w:rPr>
        <w:t>否决投标说明</w:t>
      </w:r>
      <w:bookmarkEnd w:id="102"/>
      <w:bookmarkEnd w:id="103"/>
      <w:bookmarkEnd w:id="104"/>
      <w:bookmarkEnd w:id="105"/>
    </w:p>
    <w:p w14:paraId="18872B1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 xml:space="preserve">4 </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3FFB0B36">
      <w:pPr>
        <w:keepNext w:val="0"/>
        <w:keepLines w:val="0"/>
        <w:pageBreakBefore w:val="0"/>
        <w:widowControl w:val="0"/>
        <w:kinsoku/>
        <w:wordWrap w:val="0"/>
        <w:overflowPunct/>
        <w:topLinePunct/>
        <w:autoSpaceDE/>
        <w:autoSpaceDN/>
        <w:bidi w:val="0"/>
        <w:adjustRightInd w:val="0"/>
        <w:snapToGrid w:val="0"/>
        <w:spacing w:line="360" w:lineRule="auto"/>
        <w:ind w:left="577" w:right="84" w:rightChars="40"/>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5"/>
                    <a:stretch>
                      <a:fillRect/>
                    </a:stretch>
                  </pic:blipFill>
                  <pic:spPr>
                    <a:xfrm>
                      <a:off x="0" y="0"/>
                      <a:ext cx="6350" cy="279400"/>
                    </a:xfrm>
                    <a:prstGeom prst="rect">
                      <a:avLst/>
                    </a:prstGeom>
                    <a:noFill/>
                    <a:ln>
                      <a:noFill/>
                    </a:ln>
                  </pic:spPr>
                </pic:pic>
              </a:graphicData>
            </a:graphic>
          </wp:anchor>
        </w:drawing>
      </w:r>
      <w:bookmarkStart w:id="106" w:name="bookmark128"/>
      <w:bookmarkEnd w:id="106"/>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7AE297D9">
      <w:pPr>
        <w:keepNext w:val="0"/>
        <w:keepLines w:val="0"/>
        <w:pageBreakBefore w:val="0"/>
        <w:widowControl w:val="0"/>
        <w:kinsoku/>
        <w:wordWrap w:val="0"/>
        <w:overflowPunct/>
        <w:topLinePunct/>
        <w:autoSpaceDE/>
        <w:autoSpaceDN/>
        <w:bidi w:val="0"/>
        <w:adjustRightInd w:val="0"/>
        <w:snapToGrid w:val="0"/>
        <w:spacing w:line="360" w:lineRule="auto"/>
        <w:ind w:left="498" w:right="84" w:rightChars="40"/>
        <w:outlineLvl w:val="9"/>
        <w:rPr>
          <w:rFonts w:hint="eastAsia" w:ascii="宋体" w:hAnsi="宋体" w:eastAsia="宋体" w:cs="宋体"/>
          <w:color w:val="auto"/>
          <w:sz w:val="25"/>
          <w:szCs w:val="25"/>
          <w:highlight w:val="none"/>
        </w:rPr>
      </w:pPr>
      <w:bookmarkStart w:id="107" w:name="_Toc28572"/>
      <w:bookmarkStart w:id="108" w:name="_Toc10503"/>
      <w:bookmarkStart w:id="109" w:name="_Toc14991"/>
      <w:bookmarkStart w:id="110" w:name="_Toc4119"/>
      <w:r>
        <w:rPr>
          <w:rFonts w:hint="eastAsia" w:ascii="宋体" w:hAnsi="宋体" w:eastAsia="宋体" w:cs="宋体"/>
          <w:b/>
          <w:bCs/>
          <w:color w:val="auto"/>
          <w:spacing w:val="-3"/>
          <w:sz w:val="24"/>
          <w:szCs w:val="24"/>
          <w:highlight w:val="none"/>
        </w:rPr>
        <w:t xml:space="preserve">15.5.1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7"/>
      <w:bookmarkEnd w:id="108"/>
      <w:bookmarkEnd w:id="109"/>
      <w:bookmarkEnd w:id="110"/>
    </w:p>
    <w:p w14:paraId="0AF2ED19">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27B13201">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45454717">
      <w:pPr>
        <w:keepNext w:val="0"/>
        <w:keepLines w:val="0"/>
        <w:pageBreakBefore w:val="0"/>
        <w:widowControl w:val="0"/>
        <w:kinsoku/>
        <w:wordWrap w:val="0"/>
        <w:overflowPunct/>
        <w:topLinePunct/>
        <w:autoSpaceDE/>
        <w:autoSpaceDN/>
        <w:bidi w:val="0"/>
        <w:adjustRightInd w:val="0"/>
        <w:snapToGrid w:val="0"/>
        <w:spacing w:line="360" w:lineRule="auto"/>
        <w:ind w:left="503" w:right="84" w:rightChars="40"/>
        <w:outlineLvl w:val="9"/>
        <w:rPr>
          <w:rFonts w:hint="eastAsia" w:ascii="宋体" w:hAnsi="宋体" w:eastAsia="宋体" w:cs="宋体"/>
          <w:color w:val="auto"/>
          <w:sz w:val="24"/>
          <w:szCs w:val="24"/>
          <w:highlight w:val="none"/>
        </w:rPr>
      </w:pPr>
      <w:bookmarkStart w:id="111" w:name="_Toc10398"/>
      <w:bookmarkStart w:id="112" w:name="_Toc18029"/>
      <w:bookmarkStart w:id="113" w:name="_Toc22949"/>
      <w:bookmarkStart w:id="114" w:name="_Toc17510"/>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1"/>
      <w:bookmarkEnd w:id="112"/>
      <w:bookmarkEnd w:id="113"/>
      <w:bookmarkEnd w:id="114"/>
    </w:p>
    <w:p w14:paraId="13645262">
      <w:pPr>
        <w:keepNext w:val="0"/>
        <w:keepLines w:val="0"/>
        <w:pageBreakBefore w:val="0"/>
        <w:widowControl w:val="0"/>
        <w:kinsoku/>
        <w:wordWrap w:val="0"/>
        <w:overflowPunct/>
        <w:topLinePunct/>
        <w:autoSpaceDE/>
        <w:autoSpaceDN/>
        <w:bidi w:val="0"/>
        <w:adjustRightInd w:val="0"/>
        <w:snapToGrid w:val="0"/>
        <w:spacing w:line="360" w:lineRule="auto"/>
        <w:ind w:left="15" w:right="84" w:rightChars="40"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111CE7E">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74DD916B">
      <w:pPr>
        <w:keepNext w:val="0"/>
        <w:keepLines w:val="0"/>
        <w:pageBreakBefore w:val="0"/>
        <w:widowControl w:val="0"/>
        <w:kinsoku/>
        <w:wordWrap w:val="0"/>
        <w:overflowPunct/>
        <w:topLinePunct/>
        <w:autoSpaceDE/>
        <w:autoSpaceDN/>
        <w:bidi w:val="0"/>
        <w:adjustRightInd w:val="0"/>
        <w:snapToGrid w:val="0"/>
        <w:spacing w:line="360" w:lineRule="auto"/>
        <w:ind w:left="491" w:right="84" w:rightChars="40"/>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7"/>
          <w:sz w:val="24"/>
          <w:szCs w:val="24"/>
          <w:highlight w:val="none"/>
          <w:lang w:eastAsia="zh-CN"/>
        </w:rPr>
        <w:t>=</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pacing w:val="-12"/>
          <w:position w:val="-1"/>
          <w:sz w:val="15"/>
          <w:szCs w:val="15"/>
          <w:highlight w:val="none"/>
          <w:lang w:eastAsia="zh-CN"/>
        </w:rPr>
        <w:t>+</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1358F96D">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2D94F0E8">
      <w:pPr>
        <w:keepNext w:val="0"/>
        <w:keepLines w:val="0"/>
        <w:pageBreakBefore w:val="0"/>
        <w:widowControl w:val="0"/>
        <w:kinsoku/>
        <w:wordWrap w:val="0"/>
        <w:overflowPunct/>
        <w:topLinePunct/>
        <w:autoSpaceDE/>
        <w:autoSpaceDN/>
        <w:bidi w:val="0"/>
        <w:adjustRightInd w:val="0"/>
        <w:snapToGrid w:val="0"/>
        <w:spacing w:line="360" w:lineRule="auto"/>
        <w:ind w:left="503" w:right="84" w:rightChars="40"/>
        <w:outlineLvl w:val="9"/>
        <w:rPr>
          <w:rFonts w:hint="eastAsia" w:ascii="宋体" w:hAnsi="宋体" w:eastAsia="宋体" w:cs="宋体"/>
          <w:color w:val="auto"/>
          <w:sz w:val="24"/>
          <w:szCs w:val="24"/>
          <w:highlight w:val="none"/>
        </w:rPr>
      </w:pPr>
      <w:bookmarkStart w:id="115" w:name="_Toc3958"/>
      <w:bookmarkStart w:id="116" w:name="_Toc27609"/>
      <w:bookmarkStart w:id="117" w:name="_Toc16136"/>
      <w:bookmarkStart w:id="118" w:name="_Toc14059"/>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5"/>
      <w:bookmarkEnd w:id="116"/>
      <w:bookmarkEnd w:id="117"/>
      <w:bookmarkEnd w:id="118"/>
    </w:p>
    <w:p w14:paraId="14C7480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6484B3E">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
          <w:sz w:val="24"/>
          <w:szCs w:val="24"/>
          <w:highlight w:val="none"/>
        </w:rPr>
        <w:t>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1 分</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398F86E5">
      <w:pPr>
        <w:keepNext w:val="0"/>
        <w:keepLines w:val="0"/>
        <w:pageBreakBefore w:val="0"/>
        <w:widowControl w:val="0"/>
        <w:kinsoku/>
        <w:wordWrap w:val="0"/>
        <w:overflowPunct/>
        <w:topLinePunct/>
        <w:autoSpaceDE/>
        <w:autoSpaceDN/>
        <w:bidi w:val="0"/>
        <w:adjustRightInd w:val="0"/>
        <w:snapToGrid w:val="0"/>
        <w:spacing w:line="360" w:lineRule="auto"/>
        <w:ind w:left="241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27"/>
          <w:position w:val="3"/>
          <w:sz w:val="24"/>
          <w:szCs w:val="24"/>
          <w:highlight w:val="none"/>
          <w:lang w:eastAsia="zh-CN"/>
        </w:rPr>
        <w:t>=</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6"/>
          <w:position w:val="3"/>
          <w:sz w:val="24"/>
          <w:szCs w:val="24"/>
          <w:highlight w:val="none"/>
          <w:lang w:eastAsia="zh-CN"/>
        </w:rPr>
        <w:t>-(</w:t>
      </w:r>
      <w:r>
        <w:rPr>
          <w:rFonts w:hint="eastAsia" w:ascii="宋体" w:hAnsi="宋体" w:eastAsia="宋体" w:cs="宋体"/>
          <w:color w:val="auto"/>
          <w:spacing w:val="-6"/>
          <w:position w:val="3"/>
          <w:sz w:val="24"/>
          <w:szCs w:val="24"/>
          <w:highlight w:val="none"/>
        </w:rPr>
        <w:t>|Di</w:t>
      </w:r>
      <w:r>
        <w:rPr>
          <w:rFonts w:hint="eastAsia" w:ascii="宋体" w:hAnsi="宋体" w:eastAsia="宋体" w:cs="宋体"/>
          <w:color w:val="auto"/>
          <w:spacing w:val="-6"/>
          <w:position w:val="3"/>
          <w:sz w:val="24"/>
          <w:szCs w:val="24"/>
          <w:highlight w:val="none"/>
          <w:lang w:eastAsia="zh-CN"/>
        </w:rPr>
        <w:t>-</w:t>
      </w:r>
      <w:r>
        <w:rPr>
          <w:rFonts w:hint="eastAsia" w:ascii="宋体" w:hAnsi="宋体" w:eastAsia="宋体" w:cs="宋体"/>
          <w:color w:val="auto"/>
          <w:spacing w:val="-6"/>
          <w:position w:val="3"/>
          <w:sz w:val="24"/>
          <w:szCs w:val="24"/>
          <w:highlight w:val="none"/>
        </w:rPr>
        <w:t>D|÷D</w:t>
      </w:r>
      <w:r>
        <w:rPr>
          <w:rFonts w:hint="eastAsia" w:ascii="宋体" w:hAnsi="宋体" w:eastAsia="宋体" w:cs="宋体"/>
          <w:color w:val="auto"/>
          <w:spacing w:val="-6"/>
          <w:position w:val="3"/>
          <w:sz w:val="24"/>
          <w:szCs w:val="24"/>
          <w:highlight w:val="none"/>
          <w:lang w:eastAsia="zh-CN"/>
        </w:rPr>
        <w:t>)</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645C2BF0">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式中：D为评标基准价；Di为某投标人的投标总价；E为扣分因子，当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pacing w:val="-8"/>
          <w:sz w:val="24"/>
          <w:szCs w:val="24"/>
          <w:highlight w:val="none"/>
        </w:rPr>
        <w:t>E＝</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Di＜D时，E</w:t>
      </w:r>
      <w:r>
        <w:rPr>
          <w:rFonts w:hint="eastAsia" w:ascii="宋体" w:hAnsi="宋体" w:eastAsia="宋体" w:cs="宋体"/>
          <w:b/>
          <w:bCs/>
          <w:color w:val="auto"/>
          <w:spacing w:val="-8"/>
          <w:sz w:val="24"/>
          <w:szCs w:val="24"/>
          <w:highlight w:val="none"/>
        </w:rPr>
        <w:t>＝0.5。</w:t>
      </w:r>
    </w:p>
    <w:p w14:paraId="0F8F3C08">
      <w:pPr>
        <w:keepNext w:val="0"/>
        <w:keepLines w:val="0"/>
        <w:pageBreakBefore w:val="0"/>
        <w:widowControl w:val="0"/>
        <w:kinsoku/>
        <w:wordWrap w:val="0"/>
        <w:overflowPunct/>
        <w:topLinePunct/>
        <w:autoSpaceDE/>
        <w:autoSpaceDN/>
        <w:bidi w:val="0"/>
        <w:adjustRightInd w:val="0"/>
        <w:snapToGrid w:val="0"/>
        <w:spacing w:line="360" w:lineRule="auto"/>
        <w:ind w:left="503" w:right="84" w:rightChars="40"/>
        <w:outlineLvl w:val="9"/>
        <w:rPr>
          <w:rFonts w:hint="eastAsia" w:ascii="宋体" w:hAnsi="宋体" w:eastAsia="宋体" w:cs="宋体"/>
          <w:color w:val="auto"/>
          <w:sz w:val="24"/>
          <w:szCs w:val="24"/>
          <w:highlight w:val="none"/>
        </w:rPr>
      </w:pPr>
      <w:bookmarkStart w:id="119" w:name="_Toc576"/>
      <w:bookmarkStart w:id="120" w:name="_Toc4990"/>
      <w:bookmarkStart w:id="121" w:name="_Toc3861"/>
      <w:bookmarkStart w:id="122" w:name="_Toc7915"/>
      <w:r>
        <w:rPr>
          <w:rFonts w:hint="eastAsia" w:ascii="宋体" w:hAnsi="宋体" w:eastAsia="宋体" w:cs="宋体"/>
          <w:color w:val="auto"/>
          <w:spacing w:val="-3"/>
          <w:sz w:val="24"/>
          <w:szCs w:val="24"/>
          <w:highlight w:val="none"/>
        </w:rPr>
        <w:t>（3）综合得分</w:t>
      </w:r>
      <w:bookmarkEnd w:id="119"/>
      <w:bookmarkEnd w:id="120"/>
      <w:bookmarkEnd w:id="121"/>
      <w:bookmarkEnd w:id="122"/>
    </w:p>
    <w:p w14:paraId="4602D148">
      <w:pPr>
        <w:keepNext w:val="0"/>
        <w:keepLines w:val="0"/>
        <w:pageBreakBefore w:val="0"/>
        <w:widowControl w:val="0"/>
        <w:kinsoku/>
        <w:wordWrap w:val="0"/>
        <w:overflowPunct/>
        <w:topLinePunct/>
        <w:autoSpaceDE/>
        <w:autoSpaceDN/>
        <w:bidi w:val="0"/>
        <w:adjustRightInd w:val="0"/>
        <w:snapToGrid w:val="0"/>
        <w:spacing w:line="360" w:lineRule="auto"/>
        <w:ind w:left="49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65FE0995">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012F3C68">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式中：M为商务技术得分，N为投标报价得分。</w:t>
      </w:r>
    </w:p>
    <w:p w14:paraId="17E1E708">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textAlignment w:val="baseline"/>
        <w:outlineLvl w:val="9"/>
        <w:rPr>
          <w:rFonts w:hint="eastAsia" w:ascii="宋体" w:hAnsi="宋体" w:eastAsia="宋体" w:cs="宋体"/>
          <w:color w:val="auto"/>
          <w:sz w:val="24"/>
          <w:szCs w:val="24"/>
          <w:highlight w:val="none"/>
        </w:rPr>
      </w:pPr>
      <w:bookmarkStart w:id="123" w:name="_Toc25214"/>
      <w:bookmarkStart w:id="124" w:name="_Toc30671"/>
      <w:bookmarkStart w:id="125" w:name="_Toc2885"/>
      <w:bookmarkStart w:id="126" w:name="_Toc32384"/>
      <w:r>
        <w:rPr>
          <w:rFonts w:hint="eastAsia" w:ascii="宋体" w:hAnsi="宋体" w:eastAsia="宋体" w:cs="宋体"/>
          <w:color w:val="auto"/>
          <w:spacing w:val="2"/>
          <w:sz w:val="24"/>
          <w:szCs w:val="24"/>
          <w:highlight w:val="none"/>
        </w:rPr>
        <w:t>（4）评标委员会汇总、比较所有投标人的综合得分后，取</w:t>
      </w:r>
      <w:r>
        <w:rPr>
          <w:rFonts w:hint="eastAsia" w:ascii="宋体" w:hAnsi="宋体" w:eastAsia="宋体" w:cs="宋体"/>
          <w:color w:val="auto"/>
          <w:spacing w:val="1"/>
          <w:sz w:val="24"/>
          <w:szCs w:val="24"/>
          <w:highlight w:val="none"/>
        </w:rPr>
        <w:t>综合得分最高的投标</w:t>
      </w:r>
      <w:bookmarkEnd w:id="123"/>
      <w:bookmarkEnd w:id="124"/>
      <w:bookmarkEnd w:id="125"/>
      <w:bookmarkEnd w:id="126"/>
      <w:r>
        <w:rPr>
          <w:rFonts w:hint="eastAsia" w:ascii="宋体" w:hAnsi="宋体" w:eastAsia="宋体" w:cs="宋体"/>
          <w:color w:val="auto"/>
          <w:spacing w:val="-1"/>
          <w:sz w:val="24"/>
          <w:szCs w:val="24"/>
          <w:highlight w:val="none"/>
        </w:rPr>
        <w:t>人为第一中标候选人，取综合得分第二、第三高的投标人</w:t>
      </w:r>
      <w:r>
        <w:rPr>
          <w:rFonts w:hint="eastAsia" w:ascii="宋体" w:hAnsi="宋体" w:eastAsia="宋体" w:cs="宋体"/>
          <w:color w:val="auto"/>
          <w:spacing w:val="-2"/>
          <w:sz w:val="24"/>
          <w:szCs w:val="24"/>
          <w:highlight w:val="none"/>
        </w:rPr>
        <w:t>为第二、第三中标候选人。</w:t>
      </w:r>
      <w:r>
        <w:rPr>
          <w:rFonts w:hint="eastAsia" w:ascii="宋体" w:hAnsi="宋体" w:eastAsia="宋体" w:cs="宋体"/>
          <w:color w:val="auto"/>
          <w:spacing w:val="-1"/>
          <w:sz w:val="24"/>
          <w:szCs w:val="24"/>
          <w:highlight w:val="none"/>
        </w:rPr>
        <w:t>如果最高综合得分相同，取投标总价低者为第一中标</w:t>
      </w:r>
      <w:r>
        <w:rPr>
          <w:rFonts w:hint="eastAsia" w:ascii="宋体" w:hAnsi="宋体" w:eastAsia="宋体" w:cs="宋体"/>
          <w:color w:val="auto"/>
          <w:spacing w:val="-2"/>
          <w:sz w:val="24"/>
          <w:szCs w:val="24"/>
          <w:highlight w:val="none"/>
        </w:rPr>
        <w:t>候选人，并依此确定第二、第三</w:t>
      </w:r>
      <w:r>
        <w:rPr>
          <w:rFonts w:hint="eastAsia" w:ascii="宋体" w:hAnsi="宋体" w:eastAsia="宋体" w:cs="宋体"/>
          <w:color w:val="auto"/>
          <w:sz w:val="24"/>
          <w:szCs w:val="24"/>
          <w:highlight w:val="none"/>
        </w:rPr>
        <w:t xml:space="preserve"> 中标候选人。如果最高综合得分相同，投标总价</w:t>
      </w:r>
      <w:r>
        <w:rPr>
          <w:rFonts w:hint="eastAsia" w:ascii="宋体" w:hAnsi="宋体" w:eastAsia="宋体" w:cs="宋体"/>
          <w:color w:val="auto"/>
          <w:spacing w:val="-1"/>
          <w:sz w:val="24"/>
          <w:szCs w:val="24"/>
          <w:highlight w:val="none"/>
        </w:rPr>
        <w:t>也相同，由评标委员会投票确定。</w:t>
      </w:r>
    </w:p>
    <w:p w14:paraId="69B29059">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6"/>
          <w:sz w:val="30"/>
          <w:szCs w:val="30"/>
          <w:highlight w:val="none"/>
        </w:rPr>
      </w:pPr>
      <w:bookmarkStart w:id="127" w:name="_Toc17375"/>
      <w:bookmarkStart w:id="128" w:name="_Toc16801"/>
      <w:bookmarkStart w:id="129" w:name="_Toc3020"/>
      <w:r>
        <w:rPr>
          <w:rFonts w:hint="eastAsia" w:ascii="宋体" w:hAnsi="宋体" w:eastAsia="宋体" w:cs="宋体"/>
          <w:b/>
          <w:bCs/>
          <w:color w:val="auto"/>
          <w:spacing w:val="-6"/>
          <w:sz w:val="30"/>
          <w:szCs w:val="30"/>
          <w:highlight w:val="none"/>
        </w:rPr>
        <w:br w:type="page"/>
      </w:r>
    </w:p>
    <w:p w14:paraId="7CC92FD4">
      <w:pPr>
        <w:keepNext w:val="0"/>
        <w:keepLines w:val="0"/>
        <w:pageBreakBefore w:val="0"/>
        <w:widowControl w:val="0"/>
        <w:kinsoku/>
        <w:wordWrap w:val="0"/>
        <w:overflowPunct/>
        <w:topLinePunct/>
        <w:autoSpaceDE/>
        <w:autoSpaceDN/>
        <w:bidi w:val="0"/>
        <w:adjustRightInd w:val="0"/>
        <w:snapToGrid w:val="0"/>
        <w:spacing w:before="98" w:line="221" w:lineRule="auto"/>
        <w:ind w:left="4248" w:right="84" w:rightChars="40"/>
        <w:outlineLvl w:val="9"/>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6"/>
          <w:sz w:val="30"/>
          <w:szCs w:val="30"/>
          <w:highlight w:val="none"/>
        </w:rPr>
        <w:t>综合评分表</w:t>
      </w:r>
      <w:bookmarkEnd w:id="127"/>
      <w:bookmarkEnd w:id="128"/>
      <w:bookmarkEnd w:id="129"/>
    </w:p>
    <w:p w14:paraId="539C6922">
      <w:pPr>
        <w:keepNext w:val="0"/>
        <w:keepLines w:val="0"/>
        <w:pageBreakBefore w:val="0"/>
        <w:widowControl w:val="0"/>
        <w:kinsoku/>
        <w:wordWrap w:val="0"/>
        <w:overflowPunct/>
        <w:topLinePunct/>
        <w:autoSpaceDE/>
        <w:autoSpaceDN/>
        <w:bidi w:val="0"/>
        <w:adjustRightInd w:val="0"/>
        <w:snapToGrid w:val="0"/>
        <w:spacing w:before="5"/>
        <w:ind w:right="84" w:rightChars="40"/>
        <w:rPr>
          <w:rFonts w:hint="eastAsia" w:ascii="宋体" w:hAnsi="宋体" w:eastAsia="宋体" w:cs="宋体"/>
          <w:color w:val="auto"/>
          <w:highlight w:val="none"/>
        </w:rPr>
      </w:pPr>
    </w:p>
    <w:tbl>
      <w:tblPr>
        <w:tblStyle w:val="15"/>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237"/>
        <w:gridCol w:w="3857"/>
        <w:gridCol w:w="4731"/>
      </w:tblGrid>
      <w:tr w14:paraId="767A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85" w:type="dxa"/>
            <w:gridSpan w:val="4"/>
            <w:shd w:val="clear" w:color="auto" w:fill="D7D7D7"/>
            <w:noWrap w:val="0"/>
            <w:vAlign w:val="center"/>
          </w:tcPr>
          <w:p w14:paraId="694CC6F1">
            <w:pPr>
              <w:pStyle w:val="6"/>
              <w:keepNext w:val="0"/>
              <w:keepLines/>
              <w:pageBreakBefore w:val="0"/>
              <w:widowControl/>
              <w:tabs>
                <w:tab w:val="left" w:pos="1354"/>
                <w:tab w:val="left" w:pos="1459"/>
                <w:tab w:val="center" w:pos="3902"/>
                <w:tab w:val="right" w:pos="7805"/>
              </w:tabs>
              <w:kinsoku/>
              <w:wordWrap w:val="0"/>
              <w:overflowPunct/>
              <w:topLinePunct/>
              <w:autoSpaceDE/>
              <w:autoSpaceDN/>
              <w:bidi w:val="0"/>
              <w:adjustRightInd w:val="0"/>
              <w:snapToGrid w:val="0"/>
              <w:spacing w:line="400" w:lineRule="exact"/>
              <w:textAlignment w:val="baseline"/>
              <w:rPr>
                <w:rFonts w:hint="eastAsia" w:ascii="宋体" w:hAnsi="宋体" w:eastAsia="宋体" w:cs="宋体"/>
                <w:b/>
                <w:bCs/>
                <w:snapToGrid w:val="0"/>
                <w:color w:val="auto"/>
                <w:kern w:val="0"/>
                <w:sz w:val="24"/>
                <w:szCs w:val="24"/>
                <w:highlight w:val="none"/>
              </w:rPr>
            </w:pPr>
            <w:bookmarkStart w:id="130" w:name="_Toc31744"/>
            <w:bookmarkStart w:id="131" w:name="_Toc5769"/>
            <w:bookmarkStart w:id="132" w:name="_Toc9725"/>
            <w:bookmarkStart w:id="133" w:name="_Toc17436"/>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rPr>
              <w:t xml:space="preserve"> 80 </w:t>
            </w:r>
            <w:r>
              <w:rPr>
                <w:rFonts w:hint="eastAsia" w:ascii="宋体" w:hAnsi="宋体" w:eastAsia="宋体" w:cs="宋体"/>
                <w:b/>
                <w:bCs/>
                <w:snapToGrid w:val="0"/>
                <w:color w:val="auto"/>
                <w:kern w:val="0"/>
                <w:sz w:val="24"/>
                <w:szCs w:val="24"/>
                <w:highlight w:val="none"/>
              </w:rPr>
              <w:t>分。</w:t>
            </w:r>
          </w:p>
        </w:tc>
      </w:tr>
      <w:tr w14:paraId="398B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27702457">
            <w:pPr>
              <w:pStyle w:val="6"/>
              <w:keepNext w:val="0"/>
              <w:keepLines/>
              <w:pageBreakBefore w:val="0"/>
              <w:widowControl/>
              <w:tabs>
                <w:tab w:val="left" w:pos="1354"/>
                <w:tab w:val="left" w:pos="1459"/>
                <w:tab w:val="center" w:pos="3902"/>
                <w:tab w:val="right" w:pos="7805"/>
              </w:tabs>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评分因素</w:t>
            </w:r>
          </w:p>
        </w:tc>
        <w:tc>
          <w:tcPr>
            <w:tcW w:w="3857" w:type="dxa"/>
            <w:noWrap w:val="0"/>
            <w:vAlign w:val="center"/>
          </w:tcPr>
          <w:p w14:paraId="55CD4015">
            <w:pPr>
              <w:pStyle w:val="6"/>
              <w:keepNext w:val="0"/>
              <w:keepLines/>
              <w:pageBreakBefore w:val="0"/>
              <w:widowControl/>
              <w:tabs>
                <w:tab w:val="left" w:pos="1354"/>
                <w:tab w:val="left" w:pos="1459"/>
                <w:tab w:val="center" w:pos="3902"/>
                <w:tab w:val="right" w:pos="7805"/>
              </w:tabs>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评分标准</w:t>
            </w:r>
          </w:p>
        </w:tc>
        <w:tc>
          <w:tcPr>
            <w:tcW w:w="4731" w:type="dxa"/>
            <w:noWrap w:val="0"/>
            <w:vAlign w:val="center"/>
          </w:tcPr>
          <w:p w14:paraId="0CECCC93">
            <w:pPr>
              <w:pStyle w:val="6"/>
              <w:keepNext w:val="0"/>
              <w:keepLines/>
              <w:pageBreakBefore w:val="0"/>
              <w:widowControl/>
              <w:tabs>
                <w:tab w:val="left" w:pos="1354"/>
                <w:tab w:val="left" w:pos="1459"/>
                <w:tab w:val="center" w:pos="3902"/>
                <w:tab w:val="right" w:pos="7805"/>
              </w:tabs>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w:t>
            </w:r>
          </w:p>
        </w:tc>
      </w:tr>
      <w:tr w14:paraId="633E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5B11D672">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企业奖项</w:t>
            </w:r>
          </w:p>
          <w:p w14:paraId="3C950766">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（10分）</w:t>
            </w:r>
          </w:p>
        </w:tc>
        <w:tc>
          <w:tcPr>
            <w:tcW w:w="3857" w:type="dxa"/>
            <w:noWrap w:val="0"/>
            <w:vAlign w:val="center"/>
          </w:tcPr>
          <w:p w14:paraId="54A39547">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企业2021年1月1日至今获得工程类奖项情况：</w:t>
            </w:r>
          </w:p>
          <w:p w14:paraId="7A56C685">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r>
              <w:rPr>
                <w:rFonts w:hint="eastAsia" w:ascii="宋体" w:hAnsi="宋体" w:eastAsia="宋体" w:cs="宋体"/>
                <w:snapToGrid w:val="0"/>
                <w:color w:val="auto"/>
                <w:kern w:val="0"/>
                <w:sz w:val="24"/>
                <w:szCs w:val="24"/>
                <w:highlight w:val="none"/>
              </w:rPr>
              <w:t>获得省级</w:t>
            </w:r>
            <w:r>
              <w:rPr>
                <w:rFonts w:hint="eastAsia" w:ascii="宋体" w:hAnsi="宋体" w:eastAsia="宋体" w:cs="宋体"/>
                <w:snapToGrid w:val="0"/>
                <w:color w:val="auto"/>
                <w:kern w:val="0"/>
                <w:sz w:val="24"/>
                <w:szCs w:val="24"/>
                <w:highlight w:val="none"/>
                <w:lang w:val="en-US" w:eastAsia="zh-CN"/>
              </w:rPr>
              <w:t>或以上</w:t>
            </w:r>
            <w:r>
              <w:rPr>
                <w:rFonts w:hint="eastAsia" w:ascii="宋体" w:hAnsi="宋体" w:eastAsia="宋体" w:cs="宋体"/>
                <w:snapToGrid w:val="0"/>
                <w:color w:val="auto"/>
                <w:kern w:val="0"/>
                <w:sz w:val="24"/>
                <w:szCs w:val="24"/>
                <w:highlight w:val="none"/>
              </w:rPr>
              <w:t>奖项的，每个得</w:t>
            </w:r>
            <w:r>
              <w:rPr>
                <w:rFonts w:hint="eastAsia" w:ascii="宋体" w:hAnsi="宋体" w:eastAsia="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6C06DB09">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获得地市级奖项的，每个得</w:t>
            </w:r>
            <w:r>
              <w:rPr>
                <w:rFonts w:hint="eastAsia" w:ascii="宋体" w:hAnsi="宋体" w:eastAsia="宋体" w:cs="宋体"/>
                <w:snapToGrid w:val="0"/>
                <w:color w:val="auto"/>
                <w:kern w:val="0"/>
                <w:sz w:val="24"/>
                <w:szCs w:val="24"/>
                <w:highlight w:val="none"/>
                <w:u w:val="single"/>
              </w:rPr>
              <w:t>2</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以上奖项均未获得的，不予计分。</w:t>
            </w:r>
          </w:p>
          <w:p w14:paraId="034F9BD9">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本项最高得10分。</w:t>
            </w:r>
          </w:p>
          <w:p w14:paraId="039E2D4F">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color w:val="auto"/>
                <w:sz w:val="24"/>
                <w:szCs w:val="24"/>
                <w:highlight w:val="none"/>
              </w:rPr>
            </w:pPr>
          </w:p>
        </w:tc>
        <w:tc>
          <w:tcPr>
            <w:tcW w:w="4731" w:type="dxa"/>
            <w:noWrap w:val="0"/>
            <w:vAlign w:val="center"/>
          </w:tcPr>
          <w:p w14:paraId="2BABE8C7">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1.允许投标人提交多个业绩（不含参建），但同一业绩只按最高级别奖项计分一次。</w:t>
            </w:r>
          </w:p>
          <w:p w14:paraId="634770C7">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2.需附有关奖项证明彩色扫描件。</w:t>
            </w:r>
          </w:p>
          <w:p w14:paraId="50C50332">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3.颁发机构限定以下范围：</w:t>
            </w:r>
          </w:p>
          <w:p w14:paraId="44DEA9CA">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①国家级奖项：国务院、住建部、国家能源局（或国家电力监管委员会）、中国建筑业协会、中国建筑安全协会、中国电力建设企业协会、中国水利电力质量管理协会等；（相关协会需经民政部门备案）</w:t>
            </w:r>
          </w:p>
          <w:p w14:paraId="46095B9E">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②省级奖项：省级人民政府、省级建设行政主管部门、省级供电部门、省级建筑业协会、省建筑安全协会、省级电力行业相关协会；（相关协会需经民政部门备案）</w:t>
            </w:r>
          </w:p>
          <w:p w14:paraId="5788604B">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③地市级奖项：地市级人民政府、地市级建设行政主管部门、地市级供电部门、地市级建筑业协会、地市级建筑安全协会、地市级电力行业相关协会。（相关协会需经民政部门备案）</w:t>
            </w:r>
          </w:p>
          <w:p w14:paraId="63C95E3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4.获奖时间以奖项证明的落款日期为准。</w:t>
            </w:r>
          </w:p>
          <w:p w14:paraId="4B336431">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5.任一奖项有以下情形之一的，该奖项视为无效，不予计分：</w:t>
            </w:r>
          </w:p>
          <w:p w14:paraId="6A468DE4">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①奖项不属于指定类别的；</w:t>
            </w:r>
          </w:p>
          <w:p w14:paraId="37341CE2">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②颁发机构不符合要求的；</w:t>
            </w:r>
          </w:p>
          <w:p w14:paraId="530D0C85">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③获奖时间不符合要求的。</w:t>
            </w:r>
          </w:p>
          <w:p w14:paraId="2AF265CC">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说明：以上所称“要求”均指本表评分标准及备注的要求，下同。</w:t>
            </w:r>
          </w:p>
        </w:tc>
      </w:tr>
      <w:tr w14:paraId="57A2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jc w:val="center"/>
        </w:trPr>
        <w:tc>
          <w:tcPr>
            <w:tcW w:w="1597" w:type="dxa"/>
            <w:gridSpan w:val="2"/>
            <w:noWrap w:val="0"/>
            <w:vAlign w:val="center"/>
          </w:tcPr>
          <w:p w14:paraId="3C99430D">
            <w:pPr>
              <w:pStyle w:val="6"/>
              <w:keepNext w:val="0"/>
              <w:keepLines/>
              <w:pageBreakBefore w:val="0"/>
              <w:widowControl/>
              <w:kinsoku/>
              <w:wordWrap w:val="0"/>
              <w:overflowPunct/>
              <w:topLinePunct/>
              <w:autoSpaceDE/>
              <w:autoSpaceDN/>
              <w:bidi w:val="0"/>
              <w:adjustRightInd w:val="0"/>
              <w:snapToGrid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p w14:paraId="08A6B436">
            <w:pPr>
              <w:pStyle w:val="6"/>
              <w:keepNext w:val="0"/>
              <w:keepLines/>
              <w:pageBreakBefore w:val="0"/>
              <w:widowControl/>
              <w:kinsoku/>
              <w:wordWrap w:val="0"/>
              <w:overflowPunct/>
              <w:topLinePunct/>
              <w:autoSpaceDE/>
              <w:autoSpaceDN/>
              <w:bidi w:val="0"/>
              <w:adjustRightInd w:val="0"/>
              <w:snapToGrid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综合素质</w:t>
            </w:r>
          </w:p>
          <w:p w14:paraId="20F94230">
            <w:pPr>
              <w:pStyle w:val="6"/>
              <w:keepNext w:val="0"/>
              <w:keepLines/>
              <w:pageBreakBefore w:val="0"/>
              <w:widowControl/>
              <w:kinsoku/>
              <w:wordWrap w:val="0"/>
              <w:overflowPunct/>
              <w:topLinePunct/>
              <w:autoSpaceDE/>
              <w:autoSpaceDN/>
              <w:bidi w:val="0"/>
              <w:adjustRightInd w:val="0"/>
              <w:snapToGrid w:val="0"/>
              <w:spacing w:after="0" w:line="40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（10分）</w:t>
            </w:r>
          </w:p>
        </w:tc>
        <w:tc>
          <w:tcPr>
            <w:tcW w:w="3857" w:type="dxa"/>
            <w:noWrap w:val="0"/>
            <w:vAlign w:val="center"/>
          </w:tcPr>
          <w:p w14:paraId="57A3E41C">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项目经理工程类技术职称情况：</w:t>
            </w:r>
          </w:p>
          <w:p w14:paraId="44A6DB5D">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r>
              <w:rPr>
                <w:rFonts w:hint="eastAsia" w:ascii="宋体" w:hAnsi="宋体" w:eastAsia="宋体" w:cs="宋体"/>
                <w:snapToGrid w:val="0"/>
                <w:color w:val="auto"/>
                <w:kern w:val="0"/>
                <w:sz w:val="24"/>
                <w:szCs w:val="24"/>
                <w:highlight w:val="none"/>
              </w:rPr>
              <w:t>具备高级工程师职称的，得</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7A83CBF2">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w:t>
            </w:r>
            <w:r>
              <w:rPr>
                <w:rFonts w:hint="eastAsia" w:ascii="宋体" w:hAnsi="宋体" w:eastAsia="宋体" w:cs="宋体"/>
                <w:snapToGrid w:val="0"/>
                <w:color w:val="auto"/>
                <w:kern w:val="0"/>
                <w:sz w:val="24"/>
                <w:szCs w:val="24"/>
                <w:highlight w:val="none"/>
              </w:rPr>
              <w:t>具备工程师职称的，得</w:t>
            </w:r>
            <w:r>
              <w:rPr>
                <w:rFonts w:hint="eastAsia" w:ascii="宋体" w:hAnsi="宋体" w:eastAsia="宋体" w:cs="宋体"/>
                <w:snapToGrid w:val="0"/>
                <w:color w:val="auto"/>
                <w:kern w:val="0"/>
                <w:sz w:val="24"/>
                <w:szCs w:val="24"/>
                <w:highlight w:val="none"/>
                <w:u w:val="single"/>
              </w:rPr>
              <w:t xml:space="preserve"> 8 </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0385F13F">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3.</w:t>
            </w:r>
            <w:r>
              <w:rPr>
                <w:rFonts w:hint="eastAsia" w:ascii="宋体" w:hAnsi="宋体" w:eastAsia="宋体" w:cs="宋体"/>
                <w:snapToGrid w:val="0"/>
                <w:color w:val="auto"/>
                <w:kern w:val="0"/>
                <w:sz w:val="24"/>
                <w:szCs w:val="24"/>
                <w:highlight w:val="none"/>
              </w:rPr>
              <w:t>具备助理工程师职称的，得</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50153296">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4.</w:t>
            </w:r>
            <w:r>
              <w:rPr>
                <w:rFonts w:hint="eastAsia" w:ascii="宋体" w:hAnsi="宋体" w:eastAsia="宋体" w:cs="宋体"/>
                <w:snapToGrid w:val="0"/>
                <w:color w:val="auto"/>
                <w:kern w:val="0"/>
                <w:sz w:val="24"/>
                <w:szCs w:val="24"/>
                <w:highlight w:val="none"/>
              </w:rPr>
              <w:t>不具备以上职称的，不予计分。</w:t>
            </w:r>
          </w:p>
          <w:p w14:paraId="0D4F0D5B">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10</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noWrap w:val="0"/>
            <w:vAlign w:val="center"/>
          </w:tcPr>
          <w:p w14:paraId="0EB53306">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需附职称证彩色扫描件</w:t>
            </w:r>
            <w:r>
              <w:rPr>
                <w:rFonts w:hint="eastAsia" w:ascii="宋体" w:hAnsi="宋体" w:eastAsia="宋体" w:cs="宋体"/>
                <w:snapToGrid w:val="0"/>
                <w:color w:val="auto"/>
                <w:kern w:val="0"/>
                <w:sz w:val="24"/>
                <w:szCs w:val="24"/>
                <w:highlight w:val="none"/>
                <w:lang w:eastAsia="zh-CN"/>
              </w:rPr>
              <w:t>或打印件，否则不予计分。</w:t>
            </w:r>
          </w:p>
          <w:p w14:paraId="67D13C6D">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color w:val="auto"/>
                <w:sz w:val="24"/>
                <w:szCs w:val="24"/>
                <w:highlight w:val="none"/>
              </w:rPr>
            </w:pPr>
          </w:p>
        </w:tc>
      </w:tr>
      <w:tr w14:paraId="17C6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20C16A8F">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企业业绩</w:t>
            </w:r>
          </w:p>
          <w:p w14:paraId="712D9EEB">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（15分）</w:t>
            </w:r>
          </w:p>
        </w:tc>
        <w:tc>
          <w:tcPr>
            <w:tcW w:w="3857" w:type="dxa"/>
            <w:noWrap w:val="0"/>
            <w:vAlign w:val="center"/>
          </w:tcPr>
          <w:p w14:paraId="7FB465AB">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企业近</w:t>
            </w:r>
            <w:r>
              <w:rPr>
                <w:rFonts w:hint="eastAsia" w:ascii="宋体" w:hAnsi="宋体" w:eastAsia="宋体" w:cs="宋体"/>
                <w:snapToGrid w:val="0"/>
                <w:color w:val="auto"/>
                <w:kern w:val="0"/>
                <w:sz w:val="24"/>
                <w:szCs w:val="24"/>
                <w:highlight w:val="none"/>
                <w:u w:val="single"/>
                <w:lang w:val="en-US" w:eastAsia="zh-CN"/>
              </w:rPr>
              <w:t xml:space="preserve"> 5 </w:t>
            </w:r>
            <w:r>
              <w:rPr>
                <w:rFonts w:hint="eastAsia" w:ascii="宋体" w:hAnsi="宋体" w:eastAsia="宋体" w:cs="宋体"/>
                <w:snapToGrid w:val="0"/>
                <w:color w:val="auto"/>
                <w:kern w:val="0"/>
                <w:sz w:val="24"/>
                <w:szCs w:val="24"/>
                <w:highlight w:val="none"/>
                <w:lang w:val="en-US" w:eastAsia="zh-CN"/>
              </w:rPr>
              <w:t>年来（2021年1月1日至今）业绩情况：</w:t>
            </w:r>
          </w:p>
          <w:p w14:paraId="284E69AC">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r>
              <w:rPr>
                <w:rFonts w:hint="eastAsia" w:ascii="宋体" w:hAnsi="宋体" w:eastAsia="宋体" w:cs="宋体"/>
                <w:snapToGrid w:val="0"/>
                <w:color w:val="auto"/>
                <w:kern w:val="0"/>
                <w:sz w:val="24"/>
                <w:szCs w:val="24"/>
                <w:highlight w:val="none"/>
                <w:u w:val="single"/>
              </w:rPr>
              <w:t xml:space="preserve">承接 </w:t>
            </w:r>
            <w:r>
              <w:rPr>
                <w:rFonts w:hint="eastAsia" w:ascii="宋体" w:hAnsi="宋体" w:eastAsia="宋体" w:cs="宋体"/>
                <w:snapToGrid w:val="0"/>
                <w:color w:val="auto"/>
                <w:kern w:val="0"/>
                <w:sz w:val="24"/>
                <w:szCs w:val="24"/>
                <w:highlight w:val="none"/>
              </w:rPr>
              <w:t>过类似工程的，每个得</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5190231B">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2.</w:t>
            </w:r>
            <w:r>
              <w:rPr>
                <w:rFonts w:hint="eastAsia" w:ascii="宋体" w:hAnsi="宋体" w:eastAsia="宋体" w:cs="宋体"/>
                <w:snapToGrid w:val="0"/>
                <w:color w:val="auto"/>
                <w:kern w:val="0"/>
                <w:sz w:val="24"/>
                <w:szCs w:val="24"/>
                <w:highlight w:val="none"/>
              </w:rPr>
              <w:t>未</w:t>
            </w:r>
            <w:r>
              <w:rPr>
                <w:rFonts w:hint="eastAsia" w:ascii="宋体" w:hAnsi="宋体" w:eastAsia="宋体" w:cs="宋体"/>
                <w:snapToGrid w:val="0"/>
                <w:color w:val="auto"/>
                <w:kern w:val="0"/>
                <w:sz w:val="24"/>
                <w:szCs w:val="24"/>
                <w:highlight w:val="none"/>
                <w:u w:val="single"/>
              </w:rPr>
              <w:t xml:space="preserve"> 承接 </w:t>
            </w:r>
            <w:r>
              <w:rPr>
                <w:rFonts w:hint="eastAsia" w:ascii="宋体" w:hAnsi="宋体" w:eastAsia="宋体" w:cs="宋体"/>
                <w:snapToGrid w:val="0"/>
                <w:color w:val="auto"/>
                <w:kern w:val="0"/>
                <w:sz w:val="24"/>
                <w:szCs w:val="24"/>
                <w:highlight w:val="none"/>
              </w:rPr>
              <w:t>过类似工程的，不予计分。</w:t>
            </w:r>
          </w:p>
          <w:p w14:paraId="5FF44B3D">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本项最高得1</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tc>
        <w:tc>
          <w:tcPr>
            <w:tcW w:w="4731" w:type="dxa"/>
            <w:noWrap w:val="0"/>
            <w:vAlign w:val="center"/>
          </w:tcPr>
          <w:p w14:paraId="76C91A84">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u w:val="none"/>
                <w:lang w:val="en-US" w:eastAsia="zh-CN"/>
              </w:rPr>
            </w:pPr>
            <w:r>
              <w:rPr>
                <w:rFonts w:hint="eastAsia" w:ascii="宋体" w:hAnsi="宋体" w:eastAsia="宋体" w:cs="宋体"/>
                <w:snapToGrid w:val="0"/>
                <w:color w:val="auto"/>
                <w:kern w:val="0"/>
                <w:sz w:val="24"/>
                <w:szCs w:val="24"/>
                <w:highlight w:val="none"/>
                <w:lang w:val="en-US" w:eastAsia="zh-CN"/>
              </w:rPr>
              <w:t>1.类似工程指：装机容量≥3.5MW的光伏类工程</w:t>
            </w:r>
            <w:r>
              <w:rPr>
                <w:rFonts w:hint="eastAsia" w:ascii="宋体" w:hAnsi="宋体" w:eastAsia="宋体" w:cs="宋体"/>
                <w:snapToGrid w:val="0"/>
                <w:color w:val="auto"/>
                <w:kern w:val="0"/>
                <w:sz w:val="24"/>
                <w:szCs w:val="24"/>
                <w:highlight w:val="none"/>
                <w:u w:val="none"/>
                <w:lang w:val="en-US" w:eastAsia="zh-CN"/>
              </w:rPr>
              <w:t>。</w:t>
            </w:r>
          </w:p>
          <w:p w14:paraId="4BA6A64F">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i/>
                <w:iCs/>
                <w:snapToGrid w:val="0"/>
                <w:color w:val="auto"/>
                <w:kern w:val="0"/>
                <w:sz w:val="24"/>
                <w:szCs w:val="24"/>
                <w:highlight w:val="none"/>
              </w:rPr>
            </w:pPr>
            <w:r>
              <w:rPr>
                <w:rFonts w:hint="eastAsia" w:ascii="宋体" w:hAnsi="宋体" w:eastAsia="宋体" w:cs="宋体"/>
                <w:i/>
                <w:iCs/>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需附有关业绩合同协议书、竣工验收证明彩色扫描件。</w:t>
            </w:r>
          </w:p>
          <w:p w14:paraId="18EA0FBB">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3.</w:t>
            </w:r>
            <w:r>
              <w:rPr>
                <w:rFonts w:hint="eastAsia" w:ascii="宋体" w:hAnsi="宋体" w:eastAsia="宋体" w:cs="宋体"/>
                <w:snapToGrid w:val="0"/>
                <w:color w:val="auto"/>
                <w:kern w:val="0"/>
                <w:sz w:val="24"/>
                <w:szCs w:val="24"/>
                <w:highlight w:val="none"/>
              </w:rPr>
              <w:t>业绩时间以合同协议书日期为准。</w:t>
            </w:r>
          </w:p>
          <w:p w14:paraId="7B14AC6C">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4.任一业绩有以下情形之一的，该业绩视为无效，不予计分：</w:t>
            </w:r>
          </w:p>
          <w:p w14:paraId="4EB23C92">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①业绩不属于类似工程的；</w:t>
            </w:r>
          </w:p>
          <w:p w14:paraId="5D6CB42F">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②不是以指定身份参建的；</w:t>
            </w:r>
          </w:p>
          <w:p w14:paraId="2960E9FF">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③业绩时间不符合要求的。</w:t>
            </w:r>
          </w:p>
        </w:tc>
      </w:tr>
      <w:tr w14:paraId="4C313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28C0B020">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企业银行</w:t>
            </w:r>
          </w:p>
          <w:p w14:paraId="172B8F24">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资信评级</w:t>
            </w:r>
          </w:p>
          <w:p w14:paraId="593FDDE3">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（10分）</w:t>
            </w:r>
          </w:p>
        </w:tc>
        <w:tc>
          <w:tcPr>
            <w:tcW w:w="3857" w:type="dxa"/>
            <w:noWrap w:val="0"/>
            <w:vAlign w:val="center"/>
          </w:tcPr>
          <w:p w14:paraId="00271B0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1.银行资信评级AAA的，得</w:t>
            </w:r>
            <w:r>
              <w:rPr>
                <w:rFonts w:hint="eastAsia" w:ascii="宋体" w:hAnsi="宋体" w:eastAsia="宋体" w:cs="宋体"/>
                <w:snapToGrid w:val="0"/>
                <w:color w:val="auto"/>
                <w:kern w:val="0"/>
                <w:sz w:val="24"/>
                <w:szCs w:val="24"/>
                <w:highlight w:val="none"/>
                <w:u w:val="single"/>
                <w:lang w:val="en-US" w:eastAsia="zh-CN"/>
              </w:rPr>
              <w:t xml:space="preserve"> 10 </w:t>
            </w:r>
            <w:r>
              <w:rPr>
                <w:rFonts w:hint="eastAsia" w:ascii="宋体" w:hAnsi="宋体" w:eastAsia="宋体" w:cs="宋体"/>
                <w:snapToGrid w:val="0"/>
                <w:color w:val="auto"/>
                <w:kern w:val="0"/>
                <w:sz w:val="24"/>
                <w:szCs w:val="24"/>
                <w:highlight w:val="none"/>
                <w:lang w:val="en-US" w:eastAsia="zh-CN"/>
              </w:rPr>
              <w:t>分；</w:t>
            </w:r>
          </w:p>
          <w:p w14:paraId="6E4A9E4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2.银行资信评级AA（含AA＋、AA－）的，得</w:t>
            </w:r>
            <w:r>
              <w:rPr>
                <w:rFonts w:hint="eastAsia" w:ascii="宋体" w:hAnsi="宋体" w:eastAsia="宋体" w:cs="宋体"/>
                <w:snapToGrid w:val="0"/>
                <w:color w:val="auto"/>
                <w:kern w:val="0"/>
                <w:sz w:val="24"/>
                <w:szCs w:val="24"/>
                <w:highlight w:val="none"/>
                <w:u w:val="single"/>
                <w:lang w:val="en-US" w:eastAsia="zh-CN"/>
              </w:rPr>
              <w:t xml:space="preserve"> 5 </w:t>
            </w:r>
            <w:r>
              <w:rPr>
                <w:rFonts w:hint="eastAsia" w:ascii="宋体" w:hAnsi="宋体" w:eastAsia="宋体" w:cs="宋体"/>
                <w:snapToGrid w:val="0"/>
                <w:color w:val="auto"/>
                <w:kern w:val="0"/>
                <w:sz w:val="24"/>
                <w:szCs w:val="24"/>
                <w:highlight w:val="none"/>
                <w:lang w:val="en-US" w:eastAsia="zh-CN"/>
              </w:rPr>
              <w:t>分；</w:t>
            </w:r>
          </w:p>
          <w:p w14:paraId="329955EF">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3.银行资信评级A（含A＋、A－）的，得</w:t>
            </w:r>
            <w:r>
              <w:rPr>
                <w:rFonts w:hint="eastAsia" w:ascii="宋体" w:hAnsi="宋体" w:eastAsia="宋体" w:cs="宋体"/>
                <w:snapToGrid w:val="0"/>
                <w:color w:val="auto"/>
                <w:kern w:val="0"/>
                <w:sz w:val="24"/>
                <w:szCs w:val="24"/>
                <w:highlight w:val="none"/>
                <w:u w:val="single"/>
                <w:lang w:val="en-US" w:eastAsia="zh-CN"/>
              </w:rPr>
              <w:t xml:space="preserve"> 1 </w:t>
            </w:r>
            <w:r>
              <w:rPr>
                <w:rFonts w:hint="eastAsia" w:ascii="宋体" w:hAnsi="宋体" w:eastAsia="宋体" w:cs="宋体"/>
                <w:snapToGrid w:val="0"/>
                <w:color w:val="auto"/>
                <w:kern w:val="0"/>
                <w:sz w:val="24"/>
                <w:szCs w:val="24"/>
                <w:highlight w:val="none"/>
                <w:lang w:val="en-US" w:eastAsia="zh-CN"/>
              </w:rPr>
              <w:t>分；</w:t>
            </w:r>
          </w:p>
          <w:p w14:paraId="00017960">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4.未获得过以上评级的，或评级证书无效的，不予计分。</w:t>
            </w:r>
          </w:p>
          <w:p w14:paraId="3AD52A25">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10</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noWrap w:val="0"/>
            <w:vAlign w:val="center"/>
          </w:tcPr>
          <w:p w14:paraId="627D2F65">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1.</w:t>
            </w:r>
            <w:r>
              <w:rPr>
                <w:rFonts w:hint="eastAsia" w:ascii="宋体" w:hAnsi="宋体" w:eastAsia="宋体" w:cs="宋体"/>
                <w:snapToGrid w:val="0"/>
                <w:color w:val="auto"/>
                <w:kern w:val="0"/>
                <w:sz w:val="24"/>
                <w:szCs w:val="24"/>
                <w:highlight w:val="none"/>
              </w:rPr>
              <w:t>需附在有效期内的资信评（等）级证书（证明）</w:t>
            </w:r>
            <w:r>
              <w:rPr>
                <w:rFonts w:hint="eastAsia" w:ascii="宋体" w:hAnsi="宋体" w:eastAsia="宋体" w:cs="宋体"/>
                <w:snapToGrid w:val="0"/>
                <w:color w:val="auto"/>
                <w:kern w:val="0"/>
                <w:sz w:val="24"/>
                <w:szCs w:val="24"/>
                <w:highlight w:val="none"/>
                <w:lang w:eastAsia="zh-CN"/>
              </w:rPr>
              <w:t>彩色</w:t>
            </w:r>
            <w:r>
              <w:rPr>
                <w:rFonts w:hint="eastAsia" w:ascii="宋体" w:hAnsi="宋体" w:eastAsia="宋体" w:cs="宋体"/>
                <w:snapToGrid w:val="0"/>
                <w:color w:val="auto"/>
                <w:kern w:val="0"/>
                <w:sz w:val="24"/>
                <w:szCs w:val="24"/>
                <w:highlight w:val="none"/>
              </w:rPr>
              <w:t>扫描件。</w:t>
            </w:r>
          </w:p>
          <w:p w14:paraId="41DDE138">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2.</w:t>
            </w:r>
            <w:r>
              <w:rPr>
                <w:rFonts w:hint="eastAsia" w:ascii="宋体" w:hAnsi="宋体" w:eastAsia="宋体" w:cs="宋体"/>
                <w:snapToGrid w:val="0"/>
                <w:color w:val="auto"/>
                <w:kern w:val="0"/>
                <w:sz w:val="24"/>
                <w:szCs w:val="24"/>
                <w:highlight w:val="none"/>
              </w:rPr>
              <w:t>评（等）级证书（证明）须由</w:t>
            </w:r>
            <w:r>
              <w:rPr>
                <w:rFonts w:hint="eastAsia" w:ascii="宋体" w:hAnsi="宋体" w:eastAsia="宋体" w:cs="宋体"/>
                <w:snapToGrid w:val="0"/>
                <w:color w:val="auto"/>
                <w:kern w:val="0"/>
                <w:sz w:val="24"/>
                <w:szCs w:val="24"/>
                <w:highlight w:val="none"/>
                <w:u w:val="single"/>
              </w:rPr>
              <w:t xml:space="preserve"> 企业基本账户开户银行/市级或以上金融机构 </w:t>
            </w:r>
            <w:r>
              <w:rPr>
                <w:rFonts w:hint="eastAsia" w:ascii="宋体" w:hAnsi="宋体" w:eastAsia="宋体" w:cs="宋体"/>
                <w:snapToGrid w:val="0"/>
                <w:color w:val="auto"/>
                <w:kern w:val="0"/>
                <w:sz w:val="24"/>
                <w:szCs w:val="24"/>
                <w:highlight w:val="none"/>
              </w:rPr>
              <w:t>出</w:t>
            </w:r>
            <w:r>
              <w:rPr>
                <w:rFonts w:hint="eastAsia" w:ascii="宋体" w:hAnsi="宋体" w:eastAsia="宋体" w:cs="宋体"/>
                <w:snapToGrid w:val="0"/>
                <w:color w:val="auto"/>
                <w:kern w:val="0"/>
                <w:sz w:val="24"/>
                <w:szCs w:val="24"/>
                <w:highlight w:val="none"/>
                <w:lang w:eastAsia="zh-CN"/>
              </w:rPr>
              <w:t>具</w:t>
            </w:r>
            <w:r>
              <w:rPr>
                <w:rFonts w:hint="eastAsia" w:ascii="宋体" w:hAnsi="宋体" w:eastAsia="宋体" w:cs="宋体"/>
                <w:snapToGrid w:val="0"/>
                <w:color w:val="auto"/>
                <w:kern w:val="0"/>
                <w:sz w:val="24"/>
                <w:szCs w:val="24"/>
                <w:highlight w:val="none"/>
              </w:rPr>
              <w:t>。</w:t>
            </w:r>
          </w:p>
          <w:p w14:paraId="54F5D6BA">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3.</w:t>
            </w:r>
            <w:r>
              <w:rPr>
                <w:rFonts w:hint="eastAsia" w:ascii="宋体" w:hAnsi="宋体" w:eastAsia="宋体" w:cs="宋体"/>
                <w:snapToGrid w:val="0"/>
                <w:color w:val="auto"/>
                <w:kern w:val="0"/>
                <w:sz w:val="24"/>
                <w:szCs w:val="24"/>
                <w:highlight w:val="none"/>
              </w:rPr>
              <w:t>评（等）级证书（证明）有以下情形之一的，视为无效：</w:t>
            </w:r>
          </w:p>
          <w:p w14:paraId="4A2C2EEC">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①评（等）级证书（证明）不在有效期内的；</w:t>
            </w:r>
          </w:p>
          <w:p w14:paraId="7D920CAB">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②出具机构不符合要求的。</w:t>
            </w:r>
          </w:p>
        </w:tc>
      </w:tr>
      <w:tr w14:paraId="569C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65EAE2A4">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企业管理</w:t>
            </w:r>
          </w:p>
          <w:p w14:paraId="096BAD94">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体系认证</w:t>
            </w:r>
          </w:p>
          <w:p w14:paraId="0087E7F6">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（6分）</w:t>
            </w:r>
          </w:p>
        </w:tc>
        <w:tc>
          <w:tcPr>
            <w:tcW w:w="3857" w:type="dxa"/>
            <w:noWrap w:val="0"/>
            <w:vAlign w:val="center"/>
          </w:tcPr>
          <w:p w14:paraId="0FBD72A4">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质量管理体系认证证书、职业健康安全管理体系认证证书、环境管理体系认证证书：</w:t>
            </w:r>
          </w:p>
          <w:p w14:paraId="4EFE5C0C">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1.企业获得3项证书的得6分；</w:t>
            </w:r>
          </w:p>
          <w:p w14:paraId="2FDFA3F9">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2.企业获得其中2项证书的得3分；</w:t>
            </w:r>
          </w:p>
          <w:p w14:paraId="0155E91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3.企业获得其中1项证书的得1分；</w:t>
            </w:r>
          </w:p>
          <w:p w14:paraId="62CAECE9">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4.以上认证证书均未获得的，不予计分。</w:t>
            </w:r>
          </w:p>
          <w:p w14:paraId="35FB41E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6</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noWrap w:val="0"/>
            <w:vAlign w:val="center"/>
          </w:tcPr>
          <w:p w14:paraId="24C56A8B">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1.需附在有效期内的认证证书彩色扫描件。</w:t>
            </w:r>
          </w:p>
          <w:p w14:paraId="1C18C100">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2.认证证书不在有效期内的视为无效，不予计分。</w:t>
            </w:r>
          </w:p>
        </w:tc>
      </w:tr>
      <w:tr w14:paraId="486F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499DBC30">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企业</w:t>
            </w:r>
          </w:p>
          <w:p w14:paraId="4922FC99">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trike/>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
              </w:rPr>
              <w:t>财务状况</w:t>
            </w:r>
          </w:p>
          <w:p w14:paraId="712DFFA8">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（9分）</w:t>
            </w:r>
          </w:p>
        </w:tc>
        <w:tc>
          <w:tcPr>
            <w:tcW w:w="3857" w:type="dxa"/>
            <w:noWrap w:val="0"/>
            <w:vAlign w:val="center"/>
          </w:tcPr>
          <w:p w14:paraId="404ACBF7">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提供不少于</w:t>
            </w:r>
            <w:r>
              <w:rPr>
                <w:rFonts w:hint="eastAsia" w:ascii="宋体" w:hAnsi="宋体" w:eastAsia="宋体" w:cs="宋体"/>
                <w:snapToGrid w:val="0"/>
                <w:color w:val="auto"/>
                <w:kern w:val="0"/>
                <w:sz w:val="24"/>
                <w:szCs w:val="24"/>
                <w:highlight w:val="none"/>
                <w:u w:val="single"/>
                <w:lang w:val="en-US" w:eastAsia="zh-CN"/>
              </w:rPr>
              <w:t xml:space="preserve"> 100</w:t>
            </w:r>
            <w:r>
              <w:rPr>
                <w:rFonts w:hint="eastAsia" w:ascii="宋体" w:hAnsi="宋体" w:eastAsia="宋体" w:cs="宋体"/>
                <w:snapToGrid w:val="0"/>
                <w:color w:val="auto"/>
                <w:kern w:val="0"/>
                <w:sz w:val="24"/>
                <w:szCs w:val="24"/>
                <w:highlight w:val="none"/>
              </w:rPr>
              <w:t>万元银行授信</w:t>
            </w:r>
            <w:r>
              <w:rPr>
                <w:rFonts w:hint="eastAsia" w:ascii="宋体" w:hAnsi="宋体" w:eastAsia="宋体" w:cs="宋体"/>
                <w:snapToGrid w:val="0"/>
                <w:color w:val="auto"/>
                <w:kern w:val="0"/>
                <w:sz w:val="24"/>
                <w:szCs w:val="24"/>
                <w:highlight w:val="none"/>
                <w:lang w:val="en-US" w:eastAsia="zh-CN"/>
              </w:rPr>
              <w:t>证明</w:t>
            </w:r>
            <w:r>
              <w:rPr>
                <w:rFonts w:hint="eastAsia" w:ascii="宋体" w:hAnsi="宋体" w:eastAsia="宋体" w:cs="宋体"/>
                <w:snapToGrid w:val="0"/>
                <w:color w:val="auto"/>
                <w:kern w:val="0"/>
                <w:sz w:val="24"/>
                <w:szCs w:val="24"/>
                <w:highlight w:val="none"/>
              </w:rPr>
              <w:t>的，得4分</w:t>
            </w:r>
            <w:r>
              <w:rPr>
                <w:rFonts w:hint="eastAsia" w:ascii="宋体" w:hAnsi="宋体" w:eastAsia="宋体" w:cs="宋体"/>
                <w:snapToGrid w:val="0"/>
                <w:color w:val="auto"/>
                <w:kern w:val="0"/>
                <w:sz w:val="24"/>
                <w:szCs w:val="24"/>
                <w:highlight w:val="none"/>
                <w:lang w:eastAsia="zh-CN"/>
              </w:rPr>
              <w:t>；</w:t>
            </w:r>
          </w:p>
          <w:p w14:paraId="6A18A7C9">
            <w:pPr>
              <w:pStyle w:val="38"/>
              <w:keepNext w:val="0"/>
              <w:keepLines/>
              <w:pageBreakBefore w:val="0"/>
              <w:widowControl/>
              <w:numPr>
                <w:ilvl w:val="0"/>
                <w:numId w:val="0"/>
              </w:numPr>
              <w:kinsoku/>
              <w:wordWrap w:val="0"/>
              <w:overflowPunct/>
              <w:topLinePunct/>
              <w:autoSpaceDE/>
              <w:autoSpaceDN/>
              <w:bidi w:val="0"/>
              <w:adjustRightInd w:val="0"/>
              <w:snapToGrid w:val="0"/>
              <w:spacing w:before="0" w:beforeLines="0" w:after="0" w:afterLines="0" w:line="400" w:lineRule="exact"/>
              <w:ind w:leftChars="0" w:right="0" w:rightChars="0"/>
              <w:jc w:val="left"/>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提供投标人基本账户在本项目招标公告发布之日起至投标截止时间期间出现过至少连续3日不少于</w:t>
            </w:r>
            <w:r>
              <w:rPr>
                <w:rFonts w:hint="eastAsia" w:ascii="宋体" w:hAnsi="宋体" w:eastAsia="宋体" w:cs="宋体"/>
                <w:snapToGrid w:val="0"/>
                <w:color w:val="auto"/>
                <w:kern w:val="0"/>
                <w:sz w:val="24"/>
                <w:szCs w:val="24"/>
                <w:highlight w:val="none"/>
                <w:u w:val="single"/>
                <w:lang w:val="en-US" w:eastAsia="zh-CN"/>
              </w:rPr>
              <w:t>100</w:t>
            </w:r>
            <w:r>
              <w:rPr>
                <w:rFonts w:hint="eastAsia" w:ascii="宋体" w:hAnsi="宋体" w:eastAsia="宋体" w:cs="宋体"/>
                <w:snapToGrid w:val="0"/>
                <w:color w:val="auto"/>
                <w:kern w:val="0"/>
                <w:sz w:val="24"/>
                <w:szCs w:val="24"/>
                <w:highlight w:val="none"/>
              </w:rPr>
              <w:t>万元存款余额资金流水证明的，得5分。</w:t>
            </w:r>
          </w:p>
          <w:p w14:paraId="7409EBC0">
            <w:pPr>
              <w:pStyle w:val="38"/>
              <w:keepNext w:val="0"/>
              <w:keepLines/>
              <w:pageBreakBefore w:val="0"/>
              <w:widowControl/>
              <w:numPr>
                <w:ilvl w:val="0"/>
                <w:numId w:val="0"/>
              </w:numPr>
              <w:kinsoku/>
              <w:wordWrap w:val="0"/>
              <w:overflowPunct/>
              <w:topLinePunct/>
              <w:autoSpaceDE/>
              <w:autoSpaceDN/>
              <w:bidi w:val="0"/>
              <w:adjustRightInd w:val="0"/>
              <w:snapToGrid w:val="0"/>
              <w:spacing w:before="0" w:beforeLines="0" w:after="0" w:afterLines="0" w:line="400" w:lineRule="exact"/>
              <w:ind w:leftChars="0" w:right="0" w:rightChars="0"/>
              <w:jc w:val="left"/>
              <w:textAlignment w:val="auto"/>
              <w:outlineLvl w:val="9"/>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9</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noWrap w:val="0"/>
            <w:vAlign w:val="center"/>
          </w:tcPr>
          <w:p w14:paraId="46D8F7E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1.需附在有效期内的有关证明彩色扫描件。</w:t>
            </w:r>
          </w:p>
          <w:p w14:paraId="0BCD8C3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2.银行授信证明有以下情形之一的，视为无效</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不予计分：</w:t>
            </w:r>
          </w:p>
          <w:p w14:paraId="27E704F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①授信证明不在有效期内的；</w:t>
            </w:r>
          </w:p>
          <w:p w14:paraId="765FC77C">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②授信额度不符合要求的；</w:t>
            </w:r>
          </w:p>
          <w:p w14:paraId="73F8A688">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3.存款余额资金流水证明有以下情形之一的，视为无效，不予计分：</w:t>
            </w:r>
          </w:p>
          <w:p w14:paraId="0A1F0E29">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①存款账户不是基本账户的；</w:t>
            </w:r>
          </w:p>
          <w:p w14:paraId="63CD99AB">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②存款时间不符合要求的；</w:t>
            </w:r>
          </w:p>
          <w:p w14:paraId="532D8C4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③存款额度不符合要求的。</w:t>
            </w:r>
          </w:p>
        </w:tc>
      </w:tr>
      <w:tr w14:paraId="2A58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jc w:val="center"/>
        </w:trPr>
        <w:tc>
          <w:tcPr>
            <w:tcW w:w="1597" w:type="dxa"/>
            <w:gridSpan w:val="2"/>
            <w:vMerge w:val="restart"/>
            <w:noWrap w:val="0"/>
            <w:vAlign w:val="center"/>
          </w:tcPr>
          <w:p w14:paraId="0DEEAD92">
            <w:pPr>
              <w:pStyle w:val="6"/>
              <w:keepNext w:val="0"/>
              <w:keepLines/>
              <w:pageBreakBefore w:val="0"/>
              <w:widowControl/>
              <w:kinsoku/>
              <w:wordWrap w:val="0"/>
              <w:overflowPunct/>
              <w:topLinePunct/>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招标人</w:t>
            </w:r>
          </w:p>
          <w:p w14:paraId="2B32E6A0">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自选项</w:t>
            </w:r>
          </w:p>
          <w:p w14:paraId="756DD209">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（20分）</w:t>
            </w:r>
          </w:p>
        </w:tc>
        <w:tc>
          <w:tcPr>
            <w:tcW w:w="3857" w:type="dxa"/>
            <w:noWrap w:val="0"/>
            <w:vAlign w:val="center"/>
          </w:tcPr>
          <w:p w14:paraId="6F9BBFF3">
            <w:pPr>
              <w:pStyle w:val="6"/>
              <w:keepNext w:val="0"/>
              <w:keepLines/>
              <w:pageBreakBefore w:val="0"/>
              <w:widowControl/>
              <w:kinsoku/>
              <w:wordWrap w:val="0"/>
              <w:overflowPunct/>
              <w:topLinePunct/>
              <w:autoSpaceDE/>
              <w:autoSpaceDN/>
              <w:bidi w:val="0"/>
              <w:adjustRightInd w:val="0"/>
              <w:snapToGrid w:val="0"/>
              <w:spacing w:line="276" w:lineRule="auto"/>
              <w:textAlignment w:val="baseline"/>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企业连续</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4"/>
                <w:szCs w:val="24"/>
                <w:highlight w:val="none"/>
              </w:rPr>
              <w:t>年或</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4"/>
                <w:szCs w:val="24"/>
                <w:highlight w:val="none"/>
              </w:rPr>
              <w:t>年以上（含</w:t>
            </w:r>
            <w:r>
              <w:rPr>
                <w:rFonts w:hint="eastAsia" w:asciiTheme="minorEastAsia" w:hAnsiTheme="minorEastAsia" w:eastAsiaTheme="minorEastAsia" w:cstheme="minorEastAsia"/>
                <w:snapToGrid w:val="0"/>
                <w:color w:val="auto"/>
                <w:kern w:val="0"/>
                <w:sz w:val="24"/>
                <w:szCs w:val="24"/>
                <w:highlight w:val="none"/>
                <w:u w:val="single"/>
                <w:lang w:val="en-US" w:eastAsia="zh-CN"/>
              </w:rPr>
              <w:t>5</w:t>
            </w:r>
            <w:r>
              <w:rPr>
                <w:rFonts w:hint="eastAsia" w:asciiTheme="minorEastAsia" w:hAnsiTheme="minorEastAsia" w:eastAsiaTheme="minorEastAsia" w:cstheme="minorEastAsia"/>
                <w:snapToGrid w:val="0"/>
                <w:color w:val="auto"/>
                <w:kern w:val="0"/>
                <w:sz w:val="24"/>
                <w:szCs w:val="24"/>
                <w:highlight w:val="none"/>
              </w:rPr>
              <w:t>年）获得纳税信用A级纳税人的，得</w:t>
            </w:r>
            <w:r>
              <w:rPr>
                <w:rFonts w:hint="eastAsia" w:asciiTheme="minorEastAsia" w:hAnsiTheme="minorEastAsia" w:eastAsiaTheme="minorEastAsia" w:cstheme="minorEastAsia"/>
                <w:snapToGrid w:val="0"/>
                <w:color w:val="auto"/>
                <w:kern w:val="0"/>
                <w:sz w:val="24"/>
                <w:szCs w:val="24"/>
                <w:highlight w:val="none"/>
                <w:u w:val="single"/>
                <w:lang w:val="en-US" w:eastAsia="zh-CN"/>
              </w:rPr>
              <w:t>5</w:t>
            </w:r>
            <w:r>
              <w:rPr>
                <w:rFonts w:hint="eastAsia" w:asciiTheme="minorEastAsia" w:hAnsiTheme="minorEastAsia" w:eastAsiaTheme="minorEastAsia" w:cstheme="minorEastAsia"/>
                <w:snapToGrid w:val="0"/>
                <w:color w:val="auto"/>
                <w:kern w:val="0"/>
                <w:sz w:val="24"/>
                <w:szCs w:val="24"/>
                <w:highlight w:val="none"/>
              </w:rPr>
              <w:t>分</w:t>
            </w: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rPr>
              <w:t>其中必须有</w:t>
            </w:r>
            <w:r>
              <w:rPr>
                <w:rFonts w:hint="eastAsia" w:asciiTheme="minorEastAsia" w:hAnsiTheme="minorEastAsia" w:eastAsiaTheme="minorEastAsia" w:cstheme="minorEastAsia"/>
                <w:snapToGrid w:val="0"/>
                <w:color w:val="auto"/>
                <w:kern w:val="0"/>
                <w:sz w:val="24"/>
                <w:szCs w:val="24"/>
                <w:highlight w:val="none"/>
                <w:u w:val="single"/>
                <w:lang w:val="en-US" w:eastAsia="zh-CN"/>
              </w:rPr>
              <w:t>2024</w:t>
            </w:r>
            <w:r>
              <w:rPr>
                <w:rFonts w:hint="eastAsia" w:asciiTheme="minorEastAsia" w:hAnsiTheme="minorEastAsia" w:eastAsiaTheme="minorEastAsia" w:cstheme="minorEastAsia"/>
                <w:snapToGrid w:val="0"/>
                <w:color w:val="auto"/>
                <w:kern w:val="0"/>
                <w:sz w:val="24"/>
                <w:szCs w:val="24"/>
                <w:highlight w:val="none"/>
              </w:rPr>
              <w:t>年度</w:t>
            </w: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rPr>
              <w:t>；</w:t>
            </w:r>
          </w:p>
          <w:p w14:paraId="21FB2CA8">
            <w:pPr>
              <w:pStyle w:val="12"/>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2.</w:t>
            </w:r>
            <w:r>
              <w:rPr>
                <w:rFonts w:hint="eastAsia" w:asciiTheme="minorEastAsia" w:hAnsiTheme="minorEastAsia" w:eastAsiaTheme="minorEastAsia" w:cstheme="minorEastAsia"/>
                <w:snapToGrid w:val="0"/>
                <w:color w:val="auto"/>
                <w:kern w:val="0"/>
                <w:sz w:val="24"/>
                <w:szCs w:val="24"/>
                <w:highlight w:val="none"/>
              </w:rPr>
              <w:t>其他情形的，不予计分</w:t>
            </w:r>
            <w:r>
              <w:rPr>
                <w:rFonts w:hint="eastAsia" w:asciiTheme="minorEastAsia" w:hAnsiTheme="minorEastAsia" w:eastAsiaTheme="minorEastAsia" w:cstheme="minorEastAsia"/>
                <w:snapToGrid w:val="0"/>
                <w:color w:val="auto"/>
                <w:kern w:val="0"/>
                <w:sz w:val="24"/>
                <w:szCs w:val="24"/>
                <w:highlight w:val="none"/>
                <w:lang w:eastAsia="zh-CN"/>
              </w:rPr>
              <w:t>。</w:t>
            </w:r>
          </w:p>
          <w:p w14:paraId="2175863A">
            <w:pPr>
              <w:pStyle w:val="6"/>
              <w:rPr>
                <w:rFonts w:hint="eastAsia"/>
                <w:color w:val="auto"/>
                <w:highlight w:val="none"/>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5</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noWrap w:val="0"/>
            <w:vAlign w:val="center"/>
          </w:tcPr>
          <w:p w14:paraId="6B0BE7F0">
            <w:pPr>
              <w:pStyle w:val="6"/>
              <w:numPr>
                <w:ilvl w:val="0"/>
                <w:numId w:val="0"/>
              </w:numPr>
              <w:wordWrap w:val="0"/>
              <w:adjustRightInd w:val="0"/>
              <w:snapToGrid w:val="0"/>
              <w:spacing w:line="400" w:lineRule="exact"/>
              <w:ind w:left="0" w:leftChars="0" w:firstLine="0" w:firstLineChars="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w:t>
            </w:r>
            <w:r>
              <w:rPr>
                <w:rFonts w:hint="eastAsia" w:asciiTheme="minorEastAsia" w:hAnsiTheme="minorEastAsia" w:eastAsiaTheme="minorEastAsia" w:cstheme="minorEastAsia"/>
                <w:color w:val="auto"/>
                <w:kern w:val="0"/>
                <w:sz w:val="24"/>
                <w:szCs w:val="24"/>
                <w:highlight w:val="none"/>
              </w:rPr>
              <w:t>必须提供企业纳税信用A级纳税人证明材料（或证书）及国家税务总局网上查询截图，否则不得分。</w:t>
            </w:r>
          </w:p>
          <w:p w14:paraId="783702DB">
            <w:pPr>
              <w:pStyle w:val="6"/>
              <w:numPr>
                <w:ilvl w:val="0"/>
                <w:numId w:val="0"/>
              </w:numPr>
              <w:wordWrap w:val="0"/>
              <w:adjustRightInd w:val="0"/>
              <w:snapToGrid w:val="0"/>
              <w:spacing w:line="400" w:lineRule="exact"/>
              <w:ind w:left="0" w:leftChars="0" w:firstLine="0" w:firstLineChars="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2.</w:t>
            </w:r>
            <w:r>
              <w:rPr>
                <w:rFonts w:hint="eastAsia" w:asciiTheme="minorEastAsia" w:hAnsiTheme="minorEastAsia" w:eastAsiaTheme="minorEastAsia" w:cstheme="minorEastAsia"/>
                <w:color w:val="auto"/>
                <w:kern w:val="0"/>
                <w:sz w:val="24"/>
                <w:szCs w:val="24"/>
                <w:highlight w:val="none"/>
              </w:rPr>
              <w:t>只计算投标人自身（不计算投标人的分公司、子公司及分支机构）</w:t>
            </w:r>
            <w:r>
              <w:rPr>
                <w:rFonts w:hint="eastAsia" w:asciiTheme="minorEastAsia" w:hAnsiTheme="minorEastAsia" w:eastAsiaTheme="minorEastAsia" w:cstheme="minorEastAsia"/>
                <w:color w:val="auto"/>
                <w:kern w:val="0"/>
                <w:sz w:val="24"/>
                <w:szCs w:val="24"/>
                <w:highlight w:val="none"/>
                <w:lang w:eastAsia="zh-CN"/>
              </w:rPr>
              <w:t>。</w:t>
            </w:r>
          </w:p>
        </w:tc>
      </w:tr>
      <w:tr w14:paraId="25B0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jc w:val="center"/>
        </w:trPr>
        <w:tc>
          <w:tcPr>
            <w:tcW w:w="1597" w:type="dxa"/>
            <w:gridSpan w:val="2"/>
            <w:vMerge w:val="continue"/>
            <w:noWrap w:val="0"/>
            <w:vAlign w:val="center"/>
          </w:tcPr>
          <w:p w14:paraId="61F1DB4F">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p>
        </w:tc>
        <w:tc>
          <w:tcPr>
            <w:tcW w:w="3857" w:type="dxa"/>
            <w:shd w:val="clear" w:color="auto" w:fill="auto"/>
            <w:noWrap w:val="0"/>
            <w:vAlign w:val="center"/>
          </w:tcPr>
          <w:p w14:paraId="0A62C29B">
            <w:pPr>
              <w:pStyle w:val="6"/>
              <w:keepNext w:val="0"/>
              <w:keepLines/>
              <w:pageBreakBefore w:val="0"/>
              <w:widowControl/>
              <w:kinsoku/>
              <w:wordWrap w:val="0"/>
              <w:overflowPunct/>
              <w:topLinePunct/>
              <w:autoSpaceDE/>
              <w:autoSpaceDN/>
              <w:bidi w:val="0"/>
              <w:adjustRightInd w:val="0"/>
              <w:snapToGrid w:val="0"/>
              <w:spacing w:line="276" w:lineRule="auto"/>
              <w:textAlignment w:val="baseline"/>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近 5 年来（</w:t>
            </w:r>
            <w:r>
              <w:rPr>
                <w:rFonts w:hint="eastAsia" w:asciiTheme="minorEastAsia" w:hAnsiTheme="minorEastAsia" w:eastAsiaTheme="minorEastAsia" w:cstheme="minorEastAsia"/>
                <w:snapToGrid w:val="0"/>
                <w:color w:val="auto"/>
                <w:kern w:val="0"/>
                <w:sz w:val="24"/>
                <w:szCs w:val="24"/>
                <w:highlight w:val="none"/>
                <w:lang w:val="en-US" w:eastAsia="zh-CN"/>
              </w:rPr>
              <w:t>2021</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lang w:val="en-US" w:eastAsia="zh-CN"/>
              </w:rPr>
              <w:t>11</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日至</w:t>
            </w:r>
            <w:r>
              <w:rPr>
                <w:rFonts w:hint="eastAsia" w:asciiTheme="minorEastAsia" w:hAnsiTheme="minorEastAsia" w:eastAsiaTheme="minorEastAsia" w:cstheme="minorEastAsia"/>
                <w:snapToGrid w:val="0"/>
                <w:color w:val="auto"/>
                <w:kern w:val="0"/>
                <w:sz w:val="24"/>
                <w:szCs w:val="24"/>
                <w:highlight w:val="none"/>
                <w:lang w:val="en-US" w:eastAsia="zh-CN"/>
              </w:rPr>
              <w:t>2025</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lang w:val="en-US" w:eastAsia="zh-CN"/>
              </w:rPr>
              <w:t>11</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日）投标人未发生事故等级为一般事故及以上的生产安全事故、一般质量事故及以上的工程质量事故的，得</w:t>
            </w:r>
            <w:r>
              <w:rPr>
                <w:rFonts w:hint="eastAsia" w:asciiTheme="minorEastAsia" w:hAnsiTheme="minorEastAsia" w:eastAsiaTheme="minorEastAsia" w:cstheme="minorEastAsia"/>
                <w:snapToGrid w:val="0"/>
                <w:color w:val="auto"/>
                <w:kern w:val="0"/>
                <w:sz w:val="24"/>
                <w:szCs w:val="24"/>
                <w:highlight w:val="none"/>
                <w:lang w:val="en-US" w:eastAsia="zh-CN"/>
              </w:rPr>
              <w:t>5</w:t>
            </w:r>
            <w:r>
              <w:rPr>
                <w:rFonts w:hint="eastAsia" w:asciiTheme="minorEastAsia" w:hAnsiTheme="minorEastAsia" w:eastAsiaTheme="minorEastAsia" w:cstheme="minorEastAsia"/>
                <w:snapToGrid w:val="0"/>
                <w:color w:val="auto"/>
                <w:kern w:val="0"/>
                <w:sz w:val="24"/>
                <w:szCs w:val="24"/>
                <w:highlight w:val="none"/>
              </w:rPr>
              <w:t>分</w:t>
            </w:r>
            <w:r>
              <w:rPr>
                <w:rFonts w:hint="eastAsia" w:asciiTheme="minorEastAsia" w:hAnsiTheme="minorEastAsia" w:eastAsiaTheme="minorEastAsia" w:cstheme="minorEastAsia"/>
                <w:snapToGrid w:val="0"/>
                <w:color w:val="auto"/>
                <w:kern w:val="0"/>
                <w:sz w:val="24"/>
                <w:szCs w:val="24"/>
                <w:highlight w:val="none"/>
                <w:lang w:eastAsia="zh-CN"/>
              </w:rPr>
              <w:t>；</w:t>
            </w:r>
          </w:p>
          <w:p w14:paraId="4B33EBCF">
            <w:pPr>
              <w:pStyle w:val="6"/>
              <w:keepNext w:val="0"/>
              <w:keepLines/>
              <w:pageBreakBefore w:val="0"/>
              <w:widowControl/>
              <w:kinsoku/>
              <w:wordWrap w:val="0"/>
              <w:overflowPunct/>
              <w:topLinePunct/>
              <w:autoSpaceDE/>
              <w:autoSpaceDN/>
              <w:bidi w:val="0"/>
              <w:adjustRightInd w:val="0"/>
              <w:snapToGrid w:val="0"/>
              <w:spacing w:line="276" w:lineRule="auto"/>
              <w:textAlignment w:val="baseline"/>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2.其他情形的，不予计分。</w:t>
            </w:r>
          </w:p>
          <w:p w14:paraId="1F93D597">
            <w:pPr>
              <w:pStyle w:val="6"/>
              <w:keepNext w:val="0"/>
              <w:keepLines/>
              <w:pageBreakBefore w:val="0"/>
              <w:widowControl/>
              <w:kinsoku/>
              <w:wordWrap w:val="0"/>
              <w:overflowPunct/>
              <w:topLinePunct/>
              <w:autoSpaceDE/>
              <w:autoSpaceDN/>
              <w:bidi w:val="0"/>
              <w:adjustRightInd w:val="0"/>
              <w:snapToGrid w:val="0"/>
              <w:spacing w:line="276" w:lineRule="auto"/>
              <w:textAlignment w:val="baseline"/>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5</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shd w:val="clear" w:color="auto" w:fill="auto"/>
            <w:noWrap w:val="0"/>
            <w:vAlign w:val="center"/>
          </w:tcPr>
          <w:p w14:paraId="306C352E">
            <w:pPr>
              <w:pStyle w:val="6"/>
              <w:keepNext w:val="0"/>
              <w:keepLines/>
              <w:pageBreakBefore w:val="0"/>
              <w:widowControl/>
              <w:kinsoku/>
              <w:wordWrap w:val="0"/>
              <w:overflowPunct/>
              <w:topLinePunct/>
              <w:autoSpaceDE/>
              <w:autoSpaceDN/>
              <w:bidi w:val="0"/>
              <w:adjustRightInd w:val="0"/>
              <w:snapToGrid w:val="0"/>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投标人需提供承诺书（格式自定）并加盖本单位公章。</w:t>
            </w:r>
          </w:p>
          <w:p w14:paraId="57D3B534">
            <w:pPr>
              <w:pStyle w:val="6"/>
              <w:keepNext w:val="0"/>
              <w:keepLines/>
              <w:pageBreakBefore w:val="0"/>
              <w:widowControl/>
              <w:kinsoku/>
              <w:wordWrap w:val="0"/>
              <w:overflowPunct/>
              <w:topLinePunct/>
              <w:autoSpaceDE/>
              <w:autoSpaceDN/>
              <w:bidi w:val="0"/>
              <w:adjustRightInd w:val="0"/>
              <w:snapToGrid w:val="0"/>
              <w:spacing w:line="400" w:lineRule="exact"/>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2.投标人</w:t>
            </w:r>
            <w:r>
              <w:rPr>
                <w:rFonts w:hint="eastAsia" w:ascii="宋体" w:hAnsi="宋体" w:eastAsia="宋体" w:cs="宋体"/>
                <w:color w:val="auto"/>
                <w:sz w:val="24"/>
                <w:szCs w:val="24"/>
                <w:highlight w:val="none"/>
                <w:lang w:eastAsia="zh-CN"/>
              </w:rPr>
              <w:t>未提供承诺书并加盖本单位公章的，不予计分。</w:t>
            </w:r>
          </w:p>
        </w:tc>
      </w:tr>
      <w:tr w14:paraId="3649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vMerge w:val="continue"/>
            <w:noWrap w:val="0"/>
            <w:vAlign w:val="center"/>
          </w:tcPr>
          <w:p w14:paraId="34F147A8">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p>
        </w:tc>
        <w:tc>
          <w:tcPr>
            <w:tcW w:w="3857" w:type="dxa"/>
            <w:shd w:val="clear" w:color="auto" w:fill="auto"/>
            <w:noWrap w:val="0"/>
            <w:vAlign w:val="center"/>
          </w:tcPr>
          <w:p w14:paraId="43F0FA91">
            <w:pPr>
              <w:pStyle w:val="6"/>
              <w:keepLines/>
              <w:numPr>
                <w:ilvl w:val="0"/>
                <w:numId w:val="1"/>
              </w:numPr>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en-US" w:bidi="ar-SA"/>
              </w:rPr>
              <w:t>投标人从2021年1月1日至今获得省级/</w:t>
            </w:r>
            <w:r>
              <w:rPr>
                <w:rFonts w:hint="eastAsia" w:ascii="宋体" w:hAnsi="宋体" w:eastAsia="宋体" w:cs="宋体"/>
                <w:snapToGrid w:val="0"/>
                <w:color w:val="auto"/>
                <w:kern w:val="0"/>
                <w:sz w:val="24"/>
                <w:szCs w:val="24"/>
                <w:highlight w:val="none"/>
                <w:lang w:val="en-US" w:eastAsia="zh-CN" w:bidi="ar-SA"/>
              </w:rPr>
              <w:t>国家</w:t>
            </w:r>
            <w:r>
              <w:rPr>
                <w:rFonts w:hint="eastAsia" w:ascii="宋体" w:hAnsi="宋体" w:eastAsia="宋体" w:cs="宋体"/>
                <w:snapToGrid w:val="0"/>
                <w:color w:val="auto"/>
                <w:kern w:val="0"/>
                <w:sz w:val="24"/>
                <w:szCs w:val="24"/>
                <w:highlight w:val="none"/>
                <w:lang w:val="en-US" w:eastAsia="en-US" w:bidi="ar-SA"/>
              </w:rPr>
              <w:t>级“诚信示范企业”或“企业诚信公约证书”或“AAA级信用企业”称号的得</w:t>
            </w: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分</w:t>
            </w:r>
            <w:r>
              <w:rPr>
                <w:rFonts w:hint="eastAsia" w:ascii="宋体" w:hAnsi="宋体" w:eastAsia="宋体" w:cs="宋体"/>
                <w:snapToGrid w:val="0"/>
                <w:color w:val="auto"/>
                <w:kern w:val="0"/>
                <w:sz w:val="24"/>
                <w:szCs w:val="24"/>
                <w:highlight w:val="none"/>
                <w:lang w:val="en-US" w:eastAsia="zh-CN" w:bidi="ar-SA"/>
              </w:rPr>
              <w:t>；</w:t>
            </w:r>
          </w:p>
          <w:p w14:paraId="3C75CD36">
            <w:pPr>
              <w:pStyle w:val="6"/>
              <w:keepLines/>
              <w:numPr>
                <w:ilvl w:val="0"/>
                <w:numId w:val="1"/>
              </w:numPr>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en-US" w:bidi="ar-SA"/>
              </w:rPr>
              <w:t>超过1年的，每增加一年加</w:t>
            </w: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en-US" w:bidi="ar-SA"/>
              </w:rPr>
              <w:t>分。</w:t>
            </w:r>
          </w:p>
          <w:p w14:paraId="7D71512F">
            <w:pPr>
              <w:pStyle w:val="6"/>
              <w:keepLines/>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en-US" w:bidi="ar-SA"/>
              </w:rPr>
              <w:t>本项最高得</w:t>
            </w:r>
            <w:r>
              <w:rPr>
                <w:rFonts w:hint="eastAsia" w:ascii="宋体" w:hAnsi="宋体" w:eastAsia="宋体" w:cs="宋体"/>
                <w:snapToGrid w:val="0"/>
                <w:color w:val="auto"/>
                <w:kern w:val="0"/>
                <w:sz w:val="24"/>
                <w:szCs w:val="24"/>
                <w:highlight w:val="none"/>
                <w:lang w:val="en-US" w:eastAsia="zh-CN" w:bidi="ar-SA"/>
              </w:rPr>
              <w:t>5</w:t>
            </w:r>
            <w:r>
              <w:rPr>
                <w:rFonts w:hint="eastAsia" w:ascii="宋体" w:hAnsi="宋体" w:eastAsia="宋体" w:cs="宋体"/>
                <w:snapToGrid w:val="0"/>
                <w:color w:val="auto"/>
                <w:kern w:val="0"/>
                <w:sz w:val="24"/>
                <w:szCs w:val="24"/>
                <w:highlight w:val="none"/>
                <w:lang w:val="en-US" w:eastAsia="en-US" w:bidi="ar-SA"/>
              </w:rPr>
              <w:t xml:space="preserve">分。 </w:t>
            </w:r>
          </w:p>
        </w:tc>
        <w:tc>
          <w:tcPr>
            <w:tcW w:w="4731" w:type="dxa"/>
            <w:shd w:val="clear" w:color="auto" w:fill="auto"/>
            <w:noWrap w:val="0"/>
            <w:vAlign w:val="center"/>
          </w:tcPr>
          <w:p w14:paraId="1942BF6F">
            <w:pPr>
              <w:pStyle w:val="6"/>
              <w:keepLines/>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1.投标人</w:t>
            </w:r>
            <w:r>
              <w:rPr>
                <w:rFonts w:hint="eastAsia" w:ascii="宋体" w:hAnsi="宋体" w:eastAsia="宋体" w:cs="宋体"/>
                <w:snapToGrid w:val="0"/>
                <w:color w:val="auto"/>
                <w:kern w:val="0"/>
                <w:sz w:val="24"/>
                <w:szCs w:val="24"/>
                <w:highlight w:val="none"/>
                <w:lang w:val="en-US" w:eastAsia="en-US" w:bidi="ar-SA"/>
              </w:rPr>
              <w:t>需附相关证书彩色扫描件。</w:t>
            </w:r>
          </w:p>
          <w:p w14:paraId="58477F20">
            <w:pPr>
              <w:pStyle w:val="6"/>
              <w:keepLines/>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en-US" w:bidi="ar-SA"/>
              </w:rPr>
              <w:t>证书须由省级/</w:t>
            </w:r>
            <w:r>
              <w:rPr>
                <w:rFonts w:hint="eastAsia" w:ascii="宋体" w:hAnsi="宋体" w:eastAsia="宋体" w:cs="宋体"/>
                <w:snapToGrid w:val="0"/>
                <w:color w:val="auto"/>
                <w:kern w:val="0"/>
                <w:sz w:val="24"/>
                <w:szCs w:val="24"/>
                <w:highlight w:val="none"/>
                <w:lang w:val="en-US" w:eastAsia="zh-CN" w:bidi="ar-SA"/>
              </w:rPr>
              <w:t>国家</w:t>
            </w:r>
            <w:r>
              <w:rPr>
                <w:rFonts w:hint="eastAsia" w:ascii="宋体" w:hAnsi="宋体" w:eastAsia="宋体" w:cs="宋体"/>
                <w:snapToGrid w:val="0"/>
                <w:color w:val="auto"/>
                <w:kern w:val="0"/>
                <w:sz w:val="24"/>
                <w:szCs w:val="24"/>
                <w:highlight w:val="none"/>
                <w:lang w:val="en-US" w:eastAsia="en-US" w:bidi="ar-SA"/>
              </w:rPr>
              <w:t>级企业联合会和企业家协会（须经民政局备案）同时颁发。</w:t>
            </w:r>
          </w:p>
          <w:p w14:paraId="61224D0E">
            <w:pPr>
              <w:pStyle w:val="6"/>
              <w:keepLines/>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颁发机构、获奖时间不符合评分标准和备注规定的，不予得分。</w:t>
            </w:r>
          </w:p>
        </w:tc>
      </w:tr>
      <w:tr w14:paraId="1921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jc w:val="center"/>
        </w:trPr>
        <w:tc>
          <w:tcPr>
            <w:tcW w:w="1597" w:type="dxa"/>
            <w:gridSpan w:val="2"/>
            <w:vMerge w:val="continue"/>
            <w:noWrap w:val="0"/>
            <w:vAlign w:val="center"/>
          </w:tcPr>
          <w:p w14:paraId="0369A864">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p>
        </w:tc>
        <w:tc>
          <w:tcPr>
            <w:tcW w:w="3857" w:type="dxa"/>
            <w:shd w:val="clear" w:color="auto" w:fill="auto"/>
            <w:noWrap w:val="0"/>
            <w:vAlign w:val="center"/>
          </w:tcPr>
          <w:p w14:paraId="33C8012E">
            <w:pPr>
              <w:pStyle w:val="6"/>
              <w:wordWrap w:val="0"/>
              <w:adjustRightInd w:val="0"/>
              <w:snapToGrid w:val="0"/>
              <w:spacing w:line="276" w:lineRule="auto"/>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 xml:space="preserve">近 </w:t>
            </w:r>
            <w:r>
              <w:rPr>
                <w:rFonts w:hint="eastAsia" w:asciiTheme="minorEastAsia" w:hAnsiTheme="minorEastAsia" w:eastAsiaTheme="minorEastAsia" w:cstheme="minorEastAsia"/>
                <w:snapToGrid w:val="0"/>
                <w:color w:val="auto"/>
                <w:kern w:val="0"/>
                <w:sz w:val="24"/>
                <w:szCs w:val="24"/>
                <w:highlight w:val="none"/>
                <w:lang w:val="en-US" w:eastAsia="zh-CN"/>
              </w:rPr>
              <w:t>5</w:t>
            </w:r>
            <w:r>
              <w:rPr>
                <w:rFonts w:hint="eastAsia" w:asciiTheme="minorEastAsia" w:hAnsiTheme="minorEastAsia" w:eastAsiaTheme="minorEastAsia" w:cstheme="minorEastAsia"/>
                <w:snapToGrid w:val="0"/>
                <w:color w:val="auto"/>
                <w:kern w:val="0"/>
                <w:sz w:val="24"/>
                <w:szCs w:val="24"/>
                <w:highlight w:val="none"/>
              </w:rPr>
              <w:t xml:space="preserve"> 年来（</w:t>
            </w:r>
            <w:r>
              <w:rPr>
                <w:rFonts w:hint="eastAsia" w:asciiTheme="minorEastAsia" w:hAnsiTheme="minorEastAsia" w:eastAsiaTheme="minorEastAsia" w:cstheme="minorEastAsia"/>
                <w:snapToGrid w:val="0"/>
                <w:color w:val="auto"/>
                <w:kern w:val="0"/>
                <w:sz w:val="24"/>
                <w:szCs w:val="24"/>
                <w:highlight w:val="none"/>
                <w:lang w:val="en-US" w:eastAsia="zh-CN"/>
              </w:rPr>
              <w:t>2021</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lang w:eastAsia="zh-CN"/>
              </w:rPr>
              <w:t>至今</w:t>
            </w:r>
            <w:r>
              <w:rPr>
                <w:rFonts w:hint="eastAsia" w:asciiTheme="minorEastAsia" w:hAnsiTheme="minorEastAsia" w:eastAsiaTheme="minorEastAsia" w:cstheme="minorEastAsia"/>
                <w:snapToGrid w:val="0"/>
                <w:color w:val="auto"/>
                <w:kern w:val="0"/>
                <w:sz w:val="24"/>
                <w:szCs w:val="24"/>
                <w:highlight w:val="none"/>
              </w:rPr>
              <w:t>）</w:t>
            </w:r>
            <w:r>
              <w:rPr>
                <w:rFonts w:hint="eastAsia" w:asciiTheme="minorEastAsia" w:hAnsiTheme="minorEastAsia" w:eastAsiaTheme="minorEastAsia" w:cstheme="minorEastAsia"/>
                <w:snapToGrid w:val="0"/>
                <w:color w:val="auto"/>
                <w:kern w:val="0"/>
                <w:sz w:val="24"/>
                <w:szCs w:val="24"/>
                <w:highlight w:val="none"/>
                <w:lang w:eastAsia="zh-CN"/>
              </w:rPr>
              <w:t>未被国家或地方“根治欠薪线索反映平台</w:t>
            </w:r>
            <w:r>
              <w:rPr>
                <w:rFonts w:hint="eastAsia" w:asciiTheme="minorEastAsia" w:hAnsiTheme="minorEastAsia" w:eastAsiaTheme="minorEastAsia" w:cstheme="minorEastAsia"/>
                <w:snapToGrid w:val="0"/>
                <w:color w:val="auto"/>
                <w:kern w:val="0"/>
                <w:sz w:val="24"/>
                <w:szCs w:val="24"/>
                <w:highlight w:val="none"/>
                <w:lang w:val="en-US" w:eastAsia="zh-CN"/>
              </w:rPr>
              <w:t>-</w:t>
            </w:r>
            <w:r>
              <w:rPr>
                <w:rFonts w:hint="eastAsia" w:asciiTheme="minorEastAsia" w:hAnsiTheme="minorEastAsia" w:eastAsiaTheme="minorEastAsia" w:cstheme="minorEastAsia"/>
                <w:snapToGrid w:val="0"/>
                <w:color w:val="auto"/>
                <w:kern w:val="0"/>
                <w:sz w:val="24"/>
                <w:szCs w:val="24"/>
                <w:highlight w:val="none"/>
                <w:lang w:eastAsia="zh-CN"/>
              </w:rPr>
              <w:t>工程建设领域拖欠工资线索反映”登记有欠薪反映记录且经人社部门核实情况属实，或未发现在其他行政监管部门有过欠薪行为公示</w:t>
            </w:r>
            <w:r>
              <w:rPr>
                <w:rFonts w:hint="eastAsia" w:asciiTheme="minorEastAsia" w:hAnsiTheme="minorEastAsia" w:eastAsiaTheme="minorEastAsia" w:cstheme="minorEastAsia"/>
                <w:snapToGrid w:val="0"/>
                <w:color w:val="auto"/>
                <w:kern w:val="0"/>
                <w:sz w:val="24"/>
                <w:szCs w:val="24"/>
                <w:highlight w:val="none"/>
              </w:rPr>
              <w:t>的</w:t>
            </w: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rPr>
              <w:t>得</w:t>
            </w:r>
            <w:r>
              <w:rPr>
                <w:rFonts w:hint="eastAsia" w:asciiTheme="minorEastAsia" w:hAnsiTheme="minorEastAsia" w:eastAsiaTheme="minorEastAsia" w:cstheme="minorEastAsia"/>
                <w:snapToGrid w:val="0"/>
                <w:color w:val="auto"/>
                <w:kern w:val="0"/>
                <w:sz w:val="24"/>
                <w:szCs w:val="24"/>
                <w:highlight w:val="none"/>
                <w:lang w:val="en-US" w:eastAsia="zh-CN"/>
              </w:rPr>
              <w:t>5</w:t>
            </w:r>
            <w:r>
              <w:rPr>
                <w:rFonts w:hint="eastAsia" w:asciiTheme="minorEastAsia" w:hAnsiTheme="minorEastAsia" w:eastAsiaTheme="minorEastAsia" w:cstheme="minorEastAsia"/>
                <w:snapToGrid w:val="0"/>
                <w:color w:val="auto"/>
                <w:kern w:val="0"/>
                <w:sz w:val="24"/>
                <w:szCs w:val="24"/>
                <w:highlight w:val="none"/>
              </w:rPr>
              <w:t>分；</w:t>
            </w:r>
          </w:p>
          <w:p w14:paraId="591A2319">
            <w:pPr>
              <w:pStyle w:val="6"/>
              <w:wordWrap w:val="0"/>
              <w:adjustRightInd w:val="0"/>
              <w:snapToGrid w:val="0"/>
              <w:spacing w:line="276" w:lineRule="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2.</w:t>
            </w:r>
            <w:r>
              <w:rPr>
                <w:rFonts w:hint="eastAsia" w:asciiTheme="minorEastAsia" w:hAnsiTheme="minorEastAsia" w:eastAsiaTheme="minorEastAsia" w:cstheme="minorEastAsia"/>
                <w:snapToGrid w:val="0"/>
                <w:color w:val="auto"/>
                <w:kern w:val="0"/>
                <w:sz w:val="24"/>
                <w:szCs w:val="24"/>
                <w:highlight w:val="none"/>
              </w:rPr>
              <w:t>其他情形的，不予计分</w:t>
            </w:r>
            <w:r>
              <w:rPr>
                <w:rFonts w:hint="eastAsia" w:asciiTheme="minorEastAsia" w:hAnsiTheme="minorEastAsia" w:eastAsiaTheme="minorEastAsia" w:cstheme="minorEastAsia"/>
                <w:snapToGrid w:val="0"/>
                <w:color w:val="auto"/>
                <w:kern w:val="0"/>
                <w:sz w:val="24"/>
                <w:szCs w:val="24"/>
                <w:highlight w:val="none"/>
                <w:lang w:eastAsia="zh-CN"/>
              </w:rPr>
              <w:t>。</w:t>
            </w:r>
          </w:p>
          <w:p w14:paraId="7359EEE2">
            <w:pPr>
              <w:pStyle w:val="6"/>
              <w:wordWrap w:val="0"/>
              <w:adjustRightInd w:val="0"/>
              <w:snapToGrid w:val="0"/>
              <w:spacing w:line="276" w:lineRule="auto"/>
              <w:rPr>
                <w:rFonts w:hint="eastAsia" w:asciiTheme="minorEastAsia" w:hAnsiTheme="minorEastAsia" w:eastAsiaTheme="minorEastAsia" w:cstheme="minorEastAsia"/>
                <w:snapToGrid w:val="0"/>
                <w:color w:val="auto"/>
                <w:kern w:val="0"/>
                <w:sz w:val="24"/>
                <w:szCs w:val="24"/>
                <w:highlight w:val="none"/>
                <w:lang w:val="en-US" w:eastAsia="en-US"/>
              </w:rPr>
            </w:pPr>
            <w:r>
              <w:rPr>
                <w:rFonts w:hint="eastAsia" w:ascii="宋体" w:hAnsi="宋体" w:eastAsia="宋体" w:cs="宋体"/>
                <w:snapToGrid w:val="0"/>
                <w:color w:val="auto"/>
                <w:kern w:val="0"/>
                <w:sz w:val="24"/>
                <w:szCs w:val="24"/>
                <w:highlight w:val="none"/>
                <w:lang w:val="en-US" w:eastAsia="en-US" w:bidi="ar-SA"/>
              </w:rPr>
              <w:t>本项最高得</w:t>
            </w:r>
            <w:r>
              <w:rPr>
                <w:rFonts w:hint="eastAsia" w:ascii="宋体" w:hAnsi="宋体" w:eastAsia="宋体" w:cs="宋体"/>
                <w:snapToGrid w:val="0"/>
                <w:color w:val="auto"/>
                <w:kern w:val="0"/>
                <w:sz w:val="24"/>
                <w:szCs w:val="24"/>
                <w:highlight w:val="none"/>
                <w:lang w:val="en-US" w:eastAsia="zh-CN" w:bidi="ar-SA"/>
              </w:rPr>
              <w:t>5</w:t>
            </w:r>
            <w:r>
              <w:rPr>
                <w:rFonts w:hint="eastAsia" w:ascii="宋体" w:hAnsi="宋体" w:eastAsia="宋体" w:cs="宋体"/>
                <w:snapToGrid w:val="0"/>
                <w:color w:val="auto"/>
                <w:kern w:val="0"/>
                <w:sz w:val="24"/>
                <w:szCs w:val="24"/>
                <w:highlight w:val="none"/>
                <w:lang w:val="en-US" w:eastAsia="en-US" w:bidi="ar-SA"/>
              </w:rPr>
              <w:t>分。</w:t>
            </w:r>
          </w:p>
        </w:tc>
        <w:tc>
          <w:tcPr>
            <w:tcW w:w="4731" w:type="dxa"/>
            <w:shd w:val="clear" w:color="auto" w:fill="auto"/>
            <w:noWrap w:val="0"/>
            <w:vAlign w:val="center"/>
          </w:tcPr>
          <w:p w14:paraId="225FA9FC">
            <w:pPr>
              <w:pStyle w:val="6"/>
              <w:keepNext w:val="0"/>
              <w:keepLines/>
              <w:pageBreakBefore w:val="0"/>
              <w:widowControl/>
              <w:kinsoku/>
              <w:wordWrap w:val="0"/>
              <w:overflowPunct/>
              <w:topLinePunct/>
              <w:autoSpaceDE/>
              <w:autoSpaceDN/>
              <w:bidi w:val="0"/>
              <w:adjustRightInd w:val="0"/>
              <w:snapToGrid w:val="0"/>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投标人需提供承诺书（格式自定）并加盖本单位公章。</w:t>
            </w:r>
          </w:p>
          <w:p w14:paraId="4DE6C3A8">
            <w:pPr>
              <w:pStyle w:val="6"/>
              <w:wordWrap w:val="0"/>
              <w:adjustRightInd w:val="0"/>
              <w:snapToGrid w:val="0"/>
              <w:spacing w:line="276" w:lineRule="auto"/>
              <w:rPr>
                <w:rFonts w:hint="eastAsia" w:asciiTheme="minorEastAsia" w:hAnsiTheme="minorEastAsia" w:eastAsiaTheme="minorEastAsia" w:cstheme="minorEastAsia"/>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lang w:val="en-US" w:eastAsia="zh-CN"/>
              </w:rPr>
              <w:t>2.投标人</w:t>
            </w:r>
            <w:r>
              <w:rPr>
                <w:rFonts w:hint="eastAsia" w:ascii="宋体" w:hAnsi="宋体" w:eastAsia="宋体" w:cs="宋体"/>
                <w:color w:val="auto"/>
                <w:sz w:val="24"/>
                <w:szCs w:val="24"/>
                <w:highlight w:val="none"/>
                <w:lang w:eastAsia="zh-CN"/>
              </w:rPr>
              <w:t>未提供承诺书并加盖本单位公章的，不予计分。</w:t>
            </w:r>
          </w:p>
        </w:tc>
      </w:tr>
      <w:tr w14:paraId="6880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85" w:type="dxa"/>
            <w:gridSpan w:val="4"/>
            <w:shd w:val="clear" w:color="auto" w:fill="D9D9D9"/>
            <w:noWrap w:val="0"/>
            <w:vAlign w:val="center"/>
          </w:tcPr>
          <w:p w14:paraId="59F35490">
            <w:pPr>
              <w:pStyle w:val="6"/>
              <w:keepNext w:val="0"/>
              <w:keepLines/>
              <w:pageBreakBefore w:val="0"/>
              <w:widowControl/>
              <w:kinsoku/>
              <w:wordWrap w:val="0"/>
              <w:overflowPunct/>
              <w:topLinePunct/>
              <w:autoSpaceDE/>
              <w:autoSpaceDN/>
              <w:bidi w:val="0"/>
              <w:adjustRightInd w:val="0"/>
              <w:snapToGrid w:val="0"/>
              <w:spacing w:line="400" w:lineRule="exact"/>
              <w:jc w:val="left"/>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技术部分（施工组织设计），满分：</w:t>
            </w:r>
            <w:r>
              <w:rPr>
                <w:rFonts w:hint="eastAsia" w:ascii="宋体" w:hAnsi="宋体" w:eastAsia="宋体" w:cs="宋体"/>
                <w:b/>
                <w:bCs/>
                <w:snapToGrid w:val="0"/>
                <w:color w:val="auto"/>
                <w:kern w:val="0"/>
                <w:sz w:val="24"/>
                <w:szCs w:val="24"/>
                <w:highlight w:val="none"/>
                <w:u w:val="single"/>
              </w:rPr>
              <w:t xml:space="preserve"> 20 </w:t>
            </w:r>
            <w:r>
              <w:rPr>
                <w:rFonts w:hint="eastAsia" w:ascii="宋体" w:hAnsi="宋体" w:eastAsia="宋体" w:cs="宋体"/>
                <w:b/>
                <w:bCs/>
                <w:snapToGrid w:val="0"/>
                <w:color w:val="auto"/>
                <w:kern w:val="0"/>
                <w:sz w:val="24"/>
                <w:szCs w:val="24"/>
                <w:highlight w:val="none"/>
              </w:rPr>
              <w:t>分。</w:t>
            </w:r>
          </w:p>
        </w:tc>
      </w:tr>
      <w:tr w14:paraId="6736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67C6ED3B">
            <w:pPr>
              <w:pStyle w:val="6"/>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评分因素</w:t>
            </w:r>
          </w:p>
        </w:tc>
        <w:tc>
          <w:tcPr>
            <w:tcW w:w="3857" w:type="dxa"/>
            <w:noWrap w:val="0"/>
            <w:vAlign w:val="center"/>
          </w:tcPr>
          <w:p w14:paraId="563AD5C4">
            <w:pPr>
              <w:pStyle w:val="6"/>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评分标准</w:t>
            </w:r>
          </w:p>
        </w:tc>
        <w:tc>
          <w:tcPr>
            <w:tcW w:w="4731" w:type="dxa"/>
            <w:noWrap w:val="0"/>
            <w:vAlign w:val="center"/>
          </w:tcPr>
          <w:p w14:paraId="3A9DF52A">
            <w:pPr>
              <w:pStyle w:val="6"/>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w:t>
            </w:r>
          </w:p>
        </w:tc>
      </w:tr>
      <w:tr w14:paraId="6A44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3F24F7A5">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总体概述</w:t>
            </w:r>
          </w:p>
          <w:p w14:paraId="30688C50">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（3分）</w:t>
            </w:r>
          </w:p>
        </w:tc>
        <w:tc>
          <w:tcPr>
            <w:tcW w:w="3857" w:type="dxa"/>
            <w:noWrap w:val="0"/>
            <w:vAlign w:val="center"/>
          </w:tcPr>
          <w:p w14:paraId="3364BF39">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4C6969B5">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554DC88C">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0DCD8E7D">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5ACFFFA7">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【优】对项目总体有深刻认识，表述清晰、完整、严谨、合理，措施先进、具体、有效、成熟，采用了新技术、新工艺、新材料、新设备；施工段划分呼应总体表述，划分清晰、合理，符合规范要求。</w:t>
            </w:r>
          </w:p>
          <w:p w14:paraId="3F0404F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【良】对项目总体有一定认识，表述清晰、完整，措施具体有效；施工段划分呼应总体表述，划分清晰，符合规范要求。</w:t>
            </w:r>
          </w:p>
          <w:p w14:paraId="00342E82">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【中】对项目总体有认识，有一定的措施但部分不具体；施工段划分较合理，符合规范要求。</w:t>
            </w:r>
          </w:p>
          <w:p w14:paraId="7F1021FF">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【差】对项目认识不足，表述不清晰，措施不具体；施工段划分不合理。</w:t>
            </w:r>
          </w:p>
        </w:tc>
      </w:tr>
      <w:tr w14:paraId="4322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4C247CBD">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施工总进度计划及保证措施（3分）</w:t>
            </w:r>
          </w:p>
        </w:tc>
        <w:tc>
          <w:tcPr>
            <w:tcW w:w="3857" w:type="dxa"/>
            <w:noWrap w:val="0"/>
            <w:vAlign w:val="center"/>
          </w:tcPr>
          <w:p w14:paraId="770266B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5CCDB91D">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1D30E43F">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34E7AFEE">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71C0E691">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【优】关键线路清晰、准确、完整，计划编制合理、可行。关键节点的控制措施有力、合理、可行。人、材、机需求和进场计划与进度计划相呼应，较</w:t>
            </w:r>
            <w:r>
              <w:rPr>
                <w:rFonts w:hint="eastAsia" w:ascii="宋体" w:hAnsi="宋体" w:eastAsia="宋体" w:cs="宋体"/>
                <w:color w:val="auto"/>
                <w:sz w:val="24"/>
                <w:szCs w:val="24"/>
                <w:highlight w:val="none"/>
                <w:lang w:eastAsia="zh-CN"/>
              </w:rPr>
              <w:t>好地</w:t>
            </w:r>
            <w:r>
              <w:rPr>
                <w:rFonts w:hint="eastAsia" w:ascii="宋体" w:hAnsi="宋体" w:eastAsia="宋体" w:cs="宋体"/>
                <w:color w:val="auto"/>
                <w:sz w:val="24"/>
                <w:szCs w:val="24"/>
                <w:highlight w:val="none"/>
              </w:rPr>
              <w:t>满足施工需要，调配投入计划合理、准确。进度违约责任承诺具体，经济赔偿合理。</w:t>
            </w:r>
          </w:p>
          <w:p w14:paraId="2862C9EE">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0D90024E">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14:paraId="0E8B8B28">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【差】关键线路不准确，计划编制不合理。关键节点的控制不可行。人、材、机需求和进场计划与进度计划不相呼应，不能满足施工需要。没有违约责任承诺。</w:t>
            </w:r>
          </w:p>
        </w:tc>
      </w:tr>
      <w:tr w14:paraId="2310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16E577F4">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质量保证措施（4分）</w:t>
            </w:r>
          </w:p>
        </w:tc>
        <w:tc>
          <w:tcPr>
            <w:tcW w:w="3857" w:type="dxa"/>
            <w:noWrap w:val="0"/>
            <w:vAlign w:val="center"/>
          </w:tcPr>
          <w:p w14:paraId="011A6D61">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63DC1E8D">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1208DA36">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11AA088C">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060958B8">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【优】应用新技术、新工艺、新材料、新设备，针对项目实际提出先进、可行、具体的保证措施。超过招标文件的质量要求。</w:t>
            </w:r>
          </w:p>
          <w:p w14:paraId="230F3AF2">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【良】针对项目实际提出先进、可行、具体的保证措施。满足招标文件的质量要求。</w:t>
            </w:r>
          </w:p>
          <w:p w14:paraId="4DE78161">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【中】具体措施可行。满足招标文件的质量要求。</w:t>
            </w:r>
          </w:p>
          <w:p w14:paraId="460CE27D">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【差】措施不可行，没有质量违约责任承诺。</w:t>
            </w:r>
          </w:p>
        </w:tc>
      </w:tr>
      <w:tr w14:paraId="0655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313E0CE5">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施工技术措施（2分）</w:t>
            </w:r>
          </w:p>
        </w:tc>
        <w:tc>
          <w:tcPr>
            <w:tcW w:w="3857" w:type="dxa"/>
            <w:noWrap w:val="0"/>
            <w:vAlign w:val="center"/>
          </w:tcPr>
          <w:p w14:paraId="4ABCA704">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6EE83A36">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0216168A">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34221D49">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583FBC4A">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2612C1CA">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5B403FA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38C200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【差】对项目关键技术有表述，对重点、难点有建议，解决方案不可行。采用的新技术针对性不强或验证材料不可靠，对节约投资、工期没有具体收益。无违约责任承诺。</w:t>
            </w:r>
          </w:p>
        </w:tc>
      </w:tr>
      <w:tr w14:paraId="3AD8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7907D147">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绿色施工、安全防护、文明施工措施计划（3分）</w:t>
            </w:r>
          </w:p>
        </w:tc>
        <w:tc>
          <w:tcPr>
            <w:tcW w:w="3857" w:type="dxa"/>
            <w:noWrap w:val="0"/>
            <w:vAlign w:val="center"/>
          </w:tcPr>
          <w:p w14:paraId="20742B3E">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3FA481DE">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51FE07BC">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7025385D">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7F9CDDDA">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【优】针对项目实际情况，有先进、具体、完整、可行的措施，采用规范准确、清晰。</w:t>
            </w:r>
          </w:p>
          <w:p w14:paraId="3511044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【良】针对项目实际情况，有合理的措施且具体、完整，采用规范准确。</w:t>
            </w:r>
          </w:p>
          <w:p w14:paraId="35DAB90A">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【中】有基本合理的措施，采用规范准确。</w:t>
            </w:r>
          </w:p>
          <w:p w14:paraId="4E6509A5">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【差】措施不力，采用规范不正确。</w:t>
            </w:r>
          </w:p>
        </w:tc>
      </w:tr>
      <w:tr w14:paraId="6E14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0E00343C">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施工平面布置和临时设施布置</w:t>
            </w:r>
          </w:p>
          <w:p w14:paraId="5611E644">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（2分）</w:t>
            </w:r>
          </w:p>
        </w:tc>
        <w:tc>
          <w:tcPr>
            <w:tcW w:w="3857" w:type="dxa"/>
            <w:noWrap w:val="0"/>
            <w:vAlign w:val="center"/>
          </w:tcPr>
          <w:p w14:paraId="449218FB">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0CA08352">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6D316FBC">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1B2929F4">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4735D05F">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【优】总体布置有针对性、合理，较</w:t>
            </w:r>
            <w:r>
              <w:rPr>
                <w:rFonts w:hint="eastAsia" w:ascii="宋体" w:hAnsi="宋体" w:eastAsia="宋体" w:cs="宋体"/>
                <w:color w:val="auto"/>
                <w:sz w:val="24"/>
                <w:szCs w:val="24"/>
                <w:highlight w:val="none"/>
                <w:lang w:eastAsia="zh-CN"/>
              </w:rPr>
              <w:t>好地</w:t>
            </w:r>
            <w:r>
              <w:rPr>
                <w:rFonts w:hint="eastAsia" w:ascii="宋体" w:hAnsi="宋体" w:eastAsia="宋体" w:cs="宋体"/>
                <w:color w:val="auto"/>
                <w:sz w:val="24"/>
                <w:szCs w:val="24"/>
                <w:highlight w:val="none"/>
              </w:rPr>
              <w:t>满足施工需要，符合绿色施工、安全防护、文明施工要求。</w:t>
            </w:r>
          </w:p>
          <w:p w14:paraId="624B17DC">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【良】总体布置合理，能满足施工需要，基本符合绿色施工、安全防护、文明施工要求。</w:t>
            </w:r>
          </w:p>
          <w:p w14:paraId="717547E3">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【中】总体布置基本合理，基本满足施工需要。</w:t>
            </w:r>
          </w:p>
          <w:p w14:paraId="6EAE0F04">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【差】总体布置不合理，不符合绿色施工、安全防护、文明施工要求。</w:t>
            </w:r>
          </w:p>
        </w:tc>
      </w:tr>
      <w:tr w14:paraId="2EE0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7B7B587A">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项目管理机构（3分）</w:t>
            </w:r>
          </w:p>
        </w:tc>
        <w:tc>
          <w:tcPr>
            <w:tcW w:w="3857" w:type="dxa"/>
            <w:noWrap w:val="0"/>
            <w:vAlign w:val="center"/>
          </w:tcPr>
          <w:p w14:paraId="475ABEE8">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46CA63D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4043350F">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38A94BF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4A0DE2A6">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组织机构形式合理，有完善的指挥系统，生产及质量、绿色施工、安全、文明施工、创优达标监控系统、联络协调系统，项目管理人员内高级职称人员20%（含20%）以上、中级职称人员及以上职称60%（含60%）以上。</w:t>
            </w:r>
          </w:p>
          <w:p w14:paraId="1EA3E8EB">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组织机构形式合理，指挥系统，生产及质量、绿色施工、安全、文明施工、创优达标监控系统、联络协调系统齐全，项目管理人员内高级职称人员15%～20%（含15%）、中级职称及以上职称人员50%～60%（含50%）。</w:t>
            </w:r>
          </w:p>
          <w:p w14:paraId="42D17BE4">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组织机构形式基本合理，有指挥系统，生产及质量、绿色施工、安全、文明施工、创优达标监控系统、联络协调系统，项目管理人员内高级职称人员10%～15%（含10%）、中级职称人员及以上职称40%～50%（含40%）。</w:t>
            </w:r>
          </w:p>
          <w:p w14:paraId="7171E247">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【差】组织机构形式合理，指挥系统，生产及质量、绿色施工、安全、文明施工、创优达标监控系统、联络协调系统不齐全，项目管理人员内高级职称人员10%以下、中级职称人员及以上职称40%以下。</w:t>
            </w:r>
          </w:p>
        </w:tc>
      </w:tr>
      <w:tr w14:paraId="249D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85" w:type="dxa"/>
            <w:gridSpan w:val="4"/>
            <w:shd w:val="clear" w:color="auto" w:fill="D9D9D9"/>
            <w:noWrap w:val="0"/>
            <w:vAlign w:val="center"/>
          </w:tcPr>
          <w:p w14:paraId="362C6D8B">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投标报价部分，满分：100分。</w:t>
            </w:r>
          </w:p>
        </w:tc>
      </w:tr>
      <w:tr w14:paraId="4837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60" w:type="dxa"/>
            <w:noWrap w:val="0"/>
            <w:vAlign w:val="center"/>
          </w:tcPr>
          <w:p w14:paraId="46FDE6AB">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评分事项</w:t>
            </w:r>
          </w:p>
        </w:tc>
        <w:tc>
          <w:tcPr>
            <w:tcW w:w="8825" w:type="dxa"/>
            <w:gridSpan w:val="3"/>
            <w:noWrap w:val="0"/>
            <w:vAlign w:val="center"/>
          </w:tcPr>
          <w:p w14:paraId="148A35E7">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评分方法</w:t>
            </w:r>
          </w:p>
        </w:tc>
      </w:tr>
      <w:tr w14:paraId="1365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60" w:type="dxa"/>
            <w:noWrap w:val="0"/>
            <w:vAlign w:val="center"/>
          </w:tcPr>
          <w:p w14:paraId="62A7C6AC">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评标基准价D</w:t>
            </w:r>
          </w:p>
        </w:tc>
        <w:tc>
          <w:tcPr>
            <w:tcW w:w="8825" w:type="dxa"/>
            <w:gridSpan w:val="3"/>
            <w:noWrap w:val="0"/>
            <w:vAlign w:val="center"/>
          </w:tcPr>
          <w:p w14:paraId="4E2E9AEF">
            <w:pPr>
              <w:keepNext w:val="0"/>
              <w:keepLines/>
              <w:pageBreakBefore w:val="0"/>
              <w:widowControl/>
              <w:numPr>
                <w:ilvl w:val="0"/>
                <w:numId w:val="2"/>
              </w:numPr>
              <w:kinsoku/>
              <w:wordWrap w:val="0"/>
              <w:overflowPunct/>
              <w:topLinePunct/>
              <w:autoSpaceDE/>
              <w:autoSpaceDN/>
              <w:bidi w:val="0"/>
              <w:adjustRightInd w:val="0"/>
              <w:snapToGrid w:val="0"/>
              <w:spacing w:line="40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确定最高投标限价下浮系数n：用1～2</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号球分别代表一个下浮系数，由评委代表从这2</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次，每次抽取1个号码，抽出的号球不参与下次抽取。所抽取的3个号码对应下浮系数的算术平均值作为最高投标限价下浮系数n。具体号码对应的下浮系数详见下表：</w:t>
            </w:r>
          </w:p>
          <w:tbl>
            <w:tblPr>
              <w:tblStyle w:val="15"/>
              <w:tblW w:w="0" w:type="auto"/>
              <w:tblInd w:w="361" w:type="dxa"/>
              <w:tblLayout w:type="fixed"/>
              <w:tblCellMar>
                <w:top w:w="0" w:type="dxa"/>
                <w:left w:w="108" w:type="dxa"/>
                <w:bottom w:w="0" w:type="dxa"/>
                <w:right w:w="108" w:type="dxa"/>
              </w:tblCellMar>
            </w:tblPr>
            <w:tblGrid>
              <w:gridCol w:w="1603"/>
              <w:gridCol w:w="794"/>
              <w:gridCol w:w="830"/>
              <w:gridCol w:w="864"/>
              <w:gridCol w:w="848"/>
              <w:gridCol w:w="882"/>
              <w:gridCol w:w="829"/>
              <w:gridCol w:w="819"/>
            </w:tblGrid>
            <w:tr w14:paraId="34015AD7">
              <w:tblPrEx>
                <w:tblCellMar>
                  <w:top w:w="0" w:type="dxa"/>
                  <w:left w:w="108" w:type="dxa"/>
                  <w:bottom w:w="0" w:type="dxa"/>
                  <w:right w:w="108" w:type="dxa"/>
                </w:tblCellMar>
              </w:tblPrEx>
              <w:trPr>
                <w:trHeight w:val="248"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6E145824">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b/>
                      <w:snapToGrid w:val="0"/>
                      <w:color w:val="auto"/>
                      <w:kern w:val="0"/>
                      <w:sz w:val="24"/>
                      <w:szCs w:val="24"/>
                      <w:highlight w:val="none"/>
                    </w:rPr>
                  </w:pPr>
                  <w:r>
                    <w:rPr>
                      <w:rFonts w:hint="eastAsia" w:asciiTheme="minorEastAsia" w:hAnsiTheme="minorEastAsia" w:eastAsiaTheme="minorEastAsia" w:cstheme="minorEastAsia"/>
                      <w:bCs/>
                      <w:snapToGrid w:val="0"/>
                      <w:color w:val="auto"/>
                      <w:kern w:val="0"/>
                      <w:sz w:val="24"/>
                      <w:szCs w:val="24"/>
                      <w:highlight w:val="none"/>
                      <w:lang w:bidi="ar"/>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691CE06B">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233910F">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09E990E">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61B8515">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8D2D01B">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40E2C41">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0C54814">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7</w:t>
                  </w:r>
                </w:p>
              </w:tc>
            </w:tr>
            <w:tr w14:paraId="7D4A8D99">
              <w:tblPrEx>
                <w:tblCellMar>
                  <w:top w:w="0" w:type="dxa"/>
                  <w:left w:w="108" w:type="dxa"/>
                  <w:bottom w:w="0" w:type="dxa"/>
                  <w:right w:w="108" w:type="dxa"/>
                </w:tblCellMar>
              </w:tblPrEx>
              <w:trPr>
                <w:trHeight w:val="575"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06F08943">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下浮系数（</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snapToGrid w:val="0"/>
                      <w:color w:val="auto"/>
                      <w:kern w:val="0"/>
                      <w:sz w:val="24"/>
                      <w:szCs w:val="24"/>
                      <w:highlight w:val="none"/>
                      <w:lang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4E10BBCF">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5.00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26989E5">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5.25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26D93A1">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5.50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0007A784">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5.75</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AB2030B">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6.00</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70F175B">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6.25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BA81A03">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6.50</w:t>
                  </w:r>
                </w:p>
              </w:tc>
            </w:tr>
            <w:tr w14:paraId="73FBA318">
              <w:tblPrEx>
                <w:tblCellMar>
                  <w:top w:w="0" w:type="dxa"/>
                  <w:left w:w="108" w:type="dxa"/>
                  <w:bottom w:w="0" w:type="dxa"/>
                  <w:right w:w="108" w:type="dxa"/>
                </w:tblCellMar>
              </w:tblPrEx>
              <w:trPr>
                <w:trHeight w:val="515"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38C8BF6D">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b/>
                      <w:snapToGrid w:val="0"/>
                      <w:color w:val="auto"/>
                      <w:kern w:val="0"/>
                      <w:sz w:val="24"/>
                      <w:szCs w:val="24"/>
                      <w:highlight w:val="none"/>
                    </w:rPr>
                  </w:pPr>
                  <w:r>
                    <w:rPr>
                      <w:rFonts w:hint="eastAsia" w:asciiTheme="minorEastAsia" w:hAnsiTheme="minorEastAsia" w:eastAsiaTheme="minorEastAsia" w:cstheme="minorEastAsia"/>
                      <w:bCs/>
                      <w:snapToGrid w:val="0"/>
                      <w:color w:val="auto"/>
                      <w:kern w:val="0"/>
                      <w:sz w:val="24"/>
                      <w:szCs w:val="24"/>
                      <w:highlight w:val="none"/>
                      <w:lang w:bidi="ar"/>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679D659">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3EC17B8">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363F297">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DF90D98">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32E7A67B">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2A9E588">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D726CF5">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14</w:t>
                  </w:r>
                </w:p>
              </w:tc>
            </w:tr>
            <w:tr w14:paraId="0038DC2B">
              <w:tblPrEx>
                <w:tblCellMar>
                  <w:top w:w="0" w:type="dxa"/>
                  <w:left w:w="108" w:type="dxa"/>
                  <w:bottom w:w="0" w:type="dxa"/>
                  <w:right w:w="108" w:type="dxa"/>
                </w:tblCellMar>
              </w:tblPrEx>
              <w:trPr>
                <w:trHeight w:val="515"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2CEF8A56">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下浮系数（</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snapToGrid w:val="0"/>
                      <w:color w:val="auto"/>
                      <w:kern w:val="0"/>
                      <w:sz w:val="24"/>
                      <w:szCs w:val="24"/>
                      <w:highlight w:val="none"/>
                      <w:lang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326ADA5F">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6.75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85A1B5C">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7.00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BAFF796">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7.25</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E7C3ACA">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7.50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699B28A">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7.75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3B9338B">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8.00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D9B567A">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8.25</w:t>
                  </w:r>
                </w:p>
              </w:tc>
            </w:tr>
            <w:tr w14:paraId="675ECDEE">
              <w:tblPrEx>
                <w:tblCellMar>
                  <w:top w:w="0" w:type="dxa"/>
                  <w:left w:w="108" w:type="dxa"/>
                  <w:bottom w:w="0" w:type="dxa"/>
                  <w:right w:w="108" w:type="dxa"/>
                </w:tblCellMar>
              </w:tblPrEx>
              <w:trPr>
                <w:trHeight w:val="470"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01C79FA9">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b/>
                      <w:snapToGrid w:val="0"/>
                      <w:color w:val="auto"/>
                      <w:kern w:val="0"/>
                      <w:sz w:val="24"/>
                      <w:szCs w:val="24"/>
                      <w:highlight w:val="none"/>
                    </w:rPr>
                  </w:pPr>
                  <w:r>
                    <w:rPr>
                      <w:rFonts w:hint="eastAsia" w:asciiTheme="minorEastAsia" w:hAnsiTheme="minorEastAsia" w:eastAsiaTheme="minorEastAsia" w:cstheme="minorEastAsia"/>
                      <w:bCs/>
                      <w:snapToGrid w:val="0"/>
                      <w:color w:val="auto"/>
                      <w:kern w:val="0"/>
                      <w:sz w:val="24"/>
                      <w:szCs w:val="24"/>
                      <w:highlight w:val="none"/>
                      <w:lang w:bidi="ar"/>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4E34952">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6C66A69">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E0104C8">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80D63EF">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60CA240">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F1BCED9">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2C98F4F">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21</w:t>
                  </w:r>
                </w:p>
              </w:tc>
            </w:tr>
            <w:tr w14:paraId="585B80AE">
              <w:tblPrEx>
                <w:tblCellMar>
                  <w:top w:w="0" w:type="dxa"/>
                  <w:left w:w="108" w:type="dxa"/>
                  <w:bottom w:w="0" w:type="dxa"/>
                  <w:right w:w="108" w:type="dxa"/>
                </w:tblCellMar>
              </w:tblPrEx>
              <w:trPr>
                <w:trHeight w:val="600"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61DA4A2E">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下浮系数（</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snapToGrid w:val="0"/>
                      <w:color w:val="auto"/>
                      <w:kern w:val="0"/>
                      <w:sz w:val="24"/>
                      <w:szCs w:val="24"/>
                      <w:highlight w:val="none"/>
                      <w:lang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B87183E">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8.50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2045B12">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8.75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ABBE06D">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9.00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98D1E65">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9.25</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C294D16">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9.50</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9E18ACF">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9.75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504701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10.00</w:t>
                  </w:r>
                </w:p>
              </w:tc>
            </w:tr>
          </w:tbl>
          <w:p w14:paraId="7A030ED4">
            <w:pPr>
              <w:keepNext w:val="0"/>
              <w:keepLines/>
              <w:pageBreakBefore w:val="0"/>
              <w:widowControl/>
              <w:kinsoku/>
              <w:wordWrap w:val="0"/>
              <w:overflowPunct/>
              <w:topLinePunct/>
              <w:autoSpaceDE/>
              <w:autoSpaceDN/>
              <w:bidi w:val="0"/>
              <w:adjustRightInd w:val="0"/>
              <w:snapToGrid w:val="0"/>
              <w:spacing w:line="400" w:lineRule="exact"/>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tc>
      </w:tr>
      <w:tr w14:paraId="7DE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60" w:type="dxa"/>
            <w:noWrap w:val="0"/>
            <w:vAlign w:val="center"/>
          </w:tcPr>
          <w:p w14:paraId="53DCA757">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05E2891A">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得分N</w:t>
            </w:r>
          </w:p>
        </w:tc>
        <w:tc>
          <w:tcPr>
            <w:tcW w:w="8825" w:type="dxa"/>
            <w:gridSpan w:val="3"/>
            <w:noWrap w:val="0"/>
            <w:vAlign w:val="center"/>
          </w:tcPr>
          <w:p w14:paraId="612B5F3B">
            <w:pPr>
              <w:keepNext w:val="0"/>
              <w:keepLines/>
              <w:pageBreakBefore w:val="0"/>
              <w:widowControl/>
              <w:kinsoku/>
              <w:wordWrap w:val="0"/>
              <w:overflowPunct/>
              <w:topLinePunct/>
              <w:autoSpaceDE/>
              <w:autoSpaceDN/>
              <w:bidi w:val="0"/>
              <w:adjustRightInd w:val="0"/>
              <w:snapToGrid w:val="0"/>
              <w:spacing w:line="400" w:lineRule="exact"/>
              <w:ind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19ECD99A">
            <w:pPr>
              <w:keepNext w:val="0"/>
              <w:keepLines/>
              <w:pageBreakBefore w:val="0"/>
              <w:widowControl/>
              <w:kinsoku/>
              <w:wordWrap w:val="0"/>
              <w:overflowPunct/>
              <w:topLinePunct/>
              <w:autoSpaceDE/>
              <w:autoSpaceDN/>
              <w:bidi w:val="0"/>
              <w:adjustRightInd w:val="0"/>
              <w:snapToGrid w:val="0"/>
              <w:spacing w:line="400" w:lineRule="exact"/>
              <w:ind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100</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 Di</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D | ÷D</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×100×E</w:t>
            </w:r>
          </w:p>
          <w:p w14:paraId="3DA345F4">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式中：D为评标基准价；Di为某投标人的投标总价；E为扣分因子，当Di＞D时，E＝1；当Di＜D时，E＝0.5。</w:t>
            </w:r>
          </w:p>
        </w:tc>
      </w:tr>
    </w:tbl>
    <w:p w14:paraId="5BCA2282">
      <w:pPr>
        <w:rPr>
          <w:rFonts w:hint="eastAsia" w:ascii="宋体" w:hAnsi="宋体" w:eastAsia="宋体" w:cs="宋体"/>
          <w:b/>
          <w:bCs/>
          <w:color w:val="auto"/>
          <w:spacing w:val="-3"/>
          <w:sz w:val="24"/>
          <w:szCs w:val="24"/>
          <w:highlight w:val="none"/>
        </w:rPr>
      </w:pPr>
    </w:p>
    <w:p w14:paraId="35F9808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textAlignment w:val="baseline"/>
        <w:outlineLvl w:val="9"/>
        <w:rPr>
          <w:rFonts w:hint="eastAsia" w:ascii="宋体" w:hAnsi="宋体" w:eastAsia="宋体" w:cs="宋体"/>
          <w:b/>
          <w:bCs/>
          <w:color w:val="auto"/>
          <w:spacing w:val="-3"/>
          <w:sz w:val="24"/>
          <w:szCs w:val="24"/>
          <w:highlight w:val="none"/>
        </w:rPr>
      </w:pPr>
    </w:p>
    <w:p w14:paraId="7F239FA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textAlignment w:val="baseline"/>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0"/>
      <w:bookmarkEnd w:id="131"/>
      <w:bookmarkEnd w:id="132"/>
      <w:bookmarkEnd w:id="133"/>
    </w:p>
    <w:p w14:paraId="64EE9748">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564"/>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28A56747">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15E07226">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outlineLvl w:val="2"/>
        <w:rPr>
          <w:rFonts w:hint="eastAsia" w:ascii="宋体" w:hAnsi="宋体" w:eastAsia="宋体" w:cs="宋体"/>
          <w:color w:val="auto"/>
          <w:sz w:val="24"/>
          <w:szCs w:val="24"/>
          <w:highlight w:val="none"/>
        </w:rPr>
      </w:pPr>
      <w:bookmarkStart w:id="134" w:name="bookmark137"/>
      <w:bookmarkEnd w:id="134"/>
      <w:bookmarkStart w:id="135" w:name="_Toc16384"/>
      <w:bookmarkStart w:id="136" w:name="_Toc27758"/>
      <w:r>
        <w:rPr>
          <w:rFonts w:hint="eastAsia" w:ascii="宋体" w:hAnsi="宋体" w:eastAsia="宋体" w:cs="宋体"/>
          <w:b/>
          <w:bCs/>
          <w:color w:val="auto"/>
          <w:spacing w:val="-7"/>
          <w:sz w:val="24"/>
          <w:szCs w:val="24"/>
          <w:highlight w:val="none"/>
        </w:rPr>
        <w:t>16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7"/>
          <w:sz w:val="24"/>
          <w:szCs w:val="24"/>
          <w:highlight w:val="none"/>
        </w:rPr>
        <w:t>．中标候选人公示</w:t>
      </w:r>
      <w:bookmarkEnd w:id="135"/>
      <w:bookmarkEnd w:id="136"/>
    </w:p>
    <w:p w14:paraId="41CDC73C">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93"/>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1"/>
          <w:sz w:val="24"/>
          <w:szCs w:val="24"/>
          <w:highlight w:val="none"/>
        </w:rPr>
        <w:t xml:space="preserve">16.1 </w:t>
      </w:r>
      <w:r>
        <w:rPr>
          <w:rFonts w:hint="eastAsia" w:ascii="宋体" w:hAnsi="宋体" w:eastAsia="宋体" w:cs="宋体"/>
          <w:color w:val="auto"/>
          <w:spacing w:val="-5"/>
          <w:sz w:val="24"/>
          <w:szCs w:val="24"/>
          <w:highlight w:val="none"/>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zbtb.gd.gov.c n）、全国公共资源交易平台（广东省·韶关市）（https://ygp.gdzwfw.gov.cn/ggzy-porta l/#/440200/index）进行公示，公示期不得少于3天。</w:t>
      </w:r>
    </w:p>
    <w:p w14:paraId="1A25AA98">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93"/>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2"/>
          <w:sz w:val="24"/>
          <w:szCs w:val="24"/>
          <w:highlight w:val="none"/>
        </w:rPr>
        <w:t xml:space="preserve">16.2 </w:t>
      </w:r>
      <w:r>
        <w:rPr>
          <w:rFonts w:hint="eastAsia" w:ascii="宋体" w:hAnsi="宋体" w:eastAsia="宋体" w:cs="宋体"/>
          <w:color w:val="auto"/>
          <w:spacing w:val="-5"/>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如通过交易服务平台提出异议，投标人必须上传提交异议书扫描件（作为附件），异议书格式内容按照《韶关市工程建设项目招标投标活动异议和投诉处理办法》（韶法审〔2020〕19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44B646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16.3</w:t>
      </w:r>
      <w:r>
        <w:rPr>
          <w:rFonts w:hint="eastAsia" w:ascii="宋体" w:hAnsi="宋体" w:eastAsia="宋体" w:cs="宋体"/>
          <w:b/>
          <w:bCs/>
          <w:color w:val="auto"/>
          <w:spacing w:val="24"/>
          <w:w w:val="101"/>
          <w:sz w:val="24"/>
          <w:szCs w:val="24"/>
          <w:highlight w:val="none"/>
        </w:rPr>
        <w:t xml:space="preserve"> </w:t>
      </w:r>
      <w:r>
        <w:rPr>
          <w:rFonts w:hint="eastAsia" w:ascii="宋体" w:hAnsi="宋体" w:eastAsia="宋体" w:cs="宋体"/>
          <w:color w:val="auto"/>
          <w:spacing w:val="-5"/>
          <w:sz w:val="24"/>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3194723E">
      <w:pPr>
        <w:keepNext w:val="0"/>
        <w:keepLines w:val="0"/>
        <w:pageBreakBefore w:val="0"/>
        <w:widowControl w:val="0"/>
        <w:kinsoku/>
        <w:wordWrap w:val="0"/>
        <w:overflowPunct/>
        <w:topLinePunct/>
        <w:autoSpaceDE/>
        <w:autoSpaceDN/>
        <w:bidi w:val="0"/>
        <w:adjustRightInd w:val="0"/>
        <w:snapToGrid w:val="0"/>
        <w:spacing w:line="309" w:lineRule="auto"/>
        <w:ind w:right="84" w:rightChars="40"/>
        <w:rPr>
          <w:rFonts w:hint="eastAsia" w:ascii="宋体" w:hAnsi="宋体" w:eastAsia="宋体" w:cs="宋体"/>
          <w:color w:val="auto"/>
          <w:sz w:val="24"/>
          <w:szCs w:val="24"/>
          <w:highlight w:val="none"/>
        </w:rPr>
        <w:sectPr>
          <w:headerReference r:id="rId8" w:type="default"/>
          <w:footerReference r:id="rId9" w:type="default"/>
          <w:pgSz w:w="11906" w:h="16839"/>
          <w:pgMar w:top="1134" w:right="1193" w:bottom="1134" w:left="1253" w:header="0" w:footer="850" w:gutter="0"/>
          <w:pgBorders>
            <w:top w:val="none" w:sz="0" w:space="0"/>
            <w:left w:val="none" w:sz="0" w:space="0"/>
            <w:bottom w:val="none" w:sz="0" w:space="0"/>
            <w:right w:val="none" w:sz="0" w:space="0"/>
          </w:pgBorders>
          <w:cols w:space="720" w:num="1"/>
          <w:rtlGutter w:val="0"/>
          <w:docGrid w:linePitch="0" w:charSpace="0"/>
        </w:sectPr>
      </w:pPr>
    </w:p>
    <w:p w14:paraId="4DAC490E">
      <w:pPr>
        <w:keepNext w:val="0"/>
        <w:keepLines w:val="0"/>
        <w:pageBreakBefore w:val="0"/>
        <w:widowControl w:val="0"/>
        <w:kinsoku/>
        <w:wordWrap w:val="0"/>
        <w:overflowPunct/>
        <w:topLinePunct/>
        <w:autoSpaceDE/>
        <w:autoSpaceDN/>
        <w:bidi w:val="0"/>
        <w:adjustRightInd w:val="0"/>
        <w:snapToGrid w:val="0"/>
        <w:spacing w:before="78" w:line="220" w:lineRule="auto"/>
        <w:ind w:left="9" w:right="84" w:rightChars="40"/>
        <w:jc w:val="center"/>
        <w:outlineLvl w:val="1"/>
        <w:rPr>
          <w:rFonts w:hint="eastAsia" w:ascii="宋体" w:hAnsi="宋体" w:eastAsia="宋体" w:cs="宋体"/>
          <w:color w:val="auto"/>
          <w:sz w:val="24"/>
          <w:szCs w:val="24"/>
          <w:highlight w:val="none"/>
        </w:rPr>
      </w:pPr>
      <w:bookmarkStart w:id="137" w:name="bookmark138"/>
      <w:bookmarkEnd w:id="137"/>
      <w:bookmarkStart w:id="138" w:name="_Toc4267"/>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38"/>
    </w:p>
    <w:p w14:paraId="280DAD30">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highlight w:val="none"/>
        </w:rPr>
      </w:pPr>
    </w:p>
    <w:p w14:paraId="5B75AC09">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2AF16EFD">
      <w:pPr>
        <w:keepNext w:val="0"/>
        <w:keepLines w:val="0"/>
        <w:pageBreakBefore w:val="0"/>
        <w:widowControl w:val="0"/>
        <w:kinsoku/>
        <w:wordWrap w:val="0"/>
        <w:overflowPunct/>
        <w:topLinePunct/>
        <w:autoSpaceDE/>
        <w:autoSpaceDN/>
        <w:bidi w:val="0"/>
        <w:adjustRightInd w:val="0"/>
        <w:snapToGrid w:val="0"/>
        <w:spacing w:line="360" w:lineRule="auto"/>
        <w:ind w:left="495" w:right="84" w:rightChars="40"/>
        <w:textAlignment w:val="baseline"/>
        <w:outlineLvl w:val="2"/>
        <w:rPr>
          <w:rFonts w:hint="eastAsia" w:ascii="宋体" w:hAnsi="宋体" w:eastAsia="宋体" w:cs="宋体"/>
          <w:color w:val="auto"/>
          <w:sz w:val="24"/>
          <w:szCs w:val="24"/>
          <w:highlight w:val="none"/>
        </w:rPr>
      </w:pPr>
      <w:bookmarkStart w:id="139" w:name="_Toc3676"/>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39"/>
    </w:p>
    <w:p w14:paraId="412E27C5">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D298A3C">
      <w:pPr>
        <w:keepNext w:val="0"/>
        <w:keepLines w:val="0"/>
        <w:pageBreakBefore w:val="0"/>
        <w:widowControl w:val="0"/>
        <w:kinsoku/>
        <w:wordWrap w:val="0"/>
        <w:overflowPunct/>
        <w:topLinePunct/>
        <w:autoSpaceDE/>
        <w:autoSpaceDN/>
        <w:bidi w:val="0"/>
        <w:adjustRightInd w:val="0"/>
        <w:snapToGrid w:val="0"/>
        <w:spacing w:line="360" w:lineRule="auto"/>
        <w:ind w:left="50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（1）有本章第三节第</w:t>
      </w:r>
      <w:r>
        <w:rPr>
          <w:rFonts w:hint="eastAsia" w:ascii="宋体" w:hAnsi="宋体" w:eastAsia="宋体" w:cs="宋体"/>
          <w:color w:val="auto"/>
          <w:spacing w:val="-48"/>
          <w:sz w:val="24"/>
          <w:szCs w:val="24"/>
          <w:highlight w:val="none"/>
        </w:rPr>
        <w:t xml:space="preserve"> </w:t>
      </w:r>
      <w:r>
        <w:rPr>
          <w:rFonts w:hint="eastAsia" w:ascii="宋体" w:hAnsi="宋体" w:eastAsia="宋体" w:cs="宋体"/>
          <w:b/>
          <w:bCs/>
          <w:color w:val="auto"/>
          <w:spacing w:val="-2"/>
          <w:sz w:val="24"/>
          <w:szCs w:val="24"/>
          <w:highlight w:val="none"/>
        </w:rPr>
        <w:t xml:space="preserve">2.4 </w:t>
      </w:r>
      <w:r>
        <w:rPr>
          <w:rFonts w:hint="eastAsia" w:ascii="宋体" w:hAnsi="宋体" w:eastAsia="宋体" w:cs="宋体"/>
          <w:color w:val="auto"/>
          <w:spacing w:val="-2"/>
          <w:sz w:val="24"/>
          <w:szCs w:val="24"/>
          <w:highlight w:val="none"/>
        </w:rPr>
        <w:t>条“禁止投标条款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”规定的任何一种情形；</w:t>
      </w:r>
    </w:p>
    <w:p w14:paraId="4828073F">
      <w:pPr>
        <w:keepNext w:val="0"/>
        <w:keepLines w:val="0"/>
        <w:pageBreakBefore w:val="0"/>
        <w:widowControl w:val="0"/>
        <w:kinsoku/>
        <w:wordWrap w:val="0"/>
        <w:overflowPunct/>
        <w:topLinePunct/>
        <w:autoSpaceDE/>
        <w:autoSpaceDN/>
        <w:bidi w:val="0"/>
        <w:adjustRightInd w:val="0"/>
        <w:snapToGrid w:val="0"/>
        <w:spacing w:line="360" w:lineRule="auto"/>
        <w:ind w:left="50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（2）投标人资质不符合规定的；</w:t>
      </w:r>
    </w:p>
    <w:p w14:paraId="5EACCF5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（3）投标人名称与营业执照、资质证书、安全生产许可证</w:t>
      </w:r>
      <w:r>
        <w:rPr>
          <w:rFonts w:hint="eastAsia" w:ascii="宋体" w:hAnsi="宋体" w:eastAsia="宋体" w:cs="宋体"/>
          <w:color w:val="auto"/>
          <w:spacing w:val="1"/>
          <w:sz w:val="24"/>
          <w:szCs w:val="24"/>
          <w:highlight w:val="none"/>
          <w:lang w:eastAsia="zh-CN"/>
        </w:rPr>
        <w:t>、</w:t>
      </w:r>
      <w:r>
        <w:rPr>
          <w:rFonts w:hint="eastAsia" w:ascii="宋体" w:hAnsi="宋体" w:cs="宋体"/>
          <w:color w:val="auto"/>
          <w:sz w:val="24"/>
          <w:highlight w:val="none"/>
          <w:u w:val="none"/>
        </w:rPr>
        <w:t>《承装</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电力设施许可证》</w:t>
      </w:r>
      <w:r>
        <w:rPr>
          <w:rFonts w:hint="eastAsia" w:ascii="宋体" w:hAnsi="宋体" w:eastAsia="宋体" w:cs="宋体"/>
          <w:color w:val="auto"/>
          <w:spacing w:val="1"/>
          <w:sz w:val="24"/>
          <w:szCs w:val="24"/>
          <w:highlight w:val="none"/>
        </w:rPr>
        <w:t>上的企业名称相互不一致的；其资质证书、安全生产许可证不是由住房城乡建设主管部门颁发的</w:t>
      </w:r>
      <w:r>
        <w:rPr>
          <w:rFonts w:hint="eastAsia" w:ascii="宋体" w:hAnsi="宋体" w:eastAsia="宋体" w:cs="宋体"/>
          <w:color w:val="auto"/>
          <w:spacing w:val="1"/>
          <w:sz w:val="24"/>
          <w:szCs w:val="24"/>
          <w:highlight w:val="none"/>
          <w:lang w:eastAsia="zh-CN"/>
        </w:rPr>
        <w:t>，</w:t>
      </w:r>
      <w:r>
        <w:rPr>
          <w:rFonts w:hint="eastAsia" w:ascii="宋体" w:hAnsi="宋体" w:cs="宋体"/>
          <w:color w:val="auto"/>
          <w:sz w:val="24"/>
          <w:highlight w:val="none"/>
          <w:u w:val="none"/>
        </w:rPr>
        <w:t>《承装</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电力设施许可证》</w:t>
      </w:r>
      <w:r>
        <w:rPr>
          <w:rFonts w:hint="eastAsia" w:ascii="宋体" w:hAnsi="宋体" w:eastAsia="宋体" w:cs="宋体"/>
          <w:color w:val="auto"/>
          <w:spacing w:val="1"/>
          <w:sz w:val="24"/>
          <w:szCs w:val="24"/>
          <w:highlight w:val="none"/>
          <w:lang w:eastAsia="zh-CN"/>
        </w:rPr>
        <w:t>不是由国家能源局部门颁发的</w:t>
      </w:r>
      <w:r>
        <w:rPr>
          <w:rFonts w:hint="eastAsia" w:ascii="宋体" w:hAnsi="宋体" w:eastAsia="宋体" w:cs="宋体"/>
          <w:color w:val="auto"/>
          <w:spacing w:val="1"/>
          <w:sz w:val="24"/>
          <w:szCs w:val="24"/>
          <w:highlight w:val="none"/>
        </w:rPr>
        <w:t>；资质证书、安全生产许可证（含实时网页查询页，可参考网址 https://zlaq.mohurd.gov.cn/fwmh/bjxcjgl/fwmh/pages/construction_safety/qyaqscxkz/qyaqscxkz）被吊销、暂扣或不在有效期内的</w:t>
      </w:r>
      <w:r>
        <w:rPr>
          <w:rFonts w:hint="eastAsia" w:ascii="宋体" w:hAnsi="宋体" w:eastAsia="宋体" w:cs="宋体"/>
          <w:color w:val="auto"/>
          <w:spacing w:val="-1"/>
          <w:sz w:val="24"/>
          <w:szCs w:val="24"/>
          <w:highlight w:val="none"/>
        </w:rPr>
        <w:t>；</w:t>
      </w:r>
    </w:p>
    <w:p w14:paraId="718F8CB4">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注：投标人已经工商变更，但其企业资质证书、安全生产许可证</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《承装</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修、试</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电力设施许可证》的</w:t>
      </w:r>
      <w:r>
        <w:rPr>
          <w:rFonts w:hint="eastAsia" w:ascii="宋体" w:hAnsi="宋体" w:eastAsia="宋体" w:cs="宋体"/>
          <w:b/>
          <w:bCs/>
          <w:color w:val="auto"/>
          <w:spacing w:val="-5"/>
          <w:sz w:val="24"/>
          <w:szCs w:val="24"/>
          <w:highlight w:val="none"/>
        </w:rPr>
        <w:t>企业名称未完成</w:t>
      </w:r>
      <w:r>
        <w:rPr>
          <w:rFonts w:hint="eastAsia" w:ascii="宋体" w:hAnsi="宋体" w:eastAsia="宋体" w:cs="宋体"/>
          <w:b/>
          <w:bCs/>
          <w:color w:val="auto"/>
          <w:spacing w:val="-4"/>
          <w:sz w:val="24"/>
          <w:szCs w:val="24"/>
          <w:highlight w:val="none"/>
        </w:rPr>
        <w:t>变更的，不得否决其投标；投标人营业执照、资质证书、安全生产许可证</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《承装</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修、试</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电力设施许可证》之间登</w:t>
      </w:r>
      <w:r>
        <w:rPr>
          <w:rFonts w:hint="eastAsia" w:ascii="宋体" w:hAnsi="宋体" w:eastAsia="宋体" w:cs="宋体"/>
          <w:b/>
          <w:bCs/>
          <w:color w:val="auto"/>
          <w:spacing w:val="-5"/>
          <w:sz w:val="24"/>
          <w:szCs w:val="24"/>
          <w:highlight w:val="none"/>
        </w:rPr>
        <w:t>记的信</w:t>
      </w:r>
      <w:r>
        <w:rPr>
          <w:rFonts w:hint="eastAsia" w:ascii="宋体" w:hAnsi="宋体" w:eastAsia="宋体" w:cs="宋体"/>
          <w:b/>
          <w:bCs/>
          <w:color w:val="auto"/>
          <w:spacing w:val="-2"/>
          <w:sz w:val="24"/>
          <w:szCs w:val="24"/>
          <w:highlight w:val="none"/>
        </w:rPr>
        <w:t>息不一致，应当允许投标人澄清，不得直接否决其投</w:t>
      </w:r>
      <w:r>
        <w:rPr>
          <w:rFonts w:hint="eastAsia" w:ascii="宋体" w:hAnsi="宋体" w:eastAsia="宋体" w:cs="宋体"/>
          <w:b/>
          <w:bCs/>
          <w:color w:val="auto"/>
          <w:spacing w:val="-3"/>
          <w:sz w:val="24"/>
          <w:szCs w:val="24"/>
          <w:highlight w:val="none"/>
        </w:rPr>
        <w:t>标。</w:t>
      </w:r>
    </w:p>
    <w:p w14:paraId="0F5A84E8">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90"/>
        <w:textAlignment w:val="baseline"/>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（4）拟派项目经理、项目技术负责人、专职安全员的条件不符合规定的；拟派专</w:t>
      </w:r>
      <w:r>
        <w:rPr>
          <w:rFonts w:hint="eastAsia" w:ascii="宋体" w:hAnsi="宋体" w:eastAsia="宋体" w:cs="宋体"/>
          <w:color w:val="auto"/>
          <w:spacing w:val="-2"/>
          <w:sz w:val="24"/>
          <w:szCs w:val="24"/>
          <w:highlight w:val="none"/>
        </w:rPr>
        <w:t>职安全员数量不符合规</w:t>
      </w:r>
      <w:r>
        <w:rPr>
          <w:rFonts w:hint="eastAsia" w:ascii="宋体" w:hAnsi="宋体" w:eastAsia="宋体" w:cs="宋体"/>
          <w:color w:val="auto"/>
          <w:spacing w:val="1"/>
          <w:sz w:val="24"/>
          <w:szCs w:val="24"/>
          <w:highlight w:val="none"/>
        </w:rPr>
        <w:t>定的；项目技术负责人未在投标文件《项目技术负责人简历表》中签</w:t>
      </w:r>
      <w:r>
        <w:rPr>
          <w:rFonts w:hint="eastAsia" w:ascii="宋体" w:hAnsi="宋体" w:eastAsia="宋体" w:cs="宋体"/>
          <w:color w:val="auto"/>
          <w:spacing w:val="1"/>
          <w:sz w:val="24"/>
          <w:szCs w:val="24"/>
          <w:highlight w:val="none"/>
          <w:lang w:eastAsia="zh-CN"/>
        </w:rPr>
        <w:t>字确认。</w:t>
      </w:r>
    </w:p>
    <w:p w14:paraId="6BD07A90">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92"/>
        <w:jc w:val="both"/>
        <w:textAlignment w:val="baseline"/>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rPr>
        <w:t>温馨提示：建造师打印电子证书后，应在个人签名处手写本人签名，未手写签名或与签名图像笔迹不一致的，该电子证书无效。</w:t>
      </w:r>
    </w:p>
    <w:p w14:paraId="04339EB5">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（5）《项目经理简历表》中拟派项目经理与</w:t>
      </w:r>
      <w:r>
        <w:rPr>
          <w:rFonts w:hint="eastAsia" w:ascii="宋体" w:hAnsi="宋体" w:eastAsia="宋体" w:cs="宋体"/>
          <w:color w:val="auto"/>
          <w:spacing w:val="-2"/>
          <w:sz w:val="24"/>
          <w:szCs w:val="24"/>
          <w:highlight w:val="none"/>
        </w:rPr>
        <w:t>《开标一览表》不一致的；拟派的项目经理未在投标文件《项目经理简历表》中签字确认；一级建造师的注册证书不是国家住建部颁发的；二级建造师的电子注册证书不是</w:t>
      </w:r>
      <w:r>
        <w:rPr>
          <w:rFonts w:hint="eastAsia" w:ascii="宋体" w:hAnsi="宋体" w:eastAsia="宋体" w:cs="宋体"/>
          <w:color w:val="auto"/>
          <w:spacing w:val="-2"/>
          <w:sz w:val="24"/>
          <w:szCs w:val="24"/>
          <w:highlight w:val="none"/>
          <w:lang w:eastAsia="zh-CN"/>
        </w:rPr>
        <w:t>省住建厅</w:t>
      </w:r>
      <w:r>
        <w:rPr>
          <w:rFonts w:hint="eastAsia" w:ascii="宋体" w:hAnsi="宋体" w:eastAsia="宋体" w:cs="宋体"/>
          <w:color w:val="auto"/>
          <w:spacing w:val="-2"/>
          <w:sz w:val="24"/>
          <w:szCs w:val="24"/>
          <w:highlight w:val="none"/>
        </w:rPr>
        <w:t>颁发的；建造师的注册单位</w:t>
      </w:r>
      <w:r>
        <w:rPr>
          <w:rFonts w:hint="eastAsia" w:ascii="宋体" w:hAnsi="宋体" w:eastAsia="宋体" w:cs="宋体"/>
          <w:color w:val="auto"/>
          <w:spacing w:val="-8"/>
          <w:sz w:val="24"/>
          <w:szCs w:val="24"/>
          <w:highlight w:val="none"/>
        </w:rPr>
        <w:t>与投标人不一致的；项目管理班子组成人员的各类证书、证件、证明不在有效期内的（</w:t>
      </w:r>
      <w:r>
        <w:rPr>
          <w:rFonts w:hint="eastAsia" w:ascii="宋体" w:hAnsi="宋体" w:eastAsia="宋体" w:cs="宋体"/>
          <w:b/>
          <w:bCs/>
          <w:color w:val="auto"/>
          <w:spacing w:val="-8"/>
          <w:sz w:val="24"/>
          <w:szCs w:val="24"/>
          <w:highlight w:val="none"/>
        </w:rPr>
        <w:t>建造师注册证书不在使用有效期内的</w:t>
      </w:r>
      <w:r>
        <w:rPr>
          <w:rFonts w:hint="eastAsia" w:ascii="宋体" w:hAnsi="宋体" w:eastAsia="宋体" w:cs="宋体"/>
          <w:color w:val="auto"/>
          <w:spacing w:val="-8"/>
          <w:sz w:val="24"/>
          <w:szCs w:val="24"/>
          <w:highlight w:val="none"/>
        </w:rPr>
        <w:t>）；擅</w:t>
      </w:r>
      <w:r>
        <w:rPr>
          <w:rFonts w:hint="eastAsia" w:ascii="宋体" w:hAnsi="宋体" w:eastAsia="宋体" w:cs="宋体"/>
          <w:color w:val="auto"/>
          <w:spacing w:val="-2"/>
          <w:sz w:val="24"/>
          <w:szCs w:val="24"/>
          <w:highlight w:val="none"/>
        </w:rPr>
        <w:t>自修改、遗漏《项</w:t>
      </w:r>
      <w:r>
        <w:rPr>
          <w:rFonts w:hint="eastAsia" w:ascii="宋体" w:hAnsi="宋体" w:eastAsia="宋体" w:cs="宋体"/>
          <w:color w:val="auto"/>
          <w:spacing w:val="-3"/>
          <w:sz w:val="24"/>
          <w:szCs w:val="24"/>
          <w:highlight w:val="none"/>
        </w:rPr>
        <w:t>目经理任职声明》实质性内容的；</w:t>
      </w:r>
    </w:p>
    <w:p w14:paraId="7848904B">
      <w:pPr>
        <w:keepNext w:val="0"/>
        <w:keepLines w:val="0"/>
        <w:pageBreakBefore w:val="0"/>
        <w:widowControl w:val="0"/>
        <w:kinsoku/>
        <w:wordWrap w:val="0"/>
        <w:overflowPunct/>
        <w:topLinePunct/>
        <w:autoSpaceDE/>
        <w:autoSpaceDN/>
        <w:bidi w:val="0"/>
        <w:adjustRightInd w:val="0"/>
        <w:snapToGrid w:val="0"/>
        <w:spacing w:line="360" w:lineRule="auto"/>
        <w:ind w:left="28" w:right="84" w:rightChars="40" w:firstLine="46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注：投标人已经工商变更，但其员工执业资格注册证书的注册单</w:t>
      </w:r>
      <w:r>
        <w:rPr>
          <w:rFonts w:hint="eastAsia" w:ascii="宋体" w:hAnsi="宋体" w:eastAsia="宋体" w:cs="宋体"/>
          <w:b/>
          <w:bCs/>
          <w:color w:val="auto"/>
          <w:spacing w:val="-5"/>
          <w:sz w:val="24"/>
          <w:szCs w:val="24"/>
          <w:highlight w:val="none"/>
        </w:rPr>
        <w:t>位名称未完成变更的，不得否决其投标。</w:t>
      </w:r>
    </w:p>
    <w:p w14:paraId="2084B49D">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22" w:firstLineChars="181"/>
        <w:textAlignment w:val="baseline"/>
        <w:rPr>
          <w:rFonts w:hint="eastAsia" w:ascii="宋体" w:hAnsi="宋体" w:eastAsia="宋体" w:cs="宋体"/>
          <w:color w:val="auto"/>
          <w:sz w:val="24"/>
          <w:szCs w:val="24"/>
          <w:highlight w:val="none"/>
        </w:rPr>
      </w:pPr>
      <w:bookmarkStart w:id="140" w:name="OLE_LINK27"/>
      <w:r>
        <w:rPr>
          <w:rFonts w:hint="eastAsia" w:ascii="宋体" w:hAnsi="宋体" w:eastAsia="宋体" w:cs="宋体"/>
          <w:b/>
          <w:bCs/>
          <w:color w:val="auto"/>
          <w:spacing w:val="-4"/>
          <w:sz w:val="24"/>
          <w:szCs w:val="24"/>
          <w:highlight w:val="none"/>
        </w:rPr>
        <w:t>鉴于目前继续教育开展的实际情况，建筑和市政工程施工现场专</w:t>
      </w:r>
      <w:r>
        <w:rPr>
          <w:rFonts w:hint="eastAsia" w:ascii="宋体" w:hAnsi="宋体" w:eastAsia="宋体" w:cs="宋体"/>
          <w:b/>
          <w:bCs/>
          <w:color w:val="auto"/>
          <w:spacing w:val="-5"/>
          <w:sz w:val="24"/>
          <w:szCs w:val="24"/>
          <w:highlight w:val="none"/>
        </w:rPr>
        <w:t>业人员（例如：施</w:t>
      </w:r>
      <w:bookmarkStart w:id="141" w:name="bookmark139"/>
      <w:bookmarkEnd w:id="141"/>
      <w:r>
        <w:rPr>
          <w:rFonts w:hint="eastAsia" w:ascii="宋体" w:hAnsi="宋体" w:eastAsia="宋体" w:cs="宋体"/>
          <w:b/>
          <w:bCs/>
          <w:color w:val="auto"/>
          <w:spacing w:val="-2"/>
          <w:sz w:val="24"/>
          <w:szCs w:val="24"/>
          <w:highlight w:val="none"/>
        </w:rPr>
        <w:t>工员、质量员、材料员、资料员）的岗位证书或培训证书不审查其证书的有效期。</w:t>
      </w:r>
      <w:bookmarkEnd w:id="140"/>
    </w:p>
    <w:p w14:paraId="2902150F">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6</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联合体投标，未提交《联合体协议书》的；擅自修改、遗漏《联合体协议书》</w:t>
      </w:r>
      <w:r>
        <w:rPr>
          <w:rFonts w:hint="eastAsia" w:ascii="宋体" w:hAnsi="宋体" w:eastAsia="宋体" w:cs="宋体"/>
          <w:color w:val="auto"/>
          <w:spacing w:val="-8"/>
          <w:sz w:val="24"/>
          <w:szCs w:val="24"/>
          <w:highlight w:val="none"/>
        </w:rPr>
        <w:t>实质性</w:t>
      </w:r>
      <w:r>
        <w:rPr>
          <w:rFonts w:hint="eastAsia" w:ascii="宋体" w:hAnsi="宋体" w:eastAsia="宋体" w:cs="宋体"/>
          <w:color w:val="auto"/>
          <w:sz w:val="24"/>
          <w:szCs w:val="24"/>
          <w:highlight w:val="none"/>
        </w:rPr>
        <w:t>内容的；联合体成员的数量、资质不符合规定的；联合体成员同时以自己名义单独投标或者参加其他联合体投标的；</w:t>
      </w:r>
    </w:p>
    <w:p w14:paraId="1F86BC5E">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7</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投标人为外省建筑企业，但未提供“进粤企业和人员诚信信息登记平台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”企</w:t>
      </w:r>
      <w:r>
        <w:rPr>
          <w:rFonts w:hint="eastAsia" w:ascii="宋体" w:hAnsi="宋体" w:eastAsia="宋体" w:cs="宋体"/>
          <w:color w:val="auto"/>
          <w:spacing w:val="-1"/>
          <w:sz w:val="24"/>
          <w:szCs w:val="24"/>
          <w:highlight w:val="none"/>
        </w:rPr>
        <w:t>业和拟派人员信息情况打印页或网页截图的。</w:t>
      </w:r>
    </w:p>
    <w:p w14:paraId="010688EC">
      <w:pPr>
        <w:keepNext w:val="0"/>
        <w:keepLines w:val="0"/>
        <w:pageBreakBefore w:val="0"/>
        <w:widowControl w:val="0"/>
        <w:kinsoku/>
        <w:wordWrap w:val="0"/>
        <w:overflowPunct/>
        <w:topLinePunct/>
        <w:autoSpaceDE/>
        <w:autoSpaceDN/>
        <w:bidi w:val="0"/>
        <w:adjustRightInd w:val="0"/>
        <w:snapToGrid w:val="0"/>
        <w:spacing w:line="360" w:lineRule="auto"/>
        <w:ind w:left="477" w:right="84" w:rightChars="40"/>
        <w:textAlignment w:val="baseline"/>
        <w:outlineLvl w:val="2"/>
        <w:rPr>
          <w:rFonts w:hint="eastAsia" w:ascii="宋体" w:hAnsi="宋体" w:eastAsia="宋体" w:cs="宋体"/>
          <w:color w:val="auto"/>
          <w:sz w:val="24"/>
          <w:szCs w:val="24"/>
          <w:highlight w:val="none"/>
        </w:rPr>
      </w:pPr>
      <w:bookmarkStart w:id="142" w:name="_Toc2956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2"/>
    </w:p>
    <w:p w14:paraId="66CBFDA5">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w:t>
      </w:r>
      <w:r>
        <w:rPr>
          <w:rFonts w:hint="eastAsia" w:ascii="宋体" w:hAnsi="宋体" w:eastAsia="宋体" w:cs="宋体"/>
          <w:color w:val="auto"/>
          <w:spacing w:val="-8"/>
          <w:sz w:val="24"/>
          <w:szCs w:val="24"/>
          <w:highlight w:val="none"/>
        </w:rPr>
        <w:t>评审</w:t>
      </w:r>
      <w:r>
        <w:rPr>
          <w:rFonts w:hint="eastAsia" w:ascii="宋体" w:hAnsi="宋体" w:eastAsia="宋体" w:cs="宋体"/>
          <w:color w:val="auto"/>
          <w:spacing w:val="-2"/>
          <w:sz w:val="24"/>
          <w:szCs w:val="24"/>
          <w:highlight w:val="none"/>
        </w:rPr>
        <w:t>环节。</w:t>
      </w:r>
    </w:p>
    <w:p w14:paraId="623F64A7">
      <w:pPr>
        <w:keepNext w:val="0"/>
        <w:keepLines w:val="0"/>
        <w:pageBreakBefore w:val="0"/>
        <w:widowControl w:val="0"/>
        <w:kinsoku/>
        <w:wordWrap w:val="0"/>
        <w:overflowPunct/>
        <w:topLinePunct/>
        <w:autoSpaceDE/>
        <w:autoSpaceDN/>
        <w:bidi w:val="0"/>
        <w:adjustRightInd w:val="0"/>
        <w:snapToGrid w:val="0"/>
        <w:spacing w:line="360" w:lineRule="auto"/>
        <w:ind w:left="49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0EB8FBF5">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目、第</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目、第</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C065E88">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w:t>
      </w:r>
      <w:r>
        <w:rPr>
          <w:rFonts w:hint="eastAsia" w:ascii="宋体" w:hAnsi="宋体" w:eastAsia="宋体" w:cs="宋体"/>
          <w:color w:val="auto"/>
          <w:spacing w:val="-2"/>
          <w:sz w:val="24"/>
          <w:szCs w:val="24"/>
          <w:highlight w:val="none"/>
          <w:lang w:eastAsia="zh-CN"/>
        </w:rPr>
        <w:t>位公</w:t>
      </w:r>
      <w:r>
        <w:rPr>
          <w:rFonts w:hint="eastAsia" w:ascii="宋体" w:hAnsi="宋体" w:eastAsia="宋体" w:cs="宋体"/>
          <w:color w:val="auto"/>
          <w:spacing w:val="-2"/>
          <w:sz w:val="24"/>
          <w:szCs w:val="24"/>
          <w:highlight w:val="none"/>
        </w:rPr>
        <w:t>章或由投标人</w:t>
      </w:r>
      <w:r>
        <w:rPr>
          <w:rFonts w:hint="eastAsia" w:ascii="宋体" w:hAnsi="宋体" w:eastAsia="宋体" w:cs="宋体"/>
          <w:color w:val="auto"/>
          <w:spacing w:val="-1"/>
          <w:sz w:val="24"/>
          <w:szCs w:val="24"/>
          <w:highlight w:val="none"/>
        </w:rPr>
        <w:t>的法定代表人或其委托代理人签字确认的；</w:t>
      </w:r>
    </w:p>
    <w:p w14:paraId="1F2C5C23">
      <w:pPr>
        <w:keepNext w:val="0"/>
        <w:keepLines w:val="0"/>
        <w:pageBreakBefore w:val="0"/>
        <w:widowControl w:val="0"/>
        <w:kinsoku/>
        <w:wordWrap w:val="0"/>
        <w:overflowPunct/>
        <w:topLinePunct/>
        <w:autoSpaceDE/>
        <w:autoSpaceDN/>
        <w:bidi w:val="0"/>
        <w:adjustRightInd w:val="0"/>
        <w:snapToGrid w:val="0"/>
        <w:spacing w:line="360" w:lineRule="auto"/>
        <w:ind w:left="434"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C2DFCA2">
      <w:pPr>
        <w:keepNext w:val="0"/>
        <w:keepLines w:val="0"/>
        <w:pageBreakBefore w:val="0"/>
        <w:widowControl w:val="0"/>
        <w:kinsoku/>
        <w:wordWrap w:val="0"/>
        <w:overflowPunct/>
        <w:topLinePunct/>
        <w:autoSpaceDE/>
        <w:autoSpaceDN/>
        <w:bidi w:val="0"/>
        <w:adjustRightInd w:val="0"/>
        <w:snapToGrid w:val="0"/>
        <w:spacing w:line="360" w:lineRule="auto"/>
        <w:ind w:left="475" w:right="84" w:rightChars="40"/>
        <w:textAlignment w:val="baseline"/>
        <w:outlineLvl w:val="2"/>
        <w:rPr>
          <w:rFonts w:hint="eastAsia" w:ascii="宋体" w:hAnsi="宋体" w:eastAsia="宋体" w:cs="宋体"/>
          <w:color w:val="auto"/>
          <w:sz w:val="24"/>
          <w:szCs w:val="24"/>
          <w:highlight w:val="none"/>
        </w:rPr>
      </w:pPr>
      <w:bookmarkStart w:id="143" w:name="_Toc4393"/>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3"/>
    </w:p>
    <w:p w14:paraId="2531AAD7">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5B254117">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w:t>
      </w:r>
      <w:r>
        <w:rPr>
          <w:rFonts w:hint="eastAsia" w:ascii="宋体" w:hAnsi="宋体" w:eastAsia="宋体" w:cs="宋体"/>
          <w:color w:val="auto"/>
          <w:spacing w:val="-2"/>
          <w:sz w:val="24"/>
          <w:szCs w:val="24"/>
          <w:highlight w:val="none"/>
          <w:lang w:eastAsia="zh-CN"/>
        </w:rPr>
        <w:t>》等</w:t>
      </w:r>
      <w:r>
        <w:rPr>
          <w:rFonts w:hint="eastAsia" w:ascii="宋体" w:hAnsi="宋体" w:eastAsia="宋体" w:cs="宋体"/>
          <w:color w:val="auto"/>
          <w:spacing w:val="-2"/>
          <w:sz w:val="24"/>
          <w:szCs w:val="24"/>
          <w:highlight w:val="none"/>
        </w:rPr>
        <w:t>实质性内容的；</w:t>
      </w:r>
    </w:p>
    <w:p w14:paraId="01C38438">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F673C34">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册证书的注册单位名称未完成变更的，不得否决其投标。此条与10.3.1中的造价工程师执业（含二级造价工程师）指引相一致。</w:t>
      </w:r>
    </w:p>
    <w:p w14:paraId="300F3A4C">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631AE3F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val="en-US"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color w:val="auto"/>
          <w:spacing w:val="-2"/>
          <w:sz w:val="24"/>
          <w:szCs w:val="24"/>
          <w:highlight w:val="none"/>
          <w:lang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048EBE0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6014273F">
      <w:pPr>
        <w:keepNext w:val="0"/>
        <w:keepLines w:val="0"/>
        <w:pageBreakBefore w:val="0"/>
        <w:widowControl w:val="0"/>
        <w:kinsoku/>
        <w:wordWrap w:val="0"/>
        <w:overflowPunct/>
        <w:topLinePunct/>
        <w:autoSpaceDE/>
        <w:autoSpaceDN/>
        <w:bidi w:val="0"/>
        <w:adjustRightInd w:val="0"/>
        <w:snapToGrid w:val="0"/>
        <w:spacing w:line="360" w:lineRule="auto"/>
        <w:ind w:left="476" w:right="84" w:rightChars="40"/>
        <w:textAlignment w:val="baseline"/>
        <w:outlineLvl w:val="2"/>
        <w:rPr>
          <w:rFonts w:hint="eastAsia" w:ascii="宋体" w:hAnsi="宋体" w:eastAsia="宋体" w:cs="宋体"/>
          <w:color w:val="auto"/>
          <w:sz w:val="24"/>
          <w:szCs w:val="24"/>
          <w:highlight w:val="none"/>
        </w:rPr>
      </w:pPr>
      <w:bookmarkStart w:id="144" w:name="_Toc23021"/>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4"/>
    </w:p>
    <w:p w14:paraId="3865FA7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pacing w:val="-1"/>
          <w:sz w:val="24"/>
          <w:szCs w:val="24"/>
          <w:highlight w:val="none"/>
        </w:rPr>
        <w:t>被否决的投标人，不进入下一环节（或阶段）。</w:t>
      </w:r>
    </w:p>
    <w:p w14:paraId="1938581D">
      <w:pPr>
        <w:keepNext w:val="0"/>
        <w:keepLines w:val="0"/>
        <w:pageBreakBefore w:val="0"/>
        <w:widowControl w:val="0"/>
        <w:kinsoku/>
        <w:wordWrap w:val="0"/>
        <w:overflowPunct/>
        <w:topLinePunct/>
        <w:autoSpaceDE/>
        <w:autoSpaceDN/>
        <w:bidi w:val="0"/>
        <w:adjustRightInd w:val="0"/>
        <w:snapToGrid w:val="0"/>
        <w:spacing w:line="360" w:lineRule="auto"/>
        <w:ind w:left="49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5D6D1552">
      <w:pPr>
        <w:keepNext w:val="0"/>
        <w:keepLines w:val="0"/>
        <w:pageBreakBefore w:val="0"/>
        <w:widowControl w:val="0"/>
        <w:kinsoku/>
        <w:wordWrap w:val="0"/>
        <w:overflowPunct/>
        <w:topLinePunct/>
        <w:autoSpaceDE/>
        <w:autoSpaceDN/>
        <w:bidi w:val="0"/>
        <w:adjustRightInd w:val="0"/>
        <w:snapToGrid w:val="0"/>
        <w:spacing w:line="360" w:lineRule="auto"/>
        <w:ind w:left="49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785E9E8A">
      <w:pPr>
        <w:keepNext w:val="0"/>
        <w:keepLines w:val="0"/>
        <w:pageBreakBefore w:val="0"/>
        <w:widowControl w:val="0"/>
        <w:kinsoku/>
        <w:wordWrap w:val="0"/>
        <w:overflowPunct/>
        <w:topLinePunct/>
        <w:autoSpaceDE/>
        <w:autoSpaceDN/>
        <w:bidi w:val="0"/>
        <w:adjustRightInd w:val="0"/>
        <w:snapToGrid w:val="0"/>
        <w:spacing w:line="360" w:lineRule="auto"/>
        <w:ind w:left="479"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17DFFFE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4641AC89">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72937E6F">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69538DF">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7110CF5D">
      <w:pPr>
        <w:keepNext w:val="0"/>
        <w:keepLines w:val="0"/>
        <w:pageBreakBefore w:val="0"/>
        <w:widowControl w:val="0"/>
        <w:kinsoku/>
        <w:wordWrap w:val="0"/>
        <w:overflowPunct/>
        <w:topLinePunct/>
        <w:autoSpaceDE/>
        <w:autoSpaceDN/>
        <w:bidi w:val="0"/>
        <w:adjustRightInd w:val="0"/>
        <w:snapToGrid w:val="0"/>
        <w:spacing w:line="360" w:lineRule="auto"/>
        <w:ind w:left="3"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3C56F78F">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7832FF2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2747928F">
      <w:pPr>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sz w:val="24"/>
          <w:szCs w:val="24"/>
          <w:highlight w:val="none"/>
        </w:rPr>
        <w:sectPr>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14:paraId="01697762">
      <w:pPr>
        <w:keepNext w:val="0"/>
        <w:keepLines w:val="0"/>
        <w:pageBreakBefore w:val="0"/>
        <w:widowControl w:val="0"/>
        <w:kinsoku/>
        <w:wordWrap w:val="0"/>
        <w:overflowPunct/>
        <w:topLinePunct/>
        <w:autoSpaceDE/>
        <w:autoSpaceDN/>
        <w:bidi w:val="0"/>
        <w:adjustRightInd w:val="0"/>
        <w:snapToGrid w:val="0"/>
        <w:spacing w:line="360" w:lineRule="auto"/>
        <w:ind w:left="3525" w:right="84" w:rightChars="40"/>
        <w:textAlignment w:val="baseline"/>
        <w:outlineLvl w:val="0"/>
        <w:rPr>
          <w:rFonts w:hint="eastAsia" w:ascii="宋体" w:hAnsi="宋体" w:eastAsia="宋体" w:cs="宋体"/>
          <w:color w:val="auto"/>
          <w:sz w:val="24"/>
          <w:szCs w:val="24"/>
          <w:highlight w:val="none"/>
        </w:rPr>
      </w:pPr>
      <w:bookmarkStart w:id="145" w:name="bookmark57"/>
      <w:bookmarkEnd w:id="145"/>
      <w:bookmarkStart w:id="146" w:name="_Toc16250"/>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46"/>
    </w:p>
    <w:p w14:paraId="32764E95">
      <w:pPr>
        <w:keepNext w:val="0"/>
        <w:keepLines w:val="0"/>
        <w:pageBreakBefore w:val="0"/>
        <w:widowControl w:val="0"/>
        <w:kinsoku/>
        <w:wordWrap w:val="0"/>
        <w:overflowPunct/>
        <w:topLinePunct/>
        <w:autoSpaceDE/>
        <w:autoSpaceDN/>
        <w:bidi w:val="0"/>
        <w:adjustRightInd w:val="0"/>
        <w:snapToGrid w:val="0"/>
        <w:spacing w:line="360" w:lineRule="auto"/>
        <w:ind w:left="582" w:right="84" w:rightChars="40"/>
        <w:textAlignment w:val="baseline"/>
        <w:outlineLvl w:val="2"/>
        <w:rPr>
          <w:rFonts w:hint="eastAsia" w:ascii="宋体" w:hAnsi="宋体" w:eastAsia="宋体" w:cs="宋体"/>
          <w:color w:val="auto"/>
          <w:sz w:val="24"/>
          <w:szCs w:val="24"/>
          <w:highlight w:val="none"/>
        </w:rPr>
      </w:pPr>
      <w:bookmarkStart w:id="147" w:name="_Toc8118"/>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47"/>
    </w:p>
    <w:p w14:paraId="3C904830">
      <w:pPr>
        <w:keepNext w:val="0"/>
        <w:keepLines w:val="0"/>
        <w:pageBreakBefore w:val="0"/>
        <w:widowControl w:val="0"/>
        <w:kinsoku/>
        <w:wordWrap w:val="0"/>
        <w:overflowPunct/>
        <w:topLinePunct/>
        <w:autoSpaceDE/>
        <w:autoSpaceDN/>
        <w:bidi w:val="0"/>
        <w:adjustRightInd w:val="0"/>
        <w:snapToGrid w:val="0"/>
        <w:spacing w:line="360" w:lineRule="auto"/>
        <w:ind w:left="17" w:right="84" w:rightChars="40" w:firstLine="55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473F5174">
      <w:pPr>
        <w:pStyle w:val="6"/>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14:paraId="07848F9F">
      <w:pPr>
        <w:keepNext w:val="0"/>
        <w:keepLines w:val="0"/>
        <w:pageBreakBefore w:val="0"/>
        <w:widowControl w:val="0"/>
        <w:kinsoku/>
        <w:wordWrap w:val="0"/>
        <w:overflowPunct/>
        <w:topLinePunct/>
        <w:autoSpaceDE/>
        <w:autoSpaceDN/>
        <w:bidi w:val="0"/>
        <w:adjustRightInd w:val="0"/>
        <w:snapToGrid w:val="0"/>
        <w:spacing w:line="360" w:lineRule="auto"/>
        <w:ind w:left="572" w:right="84" w:rightChars="40"/>
        <w:textAlignment w:val="baseline"/>
        <w:outlineLvl w:val="2"/>
        <w:rPr>
          <w:rFonts w:hint="eastAsia" w:ascii="宋体" w:hAnsi="宋体" w:eastAsia="宋体" w:cs="宋体"/>
          <w:color w:val="auto"/>
          <w:sz w:val="24"/>
          <w:szCs w:val="24"/>
          <w:highlight w:val="none"/>
        </w:rPr>
      </w:pPr>
      <w:bookmarkStart w:id="148" w:name="_Toc6918"/>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48"/>
    </w:p>
    <w:p w14:paraId="75EC938A">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 xml:space="preserve">监管网（http: </w:t>
      </w:r>
      <w:r>
        <w:rPr>
          <w:rFonts w:hint="eastAsia" w:ascii="宋体" w:hAnsi="宋体" w:eastAsia="宋体" w:cs="宋体"/>
          <w:color w:val="auto"/>
          <w:spacing w:val="-2"/>
          <w:sz w:val="24"/>
          <w:szCs w:val="24"/>
          <w:highlight w:val="none"/>
        </w:rPr>
        <w:t>//zbtb.gd.gov.cn）、全国公共资源交易平台（广东省·韶关市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342FFFAF">
      <w:pPr>
        <w:pStyle w:val="6"/>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14:paraId="62CB1FED">
      <w:pPr>
        <w:keepNext w:val="0"/>
        <w:keepLines w:val="0"/>
        <w:pageBreakBefore w:val="0"/>
        <w:widowControl w:val="0"/>
        <w:kinsoku/>
        <w:wordWrap w:val="0"/>
        <w:overflowPunct/>
        <w:topLinePunct/>
        <w:autoSpaceDE/>
        <w:autoSpaceDN/>
        <w:bidi w:val="0"/>
        <w:adjustRightInd w:val="0"/>
        <w:snapToGrid w:val="0"/>
        <w:spacing w:line="360" w:lineRule="auto"/>
        <w:ind w:left="570" w:right="84" w:rightChars="40"/>
        <w:textAlignment w:val="baseline"/>
        <w:outlineLvl w:val="2"/>
        <w:rPr>
          <w:rFonts w:hint="eastAsia" w:ascii="宋体" w:hAnsi="宋体" w:eastAsia="宋体" w:cs="宋体"/>
          <w:color w:val="auto"/>
          <w:sz w:val="24"/>
          <w:szCs w:val="24"/>
          <w:highlight w:val="none"/>
        </w:rPr>
      </w:pPr>
      <w:bookmarkStart w:id="149" w:name="_Toc10491"/>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49"/>
    </w:p>
    <w:p w14:paraId="3990754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0B20862C">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w:t>
      </w:r>
      <w:r>
        <w:rPr>
          <w:rFonts w:hint="eastAsia" w:ascii="宋体" w:hAnsi="宋体" w:eastAsia="宋体" w:cs="宋体"/>
          <w:color w:val="auto"/>
          <w:spacing w:val="-3"/>
          <w:sz w:val="24"/>
          <w:szCs w:val="24"/>
          <w:highlight w:val="none"/>
        </w:rPr>
        <w:t>保证金</w:t>
      </w:r>
      <w:r>
        <w:rPr>
          <w:rFonts w:hint="eastAsia" w:ascii="宋体" w:hAnsi="宋体" w:eastAsia="宋体" w:cs="宋体"/>
          <w:color w:val="auto"/>
          <w:spacing w:val="-1"/>
          <w:position w:val="2"/>
          <w:sz w:val="24"/>
          <w:szCs w:val="24"/>
          <w:highlight w:val="none"/>
        </w:rPr>
        <w:t>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
          <w:sz w:val="24"/>
          <w:szCs w:val="24"/>
          <w:highlight w:val="none"/>
        </w:rPr>
        <w:t>有效期应当自</w:t>
      </w:r>
      <w:r>
        <w:rPr>
          <w:rFonts w:hint="eastAsia" w:ascii="宋体" w:hAnsi="宋体" w:eastAsia="宋体" w:cs="宋体"/>
          <w:color w:val="auto"/>
          <w:spacing w:val="-3"/>
          <w:sz w:val="24"/>
          <w:szCs w:val="24"/>
          <w:highlight w:val="none"/>
        </w:rPr>
        <w:t>合同</w:t>
      </w:r>
      <w:r>
        <w:rPr>
          <w:rFonts w:hint="eastAsia" w:ascii="宋体" w:hAnsi="宋体" w:eastAsia="宋体" w:cs="宋体"/>
          <w:color w:val="auto"/>
          <w:spacing w:val="-1"/>
          <w:sz w:val="24"/>
          <w:szCs w:val="24"/>
          <w:highlight w:val="none"/>
        </w:rPr>
        <w:t>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28天止。</w:t>
      </w:r>
    </w:p>
    <w:p w14:paraId="20C13633">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w:t>
      </w:r>
      <w:r>
        <w:rPr>
          <w:rFonts w:hint="eastAsia" w:ascii="宋体" w:hAnsi="宋体" w:eastAsia="宋体" w:cs="宋体"/>
          <w:color w:val="auto"/>
          <w:spacing w:val="-3"/>
          <w:sz w:val="24"/>
          <w:szCs w:val="24"/>
          <w:highlight w:val="none"/>
          <w:lang w:eastAsia="zh-CN"/>
        </w:rPr>
        <w:t>项目</w:t>
      </w:r>
      <w:r>
        <w:rPr>
          <w:rFonts w:hint="eastAsia" w:ascii="宋体" w:hAnsi="宋体" w:eastAsia="宋体" w:cs="宋体"/>
          <w:color w:val="auto"/>
          <w:spacing w:val="-1"/>
          <w:position w:val="2"/>
          <w:sz w:val="24"/>
          <w:szCs w:val="24"/>
          <w:highlight w:val="none"/>
          <w:lang w:eastAsia="zh-CN"/>
        </w:rPr>
        <w:t>工期；由中标人在建设工程交易系统中自主选择一种进行缴交。项目竣工后，由招标人发起退保。）</w:t>
      </w:r>
    </w:p>
    <w:p w14:paraId="6B521E32">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中标人在领取中标通知书之日起10个工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出第一次提醒函；在领取中标通知书之日起15个工作日内仍未提交的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B3964CA">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0721FF55">
      <w:pPr>
        <w:keepNext w:val="0"/>
        <w:keepLines w:val="0"/>
        <w:pageBreakBefore w:val="0"/>
        <w:widowControl w:val="0"/>
        <w:kinsoku/>
        <w:wordWrap w:val="0"/>
        <w:overflowPunct/>
        <w:topLinePunct/>
        <w:autoSpaceDE/>
        <w:autoSpaceDN/>
        <w:bidi w:val="0"/>
        <w:adjustRightInd w:val="0"/>
        <w:snapToGrid w:val="0"/>
        <w:spacing w:line="360" w:lineRule="auto"/>
        <w:ind w:left="48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28天内，发包人将履</w:t>
      </w:r>
      <w:r>
        <w:rPr>
          <w:rFonts w:hint="eastAsia" w:ascii="宋体" w:hAnsi="宋体" w:eastAsia="宋体" w:cs="宋体"/>
          <w:color w:val="auto"/>
          <w:spacing w:val="-1"/>
          <w:sz w:val="24"/>
          <w:szCs w:val="24"/>
          <w:highlight w:val="none"/>
        </w:rPr>
        <w:t>约保证退还给承包人。</w:t>
      </w:r>
    </w:p>
    <w:p w14:paraId="231B4758">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outlineLvl w:val="2"/>
        <w:rPr>
          <w:rFonts w:hint="eastAsia" w:ascii="宋体" w:hAnsi="宋体" w:eastAsia="宋体" w:cs="宋体"/>
          <w:color w:val="auto"/>
          <w:sz w:val="24"/>
          <w:szCs w:val="24"/>
          <w:highlight w:val="none"/>
        </w:rPr>
      </w:pPr>
      <w:bookmarkStart w:id="150" w:name="_Toc17312"/>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50"/>
    </w:p>
    <w:p w14:paraId="0031D6AE">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5AB9E7A4">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548EDCF8">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的造价咨询单位实施。</w:t>
      </w:r>
    </w:p>
    <w:p w14:paraId="5279FC1F">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374F49A1">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0A0F8E0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0" w:firstLineChars="200"/>
        <w:textAlignment w:val="baseline"/>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val="en-US" w:eastAsia="zh-CN"/>
        </w:rPr>
        <w:t>最高投标限价</w:t>
      </w:r>
      <w:r>
        <w:rPr>
          <w:rFonts w:hint="eastAsia" w:ascii="宋体" w:hAnsi="宋体" w:eastAsia="宋体" w:cs="宋体"/>
          <w:color w:val="auto"/>
          <w:spacing w:val="2"/>
          <w:sz w:val="24"/>
          <w:szCs w:val="24"/>
          <w:highlight w:val="none"/>
          <w:u w:val="single"/>
        </w:rPr>
        <w:t>《</w:t>
      </w:r>
      <w:r>
        <w:rPr>
          <w:rFonts w:hint="eastAsia" w:ascii="宋体" w:hAnsi="宋体" w:eastAsia="宋体" w:cs="宋体"/>
          <w:color w:val="auto"/>
          <w:spacing w:val="2"/>
          <w:sz w:val="24"/>
          <w:szCs w:val="24"/>
          <w:highlight w:val="none"/>
          <w:u w:val="single"/>
          <w:lang w:eastAsia="zh-CN"/>
        </w:rPr>
        <w:t>分部分项工程项目清单计价表</w:t>
      </w:r>
      <w:r>
        <w:rPr>
          <w:rFonts w:hint="eastAsia" w:ascii="宋体" w:hAnsi="宋体" w:eastAsia="宋体" w:cs="宋体"/>
          <w:color w:val="auto"/>
          <w:spacing w:val="2"/>
          <w:sz w:val="24"/>
          <w:szCs w:val="24"/>
          <w:highlight w:val="none"/>
          <w:u w:val="single"/>
        </w:rPr>
        <w:t xml:space="preserve">》中对应综合单价的偏差大于±15%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0FC57F42">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8"/>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4.2.</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18666E84">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w:t>
      </w:r>
      <w:r>
        <w:rPr>
          <w:rFonts w:hint="eastAsia" w:ascii="宋体" w:hAnsi="宋体" w:eastAsia="宋体" w:cs="宋体"/>
          <w:b/>
          <w:bCs/>
          <w:color w:val="auto"/>
          <w:spacing w:val="1"/>
          <w:sz w:val="24"/>
          <w:szCs w:val="24"/>
          <w:highlight w:val="none"/>
          <w:lang w:val="en-US" w:eastAsia="zh-CN"/>
        </w:rPr>
        <w:t>6</w:t>
      </w:r>
      <w:r>
        <w:rPr>
          <w:rFonts w:hint="eastAsia" w:ascii="宋体" w:hAnsi="宋体" w:eastAsia="宋体" w:cs="宋体"/>
          <w:b/>
          <w:bCs/>
          <w:color w:val="auto"/>
          <w:spacing w:val="1"/>
          <w:sz w:val="24"/>
          <w:szCs w:val="24"/>
          <w:highlight w:val="none"/>
        </w:rPr>
        <w:t xml:space="preserve">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574A363C">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4BBD102D">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4F026FC">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6B908AB7">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663A2400">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3个工作日内，将投标保证金（或银行保函）退还给中标人和其他中标候选人。</w:t>
      </w:r>
    </w:p>
    <w:p w14:paraId="105249E6">
      <w:pPr>
        <w:keepNext w:val="0"/>
        <w:keepLines w:val="0"/>
        <w:pageBreakBefore w:val="0"/>
        <w:widowControl w:val="0"/>
        <w:kinsoku/>
        <w:wordWrap w:val="0"/>
        <w:overflowPunct/>
        <w:topLinePunct/>
        <w:autoSpaceDE/>
        <w:autoSpaceDN/>
        <w:bidi w:val="0"/>
        <w:adjustRightInd w:val="0"/>
        <w:snapToGrid w:val="0"/>
        <w:spacing w:line="360" w:lineRule="auto"/>
        <w:ind w:left="489" w:right="84" w:rightChars="40"/>
        <w:textAlignment w:val="baseline"/>
        <w:outlineLvl w:val="2"/>
        <w:rPr>
          <w:rFonts w:hint="eastAsia" w:ascii="宋体" w:hAnsi="宋体" w:eastAsia="宋体" w:cs="宋体"/>
          <w:color w:val="auto"/>
          <w:sz w:val="24"/>
          <w:szCs w:val="24"/>
          <w:highlight w:val="none"/>
        </w:rPr>
      </w:pPr>
      <w:bookmarkStart w:id="151" w:name="_Toc6544"/>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51"/>
    </w:p>
    <w:p w14:paraId="2C737B2D">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w:t>
      </w:r>
      <w:r>
        <w:rPr>
          <w:rFonts w:hint="eastAsia" w:ascii="宋体" w:hAnsi="宋体" w:eastAsia="宋体" w:cs="宋体"/>
          <w:b w:val="0"/>
          <w:bCs w:val="0"/>
          <w:color w:val="auto"/>
          <w:spacing w:val="-3"/>
          <w:sz w:val="24"/>
          <w:szCs w:val="24"/>
          <w:highlight w:val="none"/>
        </w:rPr>
        <w:t>招标</w:t>
      </w:r>
      <w:r>
        <w:rPr>
          <w:rFonts w:hint="eastAsia" w:ascii="宋体" w:hAnsi="宋体" w:eastAsia="宋体" w:cs="宋体"/>
          <w:b w:val="0"/>
          <w:bCs w:val="0"/>
          <w:color w:val="auto"/>
          <w:spacing w:val="-2"/>
          <w:sz w:val="24"/>
          <w:szCs w:val="24"/>
          <w:highlight w:val="none"/>
        </w:rPr>
        <w:t>人</w:t>
      </w:r>
      <w:r>
        <w:rPr>
          <w:rFonts w:hint="eastAsia" w:ascii="宋体" w:hAnsi="宋体" w:eastAsia="宋体" w:cs="宋体"/>
          <w:color w:val="auto"/>
          <w:spacing w:val="-2"/>
          <w:sz w:val="24"/>
          <w:szCs w:val="24"/>
          <w:highlight w:val="none"/>
        </w:rPr>
        <w:t>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59CE6EDE">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52" w:name="bookmark84"/>
      <w:bookmarkEnd w:id="15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877989F">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7821566">
      <w:pPr>
        <w:keepNext w:val="0"/>
        <w:keepLines w:val="0"/>
        <w:pageBreakBefore w:val="0"/>
        <w:widowControl w:val="0"/>
        <w:kinsoku/>
        <w:wordWrap w:val="0"/>
        <w:overflowPunct/>
        <w:topLinePunct/>
        <w:autoSpaceDE/>
        <w:autoSpaceDN/>
        <w:bidi w:val="0"/>
        <w:adjustRightInd w:val="0"/>
        <w:snapToGrid w:val="0"/>
        <w:spacing w:before="78" w:line="219" w:lineRule="auto"/>
        <w:ind w:left="2923" w:right="84" w:rightChars="40"/>
        <w:outlineLvl w:val="0"/>
        <w:rPr>
          <w:rFonts w:hint="eastAsia" w:ascii="宋体" w:hAnsi="宋体" w:eastAsia="宋体" w:cs="宋体"/>
          <w:color w:val="auto"/>
          <w:sz w:val="24"/>
          <w:szCs w:val="24"/>
          <w:highlight w:val="none"/>
        </w:rPr>
      </w:pPr>
      <w:bookmarkStart w:id="153" w:name="bookmark86"/>
      <w:bookmarkEnd w:id="153"/>
      <w:bookmarkStart w:id="154" w:name="_Toc3032"/>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54"/>
    </w:p>
    <w:p w14:paraId="2643B754">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22A0CEDF">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39E48CD3">
      <w:pPr>
        <w:keepNext w:val="0"/>
        <w:keepLines w:val="0"/>
        <w:pageBreakBefore w:val="0"/>
        <w:widowControl w:val="0"/>
        <w:kinsoku/>
        <w:wordWrap w:val="0"/>
        <w:overflowPunct/>
        <w:topLinePunct/>
        <w:autoSpaceDE/>
        <w:autoSpaceDN/>
        <w:bidi w:val="0"/>
        <w:adjustRightInd w:val="0"/>
        <w:snapToGrid w:val="0"/>
        <w:spacing w:line="360" w:lineRule="auto"/>
        <w:ind w:left="498" w:right="84" w:rightChars="40"/>
        <w:textAlignment w:val="baseline"/>
        <w:outlineLvl w:val="2"/>
        <w:rPr>
          <w:rFonts w:hint="eastAsia" w:ascii="宋体" w:hAnsi="宋体" w:eastAsia="宋体" w:cs="宋体"/>
          <w:color w:val="auto"/>
          <w:sz w:val="24"/>
          <w:szCs w:val="24"/>
          <w:highlight w:val="none"/>
        </w:rPr>
      </w:pPr>
      <w:bookmarkStart w:id="155" w:name="_Toc26539"/>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55"/>
    </w:p>
    <w:p w14:paraId="1136890B">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19B2DB02">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43D5FC7D">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1104D958">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1BBA689">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23C0FB90">
      <w:pPr>
        <w:pStyle w:val="6"/>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14:paraId="37199613">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outlineLvl w:val="2"/>
        <w:rPr>
          <w:rFonts w:hint="eastAsia" w:ascii="宋体" w:hAnsi="宋体" w:eastAsia="宋体" w:cs="宋体"/>
          <w:color w:val="auto"/>
          <w:sz w:val="24"/>
          <w:szCs w:val="24"/>
          <w:highlight w:val="none"/>
        </w:rPr>
      </w:pPr>
      <w:bookmarkStart w:id="156" w:name="bookmark88"/>
      <w:bookmarkEnd w:id="156"/>
      <w:bookmarkStart w:id="157" w:name="_Toc2031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57"/>
    </w:p>
    <w:p w14:paraId="2C14C5EF">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2A031BA0">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58" w:name="OLE_LINK28"/>
      <w:r>
        <w:rPr>
          <w:rFonts w:hint="eastAsia" w:ascii="宋体" w:hAnsi="宋体" w:eastAsia="宋体" w:cs="宋体"/>
          <w:color w:val="auto"/>
          <w:spacing w:val="-5"/>
          <w:sz w:val="24"/>
          <w:szCs w:val="24"/>
          <w:highlight w:val="none"/>
          <w:lang w:eastAsia="zh-CN"/>
        </w:rPr>
        <w:t>《建设工程工程量清单计价标准》（GB/T50500-2024）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58"/>
      <w:r>
        <w:rPr>
          <w:rFonts w:hint="eastAsia" w:ascii="宋体" w:hAnsi="宋体" w:eastAsia="宋体" w:cs="宋体"/>
          <w:color w:val="auto"/>
          <w:spacing w:val="-2"/>
          <w:sz w:val="24"/>
          <w:szCs w:val="24"/>
          <w:highlight w:val="none"/>
        </w:rPr>
        <w:t>工中进行工程计量，当发现招标工程量清单中出现缺项、工程量偏差</w:t>
      </w:r>
      <w:r>
        <w:rPr>
          <w:rFonts w:hint="eastAsia" w:ascii="宋体" w:hAnsi="宋体" w:eastAsia="宋体" w:cs="宋体"/>
          <w:color w:val="auto"/>
          <w:spacing w:val="-2"/>
          <w:sz w:val="24"/>
          <w:szCs w:val="24"/>
          <w:highlight w:val="none"/>
          <w:lang w:eastAsia="zh-CN"/>
        </w:rPr>
        <w:t>或</w:t>
      </w:r>
      <w:r>
        <w:rPr>
          <w:rFonts w:hint="eastAsia" w:ascii="宋体" w:hAnsi="宋体" w:eastAsia="宋体" w:cs="宋体"/>
          <w:color w:val="auto"/>
          <w:spacing w:val="-2"/>
          <w:sz w:val="24"/>
          <w:szCs w:val="24"/>
          <w:highlight w:val="none"/>
        </w:rPr>
        <w:t>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66099059">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76BE7625">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1F98A26A">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w:t>
      </w:r>
      <w:r>
        <w:rPr>
          <w:rFonts w:hint="eastAsia" w:ascii="宋体" w:hAnsi="宋体" w:eastAsia="宋体" w:cs="宋体"/>
          <w:color w:val="auto"/>
          <w:spacing w:val="-3"/>
          <w:sz w:val="24"/>
          <w:szCs w:val="24"/>
          <w:highlight w:val="none"/>
          <w:lang w:eastAsia="zh-CN"/>
        </w:rPr>
        <w:t>法律法规</w:t>
      </w:r>
      <w:r>
        <w:rPr>
          <w:rFonts w:hint="eastAsia" w:ascii="宋体" w:hAnsi="宋体" w:eastAsia="宋体" w:cs="宋体"/>
          <w:color w:val="auto"/>
          <w:spacing w:val="-3"/>
          <w:sz w:val="24"/>
          <w:szCs w:val="24"/>
          <w:highlight w:val="none"/>
        </w:rPr>
        <w:t>、规章和政策发生变化引起工程造价增减变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76190C32">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28天。</w:t>
      </w:r>
    </w:p>
    <w:p w14:paraId="18ED46C9">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.3.1.1</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391FD7A4">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4CFA23BC">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合同履行期间，当应予计算的实际工程量与招标工程量清单出现偏差或因工程变更引起已标价工程量清单项目的工程数量发生变化时，工程量偏差或变化在15%以</w:t>
      </w:r>
      <w:r>
        <w:rPr>
          <w:rFonts w:hint="eastAsia" w:ascii="宋体" w:hAnsi="宋体" w:eastAsia="宋体" w:cs="宋体"/>
          <w:color w:val="auto"/>
          <w:spacing w:val="-4"/>
          <w:sz w:val="24"/>
          <w:szCs w:val="24"/>
          <w:highlight w:val="none"/>
        </w:rPr>
        <w:t>内（含15%）的，其综合单价不予调整；工程量偏差或变化超过15%的，按照以下规定</w:t>
      </w:r>
      <w:r>
        <w:rPr>
          <w:rFonts w:hint="eastAsia" w:ascii="宋体" w:hAnsi="宋体" w:eastAsia="宋体" w:cs="宋体"/>
          <w:color w:val="auto"/>
          <w:spacing w:val="-3"/>
          <w:sz w:val="24"/>
          <w:szCs w:val="24"/>
          <w:highlight w:val="none"/>
        </w:rPr>
        <w:t>调整：</w:t>
      </w:r>
    </w:p>
    <w:p w14:paraId="054D9F0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bookmarkStart w:id="159" w:name="bookmark142"/>
      <w:bookmarkEnd w:id="159"/>
      <w:r>
        <w:rPr>
          <w:rFonts w:hint="eastAsia" w:ascii="宋体" w:hAnsi="宋体" w:eastAsia="宋体" w:cs="宋体"/>
          <w:color w:val="auto"/>
          <w:spacing w:val="-3"/>
          <w:sz w:val="24"/>
          <w:szCs w:val="24"/>
          <w:highlight w:val="none"/>
        </w:rPr>
        <w:t>对于合理报价的清单项目，当工程量增加超过15%时，增加部分的工程量的综合单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w:t>
      </w:r>
      <w:r>
        <w:rPr>
          <w:rFonts w:hint="eastAsia" w:ascii="宋体" w:hAnsi="宋体" w:eastAsia="宋体" w:cs="宋体"/>
          <w:color w:val="auto"/>
          <w:spacing w:val="-3"/>
          <w:sz w:val="24"/>
          <w:szCs w:val="24"/>
          <w:highlight w:val="none"/>
          <w:lang w:eastAsia="zh-CN"/>
        </w:rPr>
        <w:t>分部分项工程项目清单计价表</w:t>
      </w:r>
      <w:r>
        <w:rPr>
          <w:rFonts w:hint="eastAsia" w:ascii="宋体" w:hAnsi="宋体" w:eastAsia="宋体" w:cs="宋体"/>
          <w:color w:val="auto"/>
          <w:spacing w:val="-3"/>
          <w:sz w:val="24"/>
          <w:szCs w:val="24"/>
          <w:highlight w:val="none"/>
        </w:rPr>
        <w:t>》中综合单价为基价调低</w:t>
      </w:r>
      <w:r>
        <w:rPr>
          <w:rFonts w:hint="eastAsia" w:ascii="宋体" w:hAnsi="宋体" w:eastAsia="宋体" w:cs="宋体"/>
          <w:color w:val="auto"/>
          <w:spacing w:val="-3"/>
          <w:sz w:val="24"/>
          <w:szCs w:val="24"/>
          <w:highlight w:val="none"/>
          <w:u w:val="single"/>
        </w:rPr>
        <w:t xml:space="preserve"> 3</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%；当工程量减少超过15%时，减少后剩余部分的工程量的综合单价以投标报价《</w:t>
      </w:r>
      <w:r>
        <w:rPr>
          <w:rFonts w:hint="eastAsia" w:ascii="宋体" w:hAnsi="宋体" w:eastAsia="宋体" w:cs="宋体"/>
          <w:color w:val="auto"/>
          <w:spacing w:val="-3"/>
          <w:sz w:val="24"/>
          <w:szCs w:val="24"/>
          <w:highlight w:val="none"/>
          <w:lang w:eastAsia="zh-CN"/>
        </w:rPr>
        <w:t>分部分项工程项目清单计价表</w:t>
      </w:r>
      <w:r>
        <w:rPr>
          <w:rFonts w:hint="eastAsia" w:ascii="宋体" w:hAnsi="宋体" w:eastAsia="宋体" w:cs="宋体"/>
          <w:color w:val="auto"/>
          <w:spacing w:val="-3"/>
          <w:sz w:val="24"/>
          <w:szCs w:val="24"/>
          <w:highlight w:val="none"/>
        </w:rPr>
        <w:t>》中综合单价为基价调高</w:t>
      </w:r>
      <w:r>
        <w:rPr>
          <w:rFonts w:hint="eastAsia" w:ascii="宋体" w:hAnsi="宋体" w:eastAsia="宋体" w:cs="宋体"/>
          <w:color w:val="auto"/>
          <w:spacing w:val="-3"/>
          <w:sz w:val="24"/>
          <w:szCs w:val="24"/>
          <w:highlight w:val="none"/>
          <w:u w:val="single"/>
        </w:rPr>
        <w:t xml:space="preserve"> 3</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1"/>
          <w:sz w:val="24"/>
          <w:szCs w:val="24"/>
          <w:highlight w:val="none"/>
        </w:rPr>
        <w:t>。</w:t>
      </w:r>
    </w:p>
    <w:p w14:paraId="6C69D3CC">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w:t>
      </w:r>
      <w:r>
        <w:rPr>
          <w:rFonts w:hint="eastAsia" w:ascii="宋体" w:hAnsi="宋体" w:eastAsia="宋体" w:cs="宋体"/>
          <w:color w:val="auto"/>
          <w:spacing w:val="-3"/>
          <w:sz w:val="24"/>
          <w:szCs w:val="24"/>
          <w:highlight w:val="none"/>
        </w:rPr>
        <w:t>按照</w:t>
      </w:r>
      <w:r>
        <w:rPr>
          <w:rFonts w:hint="eastAsia" w:ascii="宋体" w:hAnsi="宋体" w:eastAsia="宋体" w:cs="宋体"/>
          <w:b/>
          <w:bCs/>
          <w:color w:val="auto"/>
          <w:spacing w:val="-3"/>
          <w:sz w:val="24"/>
          <w:szCs w:val="24"/>
          <w:highlight w:val="none"/>
        </w:rPr>
        <w:t>以下方法调整：</w:t>
      </w:r>
    </w:p>
    <w:p w14:paraId="28DDBD2F">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中《</w:t>
      </w:r>
      <w:r>
        <w:rPr>
          <w:rFonts w:hint="eastAsia" w:ascii="宋体" w:hAnsi="宋体" w:eastAsia="宋体" w:cs="宋体"/>
          <w:b/>
          <w:bCs/>
          <w:color w:val="auto"/>
          <w:spacing w:val="-4"/>
          <w:sz w:val="24"/>
          <w:szCs w:val="24"/>
          <w:highlight w:val="none"/>
          <w:lang w:eastAsia="zh-CN"/>
        </w:rPr>
        <w:t>分部分项工程项目清单计价表</w:t>
      </w:r>
      <w:r>
        <w:rPr>
          <w:rFonts w:hint="eastAsia" w:ascii="宋体" w:hAnsi="宋体" w:eastAsia="宋体" w:cs="宋体"/>
          <w:b/>
          <w:bCs/>
          <w:color w:val="auto"/>
          <w:spacing w:val="-4"/>
          <w:sz w:val="24"/>
          <w:szCs w:val="24"/>
          <w:highlight w:val="none"/>
        </w:rPr>
        <w:t>》子目相对应综合单价×（1</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中标下浮率）。</w:t>
      </w:r>
    </w:p>
    <w:p w14:paraId="3B03C11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bCs/>
          <w:color w:val="auto"/>
          <w:spacing w:val="-4"/>
          <w:sz w:val="24"/>
          <w:szCs w:val="24"/>
          <w:highlight w:val="none"/>
        </w:rPr>
      </w:pPr>
      <w:bookmarkStart w:id="160" w:name="_Toc12035"/>
      <w:bookmarkStart w:id="161" w:name="_Toc18478"/>
      <w:bookmarkStart w:id="162" w:name="_Toc30068"/>
      <w:r>
        <w:rPr>
          <w:rFonts w:hint="eastAsia" w:ascii="宋体" w:hAnsi="宋体" w:eastAsia="宋体" w:cs="宋体"/>
          <w:b/>
          <w:bCs/>
          <w:color w:val="auto"/>
          <w:spacing w:val="-4"/>
          <w:sz w:val="24"/>
          <w:szCs w:val="24"/>
          <w:highlight w:val="none"/>
        </w:rPr>
        <w:t>中标下浮率=[1-（中标价-中标</w:t>
      </w:r>
      <w:r>
        <w:rPr>
          <w:rFonts w:hint="eastAsia" w:ascii="宋体" w:hAnsi="宋体" w:eastAsia="宋体" w:cs="宋体"/>
          <w:b/>
          <w:bCs/>
          <w:color w:val="auto"/>
          <w:spacing w:val="-4"/>
          <w:sz w:val="24"/>
          <w:szCs w:val="24"/>
          <w:highlight w:val="none"/>
          <w:lang w:eastAsia="zh-CN"/>
        </w:rPr>
        <w:t>安全生产措施费</w:t>
      </w:r>
      <w:r>
        <w:rPr>
          <w:rFonts w:hint="eastAsia" w:ascii="宋体" w:hAnsi="宋体" w:eastAsia="宋体" w:cs="宋体"/>
          <w:b/>
          <w:bCs/>
          <w:color w:val="auto"/>
          <w:spacing w:val="-4"/>
          <w:sz w:val="24"/>
          <w:szCs w:val="24"/>
          <w:highlight w:val="none"/>
        </w:rPr>
        <w:t>-暂列金额-暂估价）/（</w:t>
      </w:r>
      <w:bookmarkEnd w:id="160"/>
      <w:bookmarkEnd w:id="161"/>
      <w:bookmarkStart w:id="163" w:name="_Toc15512"/>
      <w:bookmarkStart w:id="164" w:name="_Toc13602"/>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w:t>
      </w:r>
      <w:r>
        <w:rPr>
          <w:rFonts w:hint="eastAsia" w:ascii="宋体" w:hAnsi="宋体" w:eastAsia="宋体" w:cs="宋体"/>
          <w:b/>
          <w:bCs/>
          <w:color w:val="auto"/>
          <w:spacing w:val="-3"/>
          <w:sz w:val="24"/>
          <w:szCs w:val="24"/>
          <w:highlight w:val="none"/>
          <w:lang w:val="en-US" w:eastAsia="zh-CN"/>
        </w:rPr>
        <w:t>投标</w:t>
      </w:r>
      <w:r>
        <w:rPr>
          <w:rFonts w:hint="eastAsia" w:ascii="宋体" w:hAnsi="宋体" w:eastAsia="宋体" w:cs="宋体"/>
          <w:b/>
          <w:bCs/>
          <w:color w:val="auto"/>
          <w:spacing w:val="-4"/>
          <w:sz w:val="24"/>
          <w:szCs w:val="24"/>
          <w:highlight w:val="none"/>
          <w:lang w:val="en-US" w:eastAsia="zh-CN"/>
        </w:rPr>
        <w:t>限价</w:t>
      </w:r>
      <w:r>
        <w:rPr>
          <w:rFonts w:hint="eastAsia" w:ascii="宋体" w:hAnsi="宋体" w:eastAsia="宋体" w:cs="宋体"/>
          <w:b/>
          <w:bCs/>
          <w:color w:val="auto"/>
          <w:spacing w:val="-4"/>
          <w:sz w:val="24"/>
          <w:szCs w:val="24"/>
          <w:highlight w:val="none"/>
          <w:lang w:eastAsia="zh-CN"/>
        </w:rPr>
        <w:t>安全生产措施费</w:t>
      </w:r>
      <w:r>
        <w:rPr>
          <w:rFonts w:hint="eastAsia" w:ascii="宋体" w:hAnsi="宋体" w:eastAsia="宋体" w:cs="宋体"/>
          <w:b/>
          <w:bCs/>
          <w:color w:val="auto"/>
          <w:spacing w:val="-4"/>
          <w:sz w:val="24"/>
          <w:szCs w:val="24"/>
          <w:highlight w:val="none"/>
        </w:rPr>
        <w:t>-暂列金额-暂估价）]×100%</w:t>
      </w:r>
      <w:bookmarkEnd w:id="162"/>
      <w:bookmarkEnd w:id="163"/>
      <w:bookmarkEnd w:id="164"/>
    </w:p>
    <w:p w14:paraId="05B64ABA">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3"/>
          <w:sz w:val="24"/>
          <w:szCs w:val="24"/>
          <w:highlight w:val="none"/>
        </w:rPr>
        <w:t>如果工程量出现本章第2.3.2.1子目的变化，且该变化引起相关措施项目相应发生变化时，按系数计价的，工程量增加的措施项目费调增，工程量减少的措施项目费调减。单一总价方式计价的，</w:t>
      </w:r>
      <w:r>
        <w:rPr>
          <w:rFonts w:hint="eastAsia" w:ascii="宋体" w:hAnsi="宋体" w:eastAsia="宋体" w:cs="宋体"/>
          <w:color w:val="auto"/>
          <w:spacing w:val="-3"/>
          <w:sz w:val="24"/>
          <w:szCs w:val="24"/>
          <w:highlight w:val="none"/>
          <w:lang w:val="en-US" w:eastAsia="zh-CN"/>
        </w:rPr>
        <w:t>不调整价格。</w:t>
      </w:r>
    </w:p>
    <w:p w14:paraId="3903FF35">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08941D59">
      <w:pPr>
        <w:keepNext w:val="0"/>
        <w:keepLines w:val="0"/>
        <w:pageBreakBefore w:val="0"/>
        <w:widowControl w:val="0"/>
        <w:kinsoku/>
        <w:wordWrap w:val="0"/>
        <w:overflowPunct/>
        <w:topLinePunct/>
        <w:autoSpaceDE/>
        <w:autoSpaceDN/>
        <w:bidi w:val="0"/>
        <w:adjustRightInd w:val="0"/>
        <w:snapToGrid w:val="0"/>
        <w:spacing w:line="360" w:lineRule="auto"/>
        <w:ind w:left="19" w:right="84" w:rightChars="40" w:firstLine="468"/>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53DE7068">
      <w:pPr>
        <w:keepNext w:val="0"/>
        <w:keepLines w:val="0"/>
        <w:pageBreakBefore w:val="0"/>
        <w:widowControl w:val="0"/>
        <w:numPr>
          <w:ilvl w:val="0"/>
          <w:numId w:val="3"/>
        </w:numPr>
        <w:kinsoku/>
        <w:wordWrap w:val="0"/>
        <w:overflowPunct/>
        <w:topLinePunct/>
        <w:autoSpaceDE/>
        <w:autoSpaceDN/>
        <w:bidi w:val="0"/>
        <w:adjustRightInd w:val="0"/>
        <w:snapToGrid w:val="0"/>
        <w:spacing w:line="360" w:lineRule="auto"/>
        <w:ind w:right="84" w:rightChars="40" w:firstLine="242" w:firstLineChars="100"/>
        <w:textAlignment w:val="baseline"/>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65" w:name="bookmark143"/>
      <w:bookmarkEnd w:id="16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4.2条被认定为不平衡报价的清单项目，</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本章2.3.2.1的</w:t>
      </w:r>
      <w:r>
        <w:rPr>
          <w:rFonts w:hint="eastAsia" w:ascii="宋体" w:hAnsi="宋体" w:eastAsia="宋体" w:cs="宋体"/>
          <w:b/>
          <w:bCs/>
          <w:color w:val="auto"/>
          <w:spacing w:val="-2"/>
          <w:sz w:val="24"/>
          <w:szCs w:val="24"/>
          <w:highlight w:val="none"/>
        </w:rPr>
        <w:t>方法调整</w:t>
      </w:r>
      <w:r>
        <w:rPr>
          <w:rFonts w:hint="eastAsia" w:ascii="宋体" w:hAnsi="宋体" w:eastAsia="宋体" w:cs="宋体"/>
          <w:b/>
          <w:bCs/>
          <w:color w:val="auto"/>
          <w:spacing w:val="-2"/>
          <w:sz w:val="24"/>
          <w:szCs w:val="24"/>
          <w:highlight w:val="none"/>
          <w:lang w:eastAsia="zh-CN"/>
        </w:rPr>
        <w:t>。</w:t>
      </w:r>
    </w:p>
    <w:p w14:paraId="25440E9F">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ind w:right="84" w:rightChars="40" w:firstLine="237"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4.2条被认定为不平衡报价的清单项目，变更工程项目的单价按照本章2.3.2.1的方法调整。</w:t>
      </w:r>
    </w:p>
    <w:p w14:paraId="22E22B1A">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ind w:right="84" w:rightChars="40" w:firstLine="242" w:firstLineChars="1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2E6C82D5">
      <w:pPr>
        <w:keepNext w:val="0"/>
        <w:keepLines w:val="0"/>
        <w:pageBreakBefore w:val="0"/>
        <w:widowControl w:val="0"/>
        <w:kinsoku/>
        <w:wordWrap w:val="0"/>
        <w:overflowPunct/>
        <w:topLinePunct/>
        <w:autoSpaceDE/>
        <w:autoSpaceDN/>
        <w:bidi w:val="0"/>
        <w:adjustRightInd w:val="0"/>
        <w:snapToGrid w:val="0"/>
        <w:spacing w:line="360" w:lineRule="auto"/>
        <w:ind w:left="28" w:right="84" w:rightChars="40" w:firstLine="50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val="en-US" w:eastAsia="zh-CN"/>
        </w:rPr>
        <w:t>最高投标限价</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投标限价</w:t>
      </w:r>
      <w:r>
        <w:rPr>
          <w:rFonts w:hint="eastAsia" w:ascii="宋体" w:hAnsi="宋体" w:eastAsia="宋体" w:cs="宋体"/>
          <w:b/>
          <w:bCs/>
          <w:color w:val="auto"/>
          <w:spacing w:val="-3"/>
          <w:sz w:val="24"/>
          <w:szCs w:val="24"/>
          <w:highlight w:val="none"/>
          <w:lang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4A8B331F">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242" w:firstLineChars="1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35A40550">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073D28CA">
      <w:pPr>
        <w:keepNext w:val="0"/>
        <w:keepLines w:val="0"/>
        <w:pageBreakBefore w:val="0"/>
        <w:widowControl w:val="0"/>
        <w:kinsoku/>
        <w:wordWrap w:val="0"/>
        <w:overflowPunct/>
        <w:topLinePunct/>
        <w:autoSpaceDE/>
        <w:autoSpaceDN/>
        <w:bidi w:val="0"/>
        <w:adjustRightInd w:val="0"/>
        <w:snapToGrid w:val="0"/>
        <w:spacing w:line="360" w:lineRule="auto"/>
        <w:ind w:left="499"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安全生产措施费</w:t>
      </w:r>
      <w:r>
        <w:rPr>
          <w:rFonts w:hint="eastAsia" w:ascii="宋体" w:hAnsi="宋体" w:eastAsia="宋体" w:cs="宋体"/>
          <w:color w:val="auto"/>
          <w:spacing w:val="-1"/>
          <w:sz w:val="24"/>
          <w:szCs w:val="24"/>
          <w:highlight w:val="none"/>
        </w:rPr>
        <w:t>应按照实际发生变化的措施项目计算。</w:t>
      </w:r>
    </w:p>
    <w:p w14:paraId="378C20E8">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77"/>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采用单价计算的措施项目费，应按照实际发生变化的措施项目，按本章第2.3.3.1子目的规定确定单价。</w:t>
      </w:r>
    </w:p>
    <w:p w14:paraId="4F91104C">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9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中标下浮率）。</w:t>
      </w:r>
    </w:p>
    <w:p w14:paraId="450D6A0B">
      <w:pPr>
        <w:keepNext w:val="0"/>
        <w:keepLines w:val="0"/>
        <w:pageBreakBefore w:val="0"/>
        <w:widowControl w:val="0"/>
        <w:kinsoku/>
        <w:wordWrap w:val="0"/>
        <w:overflowPunct/>
        <w:topLinePunct/>
        <w:autoSpaceDE/>
        <w:autoSpaceDN/>
        <w:bidi w:val="0"/>
        <w:adjustRightInd w:val="0"/>
        <w:snapToGrid w:val="0"/>
        <w:spacing w:line="360" w:lineRule="auto"/>
        <w:ind w:left="21" w:right="84" w:rightChars="40" w:firstLine="47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6782625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8CA53E5">
      <w:pPr>
        <w:keepNext w:val="0"/>
        <w:keepLines w:val="0"/>
        <w:pageBreakBefore w:val="0"/>
        <w:widowControl w:val="0"/>
        <w:kinsoku/>
        <w:wordWrap w:val="0"/>
        <w:overflowPunct/>
        <w:topLinePunct/>
        <w:autoSpaceDE/>
        <w:autoSpaceDN/>
        <w:bidi w:val="0"/>
        <w:adjustRightInd w:val="0"/>
        <w:snapToGrid w:val="0"/>
        <w:spacing w:line="360" w:lineRule="auto"/>
        <w:ind w:left="484"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5F890E30">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0"/>
        <w:jc w:val="both"/>
        <w:textAlignment w:val="baseline"/>
        <w:rPr>
          <w:rFonts w:hint="eastAsia" w:ascii="宋体" w:hAnsi="宋体" w:eastAsia="宋体" w:cs="宋体"/>
          <w:color w:val="auto"/>
          <w:sz w:val="24"/>
          <w:szCs w:val="24"/>
          <w:highlight w:val="none"/>
        </w:rPr>
      </w:pPr>
      <w:bookmarkStart w:id="166" w:name="bookmark144"/>
      <w:bookmarkEnd w:id="16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2.3.3</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04DF1088">
      <w:pPr>
        <w:keepNext w:val="0"/>
        <w:keepLines w:val="0"/>
        <w:pageBreakBefore w:val="0"/>
        <w:widowControl w:val="0"/>
        <w:kinsoku/>
        <w:wordWrap w:val="0"/>
        <w:overflowPunct/>
        <w:topLinePunct/>
        <w:autoSpaceDE/>
        <w:autoSpaceDN/>
        <w:bidi w:val="0"/>
        <w:adjustRightInd w:val="0"/>
        <w:snapToGrid w:val="0"/>
        <w:spacing w:line="360" w:lineRule="auto"/>
        <w:ind w:left="485"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2C9A58C7">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b/>
          <w:bCs/>
          <w:color w:val="auto"/>
          <w:spacing w:val="-1"/>
          <w:sz w:val="24"/>
          <w:szCs w:val="24"/>
          <w:highlight w:val="none"/>
        </w:rPr>
        <w:t>2.3.3.1</w:t>
      </w:r>
      <w:r>
        <w:rPr>
          <w:rFonts w:hint="eastAsia" w:ascii="宋体" w:hAnsi="宋体" w:eastAsia="宋体" w:cs="宋体"/>
          <w:color w:val="auto"/>
          <w:spacing w:val="-1"/>
          <w:sz w:val="24"/>
          <w:szCs w:val="24"/>
          <w:highlight w:val="none"/>
        </w:rPr>
        <w:t>子目的规定确定单价，并调整合同价款。</w:t>
      </w:r>
    </w:p>
    <w:p w14:paraId="6D675AA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3.3.2</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40AAA971">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71"/>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b/>
          <w:bCs/>
          <w:color w:val="auto"/>
          <w:spacing w:val="-1"/>
          <w:sz w:val="24"/>
          <w:szCs w:val="24"/>
          <w:highlight w:val="none"/>
        </w:rPr>
        <w:t>2.3.3.1</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2.3.3.2</w:t>
      </w:r>
      <w:r>
        <w:rPr>
          <w:rFonts w:hint="eastAsia" w:ascii="宋体" w:hAnsi="宋体" w:eastAsia="宋体" w:cs="宋体"/>
          <w:color w:val="auto"/>
          <w:spacing w:val="-1"/>
          <w:sz w:val="24"/>
          <w:szCs w:val="24"/>
          <w:highlight w:val="none"/>
        </w:rPr>
        <w:t>子目的规定调整合同价款。</w:t>
      </w:r>
    </w:p>
    <w:p w14:paraId="5C00574D">
      <w:pPr>
        <w:keepNext w:val="0"/>
        <w:keepLines w:val="0"/>
        <w:pageBreakBefore w:val="0"/>
        <w:widowControl w:val="0"/>
        <w:kinsoku/>
        <w:wordWrap w:val="0"/>
        <w:overflowPunct/>
        <w:topLinePunct/>
        <w:autoSpaceDE/>
        <w:autoSpaceDN/>
        <w:bidi w:val="0"/>
        <w:adjustRightInd w:val="0"/>
        <w:snapToGrid w:val="0"/>
        <w:spacing w:line="360" w:lineRule="auto"/>
        <w:ind w:left="485"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5203F8C2">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1664F5EC">
      <w:pPr>
        <w:keepNext w:val="0"/>
        <w:keepLines w:val="0"/>
        <w:pageBreakBefore w:val="0"/>
        <w:widowControl w:val="0"/>
        <w:kinsoku/>
        <w:wordWrap w:val="0"/>
        <w:overflowPunct/>
        <w:topLinePunct/>
        <w:autoSpaceDE/>
        <w:autoSpaceDN/>
        <w:bidi w:val="0"/>
        <w:adjustRightInd w:val="0"/>
        <w:snapToGrid w:val="0"/>
        <w:spacing w:line="360" w:lineRule="auto"/>
        <w:ind w:left="494" w:right="84" w:rightChars="40"/>
        <w:textAlignment w:val="baseline"/>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31DF9DB9">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334A37EA">
      <w:pPr>
        <w:keepNext w:val="0"/>
        <w:keepLines w:val="0"/>
        <w:pageBreakBefore w:val="0"/>
        <w:widowControl w:val="0"/>
        <w:kinsoku/>
        <w:wordWrap w:val="0"/>
        <w:overflowPunct/>
        <w:topLinePunct/>
        <w:autoSpaceDE/>
        <w:autoSpaceDN/>
        <w:bidi w:val="0"/>
        <w:adjustRightInd w:val="0"/>
        <w:snapToGrid w:val="0"/>
        <w:spacing w:line="360" w:lineRule="auto"/>
        <w:ind w:left="1" w:right="84" w:rightChars="40" w:firstLine="48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A为</w:t>
      </w:r>
      <w:r>
        <w:rPr>
          <w:rFonts w:hint="eastAsia" w:ascii="宋体" w:hAnsi="宋体" w:eastAsia="宋体" w:cs="宋体"/>
          <w:color w:val="auto"/>
          <w:spacing w:val="-2"/>
          <w:sz w:val="24"/>
          <w:szCs w:val="24"/>
          <w:highlight w:val="none"/>
          <w:u w:val="single"/>
        </w:rPr>
        <w:t>5%</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A值时，该材料、工程设备单价不予调整；超过</w:t>
      </w:r>
      <w:r>
        <w:rPr>
          <w:rFonts w:hint="eastAsia" w:ascii="宋体" w:hAnsi="宋体" w:eastAsia="宋体" w:cs="宋体"/>
          <w:color w:val="auto"/>
          <w:sz w:val="24"/>
          <w:szCs w:val="24"/>
          <w:highlight w:val="none"/>
        </w:rPr>
        <w:t>A值时，其超过部分可以调整。相关费用按有关规定进行相</w:t>
      </w:r>
      <w:r>
        <w:rPr>
          <w:rFonts w:hint="eastAsia" w:ascii="宋体" w:hAnsi="宋体" w:eastAsia="宋体" w:cs="宋体"/>
          <w:color w:val="auto"/>
          <w:spacing w:val="-1"/>
          <w:sz w:val="24"/>
          <w:szCs w:val="24"/>
          <w:highlight w:val="none"/>
        </w:rPr>
        <w:t>应调整。</w:t>
      </w:r>
    </w:p>
    <w:p w14:paraId="61FACFE5">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中标单价”）低于基准日当月项目所在地工程造价管理机构发布的对应材料、工程设备单价（以下简称“基准单价”），该材料、工程设备的结算单价调整公式为：</w:t>
      </w:r>
    </w:p>
    <w:p w14:paraId="160A9BD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27" embosscolor="#FFFFFF" o:title=""/>
            <o:lock v:ext="edit" grouping="f" rotation="f" text="f" aspectratio="t"/>
            <w10:wrap type="none"/>
            <w10:anchorlock/>
          </v:shape>
          <o:OLEObject Type="Embed" ProgID="Equation.KSEE3" ShapeID="_x0000_i1025" DrawAspect="Content" ObjectID="_1468075725" r:id="rId26">
            <o:LockedField>false</o:LockedField>
          </o:OLEObject>
        </w:object>
      </w:r>
    </w:p>
    <w:p w14:paraId="264AE9E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29" embosscolor="#FFFFFF" o:title=""/>
            <o:lock v:ext="edit" grouping="f" rotation="f" text="f" aspectratio="t"/>
            <w10:wrap type="none"/>
            <w10:anchorlock/>
          </v:shape>
          <o:OLEObject Type="Embed" ProgID="Equation.KSEE3" ShapeID="_x0000_i1026" DrawAspect="Content" ObjectID="_1468075726" r:id="rId28">
            <o:LockedField>false</o:LockedField>
          </o:OLEObject>
        </w:object>
      </w:r>
    </w:p>
    <w:p w14:paraId="0BD9324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lang w:eastAsia="zh-CN"/>
        </w:rPr>
        <w:t>如果中标单价高于基准单价，该材料、工程设备的结算单价调整公式为：</w:t>
      </w:r>
    </w:p>
    <w:p w14:paraId="69F40EA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7" DrawAspect="Content" ObjectID="_1468075727" r:id="rId30">
            <o:LockedField>false</o:LockedField>
          </o:OLEObject>
        </w:object>
      </w:r>
    </w:p>
    <w:p w14:paraId="5974DC1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8" DrawAspect="Content" ObjectID="_1468075728" r:id="rId32">
            <o:LockedField>false</o:LockedField>
          </o:OLEObject>
        </w:object>
      </w:r>
    </w:p>
    <w:p w14:paraId="3B01A8C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kern w:val="0"/>
          <w:sz w:val="24"/>
          <w:szCs w:val="24"/>
          <w:highlight w:val="none"/>
          <w:lang w:eastAsia="zh-CN"/>
        </w: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如果中标单价等于基准单价，该材料、工程设备的结算单价调整公式为：</w:t>
      </w:r>
    </w:p>
    <w:p w14:paraId="1ED9A9A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9" DrawAspect="Content" ObjectID="_1468075729" r:id="rId34">
            <o:LockedField>false</o:LockedField>
          </o:OLEObject>
        </w:object>
      </w:r>
    </w:p>
    <w:p w14:paraId="4089A88F">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30" DrawAspect="Content" ObjectID="_1468075730" r:id="rId36">
            <o:LockedField>false</o:LockedField>
          </o:OLEObject>
        </w:object>
      </w:r>
    </w:p>
    <w:p w14:paraId="3D11AA1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50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11355E4C">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58C4F0ED">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为</w:t>
      </w:r>
      <w:r>
        <w:rPr>
          <w:rFonts w:hint="eastAsia" w:ascii="宋体" w:hAnsi="宋体" w:eastAsia="宋体" w:cs="宋体"/>
          <w:color w:val="auto"/>
          <w:spacing w:val="-4"/>
          <w:sz w:val="24"/>
          <w:szCs w:val="24"/>
          <w:highlight w:val="none"/>
          <w:u w:val="single"/>
        </w:rPr>
        <w:t>10%</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B值时，其超过部分可以调整。相关费</w:t>
      </w:r>
      <w:r>
        <w:rPr>
          <w:rFonts w:hint="eastAsia" w:ascii="宋体" w:hAnsi="宋体" w:eastAsia="宋体" w:cs="宋体"/>
          <w:color w:val="auto"/>
          <w:spacing w:val="-1"/>
          <w:sz w:val="24"/>
          <w:szCs w:val="24"/>
          <w:highlight w:val="none"/>
        </w:rPr>
        <w:t>用按有关规定进行相应调整。</w:t>
      </w:r>
    </w:p>
    <w:p w14:paraId="0C929C0C">
      <w:pPr>
        <w:keepNext w:val="0"/>
        <w:keepLines w:val="0"/>
        <w:pageBreakBefore w:val="0"/>
        <w:widowControl w:val="0"/>
        <w:kinsoku/>
        <w:wordWrap w:val="0"/>
        <w:overflowPunct/>
        <w:topLinePunct/>
        <w:autoSpaceDE/>
        <w:autoSpaceDN/>
        <w:bidi w:val="0"/>
        <w:adjustRightInd w:val="0"/>
        <w:snapToGrid w:val="0"/>
        <w:spacing w:line="360" w:lineRule="auto"/>
        <w:ind w:left="42" w:right="84" w:rightChars="40" w:firstLine="4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4E87059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31" DrawAspect="Content" ObjectID="_1468075731" r:id="rId38">
            <o:LockedField>false</o:LockedField>
          </o:OLEObject>
        </w:object>
      </w:r>
    </w:p>
    <w:p w14:paraId="34F498E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2" DrawAspect="Content" ObjectID="_1468075732" r:id="rId40">
            <o:LockedField>false</o:LockedField>
          </o:OLEObject>
        </w:object>
      </w:r>
    </w:p>
    <w:p w14:paraId="6278AC5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59699355">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3" DrawAspect="Content" ObjectID="_1468075733" r:id="rId42">
            <o:LockedField>false</o:LockedField>
          </o:OLEObject>
        </w:object>
      </w:r>
    </w:p>
    <w:p w14:paraId="0D3B96B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4" DrawAspect="Content" ObjectID="_1468075734" r:id="rId44">
            <o:LockedField>false</o:LockedField>
          </o:OLEObject>
        </w:object>
      </w:r>
    </w:p>
    <w:p w14:paraId="42D0419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66D0721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5" DrawAspect="Content" ObjectID="_1468075735" r:id="rId46">
            <o:LockedField>false</o:LockedField>
          </o:OLEObject>
        </w:object>
      </w:r>
    </w:p>
    <w:p w14:paraId="655A7F6A">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04"/>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6" DrawAspect="Content" ObjectID="_1468075736" r:id="rId48">
            <o:LockedField>false</o:LockedField>
          </o:OLEObject>
        </w:object>
      </w:r>
    </w:p>
    <w:p w14:paraId="54704D3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0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33FCFF2E">
      <w:pPr>
        <w:keepNext w:val="0"/>
        <w:keepLines w:val="0"/>
        <w:pageBreakBefore w:val="0"/>
        <w:widowControl w:val="0"/>
        <w:kinsoku/>
        <w:wordWrap w:val="0"/>
        <w:overflowPunct/>
        <w:topLinePunct/>
        <w:autoSpaceDE/>
        <w:autoSpaceDN/>
        <w:bidi w:val="0"/>
        <w:adjustRightInd w:val="0"/>
        <w:snapToGrid w:val="0"/>
        <w:spacing w:line="360" w:lineRule="auto"/>
        <w:ind w:left="484"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3F8D3940">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暂估价项目按第一章第三节“投标人须知正文”第</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条的规定确定专业工程承包人（或材料供应商、工程设备供应商）后，将专业工程合同价款（或材料单价、工程设备单价）取代相应暂估价，并调整合同价款。</w:t>
      </w:r>
      <w:r>
        <w:rPr>
          <w:rFonts w:hint="eastAsia" w:ascii="宋体" w:hAnsi="宋体" w:eastAsia="宋体" w:cs="宋体"/>
          <w:color w:val="auto"/>
          <w:spacing w:val="-1"/>
          <w:sz w:val="24"/>
          <w:szCs w:val="24"/>
          <w:highlight w:val="none"/>
        </w:rPr>
        <w:t>结算时暂估价（若有）中所列的材料（设备）数量按实际发生数量计算；承包人须提供材料（设备）的发票及购销合同，以实际采购单价为</w:t>
      </w:r>
      <w:r>
        <w:rPr>
          <w:rFonts w:hint="eastAsia" w:ascii="宋体" w:hAnsi="宋体" w:eastAsia="宋体" w:cs="宋体"/>
          <w:color w:val="auto"/>
          <w:spacing w:val="-1"/>
          <w:sz w:val="24"/>
          <w:szCs w:val="24"/>
          <w:highlight w:val="none"/>
          <w:lang w:val="en-US" w:eastAsia="zh-CN"/>
        </w:rPr>
        <w:t>结算依据之一</w:t>
      </w:r>
      <w:r>
        <w:rPr>
          <w:rFonts w:hint="eastAsia" w:ascii="宋体" w:hAnsi="宋体" w:eastAsia="宋体" w:cs="宋体"/>
          <w:color w:val="auto"/>
          <w:spacing w:val="-1"/>
          <w:sz w:val="24"/>
          <w:szCs w:val="24"/>
          <w:highlight w:val="none"/>
        </w:rPr>
        <w:t>，但不得高于本次招标工程量清单中的材料（设备）单价</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各部分暂估价的结算价不得超过暂估价。</w:t>
      </w:r>
    </w:p>
    <w:p w14:paraId="15462EB6">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14665A62">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按照分部分项的人工费与施工机具费之和及投标费率计取。本招标项目的预算包干内容包括：施工雨水、污水的排除；因地形影响造成的场内料具二次运输；20米高以下的工程用水加压措施；施工材料堆放场地的整理；机电安装后的补洞</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槽</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工料费；工程成品保护费；施工中的临时停水停电；基础埋深2米以内挖土方的塌方；日间照明施工增加费</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不包括地下室和特殊工程</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；完工清场后的垃圾外运；地上</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地下</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设施，建筑物的临时保护设施费和二次加工基地设施费；雨季施工增加费；</w:t>
      </w:r>
      <w:r>
        <w:rPr>
          <w:rFonts w:hint="eastAsia" w:ascii="宋体" w:hAnsi="宋体" w:eastAsia="宋体" w:cs="宋体"/>
          <w:color w:val="auto"/>
          <w:spacing w:val="-8"/>
          <w:sz w:val="24"/>
          <w:szCs w:val="24"/>
          <w:highlight w:val="none"/>
          <w:lang w:eastAsia="zh-CN"/>
        </w:rPr>
        <w:t>已完成</w:t>
      </w:r>
      <w:r>
        <w:rPr>
          <w:rFonts w:hint="eastAsia" w:ascii="宋体" w:hAnsi="宋体" w:eastAsia="宋体" w:cs="宋体"/>
          <w:color w:val="auto"/>
          <w:spacing w:val="-8"/>
          <w:sz w:val="24"/>
          <w:szCs w:val="24"/>
          <w:highlight w:val="none"/>
        </w:rPr>
        <w:t>工程及设备保护等。</w:t>
      </w:r>
    </w:p>
    <w:p w14:paraId="1A387566">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w:t>
      </w:r>
      <w:r>
        <w:rPr>
          <w:rFonts w:hint="eastAsia" w:ascii="宋体" w:hAnsi="宋体" w:eastAsia="宋体" w:cs="宋体"/>
          <w:color w:val="auto"/>
          <w:spacing w:val="-8"/>
          <w:sz w:val="24"/>
          <w:szCs w:val="24"/>
          <w:highlight w:val="none"/>
          <w:lang w:eastAsia="zh-CN"/>
        </w:rPr>
        <w:t>《建设工程工程量清单</w:t>
      </w:r>
      <w:r>
        <w:rPr>
          <w:rFonts w:hint="eastAsia" w:ascii="宋体" w:hAnsi="宋体" w:eastAsia="宋体" w:cs="宋体"/>
          <w:snapToGrid w:val="0"/>
          <w:color w:val="auto"/>
          <w:kern w:val="0"/>
          <w:sz w:val="24"/>
          <w:szCs w:val="24"/>
          <w:highlight w:val="none"/>
          <w:lang w:eastAsia="zh-CN"/>
        </w:rPr>
        <w:t>计价</w:t>
      </w:r>
      <w:r>
        <w:rPr>
          <w:rFonts w:hint="eastAsia" w:ascii="宋体" w:hAnsi="宋体" w:eastAsia="宋体" w:cs="宋体"/>
          <w:color w:val="auto"/>
          <w:spacing w:val="-8"/>
          <w:sz w:val="24"/>
          <w:szCs w:val="24"/>
          <w:highlight w:val="none"/>
          <w:lang w:eastAsia="zh-CN"/>
        </w:rPr>
        <w:t>标准》（GB/T50500-2024）</w:t>
      </w:r>
      <w:r>
        <w:rPr>
          <w:rFonts w:hint="eastAsia" w:ascii="宋体" w:hAnsi="宋体" w:eastAsia="宋体" w:cs="宋体"/>
          <w:color w:val="auto"/>
          <w:spacing w:val="-8"/>
          <w:sz w:val="24"/>
          <w:szCs w:val="24"/>
          <w:highlight w:val="none"/>
        </w:rPr>
        <w:t>有关规定执行。</w:t>
      </w:r>
    </w:p>
    <w:p w14:paraId="32357AB3">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凡将引起合同价款调增的事项，承包人必须于拟实施14天前，将详细的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241E4322">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FE55D7E">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0BD6A91D">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w:t>
      </w:r>
      <w:r>
        <w:rPr>
          <w:rFonts w:hint="eastAsia" w:ascii="宋体" w:hAnsi="宋体" w:eastAsia="宋体" w:cs="宋体"/>
          <w:snapToGrid w:val="0"/>
          <w:color w:val="auto"/>
          <w:kern w:val="0"/>
          <w:sz w:val="24"/>
          <w:szCs w:val="24"/>
          <w:highlight w:val="none"/>
          <w:lang w:eastAsia="zh-CN"/>
        </w:rPr>
        <w:t>结算</w:t>
      </w:r>
      <w:r>
        <w:rPr>
          <w:rFonts w:hint="eastAsia" w:ascii="宋体" w:hAnsi="宋体" w:eastAsia="宋体" w:cs="宋体"/>
          <w:color w:val="auto"/>
          <w:spacing w:val="-2"/>
          <w:sz w:val="24"/>
          <w:szCs w:val="24"/>
          <w:highlight w:val="none"/>
        </w:rPr>
        <w:t>。</w:t>
      </w:r>
    </w:p>
    <w:p w14:paraId="102BFEFD">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pacing w:val="-1"/>
          <w:sz w:val="24"/>
          <w:szCs w:val="24"/>
          <w:highlight w:val="none"/>
        </w:rPr>
        <w:t>加的费用和（或）工期延误由承包人承担。</w:t>
      </w:r>
    </w:p>
    <w:p w14:paraId="00ED6500">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电商平台价格（优先从京东、国美、苏宁等大型电商平台查询取其平均价）；若以上方式均无法确定材料价格的，则采用厂商报价或市场询价等方式取得有合法依据的市场价格，报发包人确认。</w:t>
      </w:r>
    </w:p>
    <w:p w14:paraId="3FEAE3DD">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1"/>
          <w:sz w:val="24"/>
          <w:szCs w:val="24"/>
          <w:highlight w:val="none"/>
          <w:lang w:val="en-US" w:eastAsia="zh-CN"/>
        </w:rPr>
      </w:pPr>
      <w:r>
        <w:rPr>
          <w:rFonts w:hint="default" w:ascii="宋体" w:hAnsi="宋体" w:eastAsia="宋体" w:cs="宋体"/>
          <w:color w:val="auto"/>
          <w:spacing w:val="-1"/>
          <w:sz w:val="24"/>
          <w:szCs w:val="24"/>
          <w:highlight w:val="none"/>
          <w:lang w:val="en-US" w:eastAsia="zh-CN"/>
        </w:rPr>
        <w:t>2.10</w:t>
      </w:r>
      <w:r>
        <w:rPr>
          <w:rFonts w:hint="eastAsia" w:ascii="宋体" w:hAnsi="宋体" w:eastAsia="宋体" w:cs="宋体"/>
          <w:color w:val="auto"/>
          <w:spacing w:val="-1"/>
          <w:sz w:val="24"/>
          <w:szCs w:val="24"/>
          <w:highlight w:val="none"/>
          <w:lang w:val="en-US" w:eastAsia="zh-CN"/>
        </w:rPr>
        <w:t>发包人有权根据本项目建设的实际情况调整建设规模或减少建设内容，如出现因特殊原因取消某子项目的建设，则该子项目未完成的工作内容及费用相应扣减，承包人不得因此向发包人提出额外的费用补偿或索赔，并且必须按调整后的规模及内容完成项目建设。</w:t>
      </w:r>
    </w:p>
    <w:p w14:paraId="37B1CE9C">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1"/>
          <w:sz w:val="24"/>
          <w:szCs w:val="24"/>
          <w:highlight w:val="none"/>
          <w:lang w:val="en-US" w:eastAsia="zh-CN"/>
        </w:rPr>
      </w:pPr>
      <w:r>
        <w:rPr>
          <w:rFonts w:hint="default" w:ascii="宋体" w:hAnsi="宋体" w:eastAsia="宋体" w:cs="宋体"/>
          <w:color w:val="auto"/>
          <w:spacing w:val="-1"/>
          <w:sz w:val="24"/>
          <w:szCs w:val="24"/>
          <w:highlight w:val="none"/>
          <w:lang w:val="en-US" w:eastAsia="zh-CN"/>
        </w:rPr>
        <w:t>2.1</w:t>
      </w:r>
      <w:r>
        <w:rPr>
          <w:rFonts w:hint="eastAsia" w:ascii="宋体" w:hAnsi="宋体" w:eastAsia="宋体" w:cs="宋体"/>
          <w:color w:val="auto"/>
          <w:spacing w:val="-1"/>
          <w:sz w:val="24"/>
          <w:szCs w:val="24"/>
          <w:highlight w:val="none"/>
          <w:lang w:val="en-US" w:eastAsia="zh-CN"/>
        </w:rPr>
        <w:t>1如项目实施过程中发生了工程变更及工程签证，承包人需根据发包人发布的 《工程变更管理办法》和《工程签证管理办法》完善工程变更签证相关程序。</w:t>
      </w:r>
    </w:p>
    <w:p w14:paraId="69FF8DD4">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rPr>
        <w:t>2.1</w:t>
      </w: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项目实施过程中涉及工程造价控制、计量、价差调整等事项，最终以</w:t>
      </w:r>
      <w:r>
        <w:rPr>
          <w:rFonts w:hint="eastAsia" w:ascii="宋体" w:hAnsi="宋体" w:eastAsia="宋体" w:cs="宋体"/>
          <w:b/>
          <w:bCs/>
          <w:color w:val="auto"/>
          <w:spacing w:val="-1"/>
          <w:sz w:val="24"/>
          <w:szCs w:val="24"/>
          <w:highlight w:val="none"/>
          <w:lang w:eastAsia="zh-CN"/>
        </w:rPr>
        <w:t>发包人</w:t>
      </w:r>
      <w:r>
        <w:rPr>
          <w:rFonts w:hint="eastAsia" w:ascii="宋体" w:hAnsi="宋体" w:eastAsia="宋体" w:cs="宋体"/>
          <w:b/>
          <w:bCs/>
          <w:color w:val="auto"/>
          <w:spacing w:val="-1"/>
          <w:sz w:val="24"/>
          <w:szCs w:val="24"/>
          <w:highlight w:val="none"/>
        </w:rPr>
        <w:t>或其指定的审核机构的审定意见为准。</w:t>
      </w:r>
    </w:p>
    <w:p w14:paraId="672F0790">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1"/>
          <w:sz w:val="24"/>
          <w:szCs w:val="24"/>
          <w:highlight w:val="none"/>
        </w:rPr>
      </w:pPr>
      <w:r>
        <w:rPr>
          <w:rFonts w:hint="default" w:ascii="宋体" w:hAnsi="宋体" w:eastAsia="宋体" w:cs="宋体"/>
          <w:color w:val="auto"/>
          <w:spacing w:val="-1"/>
          <w:sz w:val="24"/>
          <w:szCs w:val="24"/>
          <w:highlight w:val="none"/>
          <w:lang w:val="en-US" w:eastAsia="zh-CN"/>
        </w:rPr>
        <w:t>2.1</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rPr>
        <w:t>为防止</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高估冒算，如属于</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或者其委托造价咨询企业原因造成所申报结算款超出</w:t>
      </w:r>
      <w:r>
        <w:rPr>
          <w:rFonts w:hint="eastAsia" w:ascii="宋体" w:hAnsi="宋体" w:eastAsia="宋体" w:cs="宋体"/>
          <w:color w:val="auto"/>
          <w:spacing w:val="-1"/>
          <w:sz w:val="24"/>
          <w:szCs w:val="24"/>
          <w:highlight w:val="none"/>
          <w:lang w:eastAsia="zh-CN"/>
        </w:rPr>
        <w:t>发包人</w:t>
      </w:r>
      <w:r>
        <w:rPr>
          <w:rFonts w:hint="eastAsia" w:ascii="宋体" w:hAnsi="宋体" w:eastAsia="宋体" w:cs="宋体"/>
          <w:color w:val="auto"/>
          <w:spacing w:val="-1"/>
          <w:sz w:val="24"/>
          <w:szCs w:val="24"/>
          <w:highlight w:val="none"/>
        </w:rPr>
        <w:t>核对或者</w:t>
      </w:r>
      <w:r>
        <w:rPr>
          <w:rFonts w:hint="eastAsia" w:ascii="宋体" w:hAnsi="宋体" w:eastAsia="宋体" w:cs="宋体"/>
          <w:color w:val="auto"/>
          <w:spacing w:val="-1"/>
          <w:sz w:val="24"/>
          <w:szCs w:val="24"/>
          <w:highlight w:val="none"/>
          <w:lang w:eastAsia="zh-CN"/>
        </w:rPr>
        <w:t>发包人</w:t>
      </w:r>
      <w:r>
        <w:rPr>
          <w:rFonts w:hint="eastAsia" w:ascii="宋体" w:hAnsi="宋体" w:eastAsia="宋体" w:cs="宋体"/>
          <w:color w:val="auto"/>
          <w:spacing w:val="-1"/>
          <w:sz w:val="24"/>
          <w:szCs w:val="24"/>
          <w:highlight w:val="none"/>
        </w:rPr>
        <w:t>委托的第三方最终审定结算款的5%时，</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必须承担超出5%部分的核对费用（须向发包人委托的第三方咨询单位支付因此产生的效益收费，收费标准按核减额的4%予以计取），</w:t>
      </w:r>
      <w:r>
        <w:rPr>
          <w:rFonts w:hint="eastAsia" w:ascii="宋体" w:hAnsi="宋体" w:eastAsia="宋体" w:cs="宋体"/>
          <w:color w:val="auto"/>
          <w:spacing w:val="-1"/>
          <w:sz w:val="24"/>
          <w:szCs w:val="24"/>
          <w:highlight w:val="none"/>
          <w:lang w:val="en-US" w:eastAsia="zh-CN"/>
        </w:rPr>
        <w:t>发包</w:t>
      </w:r>
      <w:r>
        <w:rPr>
          <w:rFonts w:hint="eastAsia" w:ascii="宋体" w:hAnsi="宋体" w:eastAsia="宋体" w:cs="宋体"/>
          <w:color w:val="auto"/>
          <w:spacing w:val="-1"/>
          <w:sz w:val="24"/>
          <w:szCs w:val="24"/>
          <w:highlight w:val="none"/>
        </w:rPr>
        <w:t>人有权就结算文件质量偏差率超过规定的5%的情况向市住</w:t>
      </w:r>
      <w:r>
        <w:rPr>
          <w:rFonts w:hint="eastAsia" w:ascii="宋体" w:hAnsi="宋体" w:eastAsia="宋体" w:cs="宋体"/>
          <w:color w:val="auto"/>
          <w:spacing w:val="-1"/>
          <w:sz w:val="24"/>
          <w:szCs w:val="24"/>
          <w:highlight w:val="none"/>
          <w:lang w:eastAsia="zh-CN"/>
        </w:rPr>
        <w:t>房和</w:t>
      </w:r>
      <w:r>
        <w:rPr>
          <w:rFonts w:hint="eastAsia" w:ascii="宋体" w:hAnsi="宋体" w:eastAsia="宋体" w:cs="宋体"/>
          <w:color w:val="auto"/>
          <w:spacing w:val="-1"/>
          <w:sz w:val="24"/>
          <w:szCs w:val="24"/>
          <w:highlight w:val="none"/>
        </w:rPr>
        <w:t>城乡建设主管部门进行举报。</w:t>
      </w:r>
    </w:p>
    <w:p w14:paraId="447F15E2">
      <w:pPr>
        <w:pStyle w:val="2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jc w:val="both"/>
        <w:outlineLvl w:val="2"/>
        <w:rPr>
          <w:rStyle w:val="20"/>
          <w:rFonts w:hint="eastAsia" w:ascii="宋体" w:hAnsi="宋体" w:eastAsia="宋体" w:cs="宋体"/>
          <w:b/>
          <w:bCs/>
          <w:color w:val="auto"/>
          <w:sz w:val="24"/>
          <w:szCs w:val="24"/>
          <w:highlight w:val="none"/>
        </w:rPr>
      </w:pPr>
      <w:bookmarkStart w:id="167" w:name="_Toc11561"/>
      <w:bookmarkStart w:id="168" w:name="_Toc1816"/>
      <w:r>
        <w:rPr>
          <w:rStyle w:val="20"/>
          <w:rFonts w:hint="eastAsia" w:ascii="宋体" w:hAnsi="宋体" w:eastAsia="宋体" w:cs="宋体"/>
          <w:b/>
          <w:bCs/>
          <w:color w:val="auto"/>
          <w:sz w:val="24"/>
          <w:szCs w:val="24"/>
          <w:highlight w:val="none"/>
        </w:rPr>
        <w:t>3. 工程付款办法</w:t>
      </w:r>
      <w:bookmarkEnd w:id="167"/>
      <w:bookmarkEnd w:id="168"/>
    </w:p>
    <w:p w14:paraId="493DDD4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27A708E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196AABE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w:t>
      </w:r>
      <w:r>
        <w:rPr>
          <w:rFonts w:hint="eastAsia" w:ascii="宋体" w:hAnsi="宋体" w:eastAsia="宋体" w:cs="宋体"/>
          <w:snapToGrid w:val="0"/>
          <w:color w:val="auto"/>
          <w:kern w:val="0"/>
          <w:sz w:val="24"/>
          <w:szCs w:val="20"/>
          <w:highlight w:val="none"/>
          <w:lang w:val="en-US" w:eastAsia="zh-CN"/>
        </w:rPr>
        <w:t>扣除安全生产措施费、暂列金额、计日工和专业工程暂估价</w:t>
      </w:r>
      <w:r>
        <w:rPr>
          <w:rFonts w:hint="eastAsia" w:ascii="宋体" w:hAnsi="宋体" w:eastAsia="宋体" w:cs="宋体"/>
          <w:snapToGrid w:val="0"/>
          <w:color w:val="auto"/>
          <w:kern w:val="0"/>
          <w:sz w:val="24"/>
          <w:szCs w:val="20"/>
          <w:highlight w:val="none"/>
          <w:lang w:eastAsia="zh-CN"/>
        </w:rPr>
        <w:t xml:space="preserve">）的 </w:t>
      </w:r>
      <w:r>
        <w:rPr>
          <w:rFonts w:hint="eastAsia" w:ascii="宋体" w:hAnsi="宋体" w:eastAsia="宋体" w:cs="宋体"/>
          <w:snapToGrid w:val="0"/>
          <w:color w:val="auto"/>
          <w:kern w:val="0"/>
          <w:sz w:val="24"/>
          <w:szCs w:val="20"/>
          <w:highlight w:val="none"/>
          <w:lang w:val="en-US" w:eastAsia="zh-CN"/>
        </w:rPr>
        <w:t>1</w:t>
      </w:r>
      <w:r>
        <w:rPr>
          <w:rFonts w:hint="eastAsia" w:ascii="宋体" w:hAnsi="宋体" w:eastAsia="宋体" w:cs="宋体"/>
          <w:snapToGrid w:val="0"/>
          <w:color w:val="auto"/>
          <w:kern w:val="0"/>
          <w:sz w:val="24"/>
          <w:szCs w:val="20"/>
          <w:highlight w:val="none"/>
          <w:lang w:eastAsia="zh-CN"/>
        </w:rPr>
        <w:t>0% 支付。</w:t>
      </w:r>
    </w:p>
    <w:p w14:paraId="3C43863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b/>
          <w:bCs/>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r>
        <w:rPr>
          <w:rFonts w:hint="eastAsia" w:ascii="宋体" w:hAnsi="宋体" w:eastAsia="宋体" w:cs="宋体"/>
          <w:b/>
          <w:bCs/>
          <w:snapToGrid w:val="0"/>
          <w:color w:val="auto"/>
          <w:kern w:val="0"/>
          <w:sz w:val="24"/>
          <w:szCs w:val="20"/>
          <w:highlight w:val="none"/>
          <w:lang w:eastAsia="zh-CN"/>
        </w:rPr>
        <w:t>（预付款保函格式按《住房和城乡建设部关于印发工程保函示范文本的通知》建市〔2021〕11号）执行），且预付款保函期限与总工期一致，承包单位的预付款保函有效期应保证在扣回预付款前有效，未扣回预付款但保函过期的承包人应重新开具预付款保函。</w:t>
      </w:r>
    </w:p>
    <w:p w14:paraId="005B5C2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在提供预付款保函</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20B18AAD">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7天内仍未支付的，承包人可在付款期满后的第8天起暂停施工。发包人应向承包人支付应付款的利息（从付款期满之日起计算，利率按同期银行贷款利率计算），并承担违约责任。</w:t>
      </w:r>
    </w:p>
    <w:p w14:paraId="00A99BA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w:t>
      </w:r>
      <w:r>
        <w:rPr>
          <w:rFonts w:ascii="Times New Roman"/>
          <w:snapToGrid w:val="0"/>
          <w:color w:val="auto"/>
          <w:kern w:val="0"/>
          <w:sz w:val="24"/>
          <w:szCs w:val="24"/>
          <w:highlight w:val="none"/>
        </w:rPr>
        <w:t>预付款</w:t>
      </w:r>
      <w:r>
        <w:rPr>
          <w:rFonts w:ascii="Times New Roman"/>
          <w:snapToGrid w:val="0"/>
          <w:color w:val="auto"/>
          <w:kern w:val="0"/>
          <w:sz w:val="24"/>
          <w:szCs w:val="24"/>
          <w:highlight w:val="none"/>
          <w:u w:val="single"/>
        </w:rPr>
        <w:t>应按每支付期应支付给承包人的工程进度款的30%抵扣</w:t>
      </w:r>
      <w:r>
        <w:rPr>
          <w:rFonts w:ascii="Times New Roman"/>
          <w:snapToGrid w:val="0"/>
          <w:color w:val="auto"/>
          <w:kern w:val="0"/>
          <w:sz w:val="24"/>
          <w:szCs w:val="24"/>
          <w:highlight w:val="none"/>
        </w:rPr>
        <w:t>，直到扣回的金额达到合同约定的预付款金额为止。如因建设工期短导致工程已完工而预付款尚未扣清的，尚未扣清的预付款余额在竣工验收合格后当期应支付的工程款项中一次性扣清。</w:t>
      </w:r>
    </w:p>
    <w:p w14:paraId="4A4AB56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222DF01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w:t>
      </w:r>
      <w:r>
        <w:rPr>
          <w:rFonts w:hint="eastAsia" w:ascii="宋体" w:hAnsi="宋体" w:eastAsia="宋体" w:cs="宋体"/>
          <w:snapToGrid w:val="0"/>
          <w:color w:val="auto"/>
          <w:kern w:val="0"/>
          <w:sz w:val="24"/>
          <w:szCs w:val="20"/>
          <w:highlight w:val="none"/>
          <w:u w:val="single"/>
          <w:lang w:eastAsia="zh-CN"/>
        </w:rPr>
        <w:t>80%</w:t>
      </w:r>
      <w:r>
        <w:rPr>
          <w:rFonts w:hint="eastAsia" w:ascii="宋体" w:hAnsi="宋体" w:eastAsia="宋体" w:cs="宋体"/>
          <w:snapToGrid w:val="0"/>
          <w:color w:val="auto"/>
          <w:kern w:val="0"/>
          <w:sz w:val="24"/>
          <w:szCs w:val="20"/>
          <w:highlight w:val="none"/>
          <w:lang w:eastAsia="zh-CN"/>
        </w:rPr>
        <w:t>申请支付，工程进度款中的作业工人工资款项由发包人单独足额拨付到承包人的工资专户。</w:t>
      </w:r>
    </w:p>
    <w:p w14:paraId="3A7865B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b/>
          <w:bCs/>
          <w:snapToGrid w:val="0"/>
          <w:color w:val="auto"/>
          <w:kern w:val="0"/>
          <w:sz w:val="24"/>
          <w:szCs w:val="20"/>
          <w:highlight w:val="none"/>
          <w:lang w:eastAsia="zh-CN"/>
        </w:rPr>
        <w:t xml:space="preserve"> </w:t>
      </w:r>
      <w:r>
        <w:rPr>
          <w:rFonts w:hint="eastAsia" w:ascii="宋体" w:hAnsi="宋体" w:eastAsia="宋体" w:cs="宋体"/>
          <w:snapToGrid w:val="0"/>
          <w:color w:val="auto"/>
          <w:kern w:val="0"/>
          <w:sz w:val="24"/>
          <w:szCs w:val="20"/>
          <w:highlight w:val="none"/>
          <w:lang w:val="en-US" w:eastAsia="zh-CN"/>
        </w:rPr>
        <w:t>发包人应在工程开工后28天内预付不低于安全生产措施费总额的50%给承包人，其余部分按照提前安排的原则进行分解，并与工程进度款同期支付。</w:t>
      </w:r>
    </w:p>
    <w:p w14:paraId="50B299E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变更工程造价必须经监理单位、第三方造价咨询单位核实，并经发包人核定后方可支付。</w:t>
      </w:r>
    </w:p>
    <w:p w14:paraId="6DECE24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snapToGrid w:val="0"/>
          <w:color w:val="auto"/>
          <w:kern w:val="0"/>
          <w:sz w:val="24"/>
          <w:szCs w:val="20"/>
          <w:highlight w:val="none"/>
          <w:lang w:eastAsia="zh-CN"/>
        </w:rPr>
        <w:t>.</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结算审核完成后，于次月支付至审定总造价的97%（承包人</w:t>
      </w:r>
      <w:r>
        <w:rPr>
          <w:rFonts w:hint="eastAsia" w:ascii="宋体" w:hAnsi="宋体" w:eastAsia="宋体" w:cs="宋体"/>
          <w:snapToGrid w:val="0"/>
          <w:color w:val="auto"/>
          <w:kern w:val="0"/>
          <w:sz w:val="24"/>
          <w:szCs w:val="20"/>
          <w:highlight w:val="none"/>
          <w:lang w:val="en-US" w:eastAsia="zh-CN"/>
        </w:rPr>
        <w:t>按结算审核价</w:t>
      </w:r>
      <w:r>
        <w:rPr>
          <w:rFonts w:hint="eastAsia" w:ascii="宋体" w:hAnsi="宋体" w:eastAsia="宋体" w:cs="宋体"/>
          <w:snapToGrid w:val="0"/>
          <w:color w:val="auto"/>
          <w:kern w:val="0"/>
          <w:sz w:val="24"/>
          <w:szCs w:val="20"/>
          <w:highlight w:val="none"/>
          <w:lang w:eastAsia="zh-CN"/>
        </w:rPr>
        <w:t>提供</w:t>
      </w:r>
      <w:r>
        <w:rPr>
          <w:rFonts w:hint="eastAsia" w:ascii="宋体" w:hAnsi="宋体" w:eastAsia="宋体" w:cs="宋体"/>
          <w:snapToGrid w:val="0"/>
          <w:color w:val="auto"/>
          <w:kern w:val="0"/>
          <w:sz w:val="24"/>
          <w:szCs w:val="20"/>
          <w:highlight w:val="none"/>
          <w:lang w:val="en-US" w:eastAsia="zh-CN"/>
        </w:rPr>
        <w:t>100%</w:t>
      </w:r>
      <w:r>
        <w:rPr>
          <w:rFonts w:hint="eastAsia" w:ascii="宋体" w:hAnsi="宋体" w:eastAsia="宋体" w:cs="宋体"/>
          <w:snapToGrid w:val="0"/>
          <w:color w:val="auto"/>
          <w:kern w:val="0"/>
          <w:sz w:val="24"/>
          <w:szCs w:val="20"/>
          <w:highlight w:val="none"/>
          <w:lang w:eastAsia="zh-CN"/>
        </w:rPr>
        <w:t>发票），剩余3%</w:t>
      </w:r>
      <w:r>
        <w:rPr>
          <w:rFonts w:hint="eastAsia" w:ascii="宋体" w:hAnsi="宋体" w:eastAsia="宋体" w:cs="宋体"/>
          <w:snapToGrid w:val="0"/>
          <w:color w:val="auto"/>
          <w:kern w:val="0"/>
          <w:sz w:val="24"/>
          <w:szCs w:val="20"/>
          <w:highlight w:val="none"/>
          <w:lang w:val="en-US" w:eastAsia="zh-CN"/>
        </w:rPr>
        <w:t xml:space="preserve"> </w:t>
      </w:r>
      <w:r>
        <w:rPr>
          <w:rFonts w:hint="eastAsia" w:ascii="宋体" w:hAnsi="宋体" w:eastAsia="宋体" w:cs="宋体"/>
          <w:snapToGrid w:val="0"/>
          <w:color w:val="auto"/>
          <w:kern w:val="0"/>
          <w:sz w:val="24"/>
          <w:szCs w:val="20"/>
          <w:highlight w:val="none"/>
          <w:lang w:eastAsia="zh-CN"/>
        </w:rPr>
        <w:t>转为质量保证金；承包人提交了等额质量保证担保或质量保证保险的，于次月一次性结清审定总造价。</w:t>
      </w:r>
    </w:p>
    <w:p w14:paraId="41E1DF9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年（自通过竣工验收之日起计算）。缺陷责任期到期后，承包人向发包人申请退还质量保证。发包人收到退还申请后，于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6353F86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00328B5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80％，其余部分待结算完成审核后支付至97%，剩余3%为工程质量保修金</w:t>
      </w:r>
      <w:r>
        <w:rPr>
          <w:rFonts w:hint="eastAsia" w:ascii="宋体" w:hAnsi="宋体" w:eastAsia="宋体" w:cs="宋体"/>
          <w:snapToGrid w:val="0"/>
          <w:color w:val="auto"/>
          <w:kern w:val="0"/>
          <w:sz w:val="24"/>
          <w:szCs w:val="20"/>
          <w:highlight w:val="none"/>
          <w:u w:val="single"/>
          <w:lang w:val="en-US" w:eastAsia="zh-CN"/>
        </w:rPr>
        <w:t>。</w:t>
      </w:r>
    </w:p>
    <w:p w14:paraId="77F77DC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80%支付，剩余部分结算完成后支付至97%，剩余3%为工程质量保修金。</w:t>
      </w:r>
    </w:p>
    <w:p w14:paraId="3EBCEF57">
      <w:pPr>
        <w:keepNext w:val="0"/>
        <w:keepLines w:val="0"/>
        <w:pageBreakBefore w:val="0"/>
        <w:widowControl w:val="0"/>
        <w:kinsoku/>
        <w:wordWrap w:val="0"/>
        <w:overflowPunct/>
        <w:topLinePunct/>
        <w:autoSpaceDE/>
        <w:autoSpaceDN/>
        <w:bidi w:val="0"/>
        <w:adjustRightInd w:val="0"/>
        <w:snapToGrid w:val="0"/>
        <w:spacing w:line="360" w:lineRule="auto"/>
        <w:ind w:left="486" w:right="84" w:rightChars="40"/>
        <w:outlineLvl w:val="2"/>
        <w:rPr>
          <w:rFonts w:hint="eastAsia" w:ascii="宋体" w:hAnsi="宋体" w:eastAsia="宋体" w:cs="宋体"/>
          <w:b/>
          <w:bCs/>
          <w:color w:val="auto"/>
          <w:spacing w:val="-7"/>
          <w:sz w:val="24"/>
          <w:szCs w:val="24"/>
          <w:highlight w:val="none"/>
        </w:rPr>
      </w:pPr>
      <w:bookmarkStart w:id="169" w:name="_Toc464"/>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69"/>
    </w:p>
    <w:p w14:paraId="24FE37E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05D618A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5FD57C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1E097F1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1717F6A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 </w:t>
      </w:r>
    </w:p>
    <w:p w14:paraId="76C4E27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出异议。发包人代支的工资除了从当期工程款内直接扣除外，承包人须按照发包人所垫付的民工工资2倍向发包人支付违约金。 </w:t>
      </w:r>
    </w:p>
    <w:p w14:paraId="70FB13A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承包人应在工资专户开立后2个工作日内，将开户银行及其账号、开户协议等资料提交给发包人。 </w:t>
      </w:r>
    </w:p>
    <w:p w14:paraId="01DF243F">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579242A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（2）用人单位应当在用工之日起15日内为每一位工人办理个人银行账户。</w:t>
      </w:r>
    </w:p>
    <w:p w14:paraId="3BDA4272">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38C0420F">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w:t>
      </w:r>
      <w:r>
        <w:rPr>
          <w:rFonts w:hint="eastAsia" w:ascii="宋体" w:hAnsi="宋体" w:eastAsia="宋体" w:cs="宋体"/>
          <w:color w:val="auto"/>
          <w:spacing w:val="-1"/>
          <w:sz w:val="24"/>
          <w:szCs w:val="24"/>
          <w:highlight w:val="none"/>
          <w:lang w:val="en-US" w:eastAsia="zh-CN"/>
        </w:rPr>
        <w:t>工人 工资</w:t>
      </w:r>
      <w:r>
        <w:rPr>
          <w:rFonts w:hint="eastAsia" w:ascii="宋体" w:hAnsi="宋体" w:eastAsia="宋体" w:cs="宋体"/>
          <w:b w:val="0"/>
          <w:bCs/>
          <w:snapToGrid w:val="0"/>
          <w:color w:val="auto"/>
          <w:kern w:val="0"/>
          <w:sz w:val="24"/>
          <w:szCs w:val="24"/>
          <w:highlight w:val="none"/>
          <w:lang w:val="en-US" w:eastAsia="zh-CN"/>
        </w:rPr>
        <w:t>支付专用账户将工人工资直接支付到工人的个人银行账户，并按月将工人工资</w:t>
      </w:r>
      <w:r>
        <w:rPr>
          <w:rFonts w:hint="eastAsia" w:ascii="宋体" w:hAnsi="宋体" w:eastAsia="宋体" w:cs="宋体"/>
          <w:color w:val="auto"/>
          <w:spacing w:val="-1"/>
          <w:sz w:val="24"/>
          <w:szCs w:val="24"/>
          <w:highlight w:val="none"/>
          <w:lang w:val="en-US" w:eastAsia="zh-CN"/>
        </w:rPr>
        <w:t>支付明细表</w:t>
      </w:r>
      <w:r>
        <w:rPr>
          <w:rFonts w:hint="eastAsia" w:ascii="宋体" w:hAnsi="宋体" w:eastAsia="宋体" w:cs="宋体"/>
          <w:b w:val="0"/>
          <w:bCs/>
          <w:snapToGrid w:val="0"/>
          <w:color w:val="auto"/>
          <w:kern w:val="0"/>
          <w:sz w:val="24"/>
          <w:szCs w:val="24"/>
          <w:highlight w:val="none"/>
          <w:lang w:val="en-US" w:eastAsia="zh-CN"/>
        </w:rPr>
        <w:t>报施工总承包单位和建设单位备案。</w:t>
      </w:r>
    </w:p>
    <w:p w14:paraId="284E923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用人单位未建立、保存用工管理台账，或者伪造相关台账的，按照《广东省劳动保障监察条例》第五十条的规定，由人力资源社会保障部门责令改正，并可处以二千元以上二万元以下的人民币罚款。</w:t>
      </w:r>
    </w:p>
    <w:p w14:paraId="790C16E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5BE3718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0AB2552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C3D88E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0EFE516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i w:val="0"/>
          <w:iCs w:val="0"/>
          <w:snapToGrid w:val="0"/>
          <w:color w:val="auto"/>
          <w:kern w:val="0"/>
          <w:sz w:val="24"/>
          <w:szCs w:val="24"/>
          <w:highlight w:val="none"/>
          <w:lang w:val="en-US" w:eastAsia="zh-CN"/>
        </w:rPr>
        <w:t>4.4.1</w:t>
      </w:r>
      <w:r>
        <w:rPr>
          <w:rFonts w:hint="eastAsia" w:ascii="宋体" w:hAnsi="宋体" w:eastAsia="宋体" w:cs="宋体"/>
          <w:bCs/>
          <w:i w:val="0"/>
          <w:iCs w:val="0"/>
          <w:snapToGrid w:val="0"/>
          <w:color w:val="auto"/>
          <w:kern w:val="0"/>
          <w:sz w:val="24"/>
          <w:szCs w:val="24"/>
          <w:highlight w:val="none"/>
          <w:lang w:val="en-US" w:eastAsia="zh-CN"/>
        </w:rPr>
        <w:t xml:space="preserve"> 本招标项目施工标准工期为</w:t>
      </w:r>
      <w:r>
        <w:rPr>
          <w:rFonts w:hint="eastAsia" w:ascii="宋体" w:hAnsi="宋体" w:eastAsia="宋体" w:cs="宋体"/>
          <w:bCs/>
          <w:i w:val="0"/>
          <w:iCs w:val="0"/>
          <w:snapToGrid w:val="0"/>
          <w:color w:val="auto"/>
          <w:kern w:val="0"/>
          <w:sz w:val="24"/>
          <w:szCs w:val="24"/>
          <w:highlight w:val="none"/>
          <w:u w:val="single"/>
          <w:lang w:val="en-US" w:eastAsia="zh-CN"/>
        </w:rPr>
        <w:t xml:space="preserve"> 180 </w:t>
      </w:r>
      <w:r>
        <w:rPr>
          <w:rFonts w:hint="eastAsia" w:ascii="宋体" w:hAnsi="宋体" w:eastAsia="宋体" w:cs="宋体"/>
          <w:bCs/>
          <w:i w:val="0"/>
          <w:iCs w:val="0"/>
          <w:snapToGrid w:val="0"/>
          <w:color w:val="auto"/>
          <w:kern w:val="0"/>
          <w:sz w:val="24"/>
          <w:szCs w:val="24"/>
          <w:highlight w:val="none"/>
          <w:lang w:val="en-US" w:eastAsia="zh-CN"/>
        </w:rPr>
        <w:t>个日历天，招标工期为</w:t>
      </w:r>
      <w:r>
        <w:rPr>
          <w:rFonts w:hint="eastAsia" w:ascii="宋体" w:hAnsi="宋体" w:eastAsia="宋体" w:cs="宋体"/>
          <w:bCs/>
          <w:i w:val="0"/>
          <w:iCs w:val="0"/>
          <w:snapToGrid w:val="0"/>
          <w:color w:val="auto"/>
          <w:kern w:val="0"/>
          <w:sz w:val="24"/>
          <w:szCs w:val="24"/>
          <w:highlight w:val="none"/>
          <w:u w:val="single"/>
          <w:lang w:val="en-US" w:eastAsia="zh-CN"/>
        </w:rPr>
        <w:t xml:space="preserve"> 180 </w:t>
      </w:r>
      <w:r>
        <w:rPr>
          <w:rFonts w:hint="eastAsia" w:ascii="宋体" w:hAnsi="宋体" w:eastAsia="宋体" w:cs="宋体"/>
          <w:bCs/>
          <w:i w:val="0"/>
          <w:iCs w:val="0"/>
          <w:snapToGrid w:val="0"/>
          <w:color w:val="auto"/>
          <w:kern w:val="0"/>
          <w:sz w:val="24"/>
          <w:szCs w:val="24"/>
          <w:highlight w:val="none"/>
          <w:lang w:val="en-US" w:eastAsia="zh-CN"/>
        </w:rPr>
        <w:t>个日历天，承包人必须在招标工期内完成招标范围内的全部内容</w:t>
      </w:r>
      <w:r>
        <w:rPr>
          <w:rFonts w:hint="eastAsia" w:ascii="宋体" w:hAnsi="宋体" w:eastAsia="宋体" w:cs="宋体"/>
          <w:bCs/>
          <w:snapToGrid w:val="0"/>
          <w:color w:val="auto"/>
          <w:kern w:val="0"/>
          <w:sz w:val="24"/>
          <w:szCs w:val="24"/>
          <w:highlight w:val="none"/>
          <w:lang w:val="en-US" w:eastAsia="zh-CN"/>
        </w:rPr>
        <w:t xml:space="preserve">。 </w:t>
      </w:r>
    </w:p>
    <w:p w14:paraId="76FDE98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671AF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6C2FC8A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11A4352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548935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天，报请建设行政主管部门做不良行为记录，非承包方原因或不可抗力造成延误的除外。 </w:t>
      </w:r>
    </w:p>
    <w:p w14:paraId="5151F61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☑其他说明：（1）因承包人原因，工程没有按期竣工时，承包人须在逾期第壹天起每天按合同价的3‰向发包人返纳逾期竣工违约金。逾期竣工违约金的最高限额为合同价款的10%。</w:t>
      </w:r>
    </w:p>
    <w:p w14:paraId="02B7891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2918FBA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5833793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A0DAD2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8EBA358">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483712D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7F14557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声扬尘、消防爆破、环境卫生、渣土清运、治安保卫等方面的规定，并建立相应规章制度和保障措施。否则由此造成的经济损失和法律责任，均由承包人承担。 </w:t>
      </w:r>
    </w:p>
    <w:p w14:paraId="3CD5C87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承包人应按安全施工有关规定，采取严格、科学的安全防护措施，确保施工人员（包括第三者）的安全，承担由于自身安全防护措施不力所造成的安全事故责任和发生的费用。 </w:t>
      </w:r>
    </w:p>
    <w:p w14:paraId="2B0653C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28D7EF0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2ADAD4E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障措施等资料均应及时报送监理单位和发包人备案。 </w:t>
      </w:r>
    </w:p>
    <w:p w14:paraId="6A320FF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材料的采购和使用 </w:t>
      </w:r>
    </w:p>
    <w:p w14:paraId="1D35062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材料的规格、颜色要求采购。如果变更规格或颜色，必须经发包人同意后，报有关审核部门重新核定单价后方可采购，并相应调整合同价款。材料必须先提供样板给发包人确定其规格、颜色、等级等，发包人同意后方可使用。 </w:t>
      </w:r>
    </w:p>
    <w:p w14:paraId="14E9F47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7875BB0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55587F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46D960E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年（自通过竣工验收之日起计算），在此期间预留金额为结算价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469C1C4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20473DB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2）采用质量保证担保或质量保证保险的，承包人应在竣工验收时向发包人提交有效的商业保函、银行保函或保险合同（或保险单）原件，商业保函、银行保函或保险合同（或保险单）的有效期不得短于缺陷责任期。 </w:t>
      </w:r>
    </w:p>
    <w:p w14:paraId="4A05D64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EF86D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61591BB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6C6D1B9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30E2AD5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记入企业及有关个人诚信档案，并在韶关市住房和城乡建设管理局网站（http://zgj.sg.gov.cn）公示。 </w:t>
      </w:r>
    </w:p>
    <w:p w14:paraId="2B42415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58DC77A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4C55835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1CABF0B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4F229B3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7C19023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40E9B52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（7）项目经理同时承担超过一个工程项目的； </w:t>
      </w:r>
    </w:p>
    <w:p w14:paraId="3E1CBA9F">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01E936B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567BAED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7CB2114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8B76C1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承包人应根据《危险性较大的分部分项工程安全管理规定》（住房和城乡建设部令第 37号）、《住房和城乡建设部办公厅关于实施〈危险性较大的分部分项工程安全管理规定〉有关问题的通知》（建办质〔2018〕31号）、《广东省住房和城乡建设厅关于房屋市政工程危险性较大的分部分项工程安全管理的实施细则的通知》（粤建规范〔2019〕2号）和《广东省安全生产委员会办公室 广东省住房和城乡建设厅关于严格落实危险性较大的分部分项工程“六不施工”要求的通知》（粤安办〔2020〕151号）等有关危险性较大的分部分项工程的法规规定通知，履行建设工程安全生产管理职责。 </w:t>
      </w:r>
    </w:p>
    <w:p w14:paraId="603403E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5B5A7925">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承包人须按照《韶关市建筑垃圾管理条例》（2021年5月1日起施行），将弃土运至发包人指定的场所，否则发包人有权要求承包人无条件将弃土从违约弃土点运至发包人指定的场所并扣除违约金人民币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none"/>
          <w:shd w:val="clear" w:color="auto" w:fill="FFFFFF"/>
          <w:lang w:val="en-US" w:eastAsia="zh-CN" w:bidi="ar-SA"/>
        </w:rPr>
        <w:t>1</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年5月1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4C3BE4B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15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133969C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780874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承包人中标后必须按规定及时缴交工人工资保证金、环境噪声排污费等。 </w:t>
      </w:r>
    </w:p>
    <w:p w14:paraId="4074636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工程质量保修期按《中华人民共和国建筑法》和《建设工程质量管理条例》等相关规定实施。 </w:t>
      </w:r>
    </w:p>
    <w:p w14:paraId="697813B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0CC6AD9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431F086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30DB632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3325F48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254839D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材料违约处理：若发现材料不符合国家标准或发包人在技术规范中规定的标准，视为承包人违约，按现行《建设工程质量管理条例》处理。 </w:t>
      </w:r>
    </w:p>
    <w:p w14:paraId="373C109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成品采购项目在采购前，承包人必须先行书面征求监理人、发包人的同意并一起看样定版后方能实施。未经监理人、发包人同意擅自先行采购和实施的，否则因不符合设计要求返工造成的费用由承包人承担。</w:t>
      </w:r>
    </w:p>
    <w:p w14:paraId="0C86CF2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03C2D13C">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在施工过程中经监理单位日常巡查或抽检发现未达到合格标准，责令承包人进行整改，如未按规定时间进行整改或整改不到位的，每次按5000元缴纳违约金给发包人，在进度款或结算款中一并扣除。</w:t>
      </w:r>
    </w:p>
    <w:p w14:paraId="7B719FDD">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工程质量标准须达到国家验收合格标准。如未达到合格标准，除无偿返工至合格外，还要按合同价款的</w:t>
      </w:r>
      <w:r>
        <w:rPr>
          <w:rFonts w:hint="eastAsia" w:ascii="宋体" w:hAnsi="宋体" w:eastAsia="宋体" w:cs="宋体"/>
          <w:b w:val="0"/>
          <w:bCs/>
          <w:snapToGrid w:val="0"/>
          <w:color w:val="auto"/>
          <w:kern w:val="0"/>
          <w:sz w:val="24"/>
          <w:szCs w:val="24"/>
          <w:highlight w:val="none"/>
          <w:u w:val="single"/>
          <w:lang w:val="en-US" w:eastAsia="zh-CN"/>
        </w:rPr>
        <w:t xml:space="preserve"> 1 </w:t>
      </w:r>
      <w:r>
        <w:rPr>
          <w:rFonts w:hint="eastAsia" w:ascii="宋体" w:hAnsi="宋体" w:eastAsia="宋体" w:cs="宋体"/>
          <w:b w:val="0"/>
          <w:bCs/>
          <w:snapToGrid w:val="0"/>
          <w:color w:val="auto"/>
          <w:kern w:val="0"/>
          <w:sz w:val="24"/>
          <w:szCs w:val="24"/>
          <w:highlight w:val="none"/>
          <w:lang w:val="en-US" w:eastAsia="zh-CN"/>
        </w:rPr>
        <w:t xml:space="preserve">%向招标人支付质量违约金，工期不予顺延。 </w:t>
      </w:r>
    </w:p>
    <w:p w14:paraId="33B5E46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630F88F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w:t>
      </w:r>
    </w:p>
    <w:p w14:paraId="794FC1FE">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伤、死亡等重大责任事故，则承包人应承担全部损失，并按相关法规接受行政处罚；如造成发包人及第三人利益的损害，该等损害赔偿责任均由承包人承担。同时，每出现一次重大责任事故，按人民币50万元缴纳惩罚性违约金。</w:t>
      </w:r>
    </w:p>
    <w:p w14:paraId="57FFA0F7">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4.25.2</w:t>
      </w:r>
      <w:r>
        <w:rPr>
          <w:rFonts w:hint="eastAsia" w:ascii="宋体" w:hAnsi="宋体" w:eastAsia="宋体" w:cs="宋体"/>
          <w:b w:val="0"/>
          <w:bCs/>
          <w:snapToGrid w:val="0"/>
          <w:color w:val="auto"/>
          <w:kern w:val="0"/>
          <w:sz w:val="24"/>
          <w:szCs w:val="24"/>
          <w:highlight w:val="none"/>
          <w:lang w:val="en-US" w:eastAsia="zh-CN"/>
        </w:rPr>
        <w:t xml:space="preserve"> 因施工造成的道路交通中断、通讯中断、管线漏水漏气等责任事故，由承包人承担全部损失。同时，缴纳违约金</w:t>
      </w:r>
      <w:r>
        <w:rPr>
          <w:rFonts w:hint="eastAsia" w:ascii="宋体" w:hAnsi="宋体" w:eastAsia="宋体" w:cs="宋体"/>
          <w:b w:val="0"/>
          <w:bCs/>
          <w:snapToGrid w:val="0"/>
          <w:color w:val="auto"/>
          <w:kern w:val="0"/>
          <w:sz w:val="24"/>
          <w:szCs w:val="24"/>
          <w:highlight w:val="none"/>
          <w:u w:val="none"/>
          <w:lang w:val="en-US" w:eastAsia="zh-CN"/>
        </w:rPr>
        <w:t>1</w:t>
      </w:r>
      <w:r>
        <w:rPr>
          <w:rFonts w:hint="eastAsia" w:ascii="宋体" w:hAnsi="宋体" w:eastAsia="宋体" w:cs="宋体"/>
          <w:b w:val="0"/>
          <w:bCs/>
          <w:snapToGrid w:val="0"/>
          <w:color w:val="auto"/>
          <w:kern w:val="0"/>
          <w:sz w:val="24"/>
          <w:szCs w:val="24"/>
          <w:highlight w:val="none"/>
          <w:lang w:val="en-US" w:eastAsia="zh-CN"/>
        </w:rPr>
        <w:t>万元/次。</w:t>
      </w:r>
    </w:p>
    <w:p w14:paraId="04CBFDD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5A147C8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扣农民工工资总金额2倍的标准向发包人缴纳惩罚性违约金，同时发包人将有关情况报告相关行政主管部门。（若因承包人原因，在工程完工后的第一笔进度款支付完成后，仍申请工人工资的，视为承包人拖欠工人工资）</w:t>
      </w:r>
    </w:p>
    <w:p w14:paraId="0509886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54F09CA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如承包人违反国家、广东省、发包人及合同关于安全文明施工的规定，但尚未造成安全责任事故，承包人应及时改正行为并赔偿相关方的损失，如未及时整改，针对每一违约行为每持续一天应缴纳违约金1000元。</w:t>
      </w:r>
    </w:p>
    <w:p w14:paraId="4E84D1E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承包人必须接受发包人及监理单位组织的安全、文明施工的检查，检查中的不合格项目、安全隐患必须在规定的时间内整改完成，否则每拖延一天处以2000元人民币违约金，直至整改合格。</w:t>
      </w:r>
    </w:p>
    <w:p w14:paraId="3762A11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rPr>
          <w:rFonts w:hint="eastAsia"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3EC9890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4 </w:t>
      </w:r>
      <w:r>
        <w:rPr>
          <w:rFonts w:hint="default" w:ascii="宋体" w:hAnsi="宋体" w:eastAsia="宋体" w:cs="宋体"/>
          <w:b w:val="0"/>
          <w:bCs/>
          <w:snapToGrid w:val="0"/>
          <w:color w:val="auto"/>
          <w:kern w:val="0"/>
          <w:sz w:val="24"/>
          <w:szCs w:val="24"/>
          <w:highlight w:val="none"/>
          <w:lang w:val="en-US" w:eastAsia="zh-CN"/>
        </w:rPr>
        <w:t>承包人现场施工人员存在野蛮施工行为，经现场发包人（含监理单位）管理人员确认后，承包人须按</w:t>
      </w:r>
      <w:r>
        <w:rPr>
          <w:rFonts w:hint="default" w:ascii="宋体" w:hAnsi="宋体" w:eastAsia="宋体" w:cs="宋体"/>
          <w:b w:val="0"/>
          <w:bCs/>
          <w:snapToGrid w:val="0"/>
          <w:color w:val="auto"/>
          <w:kern w:val="0"/>
          <w:sz w:val="24"/>
          <w:szCs w:val="24"/>
          <w:highlight w:val="none"/>
          <w:u w:val="none"/>
          <w:lang w:val="en-US" w:eastAsia="zh-CN"/>
        </w:rPr>
        <w:t>2万</w:t>
      </w:r>
      <w:r>
        <w:rPr>
          <w:rFonts w:hint="default" w:ascii="宋体" w:hAnsi="宋体" w:eastAsia="宋体" w:cs="宋体"/>
          <w:b w:val="0"/>
          <w:bCs/>
          <w:snapToGrid w:val="0"/>
          <w:color w:val="auto"/>
          <w:kern w:val="0"/>
          <w:sz w:val="24"/>
          <w:szCs w:val="24"/>
          <w:highlight w:val="none"/>
          <w:lang w:val="en-US" w:eastAsia="zh-CN"/>
        </w:rPr>
        <w:t>元/次缴纳违约金；如因野蛮施工或未取得夜间施工许可施工并引起投诉或网络问政的，承包人须按</w:t>
      </w:r>
      <w:r>
        <w:rPr>
          <w:rFonts w:hint="default" w:ascii="宋体" w:hAnsi="宋体" w:eastAsia="宋体" w:cs="宋体"/>
          <w:b w:val="0"/>
          <w:bCs/>
          <w:snapToGrid w:val="0"/>
          <w:color w:val="auto"/>
          <w:kern w:val="0"/>
          <w:sz w:val="24"/>
          <w:szCs w:val="24"/>
          <w:highlight w:val="none"/>
          <w:u w:val="none"/>
          <w:lang w:val="en-US" w:eastAsia="zh-CN"/>
        </w:rPr>
        <w:t>0.5</w:t>
      </w:r>
      <w:r>
        <w:rPr>
          <w:rFonts w:hint="default" w:ascii="宋体" w:hAnsi="宋体" w:eastAsia="宋体" w:cs="宋体"/>
          <w:b w:val="0"/>
          <w:bCs/>
          <w:snapToGrid w:val="0"/>
          <w:color w:val="auto"/>
          <w:kern w:val="0"/>
          <w:sz w:val="24"/>
          <w:szCs w:val="24"/>
          <w:highlight w:val="none"/>
          <w:lang w:val="en-US" w:eastAsia="zh-CN"/>
        </w:rPr>
        <w:t>万元/次缴纳违约金；并承担因上述行为所造成的全部责任。</w:t>
      </w:r>
    </w:p>
    <w:p w14:paraId="4D3D835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0D3B48F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在日常检查及相关会议中主要管理人员不到岗，按500元/人/次缴纳违约金给发包人。</w:t>
      </w:r>
    </w:p>
    <w:p w14:paraId="6AB1019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中标人施工资料必须与形象进度同步，如发包人在日常检查中发现不同步的现象的，视为违约并扣除违约金2000元/每次</w:t>
      </w:r>
      <w:r>
        <w:rPr>
          <w:rFonts w:hint="eastAsia" w:ascii="宋体" w:hAnsi="宋体" w:eastAsia="宋体" w:cs="宋体"/>
          <w:b w:val="0"/>
          <w:bCs/>
          <w:snapToGrid w:val="0"/>
          <w:color w:val="auto"/>
          <w:kern w:val="0"/>
          <w:sz w:val="24"/>
          <w:szCs w:val="24"/>
          <w:highlight w:val="none"/>
          <w:lang w:val="en-US" w:eastAsia="zh-CN"/>
        </w:rPr>
        <w:t>。</w:t>
      </w:r>
    </w:p>
    <w:p w14:paraId="09BA159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承包人没有正当合理的理由中途退场，可扣除承包人已递交的所有履约风险保证金。承包人因上述违约行为而须缴纳的违约金在工程进度款中或结算时一并扣除。</w:t>
      </w:r>
    </w:p>
    <w:p w14:paraId="3A14451C">
      <w:pPr>
        <w:keepNext w:val="0"/>
        <w:keepLines w:val="0"/>
        <w:widowControl w:val="0"/>
        <w:kinsoku/>
        <w:wordWrap w:val="0"/>
        <w:topLinePunct/>
        <w:autoSpaceDE/>
        <w:autoSpaceDN/>
        <w:spacing w:line="360" w:lineRule="auto"/>
        <w:ind w:right="84" w:rightChars="40" w:firstLine="482" w:firstLineChars="200"/>
        <w:rPr>
          <w:rFonts w:hint="eastAsia" w:ascii="宋体" w:hAnsi="宋体" w:eastAsia="宋体" w:cs="宋体"/>
          <w:b w:val="0"/>
          <w:bCs/>
          <w:i w:val="0"/>
          <w:iCs w:val="0"/>
          <w:caps w:val="0"/>
          <w:color w:val="auto"/>
          <w:spacing w:val="0"/>
          <w:sz w:val="24"/>
          <w:szCs w:val="24"/>
          <w:highlight w:val="none"/>
          <w:shd w:val="clear"/>
          <w:lang w:eastAsia="zh-CN"/>
        </w:rPr>
      </w:pPr>
      <w:r>
        <w:rPr>
          <w:rFonts w:hint="default" w:ascii="宋体" w:hAnsi="宋体" w:eastAsia="宋体" w:cs="宋体"/>
          <w:b/>
          <w:bCs w:val="0"/>
          <w:color w:val="auto"/>
          <w:sz w:val="24"/>
          <w:szCs w:val="24"/>
          <w:highlight w:val="none"/>
          <w:lang w:val="en-US" w:eastAsia="zh-CN"/>
        </w:rPr>
        <w:t>5.</w:t>
      </w:r>
      <w:r>
        <w:rPr>
          <w:rFonts w:hint="eastAsia" w:ascii="宋体" w:hAnsi="宋体" w:eastAsia="宋体" w:cs="宋体"/>
          <w:b w:val="0"/>
          <w:bCs/>
          <w:i w:val="0"/>
          <w:iCs w:val="0"/>
          <w:caps w:val="0"/>
          <w:color w:val="auto"/>
          <w:spacing w:val="0"/>
          <w:sz w:val="24"/>
          <w:szCs w:val="24"/>
          <w:highlight w:val="none"/>
          <w:shd w:val="clear"/>
          <w:lang w:eastAsia="zh-CN"/>
        </w:rPr>
        <w:t>甲供主材及设备的接收、安装与保护责任</w:t>
      </w:r>
    </w:p>
    <w:p w14:paraId="5813D55C">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default" w:ascii="宋体" w:hAnsi="宋体" w:eastAsia="宋体" w:cs="宋体"/>
          <w:bCs/>
          <w:color w:val="auto"/>
          <w:sz w:val="24"/>
          <w:szCs w:val="24"/>
          <w:highlight w:val="none"/>
          <w:lang w:val="en-US" w:eastAsia="zh-CN"/>
        </w:rPr>
        <w:t>承包人应严格按照本合同附件</w:t>
      </w:r>
      <w:r>
        <w:rPr>
          <w:rFonts w:hint="eastAsia" w:ascii="宋体" w:hAnsi="宋体" w:eastAsia="宋体" w:cs="宋体"/>
          <w:bCs/>
          <w:color w:val="auto"/>
          <w:sz w:val="24"/>
          <w:szCs w:val="24"/>
          <w:highlight w:val="none"/>
          <w:lang w:val="en-US" w:eastAsia="zh-CN"/>
        </w:rPr>
        <w:t>《甲供主材设备清单》</w:t>
      </w:r>
      <w:r>
        <w:rPr>
          <w:rFonts w:hint="default" w:ascii="宋体" w:hAnsi="宋体" w:eastAsia="宋体" w:cs="宋体"/>
          <w:bCs/>
          <w:color w:val="auto"/>
          <w:sz w:val="24"/>
          <w:szCs w:val="24"/>
          <w:highlight w:val="none"/>
          <w:lang w:val="en-US" w:eastAsia="zh-CN"/>
        </w:rPr>
        <w:t>所列内容，承担以下责任：</w:t>
      </w:r>
    </w:p>
    <w:p w14:paraId="143FFF07">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（1）在甲供主材设备运抵现场后，配合发包人完成接收、保管工作</w:t>
      </w:r>
      <w:r>
        <w:rPr>
          <w:rFonts w:hint="default" w:ascii="宋体" w:hAnsi="宋体" w:eastAsia="宋体" w:cs="宋体"/>
          <w:bCs/>
          <w:color w:val="auto"/>
          <w:sz w:val="24"/>
          <w:szCs w:val="24"/>
          <w:highlight w:val="none"/>
          <w:lang w:val="en-US" w:eastAsia="zh-CN"/>
        </w:rPr>
        <w:t>；</w:t>
      </w:r>
    </w:p>
    <w:p w14:paraId="73DED972">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w:t>
      </w:r>
      <w:r>
        <w:rPr>
          <w:rFonts w:hint="default" w:ascii="宋体" w:hAnsi="宋体" w:eastAsia="宋体" w:cs="宋体"/>
          <w:bCs/>
          <w:color w:val="auto"/>
          <w:sz w:val="24"/>
          <w:szCs w:val="24"/>
          <w:highlight w:val="none"/>
          <w:lang w:val="en-US" w:eastAsia="zh-CN"/>
        </w:rPr>
        <w:t>负责甲供设备的卸货、场内运输、就位及安装（含</w:t>
      </w:r>
      <w:r>
        <w:rPr>
          <w:rFonts w:hint="eastAsia" w:ascii="宋体" w:hAnsi="宋体" w:eastAsia="宋体" w:cs="宋体"/>
          <w:bCs/>
          <w:color w:val="auto"/>
          <w:sz w:val="24"/>
          <w:szCs w:val="24"/>
          <w:highlight w:val="none"/>
          <w:lang w:val="en-US" w:eastAsia="zh-CN"/>
        </w:rPr>
        <w:t>所需</w:t>
      </w:r>
      <w:r>
        <w:rPr>
          <w:rFonts w:hint="default" w:ascii="宋体" w:hAnsi="宋体" w:eastAsia="宋体" w:cs="宋体"/>
          <w:bCs/>
          <w:color w:val="auto"/>
          <w:sz w:val="24"/>
          <w:szCs w:val="24"/>
          <w:highlight w:val="none"/>
          <w:lang w:val="en-US" w:eastAsia="zh-CN"/>
        </w:rPr>
        <w:t>的</w:t>
      </w:r>
      <w:r>
        <w:rPr>
          <w:rFonts w:hint="eastAsia" w:ascii="宋体" w:hAnsi="宋体" w:eastAsia="宋体" w:cs="宋体"/>
          <w:bCs/>
          <w:color w:val="auto"/>
          <w:sz w:val="24"/>
          <w:szCs w:val="24"/>
          <w:highlight w:val="none"/>
          <w:lang w:val="en-US" w:eastAsia="zh-CN"/>
        </w:rPr>
        <w:t>辅材、机具</w:t>
      </w:r>
      <w:r>
        <w:rPr>
          <w:rFonts w:hint="default" w:ascii="宋体" w:hAnsi="宋体" w:eastAsia="宋体" w:cs="宋体"/>
          <w:bCs/>
          <w:color w:val="auto"/>
          <w:sz w:val="24"/>
          <w:szCs w:val="24"/>
          <w:highlight w:val="none"/>
          <w:lang w:val="en-US" w:eastAsia="zh-CN"/>
        </w:rPr>
        <w:t>及</w:t>
      </w:r>
      <w:r>
        <w:rPr>
          <w:rFonts w:hint="eastAsia" w:ascii="宋体" w:hAnsi="宋体" w:eastAsia="宋体" w:cs="宋体"/>
          <w:bCs/>
          <w:color w:val="auto"/>
          <w:sz w:val="24"/>
          <w:szCs w:val="24"/>
          <w:highlight w:val="none"/>
          <w:lang w:val="en-US" w:eastAsia="zh-CN"/>
        </w:rPr>
        <w:t>技术</w:t>
      </w:r>
      <w:r>
        <w:rPr>
          <w:rFonts w:hint="default" w:ascii="宋体" w:hAnsi="宋体" w:eastAsia="宋体" w:cs="宋体"/>
          <w:bCs/>
          <w:color w:val="auto"/>
          <w:sz w:val="24"/>
          <w:szCs w:val="24"/>
          <w:highlight w:val="none"/>
          <w:lang w:val="en-US" w:eastAsia="zh-CN"/>
        </w:rPr>
        <w:t>措施）；</w:t>
      </w:r>
    </w:p>
    <w:p w14:paraId="44FC7F93">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w:t>
      </w:r>
      <w:r>
        <w:rPr>
          <w:rFonts w:hint="default" w:ascii="宋体" w:hAnsi="宋体" w:eastAsia="宋体" w:cs="宋体"/>
          <w:bCs/>
          <w:color w:val="auto"/>
          <w:sz w:val="24"/>
          <w:szCs w:val="24"/>
          <w:highlight w:val="none"/>
          <w:lang w:val="en-US" w:eastAsia="zh-CN"/>
        </w:rPr>
        <w:t>负责甲供设备在安装完成至竣工验收移交期间的成品保护，确保其完好无损；</w:t>
      </w:r>
    </w:p>
    <w:p w14:paraId="4993C819">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w:t>
      </w:r>
      <w:r>
        <w:rPr>
          <w:rFonts w:hint="default" w:ascii="宋体" w:hAnsi="宋体" w:eastAsia="宋体" w:cs="宋体"/>
          <w:bCs/>
          <w:color w:val="auto"/>
          <w:sz w:val="24"/>
          <w:szCs w:val="24"/>
          <w:highlight w:val="none"/>
          <w:lang w:val="en-US" w:eastAsia="zh-CN"/>
        </w:rPr>
        <w:t>配合发包人及相关单位办理甲供设备的进场报验、质量验收、资料归档及政府或行业主管部门要求的各类验收手续；</w:t>
      </w:r>
    </w:p>
    <w:p w14:paraId="550C5245">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default" w:ascii="宋体" w:hAnsi="宋体" w:eastAsia="宋体" w:cs="宋体"/>
          <w:bCs/>
          <w:color w:val="auto"/>
          <w:sz w:val="24"/>
          <w:szCs w:val="24"/>
          <w:highlight w:val="none"/>
          <w:lang w:val="en-US" w:eastAsia="zh-CN"/>
        </w:rPr>
        <w:t>上述工作所涉及的人工、机械、措施、管理及配合等一切费用，均已包含在合同总价中，由承包人自行承担，不再另行计取。</w:t>
      </w:r>
    </w:p>
    <w:p w14:paraId="59D8B12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6.</w:t>
      </w:r>
      <w:r>
        <w:rPr>
          <w:rFonts w:hint="eastAsia" w:ascii="宋体" w:hAnsi="宋体" w:eastAsia="宋体" w:cs="宋体"/>
          <w:b w:val="0"/>
          <w:bCs/>
          <w:snapToGrid w:val="0"/>
          <w:color w:val="auto"/>
          <w:kern w:val="0"/>
          <w:sz w:val="24"/>
          <w:szCs w:val="24"/>
          <w:highlight w:val="none"/>
          <w:lang w:val="en-US" w:eastAsia="zh-CN"/>
        </w:rPr>
        <w:t>其他未尽事宜可由招标人与中标人自行协商在施工合同中约定。</w:t>
      </w:r>
    </w:p>
    <w:p w14:paraId="27206239">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5946EF20">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71069E8E">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20318F7A">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1640FAF2">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3C4B1A80">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3B265CB4">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4AFEF962">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571BC0C7">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187E0098">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outlineLvl w:val="9"/>
        <w:rPr>
          <w:rFonts w:hint="eastAsia" w:ascii="宋体" w:hAnsi="宋体" w:eastAsia="宋体" w:cs="宋体"/>
          <w:b/>
          <w:bCs/>
          <w:color w:val="auto"/>
          <w:spacing w:val="-3"/>
          <w:sz w:val="24"/>
          <w:szCs w:val="24"/>
          <w:highlight w:val="none"/>
        </w:rPr>
      </w:pPr>
      <w:bookmarkStart w:id="170" w:name="bookmark96"/>
      <w:bookmarkEnd w:id="170"/>
    </w:p>
    <w:p w14:paraId="0FA943C1">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3A0C8961">
      <w:pPr>
        <w:keepNext w:val="0"/>
        <w:keepLines w:val="0"/>
        <w:pageBreakBefore w:val="0"/>
        <w:widowControl w:val="0"/>
        <w:kinsoku/>
        <w:wordWrap w:val="0"/>
        <w:overflowPunct/>
        <w:topLinePunct/>
        <w:autoSpaceDE/>
        <w:autoSpaceDN/>
        <w:bidi w:val="0"/>
        <w:adjustRightInd w:val="0"/>
        <w:snapToGrid w:val="0"/>
        <w:spacing w:before="78" w:line="219" w:lineRule="auto"/>
        <w:ind w:left="3273" w:right="84" w:rightChars="40"/>
        <w:outlineLvl w:val="0"/>
        <w:rPr>
          <w:rFonts w:hint="eastAsia" w:ascii="宋体" w:hAnsi="宋体" w:eastAsia="宋体" w:cs="宋体"/>
          <w:color w:val="auto"/>
          <w:highlight w:val="none"/>
        </w:rPr>
      </w:pPr>
      <w:bookmarkStart w:id="171" w:name="_Toc29623"/>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71"/>
    </w:p>
    <w:p w14:paraId="05F2AAB7">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3EDD40F4">
      <w:pPr>
        <w:pStyle w:val="49"/>
        <w:keepNext/>
        <w:keepLines/>
        <w:spacing w:line="360" w:lineRule="auto"/>
        <w:ind w:firstLine="480"/>
        <w:jc w:val="both"/>
        <w:rPr>
          <w:rFonts w:hint="eastAsia" w:hAnsi="宋体"/>
          <w:b/>
          <w:color w:val="auto"/>
          <w:kern w:val="2"/>
          <w:sz w:val="24"/>
          <w:szCs w:val="24"/>
          <w:highlight w:val="none"/>
        </w:rPr>
      </w:pPr>
      <w:bookmarkStart w:id="172" w:name="_Toc16624434"/>
      <w:bookmarkStart w:id="173" w:name="_Toc16624718"/>
      <w:bookmarkStart w:id="174" w:name="_Toc26211"/>
      <w:bookmarkStart w:id="175" w:name="_Toc16624372"/>
      <w:bookmarkStart w:id="176" w:name="_Toc23896"/>
      <w:bookmarkStart w:id="177" w:name="_Toc24726"/>
      <w:bookmarkStart w:id="178" w:name="_Toc8650"/>
      <w:r>
        <w:rPr>
          <w:rFonts w:hint="eastAsia" w:hAnsi="宋体"/>
          <w:b/>
          <w:color w:val="auto"/>
          <w:kern w:val="2"/>
          <w:sz w:val="24"/>
          <w:szCs w:val="24"/>
          <w:highlight w:val="none"/>
        </w:rPr>
        <w:t>1 工程的技术要求</w:t>
      </w:r>
      <w:bookmarkEnd w:id="172"/>
      <w:bookmarkEnd w:id="173"/>
      <w:bookmarkEnd w:id="174"/>
      <w:bookmarkEnd w:id="175"/>
      <w:bookmarkEnd w:id="176"/>
      <w:bookmarkEnd w:id="177"/>
      <w:bookmarkEnd w:id="178"/>
    </w:p>
    <w:p w14:paraId="7D88CDFB">
      <w:pPr>
        <w:spacing w:line="360" w:lineRule="auto"/>
        <w:rPr>
          <w:rFonts w:hAnsi="宋体"/>
          <w:bCs/>
          <w:color w:val="auto"/>
          <w:sz w:val="24"/>
          <w:szCs w:val="24"/>
          <w:highlight w:val="none"/>
        </w:rPr>
      </w:pPr>
      <w:r>
        <w:rPr>
          <w:b/>
          <w:color w:val="auto"/>
          <w:sz w:val="24"/>
          <w:szCs w:val="24"/>
          <w:highlight w:val="none"/>
        </w:rPr>
        <w:t xml:space="preserve">  </w:t>
      </w:r>
      <w:r>
        <w:rPr>
          <w:bCs/>
          <w:color w:val="auto"/>
          <w:sz w:val="24"/>
          <w:szCs w:val="24"/>
          <w:highlight w:val="none"/>
        </w:rPr>
        <w:t xml:space="preserve">  1.1 </w:t>
      </w:r>
      <w:r>
        <w:rPr>
          <w:rFonts w:hAnsi="宋体"/>
          <w:bCs/>
          <w:color w:val="auto"/>
          <w:sz w:val="24"/>
          <w:szCs w:val="24"/>
          <w:highlight w:val="none"/>
        </w:rPr>
        <w:t>本工程必须达到且不限于以下规范的要求：</w:t>
      </w:r>
    </w:p>
    <w:p w14:paraId="2D73ABD9">
      <w:pPr>
        <w:numPr>
          <w:ilvl w:val="0"/>
          <w:numId w:val="4"/>
        </w:numPr>
        <w:spacing w:line="360" w:lineRule="auto"/>
        <w:rPr>
          <w:bCs/>
          <w:color w:val="auto"/>
          <w:sz w:val="24"/>
          <w:szCs w:val="24"/>
          <w:highlight w:val="none"/>
        </w:rPr>
      </w:pPr>
      <w:r>
        <w:rPr>
          <w:bCs/>
          <w:color w:val="auto"/>
          <w:sz w:val="24"/>
          <w:szCs w:val="24"/>
          <w:highlight w:val="none"/>
        </w:rPr>
        <w:t>《</w:t>
      </w:r>
      <w:r>
        <w:rPr>
          <w:rFonts w:hint="eastAsia"/>
          <w:bCs/>
          <w:color w:val="auto"/>
          <w:sz w:val="24"/>
          <w:szCs w:val="24"/>
          <w:highlight w:val="none"/>
          <w:lang w:eastAsia="zh-CN"/>
        </w:rPr>
        <w:t>光伏发电站设计标准</w:t>
      </w:r>
      <w:r>
        <w:rPr>
          <w:bCs/>
          <w:color w:val="auto"/>
          <w:sz w:val="24"/>
          <w:szCs w:val="24"/>
          <w:highlight w:val="none"/>
        </w:rPr>
        <w:t>》</w:t>
      </w:r>
      <w:r>
        <w:rPr>
          <w:rFonts w:hint="eastAsia" w:eastAsia="宋体"/>
          <w:bCs/>
          <w:color w:val="auto"/>
          <w:sz w:val="24"/>
          <w:szCs w:val="24"/>
          <w:highlight w:val="none"/>
          <w:lang w:eastAsia="zh-CN"/>
        </w:rPr>
        <w:t>（</w:t>
      </w:r>
      <w:r>
        <w:rPr>
          <w:bCs/>
          <w:color w:val="auto"/>
          <w:sz w:val="24"/>
          <w:szCs w:val="24"/>
          <w:highlight w:val="none"/>
        </w:rPr>
        <w:t xml:space="preserve"> </w:t>
      </w:r>
      <w:r>
        <w:rPr>
          <w:rFonts w:hint="eastAsia"/>
          <w:bCs/>
          <w:color w:val="auto"/>
          <w:sz w:val="24"/>
          <w:szCs w:val="24"/>
          <w:highlight w:val="none"/>
          <w:lang w:eastAsia="zh-CN"/>
        </w:rPr>
        <w:t>GB 50797-2012[2024年局部修订]）</w:t>
      </w:r>
      <w:r>
        <w:rPr>
          <w:bCs/>
          <w:color w:val="auto"/>
          <w:sz w:val="24"/>
          <w:szCs w:val="24"/>
          <w:highlight w:val="none"/>
        </w:rPr>
        <w:t xml:space="preserve"> </w:t>
      </w:r>
    </w:p>
    <w:p w14:paraId="189CF45F">
      <w:pPr>
        <w:numPr>
          <w:ilvl w:val="0"/>
          <w:numId w:val="4"/>
        </w:numPr>
        <w:spacing w:line="360" w:lineRule="auto"/>
        <w:rPr>
          <w:bCs/>
          <w:color w:val="auto"/>
          <w:sz w:val="24"/>
          <w:szCs w:val="24"/>
          <w:highlight w:val="none"/>
        </w:rPr>
      </w:pPr>
      <w:r>
        <w:rPr>
          <w:bCs/>
          <w:color w:val="auto"/>
          <w:sz w:val="24"/>
          <w:szCs w:val="24"/>
          <w:highlight w:val="none"/>
        </w:rPr>
        <w:t>《分布式电源孤岛运行控制规范》</w:t>
      </w:r>
      <w:r>
        <w:rPr>
          <w:rFonts w:hint="eastAsia" w:eastAsia="宋体"/>
          <w:bCs/>
          <w:color w:val="auto"/>
          <w:sz w:val="24"/>
          <w:szCs w:val="24"/>
          <w:highlight w:val="none"/>
          <w:lang w:eastAsia="zh-CN"/>
        </w:rPr>
        <w:t>（NB/T 33013-2024）</w:t>
      </w:r>
      <w:r>
        <w:rPr>
          <w:bCs/>
          <w:color w:val="auto"/>
          <w:sz w:val="24"/>
          <w:szCs w:val="24"/>
          <w:highlight w:val="none"/>
        </w:rPr>
        <w:t xml:space="preserve"> </w:t>
      </w:r>
    </w:p>
    <w:p w14:paraId="1DC761F0">
      <w:pPr>
        <w:numPr>
          <w:ilvl w:val="0"/>
          <w:numId w:val="4"/>
        </w:numPr>
        <w:spacing w:line="360" w:lineRule="auto"/>
        <w:rPr>
          <w:bCs/>
          <w:color w:val="auto"/>
          <w:sz w:val="24"/>
          <w:szCs w:val="24"/>
          <w:highlight w:val="none"/>
        </w:rPr>
      </w:pPr>
      <w:r>
        <w:rPr>
          <w:bCs/>
          <w:color w:val="auto"/>
          <w:sz w:val="24"/>
          <w:szCs w:val="24"/>
          <w:highlight w:val="none"/>
        </w:rPr>
        <w:t>《分布式电源接入电网监控系统功能规范》</w:t>
      </w:r>
      <w:r>
        <w:rPr>
          <w:rFonts w:hint="eastAsia" w:eastAsia="宋体"/>
          <w:bCs/>
          <w:color w:val="auto"/>
          <w:sz w:val="24"/>
          <w:szCs w:val="24"/>
          <w:highlight w:val="none"/>
          <w:lang w:eastAsia="zh-CN"/>
        </w:rPr>
        <w:t>（</w:t>
      </w:r>
      <w:r>
        <w:rPr>
          <w:bCs/>
          <w:color w:val="auto"/>
          <w:sz w:val="24"/>
          <w:szCs w:val="24"/>
          <w:highlight w:val="none"/>
        </w:rPr>
        <w:t>NB/T 33012-2014</w:t>
      </w:r>
      <w:r>
        <w:rPr>
          <w:rFonts w:hint="eastAsia" w:eastAsia="宋体"/>
          <w:bCs/>
          <w:color w:val="auto"/>
          <w:sz w:val="24"/>
          <w:szCs w:val="24"/>
          <w:highlight w:val="none"/>
          <w:lang w:eastAsia="zh-CN"/>
        </w:rPr>
        <w:t>）</w:t>
      </w:r>
      <w:r>
        <w:rPr>
          <w:bCs/>
          <w:color w:val="auto"/>
          <w:sz w:val="24"/>
          <w:szCs w:val="24"/>
          <w:highlight w:val="none"/>
        </w:rPr>
        <w:t xml:space="preserve"> </w:t>
      </w:r>
    </w:p>
    <w:p w14:paraId="42023BFC">
      <w:pPr>
        <w:numPr>
          <w:ilvl w:val="0"/>
          <w:numId w:val="4"/>
        </w:numPr>
        <w:spacing w:line="360" w:lineRule="auto"/>
        <w:rPr>
          <w:bCs/>
          <w:color w:val="auto"/>
          <w:sz w:val="24"/>
          <w:szCs w:val="24"/>
          <w:highlight w:val="none"/>
        </w:rPr>
      </w:pPr>
      <w:r>
        <w:rPr>
          <w:bCs/>
          <w:color w:val="auto"/>
          <w:sz w:val="24"/>
          <w:szCs w:val="24"/>
          <w:highlight w:val="none"/>
        </w:rPr>
        <w:t>《分布式电源接入电网运行控制规范》</w:t>
      </w:r>
      <w:r>
        <w:rPr>
          <w:rFonts w:hint="eastAsia" w:eastAsia="宋体"/>
          <w:bCs/>
          <w:color w:val="auto"/>
          <w:sz w:val="24"/>
          <w:szCs w:val="24"/>
          <w:highlight w:val="none"/>
          <w:lang w:eastAsia="zh-CN"/>
        </w:rPr>
        <w:t>（</w:t>
      </w:r>
      <w:r>
        <w:rPr>
          <w:bCs/>
          <w:color w:val="auto"/>
          <w:sz w:val="24"/>
          <w:szCs w:val="24"/>
          <w:highlight w:val="none"/>
        </w:rPr>
        <w:t>NB/T 33010-2014</w:t>
      </w:r>
      <w:r>
        <w:rPr>
          <w:rFonts w:hint="eastAsia" w:eastAsia="宋体"/>
          <w:bCs/>
          <w:color w:val="auto"/>
          <w:sz w:val="24"/>
          <w:szCs w:val="24"/>
          <w:highlight w:val="none"/>
          <w:lang w:eastAsia="zh-CN"/>
        </w:rPr>
        <w:t>）</w:t>
      </w:r>
      <w:r>
        <w:rPr>
          <w:bCs/>
          <w:color w:val="auto"/>
          <w:sz w:val="24"/>
          <w:szCs w:val="24"/>
          <w:highlight w:val="none"/>
        </w:rPr>
        <w:t xml:space="preserve"> </w:t>
      </w:r>
    </w:p>
    <w:p w14:paraId="055CC5EA">
      <w:pPr>
        <w:numPr>
          <w:ilvl w:val="0"/>
          <w:numId w:val="4"/>
        </w:numPr>
        <w:spacing w:line="360" w:lineRule="auto"/>
        <w:rPr>
          <w:rFonts w:ascii="Times New Roman"/>
          <w:bCs/>
          <w:color w:val="auto"/>
          <w:sz w:val="24"/>
          <w:szCs w:val="24"/>
          <w:highlight w:val="none"/>
        </w:rPr>
      </w:pPr>
      <w:r>
        <w:rPr>
          <w:rFonts w:ascii="Times New Roman"/>
          <w:bCs/>
          <w:color w:val="auto"/>
          <w:sz w:val="24"/>
          <w:szCs w:val="24"/>
          <w:highlight w:val="none"/>
        </w:rPr>
        <w:t>《光伏发电站接入电力系统技术规定》</w:t>
      </w:r>
      <w:r>
        <w:rPr>
          <w:rFonts w:hint="eastAsia" w:ascii="Times New Roman" w:eastAsia="宋体"/>
          <w:bCs/>
          <w:color w:val="auto"/>
          <w:sz w:val="24"/>
          <w:szCs w:val="24"/>
          <w:highlight w:val="none"/>
          <w:lang w:eastAsia="zh-CN"/>
        </w:rPr>
        <w:t>（</w:t>
      </w:r>
      <w:r>
        <w:rPr>
          <w:rFonts w:ascii="Times New Roman"/>
          <w:bCs/>
          <w:color w:val="auto"/>
          <w:sz w:val="24"/>
          <w:szCs w:val="24"/>
          <w:highlight w:val="none"/>
        </w:rPr>
        <w:t>GB/T 19964-2024</w:t>
      </w:r>
      <w:r>
        <w:rPr>
          <w:rFonts w:hint="eastAsia" w:ascii="Times New Roman" w:eastAsia="宋体"/>
          <w:bCs/>
          <w:color w:val="auto"/>
          <w:sz w:val="24"/>
          <w:szCs w:val="24"/>
          <w:highlight w:val="none"/>
          <w:lang w:eastAsia="zh-CN"/>
        </w:rPr>
        <w:t>）</w:t>
      </w:r>
      <w:r>
        <w:rPr>
          <w:rFonts w:ascii="Times New Roman"/>
          <w:bCs/>
          <w:color w:val="auto"/>
          <w:sz w:val="24"/>
          <w:szCs w:val="24"/>
          <w:highlight w:val="none"/>
        </w:rPr>
        <w:t xml:space="preserve"> </w:t>
      </w:r>
    </w:p>
    <w:p w14:paraId="01CEDFA8">
      <w:pPr>
        <w:numPr>
          <w:ilvl w:val="0"/>
          <w:numId w:val="4"/>
        </w:numPr>
        <w:spacing w:line="360" w:lineRule="auto"/>
        <w:rPr>
          <w:bCs/>
          <w:color w:val="auto"/>
          <w:sz w:val="24"/>
          <w:szCs w:val="24"/>
          <w:highlight w:val="none"/>
        </w:rPr>
      </w:pPr>
      <w:r>
        <w:rPr>
          <w:bCs/>
          <w:color w:val="auto"/>
          <w:sz w:val="24"/>
          <w:szCs w:val="24"/>
          <w:highlight w:val="none"/>
        </w:rPr>
        <w:t>《光伏发电站接入电力系统设计规范》</w:t>
      </w:r>
      <w:r>
        <w:rPr>
          <w:rFonts w:hint="eastAsia" w:eastAsia="宋体"/>
          <w:bCs/>
          <w:color w:val="auto"/>
          <w:sz w:val="24"/>
          <w:szCs w:val="24"/>
          <w:highlight w:val="none"/>
          <w:lang w:eastAsia="zh-CN"/>
        </w:rPr>
        <w:t>（</w:t>
      </w:r>
      <w:r>
        <w:rPr>
          <w:bCs/>
          <w:color w:val="auto"/>
          <w:sz w:val="24"/>
          <w:szCs w:val="24"/>
          <w:highlight w:val="none"/>
        </w:rPr>
        <w:t>GB/T 50866-2013</w:t>
      </w:r>
      <w:r>
        <w:rPr>
          <w:rFonts w:hint="eastAsia" w:eastAsia="宋体"/>
          <w:bCs/>
          <w:color w:val="auto"/>
          <w:sz w:val="24"/>
          <w:szCs w:val="24"/>
          <w:highlight w:val="none"/>
          <w:lang w:eastAsia="zh-CN"/>
        </w:rPr>
        <w:t>）</w:t>
      </w:r>
      <w:r>
        <w:rPr>
          <w:bCs/>
          <w:color w:val="auto"/>
          <w:sz w:val="24"/>
          <w:szCs w:val="24"/>
          <w:highlight w:val="none"/>
        </w:rPr>
        <w:t xml:space="preserve"> </w:t>
      </w:r>
    </w:p>
    <w:p w14:paraId="7D878B53">
      <w:pPr>
        <w:numPr>
          <w:ilvl w:val="0"/>
          <w:numId w:val="4"/>
        </w:numPr>
        <w:spacing w:line="360" w:lineRule="auto"/>
        <w:rPr>
          <w:bCs/>
          <w:color w:val="auto"/>
          <w:sz w:val="24"/>
          <w:szCs w:val="24"/>
          <w:highlight w:val="none"/>
        </w:rPr>
      </w:pPr>
      <w:r>
        <w:rPr>
          <w:bCs/>
          <w:color w:val="auto"/>
          <w:sz w:val="24"/>
          <w:szCs w:val="24"/>
          <w:highlight w:val="none"/>
        </w:rPr>
        <w:t>《</w:t>
      </w:r>
      <w:bookmarkStart w:id="179" w:name="OLE_LINK6"/>
      <w:r>
        <w:rPr>
          <w:bCs/>
          <w:color w:val="auto"/>
          <w:sz w:val="24"/>
          <w:szCs w:val="24"/>
          <w:highlight w:val="none"/>
        </w:rPr>
        <w:t>分布式电源并网技术要求》</w:t>
      </w:r>
      <w:bookmarkEnd w:id="179"/>
      <w:r>
        <w:rPr>
          <w:rFonts w:hint="eastAsia" w:eastAsia="宋体"/>
          <w:bCs/>
          <w:color w:val="auto"/>
          <w:sz w:val="24"/>
          <w:szCs w:val="24"/>
          <w:highlight w:val="none"/>
          <w:lang w:eastAsia="zh-CN"/>
        </w:rPr>
        <w:t>（</w:t>
      </w:r>
      <w:r>
        <w:rPr>
          <w:bCs/>
          <w:color w:val="auto"/>
          <w:sz w:val="24"/>
          <w:szCs w:val="24"/>
          <w:highlight w:val="none"/>
        </w:rPr>
        <w:t xml:space="preserve"> GB/T 33593-2017</w:t>
      </w:r>
      <w:r>
        <w:rPr>
          <w:rFonts w:hint="eastAsia" w:eastAsia="宋体"/>
          <w:bCs/>
          <w:color w:val="auto"/>
          <w:sz w:val="24"/>
          <w:szCs w:val="24"/>
          <w:highlight w:val="none"/>
          <w:lang w:eastAsia="zh-CN"/>
        </w:rPr>
        <w:t>）</w:t>
      </w:r>
      <w:r>
        <w:rPr>
          <w:bCs/>
          <w:color w:val="auto"/>
          <w:sz w:val="24"/>
          <w:szCs w:val="24"/>
          <w:highlight w:val="none"/>
        </w:rPr>
        <w:t xml:space="preserve"> </w:t>
      </w:r>
    </w:p>
    <w:p w14:paraId="7DC0530C">
      <w:pPr>
        <w:numPr>
          <w:ilvl w:val="0"/>
          <w:numId w:val="4"/>
        </w:numPr>
        <w:spacing w:line="360" w:lineRule="auto"/>
        <w:rPr>
          <w:bCs/>
          <w:color w:val="auto"/>
          <w:sz w:val="24"/>
          <w:szCs w:val="24"/>
          <w:highlight w:val="none"/>
        </w:rPr>
      </w:pPr>
      <w:r>
        <w:rPr>
          <w:bCs/>
          <w:color w:val="auto"/>
          <w:sz w:val="24"/>
          <w:szCs w:val="24"/>
          <w:highlight w:val="none"/>
        </w:rPr>
        <w:t>《光伏发电站并网运行控制规范》</w:t>
      </w:r>
      <w:r>
        <w:rPr>
          <w:rFonts w:hint="eastAsia" w:eastAsia="宋体"/>
          <w:bCs/>
          <w:color w:val="auto"/>
          <w:sz w:val="24"/>
          <w:szCs w:val="24"/>
          <w:highlight w:val="none"/>
          <w:lang w:eastAsia="zh-CN"/>
        </w:rPr>
        <w:t>（</w:t>
      </w:r>
      <w:r>
        <w:rPr>
          <w:bCs/>
          <w:color w:val="auto"/>
          <w:sz w:val="24"/>
          <w:szCs w:val="24"/>
          <w:highlight w:val="none"/>
        </w:rPr>
        <w:t>GB/T 33599-2017</w:t>
      </w:r>
      <w:r>
        <w:rPr>
          <w:rFonts w:hint="eastAsia" w:eastAsia="宋体"/>
          <w:bCs/>
          <w:color w:val="auto"/>
          <w:sz w:val="24"/>
          <w:szCs w:val="24"/>
          <w:highlight w:val="none"/>
          <w:lang w:eastAsia="zh-CN"/>
        </w:rPr>
        <w:t>）</w:t>
      </w:r>
      <w:r>
        <w:rPr>
          <w:bCs/>
          <w:color w:val="auto"/>
          <w:sz w:val="24"/>
          <w:szCs w:val="24"/>
          <w:highlight w:val="none"/>
        </w:rPr>
        <w:t xml:space="preserve"> </w:t>
      </w:r>
    </w:p>
    <w:p w14:paraId="3C039048">
      <w:pPr>
        <w:numPr>
          <w:ilvl w:val="0"/>
          <w:numId w:val="4"/>
        </w:numPr>
        <w:spacing w:line="360" w:lineRule="auto"/>
        <w:rPr>
          <w:bCs/>
          <w:color w:val="auto"/>
          <w:sz w:val="24"/>
          <w:szCs w:val="24"/>
          <w:highlight w:val="none"/>
        </w:rPr>
      </w:pPr>
      <w:r>
        <w:rPr>
          <w:bCs/>
          <w:color w:val="auto"/>
          <w:sz w:val="24"/>
          <w:szCs w:val="24"/>
          <w:highlight w:val="none"/>
        </w:rPr>
        <w:t>《电力工程直流电源系统设计技术规程》</w:t>
      </w:r>
      <w:r>
        <w:rPr>
          <w:rFonts w:hint="eastAsia" w:eastAsia="宋体"/>
          <w:bCs/>
          <w:color w:val="auto"/>
          <w:sz w:val="24"/>
          <w:szCs w:val="24"/>
          <w:highlight w:val="none"/>
          <w:lang w:eastAsia="zh-CN"/>
        </w:rPr>
        <w:t>（</w:t>
      </w:r>
      <w:r>
        <w:rPr>
          <w:bCs/>
          <w:color w:val="auto"/>
          <w:sz w:val="24"/>
          <w:szCs w:val="24"/>
          <w:highlight w:val="none"/>
        </w:rPr>
        <w:t> DL/T 5044-2014</w:t>
      </w:r>
      <w:r>
        <w:rPr>
          <w:rFonts w:hint="eastAsia" w:eastAsia="宋体"/>
          <w:bCs/>
          <w:color w:val="auto"/>
          <w:sz w:val="24"/>
          <w:szCs w:val="24"/>
          <w:highlight w:val="none"/>
          <w:lang w:eastAsia="zh-CN"/>
        </w:rPr>
        <w:t>）</w:t>
      </w:r>
      <w:r>
        <w:rPr>
          <w:bCs/>
          <w:color w:val="auto"/>
          <w:sz w:val="24"/>
          <w:szCs w:val="24"/>
          <w:highlight w:val="none"/>
        </w:rPr>
        <w:t xml:space="preserve"> </w:t>
      </w:r>
    </w:p>
    <w:p w14:paraId="76486B08">
      <w:pPr>
        <w:numPr>
          <w:ilvl w:val="0"/>
          <w:numId w:val="4"/>
        </w:numPr>
        <w:spacing w:line="360" w:lineRule="auto"/>
        <w:rPr>
          <w:bCs/>
          <w:color w:val="auto"/>
          <w:sz w:val="24"/>
          <w:szCs w:val="24"/>
          <w:highlight w:val="none"/>
        </w:rPr>
      </w:pPr>
      <w:r>
        <w:rPr>
          <w:bCs/>
          <w:color w:val="auto"/>
          <w:sz w:val="24"/>
          <w:szCs w:val="24"/>
          <w:highlight w:val="none"/>
        </w:rPr>
        <w:t>《电力系统安全自动装置设计规范》（GB/T 50703-2011）</w:t>
      </w:r>
    </w:p>
    <w:p w14:paraId="0C8FA084">
      <w:pPr>
        <w:numPr>
          <w:ilvl w:val="0"/>
          <w:numId w:val="4"/>
        </w:numPr>
        <w:spacing w:line="360" w:lineRule="auto"/>
        <w:rPr>
          <w:bCs/>
          <w:color w:val="auto"/>
          <w:sz w:val="24"/>
          <w:szCs w:val="24"/>
          <w:highlight w:val="none"/>
        </w:rPr>
      </w:pPr>
      <w:r>
        <w:rPr>
          <w:bCs/>
          <w:color w:val="auto"/>
          <w:sz w:val="24"/>
          <w:szCs w:val="24"/>
          <w:highlight w:val="none"/>
        </w:rPr>
        <w:t>《电力装置的继电保护和自动装置设计规范》</w:t>
      </w:r>
      <w:r>
        <w:rPr>
          <w:rFonts w:hint="eastAsia" w:eastAsia="宋体"/>
          <w:bCs/>
          <w:color w:val="auto"/>
          <w:sz w:val="24"/>
          <w:szCs w:val="24"/>
          <w:highlight w:val="none"/>
          <w:lang w:eastAsia="zh-CN"/>
        </w:rPr>
        <w:t>（</w:t>
      </w:r>
      <w:r>
        <w:rPr>
          <w:bCs/>
          <w:color w:val="auto"/>
          <w:sz w:val="24"/>
          <w:szCs w:val="24"/>
          <w:highlight w:val="none"/>
        </w:rPr>
        <w:t>GB/T 50062-2008</w:t>
      </w:r>
      <w:r>
        <w:rPr>
          <w:rFonts w:hint="eastAsia" w:eastAsia="宋体"/>
          <w:bCs/>
          <w:color w:val="auto"/>
          <w:sz w:val="24"/>
          <w:szCs w:val="24"/>
          <w:highlight w:val="none"/>
          <w:lang w:eastAsia="zh-CN"/>
        </w:rPr>
        <w:t>）</w:t>
      </w:r>
      <w:r>
        <w:rPr>
          <w:bCs/>
          <w:color w:val="auto"/>
          <w:sz w:val="24"/>
          <w:szCs w:val="24"/>
          <w:highlight w:val="none"/>
        </w:rPr>
        <w:t xml:space="preserve"> </w:t>
      </w:r>
    </w:p>
    <w:p w14:paraId="2F3A2551">
      <w:pPr>
        <w:numPr>
          <w:ilvl w:val="0"/>
          <w:numId w:val="4"/>
        </w:numPr>
        <w:spacing w:line="360" w:lineRule="auto"/>
        <w:rPr>
          <w:bCs/>
          <w:color w:val="auto"/>
          <w:sz w:val="24"/>
          <w:szCs w:val="24"/>
          <w:highlight w:val="none"/>
        </w:rPr>
      </w:pPr>
      <w:r>
        <w:rPr>
          <w:bCs/>
          <w:color w:val="auto"/>
          <w:sz w:val="24"/>
          <w:szCs w:val="24"/>
          <w:highlight w:val="none"/>
        </w:rPr>
        <w:t>《火力发电厂、变电站二次接线设计技术规程》</w:t>
      </w:r>
      <w:r>
        <w:rPr>
          <w:rFonts w:hint="eastAsia" w:eastAsia="宋体"/>
          <w:bCs/>
          <w:color w:val="auto"/>
          <w:sz w:val="24"/>
          <w:szCs w:val="24"/>
          <w:highlight w:val="none"/>
          <w:lang w:eastAsia="zh-CN"/>
        </w:rPr>
        <w:t>（</w:t>
      </w:r>
      <w:r>
        <w:rPr>
          <w:bCs/>
          <w:color w:val="auto"/>
          <w:sz w:val="24"/>
          <w:szCs w:val="24"/>
          <w:highlight w:val="none"/>
        </w:rPr>
        <w:t>DL/T5136-2012</w:t>
      </w:r>
      <w:r>
        <w:rPr>
          <w:rFonts w:hint="eastAsia" w:eastAsia="宋体"/>
          <w:bCs/>
          <w:color w:val="auto"/>
          <w:sz w:val="24"/>
          <w:szCs w:val="24"/>
          <w:highlight w:val="none"/>
          <w:lang w:eastAsia="zh-CN"/>
        </w:rPr>
        <w:t>）</w:t>
      </w:r>
      <w:r>
        <w:rPr>
          <w:bCs/>
          <w:color w:val="auto"/>
          <w:sz w:val="24"/>
          <w:szCs w:val="24"/>
          <w:highlight w:val="none"/>
        </w:rPr>
        <w:t xml:space="preserve"> </w:t>
      </w:r>
    </w:p>
    <w:p w14:paraId="6C64AB07">
      <w:pPr>
        <w:numPr>
          <w:ilvl w:val="0"/>
          <w:numId w:val="4"/>
        </w:numPr>
        <w:spacing w:line="360" w:lineRule="auto"/>
        <w:rPr>
          <w:bCs/>
          <w:color w:val="auto"/>
          <w:sz w:val="24"/>
          <w:szCs w:val="24"/>
          <w:highlight w:val="none"/>
        </w:rPr>
      </w:pPr>
      <w:r>
        <w:rPr>
          <w:bCs/>
          <w:color w:val="auto"/>
          <w:sz w:val="24"/>
          <w:szCs w:val="24"/>
          <w:highlight w:val="none"/>
        </w:rPr>
        <w:t>《电能量计量系统设计规程》</w:t>
      </w:r>
      <w:r>
        <w:rPr>
          <w:rFonts w:hint="eastAsia" w:eastAsia="宋体"/>
          <w:bCs/>
          <w:color w:val="auto"/>
          <w:sz w:val="24"/>
          <w:szCs w:val="24"/>
          <w:highlight w:val="none"/>
          <w:lang w:eastAsia="zh-CN"/>
        </w:rPr>
        <w:t>（</w:t>
      </w:r>
      <w:r>
        <w:rPr>
          <w:bCs/>
          <w:color w:val="auto"/>
          <w:sz w:val="24"/>
          <w:szCs w:val="24"/>
          <w:highlight w:val="none"/>
        </w:rPr>
        <w:t>DL/T 5202-2022</w:t>
      </w:r>
      <w:r>
        <w:rPr>
          <w:rFonts w:hint="eastAsia" w:eastAsia="宋体"/>
          <w:bCs/>
          <w:color w:val="auto"/>
          <w:sz w:val="24"/>
          <w:szCs w:val="24"/>
          <w:highlight w:val="none"/>
          <w:lang w:eastAsia="zh-CN"/>
        </w:rPr>
        <w:t>）</w:t>
      </w:r>
      <w:r>
        <w:rPr>
          <w:bCs/>
          <w:color w:val="auto"/>
          <w:sz w:val="24"/>
          <w:szCs w:val="24"/>
          <w:highlight w:val="none"/>
        </w:rPr>
        <w:t xml:space="preserve"> </w:t>
      </w:r>
    </w:p>
    <w:p w14:paraId="3B9945AD">
      <w:pPr>
        <w:numPr>
          <w:ilvl w:val="0"/>
          <w:numId w:val="4"/>
        </w:numPr>
        <w:spacing w:line="360" w:lineRule="auto"/>
        <w:rPr>
          <w:bCs/>
          <w:color w:val="auto"/>
          <w:sz w:val="24"/>
          <w:szCs w:val="24"/>
          <w:highlight w:val="none"/>
        </w:rPr>
      </w:pPr>
      <w:r>
        <w:rPr>
          <w:bCs/>
          <w:color w:val="auto"/>
          <w:sz w:val="24"/>
          <w:szCs w:val="24"/>
          <w:highlight w:val="none"/>
        </w:rPr>
        <w:t>《</w:t>
      </w:r>
      <w:r>
        <w:rPr>
          <w:rFonts w:hint="eastAsia"/>
          <w:bCs/>
          <w:color w:val="auto"/>
          <w:sz w:val="24"/>
          <w:szCs w:val="24"/>
          <w:highlight w:val="none"/>
          <w:lang w:eastAsia="zh-CN"/>
        </w:rPr>
        <w:t>变电工程总布置设计规程</w:t>
      </w:r>
      <w:r>
        <w:rPr>
          <w:bCs/>
          <w:color w:val="auto"/>
          <w:sz w:val="24"/>
          <w:szCs w:val="24"/>
          <w:highlight w:val="none"/>
        </w:rPr>
        <w:t>》</w:t>
      </w:r>
      <w:r>
        <w:rPr>
          <w:rFonts w:hint="eastAsia" w:eastAsia="宋体"/>
          <w:bCs/>
          <w:color w:val="auto"/>
          <w:sz w:val="24"/>
          <w:szCs w:val="24"/>
          <w:highlight w:val="none"/>
          <w:lang w:eastAsia="zh-CN"/>
        </w:rPr>
        <w:t>（</w:t>
      </w:r>
      <w:r>
        <w:rPr>
          <w:rFonts w:hint="eastAsia"/>
          <w:bCs/>
          <w:color w:val="auto"/>
          <w:sz w:val="24"/>
          <w:szCs w:val="24"/>
          <w:highlight w:val="none"/>
          <w:lang w:eastAsia="zh-CN"/>
        </w:rPr>
        <w:t>DL/T 5056-2024）</w:t>
      </w:r>
      <w:r>
        <w:rPr>
          <w:bCs/>
          <w:color w:val="auto"/>
          <w:sz w:val="24"/>
          <w:szCs w:val="24"/>
          <w:highlight w:val="none"/>
        </w:rPr>
        <w:t xml:space="preserve"> </w:t>
      </w:r>
    </w:p>
    <w:p w14:paraId="32283A8E">
      <w:pPr>
        <w:numPr>
          <w:ilvl w:val="0"/>
          <w:numId w:val="4"/>
        </w:numPr>
        <w:spacing w:line="360" w:lineRule="auto"/>
        <w:rPr>
          <w:bCs/>
          <w:color w:val="auto"/>
          <w:sz w:val="24"/>
          <w:szCs w:val="24"/>
          <w:highlight w:val="none"/>
        </w:rPr>
      </w:pPr>
      <w:r>
        <w:rPr>
          <w:bCs/>
          <w:color w:val="auto"/>
          <w:sz w:val="24"/>
          <w:szCs w:val="24"/>
          <w:highlight w:val="none"/>
        </w:rPr>
        <w:t>《电力设备典型消防规程》</w:t>
      </w:r>
      <w:r>
        <w:rPr>
          <w:rFonts w:hint="eastAsia" w:eastAsia="宋体"/>
          <w:bCs/>
          <w:color w:val="auto"/>
          <w:sz w:val="24"/>
          <w:szCs w:val="24"/>
          <w:highlight w:val="none"/>
          <w:lang w:eastAsia="zh-CN"/>
        </w:rPr>
        <w:t>（</w:t>
      </w:r>
      <w:r>
        <w:rPr>
          <w:bCs/>
          <w:color w:val="auto"/>
          <w:sz w:val="24"/>
          <w:szCs w:val="24"/>
          <w:highlight w:val="none"/>
        </w:rPr>
        <w:t>DL 5027-2015</w:t>
      </w:r>
      <w:r>
        <w:rPr>
          <w:rFonts w:hint="eastAsia" w:eastAsia="宋体"/>
          <w:bCs/>
          <w:color w:val="auto"/>
          <w:sz w:val="24"/>
          <w:szCs w:val="24"/>
          <w:highlight w:val="none"/>
          <w:lang w:eastAsia="zh-CN"/>
        </w:rPr>
        <w:t>）</w:t>
      </w:r>
      <w:r>
        <w:rPr>
          <w:bCs/>
          <w:color w:val="auto"/>
          <w:sz w:val="24"/>
          <w:szCs w:val="24"/>
          <w:highlight w:val="none"/>
        </w:rPr>
        <w:t xml:space="preserve"> </w:t>
      </w:r>
    </w:p>
    <w:p w14:paraId="7758B726">
      <w:pPr>
        <w:numPr>
          <w:ilvl w:val="0"/>
          <w:numId w:val="4"/>
        </w:numPr>
        <w:spacing w:line="360" w:lineRule="auto"/>
        <w:rPr>
          <w:bCs/>
          <w:color w:val="auto"/>
          <w:sz w:val="24"/>
          <w:szCs w:val="24"/>
          <w:highlight w:val="none"/>
        </w:rPr>
      </w:pPr>
      <w:r>
        <w:rPr>
          <w:bCs/>
          <w:color w:val="auto"/>
          <w:sz w:val="24"/>
          <w:szCs w:val="24"/>
          <w:highlight w:val="none"/>
        </w:rPr>
        <w:t>《电能质量公用电网谐波》</w:t>
      </w:r>
      <w:r>
        <w:rPr>
          <w:rFonts w:hint="eastAsia" w:eastAsia="宋体"/>
          <w:bCs/>
          <w:color w:val="auto"/>
          <w:sz w:val="24"/>
          <w:szCs w:val="24"/>
          <w:highlight w:val="none"/>
          <w:lang w:eastAsia="zh-CN"/>
        </w:rPr>
        <w:t>（</w:t>
      </w:r>
      <w:r>
        <w:rPr>
          <w:bCs/>
          <w:color w:val="auto"/>
          <w:sz w:val="24"/>
          <w:szCs w:val="24"/>
          <w:highlight w:val="none"/>
        </w:rPr>
        <w:t>GB/T14549-1993</w:t>
      </w:r>
      <w:r>
        <w:rPr>
          <w:rFonts w:hint="eastAsia" w:eastAsia="宋体"/>
          <w:bCs/>
          <w:color w:val="auto"/>
          <w:sz w:val="24"/>
          <w:szCs w:val="24"/>
          <w:highlight w:val="none"/>
          <w:lang w:eastAsia="zh-CN"/>
        </w:rPr>
        <w:t>）</w:t>
      </w:r>
      <w:r>
        <w:rPr>
          <w:bCs/>
          <w:color w:val="auto"/>
          <w:sz w:val="24"/>
          <w:szCs w:val="24"/>
          <w:highlight w:val="none"/>
        </w:rPr>
        <w:t xml:space="preserve"> </w:t>
      </w:r>
    </w:p>
    <w:p w14:paraId="63601AC6">
      <w:pPr>
        <w:numPr>
          <w:ilvl w:val="0"/>
          <w:numId w:val="4"/>
        </w:numPr>
        <w:spacing w:line="360" w:lineRule="auto"/>
        <w:rPr>
          <w:bCs/>
          <w:color w:val="auto"/>
          <w:sz w:val="24"/>
          <w:szCs w:val="24"/>
          <w:highlight w:val="none"/>
        </w:rPr>
      </w:pPr>
      <w:r>
        <w:rPr>
          <w:bCs/>
          <w:color w:val="auto"/>
          <w:sz w:val="24"/>
          <w:szCs w:val="24"/>
          <w:highlight w:val="none"/>
        </w:rPr>
        <w:t>《电能质量 三相电压不平衡》</w:t>
      </w:r>
      <w:r>
        <w:rPr>
          <w:rFonts w:hint="eastAsia" w:eastAsia="宋体"/>
          <w:bCs/>
          <w:color w:val="auto"/>
          <w:sz w:val="24"/>
          <w:szCs w:val="24"/>
          <w:highlight w:val="none"/>
          <w:lang w:eastAsia="zh-CN"/>
        </w:rPr>
        <w:t>（</w:t>
      </w:r>
      <w:r>
        <w:rPr>
          <w:bCs/>
          <w:color w:val="auto"/>
          <w:sz w:val="24"/>
          <w:szCs w:val="24"/>
          <w:highlight w:val="none"/>
        </w:rPr>
        <w:t>GB/T15543-2008</w:t>
      </w:r>
      <w:r>
        <w:rPr>
          <w:rFonts w:hint="eastAsia" w:eastAsia="宋体"/>
          <w:bCs/>
          <w:color w:val="auto"/>
          <w:sz w:val="24"/>
          <w:szCs w:val="24"/>
          <w:highlight w:val="none"/>
          <w:lang w:eastAsia="zh-CN"/>
        </w:rPr>
        <w:t>）</w:t>
      </w:r>
      <w:r>
        <w:rPr>
          <w:bCs/>
          <w:color w:val="auto"/>
          <w:sz w:val="24"/>
          <w:szCs w:val="24"/>
          <w:highlight w:val="none"/>
        </w:rPr>
        <w:t xml:space="preserve"> </w:t>
      </w:r>
    </w:p>
    <w:p w14:paraId="02D19DE8">
      <w:pPr>
        <w:numPr>
          <w:ilvl w:val="0"/>
          <w:numId w:val="4"/>
        </w:numPr>
        <w:spacing w:line="360" w:lineRule="auto"/>
        <w:rPr>
          <w:bCs/>
          <w:color w:val="auto"/>
          <w:sz w:val="24"/>
          <w:szCs w:val="24"/>
          <w:highlight w:val="none"/>
        </w:rPr>
      </w:pPr>
      <w:r>
        <w:rPr>
          <w:bCs/>
          <w:color w:val="auto"/>
          <w:sz w:val="24"/>
          <w:szCs w:val="24"/>
          <w:highlight w:val="none"/>
        </w:rPr>
        <w:t>《电能质量 供电电压偏差》</w:t>
      </w:r>
      <w:r>
        <w:rPr>
          <w:rFonts w:hint="eastAsia" w:eastAsia="宋体"/>
          <w:bCs/>
          <w:color w:val="auto"/>
          <w:sz w:val="24"/>
          <w:szCs w:val="24"/>
          <w:highlight w:val="none"/>
          <w:lang w:eastAsia="zh-CN"/>
        </w:rPr>
        <w:t>（</w:t>
      </w:r>
      <w:r>
        <w:rPr>
          <w:bCs/>
          <w:color w:val="auto"/>
          <w:sz w:val="24"/>
          <w:szCs w:val="24"/>
          <w:highlight w:val="none"/>
        </w:rPr>
        <w:t>GB/T12325-2008</w:t>
      </w:r>
      <w:r>
        <w:rPr>
          <w:rFonts w:hint="eastAsia" w:eastAsia="宋体"/>
          <w:bCs/>
          <w:color w:val="auto"/>
          <w:sz w:val="24"/>
          <w:szCs w:val="24"/>
          <w:highlight w:val="none"/>
          <w:lang w:eastAsia="zh-CN"/>
        </w:rPr>
        <w:t>）</w:t>
      </w:r>
      <w:r>
        <w:rPr>
          <w:bCs/>
          <w:color w:val="auto"/>
          <w:sz w:val="24"/>
          <w:szCs w:val="24"/>
          <w:highlight w:val="none"/>
        </w:rPr>
        <w:t xml:space="preserve"> </w:t>
      </w:r>
    </w:p>
    <w:p w14:paraId="3057FD3B">
      <w:pPr>
        <w:numPr>
          <w:ilvl w:val="0"/>
          <w:numId w:val="4"/>
        </w:numPr>
        <w:spacing w:line="360" w:lineRule="auto"/>
        <w:rPr>
          <w:bCs/>
          <w:color w:val="auto"/>
          <w:sz w:val="24"/>
          <w:szCs w:val="24"/>
          <w:highlight w:val="none"/>
        </w:rPr>
      </w:pPr>
      <w:r>
        <w:rPr>
          <w:bCs/>
          <w:color w:val="auto"/>
          <w:sz w:val="24"/>
          <w:szCs w:val="24"/>
          <w:highlight w:val="none"/>
        </w:rPr>
        <w:t>《电能质量电力系统频率偏差》</w:t>
      </w:r>
      <w:r>
        <w:rPr>
          <w:rFonts w:hint="eastAsia" w:eastAsia="宋体"/>
          <w:bCs/>
          <w:color w:val="auto"/>
          <w:sz w:val="24"/>
          <w:szCs w:val="24"/>
          <w:highlight w:val="none"/>
          <w:lang w:eastAsia="zh-CN"/>
        </w:rPr>
        <w:t>（</w:t>
      </w:r>
      <w:r>
        <w:rPr>
          <w:bCs/>
          <w:color w:val="auto"/>
          <w:sz w:val="24"/>
          <w:szCs w:val="24"/>
          <w:highlight w:val="none"/>
        </w:rPr>
        <w:t>GB/T15945-2008</w:t>
      </w:r>
      <w:r>
        <w:rPr>
          <w:rFonts w:hint="eastAsia" w:eastAsia="宋体"/>
          <w:bCs/>
          <w:color w:val="auto"/>
          <w:sz w:val="24"/>
          <w:szCs w:val="24"/>
          <w:highlight w:val="none"/>
          <w:lang w:eastAsia="zh-CN"/>
        </w:rPr>
        <w:t>）</w:t>
      </w:r>
    </w:p>
    <w:p w14:paraId="6631F22A">
      <w:pPr>
        <w:numPr>
          <w:ilvl w:val="0"/>
          <w:numId w:val="4"/>
        </w:numPr>
        <w:spacing w:line="360" w:lineRule="auto"/>
        <w:rPr>
          <w:bCs/>
          <w:color w:val="auto"/>
          <w:sz w:val="24"/>
          <w:szCs w:val="24"/>
          <w:highlight w:val="none"/>
        </w:rPr>
      </w:pPr>
      <w:r>
        <w:rPr>
          <w:bCs/>
          <w:color w:val="auto"/>
          <w:sz w:val="24"/>
          <w:szCs w:val="24"/>
          <w:highlight w:val="none"/>
        </w:rPr>
        <w:t>《屋面工程质量验收规范》GB 50207-2012</w:t>
      </w:r>
    </w:p>
    <w:p w14:paraId="35E4D0DA">
      <w:pPr>
        <w:numPr>
          <w:ilvl w:val="0"/>
          <w:numId w:val="4"/>
        </w:numPr>
        <w:spacing w:line="360" w:lineRule="auto"/>
        <w:rPr>
          <w:bCs/>
          <w:color w:val="auto"/>
          <w:sz w:val="24"/>
          <w:szCs w:val="24"/>
          <w:highlight w:val="none"/>
        </w:rPr>
      </w:pPr>
      <w:r>
        <w:rPr>
          <w:bCs/>
          <w:color w:val="auto"/>
          <w:sz w:val="24"/>
          <w:szCs w:val="24"/>
          <w:highlight w:val="none"/>
        </w:rPr>
        <w:t>《建筑电气工程施工质量验收规范》GB 50303-2015</w:t>
      </w:r>
    </w:p>
    <w:p w14:paraId="1CBD65E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561"/>
        <w:jc w:val="both"/>
        <w:textAlignment w:val="baseline"/>
        <w:rPr>
          <w:rFonts w:hint="eastAsia"/>
          <w:color w:val="auto"/>
          <w:sz w:val="24"/>
          <w:szCs w:val="24"/>
          <w:highlight w:val="none"/>
        </w:rPr>
        <w:sectPr>
          <w:footerReference r:id="rId12" w:type="default"/>
          <w:pgSz w:w="11906" w:h="16839"/>
          <w:pgMar w:top="1440" w:right="1166" w:bottom="1440" w:left="1080" w:header="0" w:footer="1023" w:gutter="0"/>
          <w:pgBorders>
            <w:top w:val="none" w:sz="0" w:space="0"/>
            <w:left w:val="none" w:sz="0" w:space="0"/>
            <w:bottom w:val="none" w:sz="0" w:space="0"/>
            <w:right w:val="none" w:sz="0" w:space="0"/>
          </w:pgBorders>
          <w:cols w:space="720" w:num="1"/>
        </w:sectPr>
      </w:pPr>
      <w:r>
        <w:rPr>
          <w:b/>
          <w:bCs/>
          <w:color w:val="auto"/>
          <w:sz w:val="24"/>
          <w:szCs w:val="24"/>
          <w:highlight w:val="none"/>
        </w:rPr>
        <w:t>1.2 中标人必须在施工现场准备至少一套上述规范，招标人和监理单位可随时检查中标人的上述规范，并监督中标人按规范要求执行。</w:t>
      </w:r>
    </w:p>
    <w:p w14:paraId="3D29FC41">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center"/>
        <w:outlineLvl w:val="0"/>
        <w:rPr>
          <w:rFonts w:hint="eastAsia" w:ascii="宋体" w:hAnsi="宋体" w:eastAsia="宋体" w:cs="宋体"/>
          <w:color w:val="auto"/>
          <w:sz w:val="24"/>
          <w:szCs w:val="24"/>
          <w:highlight w:val="none"/>
        </w:rPr>
      </w:pPr>
      <w:bookmarkStart w:id="180" w:name="bookmark100"/>
      <w:bookmarkEnd w:id="180"/>
      <w:bookmarkStart w:id="181" w:name="bookmark146"/>
      <w:bookmarkEnd w:id="181"/>
      <w:bookmarkStart w:id="182" w:name="_Toc23471"/>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182"/>
    </w:p>
    <w:p w14:paraId="06808BF6">
      <w:pPr>
        <w:pStyle w:val="6"/>
        <w:keepNext w:val="0"/>
        <w:keepLines w:val="0"/>
        <w:pageBreakBefore w:val="0"/>
        <w:widowControl w:val="0"/>
        <w:kinsoku/>
        <w:wordWrap w:val="0"/>
        <w:overflowPunct/>
        <w:topLinePunct/>
        <w:autoSpaceDE/>
        <w:autoSpaceDN/>
        <w:bidi w:val="0"/>
        <w:adjustRightInd w:val="0"/>
        <w:snapToGrid w:val="0"/>
        <w:spacing w:line="283" w:lineRule="auto"/>
        <w:ind w:right="84" w:rightChars="40"/>
        <w:rPr>
          <w:rFonts w:hint="eastAsia" w:ascii="宋体" w:hAnsi="宋体" w:eastAsia="宋体" w:cs="宋体"/>
          <w:color w:val="auto"/>
          <w:highlight w:val="none"/>
        </w:rPr>
      </w:pPr>
    </w:p>
    <w:p w14:paraId="11F347B4">
      <w:pPr>
        <w:pStyle w:val="6"/>
        <w:keepNext w:val="0"/>
        <w:keepLines w:val="0"/>
        <w:pageBreakBefore w:val="0"/>
        <w:widowControl w:val="0"/>
        <w:kinsoku/>
        <w:wordWrap w:val="0"/>
        <w:overflowPunct/>
        <w:topLinePunct/>
        <w:autoSpaceDE/>
        <w:autoSpaceDN/>
        <w:bidi w:val="0"/>
        <w:adjustRightInd w:val="0"/>
        <w:snapToGrid w:val="0"/>
        <w:spacing w:line="284" w:lineRule="auto"/>
        <w:ind w:right="84" w:rightChars="40"/>
        <w:rPr>
          <w:rFonts w:hint="eastAsia" w:ascii="宋体" w:hAnsi="宋体" w:eastAsia="宋体" w:cs="宋体"/>
          <w:color w:val="auto"/>
          <w:highlight w:val="none"/>
        </w:rPr>
      </w:pPr>
    </w:p>
    <w:p w14:paraId="37D8ED3D">
      <w:pPr>
        <w:keepNext w:val="0"/>
        <w:keepLines w:val="0"/>
        <w:pageBreakBefore w:val="0"/>
        <w:widowControl w:val="0"/>
        <w:kinsoku/>
        <w:wordWrap w:val="0"/>
        <w:overflowPunct/>
        <w:topLinePunct/>
        <w:autoSpaceDE/>
        <w:autoSpaceDN/>
        <w:bidi w:val="0"/>
        <w:adjustRightInd w:val="0"/>
        <w:snapToGrid w:val="0"/>
        <w:spacing w:before="78" w:line="219" w:lineRule="auto"/>
        <w:ind w:left="10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浏览</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 xml:space="preserve">           □无</w:t>
      </w:r>
    </w:p>
    <w:p w14:paraId="7B85F4A2">
      <w:pPr>
        <w:pStyle w:val="6"/>
        <w:keepNext w:val="0"/>
        <w:keepLines w:val="0"/>
        <w:pageBreakBefore w:val="0"/>
        <w:widowControl w:val="0"/>
        <w:kinsoku/>
        <w:wordWrap w:val="0"/>
        <w:overflowPunct/>
        <w:topLinePunct/>
        <w:autoSpaceDE/>
        <w:autoSpaceDN/>
        <w:bidi w:val="0"/>
        <w:adjustRightInd w:val="0"/>
        <w:snapToGrid w:val="0"/>
        <w:spacing w:line="265" w:lineRule="auto"/>
        <w:ind w:right="84" w:rightChars="40"/>
        <w:rPr>
          <w:rFonts w:hint="eastAsia" w:ascii="宋体" w:hAnsi="宋体" w:eastAsia="宋体" w:cs="宋体"/>
          <w:color w:val="auto"/>
          <w:highlight w:val="none"/>
        </w:rPr>
      </w:pPr>
    </w:p>
    <w:p w14:paraId="34F71022">
      <w:pPr>
        <w:keepNext w:val="0"/>
        <w:keepLines w:val="0"/>
        <w:pageBreakBefore w:val="0"/>
        <w:widowControl w:val="0"/>
        <w:kinsoku/>
        <w:wordWrap w:val="0"/>
        <w:overflowPunct/>
        <w:topLinePunct/>
        <w:autoSpaceDE/>
        <w:autoSpaceDN/>
        <w:bidi w:val="0"/>
        <w:adjustRightInd w:val="0"/>
        <w:snapToGrid w:val="0"/>
        <w:spacing w:line="360" w:lineRule="auto"/>
        <w:ind w:left="715" w:right="84" w:rightChars="40"/>
        <w:textAlignment w:val="baseline"/>
        <w:outlineLvl w:val="2"/>
        <w:rPr>
          <w:rFonts w:hint="eastAsia" w:ascii="宋体" w:hAnsi="宋体" w:eastAsia="宋体" w:cs="宋体"/>
          <w:color w:val="auto"/>
          <w:sz w:val="24"/>
          <w:szCs w:val="24"/>
          <w:highlight w:val="none"/>
        </w:rPr>
      </w:pPr>
      <w:bookmarkStart w:id="183" w:name="_Toc24446"/>
      <w:bookmarkStart w:id="184" w:name="_Toc18677"/>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183"/>
      <w:bookmarkEnd w:id="184"/>
    </w:p>
    <w:p w14:paraId="64C8DCC8">
      <w:pPr>
        <w:keepNext w:val="0"/>
        <w:keepLines w:val="0"/>
        <w:pageBreakBefore w:val="0"/>
        <w:widowControl w:val="0"/>
        <w:kinsoku/>
        <w:wordWrap w:val="0"/>
        <w:overflowPunct/>
        <w:topLinePunct/>
        <w:autoSpaceDE/>
        <w:autoSpaceDN/>
        <w:bidi w:val="0"/>
        <w:adjustRightInd w:val="0"/>
        <w:snapToGrid w:val="0"/>
        <w:spacing w:line="360" w:lineRule="auto"/>
        <w:ind w:left="230" w:right="84" w:rightChars="40"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4FBC3F09">
      <w:pPr>
        <w:pStyle w:val="6"/>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14:paraId="2CCABE89">
      <w:pPr>
        <w:keepNext w:val="0"/>
        <w:keepLines w:val="0"/>
        <w:pageBreakBefore w:val="0"/>
        <w:widowControl w:val="0"/>
        <w:kinsoku/>
        <w:wordWrap w:val="0"/>
        <w:overflowPunct/>
        <w:topLinePunct/>
        <w:autoSpaceDE/>
        <w:autoSpaceDN/>
        <w:bidi w:val="0"/>
        <w:adjustRightInd w:val="0"/>
        <w:snapToGrid w:val="0"/>
        <w:spacing w:line="360" w:lineRule="auto"/>
        <w:ind w:left="705" w:right="84" w:rightChars="40"/>
        <w:textAlignment w:val="baseline"/>
        <w:outlineLvl w:val="2"/>
        <w:rPr>
          <w:rFonts w:hint="eastAsia" w:ascii="宋体" w:hAnsi="宋体" w:eastAsia="宋体" w:cs="宋体"/>
          <w:color w:val="auto"/>
          <w:sz w:val="24"/>
          <w:szCs w:val="24"/>
          <w:highlight w:val="none"/>
        </w:rPr>
      </w:pPr>
      <w:bookmarkStart w:id="185" w:name="_Toc9064"/>
      <w:bookmarkStart w:id="186" w:name="_Toc14947"/>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185"/>
      <w:bookmarkEnd w:id="186"/>
    </w:p>
    <w:p w14:paraId="1993B45D">
      <w:pPr>
        <w:keepNext w:val="0"/>
        <w:keepLines w:val="0"/>
        <w:pageBreakBefore w:val="0"/>
        <w:widowControl w:val="0"/>
        <w:kinsoku/>
        <w:wordWrap w:val="0"/>
        <w:overflowPunct/>
        <w:topLinePunct/>
        <w:autoSpaceDE/>
        <w:autoSpaceDN/>
        <w:bidi w:val="0"/>
        <w:adjustRightInd w:val="0"/>
        <w:snapToGrid w:val="0"/>
        <w:spacing w:line="360" w:lineRule="auto"/>
        <w:ind w:left="231"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187" w:name="OLE_LINK33"/>
      <w:r>
        <w:rPr>
          <w:rFonts w:hint="eastAsia" w:ascii="宋体" w:hAnsi="宋体" w:eastAsia="宋体" w:cs="宋体"/>
          <w:color w:val="auto"/>
          <w:spacing w:val="-3"/>
          <w:sz w:val="24"/>
          <w:szCs w:val="24"/>
          <w:highlight w:val="none"/>
          <w:u w:val="single"/>
        </w:rPr>
        <w:t>招标工程量清单  EXCEL 版</w:t>
      </w:r>
      <w:bookmarkEnd w:id="187"/>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14:paraId="5099F6CB">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firstLine="239" w:firstLineChars="100"/>
        <w:textAlignment w:val="baseline"/>
        <w:rPr>
          <w:rFonts w:hint="eastAsia" w:ascii="宋体" w:hAnsi="宋体" w:eastAsia="宋体" w:cs="宋体"/>
          <w:color w:val="auto"/>
          <w:sz w:val="24"/>
          <w:szCs w:val="24"/>
          <w:highlight w:val="none"/>
        </w:rPr>
      </w:pPr>
      <w:bookmarkStart w:id="188" w:name="bookmark147"/>
      <w:bookmarkEnd w:id="188"/>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1E9BA20A">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4"/>
          <w:sz w:val="24"/>
          <w:szCs w:val="24"/>
          <w:highlight w:val="none"/>
        </w:rPr>
        <w:t>；</w:t>
      </w:r>
    </w:p>
    <w:p w14:paraId="1E469E2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w:t>
      </w:r>
      <w:r>
        <w:rPr>
          <w:rFonts w:hint="eastAsia" w:ascii="宋体" w:hAnsi="宋体" w:eastAsia="宋体" w:cs="宋体"/>
          <w:color w:val="auto"/>
          <w:spacing w:val="-2"/>
          <w:sz w:val="24"/>
          <w:szCs w:val="24"/>
          <w:highlight w:val="none"/>
          <w:lang w:eastAsia="zh-CN"/>
        </w:rPr>
        <w:t>经过检查和复核</w:t>
      </w:r>
      <w:r>
        <w:rPr>
          <w:rFonts w:hint="eastAsia" w:ascii="宋体" w:hAnsi="宋体" w:eastAsia="宋体" w:cs="宋体"/>
          <w:color w:val="auto"/>
          <w:spacing w:val="-1"/>
          <w:sz w:val="24"/>
          <w:szCs w:val="24"/>
          <w:highlight w:val="none"/>
        </w:rPr>
        <w:t>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8"/>
          <w:sz w:val="24"/>
          <w:szCs w:val="24"/>
          <w:highlight w:val="none"/>
          <w:u w:val="single"/>
          <w:lang w:val="en-US"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或</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修改文件。</w:t>
      </w:r>
    </w:p>
    <w:p w14:paraId="5C12A997">
      <w:pPr>
        <w:keepNext w:val="0"/>
        <w:keepLines w:val="0"/>
        <w:pageBreakBefore w:val="0"/>
        <w:widowControl w:val="0"/>
        <w:kinsoku/>
        <w:wordWrap w:val="0"/>
        <w:overflowPunct/>
        <w:topLinePunct/>
        <w:autoSpaceDE/>
        <w:autoSpaceDN/>
        <w:bidi w:val="0"/>
        <w:adjustRightInd w:val="0"/>
        <w:snapToGrid w:val="0"/>
        <w:spacing w:line="360" w:lineRule="auto"/>
        <w:ind w:left="2"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1EAD2758">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0"/>
          <w:sz w:val="24"/>
          <w:szCs w:val="24"/>
          <w:highlight w:val="none"/>
        </w:rPr>
        <w:t>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7AA2D226">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（5）《广东省建设工程计价依据（2018）》。具体包括：《广东省房屋建筑与装</w:t>
      </w:r>
      <w:r>
        <w:rPr>
          <w:rFonts w:hint="eastAsia" w:ascii="宋体" w:hAnsi="宋体" w:eastAsia="宋体" w:cs="宋体"/>
          <w:color w:val="auto"/>
          <w:spacing w:val="-1"/>
          <w:sz w:val="24"/>
          <w:szCs w:val="24"/>
          <w:highlight w:val="none"/>
        </w:rPr>
        <w:t>饰工程综合定额（2018）》《广东省市政工程综合定额</w:t>
      </w:r>
      <w:r>
        <w:rPr>
          <w:rFonts w:hint="eastAsia" w:ascii="宋体" w:hAnsi="宋体" w:eastAsia="宋体" w:cs="宋体"/>
          <w:color w:val="auto"/>
          <w:spacing w:val="-2"/>
          <w:sz w:val="24"/>
          <w:szCs w:val="24"/>
          <w:highlight w:val="none"/>
        </w:rPr>
        <w:t>（2018）》《广东省通用安装工</w:t>
      </w:r>
      <w:r>
        <w:rPr>
          <w:rFonts w:hint="eastAsia" w:ascii="宋体" w:hAnsi="宋体" w:eastAsia="宋体" w:cs="宋体"/>
          <w:color w:val="auto"/>
          <w:spacing w:val="-1"/>
          <w:sz w:val="24"/>
          <w:szCs w:val="24"/>
          <w:highlight w:val="none"/>
        </w:rPr>
        <w:t>程综合定额（</w:t>
      </w:r>
      <w:r>
        <w:rPr>
          <w:rFonts w:hint="eastAsia" w:ascii="宋体" w:hAnsi="宋体" w:eastAsia="宋体" w:cs="宋体"/>
          <w:color w:val="auto"/>
          <w:spacing w:val="0"/>
          <w:sz w:val="24"/>
          <w:szCs w:val="24"/>
          <w:highlight w:val="none"/>
        </w:rPr>
        <w:t>2018</w:t>
      </w:r>
      <w:r>
        <w:rPr>
          <w:rFonts w:hint="eastAsia" w:ascii="宋体" w:hAnsi="宋体" w:eastAsia="宋体" w:cs="宋体"/>
          <w:color w:val="auto"/>
          <w:spacing w:val="-1"/>
          <w:sz w:val="24"/>
          <w:szCs w:val="24"/>
          <w:highlight w:val="none"/>
        </w:rPr>
        <w:t>）》《广东省园林绿化工程综合定额</w:t>
      </w:r>
      <w:r>
        <w:rPr>
          <w:rFonts w:hint="eastAsia" w:ascii="宋体" w:hAnsi="宋体" w:eastAsia="宋体" w:cs="宋体"/>
          <w:color w:val="auto"/>
          <w:spacing w:val="-2"/>
          <w:sz w:val="24"/>
          <w:szCs w:val="24"/>
          <w:highlight w:val="none"/>
        </w:rPr>
        <w:t>（2018）》《广东省建设工程施</w:t>
      </w:r>
      <w:r>
        <w:rPr>
          <w:rFonts w:hint="eastAsia" w:ascii="宋体" w:hAnsi="宋体" w:eastAsia="宋体" w:cs="宋体"/>
          <w:color w:val="auto"/>
          <w:spacing w:val="-1"/>
          <w:sz w:val="24"/>
          <w:szCs w:val="24"/>
          <w:highlight w:val="none"/>
        </w:rPr>
        <w:t>工机具台班费用编制规则（2018）》等；</w:t>
      </w:r>
    </w:p>
    <w:p w14:paraId="285AC763">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10D78A2A">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1179689E">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04D89882">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7F50304">
      <w:pPr>
        <w:keepNext w:val="0"/>
        <w:keepLines w:val="0"/>
        <w:pageBreakBefore w:val="0"/>
        <w:widowControl w:val="0"/>
        <w:kinsoku/>
        <w:wordWrap w:val="0"/>
        <w:overflowPunct/>
        <w:topLinePunct/>
        <w:autoSpaceDE/>
        <w:autoSpaceDN/>
        <w:bidi w:val="0"/>
        <w:adjustRightInd w:val="0"/>
        <w:snapToGrid w:val="0"/>
        <w:spacing w:line="360" w:lineRule="auto"/>
        <w:ind w:left="705" w:right="84" w:rightChars="40"/>
        <w:textAlignment w:val="baseline"/>
        <w:outlineLvl w:val="2"/>
        <w:rPr>
          <w:rFonts w:hint="default" w:ascii="宋体" w:hAnsi="宋体" w:eastAsia="宋体" w:cs="宋体"/>
          <w:b/>
          <w:bCs/>
          <w:color w:val="auto"/>
          <w:spacing w:val="-6"/>
          <w:sz w:val="24"/>
          <w:szCs w:val="24"/>
          <w:highlight w:val="none"/>
          <w:lang w:val="en-US" w:eastAsia="zh-CN"/>
        </w:rPr>
      </w:pPr>
      <w:bookmarkStart w:id="189" w:name="_Toc31627"/>
      <w:r>
        <w:rPr>
          <w:rFonts w:hint="eastAsia" w:ascii="宋体" w:hAnsi="宋体" w:eastAsia="宋体" w:cs="宋体"/>
          <w:b/>
          <w:bCs/>
          <w:color w:val="auto"/>
          <w:spacing w:val="-6"/>
          <w:sz w:val="24"/>
          <w:szCs w:val="24"/>
          <w:highlight w:val="none"/>
          <w:lang w:val="en-US" w:eastAsia="zh-CN"/>
        </w:rPr>
        <w:t>3.甲供主材设备清单</w:t>
      </w:r>
      <w:bookmarkEnd w:id="189"/>
    </w:p>
    <w:tbl>
      <w:tblPr>
        <w:tblStyle w:val="15"/>
        <w:tblW w:w="927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0"/>
        <w:gridCol w:w="1884"/>
        <w:gridCol w:w="2504"/>
        <w:gridCol w:w="1640"/>
        <w:gridCol w:w="473"/>
        <w:gridCol w:w="669"/>
        <w:gridCol w:w="1658"/>
      </w:tblGrid>
      <w:tr w14:paraId="093FE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 w:hRule="atLeast"/>
        </w:trPr>
        <w:tc>
          <w:tcPr>
            <w:tcW w:w="450" w:type="dxa"/>
            <w:tcBorders>
              <w:top w:val="single" w:color="000000" w:sz="4" w:space="0"/>
              <w:left w:val="single" w:color="000000" w:sz="4" w:space="0"/>
              <w:bottom w:val="single" w:color="000000" w:sz="4" w:space="0"/>
              <w:right w:val="single" w:color="000000" w:sz="4" w:space="0"/>
            </w:tcBorders>
            <w:noWrap w:val="0"/>
            <w:vAlign w:val="center"/>
          </w:tcPr>
          <w:p w14:paraId="625B9C8D">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序号</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5A1566D4">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名</w:t>
            </w:r>
            <w:r>
              <w:rPr>
                <w:rStyle w:val="48"/>
                <w:rFonts w:hint="eastAsia" w:asciiTheme="minorEastAsia" w:hAnsiTheme="minorEastAsia" w:eastAsiaTheme="minorEastAsia" w:cstheme="minorEastAsia"/>
                <w:color w:val="auto"/>
                <w:sz w:val="18"/>
                <w:szCs w:val="18"/>
                <w:highlight w:val="none"/>
                <w:lang w:val="en-US" w:eastAsia="zh-CN" w:bidi="ar"/>
              </w:rPr>
              <w:t xml:space="preserve">    </w:t>
            </w:r>
            <w:r>
              <w:rPr>
                <w:rStyle w:val="44"/>
                <w:rFonts w:hint="eastAsia" w:asciiTheme="minorEastAsia" w:hAnsiTheme="minorEastAsia" w:eastAsiaTheme="minorEastAsia" w:cstheme="minorEastAsia"/>
                <w:color w:val="auto"/>
                <w:sz w:val="18"/>
                <w:szCs w:val="18"/>
                <w:highlight w:val="none"/>
                <w:lang w:val="en-US" w:eastAsia="zh-CN" w:bidi="ar"/>
              </w:rPr>
              <w:t>称</w:t>
            </w:r>
          </w:p>
        </w:tc>
        <w:tc>
          <w:tcPr>
            <w:tcW w:w="2504" w:type="dxa"/>
            <w:tcBorders>
              <w:top w:val="single" w:color="000000" w:sz="4" w:space="0"/>
              <w:left w:val="single" w:color="000000" w:sz="4" w:space="0"/>
              <w:bottom w:val="single" w:color="000000" w:sz="4" w:space="0"/>
              <w:right w:val="single" w:color="000000" w:sz="4" w:space="0"/>
            </w:tcBorders>
            <w:noWrap w:val="0"/>
            <w:vAlign w:val="center"/>
          </w:tcPr>
          <w:p w14:paraId="2A2A126C">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规</w:t>
            </w:r>
            <w:r>
              <w:rPr>
                <w:rStyle w:val="48"/>
                <w:rFonts w:hint="eastAsia" w:asciiTheme="minorEastAsia" w:hAnsiTheme="minorEastAsia" w:eastAsiaTheme="minorEastAsia" w:cstheme="minorEastAsia"/>
                <w:color w:val="auto"/>
                <w:sz w:val="18"/>
                <w:szCs w:val="18"/>
                <w:highlight w:val="none"/>
                <w:lang w:val="en-US" w:eastAsia="zh-CN" w:bidi="ar"/>
              </w:rPr>
              <w:t xml:space="preserve">    </w:t>
            </w:r>
            <w:r>
              <w:rPr>
                <w:rStyle w:val="44"/>
                <w:rFonts w:hint="eastAsia" w:asciiTheme="minorEastAsia" w:hAnsiTheme="minorEastAsia" w:eastAsiaTheme="minorEastAsia" w:cstheme="minorEastAsia"/>
                <w:color w:val="auto"/>
                <w:sz w:val="18"/>
                <w:szCs w:val="18"/>
                <w:highlight w:val="none"/>
                <w:lang w:val="en-US" w:eastAsia="zh-CN" w:bidi="ar"/>
              </w:rPr>
              <w:t>格</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4D82896A">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材</w:t>
            </w:r>
            <w:r>
              <w:rPr>
                <w:rStyle w:val="48"/>
                <w:rFonts w:hint="eastAsia" w:asciiTheme="minorEastAsia" w:hAnsiTheme="minorEastAsia" w:eastAsiaTheme="minorEastAsia" w:cstheme="minorEastAsia"/>
                <w:color w:val="auto"/>
                <w:sz w:val="18"/>
                <w:szCs w:val="18"/>
                <w:highlight w:val="none"/>
                <w:lang w:val="en-US" w:eastAsia="zh-CN" w:bidi="ar"/>
              </w:rPr>
              <w:t xml:space="preserve">  </w:t>
            </w:r>
            <w:r>
              <w:rPr>
                <w:rStyle w:val="44"/>
                <w:rFonts w:hint="eastAsia" w:asciiTheme="minorEastAsia" w:hAnsiTheme="minorEastAsia" w:eastAsiaTheme="minorEastAsia" w:cstheme="minorEastAsia"/>
                <w:color w:val="auto"/>
                <w:sz w:val="18"/>
                <w:szCs w:val="18"/>
                <w:highlight w:val="none"/>
                <w:lang w:val="en-US" w:eastAsia="zh-CN" w:bidi="ar"/>
              </w:rPr>
              <w:t>料</w:t>
            </w: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256F7A21">
            <w:pPr>
              <w:keepNext w:val="0"/>
              <w:keepLines w:val="0"/>
              <w:pageBreakBefore w:val="0"/>
              <w:widowControl/>
              <w:suppressLineNumbers w:val="0"/>
              <w:kinsoku/>
              <w:wordWrap w:val="0"/>
              <w:overflowPunct/>
              <w:topLinePunct/>
              <w:bidi w:val="0"/>
              <w:jc w:val="center"/>
              <w:textAlignment w:val="center"/>
              <w:rPr>
                <w:rStyle w:val="44"/>
                <w:rFonts w:hint="eastAsia" w:asciiTheme="minorEastAsia" w:hAnsiTheme="minorEastAsia" w:eastAsiaTheme="minorEastAsia" w:cstheme="minorEastAsia"/>
                <w:color w:val="auto"/>
                <w:sz w:val="18"/>
                <w:szCs w:val="18"/>
                <w:highlight w:val="none"/>
                <w:lang w:val="en-US" w:eastAsia="zh-CN" w:bidi="ar"/>
              </w:rPr>
            </w:pPr>
            <w:r>
              <w:rPr>
                <w:rStyle w:val="44"/>
                <w:rFonts w:hint="eastAsia" w:asciiTheme="minorEastAsia" w:hAnsiTheme="minorEastAsia" w:eastAsiaTheme="minorEastAsia" w:cstheme="minorEastAsia"/>
                <w:color w:val="auto"/>
                <w:sz w:val="18"/>
                <w:szCs w:val="18"/>
                <w:highlight w:val="none"/>
                <w:lang w:val="en-US" w:eastAsia="zh-CN" w:bidi="ar"/>
              </w:rPr>
              <w:t>单</w:t>
            </w:r>
          </w:p>
          <w:p w14:paraId="3D991843">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Style w:val="44"/>
                <w:rFonts w:hint="eastAsia" w:asciiTheme="minorEastAsia" w:hAnsiTheme="minorEastAsia" w:eastAsiaTheme="minorEastAsia" w:cstheme="minorEastAsia"/>
                <w:color w:val="auto"/>
                <w:sz w:val="18"/>
                <w:szCs w:val="18"/>
                <w:highlight w:val="none"/>
                <w:lang w:val="en-US" w:eastAsia="zh-CN" w:bidi="ar"/>
              </w:rPr>
              <w:t>位</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14:paraId="2BFD1D3B">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数</w:t>
            </w:r>
          </w:p>
          <w:p w14:paraId="183DFDDA">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Style w:val="44"/>
                <w:rFonts w:hint="eastAsia" w:asciiTheme="minorEastAsia" w:hAnsiTheme="minorEastAsia" w:eastAsiaTheme="minorEastAsia" w:cstheme="minorEastAsia"/>
                <w:color w:val="auto"/>
                <w:sz w:val="18"/>
                <w:szCs w:val="18"/>
                <w:highlight w:val="none"/>
                <w:lang w:val="en-US" w:eastAsia="zh-CN" w:bidi="ar"/>
              </w:rPr>
              <w:t>量</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14:paraId="3F5A9C38">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备</w:t>
            </w:r>
            <w:r>
              <w:rPr>
                <w:rStyle w:val="48"/>
                <w:rFonts w:hint="eastAsia" w:asciiTheme="minorEastAsia" w:hAnsiTheme="minorEastAsia" w:eastAsiaTheme="minorEastAsia" w:cstheme="minorEastAsia"/>
                <w:color w:val="auto"/>
                <w:sz w:val="18"/>
                <w:szCs w:val="18"/>
                <w:highlight w:val="none"/>
                <w:lang w:val="en-US" w:eastAsia="zh-CN" w:bidi="ar"/>
              </w:rPr>
              <w:t xml:space="preserve">  </w:t>
            </w:r>
            <w:r>
              <w:rPr>
                <w:rStyle w:val="44"/>
                <w:rFonts w:hint="eastAsia" w:asciiTheme="minorEastAsia" w:hAnsiTheme="minorEastAsia" w:eastAsiaTheme="minorEastAsia" w:cstheme="minorEastAsia"/>
                <w:color w:val="auto"/>
                <w:sz w:val="18"/>
                <w:szCs w:val="18"/>
                <w:highlight w:val="none"/>
                <w:lang w:val="en-US" w:eastAsia="zh-CN" w:bidi="ar"/>
              </w:rPr>
              <w:t>注</w:t>
            </w:r>
          </w:p>
        </w:tc>
      </w:tr>
      <w:tr w14:paraId="30A5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4" w:space="0"/>
              <w:left w:val="single" w:color="000000" w:sz="4" w:space="0"/>
              <w:bottom w:val="single" w:color="000000" w:sz="4" w:space="0"/>
              <w:right w:val="single" w:color="000000" w:sz="4" w:space="0"/>
            </w:tcBorders>
            <w:noWrap w:val="0"/>
            <w:vAlign w:val="center"/>
          </w:tcPr>
          <w:p w14:paraId="3D57C194">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lang w:val="en-US" w:eastAsia="zh-CN"/>
              </w:rPr>
            </w:pPr>
            <w:r>
              <w:rPr>
                <w:rFonts w:hint="eastAsia" w:asciiTheme="minorEastAsia" w:hAnsiTheme="minorEastAsia" w:eastAsiaTheme="minorEastAsia" w:cstheme="minorEastAsia"/>
                <w:i w:val="0"/>
                <w:iCs w:val="0"/>
                <w:color w:val="auto"/>
                <w:sz w:val="18"/>
                <w:szCs w:val="18"/>
                <w:highlight w:val="none"/>
                <w:u w:val="none"/>
                <w:lang w:val="en-US" w:eastAsia="zh-CN"/>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2AD23AA2">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lang w:eastAsia="zh-CN"/>
              </w:rPr>
            </w:pPr>
            <w:r>
              <w:rPr>
                <w:rFonts w:hint="eastAsia" w:asciiTheme="minorEastAsia" w:hAnsiTheme="minorEastAsia" w:eastAsiaTheme="minorEastAsia" w:cstheme="minorEastAsia"/>
                <w:i w:val="0"/>
                <w:iCs w:val="0"/>
                <w:color w:val="auto"/>
                <w:sz w:val="18"/>
                <w:szCs w:val="18"/>
                <w:highlight w:val="none"/>
                <w:u w:val="none"/>
                <w:lang w:eastAsia="zh-CN"/>
              </w:rPr>
              <w:t>暂无</w:t>
            </w:r>
          </w:p>
        </w:tc>
        <w:tc>
          <w:tcPr>
            <w:tcW w:w="2504" w:type="dxa"/>
            <w:tcBorders>
              <w:top w:val="single" w:color="000000" w:sz="4" w:space="0"/>
              <w:left w:val="single" w:color="000000" w:sz="4" w:space="0"/>
              <w:bottom w:val="single" w:color="000000" w:sz="4" w:space="0"/>
              <w:right w:val="single" w:color="000000" w:sz="4" w:space="0"/>
            </w:tcBorders>
            <w:noWrap w:val="0"/>
            <w:vAlign w:val="center"/>
          </w:tcPr>
          <w:p w14:paraId="33FF5FF0">
            <w:pPr>
              <w:keepNext w:val="0"/>
              <w:keepLines w:val="0"/>
              <w:pageBreakBefore w:val="0"/>
              <w:widowControl/>
              <w:suppressLineNumbers w:val="0"/>
              <w:kinsoku/>
              <w:wordWrap w:val="0"/>
              <w:overflowPunct/>
              <w:topLinePunct/>
              <w:bidi w:val="0"/>
              <w:jc w:val="left"/>
              <w:textAlignment w:val="center"/>
              <w:rPr>
                <w:rFonts w:hint="eastAsia" w:asciiTheme="minorEastAsia" w:hAnsiTheme="minorEastAsia" w:eastAsiaTheme="minorEastAsia" w:cstheme="minorEastAsia"/>
                <w:i w:val="0"/>
                <w:iCs w:val="0"/>
                <w:color w:val="auto"/>
                <w:sz w:val="18"/>
                <w:szCs w:val="18"/>
                <w:highlight w:val="none"/>
                <w:u w:val="none"/>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BA8C434">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7F1CF8C9">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p>
        </w:tc>
        <w:tc>
          <w:tcPr>
            <w:tcW w:w="669" w:type="dxa"/>
            <w:tcBorders>
              <w:top w:val="single" w:color="000000" w:sz="4" w:space="0"/>
              <w:left w:val="single" w:color="000000" w:sz="4" w:space="0"/>
              <w:bottom w:val="single" w:color="000000" w:sz="4" w:space="0"/>
              <w:right w:val="single" w:color="000000" w:sz="4" w:space="0"/>
            </w:tcBorders>
            <w:noWrap w:val="0"/>
            <w:vAlign w:val="center"/>
          </w:tcPr>
          <w:p w14:paraId="162734C4">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p>
        </w:tc>
        <w:tc>
          <w:tcPr>
            <w:tcW w:w="1658" w:type="dxa"/>
            <w:tcBorders>
              <w:top w:val="single" w:color="000000" w:sz="4" w:space="0"/>
              <w:left w:val="single" w:color="000000" w:sz="4" w:space="0"/>
              <w:bottom w:val="single" w:color="000000" w:sz="4" w:space="0"/>
              <w:right w:val="single" w:color="000000" w:sz="4" w:space="0"/>
            </w:tcBorders>
            <w:noWrap w:val="0"/>
            <w:vAlign w:val="center"/>
          </w:tcPr>
          <w:p w14:paraId="5CB3BFDD">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p>
        </w:tc>
      </w:tr>
    </w:tbl>
    <w:p w14:paraId="54B9FDB8">
      <w:pPr>
        <w:rPr>
          <w:rFonts w:hint="eastAsia" w:ascii="宋体" w:hAnsi="宋体" w:eastAsia="宋体" w:cs="宋体"/>
          <w:color w:val="auto"/>
          <w:highlight w:val="none"/>
        </w:rPr>
      </w:pPr>
    </w:p>
    <w:p w14:paraId="02DE9EC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注：本招标项目的甲供主材设备清单届时随最高投标限价、图纸、招标工程量清单在投标截止时间15天前以补充通知的形式在广东省招标投标监管网（https://zbtb.gd.gov.cn/）、全国公共资源交易平台（广东省•韶关市）（https://ygp.gdzwfw.gov.cn/ggzy-portal/#/440200/index）公布，各投标人应自行下载。</w:t>
      </w:r>
      <w:r>
        <w:rPr>
          <w:rFonts w:hint="eastAsia" w:ascii="宋体" w:hAnsi="宋体" w:eastAsia="宋体" w:cs="宋体"/>
          <w:color w:val="auto"/>
          <w:highlight w:val="none"/>
        </w:rPr>
        <w:br w:type="page"/>
      </w:r>
    </w:p>
    <w:p w14:paraId="58433338">
      <w:pPr>
        <w:pStyle w:val="6"/>
        <w:keepNext w:val="0"/>
        <w:keepLines w:val="0"/>
        <w:pageBreakBefore w:val="0"/>
        <w:widowControl w:val="0"/>
        <w:kinsoku/>
        <w:wordWrap w:val="0"/>
        <w:overflowPunct/>
        <w:topLinePunct/>
        <w:autoSpaceDE/>
        <w:autoSpaceDN/>
        <w:bidi w:val="0"/>
        <w:adjustRightInd w:val="0"/>
        <w:snapToGrid w:val="0"/>
        <w:spacing w:line="304" w:lineRule="auto"/>
        <w:ind w:right="84" w:rightChars="40"/>
        <w:rPr>
          <w:rFonts w:hint="eastAsia" w:ascii="宋体" w:hAnsi="宋体" w:eastAsia="宋体" w:cs="宋体"/>
          <w:color w:val="auto"/>
          <w:highlight w:val="none"/>
        </w:rPr>
      </w:pPr>
    </w:p>
    <w:p w14:paraId="112B9D29">
      <w:pPr>
        <w:keepNext w:val="0"/>
        <w:keepLines w:val="0"/>
        <w:pageBreakBefore w:val="0"/>
        <w:widowControl w:val="0"/>
        <w:kinsoku/>
        <w:wordWrap w:val="0"/>
        <w:overflowPunct/>
        <w:topLinePunct/>
        <w:autoSpaceDE/>
        <w:autoSpaceDN/>
        <w:bidi w:val="0"/>
        <w:adjustRightInd w:val="0"/>
        <w:snapToGrid w:val="0"/>
        <w:spacing w:before="78" w:line="219" w:lineRule="auto"/>
        <w:ind w:left="3357" w:right="84" w:rightChars="40"/>
        <w:outlineLvl w:val="0"/>
        <w:rPr>
          <w:rFonts w:hint="eastAsia" w:ascii="宋体" w:hAnsi="宋体" w:eastAsia="宋体" w:cs="宋体"/>
          <w:color w:val="auto"/>
          <w:sz w:val="24"/>
          <w:szCs w:val="24"/>
          <w:highlight w:val="none"/>
        </w:rPr>
      </w:pPr>
      <w:bookmarkStart w:id="190" w:name="_Toc29734"/>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190"/>
    </w:p>
    <w:p w14:paraId="24FCA0A7">
      <w:pPr>
        <w:pStyle w:val="6"/>
        <w:keepNext w:val="0"/>
        <w:keepLines w:val="0"/>
        <w:pageBreakBefore w:val="0"/>
        <w:widowControl w:val="0"/>
        <w:kinsoku/>
        <w:wordWrap w:val="0"/>
        <w:overflowPunct/>
        <w:topLinePunct/>
        <w:autoSpaceDE/>
        <w:autoSpaceDN/>
        <w:bidi w:val="0"/>
        <w:adjustRightInd w:val="0"/>
        <w:snapToGrid w:val="0"/>
        <w:spacing w:line="302" w:lineRule="auto"/>
        <w:ind w:right="84" w:rightChars="40"/>
        <w:jc w:val="right"/>
        <w:rPr>
          <w:rFonts w:hint="eastAsia" w:ascii="宋体" w:hAnsi="宋体" w:eastAsia="宋体" w:cs="宋体"/>
          <w:color w:val="auto"/>
          <w:highlight w:val="none"/>
        </w:rPr>
      </w:pPr>
    </w:p>
    <w:p w14:paraId="63A53B7F">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color w:val="auto"/>
          <w:sz w:val="24"/>
          <w:szCs w:val="24"/>
          <w:highlight w:val="none"/>
        </w:rPr>
      </w:pPr>
      <w:bookmarkStart w:id="191" w:name="_Toc8398"/>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191"/>
    </w:p>
    <w:p w14:paraId="3FD9956B">
      <w:pPr>
        <w:pStyle w:val="6"/>
        <w:keepNext w:val="0"/>
        <w:keepLines w:val="0"/>
        <w:pageBreakBefore w:val="0"/>
        <w:widowControl w:val="0"/>
        <w:kinsoku/>
        <w:wordWrap w:val="0"/>
        <w:overflowPunct/>
        <w:topLinePunct/>
        <w:autoSpaceDE/>
        <w:autoSpaceDN/>
        <w:bidi w:val="0"/>
        <w:adjustRightInd w:val="0"/>
        <w:snapToGrid w:val="0"/>
        <w:spacing w:line="258" w:lineRule="auto"/>
        <w:ind w:right="84" w:rightChars="40"/>
        <w:rPr>
          <w:rFonts w:hint="eastAsia" w:ascii="宋体" w:hAnsi="宋体" w:eastAsia="宋体" w:cs="宋体"/>
          <w:color w:val="auto"/>
          <w:highlight w:val="none"/>
        </w:rPr>
      </w:pPr>
    </w:p>
    <w:p w14:paraId="2A179972">
      <w:pPr>
        <w:pStyle w:val="6"/>
        <w:keepNext w:val="0"/>
        <w:keepLines w:val="0"/>
        <w:pageBreakBefore w:val="0"/>
        <w:widowControl w:val="0"/>
        <w:kinsoku/>
        <w:wordWrap w:val="0"/>
        <w:overflowPunct/>
        <w:topLinePunct/>
        <w:autoSpaceDE/>
        <w:autoSpaceDN/>
        <w:bidi w:val="0"/>
        <w:adjustRightInd w:val="0"/>
        <w:snapToGrid w:val="0"/>
        <w:spacing w:line="259" w:lineRule="auto"/>
        <w:ind w:right="84" w:rightChars="40"/>
        <w:rPr>
          <w:rFonts w:hint="eastAsia" w:ascii="宋体" w:hAnsi="宋体" w:eastAsia="宋体" w:cs="宋体"/>
          <w:color w:val="auto"/>
          <w:highlight w:val="none"/>
        </w:rPr>
      </w:pPr>
    </w:p>
    <w:p w14:paraId="3A3B30D2">
      <w:pPr>
        <w:pStyle w:val="6"/>
        <w:keepNext w:val="0"/>
        <w:keepLines w:val="0"/>
        <w:pageBreakBefore w:val="0"/>
        <w:widowControl w:val="0"/>
        <w:kinsoku/>
        <w:wordWrap w:val="0"/>
        <w:overflowPunct/>
        <w:topLinePunct/>
        <w:autoSpaceDE/>
        <w:autoSpaceDN/>
        <w:bidi w:val="0"/>
        <w:adjustRightInd w:val="0"/>
        <w:snapToGrid w:val="0"/>
        <w:spacing w:line="259" w:lineRule="auto"/>
        <w:ind w:right="84" w:rightChars="40"/>
        <w:rPr>
          <w:rFonts w:hint="eastAsia" w:ascii="宋体" w:hAnsi="宋体" w:eastAsia="宋体" w:cs="宋体"/>
          <w:color w:val="auto"/>
          <w:highlight w:val="none"/>
        </w:rPr>
      </w:pPr>
    </w:p>
    <w:p w14:paraId="09489E79">
      <w:pPr>
        <w:keepNext w:val="0"/>
        <w:keepLines w:val="0"/>
        <w:pageBreakBefore w:val="0"/>
        <w:widowControl w:val="0"/>
        <w:kinsoku/>
        <w:wordWrap w:val="0"/>
        <w:overflowPunct/>
        <w:topLinePunct/>
        <w:autoSpaceDE/>
        <w:autoSpaceDN/>
        <w:bidi w:val="0"/>
        <w:adjustRightInd w:val="0"/>
        <w:snapToGrid w:val="0"/>
        <w:spacing w:before="153" w:line="225" w:lineRule="auto"/>
        <w:ind w:left="-1" w:leftChars="0" w:right="84" w:rightChars="4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32"/>
          <w:sz w:val="47"/>
          <w:szCs w:val="47"/>
          <w:highlight w:val="none"/>
          <w:u w:val="none"/>
          <w:lang w:val="en-US" w:eastAsia="zh-CN"/>
        </w:rPr>
        <w:t>施工</w:t>
      </w:r>
      <w:r>
        <w:rPr>
          <w:rFonts w:hint="eastAsia" w:ascii="宋体" w:hAnsi="宋体" w:eastAsia="宋体" w:cs="宋体"/>
          <w:b/>
          <w:bCs/>
          <w:color w:val="auto"/>
          <w:spacing w:val="8"/>
          <w:sz w:val="47"/>
          <w:szCs w:val="47"/>
          <w:highlight w:val="none"/>
        </w:rPr>
        <w:t>招标</w:t>
      </w:r>
    </w:p>
    <w:p w14:paraId="051BDE2B">
      <w:pPr>
        <w:pStyle w:val="6"/>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14:paraId="142E617A">
      <w:pPr>
        <w:pStyle w:val="6"/>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14:paraId="0CB2B9BE">
      <w:pPr>
        <w:pStyle w:val="6"/>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14:paraId="17024E7D">
      <w:pPr>
        <w:pStyle w:val="6"/>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14:paraId="4037DDAA">
      <w:pPr>
        <w:pStyle w:val="6"/>
        <w:keepNext w:val="0"/>
        <w:keepLines w:val="0"/>
        <w:pageBreakBefore w:val="0"/>
        <w:widowControl w:val="0"/>
        <w:kinsoku/>
        <w:wordWrap w:val="0"/>
        <w:overflowPunct/>
        <w:topLinePunct/>
        <w:autoSpaceDE/>
        <w:autoSpaceDN/>
        <w:bidi w:val="0"/>
        <w:adjustRightInd w:val="0"/>
        <w:snapToGrid w:val="0"/>
        <w:spacing w:line="248" w:lineRule="auto"/>
        <w:ind w:right="84" w:rightChars="40"/>
        <w:rPr>
          <w:rFonts w:hint="eastAsia" w:ascii="宋体" w:hAnsi="宋体" w:eastAsia="宋体" w:cs="宋体"/>
          <w:color w:val="auto"/>
          <w:highlight w:val="none"/>
        </w:rPr>
      </w:pPr>
    </w:p>
    <w:p w14:paraId="4FF11120">
      <w:pPr>
        <w:keepNext w:val="0"/>
        <w:keepLines w:val="0"/>
        <w:pageBreakBefore w:val="0"/>
        <w:widowControl w:val="0"/>
        <w:kinsoku/>
        <w:wordWrap w:val="0"/>
        <w:overflowPunct/>
        <w:topLinePunct/>
        <w:autoSpaceDE/>
        <w:autoSpaceDN/>
        <w:bidi w:val="0"/>
        <w:adjustRightInd w:val="0"/>
        <w:snapToGrid w:val="0"/>
        <w:spacing w:before="231" w:line="223" w:lineRule="auto"/>
        <w:ind w:right="84" w:rightChars="40"/>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7D635049">
      <w:pPr>
        <w:pStyle w:val="6"/>
        <w:keepNext w:val="0"/>
        <w:keepLines w:val="0"/>
        <w:pageBreakBefore w:val="0"/>
        <w:widowControl w:val="0"/>
        <w:kinsoku/>
        <w:wordWrap w:val="0"/>
        <w:overflowPunct/>
        <w:topLinePunct/>
        <w:autoSpaceDE/>
        <w:autoSpaceDN/>
        <w:bidi w:val="0"/>
        <w:adjustRightInd w:val="0"/>
        <w:snapToGrid w:val="0"/>
        <w:spacing w:line="293" w:lineRule="auto"/>
        <w:ind w:right="84" w:rightChars="40"/>
        <w:rPr>
          <w:rFonts w:hint="eastAsia" w:ascii="宋体" w:hAnsi="宋体" w:eastAsia="宋体" w:cs="宋体"/>
          <w:color w:val="auto"/>
          <w:highlight w:val="none"/>
        </w:rPr>
      </w:pPr>
    </w:p>
    <w:p w14:paraId="24180DFF">
      <w:pPr>
        <w:pStyle w:val="6"/>
        <w:keepNext w:val="0"/>
        <w:keepLines w:val="0"/>
        <w:pageBreakBefore w:val="0"/>
        <w:widowControl w:val="0"/>
        <w:kinsoku/>
        <w:wordWrap w:val="0"/>
        <w:overflowPunct/>
        <w:topLinePunct/>
        <w:autoSpaceDE/>
        <w:autoSpaceDN/>
        <w:bidi w:val="0"/>
        <w:adjustRightInd w:val="0"/>
        <w:snapToGrid w:val="0"/>
        <w:spacing w:line="293" w:lineRule="auto"/>
        <w:ind w:right="84" w:rightChars="40"/>
        <w:rPr>
          <w:rFonts w:hint="eastAsia" w:ascii="宋体" w:hAnsi="宋体" w:eastAsia="宋体" w:cs="宋体"/>
          <w:color w:val="auto"/>
          <w:highlight w:val="none"/>
        </w:rPr>
      </w:pPr>
    </w:p>
    <w:p w14:paraId="62E88C2F">
      <w:pPr>
        <w:keepNext w:val="0"/>
        <w:keepLines w:val="0"/>
        <w:pageBreakBefore w:val="0"/>
        <w:widowControl w:val="0"/>
        <w:kinsoku/>
        <w:wordWrap w:val="0"/>
        <w:overflowPunct/>
        <w:topLinePunct/>
        <w:autoSpaceDE/>
        <w:autoSpaceDN/>
        <w:bidi w:val="0"/>
        <w:adjustRightInd w:val="0"/>
        <w:snapToGrid w:val="0"/>
        <w:spacing w:before="152" w:line="223" w:lineRule="auto"/>
        <w:ind w:right="84" w:rightChars="40"/>
        <w:jc w:val="center"/>
        <w:rPr>
          <w:rFonts w:hint="eastAsia" w:ascii="宋体" w:hAnsi="宋体" w:eastAsia="宋体" w:cs="宋体"/>
          <w:b/>
          <w:bCs/>
          <w:color w:val="auto"/>
          <w:spacing w:val="2"/>
          <w:sz w:val="47"/>
          <w:szCs w:val="47"/>
          <w:highlight w:val="none"/>
        </w:rPr>
      </w:pPr>
      <w:bookmarkStart w:id="192" w:name="bookmark105"/>
      <w:bookmarkEnd w:id="192"/>
      <w:r>
        <w:rPr>
          <w:rFonts w:hint="eastAsia" w:ascii="宋体" w:hAnsi="宋体" w:eastAsia="宋体" w:cs="宋体"/>
          <w:b/>
          <w:bCs/>
          <w:color w:val="auto"/>
          <w:spacing w:val="2"/>
          <w:sz w:val="47"/>
          <w:szCs w:val="47"/>
          <w:highlight w:val="none"/>
        </w:rPr>
        <w:t>（商务标书／经济标书／施工组织设计）</w:t>
      </w:r>
    </w:p>
    <w:p w14:paraId="32427087">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776DAA21">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52CDC023">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07BCDB4F">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14418938">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1BDEA605">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21B7FAB6">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472D1801">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241AE524">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116E2975">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p>
    <w:p w14:paraId="7612C6B0">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p>
    <w:p w14:paraId="316DAF53">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275D1952">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p>
    <w:p w14:paraId="020DC4FA">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u w:val="single"/>
        </w:rPr>
      </w:pPr>
    </w:p>
    <w:p w14:paraId="22D462B6">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02684CDB">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49899126">
      <w:pPr>
        <w:keepNext w:val="0"/>
        <w:keepLines w:val="0"/>
        <w:pageBreakBefore w:val="0"/>
        <w:widowControl w:val="0"/>
        <w:kinsoku/>
        <w:wordWrap w:val="0"/>
        <w:overflowPunct/>
        <w:topLinePunct/>
        <w:autoSpaceDE/>
        <w:autoSpaceDN/>
        <w:bidi w:val="0"/>
        <w:adjustRightInd w:val="0"/>
        <w:snapToGrid w:val="0"/>
        <w:ind w:right="84" w:rightChars="40"/>
        <w:outlineLvl w:val="9"/>
        <w:rPr>
          <w:rFonts w:hint="eastAsia"/>
          <w:color w:val="auto"/>
          <w:highlight w:val="none"/>
        </w:rPr>
      </w:pPr>
    </w:p>
    <w:p w14:paraId="3D003B6F">
      <w:pPr>
        <w:keepNext w:val="0"/>
        <w:keepLines w:val="0"/>
        <w:pageBreakBefore w:val="0"/>
        <w:widowControl w:val="0"/>
        <w:kinsoku/>
        <w:wordWrap w:val="0"/>
        <w:overflowPunct/>
        <w:topLinePunct/>
        <w:autoSpaceDE/>
        <w:autoSpaceDN/>
        <w:bidi w:val="0"/>
        <w:adjustRightInd w:val="0"/>
        <w:snapToGrid w:val="0"/>
        <w:spacing w:line="223" w:lineRule="auto"/>
        <w:ind w:right="84" w:rightChars="40"/>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C334C29">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193" w:name="_Toc14176"/>
      <w:r>
        <w:rPr>
          <w:rFonts w:hint="eastAsia" w:ascii="宋体" w:hAnsi="宋体" w:eastAsia="宋体" w:cs="宋体"/>
          <w:b/>
          <w:bCs/>
          <w:color w:val="auto"/>
          <w:spacing w:val="-4"/>
          <w:sz w:val="24"/>
          <w:szCs w:val="24"/>
          <w:highlight w:val="none"/>
        </w:rPr>
        <w:t>格式二 投标函</w:t>
      </w:r>
      <w:bookmarkEnd w:id="193"/>
    </w:p>
    <w:p w14:paraId="7DA61F02">
      <w:pPr>
        <w:pStyle w:val="6"/>
        <w:keepNext w:val="0"/>
        <w:keepLines w:val="0"/>
        <w:pageBreakBefore w:val="0"/>
        <w:widowControl w:val="0"/>
        <w:kinsoku/>
        <w:wordWrap w:val="0"/>
        <w:overflowPunct/>
        <w:topLinePunct/>
        <w:autoSpaceDE/>
        <w:autoSpaceDN/>
        <w:bidi w:val="0"/>
        <w:adjustRightInd w:val="0"/>
        <w:snapToGrid w:val="0"/>
        <w:spacing w:line="261" w:lineRule="auto"/>
        <w:ind w:right="84" w:rightChars="40"/>
        <w:rPr>
          <w:rFonts w:hint="eastAsia" w:ascii="宋体" w:hAnsi="宋体" w:eastAsia="宋体" w:cs="宋体"/>
          <w:color w:val="auto"/>
          <w:highlight w:val="none"/>
        </w:rPr>
      </w:pPr>
    </w:p>
    <w:p w14:paraId="6040FF9B">
      <w:pPr>
        <w:keepNext w:val="0"/>
        <w:keepLines w:val="0"/>
        <w:pageBreakBefore w:val="0"/>
        <w:widowControl w:val="0"/>
        <w:kinsoku/>
        <w:wordWrap w:val="0"/>
        <w:overflowPunct/>
        <w:topLinePunct/>
        <w:autoSpaceDE/>
        <w:autoSpaceDN/>
        <w:bidi w:val="0"/>
        <w:adjustRightInd w:val="0"/>
        <w:snapToGrid w:val="0"/>
        <w:spacing w:before="97" w:line="221" w:lineRule="auto"/>
        <w:ind w:left="3799" w:right="84" w:rightChars="40"/>
        <w:outlineLvl w:val="9"/>
        <w:rPr>
          <w:rFonts w:hint="eastAsia" w:ascii="宋体" w:hAnsi="宋体" w:eastAsia="宋体" w:cs="宋体"/>
          <w:color w:val="auto"/>
          <w:sz w:val="30"/>
          <w:szCs w:val="30"/>
          <w:highlight w:val="none"/>
        </w:rPr>
      </w:pPr>
      <w:bookmarkStart w:id="194" w:name="bookmark148"/>
      <w:bookmarkEnd w:id="194"/>
      <w:bookmarkStart w:id="195" w:name="_Toc27397"/>
      <w:bookmarkStart w:id="196" w:name="_Toc317"/>
      <w:bookmarkStart w:id="197" w:name="_Toc2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195"/>
      <w:bookmarkEnd w:id="196"/>
      <w:bookmarkEnd w:id="197"/>
    </w:p>
    <w:p w14:paraId="3721B4C6">
      <w:pPr>
        <w:pStyle w:val="6"/>
        <w:keepNext w:val="0"/>
        <w:keepLines w:val="0"/>
        <w:pageBreakBefore w:val="0"/>
        <w:widowControl w:val="0"/>
        <w:kinsoku/>
        <w:wordWrap w:val="0"/>
        <w:overflowPunct/>
        <w:topLinePunct/>
        <w:autoSpaceDE/>
        <w:autoSpaceDN/>
        <w:bidi w:val="0"/>
        <w:adjustRightInd w:val="0"/>
        <w:snapToGrid w:val="0"/>
        <w:spacing w:line="249" w:lineRule="auto"/>
        <w:ind w:right="84" w:rightChars="40"/>
        <w:rPr>
          <w:rFonts w:hint="eastAsia" w:ascii="宋体" w:hAnsi="宋体" w:eastAsia="宋体" w:cs="宋体"/>
          <w:color w:val="auto"/>
          <w:highlight w:val="none"/>
        </w:rPr>
      </w:pPr>
    </w:p>
    <w:p w14:paraId="304436DA">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1E03F19F">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3D2B3D5B">
      <w:pPr>
        <w:keepNext w:val="0"/>
        <w:keepLines w:val="0"/>
        <w:pageBreakBefore w:val="0"/>
        <w:widowControl w:val="0"/>
        <w:kinsoku/>
        <w:wordWrap w:val="0"/>
        <w:overflowPunct/>
        <w:topLinePunct/>
        <w:autoSpaceDE/>
        <w:autoSpaceDN/>
        <w:bidi w:val="0"/>
        <w:adjustRightInd w:val="0"/>
        <w:snapToGrid w:val="0"/>
        <w:spacing w:before="78" w:line="221" w:lineRule="auto"/>
        <w:ind w:left="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61738A9A">
      <w:pPr>
        <w:pStyle w:val="6"/>
        <w:keepNext w:val="0"/>
        <w:keepLines w:val="0"/>
        <w:pageBreakBefore w:val="0"/>
        <w:widowControl w:val="0"/>
        <w:kinsoku/>
        <w:wordWrap w:val="0"/>
        <w:overflowPunct/>
        <w:topLinePunct/>
        <w:autoSpaceDE/>
        <w:autoSpaceDN/>
        <w:bidi w:val="0"/>
        <w:adjustRightInd w:val="0"/>
        <w:snapToGrid w:val="0"/>
        <w:spacing w:before="156" w:line="328" w:lineRule="auto"/>
        <w:ind w:left="9" w:right="84" w:rightChars="40"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062DCBF0">
      <w:pPr>
        <w:keepNext w:val="0"/>
        <w:keepLines w:val="0"/>
        <w:pageBreakBefore w:val="0"/>
        <w:widowControl w:val="0"/>
        <w:kinsoku/>
        <w:wordWrap w:val="0"/>
        <w:overflowPunct/>
        <w:topLinePunct/>
        <w:autoSpaceDE/>
        <w:autoSpaceDN/>
        <w:bidi w:val="0"/>
        <w:adjustRightInd w:val="0"/>
        <w:snapToGrid w:val="0"/>
        <w:spacing w:before="39" w:line="323" w:lineRule="auto"/>
        <w:ind w:right="84" w:rightChars="40"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；专业工程暂估价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21DC1993">
      <w:pPr>
        <w:keepNext w:val="0"/>
        <w:keepLines w:val="0"/>
        <w:pageBreakBefore w:val="0"/>
        <w:widowControl w:val="0"/>
        <w:kinsoku/>
        <w:wordWrap w:val="0"/>
        <w:overflowPunct/>
        <w:topLinePunct/>
        <w:autoSpaceDE/>
        <w:autoSpaceDN/>
        <w:bidi w:val="0"/>
        <w:adjustRightInd w:val="0"/>
        <w:snapToGrid w:val="0"/>
        <w:spacing w:before="38" w:line="280" w:lineRule="auto"/>
        <w:ind w:left="13" w:right="84" w:rightChars="40"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198" w:name="OLE_LINK34"/>
      <w:r>
        <w:rPr>
          <w:rFonts w:hint="eastAsia" w:ascii="宋体" w:hAnsi="宋体" w:eastAsia="宋体" w:cs="宋体"/>
          <w:color w:val="auto"/>
          <w:sz w:val="24"/>
          <w:szCs w:val="24"/>
          <w:highlight w:val="none"/>
          <w:u w:val="single"/>
          <w:lang w:val="en-US" w:eastAsia="zh-CN"/>
        </w:rPr>
        <w:t xml:space="preserve">     </w:t>
      </w:r>
      <w:bookmarkEnd w:id="198"/>
      <w:r>
        <w:rPr>
          <w:rFonts w:hint="eastAsia" w:ascii="宋体" w:hAnsi="宋体" w:eastAsia="宋体" w:cs="宋体"/>
          <w:color w:val="auto"/>
          <w:sz w:val="24"/>
          <w:szCs w:val="24"/>
          <w:highlight w:val="none"/>
        </w:rPr>
        <w:t xml:space="preserve">个日历 </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3B3FD196">
      <w:pPr>
        <w:keepNext w:val="0"/>
        <w:keepLines w:val="0"/>
        <w:pageBreakBefore w:val="0"/>
        <w:widowControl w:val="0"/>
        <w:kinsoku/>
        <w:wordWrap w:val="0"/>
        <w:overflowPunct/>
        <w:topLinePunct/>
        <w:autoSpaceDE/>
        <w:autoSpaceDN/>
        <w:bidi w:val="0"/>
        <w:adjustRightInd w:val="0"/>
        <w:snapToGrid w:val="0"/>
        <w:spacing w:before="152" w:line="279" w:lineRule="auto"/>
        <w:ind w:left="11" w:right="84" w:rightChars="40"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29684DEE">
      <w:pPr>
        <w:keepNext w:val="0"/>
        <w:keepLines w:val="0"/>
        <w:pageBreakBefore w:val="0"/>
        <w:widowControl w:val="0"/>
        <w:kinsoku/>
        <w:wordWrap w:val="0"/>
        <w:overflowPunct/>
        <w:topLinePunct/>
        <w:autoSpaceDE/>
        <w:autoSpaceDN/>
        <w:bidi w:val="0"/>
        <w:adjustRightInd w:val="0"/>
        <w:snapToGrid w:val="0"/>
        <w:spacing w:before="156" w:line="279" w:lineRule="auto"/>
        <w:ind w:left="11" w:right="84" w:rightChars="40"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1741B50F">
      <w:pPr>
        <w:keepNext w:val="0"/>
        <w:keepLines w:val="0"/>
        <w:pageBreakBefore w:val="0"/>
        <w:widowControl w:val="0"/>
        <w:kinsoku/>
        <w:wordWrap w:val="0"/>
        <w:overflowPunct/>
        <w:topLinePunct/>
        <w:autoSpaceDE/>
        <w:autoSpaceDN/>
        <w:bidi w:val="0"/>
        <w:adjustRightInd w:val="0"/>
        <w:snapToGrid w:val="0"/>
        <w:spacing w:before="153" w:line="280" w:lineRule="auto"/>
        <w:ind w:left="9" w:right="84" w:rightChars="40"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5.</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721C7958">
      <w:pPr>
        <w:keepNext w:val="0"/>
        <w:keepLines w:val="0"/>
        <w:pageBreakBefore w:val="0"/>
        <w:widowControl w:val="0"/>
        <w:kinsoku/>
        <w:wordWrap w:val="0"/>
        <w:overflowPunct/>
        <w:topLinePunct/>
        <w:autoSpaceDE/>
        <w:autoSpaceDN/>
        <w:bidi w:val="0"/>
        <w:adjustRightInd w:val="0"/>
        <w:snapToGrid w:val="0"/>
        <w:spacing w:before="153" w:line="221" w:lineRule="auto"/>
        <w:ind w:left="2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6570D1E8">
      <w:pPr>
        <w:keepNext w:val="0"/>
        <w:keepLines w:val="0"/>
        <w:pageBreakBefore w:val="0"/>
        <w:widowControl w:val="0"/>
        <w:kinsoku/>
        <w:wordWrap w:val="0"/>
        <w:overflowPunct/>
        <w:topLinePunct/>
        <w:autoSpaceDE/>
        <w:autoSpaceDN/>
        <w:bidi w:val="0"/>
        <w:adjustRightInd w:val="0"/>
        <w:snapToGrid w:val="0"/>
        <w:spacing w:before="153" w:line="326" w:lineRule="auto"/>
        <w:ind w:left="13" w:right="84" w:rightChars="40"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6A8CEDBF">
      <w:pPr>
        <w:pStyle w:val="6"/>
        <w:keepNext w:val="0"/>
        <w:keepLines w:val="0"/>
        <w:pageBreakBefore w:val="0"/>
        <w:widowControl w:val="0"/>
        <w:kinsoku/>
        <w:wordWrap w:val="0"/>
        <w:overflowPunct/>
        <w:topLinePunct/>
        <w:autoSpaceDE/>
        <w:autoSpaceDN/>
        <w:bidi w:val="0"/>
        <w:adjustRightInd w:val="0"/>
        <w:snapToGrid w:val="0"/>
        <w:spacing w:line="276" w:lineRule="auto"/>
        <w:ind w:right="84" w:rightChars="40"/>
        <w:rPr>
          <w:rFonts w:hint="eastAsia" w:ascii="宋体" w:hAnsi="宋体" w:eastAsia="宋体" w:cs="宋体"/>
          <w:color w:val="auto"/>
          <w:highlight w:val="none"/>
        </w:rPr>
      </w:pPr>
    </w:p>
    <w:p w14:paraId="03A0641C">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4C0763DF">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0ACEF158">
      <w:pPr>
        <w:keepNext w:val="0"/>
        <w:keepLines w:val="0"/>
        <w:pageBreakBefore w:val="0"/>
        <w:widowControl w:val="0"/>
        <w:kinsoku/>
        <w:wordWrap w:val="0"/>
        <w:overflowPunct/>
        <w:topLinePunct/>
        <w:autoSpaceDE/>
        <w:autoSpaceDN/>
        <w:bidi w:val="0"/>
        <w:adjustRightInd w:val="0"/>
        <w:snapToGrid w:val="0"/>
        <w:spacing w:before="79" w:line="219" w:lineRule="auto"/>
        <w:ind w:right="84" w:rightChars="40"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576B723E">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14:paraId="11251475">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14:paraId="4F389E08">
      <w:pPr>
        <w:keepNext w:val="0"/>
        <w:keepLines w:val="0"/>
        <w:pageBreakBefore w:val="0"/>
        <w:widowControl w:val="0"/>
        <w:kinsoku/>
        <w:wordWrap w:val="0"/>
        <w:overflowPunct/>
        <w:topLinePunct/>
        <w:autoSpaceDE/>
        <w:autoSpaceDN/>
        <w:bidi w:val="0"/>
        <w:adjustRightInd w:val="0"/>
        <w:snapToGrid w:val="0"/>
        <w:spacing w:before="78" w:line="219" w:lineRule="auto"/>
        <w:ind w:left="3922"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7737F680">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4AE24947">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0AACB13C">
      <w:pPr>
        <w:keepNext w:val="0"/>
        <w:keepLines w:val="0"/>
        <w:pageBreakBefore w:val="0"/>
        <w:widowControl w:val="0"/>
        <w:kinsoku/>
        <w:wordWrap w:val="0"/>
        <w:overflowPunct/>
        <w:topLinePunct/>
        <w:autoSpaceDE/>
        <w:autoSpaceDN/>
        <w:bidi w:val="0"/>
        <w:adjustRightInd w:val="0"/>
        <w:snapToGrid w:val="0"/>
        <w:spacing w:before="79" w:line="220" w:lineRule="auto"/>
        <w:ind w:left="697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4D849C4E">
      <w:pPr>
        <w:keepNext w:val="0"/>
        <w:keepLines w:val="0"/>
        <w:pageBreakBefore w:val="0"/>
        <w:widowControl w:val="0"/>
        <w:kinsoku/>
        <w:wordWrap w:val="0"/>
        <w:overflowPunct/>
        <w:topLinePunct/>
        <w:autoSpaceDE/>
        <w:autoSpaceDN/>
        <w:bidi w:val="0"/>
        <w:adjustRightInd w:val="0"/>
        <w:snapToGrid w:val="0"/>
        <w:spacing w:line="220" w:lineRule="auto"/>
        <w:ind w:right="84" w:rightChars="40"/>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3CE94E0">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199" w:name="_Toc15931"/>
      <w:r>
        <w:rPr>
          <w:rFonts w:hint="eastAsia" w:ascii="宋体" w:hAnsi="宋体" w:eastAsia="宋体" w:cs="宋体"/>
          <w:b/>
          <w:bCs/>
          <w:color w:val="auto"/>
          <w:spacing w:val="-4"/>
          <w:sz w:val="24"/>
          <w:szCs w:val="24"/>
          <w:highlight w:val="none"/>
        </w:rPr>
        <w:t>格式三 各项承诺一览表</w:t>
      </w:r>
      <w:bookmarkEnd w:id="199"/>
    </w:p>
    <w:p w14:paraId="53842238">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14:paraId="76E86710">
      <w:pPr>
        <w:keepNext w:val="0"/>
        <w:keepLines w:val="0"/>
        <w:pageBreakBefore w:val="0"/>
        <w:widowControl w:val="0"/>
        <w:kinsoku/>
        <w:wordWrap w:val="0"/>
        <w:overflowPunct/>
        <w:topLinePunct/>
        <w:autoSpaceDE/>
        <w:autoSpaceDN/>
        <w:bidi w:val="0"/>
        <w:adjustRightInd w:val="0"/>
        <w:snapToGrid w:val="0"/>
        <w:spacing w:before="98" w:line="220" w:lineRule="auto"/>
        <w:ind w:left="3581" w:right="84" w:rightChars="40"/>
        <w:outlineLvl w:val="9"/>
        <w:rPr>
          <w:rFonts w:hint="eastAsia" w:ascii="宋体" w:hAnsi="宋体" w:eastAsia="宋体" w:cs="宋体"/>
          <w:color w:val="auto"/>
          <w:sz w:val="30"/>
          <w:szCs w:val="30"/>
          <w:highlight w:val="none"/>
        </w:rPr>
      </w:pPr>
      <w:bookmarkStart w:id="200" w:name="bookmark149"/>
      <w:bookmarkEnd w:id="200"/>
      <w:bookmarkStart w:id="201" w:name="_Toc2936"/>
      <w:bookmarkStart w:id="202" w:name="_Toc10326"/>
      <w:bookmarkStart w:id="203" w:name="_Toc4767"/>
      <w:r>
        <w:rPr>
          <w:rFonts w:hint="eastAsia" w:ascii="宋体" w:hAnsi="宋体" w:eastAsia="宋体" w:cs="宋体"/>
          <w:b/>
          <w:bCs/>
          <w:color w:val="auto"/>
          <w:spacing w:val="-5"/>
          <w:sz w:val="30"/>
          <w:szCs w:val="30"/>
          <w:highlight w:val="none"/>
        </w:rPr>
        <w:t>各项承诺一览表</w:t>
      </w:r>
      <w:bookmarkEnd w:id="201"/>
      <w:bookmarkEnd w:id="202"/>
      <w:bookmarkEnd w:id="203"/>
    </w:p>
    <w:p w14:paraId="40637525">
      <w:pPr>
        <w:keepNext w:val="0"/>
        <w:keepLines w:val="0"/>
        <w:pageBreakBefore w:val="0"/>
        <w:widowControl w:val="0"/>
        <w:kinsoku/>
        <w:wordWrap w:val="0"/>
        <w:overflowPunct/>
        <w:topLinePunct/>
        <w:autoSpaceDE/>
        <w:autoSpaceDN/>
        <w:bidi w:val="0"/>
        <w:adjustRightInd w:val="0"/>
        <w:snapToGrid w:val="0"/>
        <w:spacing w:before="6"/>
        <w:ind w:right="84" w:rightChars="40"/>
        <w:rPr>
          <w:rFonts w:hint="eastAsia" w:ascii="宋体" w:hAnsi="宋体" w:eastAsia="宋体" w:cs="宋体"/>
          <w:color w:val="auto"/>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51756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DEC0D0D">
            <w:pPr>
              <w:keepNext w:val="0"/>
              <w:keepLines w:val="0"/>
              <w:pageBreakBefore w:val="0"/>
              <w:widowControl w:val="0"/>
              <w:kinsoku/>
              <w:wordWrap w:val="0"/>
              <w:overflowPunct/>
              <w:topLinePunct/>
              <w:autoSpaceDE/>
              <w:autoSpaceDN/>
              <w:bidi w:val="0"/>
              <w:adjustRightInd w:val="0"/>
              <w:snapToGrid w:val="0"/>
              <w:spacing w:before="209" w:line="288" w:lineRule="auto"/>
              <w:ind w:left="12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024CEA5C">
            <w:pPr>
              <w:keepNext w:val="0"/>
              <w:keepLines w:val="0"/>
              <w:pageBreakBefore w:val="0"/>
              <w:widowControl w:val="0"/>
              <w:kinsoku/>
              <w:wordWrap w:val="0"/>
              <w:overflowPunct/>
              <w:topLinePunct/>
              <w:autoSpaceDE/>
              <w:autoSpaceDN/>
              <w:bidi w:val="0"/>
              <w:adjustRightInd w:val="0"/>
              <w:snapToGrid w:val="0"/>
              <w:spacing w:before="208" w:line="288" w:lineRule="auto"/>
              <w:ind w:left="31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2130CED6">
            <w:pPr>
              <w:keepNext w:val="0"/>
              <w:keepLines w:val="0"/>
              <w:pageBreakBefore w:val="0"/>
              <w:widowControl w:val="0"/>
              <w:kinsoku/>
              <w:wordWrap w:val="0"/>
              <w:overflowPunct/>
              <w:topLinePunct/>
              <w:autoSpaceDE/>
              <w:autoSpaceDN/>
              <w:bidi w:val="0"/>
              <w:adjustRightInd w:val="0"/>
              <w:snapToGrid w:val="0"/>
              <w:spacing w:before="209" w:line="288" w:lineRule="auto"/>
              <w:ind w:left="9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299A6511">
            <w:pPr>
              <w:keepNext w:val="0"/>
              <w:keepLines w:val="0"/>
              <w:pageBreakBefore w:val="0"/>
              <w:widowControl w:val="0"/>
              <w:kinsoku/>
              <w:wordWrap w:val="0"/>
              <w:overflowPunct/>
              <w:topLinePunct/>
              <w:autoSpaceDE/>
              <w:autoSpaceDN/>
              <w:bidi w:val="0"/>
              <w:adjustRightInd w:val="0"/>
              <w:snapToGrid w:val="0"/>
              <w:spacing w:before="209" w:line="288" w:lineRule="auto"/>
              <w:ind w:left="153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67C37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A0F766E">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BA1F501">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5AF61E4C">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6352804B">
            <w:pPr>
              <w:keepNext w:val="0"/>
              <w:keepLines w:val="0"/>
              <w:pageBreakBefore w:val="0"/>
              <w:widowControl w:val="0"/>
              <w:kinsoku/>
              <w:wordWrap w:val="0"/>
              <w:overflowPunct/>
              <w:topLinePunct/>
              <w:autoSpaceDE/>
              <w:autoSpaceDN/>
              <w:bidi w:val="0"/>
              <w:adjustRightInd w:val="0"/>
              <w:snapToGrid w:val="0"/>
              <w:spacing w:before="58" w:line="288" w:lineRule="auto"/>
              <w:ind w:left="32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5A9EE7D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1AC00374">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6CD22B3E">
            <w:pPr>
              <w:keepNext w:val="0"/>
              <w:keepLines w:val="0"/>
              <w:pageBreakBefore w:val="0"/>
              <w:widowControl w:val="0"/>
              <w:kinsoku/>
              <w:wordWrap w:val="0"/>
              <w:overflowPunct/>
              <w:topLinePunct/>
              <w:autoSpaceDE/>
              <w:autoSpaceDN/>
              <w:bidi w:val="0"/>
              <w:adjustRightInd w:val="0"/>
              <w:snapToGrid w:val="0"/>
              <w:spacing w:before="65" w:line="288" w:lineRule="auto"/>
              <w:ind w:left="57" w:right="84" w:rightChars="40" w:firstLine="135"/>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自愿接受招标文件条款的承诺</w:t>
            </w:r>
          </w:p>
        </w:tc>
        <w:tc>
          <w:tcPr>
            <w:tcW w:w="3107" w:type="dxa"/>
            <w:vAlign w:val="top"/>
          </w:tcPr>
          <w:p w14:paraId="688DF0AC">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3E09128">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9A16CAF">
            <w:pPr>
              <w:keepNext w:val="0"/>
              <w:keepLines w:val="0"/>
              <w:pageBreakBefore w:val="0"/>
              <w:widowControl w:val="0"/>
              <w:kinsoku/>
              <w:wordWrap w:val="0"/>
              <w:overflowPunct/>
              <w:topLinePunct/>
              <w:autoSpaceDE/>
              <w:autoSpaceDN/>
              <w:bidi w:val="0"/>
              <w:adjustRightInd w:val="0"/>
              <w:snapToGrid w:val="0"/>
              <w:spacing w:before="122" w:line="288" w:lineRule="auto"/>
              <w:ind w:left="14"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70CC1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A0C3721">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540B8DCB">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755491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0465B02">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7CAD17D7">
            <w:pPr>
              <w:keepNext w:val="0"/>
              <w:keepLines w:val="0"/>
              <w:pageBreakBefore w:val="0"/>
              <w:widowControl w:val="0"/>
              <w:kinsoku/>
              <w:wordWrap w:val="0"/>
              <w:overflowPunct/>
              <w:topLinePunct/>
              <w:autoSpaceDE/>
              <w:autoSpaceDN/>
              <w:bidi w:val="0"/>
              <w:adjustRightInd w:val="0"/>
              <w:snapToGrid w:val="0"/>
              <w:spacing w:before="58" w:line="288" w:lineRule="auto"/>
              <w:ind w:left="30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34F1319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2FEDFE8E">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16D9439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2F9EEC1A">
            <w:pPr>
              <w:keepNext w:val="0"/>
              <w:keepLines w:val="0"/>
              <w:pageBreakBefore w:val="0"/>
              <w:widowControl w:val="0"/>
              <w:kinsoku/>
              <w:wordWrap w:val="0"/>
              <w:overflowPunct/>
              <w:topLinePunct/>
              <w:autoSpaceDE/>
              <w:autoSpaceDN/>
              <w:bidi w:val="0"/>
              <w:adjustRightInd w:val="0"/>
              <w:snapToGrid w:val="0"/>
              <w:spacing w:before="65" w:line="288" w:lineRule="auto"/>
              <w:ind w:left="262" w:right="84" w:rightChars="40" w:firstLine="3"/>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无禁止投标情形的承诺</w:t>
            </w:r>
          </w:p>
        </w:tc>
        <w:tc>
          <w:tcPr>
            <w:tcW w:w="3107" w:type="dxa"/>
            <w:vAlign w:val="top"/>
          </w:tcPr>
          <w:p w14:paraId="0B1D9FF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21C2D5E">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6A1719A">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43C1C6F7">
            <w:pPr>
              <w:keepNext w:val="0"/>
              <w:keepLines w:val="0"/>
              <w:pageBreakBefore w:val="0"/>
              <w:widowControl w:val="0"/>
              <w:kinsoku/>
              <w:wordWrap w:val="0"/>
              <w:overflowPunct/>
              <w:topLinePunct/>
              <w:autoSpaceDE/>
              <w:autoSpaceDN/>
              <w:bidi w:val="0"/>
              <w:adjustRightInd w:val="0"/>
              <w:snapToGrid w:val="0"/>
              <w:spacing w:before="122" w:line="288" w:lineRule="auto"/>
              <w:ind w:left="9" w:right="84" w:rightChars="40"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pacing w:val="8"/>
                <w:sz w:val="24"/>
                <w:szCs w:val="24"/>
                <w:highlight w:val="none"/>
              </w:rPr>
              <w:t>我方接受招标人或其授权的招标代理机构或其组建的评标委员会依据招标文件作出的相应处理以及有关监督部门作出的行政处罚，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37C0C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F0DF106">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6559EE3F">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91575F6">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9021D4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04A84280">
            <w:pPr>
              <w:keepNext w:val="0"/>
              <w:keepLines w:val="0"/>
              <w:pageBreakBefore w:val="0"/>
              <w:widowControl w:val="0"/>
              <w:kinsoku/>
              <w:wordWrap w:val="0"/>
              <w:overflowPunct/>
              <w:topLinePunct/>
              <w:autoSpaceDE/>
              <w:autoSpaceDN/>
              <w:bidi w:val="0"/>
              <w:adjustRightInd w:val="0"/>
              <w:snapToGrid w:val="0"/>
              <w:spacing w:before="57" w:line="288" w:lineRule="auto"/>
              <w:ind w:left="31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1B99B71">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3253F1B8">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11198398">
            <w:pPr>
              <w:jc w:val="center"/>
              <w:rPr>
                <w:rFonts w:hint="eastAsia" w:ascii="宋体" w:hAnsi="宋体" w:eastAsia="宋体" w:cs="宋体"/>
                <w:color w:val="auto"/>
                <w:sz w:val="24"/>
                <w:szCs w:val="24"/>
                <w:highlight w:val="none"/>
              </w:rPr>
            </w:pPr>
            <w:r>
              <w:rPr>
                <w:rFonts w:hint="eastAsia"/>
                <w:color w:val="auto"/>
                <w:sz w:val="24"/>
                <w:szCs w:val="24"/>
                <w:highlight w:val="none"/>
              </w:rPr>
              <w:t>自觉抵制围标串标和弄虚作假行为的承诺</w:t>
            </w:r>
          </w:p>
        </w:tc>
        <w:tc>
          <w:tcPr>
            <w:tcW w:w="3107" w:type="dxa"/>
            <w:vAlign w:val="top"/>
          </w:tcPr>
          <w:p w14:paraId="5B63F4E0">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2951067">
            <w:pPr>
              <w:keepNext w:val="0"/>
              <w:keepLines w:val="0"/>
              <w:pageBreakBefore w:val="0"/>
              <w:widowControl w:val="0"/>
              <w:kinsoku/>
              <w:wordWrap w:val="0"/>
              <w:overflowPunct/>
              <w:topLinePunct/>
              <w:autoSpaceDE/>
              <w:autoSpaceDN/>
              <w:bidi w:val="0"/>
              <w:adjustRightInd w:val="0"/>
              <w:snapToGrid w:val="0"/>
              <w:spacing w:before="65" w:line="288" w:lineRule="auto"/>
              <w:ind w:left="11"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6"/>
                <w:sz w:val="24"/>
                <w:szCs w:val="24"/>
                <w:highlight w:val="none"/>
              </w:rPr>
              <w:t>行为骗取中标。</w:t>
            </w:r>
          </w:p>
        </w:tc>
        <w:tc>
          <w:tcPr>
            <w:tcW w:w="4272" w:type="dxa"/>
            <w:vAlign w:val="top"/>
          </w:tcPr>
          <w:p w14:paraId="20F2ADCC">
            <w:pPr>
              <w:keepNext w:val="0"/>
              <w:keepLines w:val="0"/>
              <w:pageBreakBefore w:val="0"/>
              <w:widowControl w:val="0"/>
              <w:kinsoku/>
              <w:wordWrap w:val="0"/>
              <w:overflowPunct/>
              <w:topLinePunct/>
              <w:autoSpaceDE/>
              <w:autoSpaceDN/>
              <w:bidi w:val="0"/>
              <w:adjustRightInd w:val="0"/>
              <w:snapToGrid w:val="0"/>
              <w:spacing w:before="129" w:line="288" w:lineRule="auto"/>
              <w:ind w:left="13"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79C0C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8E6EEEF">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5A6F5B0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367A5FF">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5C52F21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621BB738">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2E35CDF4">
            <w:pPr>
              <w:keepNext w:val="0"/>
              <w:keepLines w:val="0"/>
              <w:pageBreakBefore w:val="0"/>
              <w:widowControl w:val="0"/>
              <w:kinsoku/>
              <w:wordWrap w:val="0"/>
              <w:overflowPunct/>
              <w:topLinePunct/>
              <w:autoSpaceDE/>
              <w:autoSpaceDN/>
              <w:bidi w:val="0"/>
              <w:adjustRightInd w:val="0"/>
              <w:snapToGrid w:val="0"/>
              <w:spacing w:before="58" w:line="288" w:lineRule="auto"/>
              <w:ind w:left="30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5EE1B65A">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0AF4F0AB">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1A684ED4">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5AE83441">
            <w:pPr>
              <w:jc w:val="center"/>
              <w:rPr>
                <w:rFonts w:hint="eastAsia"/>
                <w:color w:val="auto"/>
                <w:sz w:val="24"/>
                <w:szCs w:val="24"/>
                <w:highlight w:val="none"/>
              </w:rPr>
            </w:pPr>
          </w:p>
          <w:p w14:paraId="0BB504C4">
            <w:pPr>
              <w:jc w:val="center"/>
              <w:rPr>
                <w:rFonts w:hint="eastAsia" w:ascii="宋体" w:hAnsi="宋体" w:eastAsia="宋体" w:cs="宋体"/>
                <w:color w:val="auto"/>
                <w:sz w:val="24"/>
                <w:szCs w:val="24"/>
                <w:highlight w:val="none"/>
              </w:rPr>
            </w:pPr>
            <w:r>
              <w:rPr>
                <w:rFonts w:hint="eastAsia"/>
                <w:color w:val="auto"/>
                <w:sz w:val="24"/>
                <w:szCs w:val="24"/>
                <w:highlight w:val="none"/>
              </w:rPr>
              <w:t>项目经理任职承诺</w:t>
            </w:r>
          </w:p>
        </w:tc>
        <w:tc>
          <w:tcPr>
            <w:tcW w:w="3107" w:type="dxa"/>
            <w:vAlign w:val="top"/>
          </w:tcPr>
          <w:p w14:paraId="01B522F4">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FA85BDE">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6CCDDE04">
            <w:pPr>
              <w:keepNext w:val="0"/>
              <w:keepLines w:val="0"/>
              <w:pageBreakBefore w:val="0"/>
              <w:widowControl w:val="0"/>
              <w:kinsoku/>
              <w:wordWrap w:val="0"/>
              <w:overflowPunct/>
              <w:topLinePunct/>
              <w:autoSpaceDE/>
              <w:autoSpaceDN/>
              <w:bidi w:val="0"/>
              <w:adjustRightInd w:val="0"/>
              <w:snapToGrid w:val="0"/>
              <w:spacing w:before="65" w:line="288" w:lineRule="auto"/>
              <w:ind w:left="9"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没有担任任何在施（包括已中标未开工、已开工未竣工）建设工程项目的项目经理。</w:t>
            </w:r>
          </w:p>
        </w:tc>
        <w:tc>
          <w:tcPr>
            <w:tcW w:w="4272" w:type="dxa"/>
            <w:vAlign w:val="top"/>
          </w:tcPr>
          <w:p w14:paraId="38633CBE">
            <w:pPr>
              <w:keepNext w:val="0"/>
              <w:keepLines w:val="0"/>
              <w:pageBreakBefore w:val="0"/>
              <w:widowControl w:val="0"/>
              <w:kinsoku/>
              <w:wordWrap w:val="0"/>
              <w:overflowPunct/>
              <w:topLinePunct/>
              <w:autoSpaceDE/>
              <w:autoSpaceDN/>
              <w:bidi w:val="0"/>
              <w:adjustRightInd w:val="0"/>
              <w:snapToGrid w:val="0"/>
              <w:spacing w:before="128" w:line="288" w:lineRule="auto"/>
              <w:ind w:left="11"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w:t>
            </w:r>
            <w:r>
              <w:rPr>
                <w:rFonts w:hint="eastAsia" w:ascii="宋体" w:hAnsi="宋体" w:eastAsia="宋体" w:cs="宋体"/>
                <w:color w:val="auto"/>
                <w:sz w:val="24"/>
                <w:szCs w:val="24"/>
                <w:highlight w:val="none"/>
              </w:rPr>
              <w:t>行政处罚，并承担由此引起的一切法律后果。</w:t>
            </w:r>
          </w:p>
        </w:tc>
      </w:tr>
      <w:tr w14:paraId="2469B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7E48C8D">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56CFCB51">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BEF2785">
            <w:pPr>
              <w:keepNext w:val="0"/>
              <w:keepLines w:val="0"/>
              <w:pageBreakBefore w:val="0"/>
              <w:widowControl w:val="0"/>
              <w:kinsoku/>
              <w:wordWrap w:val="0"/>
              <w:overflowPunct/>
              <w:topLinePunct/>
              <w:autoSpaceDE/>
              <w:autoSpaceDN/>
              <w:bidi w:val="0"/>
              <w:adjustRightInd w:val="0"/>
              <w:snapToGrid w:val="0"/>
              <w:spacing w:before="58" w:line="288" w:lineRule="auto"/>
              <w:ind w:left="314"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12CF6DB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3163C6E2">
            <w:pPr>
              <w:keepNext w:val="0"/>
              <w:keepLines w:val="0"/>
              <w:pageBreakBefore w:val="0"/>
              <w:widowControl w:val="0"/>
              <w:kinsoku/>
              <w:wordWrap w:val="0"/>
              <w:overflowPunct/>
              <w:topLinePunct/>
              <w:autoSpaceDE/>
              <w:autoSpaceDN/>
              <w:bidi w:val="0"/>
              <w:adjustRightInd w:val="0"/>
              <w:snapToGrid w:val="0"/>
              <w:spacing w:before="65" w:line="288" w:lineRule="auto"/>
              <w:ind w:left="267" w:right="84" w:rightChars="40" w:firstLine="105"/>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投标文件真实性承诺</w:t>
            </w:r>
          </w:p>
        </w:tc>
        <w:tc>
          <w:tcPr>
            <w:tcW w:w="3107" w:type="dxa"/>
            <w:vAlign w:val="top"/>
          </w:tcPr>
          <w:p w14:paraId="7B880C56">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7C0B675D">
            <w:pPr>
              <w:keepNext w:val="0"/>
              <w:keepLines w:val="0"/>
              <w:pageBreakBefore w:val="0"/>
              <w:widowControl w:val="0"/>
              <w:kinsoku/>
              <w:wordWrap w:val="0"/>
              <w:overflowPunct/>
              <w:topLinePunct/>
              <w:autoSpaceDE/>
              <w:autoSpaceDN/>
              <w:bidi w:val="0"/>
              <w:adjustRightInd w:val="0"/>
              <w:snapToGrid w:val="0"/>
              <w:spacing w:before="65" w:line="288" w:lineRule="auto"/>
              <w:ind w:left="12" w:right="84" w:rightChars="40"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7DB872D8">
            <w:pPr>
              <w:keepNext w:val="0"/>
              <w:keepLines w:val="0"/>
              <w:pageBreakBefore w:val="0"/>
              <w:widowControl w:val="0"/>
              <w:kinsoku/>
              <w:wordWrap w:val="0"/>
              <w:overflowPunct/>
              <w:topLinePunct/>
              <w:autoSpaceDE/>
              <w:autoSpaceDN/>
              <w:bidi w:val="0"/>
              <w:adjustRightInd w:val="0"/>
              <w:snapToGrid w:val="0"/>
              <w:spacing w:before="127" w:line="288" w:lineRule="auto"/>
              <w:ind w:left="11" w:right="84" w:rightChars="40"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6268B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48BEFD32">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256AC23B">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77D0729">
            <w:pPr>
              <w:keepNext w:val="0"/>
              <w:keepLines w:val="0"/>
              <w:pageBreakBefore w:val="0"/>
              <w:widowControl w:val="0"/>
              <w:kinsoku/>
              <w:wordWrap w:val="0"/>
              <w:overflowPunct/>
              <w:topLinePunct/>
              <w:autoSpaceDE/>
              <w:autoSpaceDN/>
              <w:bidi w:val="0"/>
              <w:adjustRightInd w:val="0"/>
              <w:snapToGrid w:val="0"/>
              <w:spacing w:before="58" w:line="288" w:lineRule="auto"/>
              <w:ind w:left="31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2E18471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0"/>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1B6D2695">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3A897288">
            <w:pPr>
              <w:jc w:val="center"/>
              <w:rPr>
                <w:rFonts w:hint="eastAsia"/>
                <w:color w:val="auto"/>
                <w:sz w:val="24"/>
                <w:szCs w:val="24"/>
                <w:highlight w:val="none"/>
              </w:rPr>
            </w:pPr>
            <w:r>
              <w:rPr>
                <w:rFonts w:hint="eastAsia"/>
                <w:color w:val="auto"/>
                <w:sz w:val="24"/>
                <w:szCs w:val="24"/>
                <w:highlight w:val="none"/>
              </w:rPr>
              <w:t>投标文件</w:t>
            </w:r>
          </w:p>
          <w:p w14:paraId="6EF5C6A2">
            <w:pPr>
              <w:jc w:val="center"/>
              <w:rPr>
                <w:rFonts w:hint="eastAsia" w:ascii="宋体" w:hAnsi="宋体" w:eastAsia="宋体" w:cs="宋体"/>
                <w:color w:val="auto"/>
                <w:sz w:val="24"/>
                <w:szCs w:val="24"/>
                <w:highlight w:val="none"/>
              </w:rPr>
            </w:pPr>
            <w:r>
              <w:rPr>
                <w:rFonts w:hint="eastAsia"/>
                <w:color w:val="auto"/>
                <w:sz w:val="24"/>
                <w:szCs w:val="24"/>
                <w:highlight w:val="none"/>
              </w:rPr>
              <w:t>信息公开承诺</w:t>
            </w:r>
          </w:p>
        </w:tc>
        <w:tc>
          <w:tcPr>
            <w:tcW w:w="3107" w:type="dxa"/>
            <w:vAlign w:val="top"/>
          </w:tcPr>
          <w:p w14:paraId="402B7A6C">
            <w:pPr>
              <w:keepNext w:val="0"/>
              <w:keepLines w:val="0"/>
              <w:pageBreakBefore w:val="0"/>
              <w:widowControl w:val="0"/>
              <w:kinsoku/>
              <w:wordWrap w:val="0"/>
              <w:overflowPunct/>
              <w:topLinePunct/>
              <w:autoSpaceDE/>
              <w:autoSpaceDN/>
              <w:bidi w:val="0"/>
              <w:adjustRightInd w:val="0"/>
              <w:snapToGrid w:val="0"/>
              <w:spacing w:before="130" w:line="288" w:lineRule="auto"/>
              <w:ind w:left="10"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6E4CF56D">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6B24D635">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009615F">
            <w:pPr>
              <w:keepNext w:val="0"/>
              <w:keepLines w:val="0"/>
              <w:pageBreakBefore w:val="0"/>
              <w:widowControl w:val="0"/>
              <w:kinsoku/>
              <w:wordWrap w:val="0"/>
              <w:overflowPunct/>
              <w:topLinePunct/>
              <w:autoSpaceDE/>
              <w:autoSpaceDN/>
              <w:bidi w:val="0"/>
              <w:adjustRightInd w:val="0"/>
              <w:snapToGrid w:val="0"/>
              <w:spacing w:before="58" w:line="288" w:lineRule="auto"/>
              <w:ind w:left="1979" w:right="84" w:rightChars="40"/>
              <w:textAlignment w:val="baseline"/>
              <w:rPr>
                <w:rFonts w:hint="eastAsia" w:ascii="宋体" w:hAnsi="宋体" w:eastAsia="宋体" w:cs="宋体"/>
                <w:color w:val="auto"/>
                <w:sz w:val="24"/>
                <w:szCs w:val="24"/>
                <w:highlight w:val="none"/>
              </w:rPr>
            </w:pPr>
          </w:p>
        </w:tc>
      </w:tr>
      <w:tr w14:paraId="7E4A8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66A8020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785EF42B">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2E4A935E">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2BFFFC95">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CA4413A">
            <w:pPr>
              <w:keepNext w:val="0"/>
              <w:keepLines w:val="0"/>
              <w:pageBreakBefore w:val="0"/>
              <w:widowControl w:val="0"/>
              <w:kinsoku/>
              <w:wordWrap w:val="0"/>
              <w:overflowPunct/>
              <w:topLinePunct/>
              <w:autoSpaceDE/>
              <w:autoSpaceDN/>
              <w:bidi w:val="0"/>
              <w:adjustRightInd w:val="0"/>
              <w:snapToGrid w:val="0"/>
              <w:spacing w:before="57" w:line="288" w:lineRule="auto"/>
              <w:ind w:left="31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3B5DA03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4D4A6CBF">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38BE5D0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069F9464">
            <w:pPr>
              <w:keepNext w:val="0"/>
              <w:keepLines w:val="0"/>
              <w:pageBreakBefore w:val="0"/>
              <w:widowControl w:val="0"/>
              <w:kinsoku/>
              <w:wordWrap w:val="0"/>
              <w:overflowPunct/>
              <w:topLinePunct/>
              <w:autoSpaceDE/>
              <w:autoSpaceDN/>
              <w:bidi w:val="0"/>
              <w:adjustRightInd w:val="0"/>
              <w:snapToGrid w:val="0"/>
              <w:spacing w:before="65" w:line="288" w:lineRule="auto"/>
              <w:ind w:left="281" w:right="84" w:rightChars="40" w:hanging="123"/>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对不正常报价的确认承诺</w:t>
            </w:r>
          </w:p>
        </w:tc>
        <w:tc>
          <w:tcPr>
            <w:tcW w:w="3107" w:type="dxa"/>
            <w:vAlign w:val="top"/>
          </w:tcPr>
          <w:p w14:paraId="151FCA5E">
            <w:pPr>
              <w:keepNext w:val="0"/>
              <w:keepLines w:val="0"/>
              <w:pageBreakBefore w:val="0"/>
              <w:widowControl w:val="0"/>
              <w:kinsoku/>
              <w:wordWrap w:val="0"/>
              <w:overflowPunct/>
              <w:topLinePunct/>
              <w:autoSpaceDE/>
              <w:autoSpaceDN/>
              <w:bidi w:val="0"/>
              <w:adjustRightInd w:val="0"/>
              <w:snapToGrid w:val="0"/>
              <w:spacing w:before="121" w:line="288" w:lineRule="auto"/>
              <w:ind w:left="10" w:right="84" w:rightChars="40"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0CABD341">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8E0D51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FD22755">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0BA1F4F4">
            <w:pPr>
              <w:keepNext w:val="0"/>
              <w:keepLines w:val="0"/>
              <w:pageBreakBefore w:val="0"/>
              <w:widowControl w:val="0"/>
              <w:kinsoku/>
              <w:wordWrap w:val="0"/>
              <w:overflowPunct/>
              <w:topLinePunct/>
              <w:autoSpaceDE/>
              <w:autoSpaceDN/>
              <w:bidi w:val="0"/>
              <w:adjustRightInd w:val="0"/>
              <w:snapToGrid w:val="0"/>
              <w:spacing w:before="57" w:line="288" w:lineRule="auto"/>
              <w:ind w:left="1979" w:right="84" w:rightChars="40"/>
              <w:textAlignment w:val="baseline"/>
              <w:rPr>
                <w:rFonts w:hint="eastAsia" w:ascii="宋体" w:hAnsi="宋体" w:eastAsia="宋体" w:cs="宋体"/>
                <w:color w:val="auto"/>
                <w:sz w:val="24"/>
                <w:szCs w:val="24"/>
                <w:highlight w:val="none"/>
              </w:rPr>
            </w:pPr>
          </w:p>
        </w:tc>
      </w:tr>
      <w:tr w14:paraId="1FDA9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E67B2EF">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71182A7C">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08BEA69D">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D7120DE">
            <w:pPr>
              <w:keepNext w:val="0"/>
              <w:keepLines w:val="0"/>
              <w:pageBreakBefore w:val="0"/>
              <w:widowControl w:val="0"/>
              <w:kinsoku/>
              <w:wordWrap w:val="0"/>
              <w:overflowPunct/>
              <w:topLinePunct/>
              <w:autoSpaceDE/>
              <w:autoSpaceDN/>
              <w:bidi w:val="0"/>
              <w:adjustRightInd w:val="0"/>
              <w:snapToGrid w:val="0"/>
              <w:spacing w:before="58" w:line="288" w:lineRule="auto"/>
              <w:ind w:left="31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D7C264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7FADD36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4D8B0610">
            <w:pPr>
              <w:keepNext w:val="0"/>
              <w:keepLines w:val="0"/>
              <w:pageBreakBefore w:val="0"/>
              <w:widowControl w:val="0"/>
              <w:kinsoku/>
              <w:wordWrap w:val="0"/>
              <w:overflowPunct/>
              <w:topLinePunct/>
              <w:autoSpaceDE/>
              <w:autoSpaceDN/>
              <w:bidi w:val="0"/>
              <w:adjustRightInd w:val="0"/>
              <w:snapToGrid w:val="0"/>
              <w:spacing w:before="65" w:line="288" w:lineRule="auto"/>
              <w:ind w:left="264" w:right="84" w:rightChars="40" w:hanging="104"/>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按时提交履约保证的承诺</w:t>
            </w:r>
          </w:p>
        </w:tc>
        <w:tc>
          <w:tcPr>
            <w:tcW w:w="3107" w:type="dxa"/>
            <w:vAlign w:val="top"/>
          </w:tcPr>
          <w:p w14:paraId="47E0429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020BAC39">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6FCC3E05">
            <w:pPr>
              <w:keepNext w:val="0"/>
              <w:keepLines w:val="0"/>
              <w:pageBreakBefore w:val="0"/>
              <w:widowControl w:val="0"/>
              <w:kinsoku/>
              <w:wordWrap w:val="0"/>
              <w:overflowPunct/>
              <w:topLinePunct/>
              <w:autoSpaceDE/>
              <w:autoSpaceDN/>
              <w:bidi w:val="0"/>
              <w:adjustRightInd w:val="0"/>
              <w:snapToGrid w:val="0"/>
              <w:spacing w:before="128" w:line="288" w:lineRule="auto"/>
              <w:ind w:left="12" w:right="84" w:rightChars="40"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如果我方未在招标文件规定的时限内全额提交履约保证，我方接受招标人依据招标文件作出的相应处理以及有关监督部门作出的行政处罚，并承担由此引起的一切法律后</w:t>
            </w:r>
            <w:r>
              <w:rPr>
                <w:rFonts w:hint="eastAsia" w:ascii="宋体" w:hAnsi="宋体" w:eastAsia="宋体" w:cs="宋体"/>
                <w:color w:val="auto"/>
                <w:sz w:val="24"/>
                <w:szCs w:val="24"/>
                <w:highlight w:val="none"/>
              </w:rPr>
              <w:t>果。</w:t>
            </w:r>
          </w:p>
        </w:tc>
      </w:tr>
      <w:tr w14:paraId="03D8F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8B3C53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E2B8215">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9DAC48D">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C3413F2">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9A32EE5">
            <w:pPr>
              <w:keepNext w:val="0"/>
              <w:keepLines w:val="0"/>
              <w:pageBreakBefore w:val="0"/>
              <w:widowControl w:val="0"/>
              <w:kinsoku/>
              <w:wordWrap w:val="0"/>
              <w:overflowPunct/>
              <w:topLinePunct/>
              <w:autoSpaceDE/>
              <w:autoSpaceDN/>
              <w:bidi w:val="0"/>
              <w:adjustRightInd w:val="0"/>
              <w:snapToGrid w:val="0"/>
              <w:spacing w:before="58" w:line="288" w:lineRule="auto"/>
              <w:ind w:left="31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1C8940F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79B79A02">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24B20C9A">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3583C78D">
            <w:pPr>
              <w:keepNext w:val="0"/>
              <w:keepLines w:val="0"/>
              <w:pageBreakBefore w:val="0"/>
              <w:widowControl w:val="0"/>
              <w:kinsoku/>
              <w:wordWrap w:val="0"/>
              <w:overflowPunct/>
              <w:topLinePunct/>
              <w:autoSpaceDE/>
              <w:autoSpaceDN/>
              <w:bidi w:val="0"/>
              <w:adjustRightInd w:val="0"/>
              <w:snapToGrid w:val="0"/>
              <w:spacing w:before="65" w:line="288" w:lineRule="auto"/>
              <w:ind w:left="492" w:right="84" w:rightChars="40" w:hanging="332"/>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按时签订合同的承诺</w:t>
            </w:r>
          </w:p>
        </w:tc>
        <w:tc>
          <w:tcPr>
            <w:tcW w:w="3107" w:type="dxa"/>
            <w:vAlign w:val="top"/>
          </w:tcPr>
          <w:p w14:paraId="6C6F896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2D3CB5A1">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148D9">
            <w:pPr>
              <w:keepNext w:val="0"/>
              <w:keepLines w:val="0"/>
              <w:pageBreakBefore w:val="0"/>
              <w:widowControl w:val="0"/>
              <w:kinsoku/>
              <w:wordWrap w:val="0"/>
              <w:overflowPunct/>
              <w:topLinePunct/>
              <w:autoSpaceDE/>
              <w:autoSpaceDN/>
              <w:bidi w:val="0"/>
              <w:adjustRightInd w:val="0"/>
              <w:snapToGrid w:val="0"/>
              <w:spacing w:before="126" w:line="288" w:lineRule="auto"/>
              <w:ind w:left="13" w:right="84" w:rightChars="40"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7"/>
                <w:sz w:val="24"/>
                <w:szCs w:val="24"/>
                <w:highlight w:val="none"/>
              </w:rPr>
              <w:t>我方接受招标人依据招标文件作出的相应处理以及有关监督部门作出的行政处罚，并承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0705C275">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firstLine="6832" w:firstLineChars="2800"/>
        <w:jc w:val="both"/>
        <w:rPr>
          <w:rFonts w:hint="eastAsia" w:ascii="宋体" w:hAnsi="宋体" w:eastAsia="宋体" w:cs="宋体"/>
          <w:color w:val="auto"/>
          <w:spacing w:val="2"/>
          <w:sz w:val="24"/>
          <w:szCs w:val="24"/>
          <w:highlight w:val="none"/>
        </w:rPr>
      </w:pPr>
    </w:p>
    <w:p w14:paraId="5CE40E1D">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191427A6">
      <w:pPr>
        <w:pStyle w:val="6"/>
        <w:keepNext w:val="0"/>
        <w:keepLines w:val="0"/>
        <w:pageBreakBefore w:val="0"/>
        <w:widowControl w:val="0"/>
        <w:kinsoku/>
        <w:wordWrap w:val="0"/>
        <w:overflowPunct/>
        <w:topLinePunct/>
        <w:autoSpaceDE/>
        <w:autoSpaceDN/>
        <w:bidi w:val="0"/>
        <w:adjustRightInd w:val="0"/>
        <w:snapToGrid w:val="0"/>
        <w:spacing w:line="297" w:lineRule="auto"/>
        <w:ind w:right="84" w:rightChars="40"/>
        <w:jc w:val="right"/>
        <w:rPr>
          <w:rFonts w:hint="eastAsia" w:ascii="宋体" w:hAnsi="宋体" w:eastAsia="宋体" w:cs="宋体"/>
          <w:color w:val="auto"/>
          <w:highlight w:val="none"/>
        </w:rPr>
      </w:pPr>
    </w:p>
    <w:p w14:paraId="3FC673EB">
      <w:pPr>
        <w:keepNext w:val="0"/>
        <w:keepLines w:val="0"/>
        <w:pageBreakBefore w:val="0"/>
        <w:widowControl w:val="0"/>
        <w:kinsoku/>
        <w:wordWrap w:val="0"/>
        <w:overflowPunct/>
        <w:topLinePunct/>
        <w:autoSpaceDE/>
        <w:autoSpaceDN/>
        <w:bidi w:val="0"/>
        <w:adjustRightInd w:val="0"/>
        <w:snapToGrid w:val="0"/>
        <w:spacing w:before="78" w:line="219" w:lineRule="auto"/>
        <w:ind w:left="4366" w:right="84" w:rightChars="40"/>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DF69E78">
      <w:pPr>
        <w:keepNext w:val="0"/>
        <w:keepLines w:val="0"/>
        <w:pageBreakBefore w:val="0"/>
        <w:widowControl w:val="0"/>
        <w:kinsoku/>
        <w:wordWrap w:val="0"/>
        <w:overflowPunct/>
        <w:topLinePunct/>
        <w:autoSpaceDE/>
        <w:autoSpaceDN/>
        <w:bidi w:val="0"/>
        <w:adjustRightInd w:val="0"/>
        <w:snapToGrid w:val="0"/>
        <w:ind w:right="84" w:rightChars="40"/>
        <w:outlineLvl w:val="9"/>
        <w:rPr>
          <w:rFonts w:hint="eastAsia"/>
          <w:color w:val="auto"/>
          <w:highlight w:val="none"/>
        </w:rPr>
      </w:pPr>
    </w:p>
    <w:p w14:paraId="625921F0">
      <w:pPr>
        <w:keepNext w:val="0"/>
        <w:keepLines w:val="0"/>
        <w:pageBreakBefore w:val="0"/>
        <w:widowControl w:val="0"/>
        <w:kinsoku/>
        <w:wordWrap w:val="0"/>
        <w:overflowPunct/>
        <w:topLinePunct/>
        <w:autoSpaceDE/>
        <w:autoSpaceDN/>
        <w:bidi w:val="0"/>
        <w:adjustRightInd w:val="0"/>
        <w:snapToGrid w:val="0"/>
        <w:spacing w:before="78" w:line="220" w:lineRule="auto"/>
        <w:ind w:left="673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76A014FF">
      <w:pPr>
        <w:keepNext w:val="0"/>
        <w:keepLines w:val="0"/>
        <w:pageBreakBefore w:val="0"/>
        <w:widowControl w:val="0"/>
        <w:kinsoku/>
        <w:wordWrap w:val="0"/>
        <w:overflowPunct/>
        <w:topLinePunct/>
        <w:autoSpaceDE/>
        <w:autoSpaceDN/>
        <w:bidi w:val="0"/>
        <w:adjustRightInd w:val="0"/>
        <w:snapToGrid w:val="0"/>
        <w:spacing w:line="220" w:lineRule="auto"/>
        <w:ind w:right="84" w:rightChars="40"/>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365ADEE">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04" w:name="_Toc10597"/>
      <w:r>
        <w:rPr>
          <w:rFonts w:hint="eastAsia" w:ascii="宋体" w:hAnsi="宋体" w:eastAsia="宋体" w:cs="宋体"/>
          <w:b/>
          <w:bCs/>
          <w:color w:val="auto"/>
          <w:spacing w:val="-4"/>
          <w:sz w:val="24"/>
          <w:szCs w:val="24"/>
          <w:highlight w:val="none"/>
        </w:rPr>
        <w:t>格式四 授权委托书</w:t>
      </w:r>
      <w:bookmarkEnd w:id="204"/>
    </w:p>
    <w:p w14:paraId="1BB58B5D">
      <w:pPr>
        <w:pStyle w:val="6"/>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14:paraId="042C5F99">
      <w:pPr>
        <w:pStyle w:val="6"/>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14:paraId="0EB7C28F">
      <w:pPr>
        <w:keepNext w:val="0"/>
        <w:keepLines w:val="0"/>
        <w:pageBreakBefore w:val="0"/>
        <w:widowControl w:val="0"/>
        <w:kinsoku/>
        <w:wordWrap w:val="0"/>
        <w:overflowPunct/>
        <w:topLinePunct/>
        <w:autoSpaceDE/>
        <w:autoSpaceDN/>
        <w:bidi w:val="0"/>
        <w:adjustRightInd w:val="0"/>
        <w:snapToGrid w:val="0"/>
        <w:spacing w:before="97" w:line="219" w:lineRule="auto"/>
        <w:ind w:left="3786" w:right="84" w:rightChars="40"/>
        <w:rPr>
          <w:rFonts w:hint="eastAsia" w:ascii="宋体" w:hAnsi="宋体" w:eastAsia="宋体" w:cs="宋体"/>
          <w:color w:val="auto"/>
          <w:sz w:val="30"/>
          <w:szCs w:val="30"/>
          <w:highlight w:val="none"/>
        </w:rPr>
      </w:pPr>
      <w:bookmarkStart w:id="205" w:name="bookmark151"/>
      <w:bookmarkEnd w:id="205"/>
      <w:r>
        <w:rPr>
          <w:rFonts w:hint="eastAsia" w:ascii="宋体" w:hAnsi="宋体" w:eastAsia="宋体" w:cs="宋体"/>
          <w:b/>
          <w:bCs/>
          <w:color w:val="auto"/>
          <w:spacing w:val="-5"/>
          <w:sz w:val="30"/>
          <w:szCs w:val="30"/>
          <w:highlight w:val="none"/>
        </w:rPr>
        <w:t>授权委托书</w:t>
      </w:r>
    </w:p>
    <w:p w14:paraId="30BCBE04">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60EBA880">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570B7A68">
      <w:pPr>
        <w:pStyle w:val="6"/>
        <w:keepNext w:val="0"/>
        <w:keepLines w:val="0"/>
        <w:pageBreakBefore w:val="0"/>
        <w:widowControl w:val="0"/>
        <w:kinsoku/>
        <w:wordWrap w:val="0"/>
        <w:overflowPunct/>
        <w:topLinePunct/>
        <w:autoSpaceDE/>
        <w:autoSpaceDN/>
        <w:bidi w:val="0"/>
        <w:adjustRightInd w:val="0"/>
        <w:snapToGrid w:val="0"/>
        <w:spacing w:line="251" w:lineRule="auto"/>
        <w:ind w:right="84" w:rightChars="40"/>
        <w:rPr>
          <w:rFonts w:hint="eastAsia" w:ascii="宋体" w:hAnsi="宋体" w:eastAsia="宋体" w:cs="宋体"/>
          <w:color w:val="auto"/>
          <w:highlight w:val="none"/>
        </w:rPr>
      </w:pPr>
    </w:p>
    <w:p w14:paraId="00634D36">
      <w:pPr>
        <w:keepNext w:val="0"/>
        <w:keepLines w:val="0"/>
        <w:pageBreakBefore w:val="0"/>
        <w:widowControl w:val="0"/>
        <w:kinsoku/>
        <w:wordWrap w:val="0"/>
        <w:overflowPunct/>
        <w:topLinePunct/>
        <w:autoSpaceDE/>
        <w:autoSpaceDN/>
        <w:bidi w:val="0"/>
        <w:adjustRightInd w:val="0"/>
        <w:snapToGrid w:val="0"/>
        <w:spacing w:before="78" w:line="332" w:lineRule="auto"/>
        <w:ind w:right="84" w:rightChars="40"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 w:val="24"/>
          <w:szCs w:val="28"/>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施工投标文件、签订合同和处理有关事宜，其法律后果由我方承担。</w:t>
      </w:r>
    </w:p>
    <w:p w14:paraId="24E6E363">
      <w:pPr>
        <w:keepNext w:val="0"/>
        <w:keepLines w:val="0"/>
        <w:pageBreakBefore w:val="0"/>
        <w:widowControl w:val="0"/>
        <w:kinsoku/>
        <w:wordWrap w:val="0"/>
        <w:overflowPunct/>
        <w:topLinePunct/>
        <w:autoSpaceDE/>
        <w:autoSpaceDN/>
        <w:bidi w:val="0"/>
        <w:adjustRightInd w:val="0"/>
        <w:snapToGrid w:val="0"/>
        <w:spacing w:before="32" w:line="320" w:lineRule="auto"/>
        <w:ind w:left="480" w:right="84" w:rightChars="40"/>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7AD81148">
      <w:pPr>
        <w:keepNext w:val="0"/>
        <w:keepLines w:val="0"/>
        <w:pageBreakBefore w:val="0"/>
        <w:widowControl w:val="0"/>
        <w:kinsoku/>
        <w:wordWrap w:val="0"/>
        <w:overflowPunct/>
        <w:topLinePunct/>
        <w:autoSpaceDE/>
        <w:autoSpaceDN/>
        <w:bidi w:val="0"/>
        <w:adjustRightInd w:val="0"/>
        <w:snapToGrid w:val="0"/>
        <w:spacing w:before="32" w:line="320" w:lineRule="auto"/>
        <w:ind w:left="4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06B324BA">
      <w:pPr>
        <w:pStyle w:val="6"/>
        <w:keepNext w:val="0"/>
        <w:keepLines w:val="0"/>
        <w:pageBreakBefore w:val="0"/>
        <w:widowControl w:val="0"/>
        <w:kinsoku/>
        <w:wordWrap w:val="0"/>
        <w:overflowPunct/>
        <w:topLinePunct/>
        <w:autoSpaceDE/>
        <w:autoSpaceDN/>
        <w:bidi w:val="0"/>
        <w:adjustRightInd w:val="0"/>
        <w:snapToGrid w:val="0"/>
        <w:spacing w:line="276" w:lineRule="auto"/>
        <w:ind w:right="84" w:rightChars="40"/>
        <w:rPr>
          <w:rFonts w:hint="eastAsia" w:ascii="宋体" w:hAnsi="宋体" w:eastAsia="宋体" w:cs="宋体"/>
          <w:color w:val="auto"/>
          <w:highlight w:val="none"/>
        </w:rPr>
      </w:pPr>
    </w:p>
    <w:p w14:paraId="5E758CE6">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4991833E">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76F3A97A">
      <w:pPr>
        <w:keepNext w:val="0"/>
        <w:keepLines w:val="0"/>
        <w:pageBreakBefore w:val="0"/>
        <w:widowControl w:val="0"/>
        <w:kinsoku/>
        <w:wordWrap w:val="0"/>
        <w:overflowPunct/>
        <w:topLinePunct/>
        <w:autoSpaceDE/>
        <w:autoSpaceDN/>
        <w:bidi w:val="0"/>
        <w:adjustRightInd w:val="0"/>
        <w:snapToGrid w:val="0"/>
        <w:spacing w:before="78" w:line="219" w:lineRule="auto"/>
        <w:ind w:left="3123"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21D83D69">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6E7197FC">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42B23F10">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4A39A5DD">
      <w:pPr>
        <w:keepNext w:val="0"/>
        <w:keepLines w:val="0"/>
        <w:pageBreakBefore w:val="0"/>
        <w:widowControl w:val="0"/>
        <w:kinsoku/>
        <w:wordWrap w:val="0"/>
        <w:overflowPunct/>
        <w:topLinePunct/>
        <w:autoSpaceDE/>
        <w:autoSpaceDN/>
        <w:bidi w:val="0"/>
        <w:adjustRightInd w:val="0"/>
        <w:snapToGrid w:val="0"/>
        <w:spacing w:before="79" w:line="219" w:lineRule="auto"/>
        <w:ind w:left="3121"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108A0175">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532FE120">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6148D867">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12B4CD27">
      <w:pPr>
        <w:keepNext w:val="0"/>
        <w:keepLines w:val="0"/>
        <w:pageBreakBefore w:val="0"/>
        <w:widowControl w:val="0"/>
        <w:kinsoku/>
        <w:wordWrap w:val="0"/>
        <w:overflowPunct/>
        <w:topLinePunct/>
        <w:autoSpaceDE/>
        <w:autoSpaceDN/>
        <w:bidi w:val="0"/>
        <w:adjustRightInd w:val="0"/>
        <w:snapToGrid w:val="0"/>
        <w:spacing w:before="78" w:line="219" w:lineRule="auto"/>
        <w:ind w:left="2880"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1566EDE3">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14:paraId="5ECF5DA5">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14:paraId="0C7A7B3A">
      <w:pPr>
        <w:keepNext w:val="0"/>
        <w:keepLines w:val="0"/>
        <w:pageBreakBefore w:val="0"/>
        <w:widowControl w:val="0"/>
        <w:kinsoku/>
        <w:wordWrap w:val="0"/>
        <w:overflowPunct/>
        <w:topLinePunct/>
        <w:autoSpaceDE/>
        <w:autoSpaceDN/>
        <w:bidi w:val="0"/>
        <w:adjustRightInd w:val="0"/>
        <w:snapToGrid w:val="0"/>
        <w:spacing w:before="78" w:line="220" w:lineRule="auto"/>
        <w:ind w:left="673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2B1988CD">
      <w:pPr>
        <w:keepNext w:val="0"/>
        <w:keepLines w:val="0"/>
        <w:pageBreakBefore w:val="0"/>
        <w:widowControl w:val="0"/>
        <w:kinsoku/>
        <w:wordWrap w:val="0"/>
        <w:overflowPunct/>
        <w:topLinePunct/>
        <w:autoSpaceDE/>
        <w:autoSpaceDN/>
        <w:bidi w:val="0"/>
        <w:adjustRightInd w:val="0"/>
        <w:snapToGrid w:val="0"/>
        <w:spacing w:before="78" w:line="220" w:lineRule="auto"/>
        <w:ind w:left="4201" w:right="84" w:rightChars="40"/>
        <w:jc w:val="right"/>
        <w:rPr>
          <w:rFonts w:hint="eastAsia" w:ascii="宋体" w:hAnsi="宋体" w:eastAsia="宋体" w:cs="宋体"/>
          <w:color w:val="auto"/>
          <w:sz w:val="24"/>
          <w:szCs w:val="24"/>
          <w:highlight w:val="none"/>
        </w:rPr>
      </w:pPr>
    </w:p>
    <w:p w14:paraId="21CA51AB">
      <w:pPr>
        <w:keepNext w:val="0"/>
        <w:keepLines w:val="0"/>
        <w:pageBreakBefore w:val="0"/>
        <w:widowControl w:val="0"/>
        <w:kinsoku/>
        <w:wordWrap w:val="0"/>
        <w:overflowPunct/>
        <w:topLinePunct/>
        <w:autoSpaceDE/>
        <w:autoSpaceDN/>
        <w:bidi w:val="0"/>
        <w:adjustRightInd w:val="0"/>
        <w:snapToGrid w:val="0"/>
        <w:spacing w:before="69"/>
        <w:ind w:right="84" w:rightChars="40"/>
        <w:rPr>
          <w:rFonts w:hint="eastAsia" w:ascii="宋体" w:hAnsi="宋体" w:eastAsia="宋体" w:cs="宋体"/>
          <w:color w:val="auto"/>
          <w:highlight w:val="none"/>
        </w:rPr>
      </w:pPr>
    </w:p>
    <w:p w14:paraId="10C43F5F">
      <w:pPr>
        <w:keepNext w:val="0"/>
        <w:keepLines w:val="0"/>
        <w:pageBreakBefore w:val="0"/>
        <w:widowControl w:val="0"/>
        <w:kinsoku/>
        <w:wordWrap w:val="0"/>
        <w:overflowPunct/>
        <w:topLinePunct/>
        <w:autoSpaceDE/>
        <w:autoSpaceDN/>
        <w:bidi w:val="0"/>
        <w:adjustRightInd w:val="0"/>
        <w:snapToGrid w:val="0"/>
        <w:spacing w:before="69"/>
        <w:ind w:right="84" w:rightChars="40"/>
        <w:rPr>
          <w:rFonts w:hint="eastAsia" w:ascii="宋体" w:hAnsi="宋体" w:eastAsia="宋体" w:cs="宋体"/>
          <w:color w:val="auto"/>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40AFA22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36B0C018">
            <w:pPr>
              <w:pStyle w:val="21"/>
              <w:keepNext w:val="0"/>
              <w:keepLines w:val="0"/>
              <w:pageBreakBefore w:val="0"/>
              <w:widowControl w:val="0"/>
              <w:kinsoku/>
              <w:wordWrap w:val="0"/>
              <w:overflowPunct/>
              <w:topLinePunct/>
              <w:autoSpaceDE/>
              <w:autoSpaceDN/>
              <w:bidi w:val="0"/>
              <w:adjustRightInd w:val="0"/>
              <w:snapToGrid w:val="0"/>
              <w:spacing w:line="245" w:lineRule="auto"/>
              <w:ind w:right="84" w:rightChars="40"/>
              <w:rPr>
                <w:rFonts w:hint="eastAsia" w:ascii="宋体" w:hAnsi="宋体" w:eastAsia="宋体" w:cs="宋体"/>
                <w:color w:val="auto"/>
                <w:highlight w:val="none"/>
              </w:rPr>
            </w:pPr>
          </w:p>
          <w:p w14:paraId="20F3C283">
            <w:pPr>
              <w:pStyle w:val="21"/>
              <w:keepNext w:val="0"/>
              <w:keepLines w:val="0"/>
              <w:pageBreakBefore w:val="0"/>
              <w:widowControl w:val="0"/>
              <w:kinsoku/>
              <w:wordWrap w:val="0"/>
              <w:overflowPunct/>
              <w:topLinePunct/>
              <w:autoSpaceDE/>
              <w:autoSpaceDN/>
              <w:bidi w:val="0"/>
              <w:adjustRightInd w:val="0"/>
              <w:snapToGrid w:val="0"/>
              <w:spacing w:line="245" w:lineRule="auto"/>
              <w:ind w:right="84" w:rightChars="40"/>
              <w:rPr>
                <w:rFonts w:hint="eastAsia" w:ascii="宋体" w:hAnsi="宋体" w:eastAsia="宋体" w:cs="宋体"/>
                <w:color w:val="auto"/>
                <w:highlight w:val="none"/>
              </w:rPr>
            </w:pPr>
          </w:p>
          <w:p w14:paraId="6829EFD1">
            <w:pPr>
              <w:pStyle w:val="21"/>
              <w:keepNext w:val="0"/>
              <w:keepLines w:val="0"/>
              <w:pageBreakBefore w:val="0"/>
              <w:widowControl w:val="0"/>
              <w:kinsoku/>
              <w:wordWrap w:val="0"/>
              <w:overflowPunct/>
              <w:topLinePunct/>
              <w:autoSpaceDE/>
              <w:autoSpaceDN/>
              <w:bidi w:val="0"/>
              <w:adjustRightInd w:val="0"/>
              <w:snapToGrid w:val="0"/>
              <w:spacing w:line="245" w:lineRule="auto"/>
              <w:ind w:right="84" w:rightChars="40"/>
              <w:rPr>
                <w:rFonts w:hint="eastAsia" w:ascii="宋体" w:hAnsi="宋体" w:eastAsia="宋体" w:cs="宋体"/>
                <w:color w:val="auto"/>
                <w:highlight w:val="none"/>
              </w:rPr>
            </w:pPr>
          </w:p>
          <w:p w14:paraId="5F2A6634">
            <w:pPr>
              <w:pStyle w:val="21"/>
              <w:keepNext w:val="0"/>
              <w:keepLines w:val="0"/>
              <w:pageBreakBefore w:val="0"/>
              <w:widowControl w:val="0"/>
              <w:kinsoku/>
              <w:wordWrap w:val="0"/>
              <w:overflowPunct/>
              <w:topLinePunct/>
              <w:autoSpaceDE/>
              <w:autoSpaceDN/>
              <w:bidi w:val="0"/>
              <w:adjustRightInd w:val="0"/>
              <w:snapToGrid w:val="0"/>
              <w:spacing w:line="246" w:lineRule="auto"/>
              <w:ind w:right="84" w:rightChars="40"/>
              <w:rPr>
                <w:rFonts w:hint="eastAsia" w:ascii="宋体" w:hAnsi="宋体" w:eastAsia="宋体" w:cs="宋体"/>
                <w:color w:val="auto"/>
                <w:highlight w:val="none"/>
              </w:rPr>
            </w:pPr>
          </w:p>
          <w:p w14:paraId="185612E9">
            <w:pPr>
              <w:keepNext w:val="0"/>
              <w:keepLines w:val="0"/>
              <w:pageBreakBefore w:val="0"/>
              <w:widowControl w:val="0"/>
              <w:kinsoku/>
              <w:wordWrap w:val="0"/>
              <w:overflowPunct/>
              <w:topLinePunct/>
              <w:autoSpaceDE/>
              <w:autoSpaceDN/>
              <w:bidi w:val="0"/>
              <w:adjustRightInd w:val="0"/>
              <w:snapToGrid w:val="0"/>
              <w:spacing w:before="78" w:line="220" w:lineRule="auto"/>
              <w:ind w:left="71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70785C71">
      <w:pPr>
        <w:pStyle w:val="6"/>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p w14:paraId="76A187A4">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B6567E0">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06" w:name="_Toc2657"/>
      <w:r>
        <w:rPr>
          <w:rFonts w:hint="eastAsia" w:ascii="宋体" w:hAnsi="宋体" w:eastAsia="宋体" w:cs="宋体"/>
          <w:b/>
          <w:bCs/>
          <w:color w:val="auto"/>
          <w:spacing w:val="-4"/>
          <w:sz w:val="24"/>
          <w:szCs w:val="24"/>
          <w:highlight w:val="none"/>
        </w:rPr>
        <w:t>格式五 法定代表人身份证明</w:t>
      </w:r>
      <w:bookmarkEnd w:id="206"/>
    </w:p>
    <w:p w14:paraId="70F937E1">
      <w:pPr>
        <w:pStyle w:val="6"/>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14:paraId="1D9CB23D">
      <w:pPr>
        <w:pStyle w:val="6"/>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14:paraId="4D83B1B1">
      <w:pPr>
        <w:keepNext w:val="0"/>
        <w:keepLines w:val="0"/>
        <w:pageBreakBefore w:val="0"/>
        <w:widowControl w:val="0"/>
        <w:kinsoku/>
        <w:wordWrap w:val="0"/>
        <w:overflowPunct/>
        <w:topLinePunct/>
        <w:autoSpaceDE/>
        <w:autoSpaceDN/>
        <w:bidi w:val="0"/>
        <w:adjustRightInd w:val="0"/>
        <w:snapToGrid w:val="0"/>
        <w:spacing w:before="98" w:line="220" w:lineRule="auto"/>
        <w:ind w:left="3183" w:right="84" w:rightChars="40"/>
        <w:rPr>
          <w:rFonts w:hint="eastAsia" w:ascii="宋体" w:hAnsi="宋体" w:eastAsia="宋体" w:cs="宋体"/>
          <w:color w:val="auto"/>
          <w:sz w:val="30"/>
          <w:szCs w:val="30"/>
          <w:highlight w:val="none"/>
        </w:rPr>
      </w:pPr>
      <w:bookmarkStart w:id="207" w:name="bookmark152"/>
      <w:bookmarkEnd w:id="207"/>
      <w:r>
        <w:rPr>
          <w:rFonts w:hint="eastAsia" w:ascii="宋体" w:hAnsi="宋体" w:eastAsia="宋体" w:cs="宋体"/>
          <w:b/>
          <w:bCs/>
          <w:color w:val="auto"/>
          <w:spacing w:val="-4"/>
          <w:sz w:val="30"/>
          <w:szCs w:val="30"/>
          <w:highlight w:val="none"/>
        </w:rPr>
        <w:t>法定代表人身份证明</w:t>
      </w:r>
    </w:p>
    <w:p w14:paraId="474CC8D2">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3CFFC51A">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454FFFB0">
      <w:pPr>
        <w:pStyle w:val="6"/>
        <w:keepNext w:val="0"/>
        <w:keepLines w:val="0"/>
        <w:pageBreakBefore w:val="0"/>
        <w:widowControl w:val="0"/>
        <w:kinsoku/>
        <w:wordWrap w:val="0"/>
        <w:overflowPunct/>
        <w:topLinePunct/>
        <w:autoSpaceDE/>
        <w:autoSpaceDN/>
        <w:bidi w:val="0"/>
        <w:adjustRightInd w:val="0"/>
        <w:snapToGrid w:val="0"/>
        <w:spacing w:line="251" w:lineRule="auto"/>
        <w:ind w:right="84" w:rightChars="40"/>
        <w:rPr>
          <w:rFonts w:hint="eastAsia" w:ascii="宋体" w:hAnsi="宋体" w:eastAsia="宋体" w:cs="宋体"/>
          <w:color w:val="auto"/>
          <w:highlight w:val="none"/>
        </w:rPr>
      </w:pPr>
    </w:p>
    <w:p w14:paraId="492CD064">
      <w:pPr>
        <w:keepNext w:val="0"/>
        <w:keepLines w:val="0"/>
        <w:pageBreakBefore w:val="0"/>
        <w:widowControl w:val="0"/>
        <w:kinsoku/>
        <w:wordWrap w:val="0"/>
        <w:overflowPunct/>
        <w:topLinePunct/>
        <w:autoSpaceDE/>
        <w:autoSpaceDN/>
        <w:bidi w:val="0"/>
        <w:adjustRightInd w:val="0"/>
        <w:snapToGrid w:val="0"/>
        <w:spacing w:line="440" w:lineRule="exact"/>
        <w:ind w:right="84" w:rightChars="4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37B56D72">
      <w:pPr>
        <w:keepNext w:val="0"/>
        <w:keepLines w:val="0"/>
        <w:pageBreakBefore w:val="0"/>
        <w:widowControl w:val="0"/>
        <w:kinsoku/>
        <w:wordWrap w:val="0"/>
        <w:overflowPunct/>
        <w:topLinePunct/>
        <w:autoSpaceDE/>
        <w:autoSpaceDN/>
        <w:bidi w:val="0"/>
        <w:adjustRightInd w:val="0"/>
        <w:snapToGrid w:val="0"/>
        <w:spacing w:line="440" w:lineRule="exact"/>
        <w:ind w:right="84" w:rightChars="4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AD0BF6A">
      <w:pPr>
        <w:keepNext w:val="0"/>
        <w:keepLines w:val="0"/>
        <w:pageBreakBefore w:val="0"/>
        <w:widowControl w:val="0"/>
        <w:kinsoku/>
        <w:wordWrap w:val="0"/>
        <w:overflowPunct/>
        <w:topLinePunct/>
        <w:autoSpaceDE/>
        <w:autoSpaceDN/>
        <w:bidi w:val="0"/>
        <w:adjustRightInd w:val="0"/>
        <w:snapToGrid w:val="0"/>
        <w:spacing w:line="440" w:lineRule="exact"/>
        <w:ind w:right="84" w:rightChars="4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1E56F047">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027AAFC4">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2ED57677">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7DF0A780">
      <w:pPr>
        <w:pStyle w:val="6"/>
        <w:keepNext w:val="0"/>
        <w:keepLines w:val="0"/>
        <w:pageBreakBefore w:val="0"/>
        <w:widowControl w:val="0"/>
        <w:kinsoku/>
        <w:wordWrap w:val="0"/>
        <w:overflowPunct/>
        <w:topLinePunct/>
        <w:autoSpaceDE/>
        <w:autoSpaceDN/>
        <w:bidi w:val="0"/>
        <w:adjustRightInd w:val="0"/>
        <w:snapToGrid w:val="0"/>
        <w:spacing w:line="278" w:lineRule="auto"/>
        <w:ind w:right="84" w:rightChars="40"/>
        <w:rPr>
          <w:rFonts w:hint="eastAsia" w:ascii="宋体" w:hAnsi="宋体" w:eastAsia="宋体" w:cs="宋体"/>
          <w:color w:val="auto"/>
          <w:highlight w:val="none"/>
        </w:rPr>
      </w:pPr>
    </w:p>
    <w:p w14:paraId="495E06F0">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13FD7EFE">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67B2AD8D">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5BE3FF63">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60FD7DE4">
      <w:pPr>
        <w:keepNext w:val="0"/>
        <w:keepLines w:val="0"/>
        <w:pageBreakBefore w:val="0"/>
        <w:widowControl w:val="0"/>
        <w:kinsoku/>
        <w:wordWrap w:val="0"/>
        <w:overflowPunct/>
        <w:topLinePunct/>
        <w:autoSpaceDE/>
        <w:autoSpaceDN/>
        <w:bidi w:val="0"/>
        <w:adjustRightInd w:val="0"/>
        <w:snapToGrid w:val="0"/>
        <w:spacing w:before="79"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36EBE4AA">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jc w:val="right"/>
        <w:rPr>
          <w:rFonts w:hint="eastAsia" w:ascii="宋体" w:hAnsi="宋体" w:eastAsia="宋体" w:cs="宋体"/>
          <w:color w:val="auto"/>
          <w:highlight w:val="none"/>
        </w:rPr>
      </w:pPr>
    </w:p>
    <w:p w14:paraId="3F3571D5">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jc w:val="right"/>
        <w:rPr>
          <w:rFonts w:hint="eastAsia" w:ascii="宋体" w:hAnsi="宋体" w:eastAsia="宋体" w:cs="宋体"/>
          <w:color w:val="auto"/>
          <w:highlight w:val="none"/>
        </w:rPr>
      </w:pPr>
    </w:p>
    <w:p w14:paraId="4530997D">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5966751">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14:paraId="02BBBD50">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14:paraId="6982C26D">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14:paraId="1DA53CB0">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14:paraId="611A376F">
      <w:pPr>
        <w:pStyle w:val="6"/>
        <w:keepNext w:val="0"/>
        <w:keepLines w:val="0"/>
        <w:pageBreakBefore w:val="0"/>
        <w:widowControl w:val="0"/>
        <w:kinsoku/>
        <w:wordWrap w:val="0"/>
        <w:overflowPunct/>
        <w:topLinePunct/>
        <w:autoSpaceDE/>
        <w:autoSpaceDN/>
        <w:bidi w:val="0"/>
        <w:adjustRightInd w:val="0"/>
        <w:snapToGrid w:val="0"/>
        <w:spacing w:line="255" w:lineRule="auto"/>
        <w:ind w:right="84" w:rightChars="40"/>
        <w:rPr>
          <w:rFonts w:hint="eastAsia" w:ascii="宋体" w:hAnsi="宋体" w:eastAsia="宋体" w:cs="宋体"/>
          <w:color w:val="auto"/>
          <w:highlight w:val="none"/>
        </w:rPr>
      </w:pPr>
    </w:p>
    <w:p w14:paraId="6F297A11">
      <w:pPr>
        <w:pStyle w:val="6"/>
        <w:keepNext w:val="0"/>
        <w:keepLines w:val="0"/>
        <w:pageBreakBefore w:val="0"/>
        <w:widowControl w:val="0"/>
        <w:kinsoku/>
        <w:wordWrap w:val="0"/>
        <w:overflowPunct/>
        <w:topLinePunct/>
        <w:autoSpaceDE/>
        <w:autoSpaceDN/>
        <w:bidi w:val="0"/>
        <w:adjustRightInd w:val="0"/>
        <w:snapToGrid w:val="0"/>
        <w:spacing w:line="255" w:lineRule="auto"/>
        <w:ind w:right="84" w:rightChars="40"/>
        <w:rPr>
          <w:rFonts w:hint="eastAsia" w:ascii="宋体" w:hAnsi="宋体" w:eastAsia="宋体" w:cs="宋体"/>
          <w:color w:val="auto"/>
          <w:highlight w:val="none"/>
        </w:rPr>
      </w:pPr>
    </w:p>
    <w:p w14:paraId="1997E053">
      <w:pPr>
        <w:pStyle w:val="6"/>
        <w:keepNext w:val="0"/>
        <w:keepLines w:val="0"/>
        <w:pageBreakBefore w:val="0"/>
        <w:widowControl w:val="0"/>
        <w:kinsoku/>
        <w:wordWrap w:val="0"/>
        <w:overflowPunct/>
        <w:topLinePunct/>
        <w:autoSpaceDE/>
        <w:autoSpaceDN/>
        <w:bidi w:val="0"/>
        <w:adjustRightInd w:val="0"/>
        <w:snapToGrid w:val="0"/>
        <w:spacing w:before="1" w:line="2510" w:lineRule="exact"/>
        <w:ind w:right="84" w:rightChars="40"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1"/>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2242004A">
                              <w:pPr>
                                <w:spacing w:line="249" w:lineRule="auto"/>
                              </w:pPr>
                            </w:p>
                            <w:p w14:paraId="49E00F93">
                              <w:pPr>
                                <w:spacing w:line="249" w:lineRule="auto"/>
                              </w:pPr>
                            </w:p>
                            <w:p w14:paraId="6DDE7A3F">
                              <w:pPr>
                                <w:spacing w:line="249" w:lineRule="auto"/>
                              </w:pPr>
                            </w:p>
                            <w:p w14:paraId="5A85440D">
                              <w:pPr>
                                <w:spacing w:line="249" w:lineRule="auto"/>
                              </w:pPr>
                            </w:p>
                            <w:p w14:paraId="5CE13456">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1"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242004A">
                        <w:pPr>
                          <w:spacing w:line="249" w:lineRule="auto"/>
                        </w:pPr>
                      </w:p>
                      <w:p w14:paraId="49E00F93">
                        <w:pPr>
                          <w:spacing w:line="249" w:lineRule="auto"/>
                        </w:pPr>
                      </w:p>
                      <w:p w14:paraId="6DDE7A3F">
                        <w:pPr>
                          <w:spacing w:line="249" w:lineRule="auto"/>
                        </w:pPr>
                      </w:p>
                      <w:p w14:paraId="5A85440D">
                        <w:pPr>
                          <w:spacing w:line="249" w:lineRule="auto"/>
                        </w:pPr>
                      </w:p>
                      <w:p w14:paraId="5CE13456">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DDCB60F">
      <w:pPr>
        <w:keepNext w:val="0"/>
        <w:keepLines w:val="0"/>
        <w:pageBreakBefore w:val="0"/>
        <w:widowControl w:val="0"/>
        <w:kinsoku/>
        <w:wordWrap w:val="0"/>
        <w:overflowPunct/>
        <w:topLinePunct/>
        <w:autoSpaceDE/>
        <w:autoSpaceDN/>
        <w:bidi w:val="0"/>
        <w:adjustRightInd w:val="0"/>
        <w:snapToGrid w:val="0"/>
        <w:spacing w:line="2510" w:lineRule="exact"/>
        <w:ind w:right="84" w:rightChars="40"/>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986E707">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08" w:name="_Toc23279"/>
      <w:r>
        <w:rPr>
          <w:rFonts w:hint="eastAsia" w:ascii="宋体" w:hAnsi="宋体" w:eastAsia="宋体" w:cs="宋体"/>
          <w:b/>
          <w:bCs/>
          <w:color w:val="auto"/>
          <w:spacing w:val="-4"/>
          <w:sz w:val="24"/>
          <w:szCs w:val="24"/>
          <w:highlight w:val="none"/>
        </w:rPr>
        <w:t>格式六 联合体协议书</w:t>
      </w:r>
      <w:bookmarkEnd w:id="208"/>
    </w:p>
    <w:p w14:paraId="246F6FC4">
      <w:pPr>
        <w:keepNext w:val="0"/>
        <w:keepLines w:val="0"/>
        <w:pageBreakBefore w:val="0"/>
        <w:widowControl w:val="0"/>
        <w:kinsoku/>
        <w:wordWrap w:val="0"/>
        <w:overflowPunct/>
        <w:topLinePunct/>
        <w:autoSpaceDE/>
        <w:autoSpaceDN/>
        <w:bidi w:val="0"/>
        <w:adjustRightInd w:val="0"/>
        <w:snapToGrid w:val="0"/>
        <w:spacing w:before="98" w:line="219" w:lineRule="auto"/>
        <w:ind w:left="3638" w:right="84" w:rightChars="40"/>
        <w:rPr>
          <w:rFonts w:hint="eastAsia" w:ascii="宋体" w:hAnsi="宋体" w:eastAsia="宋体" w:cs="宋体"/>
          <w:color w:val="auto"/>
          <w:sz w:val="30"/>
          <w:szCs w:val="30"/>
          <w:highlight w:val="none"/>
        </w:rPr>
      </w:pPr>
      <w:bookmarkStart w:id="209" w:name="bookmark153"/>
      <w:bookmarkEnd w:id="209"/>
      <w:r>
        <w:rPr>
          <w:rFonts w:hint="eastAsia" w:ascii="宋体" w:hAnsi="宋体" w:eastAsia="宋体" w:cs="宋体"/>
          <w:b/>
          <w:bCs/>
          <w:color w:val="auto"/>
          <w:spacing w:val="-5"/>
          <w:sz w:val="30"/>
          <w:szCs w:val="30"/>
          <w:highlight w:val="none"/>
        </w:rPr>
        <w:t>联合体协议书</w:t>
      </w:r>
    </w:p>
    <w:p w14:paraId="3C777236">
      <w:pPr>
        <w:pStyle w:val="6"/>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14:paraId="1E2C93A7">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09B2DB97">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BB8D5A9">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46C81FDA">
      <w:pPr>
        <w:keepNext w:val="0"/>
        <w:keepLines w:val="0"/>
        <w:pageBreakBefore w:val="0"/>
        <w:widowControl w:val="0"/>
        <w:kinsoku/>
        <w:wordWrap w:val="0"/>
        <w:overflowPunct/>
        <w:topLinePunct/>
        <w:autoSpaceDE/>
        <w:autoSpaceDN/>
        <w:bidi w:val="0"/>
        <w:adjustRightInd w:val="0"/>
        <w:snapToGrid w:val="0"/>
        <w:spacing w:line="400" w:lineRule="exact"/>
        <w:ind w:right="84" w:rightChars="40"/>
        <w:textAlignment w:val="baseline"/>
        <w:outlineLvl w:val="9"/>
        <w:rPr>
          <w:rFonts w:hint="eastAsia"/>
          <w:color w:val="auto"/>
          <w:highlight w:val="none"/>
        </w:rPr>
      </w:pPr>
    </w:p>
    <w:p w14:paraId="141F0805">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6EC8F7F2">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4BCA32DC">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67B52F49">
      <w:pPr>
        <w:keepNext w:val="0"/>
        <w:keepLines w:val="0"/>
        <w:pageBreakBefore w:val="0"/>
        <w:widowControl w:val="0"/>
        <w:kinsoku/>
        <w:wordWrap w:val="0"/>
        <w:overflowPunct/>
        <w:topLinePunct/>
        <w:autoSpaceDE/>
        <w:autoSpaceDN/>
        <w:bidi w:val="0"/>
        <w:adjustRightInd w:val="0"/>
        <w:snapToGrid w:val="0"/>
        <w:spacing w:line="400" w:lineRule="exact"/>
        <w:ind w:left="43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25EAE5A9">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pacing w:val="-1"/>
          <w:sz w:val="24"/>
          <w:szCs w:val="24"/>
          <w:highlight w:val="none"/>
        </w:rPr>
        <w:t>合体投标事宜订立如下协议：</w:t>
      </w:r>
    </w:p>
    <w:p w14:paraId="133045B7">
      <w:pPr>
        <w:keepNext w:val="0"/>
        <w:keepLines w:val="0"/>
        <w:pageBreakBefore w:val="0"/>
        <w:widowControl w:val="0"/>
        <w:kinsoku/>
        <w:wordWrap w:val="0"/>
        <w:overflowPunct/>
        <w:topLinePunct/>
        <w:autoSpaceDE/>
        <w:autoSpaceDN/>
        <w:bidi w:val="0"/>
        <w:adjustRightInd w:val="0"/>
        <w:snapToGrid w:val="0"/>
        <w:spacing w:line="400" w:lineRule="exact"/>
        <w:ind w:left="499"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1D29FE2A">
      <w:pPr>
        <w:keepNext w:val="0"/>
        <w:keepLines w:val="0"/>
        <w:pageBreakBefore w:val="0"/>
        <w:widowControl w:val="0"/>
        <w:kinsoku/>
        <w:wordWrap w:val="0"/>
        <w:overflowPunct/>
        <w:topLinePunct/>
        <w:autoSpaceDE/>
        <w:autoSpaceDN/>
        <w:bidi w:val="0"/>
        <w:adjustRightInd w:val="0"/>
        <w:snapToGrid w:val="0"/>
        <w:spacing w:line="400" w:lineRule="exact"/>
        <w:ind w:left="1"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文件编制活动，代表联合体提交和接收相关的资料、信息及指示，并处理与投标和中标有关的一切事务；联合体中标后，联合体牵头人负责合同订立和合同实施阶段的主办、组织和协调工作。</w:t>
      </w:r>
    </w:p>
    <w:p w14:paraId="5889A2B3">
      <w:pPr>
        <w:keepNext w:val="0"/>
        <w:keepLines w:val="0"/>
        <w:pageBreakBefore w:val="0"/>
        <w:widowControl w:val="0"/>
        <w:kinsoku/>
        <w:wordWrap w:val="0"/>
        <w:overflowPunct/>
        <w:topLinePunct/>
        <w:autoSpaceDE/>
        <w:autoSpaceDN/>
        <w:bidi w:val="0"/>
        <w:adjustRightInd w:val="0"/>
        <w:snapToGrid w:val="0"/>
        <w:spacing w:line="400" w:lineRule="exact"/>
        <w:ind w:left="2" w:right="84" w:rightChars="40"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
          <w:sz w:val="24"/>
          <w:szCs w:val="24"/>
          <w:highlight w:val="none"/>
        </w:rPr>
        <w:t>分，承担各自所负的责任和风险，并向招标人承担连带责任。</w:t>
      </w:r>
    </w:p>
    <w:p w14:paraId="5628F1E0">
      <w:pPr>
        <w:keepNext w:val="0"/>
        <w:keepLines w:val="0"/>
        <w:pageBreakBefore w:val="0"/>
        <w:widowControl w:val="0"/>
        <w:kinsoku/>
        <w:wordWrap w:val="0"/>
        <w:overflowPunct/>
        <w:topLinePunct/>
        <w:autoSpaceDE/>
        <w:autoSpaceDN/>
        <w:bidi w:val="0"/>
        <w:adjustRightInd w:val="0"/>
        <w:snapToGrid w:val="0"/>
        <w:spacing w:line="400" w:lineRule="exact"/>
        <w:ind w:left="475" w:right="84" w:rightChars="40"/>
        <w:textAlignment w:val="baseline"/>
        <w:outlineLvl w:val="9"/>
        <w:rPr>
          <w:rFonts w:hint="eastAsia" w:ascii="宋体" w:hAnsi="宋体" w:eastAsia="宋体" w:cs="宋体"/>
          <w:color w:val="auto"/>
          <w:sz w:val="24"/>
          <w:szCs w:val="24"/>
          <w:highlight w:val="none"/>
        </w:rPr>
      </w:pPr>
      <w:bookmarkStart w:id="210" w:name="_Toc32149"/>
      <w:bookmarkStart w:id="211"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w:t>
      </w:r>
      <w:bookmarkEnd w:id="210"/>
      <w:bookmarkEnd w:id="211"/>
    </w:p>
    <w:p w14:paraId="02EFFB7E">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7F643CE4">
      <w:pPr>
        <w:keepNext w:val="0"/>
        <w:keepLines w:val="0"/>
        <w:pageBreakBefore w:val="0"/>
        <w:widowControl w:val="0"/>
        <w:kinsoku/>
        <w:wordWrap w:val="0"/>
        <w:overflowPunct/>
        <w:topLinePunct/>
        <w:autoSpaceDE/>
        <w:autoSpaceDN/>
        <w:bidi w:val="0"/>
        <w:adjustRightInd w:val="0"/>
        <w:snapToGrid w:val="0"/>
        <w:spacing w:line="400" w:lineRule="exact"/>
        <w:ind w:left="4"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083B26FB">
      <w:pPr>
        <w:keepNext w:val="0"/>
        <w:keepLines w:val="0"/>
        <w:pageBreakBefore w:val="0"/>
        <w:widowControl w:val="0"/>
        <w:kinsoku/>
        <w:wordWrap w:val="0"/>
        <w:overflowPunct/>
        <w:topLinePunct/>
        <w:autoSpaceDE/>
        <w:autoSpaceDN/>
        <w:bidi w:val="0"/>
        <w:adjustRightInd w:val="0"/>
        <w:snapToGrid w:val="0"/>
        <w:spacing w:line="400" w:lineRule="exact"/>
        <w:ind w:left="6" w:right="84" w:rightChars="40"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10B82A4">
      <w:pPr>
        <w:keepNext w:val="0"/>
        <w:keepLines w:val="0"/>
        <w:pageBreakBefore w:val="0"/>
        <w:widowControl w:val="0"/>
        <w:kinsoku/>
        <w:wordWrap w:val="0"/>
        <w:overflowPunct/>
        <w:topLinePunct/>
        <w:autoSpaceDE/>
        <w:autoSpaceDN/>
        <w:bidi w:val="0"/>
        <w:adjustRightInd w:val="0"/>
        <w:snapToGrid w:val="0"/>
        <w:spacing w:line="400" w:lineRule="exact"/>
        <w:ind w:left="486" w:right="84" w:rightChars="40"/>
        <w:textAlignment w:val="baseline"/>
        <w:outlineLvl w:val="9"/>
        <w:rPr>
          <w:rFonts w:hint="eastAsia" w:ascii="宋体" w:hAnsi="宋体" w:eastAsia="宋体" w:cs="宋体"/>
          <w:color w:val="auto"/>
          <w:sz w:val="24"/>
          <w:szCs w:val="24"/>
          <w:highlight w:val="none"/>
        </w:rPr>
      </w:pPr>
      <w:bookmarkStart w:id="212" w:name="_Toc26708"/>
      <w:bookmarkStart w:id="213"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份，联合体成员和招标人各执</w:t>
      </w:r>
      <w:r>
        <w:rPr>
          <w:rFonts w:hint="eastAsia" w:ascii="宋体" w:hAnsi="宋体" w:eastAsia="宋体" w:cs="宋体"/>
          <w:color w:val="auto"/>
          <w:spacing w:val="-2"/>
          <w:sz w:val="24"/>
          <w:szCs w:val="24"/>
          <w:highlight w:val="none"/>
          <w:u w:val="single"/>
          <w:lang w:val="en-US" w:eastAsia="zh-CN"/>
        </w:rPr>
        <w:t xml:space="preserve"> 一 </w:t>
      </w:r>
      <w:r>
        <w:rPr>
          <w:rFonts w:hint="eastAsia" w:ascii="宋体" w:hAnsi="宋体" w:eastAsia="宋体" w:cs="宋体"/>
          <w:color w:val="auto"/>
          <w:spacing w:val="-2"/>
          <w:sz w:val="24"/>
          <w:szCs w:val="24"/>
          <w:highlight w:val="none"/>
        </w:rPr>
        <w:t>份。</w:t>
      </w:r>
      <w:bookmarkEnd w:id="212"/>
      <w:bookmarkEnd w:id="213"/>
    </w:p>
    <w:p w14:paraId="4FFCEE88">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bookmarkStart w:id="214" w:name="bookmark154"/>
      <w:bookmarkEnd w:id="214"/>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4F7207E6">
      <w:pPr>
        <w:pStyle w:val="6"/>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14:paraId="27B81BBF">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0458AD4E">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17C26060">
      <w:pPr>
        <w:pStyle w:val="6"/>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14:paraId="5C533A01">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010F8ED6">
      <w:pPr>
        <w:keepNext w:val="0"/>
        <w:keepLines w:val="0"/>
        <w:pageBreakBefore w:val="0"/>
        <w:widowControl w:val="0"/>
        <w:kinsoku/>
        <w:wordWrap w:val="0"/>
        <w:overflowPunct/>
        <w:topLinePunct/>
        <w:autoSpaceDE/>
        <w:autoSpaceDN/>
        <w:bidi w:val="0"/>
        <w:adjustRightInd w:val="0"/>
        <w:snapToGrid w:val="0"/>
        <w:spacing w:before="78" w:line="220" w:lineRule="auto"/>
        <w:ind w:left="673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2E93A9AC">
      <w:pPr>
        <w:pStyle w:val="6"/>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14:paraId="5E73535F">
      <w:pPr>
        <w:keepNext w:val="0"/>
        <w:keepLines w:val="0"/>
        <w:pageBreakBefore w:val="0"/>
        <w:widowControl w:val="0"/>
        <w:kinsoku/>
        <w:wordWrap w:val="0"/>
        <w:overflowPunct/>
        <w:topLinePunct/>
        <w:autoSpaceDE/>
        <w:autoSpaceDN/>
        <w:bidi w:val="0"/>
        <w:adjustRightInd w:val="0"/>
        <w:snapToGrid w:val="0"/>
        <w:spacing w:before="65" w:line="264" w:lineRule="auto"/>
        <w:ind w:right="84" w:rightChars="40"/>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5DADA95F">
      <w:pPr>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44B6C99">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15" w:name="_Toc15855"/>
      <w:r>
        <w:rPr>
          <w:rFonts w:hint="eastAsia" w:ascii="宋体" w:hAnsi="宋体" w:eastAsia="宋体" w:cs="宋体"/>
          <w:b/>
          <w:bCs/>
          <w:color w:val="auto"/>
          <w:spacing w:val="-4"/>
          <w:sz w:val="24"/>
          <w:szCs w:val="24"/>
          <w:highlight w:val="none"/>
        </w:rPr>
        <w:t>格式七 投标人基本情况表</w:t>
      </w:r>
      <w:bookmarkEnd w:id="215"/>
    </w:p>
    <w:p w14:paraId="45E9F960">
      <w:pPr>
        <w:keepNext w:val="0"/>
        <w:keepLines w:val="0"/>
        <w:pageBreakBefore w:val="0"/>
        <w:widowControl w:val="0"/>
        <w:kinsoku/>
        <w:wordWrap w:val="0"/>
        <w:overflowPunct/>
        <w:topLinePunct/>
        <w:autoSpaceDE/>
        <w:autoSpaceDN/>
        <w:bidi w:val="0"/>
        <w:adjustRightInd w:val="0"/>
        <w:snapToGrid w:val="0"/>
        <w:spacing w:before="333" w:line="219" w:lineRule="auto"/>
        <w:ind w:left="3350" w:right="84" w:rightChars="4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7303505A">
      <w:pPr>
        <w:keepNext w:val="0"/>
        <w:keepLines w:val="0"/>
        <w:pageBreakBefore w:val="0"/>
        <w:widowControl w:val="0"/>
        <w:kinsoku/>
        <w:wordWrap w:val="0"/>
        <w:overflowPunct/>
        <w:topLinePunct/>
        <w:autoSpaceDE/>
        <w:autoSpaceDN/>
        <w:bidi w:val="0"/>
        <w:adjustRightInd w:val="0"/>
        <w:snapToGrid w:val="0"/>
        <w:spacing w:line="239" w:lineRule="exact"/>
        <w:ind w:right="84" w:rightChars="40"/>
        <w:rPr>
          <w:rFonts w:hint="eastAsia" w:ascii="宋体" w:hAnsi="宋体" w:eastAsia="宋体" w:cs="宋体"/>
          <w:color w:val="auto"/>
          <w:highlight w:val="none"/>
        </w:rPr>
      </w:pPr>
    </w:p>
    <w:tbl>
      <w:tblPr>
        <w:tblStyle w:val="15"/>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1123"/>
        <w:gridCol w:w="1689"/>
        <w:gridCol w:w="872"/>
        <w:gridCol w:w="424"/>
        <w:gridCol w:w="930"/>
        <w:gridCol w:w="283"/>
        <w:gridCol w:w="770"/>
        <w:gridCol w:w="1548"/>
      </w:tblGrid>
      <w:tr w14:paraId="46599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648306B4">
            <w:pPr>
              <w:keepNext w:val="0"/>
              <w:keepLines w:val="0"/>
              <w:pageBreakBefore w:val="0"/>
              <w:widowControl w:val="0"/>
              <w:kinsoku/>
              <w:wordWrap w:val="0"/>
              <w:overflowPunct/>
              <w:topLinePunct/>
              <w:autoSpaceDE/>
              <w:autoSpaceDN/>
              <w:bidi w:val="0"/>
              <w:adjustRightInd w:val="0"/>
              <w:snapToGrid w:val="0"/>
              <w:spacing w:before="149" w:line="229" w:lineRule="auto"/>
              <w:ind w:left="228" w:right="84" w:rightChars="40"/>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27A9650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3EDDC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2839D7CD">
            <w:pPr>
              <w:keepNext w:val="0"/>
              <w:keepLines w:val="0"/>
              <w:pageBreakBefore w:val="0"/>
              <w:widowControl w:val="0"/>
              <w:kinsoku/>
              <w:wordWrap w:val="0"/>
              <w:overflowPunct/>
              <w:topLinePunct/>
              <w:autoSpaceDE/>
              <w:autoSpaceDN/>
              <w:bidi w:val="0"/>
              <w:adjustRightInd w:val="0"/>
              <w:snapToGrid w:val="0"/>
              <w:spacing w:before="144" w:line="230" w:lineRule="auto"/>
              <w:ind w:left="3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5CCEB22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4" w:type="dxa"/>
            <w:gridSpan w:val="2"/>
            <w:vAlign w:val="top"/>
          </w:tcPr>
          <w:p w14:paraId="7016F7DE">
            <w:pPr>
              <w:keepNext w:val="0"/>
              <w:keepLines w:val="0"/>
              <w:pageBreakBefore w:val="0"/>
              <w:widowControl w:val="0"/>
              <w:kinsoku/>
              <w:wordWrap w:val="0"/>
              <w:overflowPunct/>
              <w:topLinePunct/>
              <w:autoSpaceDE/>
              <w:autoSpaceDN/>
              <w:bidi w:val="0"/>
              <w:adjustRightInd w:val="0"/>
              <w:snapToGrid w:val="0"/>
              <w:spacing w:before="144" w:line="228" w:lineRule="auto"/>
              <w:ind w:left="22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1BFAE7D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0632F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4EC5373">
            <w:pPr>
              <w:pStyle w:val="21"/>
              <w:keepNext w:val="0"/>
              <w:keepLines w:val="0"/>
              <w:pageBreakBefore w:val="0"/>
              <w:widowControl w:val="0"/>
              <w:kinsoku/>
              <w:wordWrap w:val="0"/>
              <w:overflowPunct/>
              <w:topLinePunct/>
              <w:autoSpaceDE/>
              <w:autoSpaceDN/>
              <w:bidi w:val="0"/>
              <w:adjustRightInd w:val="0"/>
              <w:snapToGrid w:val="0"/>
              <w:spacing w:line="332" w:lineRule="auto"/>
              <w:ind w:right="84" w:rightChars="40"/>
              <w:rPr>
                <w:rFonts w:hint="eastAsia" w:ascii="宋体" w:hAnsi="宋体" w:eastAsia="宋体" w:cs="宋体"/>
                <w:color w:val="auto"/>
                <w:sz w:val="24"/>
                <w:szCs w:val="24"/>
                <w:highlight w:val="none"/>
              </w:rPr>
            </w:pPr>
          </w:p>
          <w:p w14:paraId="5E71A6F3">
            <w:pPr>
              <w:keepNext w:val="0"/>
              <w:keepLines w:val="0"/>
              <w:pageBreakBefore w:val="0"/>
              <w:widowControl w:val="0"/>
              <w:kinsoku/>
              <w:wordWrap w:val="0"/>
              <w:overflowPunct/>
              <w:topLinePunct/>
              <w:autoSpaceDE/>
              <w:autoSpaceDN/>
              <w:bidi w:val="0"/>
              <w:adjustRightInd w:val="0"/>
              <w:snapToGrid w:val="0"/>
              <w:spacing w:before="65" w:line="230" w:lineRule="auto"/>
              <w:ind w:left="32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1123" w:type="dxa"/>
            <w:vAlign w:val="top"/>
          </w:tcPr>
          <w:p w14:paraId="18CAB378">
            <w:pPr>
              <w:keepNext w:val="0"/>
              <w:keepLines w:val="0"/>
              <w:pageBreakBefore w:val="0"/>
              <w:widowControl w:val="0"/>
              <w:kinsoku/>
              <w:wordWrap w:val="0"/>
              <w:overflowPunct/>
              <w:topLinePunct/>
              <w:autoSpaceDE/>
              <w:autoSpaceDN/>
              <w:bidi w:val="0"/>
              <w:adjustRightInd w:val="0"/>
              <w:snapToGrid w:val="0"/>
              <w:spacing w:before="145" w:line="231" w:lineRule="auto"/>
              <w:ind w:left="13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联系</w:t>
            </w:r>
            <w:r>
              <w:rPr>
                <w:rFonts w:hint="eastAsia" w:ascii="宋体" w:hAnsi="宋体" w:eastAsia="宋体" w:cs="宋体"/>
                <w:color w:val="auto"/>
                <w:spacing w:val="6"/>
                <w:sz w:val="24"/>
                <w:szCs w:val="24"/>
                <w:highlight w:val="none"/>
                <w:lang w:eastAsia="zh-CN"/>
              </w:rPr>
              <w:t>人</w:t>
            </w:r>
          </w:p>
        </w:tc>
        <w:tc>
          <w:tcPr>
            <w:tcW w:w="2561" w:type="dxa"/>
            <w:gridSpan w:val="2"/>
            <w:vAlign w:val="top"/>
          </w:tcPr>
          <w:p w14:paraId="7FFFE8E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4" w:type="dxa"/>
            <w:gridSpan w:val="2"/>
            <w:vAlign w:val="top"/>
          </w:tcPr>
          <w:p w14:paraId="58611E09">
            <w:pPr>
              <w:keepNext w:val="0"/>
              <w:keepLines w:val="0"/>
              <w:pageBreakBefore w:val="0"/>
              <w:widowControl w:val="0"/>
              <w:kinsoku/>
              <w:wordWrap w:val="0"/>
              <w:overflowPunct/>
              <w:topLinePunct/>
              <w:autoSpaceDE/>
              <w:autoSpaceDN/>
              <w:bidi w:val="0"/>
              <w:adjustRightInd w:val="0"/>
              <w:snapToGrid w:val="0"/>
              <w:spacing w:before="145" w:line="231" w:lineRule="auto"/>
              <w:ind w:left="3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7E70DCE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0E379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7876897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123" w:type="dxa"/>
            <w:vAlign w:val="top"/>
          </w:tcPr>
          <w:p w14:paraId="485644DF">
            <w:pPr>
              <w:keepNext w:val="0"/>
              <w:keepLines w:val="0"/>
              <w:pageBreakBefore w:val="0"/>
              <w:widowControl w:val="0"/>
              <w:kinsoku/>
              <w:wordWrap w:val="0"/>
              <w:overflowPunct/>
              <w:topLinePunct/>
              <w:autoSpaceDE/>
              <w:autoSpaceDN/>
              <w:bidi w:val="0"/>
              <w:adjustRightInd w:val="0"/>
              <w:snapToGrid w:val="0"/>
              <w:spacing w:before="143" w:line="228" w:lineRule="auto"/>
              <w:ind w:left="13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561" w:type="dxa"/>
            <w:gridSpan w:val="2"/>
            <w:vAlign w:val="top"/>
          </w:tcPr>
          <w:p w14:paraId="3895C5B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4" w:type="dxa"/>
            <w:gridSpan w:val="2"/>
            <w:vAlign w:val="top"/>
          </w:tcPr>
          <w:p w14:paraId="5D510AEC">
            <w:pPr>
              <w:keepNext w:val="0"/>
              <w:keepLines w:val="0"/>
              <w:pageBreakBefore w:val="0"/>
              <w:widowControl w:val="0"/>
              <w:kinsoku/>
              <w:wordWrap w:val="0"/>
              <w:overflowPunct/>
              <w:topLinePunct/>
              <w:autoSpaceDE/>
              <w:autoSpaceDN/>
              <w:bidi w:val="0"/>
              <w:adjustRightInd w:val="0"/>
              <w:snapToGrid w:val="0"/>
              <w:spacing w:before="144" w:line="229" w:lineRule="auto"/>
              <w:ind w:left="23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39FED04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413B5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7CDA19F0">
            <w:pPr>
              <w:keepNext w:val="0"/>
              <w:keepLines w:val="0"/>
              <w:pageBreakBefore w:val="0"/>
              <w:widowControl w:val="0"/>
              <w:kinsoku/>
              <w:wordWrap w:val="0"/>
              <w:overflowPunct/>
              <w:topLinePunct/>
              <w:autoSpaceDE/>
              <w:autoSpaceDN/>
              <w:bidi w:val="0"/>
              <w:adjustRightInd w:val="0"/>
              <w:snapToGrid w:val="0"/>
              <w:spacing w:before="145" w:line="229"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0CF5368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E063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07A5940F">
            <w:pPr>
              <w:keepNext w:val="0"/>
              <w:keepLines w:val="0"/>
              <w:pageBreakBefore w:val="0"/>
              <w:widowControl w:val="0"/>
              <w:kinsoku/>
              <w:wordWrap w:val="0"/>
              <w:overflowPunct/>
              <w:topLinePunct/>
              <w:autoSpaceDE/>
              <w:autoSpaceDN/>
              <w:bidi w:val="0"/>
              <w:adjustRightInd w:val="0"/>
              <w:snapToGrid w:val="0"/>
              <w:spacing w:before="144" w:line="228" w:lineRule="auto"/>
              <w:ind w:left="22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1123" w:type="dxa"/>
            <w:vAlign w:val="top"/>
          </w:tcPr>
          <w:p w14:paraId="324EBFE3">
            <w:pPr>
              <w:keepNext w:val="0"/>
              <w:keepLines w:val="0"/>
              <w:pageBreakBefore w:val="0"/>
              <w:widowControl w:val="0"/>
              <w:kinsoku/>
              <w:wordWrap w:val="0"/>
              <w:overflowPunct/>
              <w:topLinePunct/>
              <w:autoSpaceDE/>
              <w:autoSpaceDN/>
              <w:bidi w:val="0"/>
              <w:adjustRightInd w:val="0"/>
              <w:snapToGrid w:val="0"/>
              <w:spacing w:before="144" w:line="228" w:lineRule="auto"/>
              <w:ind w:left="2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689" w:type="dxa"/>
            <w:vAlign w:val="top"/>
          </w:tcPr>
          <w:p w14:paraId="2A6B838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Align w:val="top"/>
          </w:tcPr>
          <w:p w14:paraId="38260C2A">
            <w:pPr>
              <w:keepNext w:val="0"/>
              <w:keepLines w:val="0"/>
              <w:pageBreakBefore w:val="0"/>
              <w:widowControl w:val="0"/>
              <w:kinsoku/>
              <w:wordWrap w:val="0"/>
              <w:overflowPunct/>
              <w:topLinePunct/>
              <w:autoSpaceDE/>
              <w:autoSpaceDN/>
              <w:bidi w:val="0"/>
              <w:adjustRightInd w:val="0"/>
              <w:snapToGrid w:val="0"/>
              <w:spacing w:before="144" w:line="228" w:lineRule="auto"/>
              <w:ind w:left="1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213" w:type="dxa"/>
            <w:gridSpan w:val="2"/>
            <w:vAlign w:val="top"/>
          </w:tcPr>
          <w:p w14:paraId="00E2468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770" w:type="dxa"/>
            <w:vAlign w:val="top"/>
          </w:tcPr>
          <w:p w14:paraId="028E8216">
            <w:pPr>
              <w:keepNext w:val="0"/>
              <w:keepLines w:val="0"/>
              <w:pageBreakBefore w:val="0"/>
              <w:widowControl w:val="0"/>
              <w:kinsoku/>
              <w:wordWrap w:val="0"/>
              <w:overflowPunct/>
              <w:topLinePunct/>
              <w:autoSpaceDE/>
              <w:autoSpaceDN/>
              <w:bidi w:val="0"/>
              <w:adjustRightInd w:val="0"/>
              <w:snapToGrid w:val="0"/>
              <w:spacing w:before="143" w:line="231" w:lineRule="auto"/>
              <w:ind w:left="17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4E48693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ECFC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2D9D7B0">
            <w:pPr>
              <w:keepNext w:val="0"/>
              <w:keepLines w:val="0"/>
              <w:pageBreakBefore w:val="0"/>
              <w:widowControl w:val="0"/>
              <w:kinsoku/>
              <w:wordWrap w:val="0"/>
              <w:overflowPunct/>
              <w:topLinePunct/>
              <w:autoSpaceDE/>
              <w:autoSpaceDN/>
              <w:bidi w:val="0"/>
              <w:adjustRightInd w:val="0"/>
              <w:snapToGrid w:val="0"/>
              <w:spacing w:before="145" w:line="230"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24C796C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4827" w:type="dxa"/>
            <w:gridSpan w:val="6"/>
            <w:vAlign w:val="top"/>
          </w:tcPr>
          <w:p w14:paraId="567891C8">
            <w:pPr>
              <w:keepNext w:val="0"/>
              <w:keepLines w:val="0"/>
              <w:pageBreakBefore w:val="0"/>
              <w:widowControl w:val="0"/>
              <w:kinsoku/>
              <w:wordWrap w:val="0"/>
              <w:overflowPunct/>
              <w:topLinePunct/>
              <w:autoSpaceDE/>
              <w:autoSpaceDN/>
              <w:bidi w:val="0"/>
              <w:adjustRightInd w:val="0"/>
              <w:snapToGrid w:val="0"/>
              <w:spacing w:before="145" w:line="228" w:lineRule="auto"/>
              <w:ind w:left="128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597A5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1C0CC14">
            <w:pPr>
              <w:keepNext w:val="0"/>
              <w:keepLines w:val="0"/>
              <w:pageBreakBefore w:val="0"/>
              <w:widowControl w:val="0"/>
              <w:kinsoku/>
              <w:wordWrap w:val="0"/>
              <w:overflowPunct/>
              <w:topLinePunct/>
              <w:autoSpaceDE/>
              <w:autoSpaceDN/>
              <w:bidi w:val="0"/>
              <w:adjustRightInd w:val="0"/>
              <w:snapToGrid w:val="0"/>
              <w:spacing w:before="61" w:line="262"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pacing w:val="7"/>
                <w:sz w:val="24"/>
                <w:szCs w:val="24"/>
                <w:highlight w:val="none"/>
              </w:rPr>
              <w:t>类型和等级</w:t>
            </w:r>
          </w:p>
        </w:tc>
        <w:tc>
          <w:tcPr>
            <w:tcW w:w="2812" w:type="dxa"/>
            <w:gridSpan w:val="2"/>
            <w:vAlign w:val="top"/>
          </w:tcPr>
          <w:p w14:paraId="25FB0D1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restart"/>
            <w:tcBorders>
              <w:bottom w:val="nil"/>
            </w:tcBorders>
            <w:vAlign w:val="top"/>
          </w:tcPr>
          <w:p w14:paraId="2343E876">
            <w:pPr>
              <w:pStyle w:val="21"/>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14:paraId="6DD020B9">
            <w:pPr>
              <w:pStyle w:val="21"/>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14:paraId="70527853">
            <w:pPr>
              <w:pStyle w:val="21"/>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14:paraId="1852C657">
            <w:pPr>
              <w:pStyle w:val="21"/>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14:paraId="2567D8B8">
            <w:pPr>
              <w:pStyle w:val="21"/>
              <w:keepNext w:val="0"/>
              <w:keepLines w:val="0"/>
              <w:pageBreakBefore w:val="0"/>
              <w:widowControl w:val="0"/>
              <w:kinsoku/>
              <w:wordWrap w:val="0"/>
              <w:overflowPunct/>
              <w:topLinePunct/>
              <w:autoSpaceDE/>
              <w:autoSpaceDN/>
              <w:bidi w:val="0"/>
              <w:adjustRightInd w:val="0"/>
              <w:snapToGrid w:val="0"/>
              <w:spacing w:line="255" w:lineRule="auto"/>
              <w:ind w:right="84" w:rightChars="40"/>
              <w:rPr>
                <w:rFonts w:hint="eastAsia" w:ascii="宋体" w:hAnsi="宋体" w:eastAsia="宋体" w:cs="宋体"/>
                <w:color w:val="auto"/>
                <w:sz w:val="24"/>
                <w:szCs w:val="24"/>
                <w:highlight w:val="none"/>
              </w:rPr>
            </w:pPr>
          </w:p>
          <w:p w14:paraId="698B780F">
            <w:pPr>
              <w:keepNext w:val="0"/>
              <w:keepLines w:val="0"/>
              <w:pageBreakBefore w:val="0"/>
              <w:widowControl w:val="0"/>
              <w:kinsoku/>
              <w:wordWrap w:val="0"/>
              <w:overflowPunct/>
              <w:topLinePunct/>
              <w:autoSpaceDE/>
              <w:autoSpaceDN/>
              <w:bidi w:val="0"/>
              <w:adjustRightInd w:val="0"/>
              <w:snapToGrid w:val="0"/>
              <w:spacing w:before="65" w:line="229" w:lineRule="auto"/>
              <w:ind w:left="3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1983" w:type="dxa"/>
            <w:gridSpan w:val="3"/>
            <w:vAlign w:val="top"/>
          </w:tcPr>
          <w:p w14:paraId="7C094409">
            <w:pPr>
              <w:keepNext w:val="0"/>
              <w:keepLines w:val="0"/>
              <w:pageBreakBefore w:val="0"/>
              <w:widowControl w:val="0"/>
              <w:kinsoku/>
              <w:wordWrap w:val="0"/>
              <w:overflowPunct/>
              <w:topLinePunct/>
              <w:autoSpaceDE/>
              <w:autoSpaceDN/>
              <w:bidi w:val="0"/>
              <w:adjustRightInd w:val="0"/>
              <w:snapToGrid w:val="0"/>
              <w:spacing w:before="214" w:line="229" w:lineRule="auto"/>
              <w:ind w:left="55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4466FB0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1701E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30008457">
            <w:pPr>
              <w:keepNext w:val="0"/>
              <w:keepLines w:val="0"/>
              <w:pageBreakBefore w:val="0"/>
              <w:widowControl w:val="0"/>
              <w:kinsoku/>
              <w:wordWrap w:val="0"/>
              <w:overflowPunct/>
              <w:topLinePunct/>
              <w:autoSpaceDE/>
              <w:autoSpaceDN/>
              <w:bidi w:val="0"/>
              <w:adjustRightInd w:val="0"/>
              <w:snapToGrid w:val="0"/>
              <w:spacing w:before="146" w:line="228" w:lineRule="auto"/>
              <w:ind w:left="23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378F5F8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vAlign w:val="top"/>
          </w:tcPr>
          <w:p w14:paraId="7E5DA4CC">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14:paraId="52088DE3">
            <w:pPr>
              <w:keepNext w:val="0"/>
              <w:keepLines w:val="0"/>
              <w:pageBreakBefore w:val="0"/>
              <w:widowControl w:val="0"/>
              <w:kinsoku/>
              <w:wordWrap w:val="0"/>
              <w:overflowPunct/>
              <w:topLinePunct/>
              <w:autoSpaceDE/>
              <w:autoSpaceDN/>
              <w:bidi w:val="0"/>
              <w:adjustRightInd w:val="0"/>
              <w:snapToGrid w:val="0"/>
              <w:spacing w:before="146" w:line="228" w:lineRule="auto"/>
              <w:ind w:left="34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731813FC">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9C12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3D928506">
            <w:pPr>
              <w:keepNext w:val="0"/>
              <w:keepLines w:val="0"/>
              <w:pageBreakBefore w:val="0"/>
              <w:widowControl w:val="0"/>
              <w:kinsoku/>
              <w:wordWrap w:val="0"/>
              <w:overflowPunct/>
              <w:topLinePunct/>
              <w:autoSpaceDE/>
              <w:autoSpaceDN/>
              <w:bidi w:val="0"/>
              <w:adjustRightInd w:val="0"/>
              <w:snapToGrid w:val="0"/>
              <w:spacing w:before="146" w:line="230" w:lineRule="auto"/>
              <w:ind w:left="3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2595EB1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vAlign w:val="top"/>
          </w:tcPr>
          <w:p w14:paraId="19D8C28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14:paraId="10153255">
            <w:pPr>
              <w:keepNext w:val="0"/>
              <w:keepLines w:val="0"/>
              <w:pageBreakBefore w:val="0"/>
              <w:widowControl w:val="0"/>
              <w:kinsoku/>
              <w:wordWrap w:val="0"/>
              <w:overflowPunct/>
              <w:topLinePunct/>
              <w:autoSpaceDE/>
              <w:autoSpaceDN/>
              <w:bidi w:val="0"/>
              <w:adjustRightInd w:val="0"/>
              <w:snapToGrid w:val="0"/>
              <w:spacing w:before="147"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5950FD9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5DAF5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3C50745D">
            <w:pPr>
              <w:keepNext w:val="0"/>
              <w:keepLines w:val="0"/>
              <w:pageBreakBefore w:val="0"/>
              <w:widowControl w:val="0"/>
              <w:kinsoku/>
              <w:wordWrap w:val="0"/>
              <w:overflowPunct/>
              <w:topLinePunct/>
              <w:autoSpaceDE/>
              <w:autoSpaceDN/>
              <w:bidi w:val="0"/>
              <w:adjustRightInd w:val="0"/>
              <w:snapToGrid w:val="0"/>
              <w:spacing w:before="62" w:line="241"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基本账户开户银行</w:t>
            </w:r>
          </w:p>
        </w:tc>
        <w:tc>
          <w:tcPr>
            <w:tcW w:w="2812" w:type="dxa"/>
            <w:gridSpan w:val="2"/>
            <w:vAlign w:val="top"/>
          </w:tcPr>
          <w:p w14:paraId="5863FD3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vAlign w:val="top"/>
          </w:tcPr>
          <w:p w14:paraId="462BC02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14:paraId="5DDF0DFA">
            <w:pPr>
              <w:keepNext w:val="0"/>
              <w:keepLines w:val="0"/>
              <w:pageBreakBefore w:val="0"/>
              <w:widowControl w:val="0"/>
              <w:kinsoku/>
              <w:wordWrap w:val="0"/>
              <w:overflowPunct/>
              <w:topLinePunct/>
              <w:autoSpaceDE/>
              <w:autoSpaceDN/>
              <w:bidi w:val="0"/>
              <w:adjustRightInd w:val="0"/>
              <w:snapToGrid w:val="0"/>
              <w:spacing w:before="191" w:line="230" w:lineRule="auto"/>
              <w:ind w:left="3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3788AAA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39F0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6C263EBF">
            <w:pPr>
              <w:keepNext w:val="0"/>
              <w:keepLines w:val="0"/>
              <w:pageBreakBefore w:val="0"/>
              <w:widowControl w:val="0"/>
              <w:kinsoku/>
              <w:wordWrap w:val="0"/>
              <w:overflowPunct/>
              <w:topLinePunct/>
              <w:autoSpaceDE/>
              <w:autoSpaceDN/>
              <w:bidi w:val="0"/>
              <w:adjustRightInd w:val="0"/>
              <w:snapToGrid w:val="0"/>
              <w:spacing w:before="62" w:line="259"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基本账户银行账号</w:t>
            </w:r>
          </w:p>
        </w:tc>
        <w:tc>
          <w:tcPr>
            <w:tcW w:w="2812" w:type="dxa"/>
            <w:gridSpan w:val="2"/>
            <w:vAlign w:val="top"/>
          </w:tcPr>
          <w:p w14:paraId="5D99BD9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tcBorders>
            <w:vAlign w:val="top"/>
          </w:tcPr>
          <w:p w14:paraId="665BF24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14:paraId="087130B2">
            <w:pPr>
              <w:keepNext w:val="0"/>
              <w:keepLines w:val="0"/>
              <w:pageBreakBefore w:val="0"/>
              <w:widowControl w:val="0"/>
              <w:kinsoku/>
              <w:wordWrap w:val="0"/>
              <w:overflowPunct/>
              <w:topLinePunct/>
              <w:autoSpaceDE/>
              <w:autoSpaceDN/>
              <w:bidi w:val="0"/>
              <w:adjustRightInd w:val="0"/>
              <w:snapToGrid w:val="0"/>
              <w:spacing w:before="211" w:line="228" w:lineRule="auto"/>
              <w:ind w:left="6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223EB24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DCCC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6FDEBAC1">
            <w:pPr>
              <w:keepNext w:val="0"/>
              <w:keepLines w:val="0"/>
              <w:pageBreakBefore w:val="0"/>
              <w:widowControl w:val="0"/>
              <w:kinsoku/>
              <w:wordWrap w:val="0"/>
              <w:overflowPunct/>
              <w:topLinePunct/>
              <w:autoSpaceDE/>
              <w:autoSpaceDN/>
              <w:bidi w:val="0"/>
              <w:adjustRightInd w:val="0"/>
              <w:snapToGrid w:val="0"/>
              <w:spacing w:before="65" w:line="229"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1D6381F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33E47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1672EDB4">
            <w:pPr>
              <w:pStyle w:val="21"/>
              <w:keepNext w:val="0"/>
              <w:keepLines w:val="0"/>
              <w:pageBreakBefore w:val="0"/>
              <w:widowControl w:val="0"/>
              <w:kinsoku/>
              <w:wordWrap w:val="0"/>
              <w:overflowPunct/>
              <w:topLinePunct/>
              <w:autoSpaceDE/>
              <w:autoSpaceDN/>
              <w:bidi w:val="0"/>
              <w:adjustRightInd w:val="0"/>
              <w:snapToGrid w:val="0"/>
              <w:spacing w:line="295" w:lineRule="auto"/>
              <w:ind w:right="84" w:rightChars="40"/>
              <w:rPr>
                <w:rFonts w:hint="eastAsia" w:ascii="宋体" w:hAnsi="宋体" w:eastAsia="宋体" w:cs="宋体"/>
                <w:color w:val="auto"/>
                <w:sz w:val="24"/>
                <w:szCs w:val="24"/>
                <w:highlight w:val="none"/>
              </w:rPr>
            </w:pPr>
          </w:p>
          <w:p w14:paraId="21298571">
            <w:pPr>
              <w:pStyle w:val="21"/>
              <w:keepNext w:val="0"/>
              <w:keepLines w:val="0"/>
              <w:pageBreakBefore w:val="0"/>
              <w:widowControl w:val="0"/>
              <w:kinsoku/>
              <w:wordWrap w:val="0"/>
              <w:overflowPunct/>
              <w:topLinePunct/>
              <w:autoSpaceDE/>
              <w:autoSpaceDN/>
              <w:bidi w:val="0"/>
              <w:adjustRightInd w:val="0"/>
              <w:snapToGrid w:val="0"/>
              <w:spacing w:line="296" w:lineRule="auto"/>
              <w:ind w:right="84" w:rightChars="40"/>
              <w:rPr>
                <w:rFonts w:hint="eastAsia" w:ascii="宋体" w:hAnsi="宋体" w:eastAsia="宋体" w:cs="宋体"/>
                <w:color w:val="auto"/>
                <w:sz w:val="24"/>
                <w:szCs w:val="24"/>
                <w:highlight w:val="none"/>
              </w:rPr>
            </w:pPr>
          </w:p>
          <w:p w14:paraId="3A8A9263">
            <w:pPr>
              <w:keepNext w:val="0"/>
              <w:keepLines w:val="0"/>
              <w:pageBreakBefore w:val="0"/>
              <w:widowControl w:val="0"/>
              <w:kinsoku/>
              <w:wordWrap w:val="0"/>
              <w:overflowPunct/>
              <w:topLinePunct/>
              <w:autoSpaceDE/>
              <w:autoSpaceDN/>
              <w:bidi w:val="0"/>
              <w:adjustRightInd w:val="0"/>
              <w:snapToGrid w:val="0"/>
              <w:spacing w:before="65" w:line="229"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1D8E6FDA">
            <w:pPr>
              <w:keepNext w:val="0"/>
              <w:keepLines w:val="0"/>
              <w:pageBreakBefore w:val="0"/>
              <w:widowControl w:val="0"/>
              <w:kinsoku/>
              <w:wordWrap w:val="0"/>
              <w:overflowPunct/>
              <w:topLinePunct/>
              <w:autoSpaceDE/>
              <w:autoSpaceDN/>
              <w:bidi w:val="0"/>
              <w:adjustRightInd w:val="0"/>
              <w:snapToGrid w:val="0"/>
              <w:spacing w:before="168" w:line="228" w:lineRule="auto"/>
              <w:ind w:left="11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376A97FF">
            <w:pPr>
              <w:keepNext w:val="0"/>
              <w:keepLines w:val="0"/>
              <w:pageBreakBefore w:val="0"/>
              <w:widowControl w:val="0"/>
              <w:kinsoku/>
              <w:wordWrap w:val="0"/>
              <w:overflowPunct/>
              <w:topLinePunct/>
              <w:autoSpaceDE/>
              <w:autoSpaceDN/>
              <w:bidi w:val="0"/>
              <w:adjustRightInd w:val="0"/>
              <w:snapToGrid w:val="0"/>
              <w:spacing w:before="81" w:line="228" w:lineRule="auto"/>
              <w:ind w:left="1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60571D9A">
            <w:pPr>
              <w:keepNext w:val="0"/>
              <w:keepLines w:val="0"/>
              <w:pageBreakBefore w:val="0"/>
              <w:widowControl w:val="0"/>
              <w:kinsoku/>
              <w:wordWrap w:val="0"/>
              <w:overflowPunct/>
              <w:topLinePunct/>
              <w:autoSpaceDE/>
              <w:autoSpaceDN/>
              <w:bidi w:val="0"/>
              <w:adjustRightInd w:val="0"/>
              <w:snapToGrid w:val="0"/>
              <w:spacing w:before="81" w:line="228" w:lineRule="auto"/>
              <w:ind w:left="10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75F0E280">
            <w:pPr>
              <w:keepNext w:val="0"/>
              <w:keepLines w:val="0"/>
              <w:pageBreakBefore w:val="0"/>
              <w:widowControl w:val="0"/>
              <w:kinsoku/>
              <w:wordWrap w:val="0"/>
              <w:overflowPunct/>
              <w:topLinePunct/>
              <w:autoSpaceDE/>
              <w:autoSpaceDN/>
              <w:bidi w:val="0"/>
              <w:adjustRightInd w:val="0"/>
              <w:snapToGrid w:val="0"/>
              <w:spacing w:before="81" w:line="228" w:lineRule="auto"/>
              <w:ind w:left="11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01465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4F6AD580">
            <w:pPr>
              <w:keepNext w:val="0"/>
              <w:keepLines w:val="0"/>
              <w:pageBreakBefore w:val="0"/>
              <w:widowControl w:val="0"/>
              <w:kinsoku/>
              <w:wordWrap w:val="0"/>
              <w:overflowPunct/>
              <w:topLinePunct/>
              <w:autoSpaceDE/>
              <w:autoSpaceDN/>
              <w:bidi w:val="0"/>
              <w:adjustRightInd w:val="0"/>
              <w:snapToGrid w:val="0"/>
              <w:spacing w:before="235" w:line="230" w:lineRule="auto"/>
              <w:ind w:left="54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50ED60D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14:paraId="55670BF2">
      <w:pPr>
        <w:keepNext w:val="0"/>
        <w:keepLines w:val="0"/>
        <w:pageBreakBefore w:val="0"/>
        <w:widowControl w:val="0"/>
        <w:kinsoku/>
        <w:wordWrap w:val="0"/>
        <w:overflowPunct/>
        <w:topLinePunct/>
        <w:autoSpaceDE/>
        <w:autoSpaceDN/>
        <w:bidi w:val="0"/>
        <w:adjustRightInd w:val="0"/>
        <w:snapToGrid w:val="0"/>
        <w:spacing w:before="140" w:line="228" w:lineRule="auto"/>
        <w:ind w:right="84" w:rightChars="40"/>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48FDA4A4">
      <w:pPr>
        <w:keepNext w:val="0"/>
        <w:keepLines w:val="0"/>
        <w:pageBreakBefore w:val="0"/>
        <w:widowControl w:val="0"/>
        <w:kinsoku/>
        <w:wordWrap w:val="0"/>
        <w:overflowPunct/>
        <w:topLinePunct/>
        <w:autoSpaceDE/>
        <w:autoSpaceDN/>
        <w:bidi w:val="0"/>
        <w:adjustRightInd w:val="0"/>
        <w:snapToGrid w:val="0"/>
        <w:spacing w:before="81" w:line="240" w:lineRule="auto"/>
        <w:ind w:right="84" w:rightChars="40"/>
        <w:textAlignment w:val="baseline"/>
        <w:outlineLvl w:val="9"/>
        <w:rPr>
          <w:rFonts w:hint="eastAsia" w:ascii="宋体" w:hAnsi="宋体" w:eastAsia="宋体" w:cs="宋体"/>
          <w:color w:val="auto"/>
          <w:spacing w:val="4"/>
          <w:sz w:val="18"/>
          <w:szCs w:val="18"/>
          <w:highlight w:val="none"/>
        </w:rPr>
      </w:pPr>
      <w:bookmarkStart w:id="216" w:name="_Toc5131"/>
      <w:bookmarkStart w:id="217" w:name="_Toc14048"/>
      <w:r>
        <w:rPr>
          <w:rFonts w:hint="eastAsia" w:ascii="宋体" w:hAnsi="宋体" w:eastAsia="宋体" w:cs="宋体"/>
          <w:color w:val="auto"/>
          <w:spacing w:val="4"/>
          <w:sz w:val="18"/>
          <w:szCs w:val="18"/>
          <w:highlight w:val="none"/>
        </w:rPr>
        <w:t>1 ．《投标人基本情况表》后应附以下资料：</w:t>
      </w:r>
      <w:bookmarkEnd w:id="216"/>
      <w:bookmarkEnd w:id="217"/>
    </w:p>
    <w:p w14:paraId="4204806C">
      <w:pPr>
        <w:keepNext w:val="0"/>
        <w:keepLines w:val="0"/>
        <w:pageBreakBefore w:val="0"/>
        <w:widowControl w:val="0"/>
        <w:kinsoku/>
        <w:wordWrap w:val="0"/>
        <w:overflowPunct/>
        <w:topLinePunct/>
        <w:autoSpaceDE/>
        <w:autoSpaceDN/>
        <w:bidi w:val="0"/>
        <w:adjustRightInd w:val="0"/>
        <w:snapToGrid w:val="0"/>
        <w:spacing w:before="153" w:line="240" w:lineRule="auto"/>
        <w:ind w:right="84" w:rightChars="40"/>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承装、修、试电力设施许可证》、安全生产许可证的（因推行电子证照，企业的营业执照、资质证书等可以提供电子证照。为实时掌握项目投标单位的是否具备企业安全生产条件，企业的安全</w:t>
      </w:r>
      <w:r>
        <w:rPr>
          <w:rFonts w:hint="eastAsia" w:ascii="宋体" w:hAnsi="宋体" w:eastAsia="宋体" w:cs="宋体"/>
          <w:color w:val="auto"/>
          <w:spacing w:val="9"/>
          <w:sz w:val="18"/>
          <w:szCs w:val="18"/>
          <w:highlight w:val="none"/>
          <w:lang w:val="en-US" w:eastAsia="zh-CN"/>
        </w:rPr>
        <w:t>生产</w:t>
      </w:r>
      <w:r>
        <w:rPr>
          <w:rFonts w:hint="eastAsia" w:ascii="宋体" w:hAnsi="宋体" w:eastAsia="宋体" w:cs="宋体"/>
          <w:color w:val="auto"/>
          <w:spacing w:val="9"/>
          <w:sz w:val="18"/>
          <w:szCs w:val="18"/>
          <w:highlight w:val="none"/>
          <w:lang w:eastAsia="zh-CN"/>
        </w:rPr>
        <w:t>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787D168D">
      <w:pPr>
        <w:keepNext w:val="0"/>
        <w:keepLines w:val="0"/>
        <w:pageBreakBefore w:val="0"/>
        <w:widowControl w:val="0"/>
        <w:kinsoku/>
        <w:wordWrap w:val="0"/>
        <w:overflowPunct/>
        <w:topLinePunct/>
        <w:autoSpaceDE/>
        <w:autoSpaceDN/>
        <w:bidi w:val="0"/>
        <w:adjustRightInd w:val="0"/>
        <w:snapToGrid w:val="0"/>
        <w:spacing w:before="153" w:line="240" w:lineRule="auto"/>
        <w:ind w:right="84" w:rightChars="40"/>
        <w:textAlignment w:val="baseline"/>
        <w:rPr>
          <w:rFonts w:hint="eastAsia" w:ascii="宋体" w:hAnsi="宋体" w:eastAsia="宋体" w:cs="宋体"/>
          <w:color w:val="auto"/>
          <w:spacing w:val="9"/>
          <w:sz w:val="18"/>
          <w:szCs w:val="18"/>
          <w:highlight w:val="none"/>
          <w:lang w:eastAsia="zh-CN"/>
        </w:rPr>
      </w:pPr>
      <w:r>
        <w:rPr>
          <w:rFonts w:hint="eastAsia" w:ascii="宋体" w:hAnsi="宋体" w:eastAsia="宋体" w:cs="宋体"/>
          <w:color w:val="auto"/>
          <w:spacing w:val="9"/>
          <w:sz w:val="18"/>
          <w:szCs w:val="18"/>
          <w:highlight w:val="none"/>
          <w:lang w:eastAsia="zh-CN"/>
        </w:rPr>
        <w:t>（2）“进粤企业和人员诚信信息登记平台 ”企业信息情况打印页。（适用于省外建筑企业）</w:t>
      </w:r>
    </w:p>
    <w:p w14:paraId="181391B5">
      <w:pPr>
        <w:keepNext w:val="0"/>
        <w:keepLines w:val="0"/>
        <w:pageBreakBefore w:val="0"/>
        <w:widowControl w:val="0"/>
        <w:kinsoku/>
        <w:wordWrap w:val="0"/>
        <w:overflowPunct/>
        <w:topLinePunct/>
        <w:autoSpaceDE/>
        <w:autoSpaceDN/>
        <w:bidi w:val="0"/>
        <w:adjustRightInd w:val="0"/>
        <w:snapToGrid w:val="0"/>
        <w:spacing w:before="153" w:line="240" w:lineRule="auto"/>
        <w:ind w:right="84" w:rightChars="40"/>
        <w:textAlignment w:val="baseline"/>
        <w:rPr>
          <w:rFonts w:hint="eastAsia" w:ascii="宋体" w:hAnsi="宋体" w:eastAsia="宋体" w:cs="宋体"/>
          <w:color w:val="auto"/>
          <w:spacing w:val="9"/>
          <w:sz w:val="18"/>
          <w:szCs w:val="18"/>
          <w:highlight w:val="none"/>
          <w:lang w:eastAsia="zh-CN"/>
        </w:rPr>
      </w:pPr>
      <w:r>
        <w:rPr>
          <w:rFonts w:hint="eastAsia" w:ascii="宋体" w:hAnsi="宋体" w:eastAsia="宋体" w:cs="宋体"/>
          <w:color w:val="auto"/>
          <w:spacing w:val="9"/>
          <w:sz w:val="18"/>
          <w:szCs w:val="18"/>
          <w:highlight w:val="none"/>
          <w:lang w:eastAsia="zh-CN"/>
        </w:rPr>
        <w:t>（3）《法人和非法人组织公共信用信息报告》（在“信用中国 ”网站企业查询界面中下载）。</w:t>
      </w:r>
    </w:p>
    <w:p w14:paraId="20164BD1">
      <w:pPr>
        <w:keepNext w:val="0"/>
        <w:keepLines w:val="0"/>
        <w:pageBreakBefore w:val="0"/>
        <w:widowControl w:val="0"/>
        <w:kinsoku/>
        <w:wordWrap w:val="0"/>
        <w:overflowPunct/>
        <w:topLinePunct/>
        <w:autoSpaceDE/>
        <w:autoSpaceDN/>
        <w:bidi w:val="0"/>
        <w:adjustRightInd w:val="0"/>
        <w:snapToGrid w:val="0"/>
        <w:spacing w:before="153" w:line="240" w:lineRule="auto"/>
        <w:ind w:right="84" w:rightChars="40"/>
        <w:textAlignment w:val="baseline"/>
        <w:rPr>
          <w:rFonts w:hint="eastAsia" w:ascii="宋体" w:hAnsi="宋体" w:eastAsia="宋体" w:cs="宋体"/>
          <w:color w:val="auto"/>
          <w:spacing w:val="9"/>
          <w:sz w:val="18"/>
          <w:szCs w:val="18"/>
          <w:highlight w:val="none"/>
          <w:lang w:eastAsia="zh-CN"/>
        </w:rPr>
      </w:pPr>
      <w:r>
        <w:rPr>
          <w:rFonts w:hint="eastAsia" w:ascii="宋体" w:hAnsi="宋体" w:eastAsia="宋体" w:cs="宋体"/>
          <w:color w:val="auto"/>
          <w:spacing w:val="9"/>
          <w:sz w:val="18"/>
          <w:szCs w:val="18"/>
          <w:highlight w:val="none"/>
          <w:lang w:eastAsia="zh-CN"/>
        </w:rPr>
        <w:t>2 ．联合体投标的，联合体成员单位均应填写《投标人基本情况表》并提供以上所需资料。</w:t>
      </w:r>
    </w:p>
    <w:p w14:paraId="480FCCFC">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18" w:name="_Toc18786"/>
      <w:r>
        <w:rPr>
          <w:rFonts w:hint="eastAsia" w:ascii="宋体" w:hAnsi="宋体" w:eastAsia="宋体" w:cs="宋体"/>
          <w:b/>
          <w:bCs/>
          <w:color w:val="auto"/>
          <w:spacing w:val="-4"/>
          <w:sz w:val="24"/>
          <w:szCs w:val="24"/>
          <w:highlight w:val="none"/>
        </w:rPr>
        <w:t>格式八 项目经理简历表</w:t>
      </w:r>
      <w:bookmarkEnd w:id="218"/>
    </w:p>
    <w:p w14:paraId="1F29FC38">
      <w:pPr>
        <w:pStyle w:val="6"/>
        <w:keepNext w:val="0"/>
        <w:keepLines w:val="0"/>
        <w:pageBreakBefore w:val="0"/>
        <w:widowControl w:val="0"/>
        <w:kinsoku/>
        <w:wordWrap w:val="0"/>
        <w:overflowPunct/>
        <w:topLinePunct/>
        <w:autoSpaceDE/>
        <w:autoSpaceDN/>
        <w:bidi w:val="0"/>
        <w:adjustRightInd w:val="0"/>
        <w:snapToGrid w:val="0"/>
        <w:spacing w:line="444" w:lineRule="auto"/>
        <w:ind w:right="84" w:rightChars="40"/>
        <w:rPr>
          <w:rFonts w:hint="eastAsia" w:ascii="宋体" w:hAnsi="宋体" w:eastAsia="宋体" w:cs="宋体"/>
          <w:color w:val="auto"/>
          <w:highlight w:val="none"/>
        </w:rPr>
      </w:pPr>
    </w:p>
    <w:p w14:paraId="13172251">
      <w:pPr>
        <w:keepNext w:val="0"/>
        <w:keepLines w:val="0"/>
        <w:pageBreakBefore w:val="0"/>
        <w:widowControl w:val="0"/>
        <w:kinsoku/>
        <w:wordWrap w:val="0"/>
        <w:overflowPunct/>
        <w:topLinePunct/>
        <w:autoSpaceDE/>
        <w:autoSpaceDN/>
        <w:bidi w:val="0"/>
        <w:adjustRightInd w:val="0"/>
        <w:snapToGrid w:val="0"/>
        <w:spacing w:before="97" w:line="219" w:lineRule="auto"/>
        <w:ind w:left="3538" w:right="84" w:rightChars="40"/>
        <w:outlineLvl w:val="9"/>
        <w:rPr>
          <w:rFonts w:hint="eastAsia" w:ascii="宋体" w:hAnsi="宋体" w:eastAsia="宋体" w:cs="宋体"/>
          <w:color w:val="auto"/>
          <w:sz w:val="30"/>
          <w:szCs w:val="30"/>
          <w:highlight w:val="none"/>
        </w:rPr>
      </w:pPr>
      <w:bookmarkStart w:id="219" w:name="bookmark89"/>
      <w:bookmarkEnd w:id="219"/>
      <w:bookmarkStart w:id="220" w:name="bookmark156"/>
      <w:bookmarkEnd w:id="220"/>
      <w:bookmarkStart w:id="221" w:name="_Toc24489"/>
      <w:bookmarkStart w:id="222" w:name="_Toc31533"/>
      <w:r>
        <w:rPr>
          <w:rFonts w:hint="eastAsia" w:ascii="宋体" w:hAnsi="宋体" w:eastAsia="宋体" w:cs="宋体"/>
          <w:b/>
          <w:bCs/>
          <w:color w:val="auto"/>
          <w:spacing w:val="-5"/>
          <w:sz w:val="30"/>
          <w:szCs w:val="30"/>
          <w:highlight w:val="none"/>
        </w:rPr>
        <w:t>项目经理简历表</w:t>
      </w:r>
      <w:bookmarkEnd w:id="221"/>
      <w:bookmarkEnd w:id="222"/>
    </w:p>
    <w:p w14:paraId="5F2C7D8F">
      <w:pPr>
        <w:keepNext w:val="0"/>
        <w:keepLines w:val="0"/>
        <w:pageBreakBefore w:val="0"/>
        <w:widowControl w:val="0"/>
        <w:kinsoku/>
        <w:wordWrap w:val="0"/>
        <w:overflowPunct/>
        <w:topLinePunct/>
        <w:autoSpaceDE/>
        <w:autoSpaceDN/>
        <w:bidi w:val="0"/>
        <w:adjustRightInd w:val="0"/>
        <w:snapToGrid w:val="0"/>
        <w:spacing w:line="240" w:lineRule="exact"/>
        <w:ind w:right="84" w:rightChars="40"/>
        <w:rPr>
          <w:rFonts w:hint="eastAsia" w:ascii="宋体" w:hAnsi="宋体" w:eastAsia="宋体" w:cs="宋体"/>
          <w:color w:val="auto"/>
          <w:highlight w:val="none"/>
        </w:rPr>
      </w:pPr>
    </w:p>
    <w:tbl>
      <w:tblPr>
        <w:tblStyle w:val="15"/>
        <w:tblW w:w="99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98"/>
        <w:gridCol w:w="526"/>
        <w:gridCol w:w="680"/>
        <w:gridCol w:w="1357"/>
        <w:gridCol w:w="2297"/>
        <w:gridCol w:w="1755"/>
        <w:gridCol w:w="1425"/>
      </w:tblGrid>
      <w:tr w14:paraId="08998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916" w:type="dxa"/>
            <w:gridSpan w:val="2"/>
            <w:vAlign w:val="top"/>
          </w:tcPr>
          <w:p w14:paraId="169C7E80">
            <w:pPr>
              <w:keepNext w:val="0"/>
              <w:keepLines w:val="0"/>
              <w:pageBreakBefore w:val="0"/>
              <w:widowControl w:val="0"/>
              <w:kinsoku/>
              <w:wordWrap w:val="0"/>
              <w:overflowPunct/>
              <w:topLinePunct/>
              <w:autoSpaceDE/>
              <w:autoSpaceDN/>
              <w:bidi w:val="0"/>
              <w:adjustRightInd w:val="0"/>
              <w:snapToGrid w:val="0"/>
              <w:spacing w:before="177" w:line="228" w:lineRule="auto"/>
              <w:ind w:left="50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06" w:type="dxa"/>
            <w:gridSpan w:val="2"/>
            <w:vAlign w:val="top"/>
          </w:tcPr>
          <w:p w14:paraId="2C8DD02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7" w:type="dxa"/>
            <w:vAlign w:val="top"/>
          </w:tcPr>
          <w:p w14:paraId="23BE29D7">
            <w:pPr>
              <w:keepNext w:val="0"/>
              <w:keepLines w:val="0"/>
              <w:pageBreakBefore w:val="0"/>
              <w:widowControl w:val="0"/>
              <w:kinsoku/>
              <w:wordWrap w:val="0"/>
              <w:overflowPunct/>
              <w:topLinePunct/>
              <w:autoSpaceDE/>
              <w:autoSpaceDN/>
              <w:bidi w:val="0"/>
              <w:adjustRightInd w:val="0"/>
              <w:snapToGrid w:val="0"/>
              <w:spacing w:before="177" w:line="229" w:lineRule="auto"/>
              <w:ind w:left="336"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297" w:type="dxa"/>
            <w:vAlign w:val="top"/>
          </w:tcPr>
          <w:p w14:paraId="5F94D5A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55D1562A">
            <w:pPr>
              <w:keepNext w:val="0"/>
              <w:keepLines w:val="0"/>
              <w:pageBreakBefore w:val="0"/>
              <w:widowControl w:val="0"/>
              <w:kinsoku/>
              <w:wordWrap w:val="0"/>
              <w:overflowPunct/>
              <w:topLinePunct/>
              <w:autoSpaceDE/>
              <w:autoSpaceDN/>
              <w:bidi w:val="0"/>
              <w:adjustRightInd w:val="0"/>
              <w:snapToGrid w:val="0"/>
              <w:spacing w:before="177" w:line="228" w:lineRule="auto"/>
              <w:ind w:left="48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425" w:type="dxa"/>
            <w:vAlign w:val="top"/>
          </w:tcPr>
          <w:p w14:paraId="275DECE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1CF4A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916" w:type="dxa"/>
            <w:gridSpan w:val="2"/>
            <w:vAlign w:val="top"/>
          </w:tcPr>
          <w:p w14:paraId="20CBBC59">
            <w:pPr>
              <w:keepNext w:val="0"/>
              <w:keepLines w:val="0"/>
              <w:pageBreakBefore w:val="0"/>
              <w:widowControl w:val="0"/>
              <w:kinsoku/>
              <w:wordWrap w:val="0"/>
              <w:overflowPunct/>
              <w:topLinePunct/>
              <w:autoSpaceDE/>
              <w:autoSpaceDN/>
              <w:bidi w:val="0"/>
              <w:adjustRightInd w:val="0"/>
              <w:snapToGrid w:val="0"/>
              <w:spacing w:before="175" w:line="228" w:lineRule="auto"/>
              <w:ind w:left="50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06" w:type="dxa"/>
            <w:gridSpan w:val="2"/>
            <w:vAlign w:val="top"/>
          </w:tcPr>
          <w:p w14:paraId="263E7DB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7" w:type="dxa"/>
            <w:vAlign w:val="top"/>
          </w:tcPr>
          <w:p w14:paraId="145C23A8">
            <w:pPr>
              <w:keepNext w:val="0"/>
              <w:keepLines w:val="0"/>
              <w:pageBreakBefore w:val="0"/>
              <w:widowControl w:val="0"/>
              <w:kinsoku/>
              <w:wordWrap w:val="0"/>
              <w:overflowPunct/>
              <w:topLinePunct/>
              <w:autoSpaceDE/>
              <w:autoSpaceDN/>
              <w:bidi w:val="0"/>
              <w:adjustRightInd w:val="0"/>
              <w:snapToGrid w:val="0"/>
              <w:spacing w:before="174" w:line="231" w:lineRule="auto"/>
              <w:ind w:left="33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297" w:type="dxa"/>
            <w:vAlign w:val="top"/>
          </w:tcPr>
          <w:p w14:paraId="24D48AB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6717ABBE">
            <w:pPr>
              <w:keepNext w:val="0"/>
              <w:keepLines w:val="0"/>
              <w:pageBreakBefore w:val="0"/>
              <w:widowControl w:val="0"/>
              <w:kinsoku/>
              <w:wordWrap w:val="0"/>
              <w:overflowPunct/>
              <w:topLinePunct/>
              <w:autoSpaceDE/>
              <w:autoSpaceDN/>
              <w:bidi w:val="0"/>
              <w:adjustRightInd w:val="0"/>
              <w:snapToGrid w:val="0"/>
              <w:spacing w:before="175" w:line="230" w:lineRule="auto"/>
              <w:ind w:left="49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425" w:type="dxa"/>
            <w:vAlign w:val="top"/>
          </w:tcPr>
          <w:p w14:paraId="69D3134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0086A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916" w:type="dxa"/>
            <w:gridSpan w:val="2"/>
            <w:vAlign w:val="top"/>
          </w:tcPr>
          <w:p w14:paraId="6896D560">
            <w:pPr>
              <w:keepNext w:val="0"/>
              <w:keepLines w:val="0"/>
              <w:pageBreakBefore w:val="0"/>
              <w:widowControl w:val="0"/>
              <w:kinsoku/>
              <w:wordWrap w:val="0"/>
              <w:overflowPunct/>
              <w:topLinePunct/>
              <w:autoSpaceDE/>
              <w:autoSpaceDN/>
              <w:bidi w:val="0"/>
              <w:adjustRightInd w:val="0"/>
              <w:snapToGrid w:val="0"/>
              <w:spacing w:before="175" w:line="229" w:lineRule="auto"/>
              <w:ind w:left="24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563" w:type="dxa"/>
            <w:gridSpan w:val="3"/>
            <w:vAlign w:val="top"/>
          </w:tcPr>
          <w:p w14:paraId="6B7D903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4052" w:type="dxa"/>
            <w:gridSpan w:val="2"/>
            <w:vAlign w:val="top"/>
          </w:tcPr>
          <w:p w14:paraId="79B252D1">
            <w:pPr>
              <w:keepNext w:val="0"/>
              <w:keepLines w:val="0"/>
              <w:pageBreakBefore w:val="0"/>
              <w:widowControl w:val="0"/>
              <w:kinsoku/>
              <w:wordWrap w:val="0"/>
              <w:overflowPunct/>
              <w:topLinePunct/>
              <w:autoSpaceDE/>
              <w:autoSpaceDN/>
              <w:bidi w:val="0"/>
              <w:adjustRightInd w:val="0"/>
              <w:snapToGrid w:val="0"/>
              <w:spacing w:before="176" w:line="228"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425" w:type="dxa"/>
            <w:vAlign w:val="top"/>
          </w:tcPr>
          <w:p w14:paraId="275488B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71343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956" w:type="dxa"/>
            <w:gridSpan w:val="8"/>
            <w:vAlign w:val="top"/>
          </w:tcPr>
          <w:p w14:paraId="2E2093F3">
            <w:pPr>
              <w:keepNext w:val="0"/>
              <w:keepLines w:val="0"/>
              <w:pageBreakBefore w:val="0"/>
              <w:widowControl w:val="0"/>
              <w:kinsoku/>
              <w:wordWrap w:val="0"/>
              <w:overflowPunct/>
              <w:topLinePunct/>
              <w:autoSpaceDE/>
              <w:autoSpaceDN/>
              <w:bidi w:val="0"/>
              <w:adjustRightInd w:val="0"/>
              <w:snapToGrid w:val="0"/>
              <w:spacing w:before="176" w:line="228" w:lineRule="auto"/>
              <w:ind w:left="235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265D3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194320A7">
            <w:pPr>
              <w:keepNext w:val="0"/>
              <w:keepLines w:val="0"/>
              <w:pageBreakBefore w:val="0"/>
              <w:widowControl w:val="0"/>
              <w:kinsoku/>
              <w:wordWrap w:val="0"/>
              <w:overflowPunct/>
              <w:topLinePunct/>
              <w:autoSpaceDE/>
              <w:autoSpaceDN/>
              <w:bidi w:val="0"/>
              <w:adjustRightInd w:val="0"/>
              <w:snapToGrid w:val="0"/>
              <w:spacing w:before="176" w:line="230" w:lineRule="auto"/>
              <w:ind w:left="18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26102B5C">
            <w:pPr>
              <w:keepNext w:val="0"/>
              <w:keepLines w:val="0"/>
              <w:pageBreakBefore w:val="0"/>
              <w:widowControl w:val="0"/>
              <w:kinsoku/>
              <w:wordWrap w:val="0"/>
              <w:overflowPunct/>
              <w:topLinePunct/>
              <w:autoSpaceDE/>
              <w:autoSpaceDN/>
              <w:bidi w:val="0"/>
              <w:adjustRightInd w:val="0"/>
              <w:snapToGrid w:val="0"/>
              <w:spacing w:before="176"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1A65D8C6">
            <w:pPr>
              <w:keepNext w:val="0"/>
              <w:keepLines w:val="0"/>
              <w:pageBreakBefore w:val="0"/>
              <w:widowControl w:val="0"/>
              <w:kinsoku/>
              <w:wordWrap w:val="0"/>
              <w:overflowPunct/>
              <w:topLinePunct/>
              <w:autoSpaceDE/>
              <w:autoSpaceDN/>
              <w:bidi w:val="0"/>
              <w:adjustRightInd w:val="0"/>
              <w:snapToGrid w:val="0"/>
              <w:spacing w:before="176" w:line="229" w:lineRule="auto"/>
              <w:ind w:left="5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297" w:type="dxa"/>
            <w:vAlign w:val="top"/>
          </w:tcPr>
          <w:p w14:paraId="688C2E42">
            <w:pPr>
              <w:keepNext w:val="0"/>
              <w:keepLines w:val="0"/>
              <w:pageBreakBefore w:val="0"/>
              <w:widowControl w:val="0"/>
              <w:kinsoku/>
              <w:wordWrap w:val="0"/>
              <w:overflowPunct/>
              <w:topLinePunct/>
              <w:autoSpaceDE/>
              <w:autoSpaceDN/>
              <w:bidi w:val="0"/>
              <w:adjustRightInd w:val="0"/>
              <w:snapToGrid w:val="0"/>
              <w:spacing w:before="176" w:line="228" w:lineRule="auto"/>
              <w:ind w:left="26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55" w:type="dxa"/>
            <w:vAlign w:val="top"/>
          </w:tcPr>
          <w:p w14:paraId="6DC1577F">
            <w:pPr>
              <w:keepNext w:val="0"/>
              <w:keepLines w:val="0"/>
              <w:pageBreakBefore w:val="0"/>
              <w:widowControl w:val="0"/>
              <w:kinsoku/>
              <w:wordWrap w:val="0"/>
              <w:overflowPunct/>
              <w:topLinePunct/>
              <w:autoSpaceDE/>
              <w:autoSpaceDN/>
              <w:bidi w:val="0"/>
              <w:adjustRightInd w:val="0"/>
              <w:snapToGrid w:val="0"/>
              <w:spacing w:before="176" w:line="228" w:lineRule="auto"/>
              <w:ind w:left="2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425" w:type="dxa"/>
            <w:vAlign w:val="top"/>
          </w:tcPr>
          <w:p w14:paraId="38F2403D">
            <w:pPr>
              <w:keepNext w:val="0"/>
              <w:keepLines w:val="0"/>
              <w:pageBreakBefore w:val="0"/>
              <w:widowControl w:val="0"/>
              <w:kinsoku/>
              <w:wordWrap w:val="0"/>
              <w:overflowPunct/>
              <w:topLinePunct/>
              <w:autoSpaceDE/>
              <w:autoSpaceDN/>
              <w:bidi w:val="0"/>
              <w:adjustRightInd w:val="0"/>
              <w:snapToGrid w:val="0"/>
              <w:spacing w:before="176" w:line="228" w:lineRule="auto"/>
              <w:ind w:left="25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59C16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6E6E3C75">
            <w:pPr>
              <w:keepNext w:val="0"/>
              <w:keepLines w:val="0"/>
              <w:pageBreakBefore w:val="0"/>
              <w:widowControl w:val="0"/>
              <w:kinsoku/>
              <w:wordWrap w:val="0"/>
              <w:overflowPunct/>
              <w:topLinePunct/>
              <w:autoSpaceDE/>
              <w:autoSpaceDN/>
              <w:bidi w:val="0"/>
              <w:adjustRightInd w:val="0"/>
              <w:snapToGrid w:val="0"/>
              <w:spacing w:before="214" w:line="195"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7423672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14:paraId="44185FD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14:paraId="0E1D139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44FB689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14:paraId="71EBE9F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FEE5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389231DF">
            <w:pPr>
              <w:keepNext w:val="0"/>
              <w:keepLines w:val="0"/>
              <w:pageBreakBefore w:val="0"/>
              <w:widowControl w:val="0"/>
              <w:kinsoku/>
              <w:wordWrap w:val="0"/>
              <w:overflowPunct/>
              <w:topLinePunct/>
              <w:autoSpaceDE/>
              <w:autoSpaceDN/>
              <w:bidi w:val="0"/>
              <w:adjustRightInd w:val="0"/>
              <w:snapToGrid w:val="0"/>
              <w:spacing w:before="213" w:line="195" w:lineRule="auto"/>
              <w:ind w:left="33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2E8B0E2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14:paraId="050C365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14:paraId="3D77DCC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38AF65F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14:paraId="3D27D6E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F8CB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3CC3E49B">
            <w:pPr>
              <w:keepNext w:val="0"/>
              <w:keepLines w:val="0"/>
              <w:pageBreakBefore w:val="0"/>
              <w:widowControl w:val="0"/>
              <w:kinsoku/>
              <w:wordWrap w:val="0"/>
              <w:overflowPunct/>
              <w:topLinePunct/>
              <w:autoSpaceDE/>
              <w:autoSpaceDN/>
              <w:bidi w:val="0"/>
              <w:adjustRightInd w:val="0"/>
              <w:snapToGrid w:val="0"/>
              <w:spacing w:before="213" w:line="195" w:lineRule="auto"/>
              <w:ind w:left="34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252C15D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14:paraId="6DF6FD8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14:paraId="498CA2C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6A8C3B7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14:paraId="2CC0F4B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47D9E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2E38557">
            <w:pPr>
              <w:keepNext w:val="0"/>
              <w:keepLines w:val="0"/>
              <w:pageBreakBefore w:val="0"/>
              <w:widowControl w:val="0"/>
              <w:kinsoku/>
              <w:wordWrap w:val="0"/>
              <w:overflowPunct/>
              <w:topLinePunct/>
              <w:autoSpaceDE/>
              <w:autoSpaceDN/>
              <w:bidi w:val="0"/>
              <w:adjustRightInd w:val="0"/>
              <w:snapToGrid w:val="0"/>
              <w:spacing w:before="177" w:line="325" w:lineRule="exact"/>
              <w:ind w:left="19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0E44145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14:paraId="05E9ED7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14:paraId="50388D6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1304667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14:paraId="1105AA7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14:paraId="3D281E9D">
      <w:pPr>
        <w:pStyle w:val="6"/>
        <w:keepNext w:val="0"/>
        <w:keepLines w:val="0"/>
        <w:pageBreakBefore w:val="0"/>
        <w:widowControl w:val="0"/>
        <w:kinsoku/>
        <w:wordWrap w:val="0"/>
        <w:overflowPunct/>
        <w:topLinePunct/>
        <w:autoSpaceDE/>
        <w:autoSpaceDN/>
        <w:bidi w:val="0"/>
        <w:adjustRightInd w:val="0"/>
        <w:snapToGrid w:val="0"/>
        <w:spacing w:line="315" w:lineRule="auto"/>
        <w:ind w:right="84" w:rightChars="40"/>
        <w:rPr>
          <w:rFonts w:hint="eastAsia" w:ascii="宋体" w:hAnsi="宋体" w:eastAsia="宋体" w:cs="宋体"/>
          <w:color w:val="auto"/>
          <w:highlight w:val="none"/>
        </w:rPr>
      </w:pPr>
    </w:p>
    <w:p w14:paraId="582FB0BA">
      <w:pPr>
        <w:keepNext w:val="0"/>
        <w:keepLines w:val="0"/>
        <w:pageBreakBefore w:val="0"/>
        <w:widowControl w:val="0"/>
        <w:kinsoku/>
        <w:wordWrap w:val="0"/>
        <w:overflowPunct/>
        <w:topLinePunct/>
        <w:autoSpaceDE/>
        <w:autoSpaceDN/>
        <w:bidi w:val="0"/>
        <w:adjustRightInd w:val="0"/>
        <w:snapToGrid w:val="0"/>
        <w:spacing w:before="78" w:line="220" w:lineRule="auto"/>
        <w:ind w:left="696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680B388F">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highlight w:val="none"/>
        </w:rPr>
      </w:pPr>
    </w:p>
    <w:p w14:paraId="0BD3A601">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8956AC0">
      <w:pPr>
        <w:keepNext w:val="0"/>
        <w:keepLines w:val="0"/>
        <w:pageBreakBefore w:val="0"/>
        <w:widowControl w:val="0"/>
        <w:kinsoku/>
        <w:wordWrap w:val="0"/>
        <w:overflowPunct/>
        <w:topLinePunct/>
        <w:autoSpaceDE/>
        <w:autoSpaceDN/>
        <w:bidi w:val="0"/>
        <w:adjustRightInd w:val="0"/>
        <w:snapToGrid w:val="0"/>
        <w:spacing w:before="78" w:line="220" w:lineRule="auto"/>
        <w:ind w:left="4226" w:right="84" w:rightChars="40"/>
        <w:jc w:val="center"/>
        <w:rPr>
          <w:rFonts w:hint="eastAsia" w:ascii="宋体" w:hAnsi="宋体" w:eastAsia="宋体" w:cs="宋体"/>
          <w:color w:val="auto"/>
          <w:highlight w:val="none"/>
        </w:rPr>
      </w:pPr>
    </w:p>
    <w:p w14:paraId="1EC1E49C">
      <w:pPr>
        <w:pStyle w:val="6"/>
        <w:keepNext w:val="0"/>
        <w:keepLines w:val="0"/>
        <w:pageBreakBefore w:val="0"/>
        <w:widowControl w:val="0"/>
        <w:kinsoku/>
        <w:wordWrap w:val="0"/>
        <w:overflowPunct/>
        <w:topLinePunct/>
        <w:autoSpaceDE/>
        <w:autoSpaceDN/>
        <w:bidi w:val="0"/>
        <w:adjustRightInd w:val="0"/>
        <w:snapToGrid w:val="0"/>
        <w:spacing w:line="241" w:lineRule="auto"/>
        <w:ind w:right="84" w:rightChars="40"/>
        <w:rPr>
          <w:rFonts w:hint="eastAsia" w:ascii="宋体" w:hAnsi="宋体" w:eastAsia="宋体" w:cs="宋体"/>
          <w:color w:val="auto"/>
          <w:highlight w:val="none"/>
        </w:rPr>
      </w:pPr>
    </w:p>
    <w:p w14:paraId="5177F71E">
      <w:pPr>
        <w:keepNext w:val="0"/>
        <w:keepLines w:val="0"/>
        <w:pageBreakBefore w:val="0"/>
        <w:widowControl w:val="0"/>
        <w:kinsoku/>
        <w:wordWrap w:val="0"/>
        <w:overflowPunct/>
        <w:topLinePunct/>
        <w:autoSpaceDE/>
        <w:autoSpaceDN/>
        <w:bidi w:val="0"/>
        <w:adjustRightInd w:val="0"/>
        <w:snapToGrid w:val="0"/>
        <w:spacing w:before="65" w:line="228" w:lineRule="auto"/>
        <w:ind w:left="47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7156B056">
      <w:pPr>
        <w:keepNext w:val="0"/>
        <w:keepLines w:val="0"/>
        <w:pageBreakBefore w:val="0"/>
        <w:widowControl w:val="0"/>
        <w:kinsoku/>
        <w:wordWrap w:val="0"/>
        <w:overflowPunct/>
        <w:topLinePunct/>
        <w:autoSpaceDE/>
        <w:autoSpaceDN/>
        <w:bidi w:val="0"/>
        <w:adjustRightInd w:val="0"/>
        <w:snapToGrid w:val="0"/>
        <w:spacing w:before="152" w:line="228" w:lineRule="auto"/>
        <w:ind w:left="484" w:right="84" w:rightChars="40"/>
        <w:outlineLvl w:val="9"/>
        <w:rPr>
          <w:rFonts w:hint="eastAsia" w:ascii="宋体" w:hAnsi="宋体" w:eastAsia="宋体" w:cs="宋体"/>
          <w:color w:val="auto"/>
          <w:sz w:val="24"/>
          <w:szCs w:val="24"/>
          <w:highlight w:val="none"/>
        </w:rPr>
      </w:pPr>
      <w:bookmarkStart w:id="223" w:name="_Toc25271"/>
      <w:bookmarkStart w:id="224"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23"/>
      <w:bookmarkEnd w:id="224"/>
    </w:p>
    <w:p w14:paraId="47DCFA21">
      <w:pPr>
        <w:keepNext w:val="0"/>
        <w:keepLines w:val="0"/>
        <w:pageBreakBefore w:val="0"/>
        <w:widowControl w:val="0"/>
        <w:kinsoku/>
        <w:wordWrap w:val="0"/>
        <w:overflowPunct/>
        <w:topLinePunct/>
        <w:autoSpaceDE/>
        <w:autoSpaceDN/>
        <w:bidi w:val="0"/>
        <w:adjustRightInd w:val="0"/>
        <w:snapToGrid w:val="0"/>
        <w:spacing w:before="153" w:line="228" w:lineRule="auto"/>
        <w:ind w:left="4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1F92F11D">
      <w:pPr>
        <w:keepNext w:val="0"/>
        <w:keepLines w:val="0"/>
        <w:pageBreakBefore w:val="0"/>
        <w:widowControl w:val="0"/>
        <w:kinsoku/>
        <w:wordWrap w:val="0"/>
        <w:overflowPunct/>
        <w:topLinePunct/>
        <w:autoSpaceDE/>
        <w:autoSpaceDN/>
        <w:bidi w:val="0"/>
        <w:adjustRightInd w:val="0"/>
        <w:snapToGrid w:val="0"/>
        <w:spacing w:before="154" w:line="298" w:lineRule="auto"/>
        <w:ind w:left="50" w:right="84" w:rightChars="40"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eastAsia="zh-CN"/>
        </w:rPr>
        <w:t>3.</w:t>
      </w:r>
      <w:r>
        <w:rPr>
          <w:rFonts w:hint="eastAsia" w:ascii="宋体" w:hAnsi="宋体" w:eastAsia="宋体" w:cs="宋体"/>
          <w:color w:val="auto"/>
          <w:spacing w:val="8"/>
          <w:sz w:val="24"/>
          <w:szCs w:val="24"/>
          <w:highlight w:val="none"/>
        </w:rPr>
        <w:t>B类安全生产考核合格证书彩色扫描件或广东省建筑施工企业管理人员安全生产考核系统考</w:t>
      </w:r>
      <w:r>
        <w:rPr>
          <w:rFonts w:hint="eastAsia" w:ascii="宋体" w:hAnsi="宋体" w:eastAsia="宋体" w:cs="宋体"/>
          <w:color w:val="auto"/>
          <w:spacing w:val="7"/>
          <w:sz w:val="24"/>
          <w:szCs w:val="24"/>
          <w:highlight w:val="none"/>
        </w:rPr>
        <w:t>核合格信息彩色扫描件；</w:t>
      </w:r>
    </w:p>
    <w:p w14:paraId="35E61452">
      <w:pPr>
        <w:keepNext w:val="0"/>
        <w:keepLines w:val="0"/>
        <w:pageBreakBefore w:val="0"/>
        <w:widowControl w:val="0"/>
        <w:kinsoku/>
        <w:wordWrap w:val="0"/>
        <w:overflowPunct/>
        <w:topLinePunct/>
        <w:autoSpaceDE/>
        <w:autoSpaceDN/>
        <w:bidi w:val="0"/>
        <w:adjustRightInd w:val="0"/>
        <w:snapToGrid w:val="0"/>
        <w:spacing w:before="153" w:line="299" w:lineRule="auto"/>
        <w:ind w:left="49" w:right="84" w:rightChars="40"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的证明（至少连续三个月，其中必须有2025年10月）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2AAFB0D9">
      <w:pPr>
        <w:keepNext w:val="0"/>
        <w:keepLines w:val="0"/>
        <w:pageBreakBefore w:val="0"/>
        <w:widowControl w:val="0"/>
        <w:kinsoku/>
        <w:wordWrap w:val="0"/>
        <w:overflowPunct/>
        <w:topLinePunct/>
        <w:autoSpaceDE/>
        <w:autoSpaceDN/>
        <w:bidi w:val="0"/>
        <w:adjustRightInd w:val="0"/>
        <w:snapToGrid w:val="0"/>
        <w:spacing w:before="150" w:line="300" w:lineRule="auto"/>
        <w:ind w:left="49" w:right="84" w:rightChars="4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7FB47615">
      <w:pPr>
        <w:keepNext w:val="0"/>
        <w:keepLines w:val="0"/>
        <w:pageBreakBefore w:val="0"/>
        <w:widowControl w:val="0"/>
        <w:kinsoku/>
        <w:wordWrap w:val="0"/>
        <w:overflowPunct/>
        <w:topLinePunct/>
        <w:autoSpaceDE/>
        <w:autoSpaceDN/>
        <w:bidi w:val="0"/>
        <w:adjustRightInd w:val="0"/>
        <w:snapToGrid w:val="0"/>
        <w:spacing w:line="300" w:lineRule="auto"/>
        <w:ind w:right="84" w:rightChars="40"/>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698A38">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25" w:name="_Toc12898"/>
      <w:r>
        <w:rPr>
          <w:rFonts w:hint="eastAsia" w:ascii="宋体" w:hAnsi="宋体" w:eastAsia="宋体" w:cs="宋体"/>
          <w:b/>
          <w:bCs/>
          <w:color w:val="auto"/>
          <w:spacing w:val="-4"/>
          <w:sz w:val="24"/>
          <w:szCs w:val="24"/>
          <w:highlight w:val="none"/>
        </w:rPr>
        <w:t>格式九 项目经理任职声明</w:t>
      </w:r>
      <w:bookmarkEnd w:id="225"/>
    </w:p>
    <w:p w14:paraId="13C0954D">
      <w:pPr>
        <w:pStyle w:val="6"/>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14:paraId="7378010F">
      <w:pPr>
        <w:pStyle w:val="6"/>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14:paraId="26D90D56">
      <w:pPr>
        <w:keepNext w:val="0"/>
        <w:keepLines w:val="0"/>
        <w:pageBreakBefore w:val="0"/>
        <w:widowControl w:val="0"/>
        <w:kinsoku/>
        <w:wordWrap w:val="0"/>
        <w:overflowPunct/>
        <w:topLinePunct/>
        <w:autoSpaceDE/>
        <w:autoSpaceDN/>
        <w:bidi w:val="0"/>
        <w:adjustRightInd w:val="0"/>
        <w:snapToGrid w:val="0"/>
        <w:spacing w:before="98" w:line="220" w:lineRule="auto"/>
        <w:ind w:left="3338" w:right="84" w:rightChars="40"/>
        <w:rPr>
          <w:rFonts w:hint="eastAsia" w:ascii="宋体" w:hAnsi="宋体" w:eastAsia="宋体" w:cs="宋体"/>
          <w:color w:val="auto"/>
          <w:sz w:val="30"/>
          <w:szCs w:val="30"/>
          <w:highlight w:val="none"/>
        </w:rPr>
      </w:pPr>
      <w:bookmarkStart w:id="226" w:name="bookmark157"/>
      <w:bookmarkEnd w:id="226"/>
      <w:r>
        <w:rPr>
          <w:rFonts w:hint="eastAsia" w:ascii="宋体" w:hAnsi="宋体" w:eastAsia="宋体" w:cs="宋体"/>
          <w:b/>
          <w:bCs/>
          <w:color w:val="auto"/>
          <w:spacing w:val="-5"/>
          <w:sz w:val="30"/>
          <w:szCs w:val="30"/>
          <w:highlight w:val="none"/>
        </w:rPr>
        <w:t>项目经理任职声明</w:t>
      </w:r>
    </w:p>
    <w:p w14:paraId="3CC93CA6">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66C675B1">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321C1758">
      <w:pPr>
        <w:pStyle w:val="6"/>
        <w:keepNext w:val="0"/>
        <w:keepLines w:val="0"/>
        <w:pageBreakBefore w:val="0"/>
        <w:widowControl w:val="0"/>
        <w:kinsoku/>
        <w:wordWrap w:val="0"/>
        <w:overflowPunct/>
        <w:topLinePunct/>
        <w:autoSpaceDE/>
        <w:autoSpaceDN/>
        <w:bidi w:val="0"/>
        <w:adjustRightInd w:val="0"/>
        <w:snapToGrid w:val="0"/>
        <w:spacing w:line="251" w:lineRule="auto"/>
        <w:ind w:right="84" w:rightChars="40"/>
        <w:rPr>
          <w:rFonts w:hint="eastAsia" w:ascii="宋体" w:hAnsi="宋体" w:eastAsia="宋体" w:cs="宋体"/>
          <w:color w:val="auto"/>
          <w:highlight w:val="none"/>
        </w:rPr>
      </w:pPr>
    </w:p>
    <w:p w14:paraId="472334D7">
      <w:pPr>
        <w:keepNext w:val="0"/>
        <w:keepLines w:val="0"/>
        <w:pageBreakBefore w:val="0"/>
        <w:widowControl w:val="0"/>
        <w:kinsoku/>
        <w:wordWrap w:val="0"/>
        <w:overflowPunct/>
        <w:topLinePunct/>
        <w:autoSpaceDE/>
        <w:autoSpaceDN/>
        <w:bidi w:val="0"/>
        <w:adjustRightInd w:val="0"/>
        <w:snapToGrid w:val="0"/>
        <w:spacing w:before="78" w:line="221"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3FADC8ED">
      <w:pPr>
        <w:keepNext w:val="0"/>
        <w:keepLines w:val="0"/>
        <w:pageBreakBefore w:val="0"/>
        <w:widowControl w:val="0"/>
        <w:kinsoku/>
        <w:wordWrap w:val="0"/>
        <w:overflowPunct/>
        <w:topLinePunct/>
        <w:autoSpaceDE/>
        <w:autoSpaceDN/>
        <w:bidi w:val="0"/>
        <w:adjustRightInd w:val="0"/>
        <w:snapToGrid w:val="0"/>
        <w:spacing w:before="155" w:line="324" w:lineRule="auto"/>
        <w:ind w:right="84" w:rightChars="40"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5A3E49A8">
      <w:pPr>
        <w:keepNext w:val="0"/>
        <w:keepLines w:val="0"/>
        <w:pageBreakBefore w:val="0"/>
        <w:widowControl w:val="0"/>
        <w:kinsoku/>
        <w:wordWrap w:val="0"/>
        <w:overflowPunct/>
        <w:topLinePunct/>
        <w:autoSpaceDE/>
        <w:autoSpaceDN/>
        <w:bidi w:val="0"/>
        <w:adjustRightInd w:val="0"/>
        <w:snapToGrid w:val="0"/>
        <w:spacing w:before="35" w:line="326" w:lineRule="auto"/>
        <w:ind w:right="84" w:rightChars="4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364F0ABB">
      <w:pPr>
        <w:pStyle w:val="6"/>
        <w:keepNext w:val="0"/>
        <w:keepLines w:val="0"/>
        <w:pageBreakBefore w:val="0"/>
        <w:widowControl w:val="0"/>
        <w:kinsoku/>
        <w:wordWrap w:val="0"/>
        <w:overflowPunct/>
        <w:topLinePunct/>
        <w:autoSpaceDE/>
        <w:autoSpaceDN/>
        <w:bidi w:val="0"/>
        <w:adjustRightInd w:val="0"/>
        <w:snapToGrid w:val="0"/>
        <w:spacing w:line="391" w:lineRule="auto"/>
        <w:ind w:right="84" w:rightChars="40"/>
        <w:rPr>
          <w:rFonts w:hint="eastAsia" w:ascii="宋体" w:hAnsi="宋体" w:eastAsia="宋体" w:cs="宋体"/>
          <w:color w:val="auto"/>
          <w:highlight w:val="none"/>
        </w:rPr>
      </w:pPr>
    </w:p>
    <w:p w14:paraId="42B3FE2B">
      <w:pPr>
        <w:keepNext w:val="0"/>
        <w:keepLines w:val="0"/>
        <w:pageBreakBefore w:val="0"/>
        <w:widowControl w:val="0"/>
        <w:kinsoku/>
        <w:wordWrap w:val="0"/>
        <w:overflowPunct/>
        <w:topLinePunct/>
        <w:autoSpaceDE/>
        <w:autoSpaceDN/>
        <w:bidi w:val="0"/>
        <w:adjustRightInd w:val="0"/>
        <w:snapToGrid w:val="0"/>
        <w:spacing w:before="78" w:line="220" w:lineRule="auto"/>
        <w:ind w:left="4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3317B315">
      <w:pPr>
        <w:pStyle w:val="6"/>
        <w:keepNext w:val="0"/>
        <w:keepLines w:val="0"/>
        <w:pageBreakBefore w:val="0"/>
        <w:widowControl w:val="0"/>
        <w:kinsoku/>
        <w:wordWrap w:val="0"/>
        <w:overflowPunct/>
        <w:topLinePunct/>
        <w:autoSpaceDE/>
        <w:autoSpaceDN/>
        <w:bidi w:val="0"/>
        <w:adjustRightInd w:val="0"/>
        <w:snapToGrid w:val="0"/>
        <w:spacing w:line="316" w:lineRule="auto"/>
        <w:ind w:right="84" w:rightChars="40"/>
        <w:rPr>
          <w:rFonts w:hint="eastAsia" w:ascii="宋体" w:hAnsi="宋体" w:eastAsia="宋体" w:cs="宋体"/>
          <w:color w:val="auto"/>
          <w:highlight w:val="none"/>
        </w:rPr>
      </w:pPr>
    </w:p>
    <w:p w14:paraId="431EA649">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14:paraId="219BDB07">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14:paraId="2A3D6FF7">
      <w:pPr>
        <w:keepNext w:val="0"/>
        <w:keepLines w:val="0"/>
        <w:pageBreakBefore w:val="0"/>
        <w:widowControl w:val="0"/>
        <w:kinsoku/>
        <w:wordWrap w:val="0"/>
        <w:overflowPunct/>
        <w:topLinePunct/>
        <w:autoSpaceDE/>
        <w:autoSpaceDN/>
        <w:bidi w:val="0"/>
        <w:adjustRightInd w:val="0"/>
        <w:snapToGrid w:val="0"/>
        <w:spacing w:before="79"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25508BD0">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14:paraId="67D5DA51">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14:paraId="3E20AAE2">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14:paraId="1910CA70">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0A76B6DD">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2BD42591">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2DF9C577">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55AFB66E">
      <w:pPr>
        <w:keepNext w:val="0"/>
        <w:keepLines w:val="0"/>
        <w:pageBreakBefore w:val="0"/>
        <w:widowControl w:val="0"/>
        <w:kinsoku/>
        <w:wordWrap w:val="0"/>
        <w:overflowPunct/>
        <w:topLinePunct/>
        <w:autoSpaceDE/>
        <w:autoSpaceDN/>
        <w:bidi w:val="0"/>
        <w:adjustRightInd w:val="0"/>
        <w:snapToGrid w:val="0"/>
        <w:spacing w:line="220" w:lineRule="auto"/>
        <w:ind w:right="84" w:rightChars="40"/>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8F5D732">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27" w:name="_Toc6986"/>
      <w:r>
        <w:rPr>
          <w:rFonts w:hint="eastAsia" w:ascii="宋体" w:hAnsi="宋体" w:eastAsia="宋体" w:cs="宋体"/>
          <w:b/>
          <w:bCs/>
          <w:color w:val="auto"/>
          <w:spacing w:val="-4"/>
          <w:sz w:val="24"/>
          <w:szCs w:val="24"/>
          <w:highlight w:val="none"/>
        </w:rPr>
        <w:t>格式十 项目技术负责人简历表</w:t>
      </w:r>
      <w:bookmarkEnd w:id="227"/>
    </w:p>
    <w:p w14:paraId="050271EC">
      <w:pPr>
        <w:pStyle w:val="6"/>
        <w:keepNext w:val="0"/>
        <w:keepLines w:val="0"/>
        <w:pageBreakBefore w:val="0"/>
        <w:widowControl w:val="0"/>
        <w:kinsoku/>
        <w:wordWrap w:val="0"/>
        <w:overflowPunct/>
        <w:topLinePunct/>
        <w:autoSpaceDE/>
        <w:autoSpaceDN/>
        <w:bidi w:val="0"/>
        <w:adjustRightInd w:val="0"/>
        <w:snapToGrid w:val="0"/>
        <w:spacing w:line="444" w:lineRule="auto"/>
        <w:ind w:right="84" w:rightChars="40"/>
        <w:rPr>
          <w:rFonts w:hint="eastAsia" w:ascii="宋体" w:hAnsi="宋体" w:eastAsia="宋体" w:cs="宋体"/>
          <w:color w:val="auto"/>
          <w:highlight w:val="none"/>
        </w:rPr>
      </w:pPr>
    </w:p>
    <w:p w14:paraId="1234BD80">
      <w:pPr>
        <w:keepNext w:val="0"/>
        <w:keepLines w:val="0"/>
        <w:pageBreakBefore w:val="0"/>
        <w:widowControl w:val="0"/>
        <w:kinsoku/>
        <w:wordWrap w:val="0"/>
        <w:overflowPunct/>
        <w:topLinePunct/>
        <w:autoSpaceDE/>
        <w:autoSpaceDN/>
        <w:bidi w:val="0"/>
        <w:adjustRightInd w:val="0"/>
        <w:snapToGrid w:val="0"/>
        <w:spacing w:before="97" w:line="219" w:lineRule="auto"/>
        <w:ind w:left="3087" w:right="84" w:rightChars="40"/>
        <w:outlineLvl w:val="9"/>
        <w:rPr>
          <w:rFonts w:hint="eastAsia" w:ascii="宋体" w:hAnsi="宋体" w:eastAsia="宋体" w:cs="宋体"/>
          <w:color w:val="auto"/>
          <w:sz w:val="30"/>
          <w:szCs w:val="30"/>
          <w:highlight w:val="none"/>
        </w:rPr>
      </w:pPr>
      <w:bookmarkStart w:id="228" w:name="_Toc1553"/>
      <w:bookmarkStart w:id="229" w:name="_Toc25712"/>
      <w:r>
        <w:rPr>
          <w:rFonts w:hint="eastAsia" w:ascii="宋体" w:hAnsi="宋体" w:eastAsia="宋体" w:cs="宋体"/>
          <w:b/>
          <w:bCs/>
          <w:color w:val="auto"/>
          <w:spacing w:val="-4"/>
          <w:sz w:val="30"/>
          <w:szCs w:val="30"/>
          <w:highlight w:val="none"/>
        </w:rPr>
        <w:t>项目技术负责人简历表</w:t>
      </w:r>
      <w:bookmarkEnd w:id="228"/>
      <w:bookmarkEnd w:id="229"/>
    </w:p>
    <w:p w14:paraId="2E07CC3E">
      <w:pPr>
        <w:keepNext w:val="0"/>
        <w:keepLines w:val="0"/>
        <w:pageBreakBefore w:val="0"/>
        <w:widowControl w:val="0"/>
        <w:kinsoku/>
        <w:wordWrap w:val="0"/>
        <w:overflowPunct/>
        <w:topLinePunct/>
        <w:autoSpaceDE/>
        <w:autoSpaceDN/>
        <w:bidi w:val="0"/>
        <w:adjustRightInd w:val="0"/>
        <w:snapToGrid w:val="0"/>
        <w:spacing w:line="240" w:lineRule="exact"/>
        <w:ind w:right="84" w:rightChars="40"/>
        <w:rPr>
          <w:rFonts w:hint="eastAsia" w:ascii="宋体" w:hAnsi="宋体" w:eastAsia="宋体" w:cs="宋体"/>
          <w:color w:val="auto"/>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154"/>
        <w:gridCol w:w="456"/>
        <w:gridCol w:w="675"/>
        <w:gridCol w:w="1346"/>
        <w:gridCol w:w="2047"/>
        <w:gridCol w:w="1783"/>
        <w:gridCol w:w="1386"/>
      </w:tblGrid>
      <w:tr w14:paraId="534E3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964" w:type="dxa"/>
            <w:gridSpan w:val="2"/>
            <w:vAlign w:val="top"/>
          </w:tcPr>
          <w:p w14:paraId="4D37881B">
            <w:pPr>
              <w:keepNext w:val="0"/>
              <w:keepLines w:val="0"/>
              <w:pageBreakBefore w:val="0"/>
              <w:widowControl w:val="0"/>
              <w:kinsoku/>
              <w:wordWrap w:val="0"/>
              <w:overflowPunct/>
              <w:topLinePunct/>
              <w:autoSpaceDE/>
              <w:autoSpaceDN/>
              <w:bidi w:val="0"/>
              <w:adjustRightInd w:val="0"/>
              <w:snapToGrid w:val="0"/>
              <w:spacing w:before="177" w:line="228" w:lineRule="auto"/>
              <w:ind w:left="50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131" w:type="dxa"/>
            <w:gridSpan w:val="2"/>
            <w:vAlign w:val="top"/>
          </w:tcPr>
          <w:p w14:paraId="14954DE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46" w:type="dxa"/>
            <w:vAlign w:val="top"/>
          </w:tcPr>
          <w:p w14:paraId="78CBDCE4">
            <w:pPr>
              <w:keepNext w:val="0"/>
              <w:keepLines w:val="0"/>
              <w:pageBreakBefore w:val="0"/>
              <w:widowControl w:val="0"/>
              <w:kinsoku/>
              <w:wordWrap w:val="0"/>
              <w:overflowPunct/>
              <w:topLinePunct/>
              <w:autoSpaceDE/>
              <w:autoSpaceDN/>
              <w:bidi w:val="0"/>
              <w:adjustRightInd w:val="0"/>
              <w:snapToGrid w:val="0"/>
              <w:spacing w:before="177" w:line="229" w:lineRule="auto"/>
              <w:ind w:left="336"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3EBB7F5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2C077D2F">
            <w:pPr>
              <w:keepNext w:val="0"/>
              <w:keepLines w:val="0"/>
              <w:pageBreakBefore w:val="0"/>
              <w:widowControl w:val="0"/>
              <w:kinsoku/>
              <w:wordWrap w:val="0"/>
              <w:overflowPunct/>
              <w:topLinePunct/>
              <w:autoSpaceDE/>
              <w:autoSpaceDN/>
              <w:bidi w:val="0"/>
              <w:adjustRightInd w:val="0"/>
              <w:snapToGrid w:val="0"/>
              <w:spacing w:before="177" w:line="228" w:lineRule="auto"/>
              <w:ind w:left="48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7A81E15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5D9E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964" w:type="dxa"/>
            <w:gridSpan w:val="2"/>
            <w:vAlign w:val="top"/>
          </w:tcPr>
          <w:p w14:paraId="712FEE99">
            <w:pPr>
              <w:keepNext w:val="0"/>
              <w:keepLines w:val="0"/>
              <w:pageBreakBefore w:val="0"/>
              <w:widowControl w:val="0"/>
              <w:kinsoku/>
              <w:wordWrap w:val="0"/>
              <w:overflowPunct/>
              <w:topLinePunct/>
              <w:autoSpaceDE/>
              <w:autoSpaceDN/>
              <w:bidi w:val="0"/>
              <w:adjustRightInd w:val="0"/>
              <w:snapToGrid w:val="0"/>
              <w:spacing w:before="175" w:line="228" w:lineRule="auto"/>
              <w:ind w:left="50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131" w:type="dxa"/>
            <w:gridSpan w:val="2"/>
            <w:vAlign w:val="top"/>
          </w:tcPr>
          <w:p w14:paraId="6AC8EB1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46" w:type="dxa"/>
            <w:vAlign w:val="top"/>
          </w:tcPr>
          <w:p w14:paraId="480BF61C">
            <w:pPr>
              <w:keepNext w:val="0"/>
              <w:keepLines w:val="0"/>
              <w:pageBreakBefore w:val="0"/>
              <w:widowControl w:val="0"/>
              <w:kinsoku/>
              <w:wordWrap w:val="0"/>
              <w:overflowPunct/>
              <w:topLinePunct/>
              <w:autoSpaceDE/>
              <w:autoSpaceDN/>
              <w:bidi w:val="0"/>
              <w:adjustRightInd w:val="0"/>
              <w:snapToGrid w:val="0"/>
              <w:spacing w:before="174" w:line="231" w:lineRule="auto"/>
              <w:ind w:left="33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6C6B6AE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6A9B328F">
            <w:pPr>
              <w:keepNext w:val="0"/>
              <w:keepLines w:val="0"/>
              <w:pageBreakBefore w:val="0"/>
              <w:widowControl w:val="0"/>
              <w:kinsoku/>
              <w:wordWrap w:val="0"/>
              <w:overflowPunct/>
              <w:topLinePunct/>
              <w:autoSpaceDE/>
              <w:autoSpaceDN/>
              <w:bidi w:val="0"/>
              <w:adjustRightInd w:val="0"/>
              <w:snapToGrid w:val="0"/>
              <w:spacing w:before="175" w:line="230" w:lineRule="auto"/>
              <w:ind w:left="49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0D3DCFB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13DC1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964" w:type="dxa"/>
            <w:gridSpan w:val="2"/>
            <w:vAlign w:val="top"/>
          </w:tcPr>
          <w:p w14:paraId="26AAA477">
            <w:pPr>
              <w:keepNext w:val="0"/>
              <w:keepLines w:val="0"/>
              <w:pageBreakBefore w:val="0"/>
              <w:widowControl w:val="0"/>
              <w:kinsoku/>
              <w:wordWrap w:val="0"/>
              <w:overflowPunct/>
              <w:topLinePunct/>
              <w:autoSpaceDE/>
              <w:autoSpaceDN/>
              <w:bidi w:val="0"/>
              <w:adjustRightInd w:val="0"/>
              <w:snapToGrid w:val="0"/>
              <w:spacing w:before="175" w:line="229" w:lineRule="auto"/>
              <w:ind w:left="24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477" w:type="dxa"/>
            <w:gridSpan w:val="3"/>
            <w:vAlign w:val="top"/>
          </w:tcPr>
          <w:p w14:paraId="3BA8DF1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3830" w:type="dxa"/>
            <w:gridSpan w:val="2"/>
            <w:vAlign w:val="top"/>
          </w:tcPr>
          <w:p w14:paraId="4C1CAE05">
            <w:pPr>
              <w:keepNext w:val="0"/>
              <w:keepLines w:val="0"/>
              <w:pageBreakBefore w:val="0"/>
              <w:widowControl w:val="0"/>
              <w:kinsoku/>
              <w:wordWrap w:val="0"/>
              <w:overflowPunct/>
              <w:topLinePunct/>
              <w:autoSpaceDE/>
              <w:autoSpaceDN/>
              <w:bidi w:val="0"/>
              <w:adjustRightInd w:val="0"/>
              <w:snapToGrid w:val="0"/>
              <w:spacing w:before="176" w:line="228"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15535D2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163D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2514914F">
            <w:pPr>
              <w:keepNext w:val="0"/>
              <w:keepLines w:val="0"/>
              <w:pageBreakBefore w:val="0"/>
              <w:widowControl w:val="0"/>
              <w:kinsoku/>
              <w:wordWrap w:val="0"/>
              <w:overflowPunct/>
              <w:topLinePunct/>
              <w:autoSpaceDE/>
              <w:autoSpaceDN/>
              <w:bidi w:val="0"/>
              <w:adjustRightInd w:val="0"/>
              <w:snapToGrid w:val="0"/>
              <w:spacing w:before="176" w:line="228" w:lineRule="auto"/>
              <w:ind w:left="20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678C2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08556A96">
            <w:pPr>
              <w:keepNext w:val="0"/>
              <w:keepLines w:val="0"/>
              <w:pageBreakBefore w:val="0"/>
              <w:widowControl w:val="0"/>
              <w:kinsoku/>
              <w:wordWrap w:val="0"/>
              <w:overflowPunct/>
              <w:topLinePunct/>
              <w:autoSpaceDE/>
              <w:autoSpaceDN/>
              <w:bidi w:val="0"/>
              <w:adjustRightInd w:val="0"/>
              <w:snapToGrid w:val="0"/>
              <w:spacing w:before="176" w:line="230" w:lineRule="auto"/>
              <w:ind w:left="18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5761AE8">
            <w:pPr>
              <w:keepNext w:val="0"/>
              <w:keepLines w:val="0"/>
              <w:pageBreakBefore w:val="0"/>
              <w:widowControl w:val="0"/>
              <w:kinsoku/>
              <w:wordWrap w:val="0"/>
              <w:overflowPunct/>
              <w:topLinePunct/>
              <w:autoSpaceDE/>
              <w:autoSpaceDN/>
              <w:bidi w:val="0"/>
              <w:adjustRightInd w:val="0"/>
              <w:snapToGrid w:val="0"/>
              <w:spacing w:before="176"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29499D7C">
            <w:pPr>
              <w:keepNext w:val="0"/>
              <w:keepLines w:val="0"/>
              <w:pageBreakBefore w:val="0"/>
              <w:widowControl w:val="0"/>
              <w:kinsoku/>
              <w:wordWrap w:val="0"/>
              <w:overflowPunct/>
              <w:topLinePunct/>
              <w:autoSpaceDE/>
              <w:autoSpaceDN/>
              <w:bidi w:val="0"/>
              <w:adjustRightInd w:val="0"/>
              <w:snapToGrid w:val="0"/>
              <w:spacing w:before="176" w:line="229" w:lineRule="auto"/>
              <w:ind w:left="5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4D411C7B">
            <w:pPr>
              <w:keepNext w:val="0"/>
              <w:keepLines w:val="0"/>
              <w:pageBreakBefore w:val="0"/>
              <w:widowControl w:val="0"/>
              <w:kinsoku/>
              <w:wordWrap w:val="0"/>
              <w:overflowPunct/>
              <w:topLinePunct/>
              <w:autoSpaceDE/>
              <w:autoSpaceDN/>
              <w:bidi w:val="0"/>
              <w:adjustRightInd w:val="0"/>
              <w:snapToGrid w:val="0"/>
              <w:spacing w:before="176" w:line="228"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409BE10F">
            <w:pPr>
              <w:keepNext w:val="0"/>
              <w:keepLines w:val="0"/>
              <w:pageBreakBefore w:val="0"/>
              <w:widowControl w:val="0"/>
              <w:kinsoku/>
              <w:wordWrap w:val="0"/>
              <w:overflowPunct/>
              <w:topLinePunct/>
              <w:autoSpaceDE/>
              <w:autoSpaceDN/>
              <w:bidi w:val="0"/>
              <w:adjustRightInd w:val="0"/>
              <w:snapToGrid w:val="0"/>
              <w:spacing w:before="176" w:line="228" w:lineRule="auto"/>
              <w:ind w:left="23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777DC259">
            <w:pPr>
              <w:keepNext w:val="0"/>
              <w:keepLines w:val="0"/>
              <w:pageBreakBefore w:val="0"/>
              <w:widowControl w:val="0"/>
              <w:kinsoku/>
              <w:wordWrap w:val="0"/>
              <w:overflowPunct/>
              <w:topLinePunct/>
              <w:autoSpaceDE/>
              <w:autoSpaceDN/>
              <w:bidi w:val="0"/>
              <w:adjustRightInd w:val="0"/>
              <w:snapToGrid w:val="0"/>
              <w:spacing w:before="176" w:line="228" w:lineRule="auto"/>
              <w:ind w:left="25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E97C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4ECC4D">
            <w:pPr>
              <w:keepNext w:val="0"/>
              <w:keepLines w:val="0"/>
              <w:pageBreakBefore w:val="0"/>
              <w:widowControl w:val="0"/>
              <w:kinsoku/>
              <w:wordWrap w:val="0"/>
              <w:overflowPunct/>
              <w:topLinePunct/>
              <w:autoSpaceDE/>
              <w:autoSpaceDN/>
              <w:bidi w:val="0"/>
              <w:adjustRightInd w:val="0"/>
              <w:snapToGrid w:val="0"/>
              <w:spacing w:before="214" w:line="195"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7C84C67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14:paraId="5639B13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14:paraId="4974DF9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6210ACB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14:paraId="6A9B921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8A4C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3C7A39FC">
            <w:pPr>
              <w:keepNext w:val="0"/>
              <w:keepLines w:val="0"/>
              <w:pageBreakBefore w:val="0"/>
              <w:widowControl w:val="0"/>
              <w:kinsoku/>
              <w:wordWrap w:val="0"/>
              <w:overflowPunct/>
              <w:topLinePunct/>
              <w:autoSpaceDE/>
              <w:autoSpaceDN/>
              <w:bidi w:val="0"/>
              <w:adjustRightInd w:val="0"/>
              <w:snapToGrid w:val="0"/>
              <w:spacing w:before="213" w:line="195" w:lineRule="auto"/>
              <w:ind w:left="33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2AC9BB6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14:paraId="5BB91F8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14:paraId="09B32C0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7449356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14:paraId="69CE742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7804C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714FE15E">
            <w:pPr>
              <w:keepNext w:val="0"/>
              <w:keepLines w:val="0"/>
              <w:pageBreakBefore w:val="0"/>
              <w:widowControl w:val="0"/>
              <w:kinsoku/>
              <w:wordWrap w:val="0"/>
              <w:overflowPunct/>
              <w:topLinePunct/>
              <w:autoSpaceDE/>
              <w:autoSpaceDN/>
              <w:bidi w:val="0"/>
              <w:adjustRightInd w:val="0"/>
              <w:snapToGrid w:val="0"/>
              <w:spacing w:before="178" w:line="324" w:lineRule="exact"/>
              <w:ind w:left="19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212BE2B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14:paraId="61215AE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14:paraId="3B69C12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49E0F4C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14:paraId="17A3F6E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BF8A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55CE127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10" w:type="dxa"/>
            <w:gridSpan w:val="2"/>
            <w:vAlign w:val="top"/>
          </w:tcPr>
          <w:p w14:paraId="085F1E7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14:paraId="3AEB156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14:paraId="27D1DA0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39E80E2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14:paraId="0F9A88FC">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5E797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634C9D2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10" w:type="dxa"/>
            <w:gridSpan w:val="2"/>
            <w:vAlign w:val="top"/>
          </w:tcPr>
          <w:p w14:paraId="073BFCE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14:paraId="3B849E1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14:paraId="1FF83F1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2E5F50C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14:paraId="615BBE6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14:paraId="38FAB5AE">
      <w:pPr>
        <w:pStyle w:val="6"/>
        <w:keepNext w:val="0"/>
        <w:keepLines w:val="0"/>
        <w:pageBreakBefore w:val="0"/>
        <w:widowControl w:val="0"/>
        <w:kinsoku/>
        <w:wordWrap w:val="0"/>
        <w:overflowPunct/>
        <w:topLinePunct/>
        <w:autoSpaceDE/>
        <w:autoSpaceDN/>
        <w:bidi w:val="0"/>
        <w:adjustRightInd w:val="0"/>
        <w:snapToGrid w:val="0"/>
        <w:spacing w:line="314" w:lineRule="auto"/>
        <w:ind w:right="84" w:rightChars="40"/>
        <w:rPr>
          <w:rFonts w:hint="eastAsia" w:ascii="宋体" w:hAnsi="宋体" w:eastAsia="宋体" w:cs="宋体"/>
          <w:color w:val="auto"/>
          <w:sz w:val="24"/>
          <w:szCs w:val="24"/>
          <w:highlight w:val="none"/>
        </w:rPr>
      </w:pPr>
    </w:p>
    <w:p w14:paraId="0BB7B595">
      <w:pPr>
        <w:pStyle w:val="6"/>
        <w:keepNext w:val="0"/>
        <w:keepLines w:val="0"/>
        <w:pageBreakBefore w:val="0"/>
        <w:widowControl w:val="0"/>
        <w:kinsoku/>
        <w:wordWrap w:val="0"/>
        <w:overflowPunct/>
        <w:topLinePunct/>
        <w:autoSpaceDE/>
        <w:autoSpaceDN/>
        <w:bidi w:val="0"/>
        <w:adjustRightInd w:val="0"/>
        <w:snapToGrid w:val="0"/>
        <w:spacing w:line="315" w:lineRule="auto"/>
        <w:ind w:right="84" w:rightChars="40"/>
        <w:rPr>
          <w:rFonts w:hint="eastAsia" w:ascii="宋体" w:hAnsi="宋体" w:eastAsia="宋体" w:cs="宋体"/>
          <w:color w:val="auto"/>
          <w:sz w:val="24"/>
          <w:szCs w:val="24"/>
          <w:highlight w:val="none"/>
        </w:rPr>
      </w:pPr>
    </w:p>
    <w:p w14:paraId="44D1345E">
      <w:pPr>
        <w:pStyle w:val="6"/>
        <w:keepNext w:val="0"/>
        <w:keepLines w:val="0"/>
        <w:pageBreakBefore w:val="0"/>
        <w:widowControl w:val="0"/>
        <w:kinsoku/>
        <w:wordWrap w:val="0"/>
        <w:overflowPunct/>
        <w:topLinePunct/>
        <w:autoSpaceDE/>
        <w:autoSpaceDN/>
        <w:bidi w:val="0"/>
        <w:adjustRightInd w:val="0"/>
        <w:snapToGrid w:val="0"/>
        <w:spacing w:line="315" w:lineRule="auto"/>
        <w:ind w:right="84" w:rightChars="40"/>
        <w:rPr>
          <w:rFonts w:hint="eastAsia" w:ascii="宋体" w:hAnsi="宋体" w:eastAsia="宋体" w:cs="宋体"/>
          <w:color w:val="auto"/>
          <w:sz w:val="24"/>
          <w:szCs w:val="24"/>
          <w:highlight w:val="none"/>
        </w:rPr>
      </w:pPr>
    </w:p>
    <w:p w14:paraId="34D6CDCA">
      <w:pPr>
        <w:keepNext w:val="0"/>
        <w:keepLines w:val="0"/>
        <w:pageBreakBefore w:val="0"/>
        <w:widowControl w:val="0"/>
        <w:kinsoku/>
        <w:wordWrap w:val="0"/>
        <w:overflowPunct/>
        <w:topLinePunct/>
        <w:autoSpaceDE/>
        <w:autoSpaceDN/>
        <w:bidi w:val="0"/>
        <w:adjustRightInd w:val="0"/>
        <w:snapToGrid w:val="0"/>
        <w:spacing w:before="78" w:line="220" w:lineRule="auto"/>
        <w:ind w:left="5165"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5F4790F2">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sz w:val="24"/>
          <w:szCs w:val="24"/>
          <w:highlight w:val="none"/>
        </w:rPr>
      </w:pPr>
    </w:p>
    <w:p w14:paraId="491767E3">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jc w:val="right"/>
        <w:rPr>
          <w:rFonts w:hint="eastAsia" w:ascii="宋体" w:hAnsi="宋体" w:eastAsia="宋体" w:cs="宋体"/>
          <w:color w:val="auto"/>
          <w:sz w:val="24"/>
          <w:szCs w:val="24"/>
          <w:highlight w:val="none"/>
        </w:rPr>
      </w:pPr>
    </w:p>
    <w:p w14:paraId="4DE7514B">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402A79A9">
      <w:pPr>
        <w:keepNext w:val="0"/>
        <w:keepLines w:val="0"/>
        <w:pageBreakBefore w:val="0"/>
        <w:widowControl w:val="0"/>
        <w:kinsoku/>
        <w:wordWrap w:val="0"/>
        <w:overflowPunct/>
        <w:topLinePunct/>
        <w:autoSpaceDE/>
        <w:autoSpaceDN/>
        <w:bidi w:val="0"/>
        <w:adjustRightInd w:val="0"/>
        <w:snapToGrid w:val="0"/>
        <w:spacing w:before="65" w:line="228" w:lineRule="auto"/>
        <w:ind w:left="47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47652825">
      <w:pPr>
        <w:keepNext w:val="0"/>
        <w:keepLines w:val="0"/>
        <w:pageBreakBefore w:val="0"/>
        <w:widowControl w:val="0"/>
        <w:kinsoku/>
        <w:wordWrap w:val="0"/>
        <w:overflowPunct/>
        <w:topLinePunct/>
        <w:autoSpaceDE/>
        <w:autoSpaceDN/>
        <w:bidi w:val="0"/>
        <w:adjustRightInd w:val="0"/>
        <w:snapToGrid w:val="0"/>
        <w:spacing w:before="155" w:line="228" w:lineRule="auto"/>
        <w:ind w:left="48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0C84D24A">
      <w:pPr>
        <w:keepNext w:val="0"/>
        <w:keepLines w:val="0"/>
        <w:pageBreakBefore w:val="0"/>
        <w:widowControl w:val="0"/>
        <w:kinsoku/>
        <w:wordWrap w:val="0"/>
        <w:overflowPunct/>
        <w:topLinePunct/>
        <w:autoSpaceDE/>
        <w:autoSpaceDN/>
        <w:bidi w:val="0"/>
        <w:adjustRightInd w:val="0"/>
        <w:snapToGrid w:val="0"/>
        <w:spacing w:before="151" w:line="228" w:lineRule="auto"/>
        <w:ind w:left="4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2F2BCEC4">
      <w:pPr>
        <w:keepNext w:val="0"/>
        <w:keepLines w:val="0"/>
        <w:pageBreakBefore w:val="0"/>
        <w:widowControl w:val="0"/>
        <w:kinsoku/>
        <w:wordWrap w:val="0"/>
        <w:overflowPunct/>
        <w:topLinePunct/>
        <w:autoSpaceDE/>
        <w:autoSpaceDN/>
        <w:bidi w:val="0"/>
        <w:adjustRightInd w:val="0"/>
        <w:snapToGrid w:val="0"/>
        <w:spacing w:before="153" w:line="299" w:lineRule="auto"/>
        <w:ind w:left="47" w:right="84" w:rightChars="40"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至少连续三个月，其中必须有2025年10月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F5EE6D7">
      <w:pPr>
        <w:keepNext w:val="0"/>
        <w:keepLines w:val="0"/>
        <w:pageBreakBefore w:val="0"/>
        <w:widowControl w:val="0"/>
        <w:kinsoku/>
        <w:wordWrap w:val="0"/>
        <w:overflowPunct/>
        <w:topLinePunct/>
        <w:autoSpaceDE/>
        <w:autoSpaceDN/>
        <w:bidi w:val="0"/>
        <w:adjustRightInd w:val="0"/>
        <w:snapToGrid w:val="0"/>
        <w:spacing w:before="153" w:line="228" w:lineRule="auto"/>
        <w:ind w:left="46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44E3F349">
      <w:pPr>
        <w:keepNext w:val="0"/>
        <w:keepLines w:val="0"/>
        <w:pageBreakBefore w:val="0"/>
        <w:widowControl w:val="0"/>
        <w:kinsoku/>
        <w:wordWrap w:val="0"/>
        <w:overflowPunct/>
        <w:topLinePunct/>
        <w:autoSpaceDE/>
        <w:autoSpaceDN/>
        <w:bidi w:val="0"/>
        <w:adjustRightInd w:val="0"/>
        <w:snapToGrid w:val="0"/>
        <w:spacing w:line="228" w:lineRule="auto"/>
        <w:ind w:right="84" w:rightChars="40"/>
        <w:rPr>
          <w:rFonts w:hint="eastAsia" w:ascii="宋体" w:hAnsi="宋体" w:eastAsia="宋体" w:cs="宋体"/>
          <w:color w:val="auto"/>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4EC2D5E">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30" w:name="_Toc25360"/>
      <w:r>
        <w:rPr>
          <w:rFonts w:hint="eastAsia" w:ascii="宋体" w:hAnsi="宋体" w:eastAsia="宋体" w:cs="宋体"/>
          <w:b/>
          <w:bCs/>
          <w:color w:val="auto"/>
          <w:spacing w:val="-4"/>
          <w:sz w:val="24"/>
          <w:szCs w:val="24"/>
          <w:highlight w:val="none"/>
        </w:rPr>
        <w:t>格式十一 项目管理机构组成表</w:t>
      </w:r>
      <w:bookmarkEnd w:id="230"/>
    </w:p>
    <w:p w14:paraId="30A04B4A">
      <w:pPr>
        <w:pStyle w:val="6"/>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14:paraId="6A33FD6A">
      <w:pPr>
        <w:pStyle w:val="6"/>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14:paraId="117DAD29">
      <w:pPr>
        <w:keepNext w:val="0"/>
        <w:keepLines w:val="0"/>
        <w:pageBreakBefore w:val="0"/>
        <w:widowControl w:val="0"/>
        <w:kinsoku/>
        <w:wordWrap w:val="0"/>
        <w:overflowPunct/>
        <w:topLinePunct/>
        <w:autoSpaceDE/>
        <w:autoSpaceDN/>
        <w:bidi w:val="0"/>
        <w:adjustRightInd w:val="0"/>
        <w:snapToGrid w:val="0"/>
        <w:spacing w:before="97" w:line="219" w:lineRule="auto"/>
        <w:ind w:left="3200" w:right="84" w:rightChars="40"/>
        <w:outlineLvl w:val="9"/>
        <w:rPr>
          <w:rFonts w:hint="eastAsia" w:ascii="宋体" w:hAnsi="宋体" w:eastAsia="宋体" w:cs="宋体"/>
          <w:color w:val="auto"/>
          <w:sz w:val="30"/>
          <w:szCs w:val="30"/>
          <w:highlight w:val="none"/>
        </w:rPr>
      </w:pPr>
      <w:bookmarkStart w:id="231" w:name="bookmark158"/>
      <w:bookmarkEnd w:id="231"/>
      <w:bookmarkStart w:id="232" w:name="_Toc28765"/>
      <w:bookmarkStart w:id="233" w:name="_Toc19973"/>
      <w:r>
        <w:rPr>
          <w:rFonts w:hint="eastAsia" w:ascii="宋体" w:hAnsi="宋体" w:eastAsia="宋体" w:cs="宋体"/>
          <w:b/>
          <w:bCs/>
          <w:color w:val="auto"/>
          <w:spacing w:val="-4"/>
          <w:sz w:val="30"/>
          <w:szCs w:val="30"/>
          <w:highlight w:val="none"/>
        </w:rPr>
        <w:t>项目管理机构组成表</w:t>
      </w:r>
      <w:bookmarkEnd w:id="232"/>
      <w:bookmarkEnd w:id="233"/>
    </w:p>
    <w:p w14:paraId="056AF42E">
      <w:pPr>
        <w:keepNext w:val="0"/>
        <w:keepLines w:val="0"/>
        <w:pageBreakBefore w:val="0"/>
        <w:widowControl w:val="0"/>
        <w:kinsoku/>
        <w:wordWrap w:val="0"/>
        <w:overflowPunct/>
        <w:topLinePunct/>
        <w:autoSpaceDE/>
        <w:autoSpaceDN/>
        <w:bidi w:val="0"/>
        <w:adjustRightInd w:val="0"/>
        <w:snapToGrid w:val="0"/>
        <w:spacing w:before="7"/>
        <w:ind w:right="84" w:rightChars="40"/>
        <w:rPr>
          <w:rFonts w:hint="eastAsia" w:ascii="宋体" w:hAnsi="宋体" w:eastAsia="宋体" w:cs="宋体"/>
          <w:color w:val="auto"/>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4FFDF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315B69C9">
            <w:pPr>
              <w:keepNext w:val="0"/>
              <w:keepLines w:val="0"/>
              <w:pageBreakBefore w:val="0"/>
              <w:widowControl w:val="0"/>
              <w:kinsoku/>
              <w:wordWrap w:val="0"/>
              <w:overflowPunct/>
              <w:topLinePunct/>
              <w:autoSpaceDE/>
              <w:autoSpaceDN/>
              <w:bidi w:val="0"/>
              <w:adjustRightInd w:val="0"/>
              <w:snapToGrid w:val="0"/>
              <w:spacing w:before="229" w:line="231" w:lineRule="auto"/>
              <w:ind w:left="9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49571C71">
            <w:pPr>
              <w:keepNext w:val="0"/>
              <w:keepLines w:val="0"/>
              <w:pageBreakBefore w:val="0"/>
              <w:widowControl w:val="0"/>
              <w:kinsoku/>
              <w:wordWrap w:val="0"/>
              <w:overflowPunct/>
              <w:topLinePunct/>
              <w:autoSpaceDE/>
              <w:autoSpaceDN/>
              <w:bidi w:val="0"/>
              <w:adjustRightInd w:val="0"/>
              <w:snapToGrid w:val="0"/>
              <w:spacing w:before="228" w:line="231" w:lineRule="auto"/>
              <w:ind w:left="70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86FF45E">
            <w:pPr>
              <w:keepNext w:val="0"/>
              <w:keepLines w:val="0"/>
              <w:pageBreakBefore w:val="0"/>
              <w:widowControl w:val="0"/>
              <w:kinsoku/>
              <w:wordWrap w:val="0"/>
              <w:overflowPunct/>
              <w:topLinePunct/>
              <w:autoSpaceDE/>
              <w:autoSpaceDN/>
              <w:bidi w:val="0"/>
              <w:adjustRightInd w:val="0"/>
              <w:snapToGrid w:val="0"/>
              <w:spacing w:before="228" w:line="231" w:lineRule="auto"/>
              <w:ind w:left="52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0A9524E2">
            <w:pPr>
              <w:keepNext w:val="0"/>
              <w:keepLines w:val="0"/>
              <w:pageBreakBefore w:val="0"/>
              <w:widowControl w:val="0"/>
              <w:kinsoku/>
              <w:wordWrap w:val="0"/>
              <w:overflowPunct/>
              <w:topLinePunct/>
              <w:autoSpaceDE/>
              <w:autoSpaceDN/>
              <w:bidi w:val="0"/>
              <w:adjustRightInd w:val="0"/>
              <w:snapToGrid w:val="0"/>
              <w:spacing w:before="228" w:line="230" w:lineRule="auto"/>
              <w:ind w:left="26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459A9DF0">
            <w:pPr>
              <w:keepNext w:val="0"/>
              <w:keepLines w:val="0"/>
              <w:pageBreakBefore w:val="0"/>
              <w:widowControl w:val="0"/>
              <w:kinsoku/>
              <w:wordWrap w:val="0"/>
              <w:overflowPunct/>
              <w:topLinePunct/>
              <w:autoSpaceDE/>
              <w:autoSpaceDN/>
              <w:bidi w:val="0"/>
              <w:adjustRightInd w:val="0"/>
              <w:snapToGrid w:val="0"/>
              <w:spacing w:before="229" w:line="231" w:lineRule="auto"/>
              <w:ind w:left="26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23D5A9A5">
            <w:pPr>
              <w:keepNext w:val="0"/>
              <w:keepLines w:val="0"/>
              <w:pageBreakBefore w:val="0"/>
              <w:widowControl w:val="0"/>
              <w:kinsoku/>
              <w:wordWrap w:val="0"/>
              <w:overflowPunct/>
              <w:topLinePunct/>
              <w:autoSpaceDE/>
              <w:autoSpaceDN/>
              <w:bidi w:val="0"/>
              <w:adjustRightInd w:val="0"/>
              <w:snapToGrid w:val="0"/>
              <w:spacing w:before="228" w:line="230" w:lineRule="auto"/>
              <w:ind w:left="51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7CE790AD">
            <w:pPr>
              <w:keepNext w:val="0"/>
              <w:keepLines w:val="0"/>
              <w:pageBreakBefore w:val="0"/>
              <w:widowControl w:val="0"/>
              <w:kinsoku/>
              <w:wordWrap w:val="0"/>
              <w:overflowPunct/>
              <w:topLinePunct/>
              <w:autoSpaceDE/>
              <w:autoSpaceDN/>
              <w:bidi w:val="0"/>
              <w:adjustRightInd w:val="0"/>
              <w:snapToGrid w:val="0"/>
              <w:spacing w:before="228" w:line="230" w:lineRule="auto"/>
              <w:ind w:left="68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3B897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01F8E5E0">
            <w:pPr>
              <w:keepNext w:val="0"/>
              <w:keepLines w:val="0"/>
              <w:pageBreakBefore w:val="0"/>
              <w:widowControl w:val="0"/>
              <w:kinsoku/>
              <w:wordWrap w:val="0"/>
              <w:overflowPunct/>
              <w:topLinePunct/>
              <w:autoSpaceDE/>
              <w:autoSpaceDN/>
              <w:bidi w:val="0"/>
              <w:adjustRightInd w:val="0"/>
              <w:snapToGrid w:val="0"/>
              <w:spacing w:before="185" w:line="195" w:lineRule="auto"/>
              <w:ind w:left="26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65B26142">
            <w:pPr>
              <w:keepNext w:val="0"/>
              <w:keepLines w:val="0"/>
              <w:pageBreakBefore w:val="0"/>
              <w:widowControl w:val="0"/>
              <w:kinsoku/>
              <w:wordWrap w:val="0"/>
              <w:overflowPunct/>
              <w:topLinePunct/>
              <w:autoSpaceDE/>
              <w:autoSpaceDN/>
              <w:bidi w:val="0"/>
              <w:adjustRightInd w:val="0"/>
              <w:snapToGrid w:val="0"/>
              <w:spacing w:before="150" w:line="229" w:lineRule="auto"/>
              <w:ind w:left="48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25ACA30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227B28F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5C3DF3E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1D56B6F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3B19BE4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450D4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74957FB0">
            <w:pPr>
              <w:keepNext w:val="0"/>
              <w:keepLines w:val="0"/>
              <w:pageBreakBefore w:val="0"/>
              <w:widowControl w:val="0"/>
              <w:kinsoku/>
              <w:wordWrap w:val="0"/>
              <w:overflowPunct/>
              <w:topLinePunct/>
              <w:autoSpaceDE/>
              <w:autoSpaceDN/>
              <w:bidi w:val="0"/>
              <w:adjustRightInd w:val="0"/>
              <w:snapToGrid w:val="0"/>
              <w:spacing w:before="187" w:line="195" w:lineRule="auto"/>
              <w:ind w:left="24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4786988E">
            <w:pPr>
              <w:keepNext w:val="0"/>
              <w:keepLines w:val="0"/>
              <w:pageBreakBefore w:val="0"/>
              <w:widowControl w:val="0"/>
              <w:kinsoku/>
              <w:wordWrap w:val="0"/>
              <w:overflowPunct/>
              <w:topLinePunct/>
              <w:autoSpaceDE/>
              <w:autoSpaceDN/>
              <w:bidi w:val="0"/>
              <w:adjustRightInd w:val="0"/>
              <w:snapToGrid w:val="0"/>
              <w:spacing w:before="152" w:line="228"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31CE09B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654144A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63C3F9D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2430A33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1901446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33957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3B75A9D">
            <w:pPr>
              <w:keepNext w:val="0"/>
              <w:keepLines w:val="0"/>
              <w:pageBreakBefore w:val="0"/>
              <w:widowControl w:val="0"/>
              <w:kinsoku/>
              <w:wordWrap w:val="0"/>
              <w:overflowPunct/>
              <w:topLinePunct/>
              <w:autoSpaceDE/>
              <w:autoSpaceDN/>
              <w:bidi w:val="0"/>
              <w:adjustRightInd w:val="0"/>
              <w:snapToGrid w:val="0"/>
              <w:spacing w:before="189" w:line="195" w:lineRule="auto"/>
              <w:ind w:left="247" w:right="84" w:rightChars="4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36D13AB">
            <w:pPr>
              <w:keepNext w:val="0"/>
              <w:keepLines w:val="0"/>
              <w:pageBreakBefore w:val="0"/>
              <w:widowControl w:val="0"/>
              <w:kinsoku/>
              <w:wordWrap w:val="0"/>
              <w:overflowPunct/>
              <w:topLinePunct/>
              <w:autoSpaceDE/>
              <w:autoSpaceDN/>
              <w:bidi w:val="0"/>
              <w:adjustRightInd w:val="0"/>
              <w:snapToGrid w:val="0"/>
              <w:spacing w:before="153" w:line="229" w:lineRule="auto"/>
              <w:ind w:left="378" w:right="84" w:rightChars="4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7"/>
                <w:sz w:val="24"/>
                <w:szCs w:val="24"/>
                <w:highlight w:val="none"/>
              </w:rPr>
              <w:t>专职安全员</w:t>
            </w:r>
          </w:p>
        </w:tc>
        <w:tc>
          <w:tcPr>
            <w:tcW w:w="1567" w:type="dxa"/>
            <w:vAlign w:val="top"/>
          </w:tcPr>
          <w:p w14:paraId="690524B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70F4A9B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64894EA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0C993F2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41735C0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F25E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6F9AF3CC">
            <w:pPr>
              <w:keepNext w:val="0"/>
              <w:keepLines w:val="0"/>
              <w:pageBreakBefore w:val="0"/>
              <w:widowControl w:val="0"/>
              <w:kinsoku/>
              <w:wordWrap w:val="0"/>
              <w:overflowPunct/>
              <w:topLinePunct/>
              <w:autoSpaceDE/>
              <w:autoSpaceDN/>
              <w:bidi w:val="0"/>
              <w:adjustRightInd w:val="0"/>
              <w:snapToGrid w:val="0"/>
              <w:spacing w:before="189" w:line="195" w:lineRule="auto"/>
              <w:ind w:left="247" w:right="84" w:rightChars="4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939" w:type="dxa"/>
            <w:shd w:val="clear" w:color="auto" w:fill="auto"/>
            <w:vAlign w:val="top"/>
          </w:tcPr>
          <w:p w14:paraId="0C7A93F1">
            <w:pPr>
              <w:keepNext w:val="0"/>
              <w:keepLines w:val="0"/>
              <w:pageBreakBefore w:val="0"/>
              <w:widowControl w:val="0"/>
              <w:kinsoku/>
              <w:wordWrap w:val="0"/>
              <w:overflowPunct/>
              <w:topLinePunct/>
              <w:autoSpaceDE/>
              <w:autoSpaceDN/>
              <w:bidi w:val="0"/>
              <w:adjustRightInd w:val="0"/>
              <w:snapToGrid w:val="0"/>
              <w:spacing w:before="152" w:line="230" w:lineRule="auto"/>
              <w:ind w:left="588" w:leftChars="0" w:right="84" w:rightChars="40"/>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pacing w:val="7"/>
                <w:sz w:val="24"/>
                <w:szCs w:val="24"/>
                <w:highlight w:val="none"/>
              </w:rPr>
              <w:t>施工员</w:t>
            </w:r>
          </w:p>
        </w:tc>
        <w:tc>
          <w:tcPr>
            <w:tcW w:w="1567" w:type="dxa"/>
            <w:vAlign w:val="top"/>
          </w:tcPr>
          <w:p w14:paraId="6C5FF39C">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20CD861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2AE2A0C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4BD404C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27D9F8E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73377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C6237A8">
            <w:pPr>
              <w:keepNext w:val="0"/>
              <w:keepLines w:val="0"/>
              <w:pageBreakBefore w:val="0"/>
              <w:widowControl w:val="0"/>
              <w:kinsoku/>
              <w:wordWrap w:val="0"/>
              <w:overflowPunct/>
              <w:topLinePunct/>
              <w:autoSpaceDE/>
              <w:autoSpaceDN/>
              <w:bidi w:val="0"/>
              <w:adjustRightInd w:val="0"/>
              <w:snapToGrid w:val="0"/>
              <w:spacing w:before="188" w:line="195" w:lineRule="auto"/>
              <w:ind w:left="242"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val="en-US" w:eastAsia="zh-CN"/>
              </w:rPr>
              <w:t>5</w:t>
            </w:r>
          </w:p>
        </w:tc>
        <w:tc>
          <w:tcPr>
            <w:tcW w:w="1939" w:type="dxa"/>
            <w:shd w:val="clear" w:color="auto" w:fill="auto"/>
            <w:vAlign w:val="top"/>
          </w:tcPr>
          <w:p w14:paraId="086F8800">
            <w:pPr>
              <w:keepNext w:val="0"/>
              <w:keepLines w:val="0"/>
              <w:pageBreakBefore w:val="0"/>
              <w:widowControl w:val="0"/>
              <w:kinsoku/>
              <w:wordWrap w:val="0"/>
              <w:overflowPunct/>
              <w:topLinePunct/>
              <w:autoSpaceDE/>
              <w:autoSpaceDN/>
              <w:bidi w:val="0"/>
              <w:adjustRightInd w:val="0"/>
              <w:snapToGrid w:val="0"/>
              <w:spacing w:before="154" w:line="229" w:lineRule="auto"/>
              <w:ind w:left="589" w:leftChars="0" w:right="84" w:rightChars="4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color w:val="auto"/>
                <w:spacing w:val="6"/>
                <w:sz w:val="24"/>
                <w:szCs w:val="24"/>
                <w:highlight w:val="none"/>
              </w:rPr>
              <w:t>质量员</w:t>
            </w:r>
          </w:p>
        </w:tc>
        <w:tc>
          <w:tcPr>
            <w:tcW w:w="1567" w:type="dxa"/>
            <w:vAlign w:val="top"/>
          </w:tcPr>
          <w:p w14:paraId="5EB34A8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385C5C2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2083ED7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3A58FD4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02DF8C9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53935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0561AC66">
            <w:pPr>
              <w:keepNext w:val="0"/>
              <w:keepLines w:val="0"/>
              <w:pageBreakBefore w:val="0"/>
              <w:widowControl w:val="0"/>
              <w:kinsoku/>
              <w:wordWrap w:val="0"/>
              <w:overflowPunct/>
              <w:topLinePunct/>
              <w:autoSpaceDE/>
              <w:autoSpaceDN/>
              <w:bidi w:val="0"/>
              <w:adjustRightInd w:val="0"/>
              <w:snapToGrid w:val="0"/>
              <w:spacing w:before="193" w:line="192" w:lineRule="auto"/>
              <w:ind w:left="24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939" w:type="dxa"/>
            <w:shd w:val="clear" w:color="auto" w:fill="auto"/>
            <w:vAlign w:val="top"/>
          </w:tcPr>
          <w:p w14:paraId="292B2036">
            <w:pPr>
              <w:keepNext w:val="0"/>
              <w:keepLines w:val="0"/>
              <w:pageBreakBefore w:val="0"/>
              <w:widowControl w:val="0"/>
              <w:kinsoku/>
              <w:wordWrap w:val="0"/>
              <w:overflowPunct/>
              <w:topLinePunct/>
              <w:autoSpaceDE/>
              <w:autoSpaceDN/>
              <w:bidi w:val="0"/>
              <w:adjustRightInd w:val="0"/>
              <w:snapToGrid w:val="0"/>
              <w:spacing w:before="155" w:line="228" w:lineRule="auto"/>
              <w:ind w:left="589" w:leftChars="0" w:right="84" w:rightChars="4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color w:val="auto"/>
                <w:spacing w:val="6"/>
                <w:sz w:val="24"/>
                <w:szCs w:val="24"/>
                <w:highlight w:val="none"/>
              </w:rPr>
              <w:t>材料员</w:t>
            </w:r>
          </w:p>
        </w:tc>
        <w:tc>
          <w:tcPr>
            <w:tcW w:w="1567" w:type="dxa"/>
            <w:vAlign w:val="top"/>
          </w:tcPr>
          <w:p w14:paraId="589BD23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2626463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3AD0DF8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141CC9F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13877C9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29F6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5F20BC2">
            <w:pPr>
              <w:keepNext w:val="0"/>
              <w:keepLines w:val="0"/>
              <w:pageBreakBefore w:val="0"/>
              <w:widowControl w:val="0"/>
              <w:kinsoku/>
              <w:wordWrap w:val="0"/>
              <w:overflowPunct/>
              <w:topLinePunct/>
              <w:autoSpaceDE/>
              <w:autoSpaceDN/>
              <w:bidi w:val="0"/>
              <w:adjustRightInd w:val="0"/>
              <w:snapToGrid w:val="0"/>
              <w:spacing w:before="191" w:line="195" w:lineRule="auto"/>
              <w:ind w:left="247"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p>
        </w:tc>
        <w:tc>
          <w:tcPr>
            <w:tcW w:w="1939" w:type="dxa"/>
            <w:shd w:val="clear" w:color="auto" w:fill="auto"/>
            <w:vAlign w:val="top"/>
          </w:tcPr>
          <w:p w14:paraId="4099C32E">
            <w:pPr>
              <w:keepNext w:val="0"/>
              <w:keepLines w:val="0"/>
              <w:pageBreakBefore w:val="0"/>
              <w:widowControl w:val="0"/>
              <w:kinsoku/>
              <w:wordWrap w:val="0"/>
              <w:overflowPunct/>
              <w:topLinePunct/>
              <w:autoSpaceDE/>
              <w:autoSpaceDN/>
              <w:bidi w:val="0"/>
              <w:adjustRightInd w:val="0"/>
              <w:snapToGrid w:val="0"/>
              <w:spacing w:before="154" w:line="229" w:lineRule="auto"/>
              <w:ind w:left="598" w:leftChars="0" w:right="84" w:rightChars="4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color w:val="auto"/>
                <w:spacing w:val="3"/>
                <w:sz w:val="24"/>
                <w:szCs w:val="24"/>
                <w:highlight w:val="none"/>
              </w:rPr>
              <w:t>资料员</w:t>
            </w:r>
          </w:p>
        </w:tc>
        <w:tc>
          <w:tcPr>
            <w:tcW w:w="1567" w:type="dxa"/>
            <w:vAlign w:val="top"/>
          </w:tcPr>
          <w:p w14:paraId="0ED99DF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0EF9E4A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12159C1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7B7FF6B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5192C31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1584F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2E51CAA3">
            <w:pPr>
              <w:keepNext w:val="0"/>
              <w:keepLines w:val="0"/>
              <w:pageBreakBefore w:val="0"/>
              <w:widowControl w:val="0"/>
              <w:kinsoku/>
              <w:wordWrap w:val="0"/>
              <w:overflowPunct/>
              <w:topLinePunct/>
              <w:autoSpaceDE/>
              <w:autoSpaceDN/>
              <w:bidi w:val="0"/>
              <w:adjustRightInd w:val="0"/>
              <w:snapToGrid w:val="0"/>
              <w:spacing w:before="192" w:line="192" w:lineRule="auto"/>
              <w:ind w:left="24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1939" w:type="dxa"/>
            <w:vAlign w:val="top"/>
          </w:tcPr>
          <w:p w14:paraId="3B29A5F2">
            <w:pPr>
              <w:keepNext w:val="0"/>
              <w:keepLines w:val="0"/>
              <w:pageBreakBefore w:val="0"/>
              <w:widowControl w:val="0"/>
              <w:kinsoku/>
              <w:wordWrap w:val="0"/>
              <w:overflowPunct/>
              <w:topLinePunct/>
              <w:autoSpaceDE/>
              <w:autoSpaceDN/>
              <w:bidi w:val="0"/>
              <w:adjustRightInd w:val="0"/>
              <w:snapToGrid w:val="0"/>
              <w:spacing w:before="154" w:line="229" w:lineRule="auto"/>
              <w:ind w:left="598" w:right="84" w:rightChars="40"/>
              <w:rPr>
                <w:rFonts w:hint="eastAsia" w:ascii="宋体" w:hAnsi="宋体" w:eastAsia="宋体" w:cs="宋体"/>
                <w:color w:val="auto"/>
                <w:sz w:val="24"/>
                <w:szCs w:val="24"/>
                <w:highlight w:val="none"/>
              </w:rPr>
            </w:pPr>
          </w:p>
        </w:tc>
        <w:tc>
          <w:tcPr>
            <w:tcW w:w="1567" w:type="dxa"/>
            <w:vAlign w:val="top"/>
          </w:tcPr>
          <w:p w14:paraId="52D716F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438E35B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2C8B91B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67E5FDD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19C693A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1B32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24BBF230">
            <w:pPr>
              <w:keepNext w:val="0"/>
              <w:keepLines w:val="0"/>
              <w:pageBreakBefore w:val="0"/>
              <w:widowControl w:val="0"/>
              <w:kinsoku/>
              <w:wordWrap w:val="0"/>
              <w:overflowPunct/>
              <w:topLinePunct/>
              <w:autoSpaceDE/>
              <w:autoSpaceDN/>
              <w:bidi w:val="0"/>
              <w:adjustRightInd w:val="0"/>
              <w:snapToGrid w:val="0"/>
              <w:spacing w:before="154" w:line="325" w:lineRule="exact"/>
              <w:ind w:left="1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0E4E94E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67" w:type="dxa"/>
            <w:vAlign w:val="top"/>
          </w:tcPr>
          <w:p w14:paraId="4EE8E25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5AFE672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28E220C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492255C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2021F3E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14:paraId="2D0FF884">
      <w:pPr>
        <w:keepNext w:val="0"/>
        <w:keepLines w:val="0"/>
        <w:pageBreakBefore w:val="0"/>
        <w:widowControl w:val="0"/>
        <w:kinsoku/>
        <w:wordWrap w:val="0"/>
        <w:overflowPunct/>
        <w:topLinePunct/>
        <w:autoSpaceDE/>
        <w:autoSpaceDN/>
        <w:bidi w:val="0"/>
        <w:adjustRightInd w:val="0"/>
        <w:snapToGrid w:val="0"/>
        <w:spacing w:before="65" w:line="228" w:lineRule="auto"/>
        <w:ind w:left="43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01D2CD46">
      <w:pPr>
        <w:keepNext w:val="0"/>
        <w:keepLines w:val="0"/>
        <w:pageBreakBefore w:val="0"/>
        <w:widowControl w:val="0"/>
        <w:kinsoku/>
        <w:wordWrap w:val="0"/>
        <w:overflowPunct/>
        <w:topLinePunct/>
        <w:autoSpaceDE/>
        <w:autoSpaceDN/>
        <w:bidi w:val="0"/>
        <w:adjustRightInd w:val="0"/>
        <w:snapToGrid w:val="0"/>
        <w:spacing w:before="153" w:line="228" w:lineRule="auto"/>
        <w:ind w:right="84" w:rightChars="40"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25C4336A">
      <w:pPr>
        <w:keepNext w:val="0"/>
        <w:keepLines w:val="0"/>
        <w:pageBreakBefore w:val="0"/>
        <w:widowControl w:val="0"/>
        <w:kinsoku/>
        <w:wordWrap w:val="0"/>
        <w:overflowPunct/>
        <w:topLinePunct/>
        <w:autoSpaceDE/>
        <w:autoSpaceDN/>
        <w:bidi w:val="0"/>
        <w:adjustRightInd w:val="0"/>
        <w:snapToGrid w:val="0"/>
        <w:spacing w:before="154" w:line="228" w:lineRule="auto"/>
        <w:ind w:left="448" w:right="84" w:rightChars="4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2FE37AA9">
      <w:pPr>
        <w:keepNext w:val="0"/>
        <w:keepLines w:val="0"/>
        <w:pageBreakBefore w:val="0"/>
        <w:widowControl w:val="0"/>
        <w:kinsoku/>
        <w:wordWrap w:val="0"/>
        <w:overflowPunct/>
        <w:topLinePunct/>
        <w:autoSpaceDE/>
        <w:autoSpaceDN/>
        <w:bidi w:val="0"/>
        <w:adjustRightInd w:val="0"/>
        <w:snapToGrid w:val="0"/>
        <w:spacing w:before="152" w:line="228" w:lineRule="auto"/>
        <w:ind w:left="4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E3BEF55">
      <w:pPr>
        <w:keepNext w:val="0"/>
        <w:keepLines w:val="0"/>
        <w:pageBreakBefore w:val="0"/>
        <w:widowControl w:val="0"/>
        <w:kinsoku/>
        <w:wordWrap w:val="0"/>
        <w:overflowPunct/>
        <w:topLinePunct/>
        <w:autoSpaceDE/>
        <w:autoSpaceDN/>
        <w:bidi w:val="0"/>
        <w:adjustRightInd w:val="0"/>
        <w:snapToGrid w:val="0"/>
        <w:spacing w:before="153" w:line="299" w:lineRule="auto"/>
        <w:ind w:left="11" w:right="84" w:rightChars="40"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至少连续三个月，其中必须有2025年10月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0"/>
          <w:sz w:val="24"/>
          <w:szCs w:val="24"/>
          <w:highlight w:val="none"/>
        </w:rPr>
        <w:t>拟派</w:t>
      </w:r>
      <w:r>
        <w:rPr>
          <w:rFonts w:hint="eastAsia" w:ascii="宋体" w:hAnsi="宋体" w:eastAsia="宋体" w:cs="宋体"/>
          <w:color w:val="auto"/>
          <w:spacing w:val="10"/>
          <w:sz w:val="24"/>
          <w:szCs w:val="24"/>
          <w:highlight w:val="none"/>
          <w:lang w:val="en-US" w:eastAsia="zh-CN"/>
        </w:rPr>
        <w:t>人员</w:t>
      </w:r>
      <w:r>
        <w:rPr>
          <w:rFonts w:hint="eastAsia" w:ascii="宋体" w:hAnsi="宋体" w:eastAsia="宋体" w:cs="宋体"/>
          <w:color w:val="auto"/>
          <w:spacing w:val="10"/>
          <w:sz w:val="24"/>
          <w:szCs w:val="24"/>
          <w:highlight w:val="none"/>
        </w:rPr>
        <w:t>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68BBA7AC">
      <w:pPr>
        <w:keepNext w:val="0"/>
        <w:keepLines w:val="0"/>
        <w:pageBreakBefore w:val="0"/>
        <w:widowControl w:val="0"/>
        <w:kinsoku/>
        <w:wordWrap w:val="0"/>
        <w:overflowPunct/>
        <w:topLinePunct/>
        <w:autoSpaceDE/>
        <w:autoSpaceDN/>
        <w:bidi w:val="0"/>
        <w:adjustRightInd w:val="0"/>
        <w:snapToGrid w:val="0"/>
        <w:spacing w:before="152" w:line="228" w:lineRule="auto"/>
        <w:ind w:left="0" w:leftChars="0" w:right="84" w:rightChars="4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“进粤企业和人员诚信信息登记平台”个人信息情况截图。（适用于省外建筑企业）</w:t>
      </w:r>
    </w:p>
    <w:p w14:paraId="65871334">
      <w:pPr>
        <w:keepNext w:val="0"/>
        <w:keepLines w:val="0"/>
        <w:pageBreakBefore w:val="0"/>
        <w:widowControl w:val="0"/>
        <w:kinsoku/>
        <w:wordWrap w:val="0"/>
        <w:overflowPunct/>
        <w:topLinePunct/>
        <w:autoSpaceDE/>
        <w:autoSpaceDN/>
        <w:bidi w:val="0"/>
        <w:adjustRightInd w:val="0"/>
        <w:snapToGrid w:val="0"/>
        <w:spacing w:before="153" w:line="299" w:lineRule="auto"/>
        <w:ind w:left="16" w:right="84" w:rightChars="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5EFA4D90">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34" w:name="_Toc31152"/>
      <w:r>
        <w:rPr>
          <w:rFonts w:hint="eastAsia" w:ascii="宋体" w:hAnsi="宋体" w:eastAsia="宋体" w:cs="宋体"/>
          <w:b/>
          <w:bCs/>
          <w:color w:val="auto"/>
          <w:spacing w:val="-4"/>
          <w:sz w:val="24"/>
          <w:szCs w:val="24"/>
          <w:highlight w:val="none"/>
        </w:rPr>
        <w:t>格式十二 建造师查询页（有效期+建造师签字）</w:t>
      </w:r>
      <w:bookmarkEnd w:id="234"/>
    </w:p>
    <w:p w14:paraId="36AA6A5C">
      <w:pPr>
        <w:rPr>
          <w:rFonts w:hint="eastAsia" w:ascii="宋体" w:hAnsi="宋体" w:eastAsia="宋体" w:cs="宋体"/>
          <w:b/>
          <w:bCs/>
          <w:color w:val="auto"/>
          <w:spacing w:val="-4"/>
          <w:sz w:val="24"/>
          <w:szCs w:val="24"/>
          <w:highlight w:val="none"/>
        </w:rPr>
      </w:pPr>
      <w:r>
        <w:rPr>
          <w:rFonts w:ascii="Times New Roman"/>
          <w:strike/>
          <w:snapToGrid w:val="0"/>
          <w:color w:val="auto"/>
          <w:sz w:val="21"/>
          <w:highlight w:val="none"/>
        </w:rPr>
        <w:drawing>
          <wp:inline distT="0" distB="0" distL="114300" distR="114300">
            <wp:extent cx="5343525" cy="7470775"/>
            <wp:effectExtent l="0" t="0" r="9525" b="15875"/>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52"/>
                    <a:stretch>
                      <a:fillRect/>
                    </a:stretch>
                  </pic:blipFill>
                  <pic:spPr>
                    <a:xfrm>
                      <a:off x="0" y="0"/>
                      <a:ext cx="5343525" cy="7470775"/>
                    </a:xfrm>
                    <a:prstGeom prst="rect">
                      <a:avLst/>
                    </a:prstGeom>
                    <a:noFill/>
                    <a:ln>
                      <a:noFill/>
                    </a:ln>
                  </pic:spPr>
                </pic:pic>
              </a:graphicData>
            </a:graphic>
          </wp:inline>
        </w:drawing>
      </w:r>
      <w:r>
        <w:rPr>
          <w:rFonts w:hint="eastAsia" w:ascii="宋体" w:hAnsi="宋体" w:eastAsia="宋体" w:cs="宋体"/>
          <w:b/>
          <w:bCs/>
          <w:color w:val="auto"/>
          <w:spacing w:val="-4"/>
          <w:sz w:val="24"/>
          <w:szCs w:val="24"/>
          <w:highlight w:val="none"/>
        </w:rPr>
        <w:br w:type="page"/>
      </w:r>
    </w:p>
    <w:p w14:paraId="2DA5FE91">
      <w:pPr>
        <w:keepNext w:val="0"/>
        <w:keepLines w:val="0"/>
        <w:pageBreakBefore w:val="0"/>
        <w:widowControl w:val="0"/>
        <w:kinsoku/>
        <w:wordWrap w:val="0"/>
        <w:overflowPunct/>
        <w:topLinePunct/>
        <w:autoSpaceDE/>
        <w:autoSpaceDN/>
        <w:bidi w:val="0"/>
        <w:adjustRightInd w:val="0"/>
        <w:snapToGrid w:val="0"/>
        <w:spacing w:line="10744" w:lineRule="exact"/>
        <w:ind w:right="84" w:rightChars="40"/>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3"/>
                    <a:stretch>
                      <a:fillRect/>
                    </a:stretch>
                  </pic:blipFill>
                  <pic:spPr>
                    <a:xfrm>
                      <a:off x="0" y="0"/>
                      <a:ext cx="6285865" cy="6925310"/>
                    </a:xfrm>
                    <a:prstGeom prst="rect">
                      <a:avLst/>
                    </a:prstGeom>
                    <a:noFill/>
                    <a:ln>
                      <a:noFill/>
                    </a:ln>
                  </pic:spPr>
                </pic:pic>
              </a:graphicData>
            </a:graphic>
          </wp:inline>
        </w:drawing>
      </w:r>
    </w:p>
    <w:p w14:paraId="3FF2DB38">
      <w:pPr>
        <w:keepNext w:val="0"/>
        <w:keepLines w:val="0"/>
        <w:pageBreakBefore w:val="0"/>
        <w:widowControl w:val="0"/>
        <w:kinsoku/>
        <w:wordWrap w:val="0"/>
        <w:overflowPunct/>
        <w:topLinePunct/>
        <w:autoSpaceDE/>
        <w:autoSpaceDN/>
        <w:bidi w:val="0"/>
        <w:adjustRightInd w:val="0"/>
        <w:snapToGrid w:val="0"/>
        <w:spacing w:line="10744" w:lineRule="exact"/>
        <w:ind w:right="84" w:rightChars="40"/>
        <w:rPr>
          <w:rFonts w:hint="eastAsia" w:ascii="宋体" w:hAnsi="宋体" w:eastAsia="宋体" w:cs="宋体"/>
          <w:color w:val="auto"/>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592D277">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35" w:name="_Toc19364"/>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35"/>
    </w:p>
    <w:p w14:paraId="76F220B4">
      <w:pPr>
        <w:pStyle w:val="6"/>
        <w:keepNext w:val="0"/>
        <w:keepLines w:val="0"/>
        <w:pageBreakBefore w:val="0"/>
        <w:widowControl w:val="0"/>
        <w:kinsoku/>
        <w:wordWrap w:val="0"/>
        <w:overflowPunct/>
        <w:topLinePunct/>
        <w:autoSpaceDE/>
        <w:autoSpaceDN/>
        <w:bidi w:val="0"/>
        <w:adjustRightInd w:val="0"/>
        <w:snapToGrid w:val="0"/>
        <w:spacing w:line="269" w:lineRule="auto"/>
        <w:ind w:right="84" w:rightChars="40"/>
        <w:rPr>
          <w:rFonts w:hint="eastAsia" w:ascii="宋体" w:hAnsi="宋体" w:eastAsia="宋体" w:cs="宋体"/>
          <w:color w:val="auto"/>
          <w:highlight w:val="none"/>
        </w:rPr>
      </w:pPr>
    </w:p>
    <w:p w14:paraId="5D9532B4">
      <w:pPr>
        <w:keepNext w:val="0"/>
        <w:keepLines w:val="0"/>
        <w:pageBreakBefore w:val="0"/>
        <w:widowControl w:val="0"/>
        <w:tabs>
          <w:tab w:val="left" w:pos="2940"/>
        </w:tabs>
        <w:kinsoku/>
        <w:wordWrap w:val="0"/>
        <w:overflowPunct/>
        <w:topLinePunct/>
        <w:autoSpaceDE/>
        <w:autoSpaceDN/>
        <w:bidi w:val="0"/>
        <w:adjustRightInd w:val="0"/>
        <w:snapToGrid w:val="0"/>
        <w:spacing w:before="101" w:line="377" w:lineRule="auto"/>
        <w:ind w:left="3179" w:leftChars="0" w:right="84" w:rightChars="40" w:hanging="3133" w:firstLineChars="0"/>
        <w:rPr>
          <w:rFonts w:hint="eastAsia" w:ascii="宋体" w:hAnsi="宋体" w:eastAsia="宋体" w:cs="宋体"/>
          <w:color w:val="auto"/>
          <w:sz w:val="31"/>
          <w:szCs w:val="31"/>
          <w:highlight w:val="none"/>
        </w:rPr>
      </w:pPr>
      <w:bookmarkStart w:id="236" w:name="bookmark160"/>
      <w:bookmarkEnd w:id="236"/>
      <w:bookmarkStart w:id="237"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37"/>
    <w:p w14:paraId="57A192D8">
      <w:pPr>
        <w:keepNext w:val="0"/>
        <w:keepLines w:val="0"/>
        <w:pageBreakBefore w:val="0"/>
        <w:widowControl w:val="0"/>
        <w:kinsoku/>
        <w:wordWrap w:val="0"/>
        <w:overflowPunct/>
        <w:topLinePunct/>
        <w:autoSpaceDE/>
        <w:autoSpaceDN/>
        <w:bidi w:val="0"/>
        <w:adjustRightInd w:val="0"/>
        <w:snapToGrid w:val="0"/>
        <w:spacing w:before="6" w:line="326" w:lineRule="auto"/>
        <w:ind w:left="5" w:right="84" w:rightChars="40"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1.</w:t>
      </w:r>
      <w:r>
        <w:rPr>
          <w:rFonts w:hint="eastAsia" w:ascii="宋体" w:hAnsi="宋体" w:eastAsia="宋体" w:cs="宋体"/>
          <w:color w:val="auto"/>
          <w:spacing w:val="-1"/>
          <w:sz w:val="24"/>
          <w:szCs w:val="24"/>
          <w:highlight w:val="none"/>
        </w:rPr>
        <w:t>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投标人在投标时须补充完善危大工程清单并明确相应的安全管理措施。</w:t>
      </w:r>
    </w:p>
    <w:p w14:paraId="436D12E7">
      <w:pPr>
        <w:keepNext w:val="0"/>
        <w:keepLines w:val="0"/>
        <w:pageBreakBefore w:val="0"/>
        <w:widowControl w:val="0"/>
        <w:kinsoku/>
        <w:wordWrap w:val="0"/>
        <w:overflowPunct/>
        <w:topLinePunct/>
        <w:autoSpaceDE/>
        <w:autoSpaceDN/>
        <w:bidi w:val="0"/>
        <w:adjustRightInd w:val="0"/>
        <w:snapToGrid w:val="0"/>
        <w:spacing w:before="208" w:line="326" w:lineRule="auto"/>
        <w:ind w:left="1" w:right="84" w:rightChars="4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2.</w:t>
      </w:r>
      <w:r>
        <w:rPr>
          <w:rFonts w:hint="eastAsia" w:ascii="宋体" w:hAnsi="宋体" w:eastAsia="宋体" w:cs="宋体"/>
          <w:color w:val="auto"/>
          <w:spacing w:val="-2"/>
          <w:sz w:val="24"/>
          <w:szCs w:val="24"/>
          <w:highlight w:val="none"/>
        </w:rPr>
        <w:t>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5A385005">
      <w:pPr>
        <w:keepNext w:val="0"/>
        <w:keepLines w:val="0"/>
        <w:pageBreakBefore w:val="0"/>
        <w:widowControl w:val="0"/>
        <w:kinsoku/>
        <w:wordWrap w:val="0"/>
        <w:overflowPunct/>
        <w:topLinePunct/>
        <w:autoSpaceDE/>
        <w:autoSpaceDN/>
        <w:bidi w:val="0"/>
        <w:adjustRightInd w:val="0"/>
        <w:snapToGrid w:val="0"/>
        <w:spacing w:before="209" w:line="299" w:lineRule="auto"/>
        <w:ind w:left="3" w:right="84" w:rightChars="40"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w:t>
      </w:r>
      <w:r>
        <w:rPr>
          <w:rFonts w:hint="eastAsia" w:ascii="宋体" w:hAnsi="宋体" w:eastAsia="宋体" w:cs="宋体"/>
          <w:color w:val="auto"/>
          <w:spacing w:val="-4"/>
          <w:sz w:val="24"/>
          <w:szCs w:val="24"/>
          <w:highlight w:val="none"/>
          <w:lang w:eastAsia="zh-CN"/>
        </w:rPr>
        <w:t>并于</w:t>
      </w:r>
      <w:r>
        <w:rPr>
          <w:rFonts w:hint="eastAsia" w:ascii="宋体" w:hAnsi="宋体" w:eastAsia="宋体" w:cs="宋体"/>
          <w:color w:val="auto"/>
          <w:spacing w:val="-1"/>
          <w:sz w:val="24"/>
          <w:szCs w:val="24"/>
          <w:highlight w:val="none"/>
        </w:rPr>
        <w:t>投标文件中提供相应的安全管理措施。</w:t>
      </w:r>
    </w:p>
    <w:p w14:paraId="601B3659">
      <w:pPr>
        <w:keepNext w:val="0"/>
        <w:keepLines w:val="0"/>
        <w:pageBreakBefore w:val="0"/>
        <w:widowControl w:val="0"/>
        <w:kinsoku/>
        <w:wordWrap w:val="0"/>
        <w:overflowPunct/>
        <w:topLinePunct/>
        <w:autoSpaceDE/>
        <w:autoSpaceDN/>
        <w:bidi w:val="0"/>
        <w:adjustRightInd w:val="0"/>
        <w:snapToGrid w:val="0"/>
        <w:spacing w:before="208" w:line="299" w:lineRule="auto"/>
        <w:ind w:left="2"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w:t>
      </w:r>
      <w:r>
        <w:rPr>
          <w:rFonts w:hint="eastAsia" w:ascii="宋体" w:hAnsi="宋体" w:eastAsia="宋体" w:cs="宋体"/>
          <w:color w:val="auto"/>
          <w:spacing w:val="-4"/>
          <w:sz w:val="24"/>
          <w:szCs w:val="24"/>
          <w:highlight w:val="none"/>
          <w:lang w:eastAsia="zh-CN"/>
        </w:rPr>
        <w:t>并于</w:t>
      </w:r>
      <w:r>
        <w:rPr>
          <w:rFonts w:hint="eastAsia" w:ascii="宋体" w:hAnsi="宋体" w:eastAsia="宋体" w:cs="宋体"/>
          <w:color w:val="auto"/>
          <w:spacing w:val="-4"/>
          <w:sz w:val="24"/>
          <w:szCs w:val="24"/>
          <w:highlight w:val="none"/>
        </w:rPr>
        <w:t>投标</w:t>
      </w:r>
      <w:r>
        <w:rPr>
          <w:rFonts w:hint="eastAsia" w:ascii="宋体" w:hAnsi="宋体" w:eastAsia="宋体" w:cs="宋体"/>
          <w:color w:val="auto"/>
          <w:spacing w:val="-1"/>
          <w:sz w:val="24"/>
          <w:szCs w:val="24"/>
          <w:highlight w:val="none"/>
        </w:rPr>
        <w:t>文件中提供相应的安全管理措施。</w:t>
      </w:r>
    </w:p>
    <w:p w14:paraId="3DAF49EE">
      <w:pPr>
        <w:keepNext w:val="0"/>
        <w:keepLines w:val="0"/>
        <w:pageBreakBefore w:val="0"/>
        <w:widowControl w:val="0"/>
        <w:kinsoku/>
        <w:wordWrap w:val="0"/>
        <w:overflowPunct/>
        <w:topLinePunct/>
        <w:autoSpaceDE/>
        <w:autoSpaceDN/>
        <w:bidi w:val="0"/>
        <w:adjustRightInd w:val="0"/>
        <w:snapToGrid w:val="0"/>
        <w:spacing w:before="210" w:line="300" w:lineRule="auto"/>
        <w:ind w:right="84" w:rightChars="40"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593E6DAB">
      <w:pPr>
        <w:keepNext w:val="0"/>
        <w:keepLines w:val="0"/>
        <w:pageBreakBefore w:val="0"/>
        <w:widowControl w:val="0"/>
        <w:kinsoku/>
        <w:wordWrap w:val="0"/>
        <w:overflowPunct/>
        <w:topLinePunct/>
        <w:autoSpaceDE/>
        <w:autoSpaceDN/>
        <w:bidi w:val="0"/>
        <w:adjustRightInd w:val="0"/>
        <w:snapToGrid w:val="0"/>
        <w:spacing w:before="207" w:line="371" w:lineRule="auto"/>
        <w:ind w:right="84" w:rightChars="40"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lang w:eastAsia="zh-CN"/>
        </w:rPr>
        <w:t>3.</w:t>
      </w:r>
      <w:r>
        <w:rPr>
          <w:rFonts w:hint="eastAsia" w:ascii="宋体" w:hAnsi="宋体" w:eastAsia="宋体" w:cs="宋体"/>
          <w:b/>
          <w:bCs/>
          <w:color w:val="auto"/>
          <w:spacing w:val="-4"/>
          <w:sz w:val="24"/>
          <w:szCs w:val="24"/>
          <w:highlight w:val="none"/>
          <w:u w:val="single"/>
        </w:rPr>
        <w:t>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4EBCEFAB">
      <w:pPr>
        <w:keepNext w:val="0"/>
        <w:keepLines w:val="0"/>
        <w:pageBreakBefore w:val="0"/>
        <w:widowControl w:val="0"/>
        <w:kinsoku/>
        <w:wordWrap w:val="0"/>
        <w:overflowPunct/>
        <w:topLinePunct/>
        <w:autoSpaceDE/>
        <w:autoSpaceDN/>
        <w:bidi w:val="0"/>
        <w:adjustRightInd w:val="0"/>
        <w:snapToGrid w:val="0"/>
        <w:spacing w:before="33" w:line="326" w:lineRule="auto"/>
        <w:ind w:left="1" w:right="84" w:rightChars="40"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5C7384E7">
      <w:pPr>
        <w:keepNext w:val="0"/>
        <w:keepLines w:val="0"/>
        <w:pageBreakBefore w:val="0"/>
        <w:widowControl w:val="0"/>
        <w:kinsoku/>
        <w:wordWrap w:val="0"/>
        <w:overflowPunct/>
        <w:topLinePunct/>
        <w:autoSpaceDE/>
        <w:autoSpaceDN/>
        <w:bidi w:val="0"/>
        <w:adjustRightInd w:val="0"/>
        <w:snapToGrid w:val="0"/>
        <w:spacing w:before="208" w:line="301" w:lineRule="auto"/>
        <w:ind w:right="84" w:rightChars="40"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lang w:eastAsia="zh-CN"/>
        </w:rPr>
        <w:t>5.</w:t>
      </w:r>
      <w:r>
        <w:rPr>
          <w:rFonts w:hint="eastAsia" w:ascii="宋体" w:hAnsi="宋体" w:eastAsia="宋体" w:cs="宋体"/>
          <w:color w:val="auto"/>
          <w:spacing w:val="2"/>
          <w:sz w:val="24"/>
          <w:szCs w:val="24"/>
          <w:highlight w:val="none"/>
        </w:rPr>
        <w:t>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tbl>
      <w:tblPr>
        <w:tblStyle w:val="15"/>
        <w:tblpPr w:leftFromText="180" w:rightFromText="180" w:vertAnchor="text" w:horzAnchor="page" w:tblpX="1331" w:tblpY="250"/>
        <w:tblOverlap w:val="never"/>
        <w:tblW w:w="944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1994"/>
      </w:tblGrid>
      <w:tr w14:paraId="309A9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C70C3C">
            <w:pPr>
              <w:keepNext w:val="0"/>
              <w:keepLines w:val="0"/>
              <w:pageBreakBefore w:val="0"/>
              <w:widowControl w:val="0"/>
              <w:overflowPunct/>
              <w:bidi w:val="0"/>
              <w:adjustRightInd w:val="0"/>
              <w:snapToGrid w:val="0"/>
              <w:spacing w:before="133" w:line="220" w:lineRule="auto"/>
              <w:ind w:firstLine="235" w:firstLineChars="100"/>
              <w:jc w:val="left"/>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1428304C">
            <w:pPr>
              <w:keepNext w:val="0"/>
              <w:keepLines w:val="0"/>
              <w:pageBreakBefore w:val="0"/>
              <w:widowControl w:val="0"/>
              <w:overflowPunct/>
              <w:bidi w:val="0"/>
              <w:adjustRightInd w:val="0"/>
              <w:snapToGrid w:val="0"/>
              <w:spacing w:before="133" w:line="221" w:lineRule="auto"/>
              <w:ind w:left="0" w:leftChars="0"/>
              <w:jc w:val="center"/>
              <w:rPr>
                <w:rFonts w:hint="eastAsia" w:ascii="宋体" w:hAnsi="宋体" w:eastAsia="宋体" w:cs="宋体"/>
                <w:b/>
                <w:bCs/>
                <w:color w:val="auto"/>
                <w:spacing w:val="-19"/>
                <w:w w:val="94"/>
                <w:sz w:val="24"/>
                <w:szCs w:val="24"/>
                <w:highlight w:val="none"/>
              </w:rPr>
            </w:pPr>
            <w:r>
              <w:rPr>
                <w:rFonts w:hint="eastAsia" w:ascii="宋体" w:hAnsi="宋体" w:eastAsia="宋体" w:cs="宋体"/>
                <w:b/>
                <w:bCs/>
                <w:color w:val="auto"/>
                <w:spacing w:val="-4"/>
                <w:sz w:val="24"/>
                <w:szCs w:val="24"/>
                <w:highlight w:val="none"/>
              </w:rPr>
              <w:t>建设单位</w:t>
            </w:r>
          </w:p>
        </w:tc>
        <w:tc>
          <w:tcPr>
            <w:tcW w:w="1294" w:type="dxa"/>
            <w:vAlign w:val="top"/>
          </w:tcPr>
          <w:p w14:paraId="16CEBC28">
            <w:pPr>
              <w:keepNext w:val="0"/>
              <w:keepLines w:val="0"/>
              <w:pageBreakBefore w:val="0"/>
              <w:widowControl w:val="0"/>
              <w:overflowPunct/>
              <w:bidi w:val="0"/>
              <w:adjustRightInd w:val="0"/>
              <w:snapToGrid w:val="0"/>
              <w:spacing w:before="133" w:line="221" w:lineRule="auto"/>
              <w:ind w:left="0" w:leftChars="0"/>
              <w:jc w:val="center"/>
              <w:rPr>
                <w:rFonts w:hint="eastAsia" w:ascii="宋体" w:hAnsi="宋体" w:eastAsia="宋体" w:cs="宋体"/>
                <w:b/>
                <w:bCs/>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1994" w:type="dxa"/>
            <w:vAlign w:val="top"/>
          </w:tcPr>
          <w:p w14:paraId="460ED720">
            <w:pPr>
              <w:keepNext w:val="0"/>
              <w:keepLines w:val="0"/>
              <w:pageBreakBefore w:val="0"/>
              <w:widowControl w:val="0"/>
              <w:overflowPunct/>
              <w:bidi w:val="0"/>
              <w:adjustRightInd w:val="0"/>
              <w:snapToGrid w:val="0"/>
              <w:spacing w:before="133" w:line="222" w:lineRule="auto"/>
              <w:ind w:left="0" w:leftChars="0"/>
              <w:jc w:val="center"/>
              <w:rPr>
                <w:rFonts w:hint="eastAsia" w:ascii="宋体" w:hAnsi="宋体" w:eastAsia="宋体" w:cs="宋体"/>
                <w:b/>
                <w:bCs/>
                <w:color w:val="auto"/>
                <w:highlight w:val="none"/>
              </w:rPr>
            </w:pPr>
            <w:r>
              <w:rPr>
                <w:rFonts w:hint="eastAsia" w:ascii="宋体" w:hAnsi="宋体" w:eastAsia="宋体" w:cs="宋体"/>
                <w:b/>
                <w:bCs/>
                <w:color w:val="auto"/>
                <w:spacing w:val="-7"/>
                <w:sz w:val="24"/>
                <w:szCs w:val="24"/>
                <w:highlight w:val="none"/>
              </w:rPr>
              <w:t>备注</w:t>
            </w:r>
          </w:p>
        </w:tc>
      </w:tr>
      <w:tr w14:paraId="6599F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4B09A9E">
            <w:pPr>
              <w:keepNext w:val="0"/>
              <w:keepLines w:val="0"/>
              <w:pageBreakBefore w:val="0"/>
              <w:widowControl w:val="0"/>
              <w:overflowPunct/>
              <w:bidi w:val="0"/>
              <w:adjustRightInd w:val="0"/>
              <w:snapToGrid w:val="0"/>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00FE45B1">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38" w:name="OLE_LINK39"/>
            <w:r>
              <w:rPr>
                <w:rFonts w:hint="eastAsia" w:ascii="宋体" w:hAnsi="宋体" w:eastAsia="宋体" w:cs="宋体"/>
                <w:color w:val="auto"/>
                <w:spacing w:val="5"/>
                <w:sz w:val="24"/>
                <w:szCs w:val="24"/>
                <w:highlight w:val="none"/>
              </w:rPr>
              <w:t xml:space="preserve">  </w:t>
            </w:r>
            <w:bookmarkEnd w:id="238"/>
            <w:r>
              <w:rPr>
                <w:rFonts w:hint="eastAsia" w:ascii="宋体" w:hAnsi="宋体" w:eastAsia="宋体" w:cs="宋体"/>
                <w:color w:val="auto"/>
                <w:spacing w:val="-19"/>
                <w:w w:val="94"/>
                <w:sz w:val="24"/>
                <w:szCs w:val="24"/>
                <w:highlight w:val="none"/>
              </w:rPr>
              <w:t>)</w:t>
            </w:r>
          </w:p>
        </w:tc>
        <w:tc>
          <w:tcPr>
            <w:tcW w:w="1294" w:type="dxa"/>
            <w:vAlign w:val="top"/>
          </w:tcPr>
          <w:p w14:paraId="6A483A7F">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764980B">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830A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C621B7D">
            <w:pPr>
              <w:keepNext w:val="0"/>
              <w:keepLines w:val="0"/>
              <w:pageBreakBefore w:val="0"/>
              <w:widowControl w:val="0"/>
              <w:overflowPunct/>
              <w:bidi w:val="0"/>
              <w:adjustRightInd w:val="0"/>
              <w:snapToGrid w:val="0"/>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27DE03FD">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16CF8182">
            <w:pPr>
              <w:keepNext w:val="0"/>
              <w:keepLines w:val="0"/>
              <w:pageBreakBefore w:val="0"/>
              <w:widowControl w:val="0"/>
              <w:overflowPunct/>
              <w:bidi w:val="0"/>
              <w:adjustRightInd w:val="0"/>
              <w:snapToGrid w:val="0"/>
              <w:spacing w:before="78" w:line="223" w:lineRule="auto"/>
              <w:ind w:left="175" w:leftChars="0" w:hanging="175" w:hangingChars="94"/>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C29EBB">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4E11CB3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1FE0687">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FFCA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5334645">
            <w:pPr>
              <w:keepNext w:val="0"/>
              <w:keepLines w:val="0"/>
              <w:pageBreakBefore w:val="0"/>
              <w:widowControl w:val="0"/>
              <w:overflowPunct/>
              <w:bidi w:val="0"/>
              <w:adjustRightInd w:val="0"/>
              <w:snapToGrid w:val="0"/>
              <w:spacing w:before="132" w:line="354" w:lineRule="auto"/>
              <w:ind w:left="116" w:right="108"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63630F62">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7D984DAC">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5F25258B">
            <w:pPr>
              <w:pStyle w:val="21"/>
              <w:keepNext w:val="0"/>
              <w:keepLines w:val="0"/>
              <w:pageBreakBefore w:val="0"/>
              <w:widowControl w:val="0"/>
              <w:overflowPunct/>
              <w:bidi w:val="0"/>
              <w:adjustRightInd w:val="0"/>
              <w:snapToGrid w:val="0"/>
              <w:spacing w:line="264" w:lineRule="auto"/>
              <w:jc w:val="center"/>
              <w:rPr>
                <w:rFonts w:hint="eastAsia" w:ascii="宋体" w:hAnsi="宋体" w:eastAsia="宋体" w:cs="宋体"/>
                <w:color w:val="auto"/>
                <w:highlight w:val="none"/>
              </w:rPr>
            </w:pPr>
          </w:p>
          <w:p w14:paraId="3708F0E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39" w:name="OLE_LINK40"/>
            <w:r>
              <w:rPr>
                <w:rFonts w:hint="eastAsia" w:ascii="宋体" w:hAnsi="宋体" w:eastAsia="宋体" w:cs="宋体"/>
                <w:color w:val="auto"/>
                <w:spacing w:val="2"/>
                <w:sz w:val="24"/>
                <w:szCs w:val="24"/>
                <w:highlight w:val="none"/>
              </w:rPr>
              <w:t xml:space="preserve"> </w:t>
            </w:r>
            <w:bookmarkEnd w:id="239"/>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35228A8">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14BBEB11">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55E79769">
            <w:pPr>
              <w:pStyle w:val="21"/>
              <w:keepNext w:val="0"/>
              <w:keepLines w:val="0"/>
              <w:pageBreakBefore w:val="0"/>
              <w:widowControl w:val="0"/>
              <w:overflowPunct/>
              <w:bidi w:val="0"/>
              <w:adjustRightInd w:val="0"/>
              <w:snapToGrid w:val="0"/>
              <w:spacing w:line="264" w:lineRule="auto"/>
              <w:jc w:val="center"/>
              <w:rPr>
                <w:rFonts w:hint="eastAsia" w:ascii="宋体" w:hAnsi="宋体" w:eastAsia="宋体" w:cs="宋体"/>
                <w:color w:val="auto"/>
                <w:highlight w:val="none"/>
              </w:rPr>
            </w:pPr>
          </w:p>
          <w:p w14:paraId="151D8B2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CD7DA3F">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C675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3B1BDB4">
            <w:pPr>
              <w:keepNext w:val="0"/>
              <w:keepLines w:val="0"/>
              <w:pageBreakBefore w:val="0"/>
              <w:widowControl w:val="0"/>
              <w:overflowPunct/>
              <w:bidi w:val="0"/>
              <w:adjustRightInd w:val="0"/>
              <w:snapToGrid w:val="0"/>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1BFF443E">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5FAE715">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C82CA8A">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3BAB7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7A3C3AB">
            <w:pPr>
              <w:keepNext w:val="0"/>
              <w:keepLines w:val="0"/>
              <w:pageBreakBefore w:val="0"/>
              <w:widowControl w:val="0"/>
              <w:overflowPunct/>
              <w:bidi w:val="0"/>
              <w:adjustRightInd w:val="0"/>
              <w:snapToGrid w:val="0"/>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7A9CE50D">
            <w:pPr>
              <w:pStyle w:val="21"/>
              <w:keepNext w:val="0"/>
              <w:keepLines w:val="0"/>
              <w:pageBreakBefore w:val="0"/>
              <w:widowControl w:val="0"/>
              <w:overflowPunct/>
              <w:bidi w:val="0"/>
              <w:adjustRightInd w:val="0"/>
              <w:snapToGrid w:val="0"/>
              <w:spacing w:line="293" w:lineRule="auto"/>
              <w:jc w:val="center"/>
              <w:rPr>
                <w:rFonts w:hint="eastAsia" w:ascii="宋体" w:hAnsi="宋体" w:eastAsia="宋体" w:cs="宋体"/>
                <w:color w:val="auto"/>
                <w:highlight w:val="none"/>
              </w:rPr>
            </w:pPr>
          </w:p>
          <w:p w14:paraId="57ED2204">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57391F4">
            <w:pPr>
              <w:pStyle w:val="21"/>
              <w:keepNext w:val="0"/>
              <w:keepLines w:val="0"/>
              <w:pageBreakBefore w:val="0"/>
              <w:widowControl w:val="0"/>
              <w:overflowPunct/>
              <w:bidi w:val="0"/>
              <w:adjustRightInd w:val="0"/>
              <w:snapToGrid w:val="0"/>
              <w:spacing w:line="293" w:lineRule="auto"/>
              <w:jc w:val="center"/>
              <w:rPr>
                <w:rFonts w:hint="eastAsia" w:ascii="宋体" w:hAnsi="宋体" w:eastAsia="宋体" w:cs="宋体"/>
                <w:color w:val="auto"/>
                <w:highlight w:val="none"/>
              </w:rPr>
            </w:pPr>
          </w:p>
          <w:p w14:paraId="1BF00054">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66047B0">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207B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F58A8C5">
            <w:pPr>
              <w:keepNext w:val="0"/>
              <w:keepLines w:val="0"/>
              <w:pageBreakBefore w:val="0"/>
              <w:widowControl w:val="0"/>
              <w:overflowPunct/>
              <w:bidi w:val="0"/>
              <w:adjustRightInd w:val="0"/>
              <w:snapToGrid w:val="0"/>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w:t>
            </w:r>
            <w:r>
              <w:rPr>
                <w:rFonts w:hint="eastAsia" w:ascii="宋体" w:hAnsi="宋体" w:eastAsia="宋体" w:cs="宋体"/>
                <w:color w:val="auto"/>
                <w:spacing w:val="-1"/>
                <w:sz w:val="24"/>
                <w:szCs w:val="24"/>
                <w:highlight w:val="none"/>
                <w:lang w:eastAsia="zh-CN"/>
              </w:rPr>
              <w:t>连系</w:t>
            </w:r>
            <w:r>
              <w:rPr>
                <w:rFonts w:hint="eastAsia" w:ascii="宋体" w:hAnsi="宋体" w:eastAsia="宋体" w:cs="宋体"/>
                <w:color w:val="auto"/>
                <w:spacing w:val="-1"/>
                <w:sz w:val="24"/>
                <w:szCs w:val="24"/>
                <w:highlight w:val="none"/>
              </w:rPr>
              <w:t>构件的混凝土模板支撑工程。</w:t>
            </w:r>
          </w:p>
        </w:tc>
        <w:tc>
          <w:tcPr>
            <w:tcW w:w="1294" w:type="dxa"/>
            <w:vAlign w:val="top"/>
          </w:tcPr>
          <w:p w14:paraId="63863D38">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1FF96D7D">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23ACA02B">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5AAB0073">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42BF2C32">
            <w:pPr>
              <w:pStyle w:val="21"/>
              <w:keepNext w:val="0"/>
              <w:keepLines w:val="0"/>
              <w:pageBreakBefore w:val="0"/>
              <w:widowControl w:val="0"/>
              <w:overflowPunct/>
              <w:bidi w:val="0"/>
              <w:adjustRightInd w:val="0"/>
              <w:snapToGrid w:val="0"/>
              <w:spacing w:line="256" w:lineRule="auto"/>
              <w:jc w:val="center"/>
              <w:rPr>
                <w:rFonts w:hint="eastAsia" w:ascii="宋体" w:hAnsi="宋体" w:eastAsia="宋体" w:cs="宋体"/>
                <w:color w:val="auto"/>
                <w:highlight w:val="none"/>
              </w:rPr>
            </w:pPr>
          </w:p>
          <w:p w14:paraId="0194721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EF05443">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5C4DB4D7">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563F9297">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740684D3">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6F6A9EDE">
            <w:pPr>
              <w:pStyle w:val="21"/>
              <w:keepNext w:val="0"/>
              <w:keepLines w:val="0"/>
              <w:pageBreakBefore w:val="0"/>
              <w:widowControl w:val="0"/>
              <w:overflowPunct/>
              <w:bidi w:val="0"/>
              <w:adjustRightInd w:val="0"/>
              <w:snapToGrid w:val="0"/>
              <w:spacing w:line="256" w:lineRule="auto"/>
              <w:jc w:val="center"/>
              <w:rPr>
                <w:rFonts w:hint="eastAsia" w:ascii="宋体" w:hAnsi="宋体" w:eastAsia="宋体" w:cs="宋体"/>
                <w:color w:val="auto"/>
                <w:highlight w:val="none"/>
              </w:rPr>
            </w:pPr>
          </w:p>
          <w:p w14:paraId="7F3E3DE5">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86679BA">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2CB8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704CF9C">
            <w:pPr>
              <w:keepNext w:val="0"/>
              <w:keepLines w:val="0"/>
              <w:pageBreakBefore w:val="0"/>
              <w:widowControl w:val="0"/>
              <w:overflowPunct/>
              <w:bidi w:val="0"/>
              <w:adjustRightInd w:val="0"/>
              <w:snapToGrid w:val="0"/>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A224D0F">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2B5267E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26F647F">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6549153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8A95A9B">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0D38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8B3332A">
            <w:pPr>
              <w:keepNext w:val="0"/>
              <w:keepLines w:val="0"/>
              <w:pageBreakBefore w:val="0"/>
              <w:widowControl w:val="0"/>
              <w:overflowPunct/>
              <w:bidi w:val="0"/>
              <w:adjustRightInd w:val="0"/>
              <w:snapToGrid w:val="0"/>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3481268F">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58BAA4">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81800A1">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1973D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F4F1CD3">
            <w:pPr>
              <w:keepNext w:val="0"/>
              <w:keepLines w:val="0"/>
              <w:pageBreakBefore w:val="0"/>
              <w:widowControl w:val="0"/>
              <w:overflowPunct/>
              <w:bidi w:val="0"/>
              <w:adjustRightInd w:val="0"/>
              <w:snapToGrid w:val="0"/>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0BE9E1EB">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66BB9632">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C212367">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788288B7">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81C0E30">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1324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64FD7F4">
            <w:pPr>
              <w:keepNext w:val="0"/>
              <w:keepLines w:val="0"/>
              <w:pageBreakBefore w:val="0"/>
              <w:widowControl w:val="0"/>
              <w:overflowPunct/>
              <w:bidi w:val="0"/>
              <w:adjustRightInd w:val="0"/>
              <w:snapToGrid w:val="0"/>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672AC0E3">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5A03746">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8EF255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7D56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2E4CF21">
            <w:pPr>
              <w:keepNext w:val="0"/>
              <w:keepLines w:val="0"/>
              <w:pageBreakBefore w:val="0"/>
              <w:widowControl w:val="0"/>
              <w:overflowPunct/>
              <w:bidi w:val="0"/>
              <w:adjustRightInd w:val="0"/>
              <w:snapToGrid w:val="0"/>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38F8385F">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2AB6164">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654598C">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C060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5645759">
            <w:pPr>
              <w:keepNext w:val="0"/>
              <w:keepLines w:val="0"/>
              <w:pageBreakBefore w:val="0"/>
              <w:widowControl w:val="0"/>
              <w:overflowPunct/>
              <w:bidi w:val="0"/>
              <w:adjustRightInd w:val="0"/>
              <w:snapToGrid w:val="0"/>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3DF84CA6">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5E01037">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F8B4DDE">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84A0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283E57">
            <w:pPr>
              <w:keepNext w:val="0"/>
              <w:keepLines w:val="0"/>
              <w:pageBreakBefore w:val="0"/>
              <w:widowControl w:val="0"/>
              <w:overflowPunct/>
              <w:bidi w:val="0"/>
              <w:adjustRightInd w:val="0"/>
              <w:snapToGrid w:val="0"/>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0522476C">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7737CF79">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856EBB">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72F9DF08">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8CA6908">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352CE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8AA0856">
            <w:pPr>
              <w:keepNext w:val="0"/>
              <w:keepLines w:val="0"/>
              <w:pageBreakBefore w:val="0"/>
              <w:widowControl w:val="0"/>
              <w:overflowPunct/>
              <w:bidi w:val="0"/>
              <w:adjustRightInd w:val="0"/>
              <w:snapToGrid w:val="0"/>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2F761E05">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3225D8">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356D893">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2D47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D577B8">
            <w:pPr>
              <w:keepNext w:val="0"/>
              <w:keepLines w:val="0"/>
              <w:pageBreakBefore w:val="0"/>
              <w:widowControl w:val="0"/>
              <w:overflowPunct/>
              <w:bidi w:val="0"/>
              <w:adjustRightInd w:val="0"/>
              <w:snapToGrid w:val="0"/>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386CE70">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14C27AB">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0BF15408">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B613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DED53E">
            <w:pPr>
              <w:keepNext w:val="0"/>
              <w:keepLines w:val="0"/>
              <w:pageBreakBefore w:val="0"/>
              <w:widowControl w:val="0"/>
              <w:overflowPunct/>
              <w:bidi w:val="0"/>
              <w:adjustRightInd w:val="0"/>
              <w:snapToGrid w:val="0"/>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1F474B68">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3FC10">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9049AEB">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18B9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3382B69">
            <w:pPr>
              <w:keepNext w:val="0"/>
              <w:keepLines w:val="0"/>
              <w:pageBreakBefore w:val="0"/>
              <w:widowControl w:val="0"/>
              <w:overflowPunct/>
              <w:bidi w:val="0"/>
              <w:adjustRightInd w:val="0"/>
              <w:snapToGrid w:val="0"/>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3FB3605C">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38837EC">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8A05580">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683C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3C4AAE9">
            <w:pPr>
              <w:keepNext w:val="0"/>
              <w:keepLines w:val="0"/>
              <w:pageBreakBefore w:val="0"/>
              <w:widowControl w:val="0"/>
              <w:overflowPunct/>
              <w:bidi w:val="0"/>
              <w:adjustRightInd w:val="0"/>
              <w:snapToGrid w:val="0"/>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22D43AAF">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AC4A189">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1ACDC7D">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302F8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333BE504">
            <w:pPr>
              <w:keepNext w:val="0"/>
              <w:keepLines w:val="0"/>
              <w:pageBreakBefore w:val="0"/>
              <w:widowControl w:val="0"/>
              <w:overflowPunct/>
              <w:bidi w:val="0"/>
              <w:adjustRightInd w:val="0"/>
              <w:snapToGrid w:val="0"/>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56AC4704">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F66706E">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793C197">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431F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83F48ED">
            <w:pPr>
              <w:keepNext w:val="0"/>
              <w:keepLines w:val="0"/>
              <w:pageBreakBefore w:val="0"/>
              <w:widowControl w:val="0"/>
              <w:overflowPunct/>
              <w:bidi w:val="0"/>
              <w:adjustRightInd w:val="0"/>
              <w:snapToGrid w:val="0"/>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lang w:eastAsia="zh-CN"/>
              </w:rPr>
              <w:t>其他</w:t>
            </w:r>
            <w:r>
              <w:rPr>
                <w:rFonts w:hint="eastAsia" w:ascii="宋体" w:hAnsi="宋体" w:eastAsia="宋体" w:cs="宋体"/>
                <w:color w:val="auto"/>
                <w:spacing w:val="-1"/>
                <w:sz w:val="24"/>
                <w:szCs w:val="24"/>
                <w:highlight w:val="none"/>
              </w:rPr>
              <w:t>建、构筑物安全的拆除工程。</w:t>
            </w:r>
          </w:p>
        </w:tc>
        <w:tc>
          <w:tcPr>
            <w:tcW w:w="1294" w:type="dxa"/>
            <w:vAlign w:val="top"/>
          </w:tcPr>
          <w:p w14:paraId="208E6542">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59498D1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DC49D2">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5523284B">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DAE5955">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EC75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90BEA1F">
            <w:pPr>
              <w:keepNext w:val="0"/>
              <w:keepLines w:val="0"/>
              <w:pageBreakBefore w:val="0"/>
              <w:widowControl w:val="0"/>
              <w:overflowPunct/>
              <w:bidi w:val="0"/>
              <w:adjustRightInd w:val="0"/>
              <w:snapToGrid w:val="0"/>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0E18E93E">
            <w:pPr>
              <w:keepNext w:val="0"/>
              <w:keepLines w:val="0"/>
              <w:pageBreakBefore w:val="0"/>
              <w:widowControl w:val="0"/>
              <w:overflowPunct/>
              <w:bidi w:val="0"/>
              <w:adjustRightInd w:val="0"/>
              <w:snapToGrid w:val="0"/>
              <w:spacing w:before="126"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4484036">
            <w:pPr>
              <w:keepNext w:val="0"/>
              <w:keepLines w:val="0"/>
              <w:pageBreakBefore w:val="0"/>
              <w:widowControl w:val="0"/>
              <w:overflowPunct/>
              <w:bidi w:val="0"/>
              <w:adjustRightInd w:val="0"/>
              <w:snapToGrid w:val="0"/>
              <w:spacing w:before="126"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08D4A6F7">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B103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9F53F04">
            <w:pPr>
              <w:keepNext w:val="0"/>
              <w:keepLines w:val="0"/>
              <w:pageBreakBefore w:val="0"/>
              <w:widowControl w:val="0"/>
              <w:overflowPunct/>
              <w:bidi w:val="0"/>
              <w:adjustRightInd w:val="0"/>
              <w:snapToGrid w:val="0"/>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44C1714A">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25B0D62F">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1F0D5C7">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6D3D27E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AF86AB3">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AAD4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2FACCAA">
            <w:pPr>
              <w:keepNext w:val="0"/>
              <w:keepLines w:val="0"/>
              <w:pageBreakBefore w:val="0"/>
              <w:widowControl w:val="0"/>
              <w:overflowPunct/>
              <w:bidi w:val="0"/>
              <w:adjustRightInd w:val="0"/>
              <w:snapToGrid w:val="0"/>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w:t>
            </w:r>
            <w:r>
              <w:rPr>
                <w:rFonts w:hint="eastAsia" w:ascii="宋体" w:hAnsi="宋体" w:eastAsia="宋体" w:cs="宋体"/>
                <w:color w:val="auto"/>
                <w:spacing w:val="-3"/>
                <w:sz w:val="24"/>
                <w:szCs w:val="24"/>
                <w:highlight w:val="none"/>
                <w:lang w:eastAsia="zh-CN"/>
              </w:rPr>
              <w:t>其他</w:t>
            </w:r>
          </w:p>
        </w:tc>
        <w:tc>
          <w:tcPr>
            <w:tcW w:w="1294" w:type="dxa"/>
            <w:vAlign w:val="top"/>
          </w:tcPr>
          <w:p w14:paraId="2271E856">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E2431C4">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C19E51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EBEC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6D5A5C0">
            <w:pPr>
              <w:keepNext w:val="0"/>
              <w:keepLines w:val="0"/>
              <w:pageBreakBefore w:val="0"/>
              <w:widowControl w:val="0"/>
              <w:overflowPunct/>
              <w:bidi w:val="0"/>
              <w:adjustRightInd w:val="0"/>
              <w:snapToGrid w:val="0"/>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7C0AA9DB">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868336B">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D1DEA84">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B0F5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BB802AA">
            <w:pPr>
              <w:keepNext w:val="0"/>
              <w:keepLines w:val="0"/>
              <w:pageBreakBefore w:val="0"/>
              <w:widowControl w:val="0"/>
              <w:overflowPunct/>
              <w:bidi w:val="0"/>
              <w:adjustRightInd w:val="0"/>
              <w:snapToGrid w:val="0"/>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4389997F">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eastAsia="宋体" w:cs="Arial"/>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B8C316F">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33362C8">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0CFF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68F78D8">
            <w:pPr>
              <w:keepNext w:val="0"/>
              <w:keepLines w:val="0"/>
              <w:pageBreakBefore w:val="0"/>
              <w:widowControl w:val="0"/>
              <w:overflowPunct/>
              <w:bidi w:val="0"/>
              <w:adjustRightInd w:val="0"/>
              <w:snapToGrid w:val="0"/>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1E4485D0">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C9DC418">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8E901A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8BDF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3F059E4D">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63FC992D">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AF6B2DF">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3AE538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7863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923E4A7">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5A1DA7D1">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D9FD9B4">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37D13A8">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2D09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F4491E7">
            <w:pPr>
              <w:keepNext w:val="0"/>
              <w:keepLines w:val="0"/>
              <w:pageBreakBefore w:val="0"/>
              <w:widowControl w:val="0"/>
              <w:overflowPunct/>
              <w:bidi w:val="0"/>
              <w:adjustRightInd w:val="0"/>
              <w:snapToGrid w:val="0"/>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5629EE13">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7AD74689">
            <w:pPr>
              <w:pStyle w:val="21"/>
              <w:keepNext w:val="0"/>
              <w:keepLines w:val="0"/>
              <w:pageBreakBefore w:val="0"/>
              <w:widowControl w:val="0"/>
              <w:overflowPunct/>
              <w:bidi w:val="0"/>
              <w:adjustRightInd w:val="0"/>
              <w:snapToGrid w:val="0"/>
              <w:spacing w:line="271" w:lineRule="auto"/>
              <w:jc w:val="center"/>
              <w:rPr>
                <w:rFonts w:hint="eastAsia" w:ascii="宋体" w:hAnsi="宋体" w:eastAsia="宋体" w:cs="宋体"/>
                <w:color w:val="auto"/>
                <w:highlight w:val="none"/>
              </w:rPr>
            </w:pPr>
          </w:p>
          <w:p w14:paraId="25F95A0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484BC22">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2A929A1B">
            <w:pPr>
              <w:pStyle w:val="21"/>
              <w:keepNext w:val="0"/>
              <w:keepLines w:val="0"/>
              <w:pageBreakBefore w:val="0"/>
              <w:widowControl w:val="0"/>
              <w:overflowPunct/>
              <w:bidi w:val="0"/>
              <w:adjustRightInd w:val="0"/>
              <w:snapToGrid w:val="0"/>
              <w:spacing w:line="271" w:lineRule="auto"/>
              <w:jc w:val="center"/>
              <w:rPr>
                <w:rFonts w:hint="eastAsia" w:ascii="宋体" w:hAnsi="宋体" w:eastAsia="宋体" w:cs="宋体"/>
                <w:color w:val="auto"/>
                <w:highlight w:val="none"/>
              </w:rPr>
            </w:pPr>
          </w:p>
          <w:p w14:paraId="25C9C724">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6B345E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DD68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5FE3C2F">
            <w:pPr>
              <w:keepNext w:val="0"/>
              <w:keepLines w:val="0"/>
              <w:pageBreakBefore w:val="0"/>
              <w:widowControl w:val="0"/>
              <w:overflowPunct/>
              <w:bidi w:val="0"/>
              <w:adjustRightInd w:val="0"/>
              <w:snapToGrid w:val="0"/>
              <w:spacing w:before="129" w:line="328" w:lineRule="auto"/>
              <w:ind w:left="115" w:right="108" w:firstLine="4"/>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23748EE">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b/>
                <w:bCs/>
                <w:color w:val="auto"/>
                <w:highlight w:val="none"/>
              </w:rPr>
            </w:pPr>
          </w:p>
          <w:p w14:paraId="0F6879EC">
            <w:pPr>
              <w:keepNext w:val="0"/>
              <w:keepLines w:val="0"/>
              <w:pageBreakBefore w:val="0"/>
              <w:widowControl w:val="0"/>
              <w:overflowPunct/>
              <w:bidi w:val="0"/>
              <w:adjustRightInd w:val="0"/>
              <w:snapToGrid w:val="0"/>
              <w:spacing w:before="78" w:line="221" w:lineRule="auto"/>
              <w:ind w:lef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4"/>
                <w:sz w:val="24"/>
                <w:szCs w:val="24"/>
                <w:highlight w:val="none"/>
              </w:rPr>
              <w:t>建设单位</w:t>
            </w:r>
          </w:p>
        </w:tc>
        <w:tc>
          <w:tcPr>
            <w:tcW w:w="1294" w:type="dxa"/>
            <w:vAlign w:val="top"/>
          </w:tcPr>
          <w:p w14:paraId="72ED9250">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b/>
                <w:bCs/>
                <w:color w:val="auto"/>
                <w:highlight w:val="none"/>
              </w:rPr>
            </w:pPr>
          </w:p>
          <w:p w14:paraId="2FA268FE">
            <w:pPr>
              <w:keepNext w:val="0"/>
              <w:keepLines w:val="0"/>
              <w:pageBreakBefore w:val="0"/>
              <w:widowControl w:val="0"/>
              <w:overflowPunct/>
              <w:bidi w:val="0"/>
              <w:adjustRightInd w:val="0"/>
              <w:snapToGrid w:val="0"/>
              <w:spacing w:before="78" w:line="221" w:lineRule="auto"/>
              <w:ind w:lef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1994" w:type="dxa"/>
            <w:vAlign w:val="top"/>
          </w:tcPr>
          <w:p w14:paraId="02AB1445">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b/>
                <w:bCs/>
                <w:color w:val="auto"/>
                <w:highlight w:val="none"/>
              </w:rPr>
            </w:pPr>
          </w:p>
          <w:p w14:paraId="33F3C537">
            <w:pPr>
              <w:keepNext w:val="0"/>
              <w:keepLines w:val="0"/>
              <w:pageBreakBefore w:val="0"/>
              <w:widowControl w:val="0"/>
              <w:overflowPunct/>
              <w:bidi w:val="0"/>
              <w:adjustRightInd w:val="0"/>
              <w:snapToGrid w:val="0"/>
              <w:spacing w:before="78" w:line="222" w:lineRule="auto"/>
              <w:ind w:lef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7"/>
                <w:sz w:val="24"/>
                <w:szCs w:val="24"/>
                <w:highlight w:val="none"/>
              </w:rPr>
              <w:t>备注</w:t>
            </w:r>
          </w:p>
        </w:tc>
      </w:tr>
      <w:tr w14:paraId="2F17D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AF34081">
            <w:pPr>
              <w:keepNext w:val="0"/>
              <w:keepLines w:val="0"/>
              <w:pageBreakBefore w:val="0"/>
              <w:widowControl w:val="0"/>
              <w:overflowPunct/>
              <w:bidi w:val="0"/>
              <w:adjustRightInd w:val="0"/>
              <w:snapToGrid w:val="0"/>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44A2B91F">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094BA4">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A0919CE">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2335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39ACD03">
            <w:pPr>
              <w:keepNext w:val="0"/>
              <w:keepLines w:val="0"/>
              <w:pageBreakBefore w:val="0"/>
              <w:widowControl w:val="0"/>
              <w:overflowPunct/>
              <w:bidi w:val="0"/>
              <w:adjustRightInd w:val="0"/>
              <w:snapToGrid w:val="0"/>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5CDAE145">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14:paraId="60EB3C6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911DCF0">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14:paraId="18665097">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D764CE5">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A237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74BAC7E8">
            <w:pPr>
              <w:keepNext w:val="0"/>
              <w:keepLines w:val="0"/>
              <w:pageBreakBefore w:val="0"/>
              <w:widowControl w:val="0"/>
              <w:overflowPunct/>
              <w:bidi w:val="0"/>
              <w:adjustRightInd w:val="0"/>
              <w:snapToGrid w:val="0"/>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18F5C23">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1A93279">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27C8BB4">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CEDB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B568E04">
            <w:pPr>
              <w:keepNext w:val="0"/>
              <w:keepLines w:val="0"/>
              <w:pageBreakBefore w:val="0"/>
              <w:widowControl w:val="0"/>
              <w:overflowPunct/>
              <w:bidi w:val="0"/>
              <w:adjustRightInd w:val="0"/>
              <w:snapToGrid w:val="0"/>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199EA0B9">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4958131F">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B507B5C">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6093729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135F2D9">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7710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361CD35">
            <w:pPr>
              <w:keepNext w:val="0"/>
              <w:keepLines w:val="0"/>
              <w:pageBreakBefore w:val="0"/>
              <w:widowControl w:val="0"/>
              <w:overflowPunct/>
              <w:bidi w:val="0"/>
              <w:adjustRightInd w:val="0"/>
              <w:snapToGrid w:val="0"/>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96F76F">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770309C9">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25D353DF">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1D33833A">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365FE5">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056445F6">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078C3EC1">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6C29DB3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6F2ECEF">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E27B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09D8684">
            <w:pPr>
              <w:keepNext w:val="0"/>
              <w:keepLines w:val="0"/>
              <w:pageBreakBefore w:val="0"/>
              <w:widowControl w:val="0"/>
              <w:overflowPunct/>
              <w:bidi w:val="0"/>
              <w:adjustRightInd w:val="0"/>
              <w:snapToGrid w:val="0"/>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4D1C8B35">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5F17BB">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A145345">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65D7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0B0C173">
            <w:pPr>
              <w:keepNext w:val="0"/>
              <w:keepLines w:val="0"/>
              <w:pageBreakBefore w:val="0"/>
              <w:widowControl w:val="0"/>
              <w:overflowPunct/>
              <w:bidi w:val="0"/>
              <w:adjustRightInd w:val="0"/>
              <w:snapToGrid w:val="0"/>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7371A3C8">
            <w:pPr>
              <w:pStyle w:val="21"/>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294" w:type="dxa"/>
            <w:vAlign w:val="top"/>
          </w:tcPr>
          <w:p w14:paraId="538C79BC">
            <w:pPr>
              <w:pStyle w:val="21"/>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994" w:type="dxa"/>
            <w:vAlign w:val="top"/>
          </w:tcPr>
          <w:p w14:paraId="24C874C3">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ACA3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A6D51A4">
            <w:pPr>
              <w:keepNext w:val="0"/>
              <w:keepLines w:val="0"/>
              <w:pageBreakBefore w:val="0"/>
              <w:widowControl w:val="0"/>
              <w:overflowPunct/>
              <w:bidi w:val="0"/>
              <w:adjustRightInd w:val="0"/>
              <w:snapToGrid w:val="0"/>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2BBF5440">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4E8B875">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D613CCB">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177C3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5D3BC81">
            <w:pPr>
              <w:keepNext w:val="0"/>
              <w:keepLines w:val="0"/>
              <w:pageBreakBefore w:val="0"/>
              <w:widowControl w:val="0"/>
              <w:overflowPunct/>
              <w:bidi w:val="0"/>
              <w:adjustRightInd w:val="0"/>
              <w:snapToGrid w:val="0"/>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6F6E885D">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14:paraId="6B7BD3C8">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D41F17E">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14:paraId="0DCD6FEF">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A172500">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CFB0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D96BE49">
            <w:pPr>
              <w:keepNext w:val="0"/>
              <w:keepLines w:val="0"/>
              <w:pageBreakBefore w:val="0"/>
              <w:widowControl w:val="0"/>
              <w:overflowPunct/>
              <w:bidi w:val="0"/>
              <w:adjustRightInd w:val="0"/>
              <w:snapToGrid w:val="0"/>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4A51BCA4">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09E0A769">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2BD4106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E7271C6">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2DC1FAAA">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662FACE4">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8C598AE">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EFF3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9885A66">
            <w:pPr>
              <w:keepNext w:val="0"/>
              <w:keepLines w:val="0"/>
              <w:pageBreakBefore w:val="0"/>
              <w:widowControl w:val="0"/>
              <w:overflowPunct/>
              <w:bidi w:val="0"/>
              <w:adjustRightInd w:val="0"/>
              <w:snapToGrid w:val="0"/>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DFCD581">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629C710">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7365477">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ADD8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709AF57D">
            <w:pPr>
              <w:keepNext w:val="0"/>
              <w:keepLines w:val="0"/>
              <w:pageBreakBefore w:val="0"/>
              <w:widowControl w:val="0"/>
              <w:overflowPunct/>
              <w:bidi w:val="0"/>
              <w:adjustRightInd w:val="0"/>
              <w:snapToGrid w:val="0"/>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71AE513F">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4FDA4E22">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155A9A">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12CCB1F2">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8DC75A6">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A01E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EB8A98A">
            <w:pPr>
              <w:keepNext w:val="0"/>
              <w:keepLines w:val="0"/>
              <w:pageBreakBefore w:val="0"/>
              <w:widowControl w:val="0"/>
              <w:overflowPunct/>
              <w:bidi w:val="0"/>
              <w:adjustRightInd w:val="0"/>
              <w:snapToGrid w:val="0"/>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6C021951">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4A65F8A5">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D9954B">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327AF86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843B013">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8998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71D577F">
            <w:pPr>
              <w:keepNext w:val="0"/>
              <w:keepLines w:val="0"/>
              <w:pageBreakBefore w:val="0"/>
              <w:widowControl w:val="0"/>
              <w:overflowPunct/>
              <w:bidi w:val="0"/>
              <w:adjustRightInd w:val="0"/>
              <w:snapToGrid w:val="0"/>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2ED9DF34">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12162E6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3C6DACD">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2D2CF09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15D359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1B881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C8B9BE8">
            <w:pPr>
              <w:keepNext w:val="0"/>
              <w:keepLines w:val="0"/>
              <w:pageBreakBefore w:val="0"/>
              <w:widowControl w:val="0"/>
              <w:overflowPunct/>
              <w:bidi w:val="0"/>
              <w:adjustRightInd w:val="0"/>
              <w:snapToGrid w:val="0"/>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49233764">
            <w:pPr>
              <w:keepNext w:val="0"/>
              <w:keepLines w:val="0"/>
              <w:pageBreakBefore w:val="0"/>
              <w:widowControl w:val="0"/>
              <w:overflowPunct/>
              <w:bidi w:val="0"/>
              <w:adjustRightInd w:val="0"/>
              <w:snapToGrid w:val="0"/>
              <w:spacing w:before="15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144CFBE">
            <w:pPr>
              <w:keepNext w:val="0"/>
              <w:keepLines w:val="0"/>
              <w:pageBreakBefore w:val="0"/>
              <w:widowControl w:val="0"/>
              <w:overflowPunct/>
              <w:bidi w:val="0"/>
              <w:adjustRightInd w:val="0"/>
              <w:snapToGrid w:val="0"/>
              <w:spacing w:before="15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1E1F5E0">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F343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E522D83">
            <w:pPr>
              <w:keepNext w:val="0"/>
              <w:keepLines w:val="0"/>
              <w:pageBreakBefore w:val="0"/>
              <w:widowControl w:val="0"/>
              <w:overflowPunct/>
              <w:bidi w:val="0"/>
              <w:adjustRightInd w:val="0"/>
              <w:snapToGrid w:val="0"/>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F1840CB">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660CF602">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0E29B5A4">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4C887ADA">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3ED2CA">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640471D2">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4E7DE7DD">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7A1E62F2">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2BC238E">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8DEC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7C1CAC0">
            <w:pPr>
              <w:keepNext w:val="0"/>
              <w:keepLines w:val="0"/>
              <w:pageBreakBefore w:val="0"/>
              <w:widowControl w:val="0"/>
              <w:overflowPunct/>
              <w:bidi w:val="0"/>
              <w:adjustRightInd w:val="0"/>
              <w:snapToGrid w:val="0"/>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3249560C">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587BFF3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93CE46">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7F6516F5">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E0805EA">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366F3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8A287AB">
            <w:pPr>
              <w:keepNext w:val="0"/>
              <w:keepLines w:val="0"/>
              <w:pageBreakBefore w:val="0"/>
              <w:widowControl w:val="0"/>
              <w:overflowPunct/>
              <w:bidi w:val="0"/>
              <w:adjustRightInd w:val="0"/>
              <w:snapToGrid w:val="0"/>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59976A94">
            <w:pPr>
              <w:keepNext w:val="0"/>
              <w:keepLines w:val="0"/>
              <w:pageBreakBefore w:val="0"/>
              <w:widowControl w:val="0"/>
              <w:overflowPunct/>
              <w:bidi w:val="0"/>
              <w:adjustRightInd w:val="0"/>
              <w:snapToGrid w:val="0"/>
              <w:spacing w:before="14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112523A">
            <w:pPr>
              <w:keepNext w:val="0"/>
              <w:keepLines w:val="0"/>
              <w:pageBreakBefore w:val="0"/>
              <w:widowControl w:val="0"/>
              <w:overflowPunct/>
              <w:bidi w:val="0"/>
              <w:adjustRightInd w:val="0"/>
              <w:snapToGrid w:val="0"/>
              <w:spacing w:before="14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A961BBD">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D531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3F77FE6">
            <w:pPr>
              <w:keepNext w:val="0"/>
              <w:keepLines w:val="0"/>
              <w:pageBreakBefore w:val="0"/>
              <w:widowControl w:val="0"/>
              <w:overflowPunct/>
              <w:bidi w:val="0"/>
              <w:adjustRightInd w:val="0"/>
              <w:snapToGrid w:val="0"/>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2BCD83B2">
            <w:pPr>
              <w:pStyle w:val="21"/>
              <w:keepNext w:val="0"/>
              <w:keepLines w:val="0"/>
              <w:pageBreakBefore w:val="0"/>
              <w:widowControl w:val="0"/>
              <w:overflowPunct/>
              <w:bidi w:val="0"/>
              <w:adjustRightInd w:val="0"/>
              <w:snapToGrid w:val="0"/>
              <w:spacing w:line="298" w:lineRule="auto"/>
              <w:jc w:val="center"/>
              <w:rPr>
                <w:rFonts w:hint="eastAsia" w:ascii="宋体" w:hAnsi="宋体" w:eastAsia="宋体" w:cs="宋体"/>
                <w:color w:val="auto"/>
                <w:highlight w:val="none"/>
              </w:rPr>
            </w:pPr>
          </w:p>
          <w:p w14:paraId="20F36C88">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A0A52F">
            <w:pPr>
              <w:pStyle w:val="21"/>
              <w:keepNext w:val="0"/>
              <w:keepLines w:val="0"/>
              <w:pageBreakBefore w:val="0"/>
              <w:widowControl w:val="0"/>
              <w:overflowPunct/>
              <w:bidi w:val="0"/>
              <w:adjustRightInd w:val="0"/>
              <w:snapToGrid w:val="0"/>
              <w:spacing w:line="298" w:lineRule="auto"/>
              <w:jc w:val="center"/>
              <w:rPr>
                <w:rFonts w:hint="eastAsia" w:ascii="宋体" w:hAnsi="宋体" w:eastAsia="宋体" w:cs="宋体"/>
                <w:color w:val="auto"/>
                <w:highlight w:val="none"/>
              </w:rPr>
            </w:pPr>
          </w:p>
          <w:p w14:paraId="5488791B">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CE64865">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11747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790BD239">
            <w:pPr>
              <w:keepNext w:val="0"/>
              <w:keepLines w:val="0"/>
              <w:pageBreakBefore w:val="0"/>
              <w:widowControl w:val="0"/>
              <w:overflowPunct/>
              <w:bidi w:val="0"/>
              <w:adjustRightInd w:val="0"/>
              <w:snapToGrid w:val="0"/>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w:t>
            </w:r>
            <w:r>
              <w:rPr>
                <w:rFonts w:hint="eastAsia" w:ascii="宋体" w:hAnsi="宋体" w:eastAsia="宋体" w:cs="宋体"/>
                <w:color w:val="auto"/>
                <w:spacing w:val="-3"/>
                <w:sz w:val="24"/>
                <w:szCs w:val="24"/>
                <w:highlight w:val="none"/>
                <w:lang w:eastAsia="zh-CN"/>
              </w:rPr>
              <w:t>其他</w:t>
            </w:r>
          </w:p>
        </w:tc>
        <w:tc>
          <w:tcPr>
            <w:tcW w:w="1294" w:type="dxa"/>
            <w:vAlign w:val="top"/>
          </w:tcPr>
          <w:p w14:paraId="0A8EF750">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AE81868">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45B6D73">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31229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6062099">
            <w:pPr>
              <w:keepNext w:val="0"/>
              <w:keepLines w:val="0"/>
              <w:pageBreakBefore w:val="0"/>
              <w:widowControl w:val="0"/>
              <w:overflowPunct/>
              <w:bidi w:val="0"/>
              <w:adjustRightInd w:val="0"/>
              <w:snapToGrid w:val="0"/>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393A2F0">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460D37A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764AA">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46382FFF">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8A09427">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F500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F809FA7">
            <w:pPr>
              <w:keepNext w:val="0"/>
              <w:keepLines w:val="0"/>
              <w:pageBreakBefore w:val="0"/>
              <w:widowControl w:val="0"/>
              <w:overflowPunct/>
              <w:bidi w:val="0"/>
              <w:adjustRightInd w:val="0"/>
              <w:snapToGrid w:val="0"/>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08822356">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9E1546">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BE0AEA1">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43F3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FA0A61E">
            <w:pPr>
              <w:keepNext w:val="0"/>
              <w:keepLines w:val="0"/>
              <w:pageBreakBefore w:val="0"/>
              <w:widowControl w:val="0"/>
              <w:overflowPunct/>
              <w:bidi w:val="0"/>
              <w:adjustRightInd w:val="0"/>
              <w:snapToGrid w:val="0"/>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298F420B">
            <w:pPr>
              <w:pStyle w:val="21"/>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294" w:type="dxa"/>
            <w:vAlign w:val="top"/>
          </w:tcPr>
          <w:p w14:paraId="63617E01">
            <w:pPr>
              <w:pStyle w:val="21"/>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994" w:type="dxa"/>
            <w:vAlign w:val="top"/>
          </w:tcPr>
          <w:p w14:paraId="520BB391">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19D8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740E701">
            <w:pPr>
              <w:keepNext w:val="0"/>
              <w:keepLines w:val="0"/>
              <w:pageBreakBefore w:val="0"/>
              <w:widowControl w:val="0"/>
              <w:overflowPunct/>
              <w:bidi w:val="0"/>
              <w:adjustRightInd w:val="0"/>
              <w:snapToGrid w:val="0"/>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2A68A4C9">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C0CB447">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08057861">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1DF9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FB7B278">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17C0CBD">
            <w:pPr>
              <w:keepNext w:val="0"/>
              <w:keepLines w:val="0"/>
              <w:pageBreakBefore w:val="0"/>
              <w:widowControl w:val="0"/>
              <w:overflowPunct/>
              <w:bidi w:val="0"/>
              <w:adjustRightInd w:val="0"/>
              <w:snapToGrid w:val="0"/>
              <w:spacing w:before="163"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2606CC6">
            <w:pPr>
              <w:keepNext w:val="0"/>
              <w:keepLines w:val="0"/>
              <w:pageBreakBefore w:val="0"/>
              <w:widowControl w:val="0"/>
              <w:overflowPunct/>
              <w:bidi w:val="0"/>
              <w:adjustRightInd w:val="0"/>
              <w:snapToGrid w:val="0"/>
              <w:spacing w:before="163"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236F888">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9681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9C89B8F">
            <w:pPr>
              <w:keepNext w:val="0"/>
              <w:keepLines w:val="0"/>
              <w:pageBreakBefore w:val="0"/>
              <w:widowControl w:val="0"/>
              <w:overflowPunct/>
              <w:bidi w:val="0"/>
              <w:adjustRightInd w:val="0"/>
              <w:snapToGrid w:val="0"/>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7CD9070D">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3EB99E2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7EE17EE">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0E943A0C">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32050D9">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7AAB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3F0C18D5">
            <w:pPr>
              <w:keepNext w:val="0"/>
              <w:keepLines w:val="0"/>
              <w:pageBreakBefore w:val="0"/>
              <w:widowControl w:val="0"/>
              <w:overflowPunct/>
              <w:bidi w:val="0"/>
              <w:adjustRightInd w:val="0"/>
              <w:snapToGrid w:val="0"/>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68D8DF5C">
            <w:pPr>
              <w:pStyle w:val="21"/>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14:paraId="397B36BD">
            <w:pPr>
              <w:pStyle w:val="21"/>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14:paraId="47F4FF0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B05A667">
            <w:pPr>
              <w:pStyle w:val="21"/>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14:paraId="170DF03C">
            <w:pPr>
              <w:pStyle w:val="21"/>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14:paraId="08F0202A">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5E6C1874">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bl>
    <w:p w14:paraId="1CAE4A65">
      <w:pPr>
        <w:keepNext w:val="0"/>
        <w:keepLines w:val="0"/>
        <w:pageBreakBefore w:val="0"/>
        <w:widowControl w:val="0"/>
        <w:kinsoku/>
        <w:wordWrap w:val="0"/>
        <w:overflowPunct/>
        <w:topLinePunct/>
        <w:autoSpaceDE/>
        <w:autoSpaceDN/>
        <w:bidi w:val="0"/>
        <w:adjustRightInd w:val="0"/>
        <w:snapToGrid w:val="0"/>
        <w:spacing w:before="40"/>
        <w:ind w:right="84" w:rightChars="40"/>
        <w:rPr>
          <w:rFonts w:hint="eastAsia" w:ascii="宋体" w:hAnsi="宋体" w:eastAsia="宋体" w:cs="宋体"/>
          <w:color w:val="auto"/>
          <w:highlight w:val="none"/>
        </w:rPr>
      </w:pPr>
    </w:p>
    <w:p w14:paraId="54B66EEA">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20" w:firstLineChars="200"/>
        <w:rPr>
          <w:rFonts w:hint="eastAsia" w:ascii="宋体" w:hAnsi="宋体" w:eastAsia="宋体" w:cs="宋体"/>
          <w:color w:val="auto"/>
          <w:spacing w:val="9"/>
          <w:sz w:val="24"/>
          <w:szCs w:val="24"/>
          <w:highlight w:val="none"/>
          <w:lang w:eastAsia="zh-CN"/>
        </w:rPr>
      </w:pPr>
      <w:bookmarkStart w:id="240" w:name="bookmark161"/>
      <w:bookmarkEnd w:id="240"/>
      <w:bookmarkStart w:id="241" w:name="bookmark162"/>
      <w:bookmarkEnd w:id="241"/>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76A89719">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519C326C">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16" w:firstLineChars="200"/>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5A5583DB">
      <w:pPr>
        <w:keepNext w:val="0"/>
        <w:keepLines w:val="0"/>
        <w:pageBreakBefore w:val="0"/>
        <w:widowControl w:val="0"/>
        <w:kinsoku/>
        <w:wordWrap w:val="0"/>
        <w:overflowPunct/>
        <w:topLinePunct/>
        <w:autoSpaceDE/>
        <w:autoSpaceDN/>
        <w:bidi w:val="0"/>
        <w:adjustRightInd w:val="0"/>
        <w:snapToGrid w:val="0"/>
        <w:ind w:right="84" w:rightChars="40"/>
        <w:rPr>
          <w:color w:val="auto"/>
          <w:highlight w:val="none"/>
        </w:rPr>
      </w:pPr>
    </w:p>
    <w:p w14:paraId="25998DEA">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14:paraId="6BF2D88D">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14:paraId="3236A617">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14:paraId="5E1482D1">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14:paraId="7D1C5FA8">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14:paraId="122E4FDA">
      <w:pPr>
        <w:pStyle w:val="14"/>
        <w:keepNext w:val="0"/>
        <w:keepLines w:val="0"/>
        <w:pageBreakBefore w:val="0"/>
        <w:widowControl w:val="0"/>
        <w:kinsoku/>
        <w:wordWrap w:val="0"/>
        <w:overflowPunct/>
        <w:topLinePunct/>
        <w:autoSpaceDE/>
        <w:autoSpaceDN/>
        <w:bidi w:val="0"/>
        <w:adjustRightInd w:val="0"/>
        <w:snapToGrid w:val="0"/>
        <w:ind w:left="0" w:leftChars="0" w:right="84" w:rightChars="40" w:firstLine="0" w:firstLineChars="0"/>
        <w:rPr>
          <w:rFonts w:hint="eastAsia" w:ascii="宋体" w:hAnsi="宋体" w:eastAsia="宋体" w:cs="宋体"/>
          <w:b/>
          <w:bCs/>
          <w:color w:val="auto"/>
          <w:spacing w:val="-4"/>
          <w:sz w:val="24"/>
          <w:szCs w:val="24"/>
          <w:highlight w:val="none"/>
        </w:rPr>
      </w:pPr>
    </w:p>
    <w:p w14:paraId="388F872D">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jc w:val="left"/>
        <w:outlineLvl w:val="9"/>
        <w:rPr>
          <w:rFonts w:hint="eastAsia" w:ascii="宋体" w:hAnsi="宋体" w:eastAsia="宋体" w:cs="宋体"/>
          <w:b/>
          <w:bCs/>
          <w:color w:val="auto"/>
          <w:spacing w:val="-4"/>
          <w:sz w:val="24"/>
          <w:szCs w:val="24"/>
          <w:highlight w:val="none"/>
        </w:rPr>
      </w:pPr>
    </w:p>
    <w:p w14:paraId="18764551">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00B1E37A">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center"/>
        <w:outlineLvl w:val="1"/>
        <w:rPr>
          <w:rFonts w:hint="eastAsia" w:ascii="宋体" w:hAnsi="宋体" w:eastAsia="宋体" w:cs="宋体"/>
          <w:color w:val="auto"/>
          <w:highlight w:val="none"/>
        </w:rPr>
      </w:pPr>
      <w:bookmarkStart w:id="242" w:name="_Toc13631"/>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42"/>
    </w:p>
    <w:p w14:paraId="56A3860D">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3ED384EE">
      <w:pPr>
        <w:keepNext w:val="0"/>
        <w:keepLines w:val="0"/>
        <w:pageBreakBefore w:val="0"/>
        <w:widowControl w:val="0"/>
        <w:kinsoku/>
        <w:wordWrap w:val="0"/>
        <w:overflowPunct/>
        <w:topLinePunct/>
        <w:autoSpaceDE/>
        <w:autoSpaceDN/>
        <w:bidi w:val="0"/>
        <w:adjustRightInd w:val="0"/>
        <w:snapToGrid w:val="0"/>
        <w:spacing w:before="78" w:line="324" w:lineRule="auto"/>
        <w:ind w:right="84" w:rightChars="40"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2A45C68B">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6F61ED0-2834-41D6-9CAA-6F4F59BD895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方正小标宋简体">
    <w:panose1 w:val="02000000000000000000"/>
    <w:charset w:val="86"/>
    <w:family w:val="auto"/>
    <w:pitch w:val="default"/>
    <w:sig w:usb0="00000001" w:usb1="08000000" w:usb2="00000000" w:usb3="00000000" w:csb0="00040000" w:csb1="00000000"/>
    <w:embedRegular r:id="rId2" w:fontKey="{1FBCE8B6-281D-4371-9244-30989CFAD067}"/>
  </w:font>
  <w:font w:name="Tahoma">
    <w:panose1 w:val="020B0604030504040204"/>
    <w:charset w:val="00"/>
    <w:family w:val="auto"/>
    <w:pitch w:val="default"/>
    <w:sig w:usb0="E1002EFF" w:usb1="C000605B" w:usb2="00000029" w:usb3="00000000" w:csb0="200101FF" w:csb1="20280000"/>
    <w:embedRegular r:id="rId3" w:fontKey="{7C474EE1-9080-43DC-B91D-2876DAA004EB}"/>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E5EDC">
    <w:pPr>
      <w:pStyle w:val="9"/>
    </w:pPr>
    <w:r>
      <w:rPr>
        <w:sz w:val="18"/>
      </w:rPr>
      <mc:AlternateContent>
        <mc:Choice Requires="wps">
          <w:drawing>
            <wp:anchor distT="0" distB="0" distL="114300" distR="114300" simplePos="0" relativeHeight="251677696"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7B9F2065">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7696;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7B9F206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FA4F2">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790E24">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0E790E24">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509DA">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6D807F">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766D807F">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CDBFF">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CA0C19">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39CA0C19">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4F371">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0EFF8F">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490EFF8F">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B2D3E">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D834C0">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70D834C0">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9DD22">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3EED33">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053EED33">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E9A02">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09901A">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809901A">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6B7BA">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3D0994">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C3D0994">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FC8D2">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DE40D7">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15DE40D7">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82EE3">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88290" cy="14033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288290" cy="140335"/>
                      </a:xfrm>
                      <a:prstGeom prst="rect">
                        <a:avLst/>
                      </a:prstGeom>
                      <a:noFill/>
                      <a:ln>
                        <a:noFill/>
                      </a:ln>
                    </wps:spPr>
                    <wps:txbx>
                      <w:txbxContent>
                        <w:p w14:paraId="6C9EAEFE">
                          <w:pPr>
                            <w:pStyle w:val="9"/>
                          </w:pPr>
                          <w:r>
                            <w:fldChar w:fldCharType="begin"/>
                          </w:r>
                          <w:r>
                            <w:instrText xml:space="preserve"> PAGE  \* MERGEFORMAT </w:instrText>
                          </w:r>
                          <w:r>
                            <w:fldChar w:fldCharType="separate"/>
                          </w:r>
                          <w:r>
                            <w:t>14</w:t>
                          </w:r>
                          <w: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top:0pt;height:11.05pt;width:22.7pt;mso-position-horizontal:center;mso-position-horizontal-relative:margin;z-index:251662336;mso-width-relative:page;mso-height-relative:page;" filled="f" stroked="f" coordsize="21600,21600" o:gfxdata="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G2Lf+1AAAAAMBAAAPAAAAAAAAAAEAIAAAACIAAABkcnMv&#10;ZG93bnJldi54bWxQSwECFAAUAAAACACHTuJA3H6nrM4BAACbAwAADgAAAAAAAAABACAAAAAjAQAA&#10;ZHJzL2Uyb0RvYy54bWxQSwUGAAAAAAYABgBZAQAAYwUAAAAA&#10;">
              <v:fill on="f" focussize="0,0"/>
              <v:stroke on="f"/>
              <v:imagedata o:title=""/>
              <o:lock v:ext="edit" aspectratio="f"/>
              <v:textbox inset="0mm,0mm,0mm,0mm">
                <w:txbxContent>
                  <w:p w14:paraId="6C9EAEFE">
                    <w:pPr>
                      <w:pStyle w:val="9"/>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BB97">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B055B6">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76B055B6">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149F2">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45B295">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7D45B295">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4A2F1">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1336FA">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751336FA">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84B9A">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E881E7">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62E881E7">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8EB47">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1C121E">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731C121E">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D4BC8">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EC5D1E">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67EC5D1E">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80847">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453E">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E625E">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6DFCF">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abstractNum w:abstractNumId="2">
    <w:nsid w:val="31C8F4DD"/>
    <w:multiLevelType w:val="singleLevel"/>
    <w:tmpl w:val="31C8F4DD"/>
    <w:lvl w:ilvl="0" w:tentative="0">
      <w:start w:val="1"/>
      <w:numFmt w:val="decimal"/>
      <w:lvlText w:val="%1."/>
      <w:lvlJc w:val="left"/>
      <w:pPr>
        <w:tabs>
          <w:tab w:val="left" w:pos="312"/>
        </w:tabs>
      </w:pPr>
    </w:lvl>
  </w:abstractNum>
  <w:abstractNum w:abstractNumId="3">
    <w:nsid w:val="64F127C5"/>
    <w:multiLevelType w:val="singleLevel"/>
    <w:tmpl w:val="64F127C5"/>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yZDMxNWRkYmY5MjE3NjUxYTk3ZDA1NDUyNmVkYWEifQ=="/>
  </w:docVars>
  <w:rsids>
    <w:rsidRoot w:val="4F582EF7"/>
    <w:rsid w:val="002C5F23"/>
    <w:rsid w:val="00473031"/>
    <w:rsid w:val="005A48DC"/>
    <w:rsid w:val="00A92C73"/>
    <w:rsid w:val="00B6048B"/>
    <w:rsid w:val="00D61DC8"/>
    <w:rsid w:val="01276505"/>
    <w:rsid w:val="013F232E"/>
    <w:rsid w:val="014C6B51"/>
    <w:rsid w:val="018B7D8A"/>
    <w:rsid w:val="01B6213A"/>
    <w:rsid w:val="01BE1198"/>
    <w:rsid w:val="01CF674F"/>
    <w:rsid w:val="01D654C8"/>
    <w:rsid w:val="01FD63CC"/>
    <w:rsid w:val="02076F1C"/>
    <w:rsid w:val="02337D11"/>
    <w:rsid w:val="02BF0C55"/>
    <w:rsid w:val="02F34617"/>
    <w:rsid w:val="0358304C"/>
    <w:rsid w:val="039225AD"/>
    <w:rsid w:val="039E06FB"/>
    <w:rsid w:val="03E55EB3"/>
    <w:rsid w:val="03F01582"/>
    <w:rsid w:val="03FB2BEF"/>
    <w:rsid w:val="04021749"/>
    <w:rsid w:val="047837EC"/>
    <w:rsid w:val="04B67F25"/>
    <w:rsid w:val="04BF763A"/>
    <w:rsid w:val="04C4204D"/>
    <w:rsid w:val="04EF43C3"/>
    <w:rsid w:val="05643BFC"/>
    <w:rsid w:val="05991ECC"/>
    <w:rsid w:val="05AA684F"/>
    <w:rsid w:val="05BE615E"/>
    <w:rsid w:val="05E732EC"/>
    <w:rsid w:val="05EC614B"/>
    <w:rsid w:val="063C112F"/>
    <w:rsid w:val="069B537E"/>
    <w:rsid w:val="06C70A28"/>
    <w:rsid w:val="06C929F2"/>
    <w:rsid w:val="06CA23DC"/>
    <w:rsid w:val="07133987"/>
    <w:rsid w:val="07520C39"/>
    <w:rsid w:val="07920EE6"/>
    <w:rsid w:val="07A1396F"/>
    <w:rsid w:val="07A71DAB"/>
    <w:rsid w:val="07D30A11"/>
    <w:rsid w:val="081D0214"/>
    <w:rsid w:val="084A1910"/>
    <w:rsid w:val="088C763C"/>
    <w:rsid w:val="08B0281E"/>
    <w:rsid w:val="08CD7283"/>
    <w:rsid w:val="08EB6C4F"/>
    <w:rsid w:val="08F0135E"/>
    <w:rsid w:val="0920533B"/>
    <w:rsid w:val="092D5890"/>
    <w:rsid w:val="093E0412"/>
    <w:rsid w:val="09976F02"/>
    <w:rsid w:val="09C807D3"/>
    <w:rsid w:val="09F06AB0"/>
    <w:rsid w:val="09FA34EB"/>
    <w:rsid w:val="09FF4A68"/>
    <w:rsid w:val="0A0E67BB"/>
    <w:rsid w:val="0A62467A"/>
    <w:rsid w:val="0A7D4664"/>
    <w:rsid w:val="0AA92568"/>
    <w:rsid w:val="0AC01AF8"/>
    <w:rsid w:val="0AD33307"/>
    <w:rsid w:val="0B1A16F6"/>
    <w:rsid w:val="0B3866B7"/>
    <w:rsid w:val="0B61723B"/>
    <w:rsid w:val="0B934DBE"/>
    <w:rsid w:val="0BAF3FFB"/>
    <w:rsid w:val="0BD240F7"/>
    <w:rsid w:val="0BE856C8"/>
    <w:rsid w:val="0BF105BE"/>
    <w:rsid w:val="0C120997"/>
    <w:rsid w:val="0C2B1A59"/>
    <w:rsid w:val="0C4153D2"/>
    <w:rsid w:val="0C49746F"/>
    <w:rsid w:val="0CA07D76"/>
    <w:rsid w:val="0CA27F6D"/>
    <w:rsid w:val="0CEC73F9"/>
    <w:rsid w:val="0CF0217F"/>
    <w:rsid w:val="0D03679A"/>
    <w:rsid w:val="0D4511BD"/>
    <w:rsid w:val="0DCB0DFD"/>
    <w:rsid w:val="0DCE22AF"/>
    <w:rsid w:val="0DF525DE"/>
    <w:rsid w:val="0DF61CE0"/>
    <w:rsid w:val="0E1E1875"/>
    <w:rsid w:val="0E684952"/>
    <w:rsid w:val="0E7A2A03"/>
    <w:rsid w:val="0E7E6F16"/>
    <w:rsid w:val="0E8E37ED"/>
    <w:rsid w:val="0EAF2E14"/>
    <w:rsid w:val="0EDB59B8"/>
    <w:rsid w:val="0EE4486D"/>
    <w:rsid w:val="0F674A39"/>
    <w:rsid w:val="0F6F04DC"/>
    <w:rsid w:val="0F951923"/>
    <w:rsid w:val="10445201"/>
    <w:rsid w:val="105858FC"/>
    <w:rsid w:val="106C3AC2"/>
    <w:rsid w:val="108403E2"/>
    <w:rsid w:val="109275A9"/>
    <w:rsid w:val="10C15734"/>
    <w:rsid w:val="113E616D"/>
    <w:rsid w:val="11533574"/>
    <w:rsid w:val="11601D37"/>
    <w:rsid w:val="11717AF8"/>
    <w:rsid w:val="11785740"/>
    <w:rsid w:val="11862732"/>
    <w:rsid w:val="118F278E"/>
    <w:rsid w:val="11990915"/>
    <w:rsid w:val="119D4F21"/>
    <w:rsid w:val="11A47985"/>
    <w:rsid w:val="11BA5E81"/>
    <w:rsid w:val="11C67A56"/>
    <w:rsid w:val="11D80D88"/>
    <w:rsid w:val="12BB24D8"/>
    <w:rsid w:val="12E7492B"/>
    <w:rsid w:val="12E74FC1"/>
    <w:rsid w:val="12F27F6E"/>
    <w:rsid w:val="139D323C"/>
    <w:rsid w:val="13F65B92"/>
    <w:rsid w:val="14141B79"/>
    <w:rsid w:val="142B42FC"/>
    <w:rsid w:val="14760C96"/>
    <w:rsid w:val="14882C02"/>
    <w:rsid w:val="149745C8"/>
    <w:rsid w:val="14F03ACA"/>
    <w:rsid w:val="150D2643"/>
    <w:rsid w:val="156E41E4"/>
    <w:rsid w:val="158D1480"/>
    <w:rsid w:val="15A45AE5"/>
    <w:rsid w:val="15BB5A0C"/>
    <w:rsid w:val="15C42638"/>
    <w:rsid w:val="15D97B34"/>
    <w:rsid w:val="15DC13FE"/>
    <w:rsid w:val="15FB249C"/>
    <w:rsid w:val="15FD448C"/>
    <w:rsid w:val="16005D04"/>
    <w:rsid w:val="160E0085"/>
    <w:rsid w:val="16443E43"/>
    <w:rsid w:val="16737FC1"/>
    <w:rsid w:val="16CB4A2F"/>
    <w:rsid w:val="16CC58B4"/>
    <w:rsid w:val="16EA77FA"/>
    <w:rsid w:val="1722468F"/>
    <w:rsid w:val="172D27B1"/>
    <w:rsid w:val="173C4B1A"/>
    <w:rsid w:val="17726DD2"/>
    <w:rsid w:val="17751223"/>
    <w:rsid w:val="17C50FB3"/>
    <w:rsid w:val="17CC0594"/>
    <w:rsid w:val="18226406"/>
    <w:rsid w:val="182A472E"/>
    <w:rsid w:val="18673E19"/>
    <w:rsid w:val="18817E9E"/>
    <w:rsid w:val="18892528"/>
    <w:rsid w:val="18AD238B"/>
    <w:rsid w:val="190B3062"/>
    <w:rsid w:val="1962171E"/>
    <w:rsid w:val="1963464B"/>
    <w:rsid w:val="197764F6"/>
    <w:rsid w:val="19822DAB"/>
    <w:rsid w:val="19BC1F42"/>
    <w:rsid w:val="19BD63E6"/>
    <w:rsid w:val="19D5060C"/>
    <w:rsid w:val="1A3A6836"/>
    <w:rsid w:val="1A584D7E"/>
    <w:rsid w:val="1A5B5BFF"/>
    <w:rsid w:val="1AC50DC4"/>
    <w:rsid w:val="1AE57555"/>
    <w:rsid w:val="1B090C1E"/>
    <w:rsid w:val="1B4330C6"/>
    <w:rsid w:val="1B656D35"/>
    <w:rsid w:val="1B745FC1"/>
    <w:rsid w:val="1C2A3ADB"/>
    <w:rsid w:val="1C2A7C5F"/>
    <w:rsid w:val="1C324211"/>
    <w:rsid w:val="1C711CEC"/>
    <w:rsid w:val="1C7F3E27"/>
    <w:rsid w:val="1C8C06E6"/>
    <w:rsid w:val="1CC7568B"/>
    <w:rsid w:val="1D0C4F8F"/>
    <w:rsid w:val="1E067C30"/>
    <w:rsid w:val="1E3B5B2B"/>
    <w:rsid w:val="1E3E386E"/>
    <w:rsid w:val="1E491296"/>
    <w:rsid w:val="1E5D49E3"/>
    <w:rsid w:val="1E994221"/>
    <w:rsid w:val="1EDA5344"/>
    <w:rsid w:val="1EE13915"/>
    <w:rsid w:val="1EE461C3"/>
    <w:rsid w:val="1F487665"/>
    <w:rsid w:val="1F683A66"/>
    <w:rsid w:val="1FC50A6F"/>
    <w:rsid w:val="20801F1B"/>
    <w:rsid w:val="20CB1F07"/>
    <w:rsid w:val="20F6072B"/>
    <w:rsid w:val="210C65D7"/>
    <w:rsid w:val="21244F9D"/>
    <w:rsid w:val="213D3171"/>
    <w:rsid w:val="22277108"/>
    <w:rsid w:val="222C2B90"/>
    <w:rsid w:val="22457E73"/>
    <w:rsid w:val="22686ACA"/>
    <w:rsid w:val="22D310CE"/>
    <w:rsid w:val="22F866E1"/>
    <w:rsid w:val="233953DA"/>
    <w:rsid w:val="234E349D"/>
    <w:rsid w:val="23931F66"/>
    <w:rsid w:val="23DF37AB"/>
    <w:rsid w:val="246102B6"/>
    <w:rsid w:val="24782AD4"/>
    <w:rsid w:val="248726E0"/>
    <w:rsid w:val="249C3951"/>
    <w:rsid w:val="24CB6D2F"/>
    <w:rsid w:val="250E55AB"/>
    <w:rsid w:val="25166F06"/>
    <w:rsid w:val="254C2D14"/>
    <w:rsid w:val="256D06AE"/>
    <w:rsid w:val="257A5EF4"/>
    <w:rsid w:val="2582242A"/>
    <w:rsid w:val="25A55F80"/>
    <w:rsid w:val="25A85DA3"/>
    <w:rsid w:val="25B20381"/>
    <w:rsid w:val="25F25669"/>
    <w:rsid w:val="260B04D9"/>
    <w:rsid w:val="26105AEF"/>
    <w:rsid w:val="264763B7"/>
    <w:rsid w:val="26881A92"/>
    <w:rsid w:val="268B2A3A"/>
    <w:rsid w:val="268B3DAD"/>
    <w:rsid w:val="26A61FB0"/>
    <w:rsid w:val="26C5138D"/>
    <w:rsid w:val="27415C62"/>
    <w:rsid w:val="278A7BBB"/>
    <w:rsid w:val="27B65EBB"/>
    <w:rsid w:val="27EB002E"/>
    <w:rsid w:val="282B4E63"/>
    <w:rsid w:val="28884FF7"/>
    <w:rsid w:val="28903EFE"/>
    <w:rsid w:val="290F389D"/>
    <w:rsid w:val="2962542C"/>
    <w:rsid w:val="29D32E16"/>
    <w:rsid w:val="29E35145"/>
    <w:rsid w:val="2A1E771F"/>
    <w:rsid w:val="2AAB5DE7"/>
    <w:rsid w:val="2ABB14A2"/>
    <w:rsid w:val="2ADE07B4"/>
    <w:rsid w:val="2AF754D0"/>
    <w:rsid w:val="2B367172"/>
    <w:rsid w:val="2B7314CC"/>
    <w:rsid w:val="2B784A6E"/>
    <w:rsid w:val="2B9A7B07"/>
    <w:rsid w:val="2BA22667"/>
    <w:rsid w:val="2BAE2033"/>
    <w:rsid w:val="2BB37649"/>
    <w:rsid w:val="2BF5596C"/>
    <w:rsid w:val="2BFD3113"/>
    <w:rsid w:val="2C0003B4"/>
    <w:rsid w:val="2C15160E"/>
    <w:rsid w:val="2C44430E"/>
    <w:rsid w:val="2C5D1664"/>
    <w:rsid w:val="2C762A20"/>
    <w:rsid w:val="2C834915"/>
    <w:rsid w:val="2C892A75"/>
    <w:rsid w:val="2C9C00DD"/>
    <w:rsid w:val="2CA156F3"/>
    <w:rsid w:val="2D906B09"/>
    <w:rsid w:val="2D9C5EBB"/>
    <w:rsid w:val="2DD973AC"/>
    <w:rsid w:val="2E611B70"/>
    <w:rsid w:val="2E9A689E"/>
    <w:rsid w:val="2ECB6A58"/>
    <w:rsid w:val="2EDD4BB1"/>
    <w:rsid w:val="2F0401BB"/>
    <w:rsid w:val="2F197AD8"/>
    <w:rsid w:val="2F2729AC"/>
    <w:rsid w:val="2F3C0F4C"/>
    <w:rsid w:val="2F6F6AD1"/>
    <w:rsid w:val="2F957897"/>
    <w:rsid w:val="2F9C21A2"/>
    <w:rsid w:val="2FB82F9F"/>
    <w:rsid w:val="2FE5383E"/>
    <w:rsid w:val="2FEA4C7F"/>
    <w:rsid w:val="2FF43805"/>
    <w:rsid w:val="3037089D"/>
    <w:rsid w:val="30D864C1"/>
    <w:rsid w:val="30D97B01"/>
    <w:rsid w:val="30F72C19"/>
    <w:rsid w:val="31013C49"/>
    <w:rsid w:val="311A3606"/>
    <w:rsid w:val="312319EF"/>
    <w:rsid w:val="313B704E"/>
    <w:rsid w:val="313C778B"/>
    <w:rsid w:val="31790C43"/>
    <w:rsid w:val="319A63F2"/>
    <w:rsid w:val="321A2D0F"/>
    <w:rsid w:val="324D664C"/>
    <w:rsid w:val="32BE6EB2"/>
    <w:rsid w:val="32C7154E"/>
    <w:rsid w:val="33156D5E"/>
    <w:rsid w:val="3317207A"/>
    <w:rsid w:val="331A6B7B"/>
    <w:rsid w:val="331F2052"/>
    <w:rsid w:val="33396D39"/>
    <w:rsid w:val="33643EF5"/>
    <w:rsid w:val="3387564F"/>
    <w:rsid w:val="33AA41B5"/>
    <w:rsid w:val="33C70135"/>
    <w:rsid w:val="33CF325B"/>
    <w:rsid w:val="33D80BF4"/>
    <w:rsid w:val="347B4A7C"/>
    <w:rsid w:val="348463F8"/>
    <w:rsid w:val="348F605A"/>
    <w:rsid w:val="34E716B6"/>
    <w:rsid w:val="35233259"/>
    <w:rsid w:val="352C3F7A"/>
    <w:rsid w:val="35357321"/>
    <w:rsid w:val="3553337E"/>
    <w:rsid w:val="359A23F1"/>
    <w:rsid w:val="359F2BE0"/>
    <w:rsid w:val="35E05EE6"/>
    <w:rsid w:val="35FC399A"/>
    <w:rsid w:val="36516C72"/>
    <w:rsid w:val="36B60605"/>
    <w:rsid w:val="36C5227C"/>
    <w:rsid w:val="36DB3EF8"/>
    <w:rsid w:val="36DB7A54"/>
    <w:rsid w:val="37704A11"/>
    <w:rsid w:val="37C45ACE"/>
    <w:rsid w:val="37E335F2"/>
    <w:rsid w:val="3835053A"/>
    <w:rsid w:val="384D6C1B"/>
    <w:rsid w:val="386B727B"/>
    <w:rsid w:val="389E342F"/>
    <w:rsid w:val="38AF2F46"/>
    <w:rsid w:val="38BE1535"/>
    <w:rsid w:val="38CD74D8"/>
    <w:rsid w:val="391D7376"/>
    <w:rsid w:val="39243950"/>
    <w:rsid w:val="392A6928"/>
    <w:rsid w:val="39403E21"/>
    <w:rsid w:val="397A7B42"/>
    <w:rsid w:val="39B4157B"/>
    <w:rsid w:val="39B5458C"/>
    <w:rsid w:val="3A104D75"/>
    <w:rsid w:val="3A2940F7"/>
    <w:rsid w:val="3A4C2C68"/>
    <w:rsid w:val="3A5C783F"/>
    <w:rsid w:val="3A5E69D2"/>
    <w:rsid w:val="3A7C154E"/>
    <w:rsid w:val="3AAF1923"/>
    <w:rsid w:val="3B035B4A"/>
    <w:rsid w:val="3B2C2F74"/>
    <w:rsid w:val="3B351E28"/>
    <w:rsid w:val="3B4F53C1"/>
    <w:rsid w:val="3B78218B"/>
    <w:rsid w:val="3BAD62A4"/>
    <w:rsid w:val="3BAE3989"/>
    <w:rsid w:val="3C2052F0"/>
    <w:rsid w:val="3C2412AC"/>
    <w:rsid w:val="3C242530"/>
    <w:rsid w:val="3C6D274E"/>
    <w:rsid w:val="3C704532"/>
    <w:rsid w:val="3C770CC6"/>
    <w:rsid w:val="3CCA02B2"/>
    <w:rsid w:val="3CCA56DE"/>
    <w:rsid w:val="3CD613E9"/>
    <w:rsid w:val="3CE62383"/>
    <w:rsid w:val="3CEC7A2A"/>
    <w:rsid w:val="3CF76813"/>
    <w:rsid w:val="3CF9744B"/>
    <w:rsid w:val="3D0433A8"/>
    <w:rsid w:val="3D0F69B6"/>
    <w:rsid w:val="3D210DFB"/>
    <w:rsid w:val="3D4A77E5"/>
    <w:rsid w:val="3D9A5AC9"/>
    <w:rsid w:val="3DA32E7E"/>
    <w:rsid w:val="3DC21633"/>
    <w:rsid w:val="3DCE35B6"/>
    <w:rsid w:val="3DD136B5"/>
    <w:rsid w:val="3DF00F2D"/>
    <w:rsid w:val="3E0F3EB7"/>
    <w:rsid w:val="3E2609B2"/>
    <w:rsid w:val="3E3A4625"/>
    <w:rsid w:val="3E6B7D03"/>
    <w:rsid w:val="3E7F6463"/>
    <w:rsid w:val="3ECB4852"/>
    <w:rsid w:val="3EE53880"/>
    <w:rsid w:val="3EEB0292"/>
    <w:rsid w:val="3F281B00"/>
    <w:rsid w:val="3F930BE9"/>
    <w:rsid w:val="3F952DC8"/>
    <w:rsid w:val="3FE15005"/>
    <w:rsid w:val="3FE77469"/>
    <w:rsid w:val="400E2C48"/>
    <w:rsid w:val="40E21F2A"/>
    <w:rsid w:val="41216845"/>
    <w:rsid w:val="4172492F"/>
    <w:rsid w:val="41E73751"/>
    <w:rsid w:val="42293C08"/>
    <w:rsid w:val="427179B7"/>
    <w:rsid w:val="428D039F"/>
    <w:rsid w:val="4294514B"/>
    <w:rsid w:val="429E2362"/>
    <w:rsid w:val="42FC0E58"/>
    <w:rsid w:val="434F15AD"/>
    <w:rsid w:val="435A0011"/>
    <w:rsid w:val="437454B8"/>
    <w:rsid w:val="43947908"/>
    <w:rsid w:val="43AA0EDA"/>
    <w:rsid w:val="43C845C3"/>
    <w:rsid w:val="43D25E53"/>
    <w:rsid w:val="43D617E5"/>
    <w:rsid w:val="440138A0"/>
    <w:rsid w:val="44246EDE"/>
    <w:rsid w:val="44692B43"/>
    <w:rsid w:val="44983428"/>
    <w:rsid w:val="44C004DA"/>
    <w:rsid w:val="44C47D79"/>
    <w:rsid w:val="44D51F86"/>
    <w:rsid w:val="45111A2C"/>
    <w:rsid w:val="4516612D"/>
    <w:rsid w:val="451A208F"/>
    <w:rsid w:val="4545340E"/>
    <w:rsid w:val="458D2861"/>
    <w:rsid w:val="45BB3260"/>
    <w:rsid w:val="46092999"/>
    <w:rsid w:val="4612476D"/>
    <w:rsid w:val="462E5DF2"/>
    <w:rsid w:val="464A412C"/>
    <w:rsid w:val="46713F31"/>
    <w:rsid w:val="46723523"/>
    <w:rsid w:val="468F5CB4"/>
    <w:rsid w:val="4690085B"/>
    <w:rsid w:val="46C027C2"/>
    <w:rsid w:val="4743767B"/>
    <w:rsid w:val="474820C5"/>
    <w:rsid w:val="47590C4D"/>
    <w:rsid w:val="475B13E7"/>
    <w:rsid w:val="479003E6"/>
    <w:rsid w:val="47947ED7"/>
    <w:rsid w:val="47DD7AD0"/>
    <w:rsid w:val="47E70FBB"/>
    <w:rsid w:val="481D611E"/>
    <w:rsid w:val="48221986"/>
    <w:rsid w:val="48813B83"/>
    <w:rsid w:val="48B545A9"/>
    <w:rsid w:val="48D11064"/>
    <w:rsid w:val="48D34790"/>
    <w:rsid w:val="493D3689"/>
    <w:rsid w:val="494C6C0E"/>
    <w:rsid w:val="4955379A"/>
    <w:rsid w:val="498A148C"/>
    <w:rsid w:val="498C348F"/>
    <w:rsid w:val="49DA3B9B"/>
    <w:rsid w:val="49DD2C12"/>
    <w:rsid w:val="49FA5FEB"/>
    <w:rsid w:val="4A5573E4"/>
    <w:rsid w:val="4A62606A"/>
    <w:rsid w:val="4B380D6F"/>
    <w:rsid w:val="4B3D3EEE"/>
    <w:rsid w:val="4B4E3416"/>
    <w:rsid w:val="4BBC29D4"/>
    <w:rsid w:val="4BBD76FF"/>
    <w:rsid w:val="4BDB0732"/>
    <w:rsid w:val="4BFC3BE0"/>
    <w:rsid w:val="4C4222CE"/>
    <w:rsid w:val="4C560DCF"/>
    <w:rsid w:val="4C723258"/>
    <w:rsid w:val="4C87254C"/>
    <w:rsid w:val="4D0F1621"/>
    <w:rsid w:val="4D24354A"/>
    <w:rsid w:val="4D416DCE"/>
    <w:rsid w:val="4D4E6D7A"/>
    <w:rsid w:val="4D663FDA"/>
    <w:rsid w:val="4D716070"/>
    <w:rsid w:val="4D9A1FBF"/>
    <w:rsid w:val="4DCE1F8B"/>
    <w:rsid w:val="4DF94F37"/>
    <w:rsid w:val="4E437F61"/>
    <w:rsid w:val="4EA15C4E"/>
    <w:rsid w:val="4EA34EA3"/>
    <w:rsid w:val="4F2D0C2D"/>
    <w:rsid w:val="4F411EB6"/>
    <w:rsid w:val="4F4928CD"/>
    <w:rsid w:val="4F582EF7"/>
    <w:rsid w:val="4F5C339F"/>
    <w:rsid w:val="4F7C4EB4"/>
    <w:rsid w:val="4FBA24A4"/>
    <w:rsid w:val="50221035"/>
    <w:rsid w:val="50983373"/>
    <w:rsid w:val="50AB5953"/>
    <w:rsid w:val="50B85E77"/>
    <w:rsid w:val="50D60C20"/>
    <w:rsid w:val="50F0487A"/>
    <w:rsid w:val="51183927"/>
    <w:rsid w:val="5135755A"/>
    <w:rsid w:val="51574F11"/>
    <w:rsid w:val="517B73AD"/>
    <w:rsid w:val="518A5306"/>
    <w:rsid w:val="518B3C20"/>
    <w:rsid w:val="51983548"/>
    <w:rsid w:val="51AB3D3B"/>
    <w:rsid w:val="51B103B9"/>
    <w:rsid w:val="51DA0BDC"/>
    <w:rsid w:val="5205302F"/>
    <w:rsid w:val="52534816"/>
    <w:rsid w:val="52634928"/>
    <w:rsid w:val="52656647"/>
    <w:rsid w:val="53277999"/>
    <w:rsid w:val="53332C9A"/>
    <w:rsid w:val="53502440"/>
    <w:rsid w:val="53A35FB7"/>
    <w:rsid w:val="53F103E9"/>
    <w:rsid w:val="54016C23"/>
    <w:rsid w:val="542D7D22"/>
    <w:rsid w:val="54416B9F"/>
    <w:rsid w:val="5472334E"/>
    <w:rsid w:val="54C3162C"/>
    <w:rsid w:val="5533356F"/>
    <w:rsid w:val="554747DA"/>
    <w:rsid w:val="5563097D"/>
    <w:rsid w:val="559B1C90"/>
    <w:rsid w:val="55A208DD"/>
    <w:rsid w:val="55D21BD3"/>
    <w:rsid w:val="55E06161"/>
    <w:rsid w:val="564725B8"/>
    <w:rsid w:val="565E3AAB"/>
    <w:rsid w:val="56652099"/>
    <w:rsid w:val="56680EAC"/>
    <w:rsid w:val="56843C9F"/>
    <w:rsid w:val="5699669D"/>
    <w:rsid w:val="569B3338"/>
    <w:rsid w:val="56F5281F"/>
    <w:rsid w:val="5765355C"/>
    <w:rsid w:val="57690BD0"/>
    <w:rsid w:val="57C15E41"/>
    <w:rsid w:val="57CA1153"/>
    <w:rsid w:val="57F56770"/>
    <w:rsid w:val="580118E9"/>
    <w:rsid w:val="58032F19"/>
    <w:rsid w:val="584A495B"/>
    <w:rsid w:val="58947716"/>
    <w:rsid w:val="58B66C06"/>
    <w:rsid w:val="58C779E0"/>
    <w:rsid w:val="5909228A"/>
    <w:rsid w:val="595A73EE"/>
    <w:rsid w:val="59B477E8"/>
    <w:rsid w:val="59BB55F9"/>
    <w:rsid w:val="5A2F2D66"/>
    <w:rsid w:val="5A4B256F"/>
    <w:rsid w:val="5A6E1669"/>
    <w:rsid w:val="5A86004F"/>
    <w:rsid w:val="5A8938AD"/>
    <w:rsid w:val="5AAE69DB"/>
    <w:rsid w:val="5AEC436F"/>
    <w:rsid w:val="5AEC6CFC"/>
    <w:rsid w:val="5AF0582F"/>
    <w:rsid w:val="5AF947C9"/>
    <w:rsid w:val="5B1B6AA6"/>
    <w:rsid w:val="5B224E28"/>
    <w:rsid w:val="5B242EC8"/>
    <w:rsid w:val="5B97755C"/>
    <w:rsid w:val="5BAF7B56"/>
    <w:rsid w:val="5BF44F90"/>
    <w:rsid w:val="5BF611E3"/>
    <w:rsid w:val="5C0E6052"/>
    <w:rsid w:val="5C313AEE"/>
    <w:rsid w:val="5C86208C"/>
    <w:rsid w:val="5CAC7619"/>
    <w:rsid w:val="5CF05CF5"/>
    <w:rsid w:val="5D131446"/>
    <w:rsid w:val="5D1A254C"/>
    <w:rsid w:val="5D5C4B9B"/>
    <w:rsid w:val="5D7C18C6"/>
    <w:rsid w:val="5DA14CA4"/>
    <w:rsid w:val="5DA779D9"/>
    <w:rsid w:val="5DAE6D91"/>
    <w:rsid w:val="5DC84953"/>
    <w:rsid w:val="5E304F96"/>
    <w:rsid w:val="5E434081"/>
    <w:rsid w:val="5E905EE0"/>
    <w:rsid w:val="5EAC56AE"/>
    <w:rsid w:val="5EC16571"/>
    <w:rsid w:val="5EDA0A8B"/>
    <w:rsid w:val="5EF74F80"/>
    <w:rsid w:val="5F0537AA"/>
    <w:rsid w:val="5F20072A"/>
    <w:rsid w:val="5F2117F1"/>
    <w:rsid w:val="5F2B3E04"/>
    <w:rsid w:val="5F760F40"/>
    <w:rsid w:val="5F97010C"/>
    <w:rsid w:val="5FBE1B3D"/>
    <w:rsid w:val="5FFF5CB2"/>
    <w:rsid w:val="600A6F80"/>
    <w:rsid w:val="602A4375"/>
    <w:rsid w:val="604A33D1"/>
    <w:rsid w:val="60673F83"/>
    <w:rsid w:val="606E1F64"/>
    <w:rsid w:val="60C253E7"/>
    <w:rsid w:val="60CE0B25"/>
    <w:rsid w:val="60DA1E30"/>
    <w:rsid w:val="60F832A4"/>
    <w:rsid w:val="61555832"/>
    <w:rsid w:val="61A30FEA"/>
    <w:rsid w:val="61C34DC7"/>
    <w:rsid w:val="61D5316E"/>
    <w:rsid w:val="61D67CE4"/>
    <w:rsid w:val="61DB6D9C"/>
    <w:rsid w:val="6200643D"/>
    <w:rsid w:val="623C3CCB"/>
    <w:rsid w:val="6277131B"/>
    <w:rsid w:val="62894736"/>
    <w:rsid w:val="62EC69C1"/>
    <w:rsid w:val="63520F1A"/>
    <w:rsid w:val="636E0BBA"/>
    <w:rsid w:val="637E7EF7"/>
    <w:rsid w:val="63964B41"/>
    <w:rsid w:val="63CD195A"/>
    <w:rsid w:val="640D3BB9"/>
    <w:rsid w:val="646C600B"/>
    <w:rsid w:val="647C3D75"/>
    <w:rsid w:val="64CC5E52"/>
    <w:rsid w:val="64E31465"/>
    <w:rsid w:val="658D4138"/>
    <w:rsid w:val="659B6065"/>
    <w:rsid w:val="65B768E4"/>
    <w:rsid w:val="65EE2A50"/>
    <w:rsid w:val="65F03AE7"/>
    <w:rsid w:val="66043DF1"/>
    <w:rsid w:val="661D46CA"/>
    <w:rsid w:val="663414BA"/>
    <w:rsid w:val="66887A48"/>
    <w:rsid w:val="66A92A7C"/>
    <w:rsid w:val="66B94E0C"/>
    <w:rsid w:val="66BB1AFB"/>
    <w:rsid w:val="66CF7EED"/>
    <w:rsid w:val="66E83943"/>
    <w:rsid w:val="673D6A15"/>
    <w:rsid w:val="67770FE2"/>
    <w:rsid w:val="67960780"/>
    <w:rsid w:val="67B7270A"/>
    <w:rsid w:val="682E5386"/>
    <w:rsid w:val="68324D3D"/>
    <w:rsid w:val="6884575B"/>
    <w:rsid w:val="688D47A2"/>
    <w:rsid w:val="68CD623B"/>
    <w:rsid w:val="68DB72BC"/>
    <w:rsid w:val="68EC7B77"/>
    <w:rsid w:val="68FD36D6"/>
    <w:rsid w:val="69562DE6"/>
    <w:rsid w:val="695E105C"/>
    <w:rsid w:val="696012B6"/>
    <w:rsid w:val="69642093"/>
    <w:rsid w:val="69793E59"/>
    <w:rsid w:val="69C02956"/>
    <w:rsid w:val="69CA6B08"/>
    <w:rsid w:val="69CB2F30"/>
    <w:rsid w:val="6A042666"/>
    <w:rsid w:val="6A39608B"/>
    <w:rsid w:val="6A407686"/>
    <w:rsid w:val="6A5D26C8"/>
    <w:rsid w:val="6A9736F0"/>
    <w:rsid w:val="6AC36824"/>
    <w:rsid w:val="6B680BAF"/>
    <w:rsid w:val="6B6C68F1"/>
    <w:rsid w:val="6B7E21AF"/>
    <w:rsid w:val="6BA17D14"/>
    <w:rsid w:val="6BCC55E2"/>
    <w:rsid w:val="6BCD76B0"/>
    <w:rsid w:val="6C0905E4"/>
    <w:rsid w:val="6CBC5656"/>
    <w:rsid w:val="6CF3436B"/>
    <w:rsid w:val="6D056FFD"/>
    <w:rsid w:val="6D5B6316"/>
    <w:rsid w:val="6D9143ED"/>
    <w:rsid w:val="6DC74A88"/>
    <w:rsid w:val="6DDC0B81"/>
    <w:rsid w:val="6DDE7CAA"/>
    <w:rsid w:val="6DDF784E"/>
    <w:rsid w:val="6DEA2117"/>
    <w:rsid w:val="6E0C6BA8"/>
    <w:rsid w:val="6E245261"/>
    <w:rsid w:val="6E3623A1"/>
    <w:rsid w:val="6E4C538F"/>
    <w:rsid w:val="6E8C1058"/>
    <w:rsid w:val="6EAC5256"/>
    <w:rsid w:val="6EBF142E"/>
    <w:rsid w:val="6EEE3AC1"/>
    <w:rsid w:val="6EEF30FE"/>
    <w:rsid w:val="6F067CA7"/>
    <w:rsid w:val="6F651FD5"/>
    <w:rsid w:val="6FB97C2B"/>
    <w:rsid w:val="6FE70C3C"/>
    <w:rsid w:val="6FF505A3"/>
    <w:rsid w:val="7017553E"/>
    <w:rsid w:val="707419E2"/>
    <w:rsid w:val="70841633"/>
    <w:rsid w:val="70A47AAD"/>
    <w:rsid w:val="70E51DA8"/>
    <w:rsid w:val="71551BD5"/>
    <w:rsid w:val="71946BA2"/>
    <w:rsid w:val="71A843FB"/>
    <w:rsid w:val="71CB17A6"/>
    <w:rsid w:val="71EA1770"/>
    <w:rsid w:val="72071B4D"/>
    <w:rsid w:val="721E450C"/>
    <w:rsid w:val="723075FA"/>
    <w:rsid w:val="7256750B"/>
    <w:rsid w:val="725F0F5E"/>
    <w:rsid w:val="7262278F"/>
    <w:rsid w:val="73397A01"/>
    <w:rsid w:val="736A253A"/>
    <w:rsid w:val="737348B6"/>
    <w:rsid w:val="73926005"/>
    <w:rsid w:val="73A429A0"/>
    <w:rsid w:val="73AC2D59"/>
    <w:rsid w:val="73EC5B91"/>
    <w:rsid w:val="74035426"/>
    <w:rsid w:val="74600273"/>
    <w:rsid w:val="74CF1255"/>
    <w:rsid w:val="74E7523A"/>
    <w:rsid w:val="74FB54A4"/>
    <w:rsid w:val="751653F3"/>
    <w:rsid w:val="751A7B05"/>
    <w:rsid w:val="751E1C96"/>
    <w:rsid w:val="75220020"/>
    <w:rsid w:val="75611CC1"/>
    <w:rsid w:val="75DD731F"/>
    <w:rsid w:val="7650620D"/>
    <w:rsid w:val="76642085"/>
    <w:rsid w:val="768014A2"/>
    <w:rsid w:val="7682438C"/>
    <w:rsid w:val="768857E3"/>
    <w:rsid w:val="768D4B1F"/>
    <w:rsid w:val="77060EB2"/>
    <w:rsid w:val="77120FDD"/>
    <w:rsid w:val="775C2950"/>
    <w:rsid w:val="77610F13"/>
    <w:rsid w:val="778C37F8"/>
    <w:rsid w:val="779B3AB0"/>
    <w:rsid w:val="779D7E32"/>
    <w:rsid w:val="779E1053"/>
    <w:rsid w:val="77B12E34"/>
    <w:rsid w:val="77C54382"/>
    <w:rsid w:val="77D46CD2"/>
    <w:rsid w:val="77D83D50"/>
    <w:rsid w:val="781D0CC1"/>
    <w:rsid w:val="7823193A"/>
    <w:rsid w:val="782E61C7"/>
    <w:rsid w:val="78322C70"/>
    <w:rsid w:val="783B33E4"/>
    <w:rsid w:val="7844130F"/>
    <w:rsid w:val="78534B66"/>
    <w:rsid w:val="787B0197"/>
    <w:rsid w:val="787E1A12"/>
    <w:rsid w:val="788259A6"/>
    <w:rsid w:val="78963871"/>
    <w:rsid w:val="78BE10F6"/>
    <w:rsid w:val="78CA4C57"/>
    <w:rsid w:val="78D43D28"/>
    <w:rsid w:val="791D628E"/>
    <w:rsid w:val="794672BF"/>
    <w:rsid w:val="796A5940"/>
    <w:rsid w:val="798968C0"/>
    <w:rsid w:val="79E263BE"/>
    <w:rsid w:val="7A3C1D44"/>
    <w:rsid w:val="7A857AB7"/>
    <w:rsid w:val="7A994DE9"/>
    <w:rsid w:val="7ACB4CB6"/>
    <w:rsid w:val="7ADD5362"/>
    <w:rsid w:val="7B036E36"/>
    <w:rsid w:val="7B1A0118"/>
    <w:rsid w:val="7B31160A"/>
    <w:rsid w:val="7B62386D"/>
    <w:rsid w:val="7B6E2211"/>
    <w:rsid w:val="7B8F0935"/>
    <w:rsid w:val="7BD227A0"/>
    <w:rsid w:val="7C2B4FE0"/>
    <w:rsid w:val="7C85264B"/>
    <w:rsid w:val="7C893D26"/>
    <w:rsid w:val="7C906AD0"/>
    <w:rsid w:val="7C9932BE"/>
    <w:rsid w:val="7CA86C56"/>
    <w:rsid w:val="7CBD69D7"/>
    <w:rsid w:val="7CC76395"/>
    <w:rsid w:val="7D1961AD"/>
    <w:rsid w:val="7D697BD3"/>
    <w:rsid w:val="7D7A30EF"/>
    <w:rsid w:val="7D9D293A"/>
    <w:rsid w:val="7E0B01EB"/>
    <w:rsid w:val="7E1E7F1F"/>
    <w:rsid w:val="7E321E60"/>
    <w:rsid w:val="7E493D4F"/>
    <w:rsid w:val="7E5356EF"/>
    <w:rsid w:val="7E881DA7"/>
    <w:rsid w:val="7E9B65C0"/>
    <w:rsid w:val="7EF74710"/>
    <w:rsid w:val="7F3D58B7"/>
    <w:rsid w:val="7F405C73"/>
    <w:rsid w:val="7F6B3277"/>
    <w:rsid w:val="7F7C3A97"/>
    <w:rsid w:val="7F8A1F41"/>
    <w:rsid w:val="7FB63BAF"/>
    <w:rsid w:val="7FFA67D9"/>
    <w:rsid w:val="7FFB9374"/>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3"/>
    <w:basedOn w:val="1"/>
    <w:next w:val="1"/>
    <w:qFormat/>
    <w:uiPriority w:val="99"/>
    <w:pPr>
      <w:spacing w:afterLines="50"/>
      <w:jc w:val="center"/>
    </w:pPr>
    <w:rPr>
      <w:rFonts w:ascii="Times New Roman" w:hAnsi="Times New Roman" w:eastAsia="楷体_GB2312" w:cs="Times New Roman"/>
      <w:kern w:val="2"/>
      <w:sz w:val="24"/>
      <w:szCs w:val="16"/>
      <w:lang w:val="en-US" w:eastAsia="zh-CN" w:bidi="ar-SA"/>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6"/>
    <w:qFormat/>
    <w:uiPriority w:val="0"/>
    <w:pPr>
      <w:spacing w:line="500" w:lineRule="exact"/>
    </w:pPr>
    <w:rPr>
      <w:rFonts w:ascii="宋体" w:hAnsi="Times New Roman" w:eastAsia="宋体" w:cs="Times New Roman"/>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6"/>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7"/>
    <w:qFormat/>
    <w:uiPriority w:val="0"/>
    <w:rPr>
      <w:rFonts w:ascii="MingLiU" w:hAnsi="Times New Roman" w:eastAsia="MingLiU" w:cs="MingLiU"/>
      <w:spacing w:val="0"/>
      <w:sz w:val="22"/>
      <w:szCs w:val="22"/>
      <w:u w:val="none"/>
    </w:rPr>
  </w:style>
  <w:style w:type="table" w:customStyle="1" w:styleId="43">
    <w:name w:val="Table Normal"/>
    <w:semiHidden/>
    <w:unhideWhenUsed/>
    <w:qFormat/>
    <w:uiPriority w:val="0"/>
    <w:tblPr>
      <w:tblCellMar>
        <w:top w:w="0" w:type="dxa"/>
        <w:left w:w="0" w:type="dxa"/>
        <w:bottom w:w="0" w:type="dxa"/>
        <w:right w:w="0" w:type="dxa"/>
      </w:tblCellMar>
    </w:tblPr>
  </w:style>
  <w:style w:type="character" w:customStyle="1" w:styleId="44">
    <w:name w:val="font31"/>
    <w:basedOn w:val="17"/>
    <w:qFormat/>
    <w:uiPriority w:val="0"/>
    <w:rPr>
      <w:rFonts w:ascii="宋体" w:hAnsi="宋体" w:eastAsia="宋体" w:cs="宋体"/>
      <w:color w:val="000000"/>
      <w:sz w:val="18"/>
      <w:szCs w:val="18"/>
      <w:u w:val="none"/>
    </w:rPr>
  </w:style>
  <w:style w:type="character" w:customStyle="1" w:styleId="45">
    <w:name w:val="font41"/>
    <w:basedOn w:val="17"/>
    <w:qFormat/>
    <w:uiPriority w:val="0"/>
    <w:rPr>
      <w:rFonts w:ascii="宋体" w:hAnsi="宋体" w:eastAsia="宋体" w:cs="宋体"/>
      <w:color w:val="000000"/>
      <w:sz w:val="16"/>
      <w:szCs w:val="16"/>
      <w:u w:val="none"/>
    </w:rPr>
  </w:style>
  <w:style w:type="paragraph" w:customStyle="1" w:styleId="46">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7">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8">
    <w:name w:val="font21"/>
    <w:basedOn w:val="17"/>
    <w:qFormat/>
    <w:uiPriority w:val="0"/>
    <w:rPr>
      <w:rFonts w:ascii="Arial" w:hAnsi="Arial" w:cs="Arial"/>
      <w:color w:val="000000"/>
      <w:sz w:val="24"/>
      <w:szCs w:val="24"/>
      <w:u w:val="none"/>
    </w:rPr>
  </w:style>
  <w:style w:type="paragraph" w:customStyle="1" w:styleId="49">
    <w:name w:val="标题 2 New New"/>
    <w:basedOn w:val="50"/>
    <w:next w:val="50"/>
    <w:qFormat/>
    <w:uiPriority w:val="0"/>
    <w:pPr>
      <w:autoSpaceDE w:val="0"/>
      <w:autoSpaceDN w:val="0"/>
      <w:adjustRightInd w:val="0"/>
      <w:jc w:val="left"/>
      <w:outlineLvl w:val="1"/>
    </w:pPr>
    <w:rPr>
      <w:kern w:val="0"/>
      <w:sz w:val="24"/>
    </w:rPr>
  </w:style>
  <w:style w:type="paragraph" w:customStyle="1" w:styleId="50">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7" Type="http://schemas.openxmlformats.org/officeDocument/2006/relationships/fontTable" Target="fontTable.xml"/><Relationship Id="rId56" Type="http://schemas.openxmlformats.org/officeDocument/2006/relationships/customXml" Target="../customXml/item2.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17.png"/><Relationship Id="rId52" Type="http://schemas.openxmlformats.org/officeDocument/2006/relationships/image" Target="media/image16.png"/><Relationship Id="rId51" Type="http://schemas.openxmlformats.org/officeDocument/2006/relationships/image" Target="media/image15.png"/><Relationship Id="rId50" Type="http://schemas.openxmlformats.org/officeDocument/2006/relationships/image" Target="media/image14.png"/><Relationship Id="rId5" Type="http://schemas.openxmlformats.org/officeDocument/2006/relationships/footer" Target="footer1.xml"/><Relationship Id="rId49" Type="http://schemas.openxmlformats.org/officeDocument/2006/relationships/image" Target="media/image13.wmf"/><Relationship Id="rId48" Type="http://schemas.openxmlformats.org/officeDocument/2006/relationships/oleObject" Target="embeddings/oleObject12.bin"/><Relationship Id="rId47" Type="http://schemas.openxmlformats.org/officeDocument/2006/relationships/image" Target="media/image12.wmf"/><Relationship Id="rId46" Type="http://schemas.openxmlformats.org/officeDocument/2006/relationships/oleObject" Target="embeddings/oleObject11.bin"/><Relationship Id="rId45" Type="http://schemas.openxmlformats.org/officeDocument/2006/relationships/image" Target="media/image11.wmf"/><Relationship Id="rId44" Type="http://schemas.openxmlformats.org/officeDocument/2006/relationships/oleObject" Target="embeddings/oleObject10.bin"/><Relationship Id="rId43" Type="http://schemas.openxmlformats.org/officeDocument/2006/relationships/image" Target="media/image10.wmf"/><Relationship Id="rId42" Type="http://schemas.openxmlformats.org/officeDocument/2006/relationships/oleObject" Target="embeddings/oleObject9.bin"/><Relationship Id="rId41" Type="http://schemas.openxmlformats.org/officeDocument/2006/relationships/image" Target="media/image9.wmf"/><Relationship Id="rId40" Type="http://schemas.openxmlformats.org/officeDocument/2006/relationships/oleObject" Target="embeddings/oleObject8.bin"/><Relationship Id="rId4" Type="http://schemas.openxmlformats.org/officeDocument/2006/relationships/header" Target="header2.xml"/><Relationship Id="rId39" Type="http://schemas.openxmlformats.org/officeDocument/2006/relationships/image" Target="media/image8.wmf"/><Relationship Id="rId38" Type="http://schemas.openxmlformats.org/officeDocument/2006/relationships/oleObject" Target="embeddings/oleObject7.bin"/><Relationship Id="rId37" Type="http://schemas.openxmlformats.org/officeDocument/2006/relationships/image" Target="media/image7.wmf"/><Relationship Id="rId36" Type="http://schemas.openxmlformats.org/officeDocument/2006/relationships/oleObject" Target="embeddings/oleObject6.bin"/><Relationship Id="rId35" Type="http://schemas.openxmlformats.org/officeDocument/2006/relationships/image" Target="media/image6.wmf"/><Relationship Id="rId34" Type="http://schemas.openxmlformats.org/officeDocument/2006/relationships/oleObject" Target="embeddings/oleObject5.bin"/><Relationship Id="rId33" Type="http://schemas.openxmlformats.org/officeDocument/2006/relationships/image" Target="media/image5.wmf"/><Relationship Id="rId32" Type="http://schemas.openxmlformats.org/officeDocument/2006/relationships/oleObject" Target="embeddings/oleObject4.bin"/><Relationship Id="rId31" Type="http://schemas.openxmlformats.org/officeDocument/2006/relationships/image" Target="media/image4.wmf"/><Relationship Id="rId30" Type="http://schemas.openxmlformats.org/officeDocument/2006/relationships/oleObject" Target="embeddings/oleObject3.bin"/><Relationship Id="rId3" Type="http://schemas.openxmlformats.org/officeDocument/2006/relationships/header" Target="header1.xml"/><Relationship Id="rId29" Type="http://schemas.openxmlformats.org/officeDocument/2006/relationships/image" Target="media/image3.wmf"/><Relationship Id="rId28" Type="http://schemas.openxmlformats.org/officeDocument/2006/relationships/oleObject" Target="embeddings/oleObject2.bin"/><Relationship Id="rId27" Type="http://schemas.openxmlformats.org/officeDocument/2006/relationships/image" Target="media/image2.wmf"/><Relationship Id="rId26" Type="http://schemas.openxmlformats.org/officeDocument/2006/relationships/oleObject" Target="embeddings/oleObject1.bin"/><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e18c017b-a957-4c61-9a8e-513ed8f9f432</errorID>
      <errorWord>；/</errorWord>
      <group>L1_Punc</group>
      <groupName>标点问题</groupName>
      <ability>L2_Punc</ability>
      <abilityName>标点符号检查</abilityName>
      <candidateList>
        <item>；</item>
      </candidateList>
      <explain/>
      <paraID>2EC81498</paraID>
      <start>9</start>
      <end>11</end>
      <status>ignored</status>
      <modifiedWord/>
      <trackRevisions>false</trackRevisions>
    </reviewItem>
    <reviewItem>
      <errorID>b3bff2bb-8e2e-4158-a2f4-55925836b66f</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3878A22D</paraID>
      <start>31</start>
      <end>33</end>
      <status>ignored</status>
      <modifiedWord/>
      <trackRevisions>false</trackRevisions>
    </reviewItem>
    <reviewItem>
      <errorID>08c638b8-c9ef-406d-b6f6-4686bb2bb918</errorID>
      <errorWord>/）</errorWord>
      <group>L1_Punc</group>
      <groupName>标点问题</groupName>
      <ability>L2_Punc</ability>
      <abilityName>标点符号检查</abilityName>
      <candidateList>
        <item>）</item>
      </candidateList>
      <explain/>
      <paraID>63FE5DF7</paraID>
      <start>76</start>
      <end>78</end>
      <status>ignored</status>
      <modifiedWord/>
      <trackRevisions>false</trackRevisions>
    </reviewItem>
    <reviewItem>
      <errorID>daaec2b8-0e57-45da-b7e1-71f8efb29466</errorID>
      <errorWord>：</errorWord>
      <group>L1_Punc</group>
      <groupName>标点问题</groupName>
      <ability>L2_Punc</ability>
      <abilityName>标点符号检查</abilityName>
      <candidateList>
        <item/>
      </candidateList>
      <explain>标题文本后不使用标点符号。</explain>
      <paraID>18B705A5</paraID>
      <start>23</start>
      <end>23</end>
      <status>modified</status>
      <modifiedWord/>
      <trackRevisions>false</trackRevisions>
    </reviewItem>
    <reviewItem>
      <errorID>e5700014-e17e-4a1b-b8f4-71676c84042b</errorID>
      <errorWord>武江</errorWord>
      <group>L1_Word</group>
      <groupName>字词问题</groupName>
      <ability>L2_Typo</ability>
      <abilityName>字词错误</abilityName>
      <candidateList>
        <item>曲江</item>
      </candidateList>
      <explain/>
      <paraID>16DA74DC</paraID>
      <start>11</start>
      <end>13</end>
      <status>ignored</status>
      <modifiedWord/>
      <trackRevisions>false</trackRevisions>
    </reviewItem>
    <reviewItem>
      <errorID>235d9425-8646-47ba-ab79-0be9de481daa</errorID>
      <errorWord>保证缴</errorWord>
      <group>L1_Word</group>
      <groupName>字词问题</groupName>
      <ability>L2_Typo</ability>
      <abilityName>字词错误</abilityName>
      <candidateList>
        <item>保证金</item>
      </candidateList>
      <explain/>
      <paraID> 605F92E</paraID>
      <start>2</start>
      <end>5</end>
      <status>ignored</status>
      <modifiedWord/>
      <trackRevisions>false</trackRevisions>
    </reviewItem>
    <reviewItem>
      <errorID>e29b9c96-2161-47b9-b5f6-725900ad76bf</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6DB8926D</paraID>
      <start>31</start>
      <end>33</end>
      <status>ignored</status>
      <modifiedWord/>
      <trackRevisions>false</trackRevisions>
    </reviewItem>
    <reviewItem>
      <errorID>758559c3-721f-4008-9e5a-44845850f241</errorID>
      <errorWord>（</errorWord>
      <group>L1_Punc</group>
      <groupName>标点问题</groupName>
      <ability>L2_Punc</ability>
      <abilityName>标点符号检查</abilityName>
      <candidateList/>
      <explain>同一形式括号套用。</explain>
      <paraID>4E5161CE</paraID>
      <start>71</start>
      <end>72</end>
      <status>ignored</status>
      <modifiedWord/>
      <trackRevisions>false</trackRevisions>
    </reviewItem>
    <reviewItem>
      <errorID>7595a4c4-85bf-44ec-8570-40326b1c6e4d</errorID>
      <errorWord>）</errorWord>
      <group>L1_Punc</group>
      <groupName>标点问题</groupName>
      <ability>L2_Punc</ability>
      <abilityName>标点符号检查</abilityName>
      <candidateList/>
      <explain>同一形式括号套用。</explain>
      <paraID>4E5161CE</paraID>
      <start>87</start>
      <end>88</end>
      <status>ignored</status>
      <modifiedWord/>
      <trackRevisions>false</trackRevisions>
    </reviewItem>
    <reviewItem>
      <errorID>622d3be4-6342-4b4a-9723-cd05fdc81e1d</errorID>
      <errorWord>。</errorWord>
      <group>L1_Punc</group>
      <groupName>标点问题</groupName>
      <ability>L2_Punc</ability>
      <abilityName>标点符号检查</abilityName>
      <candidateList>
        <item/>
      </candidateList>
      <explain>标题文本后不使用标点符号。</explain>
      <paraID>62DDC4BD</paraID>
      <start>45</start>
      <end>46</end>
      <status>ignored</status>
      <modifiedWord/>
      <trackRevisions>false</trackRevisions>
    </reviewItem>
    <reviewItem>
      <errorID>34524b97-9f30-4549-b119-09fbf81e73a7</errorID>
      <errorWord>。</errorWord>
      <group>L1_Punc</group>
      <groupName>标点问题</groupName>
      <ability>L2_Punc</ability>
      <abilityName>标点符号检查</abilityName>
      <candidateList>
        <item/>
      </candidateList>
      <explain>标题文本后不使用标点符号。</explain>
      <paraID>516973E6</paraID>
      <start>37</start>
      <end>38</end>
      <status>ignored</status>
      <modifiedWord/>
      <trackRevisions>false</trackRevisions>
    </reviewItem>
    <reviewItem>
      <errorID>9c04ea02-74f7-4530-ae51-656f497409db</errorID>
      <errorWord>：</errorWord>
      <group>L1_Punc</group>
      <groupName>标点问题</groupName>
      <ability>L2_Punc</ability>
      <abilityName>标点符号检查</abilityName>
      <candidateList>
        <item/>
      </candidateList>
      <explain>标题文本后不使用标点符号。</explain>
      <paraID>2A9A92EE</paraID>
      <start>24</start>
      <end>24</end>
      <status>modified</status>
      <modifiedWord/>
      <trackRevisions>false</trackRevisions>
    </reviewItem>
    <reviewItem>
      <errorID>ea9c11f3-69d7-4191-98a2-65a4358c3ef3</errorID>
      <errorWord>：</errorWord>
      <group>L1_Punc</group>
      <groupName>标点问题</groupName>
      <ability>L2_Punc</ability>
      <abilityName>标点符号检查</abilityName>
      <candidateList>
        <item/>
      </candidateList>
      <explain>标题文本后不使用标点符号。</explain>
      <paraID>424B44C2</paraID>
      <start>21</start>
      <end>21</end>
      <status>modified</status>
      <modifiedWord/>
      <trackRevisions>false</trackRevisions>
    </reviewItem>
    <reviewItem>
      <errorID>4b038aa1-20e4-4ad2-8c2f-9343b9ea6462</errorID>
      <errorWord>。</errorWord>
      <group>L1_Punc</group>
      <groupName>标点问题</groupName>
      <ability>L2_Punc</ability>
      <abilityName>标点符号检查</abilityName>
      <candidateList>
        <item/>
      </candidateList>
      <explain>标题文本后不使用标点符号。</explain>
      <paraID>68100800</paraID>
      <start>47</start>
      <end>48</end>
      <status>ignored</status>
      <modifiedWord/>
      <trackRevisions>false</trackRevisions>
    </reviewItem>
    <reviewItem>
      <errorID>f7db7878-2182-4b0a-ad85-88ebadee43e7</errorID>
      <errorWord>。</errorWord>
      <group>L1_Punc</group>
      <groupName>标点问题</groupName>
      <ability>L2_Punc</ability>
      <abilityName>标点符号检查</abilityName>
      <candidateList>
        <item/>
      </candidateList>
      <explain>标题文本后不使用标点符号。</explain>
      <paraID>6CD49F27</paraID>
      <start>18</start>
      <end>19</end>
      <status>ignored</status>
      <modifiedWord/>
      <trackRevisions>false</trackRevisions>
    </reviewItem>
    <reviewItem>
      <errorID>fe8f0837-95b2-4afb-ad57-b6c51173a50a</errorID>
      <errorWord>。</errorWord>
      <group>L1_Punc</group>
      <groupName>标点问题</groupName>
      <ability>L2_Punc</ability>
      <abilityName>标点符号检查</abilityName>
      <candidateList>
        <item/>
      </candidateList>
      <explain>标题文本后不使用标点符号。</explain>
      <paraID>1C43D901</paraID>
      <start>33</start>
      <end>34</end>
      <status>ignored</status>
      <modifiedWord/>
      <trackRevisions>false</trackRevisions>
    </reviewItem>
    <reviewItem>
      <errorID>dfacfc66-e154-4881-8d90-52360e390cc8</errorID>
      <errorWord>证</errorWord>
      <group>L1_Word</group>
      <groupName>字词问题</groupName>
      <ability>L2_Typo</ability>
      <abilityName>字词错误</abilityName>
      <candidateList>
        <item>证金</item>
      </candidateList>
      <explain/>
      <paraID> 3A48095</paraID>
      <start>6</start>
      <end>7</end>
      <status>ignored</status>
      <modifiedWord/>
      <trackRevisions>false</trackRevisions>
    </reviewItem>
    <reviewItem>
      <errorID>5fc6d047-9975-4d3c-92bd-ede3d2e3318d</errorID>
      <errorWord>(</errorWord>
      <group>L1_Format</group>
      <groupName>格式问题</groupName>
      <ability>L2_HalfPunc</ability>
      <abilityName>全半角检查</abilityName>
      <candidateList>
        <item>（</item>
      </candidateList>
      <explain>文本全半角错误。</explain>
      <paraID>5D6016BA</paraID>
      <start>54</start>
      <end>55</end>
      <status>modified</status>
      <modifiedWord>（</modifiedWord>
      <trackRevisions>false</trackRevisions>
    </reviewItem>
    <reviewItem>
      <errorID>47591997-b91e-4942-8a85-8753f9ed34b1</errorID>
      <errorWord>)</errorWord>
      <group>L1_Format</group>
      <groupName>格式问题</groupName>
      <ability>L2_HalfPunc</ability>
      <abilityName>全半角检查</abilityName>
      <candidateList>
        <item>）</item>
      </candidateList>
      <explain>文本全半角错误。</explain>
      <paraID>5D6016BA</paraID>
      <start>61</start>
      <end>62</end>
      <status>modified</status>
      <modifiedWord>）</modifiedWord>
      <trackRevisions>false</trackRevisions>
    </reviewItem>
    <reviewItem>
      <errorID>db3bfd91-406b-4526-b001-29218581027e</errorID>
      <errorWord>：</errorWord>
      <group>L1_Punc</group>
      <groupName>标点问题</groupName>
      <ability>L2_Punc</ability>
      <abilityName>标点符号检查</abilityName>
      <candidateList>
        <item/>
      </candidateList>
      <explain>标题文本后不使用标点符号。</explain>
      <paraID>49C59ED1</paraID>
      <start>10</start>
      <end>10</end>
      <status>modified</status>
      <modifiedWord/>
      <trackRevisions>false</trackRevisions>
    </reviewItem>
    <reviewItem>
      <errorID>5624c8be-9bd4-4bd9-a822-daa92cfceb70</errorID>
      <errorWord>证</errorWord>
      <group>L1_Word</group>
      <groupName>字词问题</groupName>
      <ability>L2_Typo</ability>
      <abilityName>字词错误</abilityName>
      <candidateList>
        <item>证金</item>
      </candidateList>
      <explain/>
      <paraID>7686F22A</paraID>
      <start>33</start>
      <end>34</end>
      <status>ignored</status>
      <modifiedWord/>
      <trackRevisions>false</trackRevisions>
    </reviewItem>
    <reviewItem>
      <errorID>26c2314d-3ca1-46b3-b8d3-c67579b14de1</errorID>
      <errorWord>证</errorWord>
      <group>L1_Word</group>
      <groupName>字词问题</groupName>
      <ability>L2_Typo</ability>
      <abilityName>字词错误</abilityName>
      <candidateList>
        <item>证金</item>
      </candidateList>
      <explain/>
      <paraID>7686F22A</paraID>
      <start>98</start>
      <end>99</end>
      <status>ignored</status>
      <modifiedWord/>
      <trackRevisions>false</trackRevisions>
    </reviewItem>
    <reviewItem>
      <errorID>756d1a8f-6215-49b7-85a0-9fafc7e6a52d</errorID>
      <errorWord>证</errorWord>
      <group>L1_Word</group>
      <groupName>字词问题</groupName>
      <ability>L2_Typo</ability>
      <abilityName>字词错误</abilityName>
      <candidateList>
        <item>证金</item>
      </candidateList>
      <explain/>
      <paraID>360BD6F3</paraID>
      <start>51</start>
      <end>52</end>
      <status>ignored</status>
      <modifiedWord/>
      <trackRevisions>false</trackRevisions>
    </reviewItem>
    <reviewItem>
      <errorID>7e48a583-a6c7-4331-b4bc-a76eb5865faa</errorID>
      <errorWord>。</errorWord>
      <group>L1_Punc</group>
      <groupName>标点问题</groupName>
      <ability>L2_Punc</ability>
      <abilityName>标点符号检查</abilityName>
      <candidateList>
        <item/>
      </candidateList>
      <explain>标题文本后不使用标点符号。</explain>
      <paraID>3FB871EB</paraID>
      <start>43</start>
      <end>44</end>
      <status>ignored</status>
      <modifiedWord/>
      <trackRevisions>false</trackRevisions>
    </reviewItem>
    <reviewItem>
      <errorID>eecdab2f-a325-472a-8122-6958913fb588</errorID>
      <errorWord>局</errorWord>
      <group>L1_Word</group>
      <groupName>字词问题</groupName>
      <ability>L2_Typo</ability>
      <abilityName>字词错误</abilityName>
      <candidateList>
        <item>局部</item>
      </candidateList>
      <explain/>
      <paraID>5EACCF59</paraID>
      <start>109</start>
      <end>111</end>
      <status>modified</status>
      <modifiedWord>局部</modifiedWord>
      <trackRevisions>false</trackRevisions>
    </reviewItem>
    <reviewItem>
      <errorID>6a1a25ed-d544-4de5-9c51-016874c6ef85</errorID>
      <errorWord>。</errorWord>
      <group>L1_Punc</group>
      <groupName>标点问题</groupName>
      <ability>L2_Punc</ability>
      <abilityName>标点符号检查</abilityName>
      <candidateList>
        <item/>
      </candidateList>
      <explain>标题文本后不使用标点符号。</explain>
      <paraID>6353F864</paraID>
      <start>33</start>
      <end>34</end>
      <status>ignored</status>
      <modifiedWord/>
      <trackRevisions>false</trackRevisions>
    </reviewItem>
    <reviewItem>
      <errorID>205ea1a5-6ab9-4340-a4d8-79604f7894fe</errorID>
      <errorWord>证</errorWord>
      <group>L1_Word</group>
      <groupName>字词问题</groupName>
      <ability>L2_Typo</ability>
      <abilityName>字词错误</abilityName>
      <candidateList>
        <item>证金</item>
      </candidateList>
      <explain/>
      <paraID>61591BB1</paraID>
      <start>84</start>
      <end>85</end>
      <status>ignored</status>
      <modifiedWord/>
      <trackRevisions>false</trackRevisions>
    </reviewItem>
    <reviewItem>
      <errorID>f40243ab-5d2e-47f4-8e0b-f361834c5882</errorID>
      <errorWord>须</errorWord>
      <group>L1_Word</group>
      <groupName>字词问题</groupName>
      <ability>L2_Typo</ability>
      <abilityName>字词错误</abilityName>
      <candidateList>
        <item>需</item>
      </candidateList>
      <explain>存在发音相同字词的误用。</explain>
      <paraID> 9BA1594</paraID>
      <start>55</start>
      <end>56</end>
      <status>ignored</status>
      <modifiedWord/>
      <trackRevisions>false</trackRevisions>
    </reviewItem>
    <reviewItem>
      <errorID>6e6c511c-81d0-4fe9-b0f8-b56153c8c058</errorID>
      <errorWord>)</errorWord>
      <group>L1_Format</group>
      <groupName>格式问题</groupName>
      <ability>L2_HalfPunc</ability>
      <abilityName>全半角检查</abilityName>
      <candidateList>
        <item>）</item>
      </candidateList>
      <explain>文本全半角错误。</explain>
      <paraID>2D73ABD9</paraID>
      <start>37</start>
      <end>38</end>
      <status>modified</status>
      <modifiedWord>）</modifiedWord>
      <trackRevisions>false</trackRevisions>
    </reviewItem>
    <reviewItem>
      <errorID>fea73885-a695-4d89-83cb-ac2f06703816</errorID>
      <errorWord>)</errorWord>
      <group>L1_Format</group>
      <groupName>格式问题</groupName>
      <ability>L2_HalfPunc</ability>
      <abilityName>全半角检查</abilityName>
      <candidateList>
        <item>）</item>
      </candidateList>
      <explain>文本全半角错误。</explain>
      <paraID>189CF45F</paraID>
      <start>31</start>
      <end>32</end>
      <status>modified</status>
      <modifiedWord>）</modifiedWord>
      <trackRevisions>false</trackRevisions>
    </reviewItem>
    <reviewItem>
      <errorID>f0c2b086-4102-4de8-badd-b169b009f700</errorID>
      <errorWord>)</errorWord>
      <group>L1_Format</group>
      <groupName>格式问题</groupName>
      <ability>L2_HalfPunc</ability>
      <abilityName>全半角检查</abilityName>
      <candidateList>
        <item>）</item>
      </candidateList>
      <explain>文本全半角错误。</explain>
      <paraID>1DC761F0</paraID>
      <start>35</start>
      <end>36</end>
      <status>modified</status>
      <modifiedWord>）</modifiedWord>
      <trackRevisions>false</trackRevisions>
    </reviewItem>
    <reviewItem>
      <errorID>912c86c1-7766-4cc5-925f-7550d39ba463</errorID>
      <errorWord>)</errorWord>
      <group>L1_Format</group>
      <groupName>格式问题</groupName>
      <ability>L2_HalfPunc</ability>
      <abilityName>全半角检查</abilityName>
      <candidateList>
        <item>）</item>
      </candidateList>
      <explain>文本全半角错误。</explain>
      <paraID>42023BFC</paraID>
      <start>33</start>
      <end>34</end>
      <status>modified</status>
      <modifiedWord>）</modifiedWord>
      <trackRevisions>false</trackRevisions>
    </reviewItem>
    <reviewItem>
      <errorID>798d42e6-c0cd-4f2c-bde0-e6db5686b38c</errorID>
      <errorWord>)</errorWord>
      <group>L1_Format</group>
      <groupName>格式问题</groupName>
      <ability>L2_HalfPunc</ability>
      <abilityName>全半角检查</abilityName>
      <candidateList>
        <item>）</item>
      </candidateList>
      <explain>文本全半角错误。</explain>
      <paraID> 55CC5EA</paraID>
      <start>33</start>
      <end>34</end>
      <status>modified</status>
      <modifiedWord>）</modifiedWord>
      <trackRevisions>false</trackRevisions>
    </reviewItem>
    <reviewItem>
      <errorID>d6e2f42d-0c4f-4a98-9a3d-801c7493d781</errorID>
      <errorWord>)</errorWord>
      <group>L1_Format</group>
      <groupName>格式问题</groupName>
      <ability>L2_HalfPunc</ability>
      <abilityName>全半角检查</abilityName>
      <candidateList>
        <item>）</item>
      </candidateList>
      <explain>文本全半角错误。</explain>
      <paraID> 1CEDFA8</paraID>
      <start>33</start>
      <end>34</end>
      <status>modified</status>
      <modifiedWord>）</modifiedWord>
      <trackRevisions>false</trackRevisions>
    </reviewItem>
    <reviewItem>
      <errorID>9a2c41eb-c7c7-4bb0-96b6-fcd49ee7619f</errorID>
      <errorWord>)</errorWord>
      <group>L1_Format</group>
      <groupName>格式问题</groupName>
      <ability>L2_HalfPunc</ability>
      <abilityName>全半角检查</abilityName>
      <candidateList>
        <item>）</item>
      </candidateList>
      <explain>文本全半角错误。</explain>
      <paraID>7D878B53</paraID>
      <start>30</start>
      <end>31</end>
      <status>modified</status>
      <modifiedWord>）</modifiedWord>
      <trackRevisions>false</trackRevisions>
    </reviewItem>
    <reviewItem>
      <errorID>b3b9fca3-ab9d-49e7-b8c9-62dfae5dcebf</errorID>
      <errorWord>)</errorWord>
      <group>L1_Format</group>
      <groupName>格式问题</groupName>
      <ability>L2_HalfPunc</ability>
      <abilityName>全半角检查</abilityName>
      <candidateList>
        <item>）</item>
      </candidateList>
      <explain>文本全半角错误。</explain>
      <paraID>7DC0530C</paraID>
      <start>31</start>
      <end>32</end>
      <status>modified</status>
      <modifiedWord>）</modifiedWord>
      <trackRevisions>false</trackRevisions>
    </reviewItem>
    <reviewItem>
      <errorID>86eab450-5e28-41cf-b744-8c69017e98a5</errorID>
      <errorWord>)</errorWord>
      <group>L1_Format</group>
      <groupName>格式问题</groupName>
      <ability>L2_HalfPunc</ability>
      <abilityName>全半角检查</abilityName>
      <candidateList>
        <item>）</item>
      </candidateList>
      <explain>文本全半角错误。</explain>
      <paraID>3C039048</paraID>
      <start>34</start>
      <end>35</end>
      <status>modified</status>
      <modifiedWord>）</modifiedWord>
      <trackRevisions>false</trackRevisions>
    </reviewItem>
    <reviewItem>
      <errorID>7b6abc2e-369a-4462-84ed-825942c27b56</errorID>
      <errorWord>)</errorWord>
      <group>L1_Format</group>
      <groupName>格式问题</groupName>
      <ability>L2_HalfPunc</ability>
      <abilityName>全半角检查</abilityName>
      <candidateList>
        <item>）</item>
      </candidateList>
      <explain>文本全半角错误。</explain>
      <paraID> C8FA084</paraID>
      <start>36</start>
      <end>37</end>
      <status>modified</status>
      <modifiedWord>）</modifiedWord>
      <trackRevisions>false</trackRevisions>
    </reviewItem>
    <reviewItem>
      <errorID>bcf56373-fa31-4a34-974b-cefcb1a20e86</errorID>
      <errorWord>)</errorWord>
      <group>L1_Format</group>
      <groupName>格式问题</groupName>
      <ability>L2_HalfPunc</ability>
      <abilityName>全半角检查</abilityName>
      <candidateList>
        <item>）</item>
      </candidateList>
      <explain>文本全半角错误。</explain>
      <paraID>2F3A2551</paraID>
      <start>35</start>
      <end>36</end>
      <status>modified</status>
      <modifiedWord>）</modifiedWord>
      <trackRevisions>false</trackRevisions>
    </reviewItem>
    <reviewItem>
      <errorID>667367d6-35d1-4a31-9111-c6be00df1bc0</errorID>
      <errorWord>)</errorWord>
      <group>L1_Format</group>
      <groupName>格式问题</groupName>
      <ability>L2_HalfPunc</ability>
      <abilityName>全半角检查</abilityName>
      <candidateList>
        <item>）</item>
      </candidateList>
      <explain>文本全半角错误。</explain>
      <paraID>6C64AB07</paraID>
      <start>28</start>
      <end>29</end>
      <status>modified</status>
      <modifiedWord>）</modifiedWord>
      <trackRevisions>false</trackRevisions>
    </reviewItem>
    <reviewItem>
      <errorID>539c6a8c-64af-420e-a451-3d4e2da56352</errorID>
      <errorWord>)</errorWord>
      <group>L1_Format</group>
      <groupName>格式问题</groupName>
      <ability>L2_HalfPunc</ability>
      <abilityName>全半角检查</abilityName>
      <candidateList>
        <item>）</item>
      </candidateList>
      <explain>文本全半角错误。</explain>
      <paraID>3B9945AD</paraID>
      <start>28</start>
      <end>29</end>
      <status>modified</status>
      <modifiedWord>）</modifiedWord>
      <trackRevisions>false</trackRevisions>
    </reviewItem>
    <reviewItem>
      <errorID>2ab4622f-cbd7-4537-8ca7-4fdb3ec0cf6a</errorID>
      <errorWord>)</errorWord>
      <group>L1_Format</group>
      <groupName>格式问题</groupName>
      <ability>L2_HalfPunc</ability>
      <abilityName>全半角检查</abilityName>
      <candidateList>
        <item>）</item>
      </candidateList>
      <explain>文本全半角错误。</explain>
      <paraID>32283A8E</paraID>
      <start>25</start>
      <end>26</end>
      <status>modified</status>
      <modifiedWord>）</modifiedWord>
      <trackRevisions>false</trackRevisions>
    </reviewItem>
    <reviewItem>
      <errorID>4aaf99ef-e03e-4cf1-9970-1a3f6657164e</errorID>
      <errorWord>)</errorWord>
      <group>L1_Format</group>
      <groupName>格式问题</groupName>
      <ability>L2_HalfPunc</ability>
      <abilityName>全半角检查</abilityName>
      <candidateList>
        <item>）</item>
      </candidateList>
      <explain>文本全半角错误。</explain>
      <paraID>7758B726</paraID>
      <start>27</start>
      <end>28</end>
      <status>modified</status>
      <modifiedWord>）</modifiedWord>
      <trackRevisions>false</trackRevisions>
    </reviewItem>
    <reviewItem>
      <errorID>cc82b1e9-206f-4eea-9434-8cf8cbb4d668</errorID>
      <errorWord>)</errorWord>
      <group>L1_Format</group>
      <groupName>格式问题</groupName>
      <ability>L2_HalfPunc</ability>
      <abilityName>全半角检查</abilityName>
      <candidateList>
        <item>）</item>
      </candidateList>
      <explain>文本全半角错误。</explain>
      <paraID>63601AC6</paraID>
      <start>29</start>
      <end>30</end>
      <status>modified</status>
      <modifiedWord>）</modifiedWord>
      <trackRevisions>false</trackRevisions>
    </reviewItem>
    <reviewItem>
      <errorID>051ef60c-15c9-41ae-8629-40cf71665e1f</errorID>
      <errorWord>)</errorWord>
      <group>L1_Format</group>
      <groupName>格式问题</groupName>
      <ability>L2_HalfPunc</ability>
      <abilityName>全半角检查</abilityName>
      <candidateList>
        <item>）</item>
      </candidateList>
      <explain>文本全半角错误。</explain>
      <paraID> 2D19DE8</paraID>
      <start>28</start>
      <end>29</end>
      <status>modified</status>
      <modifiedWord>）</modifiedWord>
      <trackRevisions>false</trackRevisions>
    </reviewItem>
    <reviewItem>
      <errorID>1f972bbb-a2bc-42e9-9ab9-cbd37f1496df</errorID>
      <errorWord>)</errorWord>
      <group>L1_Format</group>
      <groupName>格式问题</groupName>
      <ability>L2_HalfPunc</ability>
      <abilityName>全半角检查</abilityName>
      <candidateList>
        <item>）</item>
      </candidateList>
      <explain>文本全半角错误。</explain>
      <paraID>3057FD3B</paraID>
      <start>29</start>
      <end>30</end>
      <status>modified</status>
      <modifiedWord>）</modifiedWord>
      <trackRevisions>false</trackRevisions>
    </reviewItem>
    <reviewItem>
      <errorID>81f3afa9-2323-4738-b1f7-bc66f2d7e2aa</errorID>
      <errorWord>项</errorWord>
      <group>L1_Word</group>
      <groupName>字词问题</groupName>
      <ability>L2_Typo</ability>
      <abilityName>字词错误</abilityName>
      <candidateList>
        <item>项目</item>
      </candidateList>
      <explain>〈名〉事物分成的门类：服务～｜体育～｜建设～。</explain>
      <paraID>5A385005</paraID>
      <start>26</start>
      <end>27</end>
      <status>ignored</status>
      <modifiedWord/>
      <trackRevisions>false</trackRevisions>
    </reviewItem>
    <reviewItem>
      <errorID>ac525097-304f-4ea7-8576-0492b0229eb5</errorID>
      <errorWord>项</errorWord>
      <group>L1_Word</group>
      <groupName>字词问题</groupName>
      <ability>L2_Typo</ability>
      <abilityName>字词错误</abilityName>
      <candidateList>
        <item>项目</item>
      </candidateList>
      <explain>〈名〉事物分成的门类：服务～｜体育～｜建设～。</explain>
      <paraID>601B3659</paraID>
      <start>24</start>
      <end>25</end>
      <status>ignored</status>
      <modifiedWord/>
      <trackRevisions>false</trackRevisions>
    </reviewItem>
    <reviewItem>
      <errorID>f329fcb7-eb5a-414f-976e-bdf7092b7a5c</errorID>
      <errorWord>。</errorWord>
      <group>L1_Punc</group>
      <groupName>标点问题</groupName>
      <ability>L2_Punc</ability>
      <abilityName>标点符号检查</abilityName>
      <candidateList>
        <item/>
      </candidateList>
      <explain>标题文本后不使用标点符号。</explain>
      <paraID>4EBCEFAB</paraID>
      <start>42</start>
      <end>43</end>
      <status>ignored</status>
      <modifiedWord/>
      <trackRevisions>false</trackRevisions>
    </reviewItem>
    <reviewItem>
      <errorID>4c61618d-03c1-4608-930d-7702bdeab589</errorID>
      <errorWord>。</errorWord>
      <group>L1_Punc</group>
      <groupName>标点问题</groupName>
      <ability>L2_Punc</ability>
      <abilityName>标点符号检查</abilityName>
      <candidateList>
        <item/>
      </candidateList>
      <explain>标题文本后不使用标点符号。</explain>
      <paraID>6C621B7D</paraID>
      <start>38</start>
      <end>39</end>
      <status>ignored</status>
      <modifiedWord/>
      <trackRevisions>false</trackRevisions>
    </reviewItem>
    <reviewItem>
      <errorID>76f25aa7-e4e6-4837-90ef-3a8db6008ce0</errorID>
      <errorWord>。</errorWord>
      <group>L1_Punc</group>
      <groupName>标点问题</groupName>
      <ability>L2_Punc</ability>
      <abilityName>标点符号检查</abilityName>
      <candidateList>
        <item/>
      </candidateList>
      <explain>标题文本后不使用标点符号。</explain>
      <paraID>67A3C3AB</paraID>
      <start>31</start>
      <end>32</end>
      <status>ignored</status>
      <modifiedWord/>
      <trackRevisions>false</trackRevisions>
    </reviewItem>
    <reviewItem>
      <errorID>ac84da19-018d-4db0-b7e2-d0031d7e6475</errorID>
      <errorWord>。</errorWord>
      <group>L1_Punc</group>
      <groupName>标点问题</groupName>
      <ability>L2_Punc</ability>
      <abilityName>标点符号检查</abilityName>
      <candidateList>
        <item/>
      </candidateList>
      <explain>标题文本后不使用标点符号。</explain>
      <paraID>6704CF9C</paraID>
      <start>25</start>
      <end>26</end>
      <status>ignored</status>
      <modifiedWord/>
      <trackRevisions>false</trackRevisions>
    </reviewItem>
    <reviewItem>
      <errorID>d18cd58f-38a9-4f09-9dd9-efc65b24b101</errorID>
      <errorWord>。</errorWord>
      <group>L1_Punc</group>
      <groupName>标点问题</groupName>
      <ability>L2_Punc</ability>
      <abilityName>标点符号检查</abilityName>
      <candidateList>
        <item/>
      </candidateList>
      <explain>标题文本后不使用标点符号。</explain>
      <paraID>1F4F1CD3</paraID>
      <start>41</start>
      <end>42</end>
      <status>ignored</status>
      <modifiedWord/>
      <trackRevisions>false</trackRevisions>
    </reviewItem>
    <reviewItem>
      <errorID>f22a1cd9-76d1-401f-b756-2d0118c02600</errorID>
      <errorWord>。</errorWord>
      <group>L1_Punc</group>
      <groupName>标点问题</groupName>
      <ability>L2_Punc</ability>
      <abilityName>标点符号检查</abilityName>
      <candidateList>
        <item/>
      </candidateList>
      <explain>标题文本后不使用标点符号。</explain>
      <paraID>764FD7F4</paraID>
      <start>16</start>
      <end>17</end>
      <status>ignored</status>
      <modifiedWord/>
      <trackRevisions>false</trackRevisions>
    </reviewItem>
    <reviewItem>
      <errorID>8dad4bcc-9f88-4b88-a544-6c8dbd2d32da</errorID>
      <errorWord>。</errorWord>
      <group>L1_Punc</group>
      <groupName>标点问题</groupName>
      <ability>L2_Punc</ability>
      <abilityName>标点符号检查</abilityName>
      <candidateList>
        <item/>
      </candidateList>
      <explain>标题文本后不使用标点符号。</explain>
      <paraID>42E4CF21</paraID>
      <start>14</start>
      <end>15</end>
      <status>ignored</status>
      <modifiedWord/>
      <trackRevisions>false</trackRevisions>
    </reviewItem>
    <reviewItem>
      <errorID>4eda068b-8c79-41c6-b951-36d431ed1018</errorID>
      <errorWord>。</errorWord>
      <group>L1_Punc</group>
      <groupName>标点问题</groupName>
      <ability>L2_Punc</ability>
      <abilityName>标点符号检查</abilityName>
      <candidateList>
        <item/>
      </candidateList>
      <explain>标题文本后不使用标点符号。</explain>
      <paraID>5C283E57</paraID>
      <start>41</start>
      <end>42</end>
      <status>ignored</status>
      <modifiedWord/>
      <trackRevisions>false</trackRevisions>
    </reviewItem>
    <reviewItem>
      <errorID>efcdc893-a6da-4ca9-abc2-5bc06b1b5b8d</errorID>
      <errorWord>。</errorWord>
      <group>L1_Punc</group>
      <groupName>标点问题</groupName>
      <ability>L2_Punc</ability>
      <abilityName>标点符号检查</abilityName>
      <candidateList>
        <item/>
      </candidateList>
      <explain>标题文本后不使用标点符号。</explain>
      <paraID>48AA0856</paraID>
      <start>13</start>
      <end>14</end>
      <status>ignored</status>
      <modifiedWord/>
      <trackRevisions>false</trackRevisions>
    </reviewItem>
    <reviewItem>
      <errorID>344f58d3-9458-4051-9339-44394fe67f11</errorID>
      <errorWord>。</errorWord>
      <group>L1_Punc</group>
      <groupName>标点问题</groupName>
      <ability>L2_Punc</ability>
      <abilityName>标点符号检查</abilityName>
      <candidateList>
        <item/>
      </candidateList>
      <explain>标题文本后不使用标点符号。</explain>
      <paraID>30D577B8</paraID>
      <start>11</start>
      <end>12</end>
      <status>ignored</status>
      <modifiedWord/>
      <trackRevisions>false</trackRevisions>
    </reviewItem>
    <reviewItem>
      <errorID>9bdee4fa-f8b3-4a83-b7fd-eb951a0e5d7d</errorID>
      <errorWord>。</errorWord>
      <group>L1_Punc</group>
      <groupName>标点问题</groupName>
      <ability>L2_Punc</ability>
      <abilityName>标点符号检查</abilityName>
      <candidateList>
        <item/>
      </candidateList>
      <explain>标题文本后不使用标点符号。</explain>
      <paraID>30DED53E</paraID>
      <start>9</start>
      <end>10</end>
      <status>ignored</status>
      <modifiedWord/>
      <trackRevisions>false</trackRevisions>
    </reviewItem>
    <reviewItem>
      <errorID>be848a35-e597-4072-875d-353126425499</errorID>
      <errorWord>。</errorWord>
      <group>L1_Punc</group>
      <groupName>标点问题</groupName>
      <ability>L2_Punc</ability>
      <abilityName>标点符号检查</abilityName>
      <candidateList>
        <item/>
      </candidateList>
      <explain>标题文本后不使用标点符号。</explain>
      <paraID>43382B69</paraID>
      <start>14</start>
      <end>15</end>
      <status>ignored</status>
      <modifiedWord/>
      <trackRevisions>false</trackRevisions>
    </reviewItem>
    <reviewItem>
      <errorID>afba9244-48f6-43e7-8f0c-a22254368770</errorID>
      <errorWord>。</errorWord>
      <group>L1_Punc</group>
      <groupName>标点问题</groupName>
      <ability>L2_Punc</ability>
      <abilityName>标点符号检查</abilityName>
      <candidateList>
        <item/>
      </candidateList>
      <explain>标题文本后不使用标点符号。</explain>
      <paraID>53C4AAE9</paraID>
      <start>10</start>
      <end>11</end>
      <status>ignored</status>
      <modifiedWord/>
      <trackRevisions>false</trackRevisions>
    </reviewItem>
    <reviewItem>
      <errorID>f7642aaa-eb88-43c2-b630-9af881701ebd</errorID>
      <errorWord>。</errorWord>
      <group>L1_Punc</group>
      <groupName>标点问题</groupName>
      <ability>L2_Punc</ability>
      <abilityName>标点符号检查</abilityName>
      <candidateList>
        <item/>
      </candidateList>
      <explain>标题文本后不使用标点符号。</explain>
      <paraID>26D5A5C0</paraID>
      <start>11</start>
      <end>12</end>
      <status>ignored</status>
      <modifiedWord/>
      <trackRevisions>false</trackRevisions>
    </reviewItem>
    <reviewItem>
      <errorID>c6a24898-ae3c-4793-b35b-3f9aa9ff4172</errorID>
      <errorWord>。</errorWord>
      <group>L1_Punc</group>
      <groupName>标点问题</groupName>
      <ability>L2_Punc</ability>
      <abilityName>标点符号检查</abilityName>
      <candidateList>
        <item/>
      </candidateList>
      <explain>标题文本后不使用标点符号。</explain>
      <paraID> BB802AA</paraID>
      <start>18</start>
      <end>19</end>
      <status>ignored</status>
      <modifiedWord/>
      <trackRevisions>false</trackRevisions>
    </reviewItem>
    <reviewItem>
      <errorID>37522210-dbd5-4fdb-aa8c-258d0e647341</errorID>
      <errorWord>。</errorWord>
      <group>L1_Punc</group>
      <groupName>标点问题</groupName>
      <ability>L2_Punc</ability>
      <abilityName>标点符号检查</abilityName>
      <candidateList>
        <item/>
      </candidateList>
      <explain>标题文本后不使用标点符号。</explain>
      <paraID>168F78D8</paraID>
      <start>10</start>
      <end>11</end>
      <status>ignored</status>
      <modifiedWord/>
      <trackRevisions>false</trackRevisions>
    </reviewItem>
    <reviewItem>
      <errorID>ea91c537-3938-4af4-98bc-e4d3c22dec8c</errorID>
      <errorWord>。</errorWord>
      <group>L1_Punc</group>
      <groupName>标点问题</groupName>
      <ability>L2_Punc</ability>
      <abilityName>标点符号检查</abilityName>
      <candidateList>
        <item/>
      </candidateList>
      <explain>标题文本后不使用标点符号。</explain>
      <paraID>3F059E4D</paraID>
      <start>9</start>
      <end>10</end>
      <status>ignored</status>
      <modifiedWord/>
      <trackRevisions>false</trackRevisions>
    </reviewItem>
    <reviewItem>
      <errorID>83ddab26-57f0-4d68-a322-2bc8f3a560c1</errorID>
      <errorWord>。</errorWord>
      <group>L1_Punc</group>
      <groupName>标点问题</groupName>
      <ability>L2_Punc</ability>
      <abilityName>标点符号检查</abilityName>
      <candidateList>
        <item/>
      </candidateList>
      <explain>标题文本后不使用标点符号。</explain>
      <paraID>1923E4A7</paraID>
      <start>19</start>
      <end>20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609315-d83e-400d-9245-f92602415704}">
  <ds:schemaRefs/>
</ds:datastoreItem>
</file>

<file path=docProps/app.xml><?xml version="1.0" encoding="utf-8"?>
<Properties xmlns="http://schemas.openxmlformats.org/officeDocument/2006/extended-properties" xmlns:vt="http://schemas.openxmlformats.org/officeDocument/2006/docPropsVTypes">
  <Template>Normal.dotm</Template>
  <Pages>84</Pages>
  <Words>10799</Words>
  <Characters>11744</Characters>
  <Lines>0</Lines>
  <Paragraphs>0</Paragraphs>
  <TotalTime>92</TotalTime>
  <ScaleCrop>false</ScaleCrop>
  <LinksUpToDate>false</LinksUpToDate>
  <CharactersWithSpaces>12255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2024-09-28T12:36:00Z</dcterms:created>
  <dc:creator>Administrator</dc:creator>
  <cp:lastModifiedBy>Chuy</cp:lastModifiedBy>
  <cp:lastPrinted>2026-01-14T08:02:53Z</cp:lastPrinted>
  <dcterms:modified xsi:type="dcterms:W3CDTF">2026-01-14T10:07:15Z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267C792D4E5140BEBA40346F804C14E8_13</vt:lpwstr>
  </property>
  <property fmtid="{D5CDD505-2E9C-101B-9397-08002B2CF9AE}" pid="4" name="KSOTemplateDocerSaveRecord">
    <vt:lpwstr>eyJoZGlkIjoiYzY5ZWI4MWQ1NGE5ZjFjNGJlNGMwODgyY2ZlZjNjZTAiLCJ1c2VySWQiOiIzMTQ1Mjc5MzUifQ==</vt:lpwstr>
  </property>
</Properties>
</file>