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C9924">
      <w:pPr>
        <w:spacing w:before="201" w:line="223" w:lineRule="auto"/>
        <w:jc w:val="center"/>
        <w:rPr>
          <w:rFonts w:ascii="宋体" w:hAnsi="宋体" w:eastAsia="宋体" w:cs="宋体"/>
          <w:color w:val="auto"/>
          <w:sz w:val="60"/>
          <w:szCs w:val="60"/>
          <w:highlight w:val="none"/>
        </w:rPr>
      </w:pPr>
      <w:r>
        <w:rPr>
          <w:rFonts w:ascii="宋体" w:hAnsi="宋体" w:eastAsia="宋体" w:cs="宋体"/>
          <w:b/>
          <w:bCs/>
          <w:color w:val="auto"/>
          <w:sz w:val="60"/>
          <w:szCs w:val="60"/>
          <w:highlight w:val="none"/>
        </w:rPr>
        <w:t>广东省</w:t>
      </w:r>
    </w:p>
    <w:p w14:paraId="7A95E3F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pacing w:val="2"/>
          <w:sz w:val="43"/>
          <w:szCs w:val="43"/>
          <w:highlight w:val="none"/>
          <w:u w:val="single"/>
          <w:lang w:eastAsia="zh-CN"/>
        </w:rPr>
      </w:pPr>
    </w:p>
    <w:p w14:paraId="4325498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宋体" w:hAnsi="宋体" w:eastAsia="宋体" w:cs="宋体"/>
          <w:color w:val="auto"/>
          <w:sz w:val="48"/>
          <w:szCs w:val="48"/>
          <w:highlight w:val="none"/>
        </w:rPr>
      </w:pPr>
      <w:r>
        <w:rPr>
          <w:rFonts w:hint="eastAsia" w:ascii="宋体" w:hAnsi="宋体" w:eastAsia="宋体" w:cs="宋体"/>
          <w:b/>
          <w:bCs/>
          <w:color w:val="auto"/>
          <w:spacing w:val="2"/>
          <w:sz w:val="48"/>
          <w:szCs w:val="48"/>
          <w:highlight w:val="none"/>
          <w:u w:val="single"/>
          <w:lang w:eastAsia="zh-CN"/>
        </w:rPr>
        <w:t>国道 G535 线始兴下窖（江西交界）至顿岗段改建工程</w:t>
      </w:r>
      <w:r>
        <w:rPr>
          <w:rFonts w:hint="eastAsia" w:ascii="宋体" w:hAnsi="宋体" w:eastAsia="宋体" w:cs="宋体"/>
          <w:b/>
          <w:bCs/>
          <w:color w:val="auto"/>
          <w:spacing w:val="2"/>
          <w:sz w:val="48"/>
          <w:szCs w:val="48"/>
          <w:highlight w:val="none"/>
          <w:lang w:eastAsia="zh-CN"/>
        </w:rPr>
        <w:t>施工监理</w:t>
      </w:r>
      <w:r>
        <w:rPr>
          <w:rFonts w:ascii="宋体" w:hAnsi="宋体" w:eastAsia="宋体" w:cs="宋体"/>
          <w:b/>
          <w:bCs/>
          <w:color w:val="auto"/>
          <w:spacing w:val="2"/>
          <w:sz w:val="48"/>
          <w:szCs w:val="48"/>
          <w:highlight w:val="none"/>
        </w:rPr>
        <w:t>招标</w:t>
      </w:r>
    </w:p>
    <w:p w14:paraId="3E58C211">
      <w:pPr>
        <w:spacing w:line="252" w:lineRule="auto"/>
        <w:rPr>
          <w:rFonts w:ascii="Arial"/>
          <w:color w:val="auto"/>
          <w:sz w:val="21"/>
          <w:highlight w:val="none"/>
        </w:rPr>
      </w:pPr>
    </w:p>
    <w:p w14:paraId="1274EE06">
      <w:pPr>
        <w:spacing w:line="252" w:lineRule="auto"/>
        <w:rPr>
          <w:rFonts w:ascii="Arial"/>
          <w:color w:val="auto"/>
          <w:sz w:val="21"/>
          <w:highlight w:val="none"/>
        </w:rPr>
      </w:pPr>
    </w:p>
    <w:p w14:paraId="2984F525">
      <w:pPr>
        <w:spacing w:line="252" w:lineRule="auto"/>
        <w:rPr>
          <w:rFonts w:ascii="Arial"/>
          <w:color w:val="auto"/>
          <w:sz w:val="21"/>
          <w:highlight w:val="none"/>
        </w:rPr>
      </w:pPr>
    </w:p>
    <w:p w14:paraId="776B3954">
      <w:pPr>
        <w:spacing w:line="253" w:lineRule="auto"/>
        <w:rPr>
          <w:rFonts w:ascii="Arial"/>
          <w:color w:val="auto"/>
          <w:sz w:val="21"/>
          <w:highlight w:val="none"/>
        </w:rPr>
      </w:pPr>
    </w:p>
    <w:p w14:paraId="7C98FF14">
      <w:pPr>
        <w:spacing w:line="253" w:lineRule="auto"/>
        <w:rPr>
          <w:rFonts w:ascii="Arial"/>
          <w:color w:val="auto"/>
          <w:sz w:val="21"/>
          <w:highlight w:val="none"/>
        </w:rPr>
      </w:pPr>
    </w:p>
    <w:p w14:paraId="2B0A095E">
      <w:pPr>
        <w:spacing w:line="253" w:lineRule="auto"/>
        <w:rPr>
          <w:rFonts w:ascii="Arial"/>
          <w:color w:val="auto"/>
          <w:sz w:val="21"/>
          <w:highlight w:val="none"/>
        </w:rPr>
      </w:pPr>
    </w:p>
    <w:p w14:paraId="56A59DC5">
      <w:pPr>
        <w:spacing w:line="253" w:lineRule="auto"/>
        <w:rPr>
          <w:rFonts w:ascii="Arial"/>
          <w:color w:val="auto"/>
          <w:sz w:val="21"/>
          <w:highlight w:val="none"/>
        </w:rPr>
      </w:pPr>
    </w:p>
    <w:p w14:paraId="5A3D156A">
      <w:pPr>
        <w:spacing w:line="253" w:lineRule="auto"/>
        <w:rPr>
          <w:rFonts w:ascii="Arial"/>
          <w:color w:val="auto"/>
          <w:sz w:val="21"/>
          <w:highlight w:val="none"/>
        </w:rPr>
      </w:pPr>
    </w:p>
    <w:p w14:paraId="48DF00FB">
      <w:pPr>
        <w:spacing w:line="253" w:lineRule="auto"/>
        <w:rPr>
          <w:rFonts w:ascii="Arial"/>
          <w:color w:val="auto"/>
          <w:sz w:val="21"/>
          <w:highlight w:val="none"/>
        </w:rPr>
      </w:pPr>
    </w:p>
    <w:p w14:paraId="12CAEF8B">
      <w:pPr>
        <w:spacing w:line="253" w:lineRule="auto"/>
        <w:rPr>
          <w:rFonts w:ascii="Arial"/>
          <w:color w:val="auto"/>
          <w:sz w:val="21"/>
          <w:highlight w:val="none"/>
        </w:rPr>
      </w:pPr>
    </w:p>
    <w:p w14:paraId="2DFC4CF9">
      <w:pPr>
        <w:spacing w:before="231" w:line="222" w:lineRule="auto"/>
        <w:ind w:left="2669"/>
        <w:rPr>
          <w:rFonts w:ascii="宋体" w:hAnsi="宋体" w:eastAsia="宋体" w:cs="宋体"/>
          <w:b/>
          <w:bCs/>
          <w:color w:val="auto"/>
          <w:sz w:val="71"/>
          <w:szCs w:val="71"/>
          <w:highlight w:val="none"/>
        </w:rPr>
      </w:pPr>
      <w:bookmarkStart w:id="0" w:name="bookmark4"/>
      <w:bookmarkEnd w:id="0"/>
      <w:r>
        <w:rPr>
          <w:rFonts w:ascii="宋体" w:hAnsi="宋体" w:eastAsia="宋体" w:cs="宋体"/>
          <w:b/>
          <w:bCs/>
          <w:color w:val="auto"/>
          <w:spacing w:val="-15"/>
          <w:sz w:val="71"/>
          <w:szCs w:val="71"/>
          <w:highlight w:val="none"/>
        </w:rPr>
        <w:t>招 标 文 件</w:t>
      </w:r>
    </w:p>
    <w:p w14:paraId="59D66394">
      <w:pPr>
        <w:spacing w:line="248" w:lineRule="auto"/>
        <w:rPr>
          <w:rFonts w:ascii="Arial"/>
          <w:color w:val="auto"/>
          <w:sz w:val="21"/>
          <w:highlight w:val="none"/>
        </w:rPr>
      </w:pPr>
    </w:p>
    <w:p w14:paraId="7D5521DD">
      <w:pPr>
        <w:spacing w:line="248" w:lineRule="auto"/>
        <w:rPr>
          <w:rFonts w:ascii="Arial"/>
          <w:color w:val="auto"/>
          <w:sz w:val="21"/>
          <w:highlight w:val="none"/>
        </w:rPr>
      </w:pPr>
    </w:p>
    <w:p w14:paraId="4DFA4B67">
      <w:pPr>
        <w:spacing w:line="248" w:lineRule="auto"/>
        <w:rPr>
          <w:rFonts w:ascii="Arial"/>
          <w:color w:val="auto"/>
          <w:sz w:val="21"/>
          <w:highlight w:val="none"/>
        </w:rPr>
      </w:pPr>
    </w:p>
    <w:p w14:paraId="5F68B37A">
      <w:pPr>
        <w:spacing w:line="248" w:lineRule="auto"/>
        <w:rPr>
          <w:rFonts w:ascii="Arial"/>
          <w:color w:val="auto"/>
          <w:sz w:val="21"/>
          <w:highlight w:val="none"/>
        </w:rPr>
      </w:pPr>
    </w:p>
    <w:p w14:paraId="5CD26B6F">
      <w:pPr>
        <w:spacing w:line="249" w:lineRule="auto"/>
        <w:rPr>
          <w:rFonts w:ascii="Arial"/>
          <w:color w:val="auto"/>
          <w:sz w:val="21"/>
          <w:highlight w:val="none"/>
        </w:rPr>
      </w:pPr>
    </w:p>
    <w:p w14:paraId="455BA73E">
      <w:pPr>
        <w:spacing w:line="249" w:lineRule="auto"/>
        <w:rPr>
          <w:rFonts w:ascii="Arial"/>
          <w:color w:val="auto"/>
          <w:sz w:val="21"/>
          <w:highlight w:val="none"/>
        </w:rPr>
      </w:pPr>
    </w:p>
    <w:p w14:paraId="47D3CBC3">
      <w:pPr>
        <w:spacing w:line="249" w:lineRule="auto"/>
        <w:rPr>
          <w:rFonts w:ascii="Arial"/>
          <w:color w:val="auto"/>
          <w:sz w:val="21"/>
          <w:highlight w:val="none"/>
        </w:rPr>
      </w:pPr>
    </w:p>
    <w:p w14:paraId="40673D82">
      <w:pPr>
        <w:spacing w:line="249" w:lineRule="auto"/>
        <w:rPr>
          <w:rFonts w:ascii="Arial"/>
          <w:color w:val="auto"/>
          <w:sz w:val="21"/>
          <w:highlight w:val="none"/>
        </w:rPr>
      </w:pPr>
    </w:p>
    <w:p w14:paraId="7919595C">
      <w:pPr>
        <w:spacing w:line="249" w:lineRule="auto"/>
        <w:rPr>
          <w:rFonts w:ascii="Arial"/>
          <w:color w:val="auto"/>
          <w:sz w:val="21"/>
          <w:highlight w:val="none"/>
        </w:rPr>
      </w:pPr>
    </w:p>
    <w:p w14:paraId="105790BC">
      <w:pPr>
        <w:spacing w:line="249" w:lineRule="auto"/>
        <w:rPr>
          <w:rFonts w:ascii="Arial"/>
          <w:color w:val="auto"/>
          <w:sz w:val="21"/>
          <w:highlight w:val="none"/>
        </w:rPr>
      </w:pPr>
    </w:p>
    <w:p w14:paraId="47541A12">
      <w:pPr>
        <w:spacing w:line="249" w:lineRule="auto"/>
        <w:rPr>
          <w:rFonts w:ascii="Arial"/>
          <w:color w:val="auto"/>
          <w:sz w:val="21"/>
          <w:highlight w:val="none"/>
        </w:rPr>
      </w:pPr>
    </w:p>
    <w:p w14:paraId="52F40D0A">
      <w:pPr>
        <w:spacing w:line="249" w:lineRule="auto"/>
        <w:rPr>
          <w:rFonts w:ascii="Arial"/>
          <w:color w:val="auto"/>
          <w:sz w:val="21"/>
          <w:highlight w:val="none"/>
        </w:rPr>
      </w:pPr>
    </w:p>
    <w:p w14:paraId="650710AA">
      <w:pPr>
        <w:spacing w:before="101" w:line="371" w:lineRule="auto"/>
        <w:ind w:left="432"/>
        <w:jc w:val="center"/>
        <w:rPr>
          <w:rFonts w:ascii="宋体" w:hAnsi="宋体" w:eastAsia="宋体" w:cs="宋体"/>
          <w:color w:val="auto"/>
          <w:sz w:val="16"/>
          <w:szCs w:val="16"/>
          <w:highlight w:val="none"/>
        </w:rPr>
      </w:pPr>
      <w:r>
        <w:rPr>
          <w:rFonts w:ascii="宋体" w:hAnsi="宋体" w:eastAsia="宋体" w:cs="宋体"/>
          <w:color w:val="auto"/>
          <w:spacing w:val="14"/>
          <w:sz w:val="31"/>
          <w:szCs w:val="31"/>
          <w:highlight w:val="none"/>
        </w:rPr>
        <w:t>招 标 人</w:t>
      </w:r>
      <w:r>
        <w:rPr>
          <w:rFonts w:ascii="宋体" w:hAnsi="宋体" w:eastAsia="宋体" w:cs="宋体"/>
          <w:color w:val="auto"/>
          <w:spacing w:val="-32"/>
          <w:sz w:val="31"/>
          <w:szCs w:val="31"/>
          <w:highlight w:val="none"/>
        </w:rPr>
        <w:t>：</w:t>
      </w:r>
      <w:r>
        <w:rPr>
          <w:rFonts w:hint="eastAsia" w:ascii="宋体" w:hAnsi="宋体" w:eastAsia="宋体" w:cs="宋体"/>
          <w:color w:val="auto"/>
          <w:spacing w:val="-32"/>
          <w:sz w:val="31"/>
          <w:szCs w:val="31"/>
          <w:highlight w:val="none"/>
          <w:u w:val="single"/>
        </w:rPr>
        <w:t>始兴县地方公路事务中心</w:t>
      </w:r>
      <w:r>
        <w:rPr>
          <w:rFonts w:ascii="宋体" w:hAnsi="宋体" w:eastAsia="宋体" w:cs="宋体"/>
          <w:color w:val="auto"/>
          <w:spacing w:val="-32"/>
          <w:sz w:val="31"/>
          <w:szCs w:val="31"/>
          <w:highlight w:val="none"/>
          <w:u w:val="single" w:color="auto"/>
        </w:rPr>
        <w:t>（</w:t>
      </w:r>
      <w:r>
        <w:rPr>
          <w:rFonts w:ascii="宋体" w:hAnsi="宋体" w:eastAsia="宋体" w:cs="宋体"/>
          <w:color w:val="auto"/>
          <w:spacing w:val="14"/>
          <w:sz w:val="31"/>
          <w:szCs w:val="31"/>
          <w:highlight w:val="none"/>
          <w:u w:val="single" w:color="auto"/>
        </w:rPr>
        <w:t>盖单位章）</w:t>
      </w:r>
    </w:p>
    <w:p w14:paraId="2430F05D">
      <w:pPr>
        <w:spacing w:before="1" w:line="370" w:lineRule="auto"/>
        <w:ind w:left="435"/>
        <w:jc w:val="center"/>
        <w:rPr>
          <w:rFonts w:ascii="宋体" w:hAnsi="宋体" w:eastAsia="宋体" w:cs="宋体"/>
          <w:color w:val="auto"/>
          <w:sz w:val="16"/>
          <w:szCs w:val="16"/>
          <w:highlight w:val="none"/>
        </w:rPr>
      </w:pPr>
      <w:r>
        <w:rPr>
          <w:rFonts w:ascii="宋体" w:hAnsi="宋体" w:eastAsia="宋体" w:cs="宋体"/>
          <w:color w:val="auto"/>
          <w:spacing w:val="12"/>
          <w:sz w:val="31"/>
          <w:szCs w:val="31"/>
          <w:highlight w:val="none"/>
          <w:u w:val="none" w:color="auto"/>
        </w:rPr>
        <w:t>建设单位</w:t>
      </w:r>
      <w:r>
        <w:rPr>
          <w:rFonts w:ascii="宋体" w:hAnsi="宋体" w:eastAsia="宋体" w:cs="宋体"/>
          <w:color w:val="auto"/>
          <w:spacing w:val="-22"/>
          <w:sz w:val="31"/>
          <w:szCs w:val="31"/>
          <w:highlight w:val="none"/>
          <w:u w:val="none" w:color="auto"/>
        </w:rPr>
        <w:t>：</w:t>
      </w:r>
      <w:r>
        <w:rPr>
          <w:rFonts w:hint="eastAsia" w:ascii="宋体" w:hAnsi="宋体" w:eastAsia="宋体" w:cs="宋体"/>
          <w:color w:val="auto"/>
          <w:spacing w:val="-22"/>
          <w:sz w:val="31"/>
          <w:szCs w:val="31"/>
          <w:highlight w:val="none"/>
          <w:u w:val="single" w:color="auto"/>
        </w:rPr>
        <w:t>始兴县地方公路事务中心</w:t>
      </w:r>
      <w:r>
        <w:rPr>
          <w:rFonts w:ascii="宋体" w:hAnsi="宋体" w:eastAsia="宋体" w:cs="宋体"/>
          <w:color w:val="auto"/>
          <w:spacing w:val="-22"/>
          <w:sz w:val="31"/>
          <w:szCs w:val="31"/>
          <w:highlight w:val="none"/>
          <w:u w:val="single" w:color="auto"/>
        </w:rPr>
        <w:t>（</w:t>
      </w:r>
      <w:r>
        <w:rPr>
          <w:rFonts w:ascii="宋体" w:hAnsi="宋体" w:eastAsia="宋体" w:cs="宋体"/>
          <w:color w:val="auto"/>
          <w:spacing w:val="12"/>
          <w:sz w:val="31"/>
          <w:szCs w:val="31"/>
          <w:highlight w:val="none"/>
          <w:u w:val="single" w:color="auto"/>
        </w:rPr>
        <w:t>盖单位章）</w:t>
      </w:r>
    </w:p>
    <w:p w14:paraId="11B1C1CF">
      <w:pPr>
        <w:spacing w:before="1" w:line="400" w:lineRule="auto"/>
        <w:ind w:left="432"/>
        <w:jc w:val="center"/>
        <w:rPr>
          <w:rFonts w:ascii="宋体" w:hAnsi="宋体" w:eastAsia="宋体" w:cs="宋体"/>
          <w:color w:val="auto"/>
          <w:sz w:val="16"/>
          <w:szCs w:val="16"/>
          <w:highlight w:val="none"/>
        </w:rPr>
      </w:pPr>
      <w:r>
        <w:rPr>
          <w:rFonts w:hint="eastAsia" w:ascii="宋体" w:hAnsi="宋体" w:eastAsia="宋体" w:cs="宋体"/>
          <w:color w:val="auto"/>
          <w:spacing w:val="12"/>
          <w:sz w:val="31"/>
          <w:szCs w:val="31"/>
          <w:highlight w:val="none"/>
          <w:lang w:val="en-US" w:eastAsia="zh-CN"/>
        </w:rPr>
        <w:t xml:space="preserve">    </w:t>
      </w:r>
      <w:r>
        <w:rPr>
          <w:rFonts w:ascii="宋体" w:hAnsi="宋体" w:eastAsia="宋体" w:cs="宋体"/>
          <w:color w:val="auto"/>
          <w:spacing w:val="12"/>
          <w:sz w:val="31"/>
          <w:szCs w:val="31"/>
          <w:highlight w:val="none"/>
        </w:rPr>
        <w:t>招标代理</w:t>
      </w:r>
      <w:r>
        <w:rPr>
          <w:rFonts w:ascii="宋体" w:hAnsi="宋体" w:eastAsia="宋体" w:cs="宋体"/>
          <w:color w:val="auto"/>
          <w:spacing w:val="-15"/>
          <w:sz w:val="31"/>
          <w:szCs w:val="31"/>
          <w:highlight w:val="none"/>
        </w:rPr>
        <w:t>：</w:t>
      </w:r>
      <w:r>
        <w:rPr>
          <w:rFonts w:hint="eastAsia" w:ascii="宋体" w:hAnsi="宋体" w:eastAsia="宋体" w:cs="宋体"/>
          <w:color w:val="auto"/>
          <w:spacing w:val="-15"/>
          <w:sz w:val="31"/>
          <w:szCs w:val="31"/>
          <w:highlight w:val="none"/>
          <w:u w:val="single"/>
          <w:lang w:eastAsia="zh-CN"/>
        </w:rPr>
        <w:t>广东粤韶招投标代理有限公司</w:t>
      </w:r>
      <w:r>
        <w:rPr>
          <w:rFonts w:ascii="宋体" w:hAnsi="宋体" w:eastAsia="宋体" w:cs="宋体"/>
          <w:color w:val="auto"/>
          <w:spacing w:val="-15"/>
          <w:sz w:val="31"/>
          <w:szCs w:val="31"/>
          <w:highlight w:val="none"/>
          <w:u w:val="single" w:color="auto"/>
        </w:rPr>
        <w:t>（</w:t>
      </w:r>
      <w:r>
        <w:rPr>
          <w:rFonts w:ascii="宋体" w:hAnsi="宋体" w:eastAsia="宋体" w:cs="宋体"/>
          <w:color w:val="auto"/>
          <w:spacing w:val="12"/>
          <w:sz w:val="31"/>
          <w:szCs w:val="31"/>
          <w:highlight w:val="none"/>
          <w:u w:val="single" w:color="auto"/>
        </w:rPr>
        <w:t>盖单位章）</w:t>
      </w:r>
    </w:p>
    <w:p w14:paraId="3CE696C0">
      <w:pPr>
        <w:spacing w:before="1" w:line="224" w:lineRule="auto"/>
        <w:jc w:val="center"/>
        <w:rPr>
          <w:rFonts w:hint="eastAsia" w:ascii="宋体" w:hAnsi="宋体" w:eastAsia="宋体" w:cs="宋体"/>
          <w:color w:val="auto"/>
          <w:spacing w:val="-3"/>
          <w:sz w:val="31"/>
          <w:szCs w:val="31"/>
          <w:highlight w:val="none"/>
          <w:lang w:val="en-US" w:eastAsia="zh-CN"/>
        </w:rPr>
      </w:pPr>
    </w:p>
    <w:p w14:paraId="5E98637E">
      <w:pPr>
        <w:spacing w:before="1" w:line="224" w:lineRule="auto"/>
        <w:jc w:val="center"/>
        <w:rPr>
          <w:rFonts w:ascii="宋体" w:hAnsi="宋体" w:eastAsia="宋体" w:cs="宋体"/>
          <w:color w:val="auto"/>
          <w:sz w:val="36"/>
          <w:szCs w:val="36"/>
          <w:highlight w:val="none"/>
        </w:rPr>
      </w:pPr>
      <w:r>
        <w:rPr>
          <w:rFonts w:hint="eastAsia" w:ascii="宋体" w:hAnsi="宋体" w:eastAsia="宋体" w:cs="宋体"/>
          <w:color w:val="auto"/>
          <w:spacing w:val="-3"/>
          <w:sz w:val="36"/>
          <w:szCs w:val="36"/>
          <w:highlight w:val="none"/>
          <w:lang w:val="en-US" w:eastAsia="zh-CN"/>
        </w:rPr>
        <w:t>2026</w:t>
      </w:r>
      <w:r>
        <w:rPr>
          <w:rFonts w:ascii="宋体" w:hAnsi="宋体" w:eastAsia="宋体" w:cs="宋体"/>
          <w:color w:val="auto"/>
          <w:spacing w:val="-3"/>
          <w:sz w:val="36"/>
          <w:szCs w:val="36"/>
          <w:highlight w:val="none"/>
        </w:rPr>
        <w:t>年</w:t>
      </w:r>
      <w:r>
        <w:rPr>
          <w:rFonts w:hint="eastAsia" w:ascii="宋体" w:hAnsi="宋体" w:eastAsia="宋体" w:cs="宋体"/>
          <w:color w:val="auto"/>
          <w:spacing w:val="-3"/>
          <w:sz w:val="36"/>
          <w:szCs w:val="36"/>
          <w:highlight w:val="none"/>
          <w:lang w:val="en-US" w:eastAsia="zh-CN"/>
        </w:rPr>
        <w:t>10</w:t>
      </w:r>
      <w:r>
        <w:rPr>
          <w:rFonts w:ascii="宋体" w:hAnsi="宋体" w:eastAsia="宋体" w:cs="宋体"/>
          <w:color w:val="auto"/>
          <w:spacing w:val="-3"/>
          <w:sz w:val="36"/>
          <w:szCs w:val="36"/>
          <w:highlight w:val="none"/>
        </w:rPr>
        <w:t>月</w:t>
      </w:r>
    </w:p>
    <w:p w14:paraId="6383CA31">
      <w:pPr>
        <w:spacing w:line="285" w:lineRule="auto"/>
        <w:rPr>
          <w:rFonts w:ascii="Arial"/>
          <w:color w:val="auto"/>
          <w:sz w:val="21"/>
          <w:highlight w:val="none"/>
        </w:rPr>
      </w:pPr>
    </w:p>
    <w:p w14:paraId="1DAE6364">
      <w:pPr>
        <w:spacing w:line="285" w:lineRule="auto"/>
        <w:rPr>
          <w:rFonts w:ascii="Arial"/>
          <w:color w:val="auto"/>
          <w:sz w:val="21"/>
          <w:highlight w:val="none"/>
        </w:rPr>
      </w:pPr>
    </w:p>
    <w:p w14:paraId="2088D654">
      <w:pPr>
        <w:spacing w:line="285" w:lineRule="auto"/>
        <w:rPr>
          <w:rFonts w:ascii="Arial"/>
          <w:color w:val="auto"/>
          <w:sz w:val="21"/>
          <w:highlight w:val="none"/>
        </w:rPr>
      </w:pPr>
    </w:p>
    <w:p w14:paraId="3A8FFAD7">
      <w:pPr>
        <w:spacing w:line="285" w:lineRule="auto"/>
        <w:rPr>
          <w:rFonts w:ascii="Arial"/>
          <w:color w:val="auto"/>
          <w:sz w:val="21"/>
          <w:highlight w:val="none"/>
        </w:rPr>
      </w:pPr>
    </w:p>
    <w:p w14:paraId="617D15DD">
      <w:pPr>
        <w:spacing w:line="285" w:lineRule="auto"/>
        <w:rPr>
          <w:rFonts w:ascii="Arial"/>
          <w:color w:val="auto"/>
          <w:sz w:val="21"/>
          <w:highlight w:val="none"/>
        </w:rPr>
      </w:pPr>
    </w:p>
    <w:p w14:paraId="6EBE1E6C">
      <w:pPr>
        <w:spacing w:line="285" w:lineRule="auto"/>
        <w:rPr>
          <w:rFonts w:ascii="Arial"/>
          <w:color w:val="auto"/>
          <w:sz w:val="21"/>
          <w:highlight w:val="none"/>
        </w:rPr>
      </w:pPr>
    </w:p>
    <w:p w14:paraId="10D340DC">
      <w:pPr>
        <w:spacing w:line="285" w:lineRule="auto"/>
        <w:rPr>
          <w:rFonts w:ascii="Arial"/>
          <w:color w:val="auto"/>
          <w:sz w:val="21"/>
          <w:highlight w:val="none"/>
        </w:rPr>
      </w:pPr>
    </w:p>
    <w:p w14:paraId="7F0C5B38">
      <w:pPr>
        <w:spacing w:line="285" w:lineRule="auto"/>
        <w:rPr>
          <w:rFonts w:ascii="Arial"/>
          <w:color w:val="auto"/>
          <w:sz w:val="21"/>
          <w:highlight w:val="none"/>
        </w:rPr>
      </w:pPr>
    </w:p>
    <w:p w14:paraId="3BCEC4EB">
      <w:pPr>
        <w:spacing w:line="285" w:lineRule="auto"/>
        <w:rPr>
          <w:rFonts w:ascii="Arial"/>
          <w:color w:val="auto"/>
          <w:sz w:val="21"/>
          <w:highlight w:val="none"/>
        </w:rPr>
      </w:pPr>
    </w:p>
    <w:p w14:paraId="47F359BF">
      <w:pPr>
        <w:spacing w:line="285" w:lineRule="auto"/>
        <w:rPr>
          <w:rFonts w:ascii="Arial"/>
          <w:color w:val="auto"/>
          <w:sz w:val="21"/>
          <w:highlight w:val="none"/>
        </w:rPr>
      </w:pPr>
    </w:p>
    <w:p w14:paraId="27F7A1DA">
      <w:pPr>
        <w:spacing w:line="285" w:lineRule="auto"/>
        <w:rPr>
          <w:rFonts w:ascii="Arial"/>
          <w:color w:val="auto"/>
          <w:sz w:val="21"/>
          <w:highlight w:val="none"/>
        </w:rPr>
      </w:pPr>
    </w:p>
    <w:p w14:paraId="35B65993">
      <w:pPr>
        <w:spacing w:line="285" w:lineRule="auto"/>
        <w:rPr>
          <w:rFonts w:ascii="Arial"/>
          <w:color w:val="auto"/>
          <w:sz w:val="21"/>
          <w:highlight w:val="none"/>
        </w:rPr>
      </w:pPr>
    </w:p>
    <w:p w14:paraId="71077D37">
      <w:pPr>
        <w:spacing w:line="285" w:lineRule="auto"/>
        <w:rPr>
          <w:rFonts w:ascii="Arial"/>
          <w:color w:val="auto"/>
          <w:sz w:val="21"/>
          <w:highlight w:val="none"/>
        </w:rPr>
      </w:pPr>
    </w:p>
    <w:p w14:paraId="0C30C4EF">
      <w:pPr>
        <w:spacing w:line="285" w:lineRule="auto"/>
        <w:rPr>
          <w:rFonts w:ascii="Arial"/>
          <w:color w:val="auto"/>
          <w:sz w:val="21"/>
          <w:highlight w:val="none"/>
        </w:rPr>
      </w:pPr>
    </w:p>
    <w:p w14:paraId="480271DB">
      <w:pPr>
        <w:spacing w:line="285" w:lineRule="auto"/>
        <w:rPr>
          <w:rFonts w:ascii="Arial"/>
          <w:color w:val="auto"/>
          <w:sz w:val="21"/>
          <w:highlight w:val="none"/>
        </w:rPr>
      </w:pPr>
    </w:p>
    <w:p w14:paraId="0D6D9EBC">
      <w:pPr>
        <w:spacing w:line="285" w:lineRule="auto"/>
        <w:rPr>
          <w:rFonts w:ascii="Arial"/>
          <w:color w:val="auto"/>
          <w:sz w:val="21"/>
          <w:highlight w:val="none"/>
        </w:rPr>
      </w:pPr>
    </w:p>
    <w:p w14:paraId="0BF1FD41">
      <w:pPr>
        <w:spacing w:line="285" w:lineRule="auto"/>
        <w:rPr>
          <w:rFonts w:ascii="Arial"/>
          <w:color w:val="auto"/>
          <w:sz w:val="21"/>
          <w:highlight w:val="none"/>
        </w:rPr>
      </w:pPr>
    </w:p>
    <w:p w14:paraId="4B10C365">
      <w:pPr>
        <w:spacing w:line="285" w:lineRule="auto"/>
        <w:rPr>
          <w:rFonts w:ascii="Arial"/>
          <w:color w:val="auto"/>
          <w:sz w:val="21"/>
          <w:highlight w:val="none"/>
        </w:rPr>
      </w:pPr>
    </w:p>
    <w:p w14:paraId="65801693">
      <w:pPr>
        <w:spacing w:line="285" w:lineRule="auto"/>
        <w:rPr>
          <w:rFonts w:ascii="Arial"/>
          <w:color w:val="auto"/>
          <w:sz w:val="21"/>
          <w:highlight w:val="none"/>
        </w:rPr>
      </w:pPr>
    </w:p>
    <w:p w14:paraId="24019382">
      <w:pPr>
        <w:spacing w:line="285" w:lineRule="auto"/>
        <w:rPr>
          <w:rFonts w:ascii="Arial"/>
          <w:color w:val="auto"/>
          <w:sz w:val="21"/>
          <w:highlight w:val="none"/>
        </w:rPr>
      </w:pPr>
    </w:p>
    <w:p w14:paraId="16AB55AD">
      <w:pPr>
        <w:spacing w:line="285" w:lineRule="auto"/>
        <w:rPr>
          <w:rFonts w:ascii="Arial"/>
          <w:color w:val="auto"/>
          <w:sz w:val="21"/>
          <w:highlight w:val="none"/>
        </w:rPr>
      </w:pPr>
    </w:p>
    <w:p w14:paraId="31203A04">
      <w:pPr>
        <w:spacing w:line="285" w:lineRule="auto"/>
        <w:rPr>
          <w:rFonts w:ascii="Arial"/>
          <w:color w:val="auto"/>
          <w:sz w:val="21"/>
          <w:highlight w:val="none"/>
        </w:rPr>
      </w:pPr>
    </w:p>
    <w:p w14:paraId="2AFD9ED0">
      <w:pPr>
        <w:spacing w:line="285" w:lineRule="auto"/>
        <w:rPr>
          <w:rFonts w:ascii="Arial"/>
          <w:color w:val="auto"/>
          <w:sz w:val="21"/>
          <w:highlight w:val="none"/>
        </w:rPr>
      </w:pPr>
    </w:p>
    <w:p w14:paraId="6DFB465F">
      <w:pPr>
        <w:spacing w:line="285" w:lineRule="auto"/>
        <w:rPr>
          <w:rFonts w:ascii="Arial"/>
          <w:color w:val="auto"/>
          <w:sz w:val="21"/>
          <w:highlight w:val="none"/>
        </w:rPr>
      </w:pPr>
    </w:p>
    <w:p w14:paraId="563260CE">
      <w:pPr>
        <w:spacing w:line="285" w:lineRule="auto"/>
        <w:rPr>
          <w:rFonts w:ascii="Arial"/>
          <w:color w:val="auto"/>
          <w:sz w:val="21"/>
          <w:highlight w:val="none"/>
        </w:rPr>
      </w:pPr>
    </w:p>
    <w:p w14:paraId="4936873C">
      <w:pPr>
        <w:spacing w:line="285" w:lineRule="auto"/>
        <w:rPr>
          <w:rFonts w:ascii="Arial"/>
          <w:color w:val="auto"/>
          <w:sz w:val="21"/>
          <w:highlight w:val="none"/>
        </w:rPr>
      </w:pPr>
    </w:p>
    <w:p w14:paraId="31366DC1">
      <w:pPr>
        <w:spacing w:line="285" w:lineRule="auto"/>
        <w:rPr>
          <w:rFonts w:ascii="Arial"/>
          <w:color w:val="auto"/>
          <w:sz w:val="21"/>
          <w:highlight w:val="none"/>
        </w:rPr>
      </w:pPr>
    </w:p>
    <w:p w14:paraId="2AF20A4E">
      <w:pPr>
        <w:spacing w:line="285" w:lineRule="auto"/>
        <w:rPr>
          <w:rFonts w:ascii="Arial"/>
          <w:color w:val="auto"/>
          <w:sz w:val="21"/>
          <w:highlight w:val="none"/>
        </w:rPr>
      </w:pPr>
    </w:p>
    <w:p w14:paraId="48266F82">
      <w:pPr>
        <w:spacing w:line="285" w:lineRule="auto"/>
        <w:rPr>
          <w:rFonts w:ascii="Arial"/>
          <w:color w:val="auto"/>
          <w:sz w:val="21"/>
          <w:highlight w:val="none"/>
        </w:rPr>
      </w:pPr>
    </w:p>
    <w:p w14:paraId="75EC074C">
      <w:pPr>
        <w:spacing w:line="285" w:lineRule="auto"/>
        <w:rPr>
          <w:rFonts w:ascii="Arial"/>
          <w:color w:val="auto"/>
          <w:sz w:val="21"/>
          <w:highlight w:val="none"/>
        </w:rPr>
      </w:pPr>
    </w:p>
    <w:p w14:paraId="5CC54971">
      <w:pPr>
        <w:spacing w:line="285" w:lineRule="auto"/>
        <w:rPr>
          <w:rFonts w:ascii="Arial"/>
          <w:color w:val="auto"/>
          <w:sz w:val="21"/>
          <w:highlight w:val="none"/>
        </w:rPr>
      </w:pPr>
    </w:p>
    <w:p w14:paraId="0113C70C">
      <w:pPr>
        <w:spacing w:line="285" w:lineRule="auto"/>
        <w:rPr>
          <w:rFonts w:ascii="Arial"/>
          <w:color w:val="auto"/>
          <w:sz w:val="21"/>
          <w:highlight w:val="none"/>
        </w:rPr>
      </w:pPr>
    </w:p>
    <w:p w14:paraId="0EDB98EE">
      <w:pPr>
        <w:spacing w:line="285" w:lineRule="auto"/>
        <w:rPr>
          <w:rFonts w:ascii="Arial"/>
          <w:color w:val="auto"/>
          <w:sz w:val="21"/>
          <w:highlight w:val="none"/>
        </w:rPr>
      </w:pPr>
    </w:p>
    <w:p w14:paraId="4352FA1A">
      <w:pPr>
        <w:spacing w:line="285" w:lineRule="auto"/>
        <w:rPr>
          <w:rFonts w:ascii="Arial"/>
          <w:color w:val="auto"/>
          <w:sz w:val="21"/>
          <w:highlight w:val="none"/>
        </w:rPr>
      </w:pPr>
    </w:p>
    <w:p w14:paraId="3DE057B9">
      <w:pPr>
        <w:spacing w:line="285" w:lineRule="auto"/>
        <w:rPr>
          <w:rFonts w:ascii="Arial"/>
          <w:color w:val="auto"/>
          <w:sz w:val="21"/>
          <w:highlight w:val="none"/>
        </w:rPr>
      </w:pPr>
    </w:p>
    <w:p w14:paraId="2C8F8D2A">
      <w:pPr>
        <w:spacing w:line="285" w:lineRule="auto"/>
        <w:rPr>
          <w:rFonts w:ascii="Arial"/>
          <w:color w:val="auto"/>
          <w:sz w:val="21"/>
          <w:highlight w:val="none"/>
        </w:rPr>
      </w:pPr>
    </w:p>
    <w:p w14:paraId="7C9CFFFF">
      <w:pPr>
        <w:spacing w:line="285" w:lineRule="auto"/>
        <w:rPr>
          <w:rFonts w:ascii="Arial"/>
          <w:color w:val="auto"/>
          <w:sz w:val="21"/>
          <w:highlight w:val="none"/>
        </w:rPr>
      </w:pPr>
    </w:p>
    <w:p w14:paraId="0993D05A">
      <w:pPr>
        <w:spacing w:line="285" w:lineRule="auto"/>
        <w:rPr>
          <w:rFonts w:ascii="Arial"/>
          <w:color w:val="auto"/>
          <w:sz w:val="21"/>
          <w:highlight w:val="none"/>
        </w:rPr>
      </w:pPr>
    </w:p>
    <w:p w14:paraId="5CF926EE">
      <w:pPr>
        <w:spacing w:line="285" w:lineRule="auto"/>
        <w:rPr>
          <w:rFonts w:ascii="Arial"/>
          <w:color w:val="auto"/>
          <w:sz w:val="21"/>
          <w:highlight w:val="none"/>
        </w:rPr>
      </w:pPr>
    </w:p>
    <w:p w14:paraId="01AB2A69">
      <w:pPr>
        <w:spacing w:line="285" w:lineRule="auto"/>
        <w:rPr>
          <w:rFonts w:ascii="Arial"/>
          <w:color w:val="auto"/>
          <w:sz w:val="21"/>
          <w:highlight w:val="none"/>
        </w:rPr>
      </w:pPr>
    </w:p>
    <w:p w14:paraId="6F5B725F">
      <w:pPr>
        <w:spacing w:line="285" w:lineRule="auto"/>
        <w:rPr>
          <w:rFonts w:ascii="Arial"/>
          <w:color w:val="auto"/>
          <w:sz w:val="21"/>
          <w:highlight w:val="none"/>
        </w:rPr>
      </w:pPr>
    </w:p>
    <w:p w14:paraId="099BCBE5">
      <w:pPr>
        <w:spacing w:line="285" w:lineRule="auto"/>
        <w:rPr>
          <w:rFonts w:ascii="Arial"/>
          <w:color w:val="auto"/>
          <w:sz w:val="21"/>
          <w:highlight w:val="none"/>
        </w:rPr>
      </w:pPr>
    </w:p>
    <w:p w14:paraId="0852DC45">
      <w:pPr>
        <w:spacing w:line="285" w:lineRule="auto"/>
        <w:rPr>
          <w:rFonts w:ascii="Arial"/>
          <w:color w:val="auto"/>
          <w:sz w:val="21"/>
          <w:highlight w:val="none"/>
        </w:rPr>
      </w:pPr>
    </w:p>
    <w:p w14:paraId="1EBEC142">
      <w:pPr>
        <w:spacing w:line="285" w:lineRule="auto"/>
        <w:rPr>
          <w:rFonts w:ascii="Arial"/>
          <w:color w:val="auto"/>
          <w:sz w:val="21"/>
          <w:highlight w:val="none"/>
        </w:rPr>
      </w:pPr>
    </w:p>
    <w:p w14:paraId="53D3951F">
      <w:pPr>
        <w:spacing w:line="285" w:lineRule="auto"/>
        <w:rPr>
          <w:rFonts w:ascii="Arial"/>
          <w:color w:val="auto"/>
          <w:sz w:val="21"/>
          <w:highlight w:val="none"/>
        </w:rPr>
      </w:pPr>
    </w:p>
    <w:p w14:paraId="49039F2E">
      <w:pPr>
        <w:spacing w:line="285" w:lineRule="auto"/>
        <w:rPr>
          <w:rFonts w:ascii="Arial"/>
          <w:color w:val="auto"/>
          <w:sz w:val="21"/>
          <w:highlight w:val="none"/>
        </w:rPr>
      </w:pPr>
    </w:p>
    <w:p w14:paraId="03AB61A1">
      <w:pPr>
        <w:spacing w:line="285" w:lineRule="auto"/>
        <w:rPr>
          <w:rFonts w:ascii="Arial"/>
          <w:color w:val="auto"/>
          <w:sz w:val="21"/>
          <w:highlight w:val="none"/>
        </w:rPr>
      </w:pPr>
    </w:p>
    <w:p w14:paraId="2E7D2822">
      <w:pPr>
        <w:spacing w:line="285" w:lineRule="auto"/>
        <w:rPr>
          <w:rFonts w:ascii="Arial"/>
          <w:color w:val="auto"/>
          <w:sz w:val="21"/>
          <w:highlight w:val="none"/>
        </w:rPr>
      </w:pPr>
    </w:p>
    <w:p w14:paraId="28525C55">
      <w:pPr>
        <w:spacing w:line="285" w:lineRule="auto"/>
        <w:rPr>
          <w:rFonts w:ascii="Arial"/>
          <w:color w:val="auto"/>
          <w:sz w:val="21"/>
          <w:highlight w:val="none"/>
        </w:rPr>
      </w:pPr>
    </w:p>
    <w:p w14:paraId="229FEB22">
      <w:pPr>
        <w:spacing w:line="285" w:lineRule="auto"/>
        <w:rPr>
          <w:rFonts w:ascii="Arial"/>
          <w:color w:val="auto"/>
          <w:sz w:val="21"/>
          <w:highlight w:val="none"/>
        </w:rPr>
      </w:pPr>
    </w:p>
    <w:p w14:paraId="289ABD0A">
      <w:pPr>
        <w:spacing w:line="285" w:lineRule="auto"/>
        <w:rPr>
          <w:rFonts w:ascii="Arial"/>
          <w:color w:val="auto"/>
          <w:sz w:val="21"/>
          <w:highlight w:val="none"/>
        </w:rPr>
      </w:pPr>
    </w:p>
    <w:p w14:paraId="44CE65A9">
      <w:pPr>
        <w:spacing w:line="285" w:lineRule="auto"/>
        <w:rPr>
          <w:rFonts w:ascii="Arial"/>
          <w:color w:val="auto"/>
          <w:sz w:val="21"/>
          <w:highlight w:val="none"/>
        </w:rPr>
      </w:pPr>
    </w:p>
    <w:p w14:paraId="6941D970">
      <w:pPr>
        <w:spacing w:line="285" w:lineRule="auto"/>
        <w:jc w:val="center"/>
        <w:rPr>
          <w:rFonts w:hint="eastAsia" w:eastAsia="宋体"/>
          <w:b/>
          <w:bCs/>
          <w:color w:val="auto"/>
          <w:sz w:val="44"/>
          <w:szCs w:val="44"/>
          <w:highlight w:val="none"/>
          <w:lang w:eastAsia="zh-CN"/>
        </w:rPr>
      </w:pPr>
    </w:p>
    <w:p w14:paraId="581569E9">
      <w:pPr>
        <w:spacing w:line="285" w:lineRule="auto"/>
        <w:jc w:val="center"/>
        <w:rPr>
          <w:rFonts w:hint="eastAsia" w:eastAsia="宋体"/>
          <w:b/>
          <w:bCs/>
          <w:color w:val="auto"/>
          <w:sz w:val="44"/>
          <w:szCs w:val="44"/>
          <w:highlight w:val="none"/>
          <w:lang w:eastAsia="zh-CN"/>
        </w:rPr>
      </w:pPr>
    </w:p>
    <w:p w14:paraId="36648EDF">
      <w:pPr>
        <w:spacing w:line="285" w:lineRule="auto"/>
        <w:jc w:val="center"/>
        <w:rPr>
          <w:rFonts w:hint="eastAsia" w:ascii="Arial" w:eastAsia="宋体"/>
          <w:b/>
          <w:bCs/>
          <w:color w:val="auto"/>
          <w:sz w:val="44"/>
          <w:szCs w:val="44"/>
          <w:highlight w:val="none"/>
          <w:lang w:eastAsia="zh-CN"/>
        </w:rPr>
      </w:pPr>
      <w:r>
        <w:rPr>
          <w:rFonts w:hint="eastAsia" w:eastAsia="宋体"/>
          <w:b/>
          <w:bCs/>
          <w:color w:val="auto"/>
          <w:sz w:val="44"/>
          <w:szCs w:val="44"/>
          <w:highlight w:val="none"/>
          <w:lang w:eastAsia="zh-CN"/>
        </w:rPr>
        <w:t>目</w:t>
      </w:r>
      <w:r>
        <w:rPr>
          <w:rFonts w:hint="eastAsia" w:eastAsia="宋体"/>
          <w:b/>
          <w:bCs/>
          <w:color w:val="auto"/>
          <w:sz w:val="44"/>
          <w:szCs w:val="44"/>
          <w:highlight w:val="none"/>
          <w:lang w:val="en-US" w:eastAsia="zh-CN"/>
        </w:rPr>
        <w:t xml:space="preserve">   </w:t>
      </w:r>
      <w:r>
        <w:rPr>
          <w:rFonts w:hint="eastAsia" w:eastAsia="宋体"/>
          <w:b/>
          <w:bCs/>
          <w:color w:val="auto"/>
          <w:sz w:val="44"/>
          <w:szCs w:val="44"/>
          <w:highlight w:val="none"/>
          <w:lang w:eastAsia="zh-CN"/>
        </w:rPr>
        <w:t>录</w:t>
      </w:r>
    </w:p>
    <w:p w14:paraId="41EF9C0A">
      <w:pPr>
        <w:spacing w:line="285" w:lineRule="auto"/>
        <w:rPr>
          <w:rFonts w:ascii="Arial"/>
          <w:color w:val="auto"/>
          <w:sz w:val="21"/>
          <w:highlight w:val="none"/>
        </w:rPr>
      </w:pPr>
    </w:p>
    <w:p w14:paraId="79583EFE">
      <w:pPr>
        <w:spacing w:line="285" w:lineRule="auto"/>
        <w:rPr>
          <w:rFonts w:ascii="Arial"/>
          <w:color w:val="auto"/>
          <w:sz w:val="21"/>
          <w:highlight w:val="none"/>
        </w:rPr>
      </w:pPr>
    </w:p>
    <w:p w14:paraId="68C5E135">
      <w:pPr>
        <w:spacing w:line="285" w:lineRule="auto"/>
        <w:rPr>
          <w:rFonts w:ascii="Arial"/>
          <w:color w:val="auto"/>
          <w:sz w:val="21"/>
          <w:highlight w:val="none"/>
        </w:rPr>
      </w:pPr>
    </w:p>
    <w:p w14:paraId="59990AE1">
      <w:pPr>
        <w:spacing w:line="285" w:lineRule="auto"/>
        <w:rPr>
          <w:rFonts w:ascii="Arial"/>
          <w:color w:val="auto"/>
          <w:sz w:val="21"/>
          <w:highlight w:val="none"/>
        </w:rPr>
      </w:pPr>
    </w:p>
    <w:p w14:paraId="2B6EC9AD">
      <w:pPr>
        <w:spacing w:line="285" w:lineRule="auto"/>
        <w:rPr>
          <w:rFonts w:ascii="Arial"/>
          <w:color w:val="auto"/>
          <w:sz w:val="21"/>
          <w:highlight w:val="none"/>
        </w:rPr>
      </w:pPr>
    </w:p>
    <w:p w14:paraId="0A85A4BD">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TOC \o "1-1" \h \u </w:instrText>
      </w:r>
      <w:r>
        <w:rPr>
          <w:rFonts w:ascii="Arial"/>
          <w:color w:val="auto"/>
          <w:sz w:val="28"/>
          <w:szCs w:val="28"/>
          <w:highlight w:val="none"/>
        </w:rPr>
        <w:fldChar w:fldCharType="separate"/>
      </w:r>
      <w:r>
        <w:rPr>
          <w:rFonts w:ascii="Arial"/>
          <w:color w:val="auto"/>
          <w:sz w:val="28"/>
          <w:szCs w:val="28"/>
          <w:highlight w:val="none"/>
        </w:rPr>
        <w:fldChar w:fldCharType="begin"/>
      </w:r>
      <w:r>
        <w:rPr>
          <w:rFonts w:ascii="Arial"/>
          <w:color w:val="auto"/>
          <w:sz w:val="28"/>
          <w:szCs w:val="28"/>
          <w:highlight w:val="none"/>
        </w:rPr>
        <w:instrText xml:space="preserve"> HYPERLINK \l _Toc29810 </w:instrText>
      </w:r>
      <w:r>
        <w:rPr>
          <w:rFonts w:ascii="Arial"/>
          <w:color w:val="auto"/>
          <w:sz w:val="28"/>
          <w:szCs w:val="28"/>
          <w:highlight w:val="none"/>
        </w:rPr>
        <w:fldChar w:fldCharType="separate"/>
      </w:r>
      <w:r>
        <w:rPr>
          <w:color w:val="auto"/>
          <w:sz w:val="28"/>
          <w:szCs w:val="72"/>
          <w:highlight w:val="none"/>
        </w:rPr>
        <w:t>第一章  招标公告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_Toc29810 \h </w:instrText>
      </w:r>
      <w:r>
        <w:rPr>
          <w:color w:val="auto"/>
          <w:sz w:val="28"/>
          <w:szCs w:val="28"/>
          <w:highlight w:val="none"/>
        </w:rPr>
        <w:fldChar w:fldCharType="separate"/>
      </w:r>
      <w:r>
        <w:rPr>
          <w:color w:val="auto"/>
          <w:sz w:val="28"/>
          <w:szCs w:val="28"/>
          <w:highlight w:val="none"/>
        </w:rPr>
        <w:t>2</w:t>
      </w:r>
      <w:r>
        <w:rPr>
          <w:color w:val="auto"/>
          <w:sz w:val="28"/>
          <w:szCs w:val="28"/>
          <w:highlight w:val="none"/>
        </w:rPr>
        <w:fldChar w:fldCharType="end"/>
      </w:r>
      <w:r>
        <w:rPr>
          <w:rFonts w:ascii="Arial"/>
          <w:color w:val="auto"/>
          <w:sz w:val="28"/>
          <w:szCs w:val="28"/>
          <w:highlight w:val="none"/>
        </w:rPr>
        <w:fldChar w:fldCharType="end"/>
      </w:r>
    </w:p>
    <w:p w14:paraId="439A369A">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_Toc16580 </w:instrText>
      </w:r>
      <w:r>
        <w:rPr>
          <w:rFonts w:ascii="Arial"/>
          <w:color w:val="auto"/>
          <w:sz w:val="28"/>
          <w:szCs w:val="28"/>
          <w:highlight w:val="none"/>
        </w:rPr>
        <w:fldChar w:fldCharType="separate"/>
      </w:r>
      <w:r>
        <w:rPr>
          <w:bCs/>
          <w:color w:val="auto"/>
          <w:sz w:val="28"/>
          <w:szCs w:val="72"/>
          <w:highlight w:val="none"/>
        </w:rPr>
        <w:t>第二章  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_Toc16580 \h </w:instrText>
      </w:r>
      <w:r>
        <w:rPr>
          <w:color w:val="auto"/>
          <w:sz w:val="28"/>
          <w:szCs w:val="28"/>
          <w:highlight w:val="none"/>
        </w:rPr>
        <w:fldChar w:fldCharType="separate"/>
      </w:r>
      <w:r>
        <w:rPr>
          <w:color w:val="auto"/>
          <w:sz w:val="28"/>
          <w:szCs w:val="28"/>
          <w:highlight w:val="none"/>
        </w:rPr>
        <w:t>8</w:t>
      </w:r>
      <w:r>
        <w:rPr>
          <w:color w:val="auto"/>
          <w:sz w:val="28"/>
          <w:szCs w:val="28"/>
          <w:highlight w:val="none"/>
        </w:rPr>
        <w:fldChar w:fldCharType="end"/>
      </w:r>
      <w:r>
        <w:rPr>
          <w:rFonts w:ascii="Arial"/>
          <w:color w:val="auto"/>
          <w:sz w:val="28"/>
          <w:szCs w:val="28"/>
          <w:highlight w:val="none"/>
        </w:rPr>
        <w:fldChar w:fldCharType="end"/>
      </w:r>
    </w:p>
    <w:p w14:paraId="45E9532F">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_Toc5603 </w:instrText>
      </w:r>
      <w:r>
        <w:rPr>
          <w:rFonts w:ascii="Arial"/>
          <w:color w:val="auto"/>
          <w:sz w:val="28"/>
          <w:szCs w:val="28"/>
          <w:highlight w:val="none"/>
        </w:rPr>
        <w:fldChar w:fldCharType="separate"/>
      </w:r>
      <w:r>
        <w:rPr>
          <w:color w:val="auto"/>
          <w:sz w:val="28"/>
          <w:szCs w:val="72"/>
          <w:highlight w:val="none"/>
        </w:rPr>
        <w:t>第三章  评标办法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_Toc5603 \h </w:instrText>
      </w:r>
      <w:r>
        <w:rPr>
          <w:color w:val="auto"/>
          <w:sz w:val="28"/>
          <w:szCs w:val="28"/>
          <w:highlight w:val="none"/>
        </w:rPr>
        <w:fldChar w:fldCharType="separate"/>
      </w:r>
      <w:r>
        <w:rPr>
          <w:color w:val="auto"/>
          <w:sz w:val="28"/>
          <w:szCs w:val="28"/>
          <w:highlight w:val="none"/>
        </w:rPr>
        <w:t>52</w:t>
      </w:r>
      <w:r>
        <w:rPr>
          <w:color w:val="auto"/>
          <w:sz w:val="28"/>
          <w:szCs w:val="28"/>
          <w:highlight w:val="none"/>
        </w:rPr>
        <w:fldChar w:fldCharType="end"/>
      </w:r>
      <w:r>
        <w:rPr>
          <w:rFonts w:ascii="Arial"/>
          <w:color w:val="auto"/>
          <w:sz w:val="28"/>
          <w:szCs w:val="28"/>
          <w:highlight w:val="none"/>
        </w:rPr>
        <w:fldChar w:fldCharType="end"/>
      </w:r>
    </w:p>
    <w:p w14:paraId="3E5CBF22">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_Toc19251 </w:instrText>
      </w:r>
      <w:r>
        <w:rPr>
          <w:rFonts w:ascii="Arial"/>
          <w:color w:val="auto"/>
          <w:sz w:val="28"/>
          <w:szCs w:val="28"/>
          <w:highlight w:val="none"/>
        </w:rPr>
        <w:fldChar w:fldCharType="separate"/>
      </w:r>
      <w:r>
        <w:rPr>
          <w:color w:val="auto"/>
          <w:sz w:val="28"/>
          <w:szCs w:val="28"/>
          <w:highlight w:val="none"/>
        </w:rPr>
        <w:t>第三章  评标办法（综合评估法）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_Toc19251 \h </w:instrText>
      </w:r>
      <w:r>
        <w:rPr>
          <w:color w:val="auto"/>
          <w:sz w:val="28"/>
          <w:szCs w:val="28"/>
          <w:highlight w:val="none"/>
        </w:rPr>
        <w:fldChar w:fldCharType="separate"/>
      </w:r>
      <w:r>
        <w:rPr>
          <w:color w:val="auto"/>
          <w:sz w:val="28"/>
          <w:szCs w:val="28"/>
          <w:highlight w:val="none"/>
        </w:rPr>
        <w:t>53</w:t>
      </w:r>
      <w:r>
        <w:rPr>
          <w:color w:val="auto"/>
          <w:sz w:val="28"/>
          <w:szCs w:val="28"/>
          <w:highlight w:val="none"/>
        </w:rPr>
        <w:fldChar w:fldCharType="end"/>
      </w:r>
      <w:r>
        <w:rPr>
          <w:rFonts w:ascii="Arial"/>
          <w:color w:val="auto"/>
          <w:sz w:val="28"/>
          <w:szCs w:val="28"/>
          <w:highlight w:val="none"/>
        </w:rPr>
        <w:fldChar w:fldCharType="end"/>
      </w:r>
    </w:p>
    <w:p w14:paraId="211AB32B">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_Toc7660 </w:instrText>
      </w:r>
      <w:r>
        <w:rPr>
          <w:rFonts w:ascii="Arial"/>
          <w:color w:val="auto"/>
          <w:sz w:val="28"/>
          <w:szCs w:val="28"/>
          <w:highlight w:val="none"/>
        </w:rPr>
        <w:fldChar w:fldCharType="separate"/>
      </w:r>
      <w:r>
        <w:rPr>
          <w:color w:val="auto"/>
          <w:sz w:val="28"/>
          <w:szCs w:val="28"/>
          <w:highlight w:val="none"/>
        </w:rPr>
        <w:t>第三章 评标办法</w:t>
      </w:r>
      <w:r>
        <w:rPr>
          <w:rFonts w:hint="eastAsia"/>
          <w:color w:val="auto"/>
          <w:sz w:val="28"/>
          <w:szCs w:val="28"/>
          <w:highlight w:val="none"/>
          <w:lang w:val="en-US" w:eastAsia="zh-CN"/>
        </w:rPr>
        <w:t xml:space="preserve"> </w:t>
      </w:r>
      <w:r>
        <w:rPr>
          <w:color w:val="auto"/>
          <w:sz w:val="28"/>
          <w:szCs w:val="28"/>
          <w:highlight w:val="none"/>
        </w:rPr>
        <w:t>正文</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_Toc7660 \h </w:instrText>
      </w:r>
      <w:r>
        <w:rPr>
          <w:color w:val="auto"/>
          <w:sz w:val="28"/>
          <w:szCs w:val="28"/>
          <w:highlight w:val="none"/>
        </w:rPr>
        <w:fldChar w:fldCharType="separate"/>
      </w:r>
      <w:r>
        <w:rPr>
          <w:color w:val="auto"/>
          <w:sz w:val="28"/>
          <w:szCs w:val="28"/>
          <w:highlight w:val="none"/>
        </w:rPr>
        <w:t>62</w:t>
      </w:r>
      <w:r>
        <w:rPr>
          <w:color w:val="auto"/>
          <w:sz w:val="28"/>
          <w:szCs w:val="28"/>
          <w:highlight w:val="none"/>
        </w:rPr>
        <w:fldChar w:fldCharType="end"/>
      </w:r>
      <w:r>
        <w:rPr>
          <w:rFonts w:ascii="Arial"/>
          <w:color w:val="auto"/>
          <w:sz w:val="28"/>
          <w:szCs w:val="28"/>
          <w:highlight w:val="none"/>
        </w:rPr>
        <w:fldChar w:fldCharType="end"/>
      </w:r>
    </w:p>
    <w:p w14:paraId="5E5A10F2">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_Toc23475 </w:instrText>
      </w:r>
      <w:r>
        <w:rPr>
          <w:rFonts w:ascii="Arial"/>
          <w:color w:val="auto"/>
          <w:sz w:val="28"/>
          <w:szCs w:val="28"/>
          <w:highlight w:val="none"/>
        </w:rPr>
        <w:fldChar w:fldCharType="separate"/>
      </w:r>
      <w:r>
        <w:rPr>
          <w:rFonts w:ascii="宋体" w:hAnsi="宋体" w:eastAsia="宋体" w:cs="宋体"/>
          <w:bCs/>
          <w:color w:val="auto"/>
          <w:spacing w:val="-5"/>
          <w:sz w:val="28"/>
          <w:szCs w:val="72"/>
          <w:highlight w:val="none"/>
        </w:rPr>
        <w:t>第四章</w:t>
      </w:r>
      <w:r>
        <w:rPr>
          <w:rFonts w:ascii="宋体" w:hAnsi="宋体" w:eastAsia="宋体" w:cs="宋体"/>
          <w:color w:val="auto"/>
          <w:spacing w:val="-5"/>
          <w:sz w:val="28"/>
          <w:szCs w:val="72"/>
          <w:highlight w:val="none"/>
        </w:rPr>
        <w:t xml:space="preserve">  </w:t>
      </w:r>
      <w:r>
        <w:rPr>
          <w:rFonts w:ascii="宋体" w:hAnsi="宋体" w:eastAsia="宋体" w:cs="宋体"/>
          <w:bCs/>
          <w:color w:val="auto"/>
          <w:spacing w:val="-5"/>
          <w:sz w:val="28"/>
          <w:szCs w:val="72"/>
          <w:highlight w:val="none"/>
        </w:rPr>
        <w:t>合同条款及格式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_Toc23475 \h </w:instrText>
      </w:r>
      <w:r>
        <w:rPr>
          <w:color w:val="auto"/>
          <w:sz w:val="28"/>
          <w:szCs w:val="28"/>
          <w:highlight w:val="none"/>
        </w:rPr>
        <w:fldChar w:fldCharType="separate"/>
      </w:r>
      <w:r>
        <w:rPr>
          <w:color w:val="auto"/>
          <w:sz w:val="28"/>
          <w:szCs w:val="28"/>
          <w:highlight w:val="none"/>
        </w:rPr>
        <w:t>70</w:t>
      </w:r>
      <w:r>
        <w:rPr>
          <w:color w:val="auto"/>
          <w:sz w:val="28"/>
          <w:szCs w:val="28"/>
          <w:highlight w:val="none"/>
        </w:rPr>
        <w:fldChar w:fldCharType="end"/>
      </w:r>
      <w:r>
        <w:rPr>
          <w:rFonts w:ascii="Arial"/>
          <w:color w:val="auto"/>
          <w:sz w:val="28"/>
          <w:szCs w:val="28"/>
          <w:highlight w:val="none"/>
        </w:rPr>
        <w:fldChar w:fldCharType="end"/>
      </w:r>
    </w:p>
    <w:p w14:paraId="5A507CDC">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_Toc5822 </w:instrText>
      </w:r>
      <w:r>
        <w:rPr>
          <w:rFonts w:ascii="Arial"/>
          <w:color w:val="auto"/>
          <w:sz w:val="28"/>
          <w:szCs w:val="28"/>
          <w:highlight w:val="none"/>
        </w:rPr>
        <w:fldChar w:fldCharType="separate"/>
      </w:r>
      <w:r>
        <w:rPr>
          <w:color w:val="auto"/>
          <w:sz w:val="28"/>
          <w:szCs w:val="52"/>
          <w:highlight w:val="none"/>
        </w:rPr>
        <w:t>第五章  委托人要求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_Toc5822 \h </w:instrText>
      </w:r>
      <w:r>
        <w:rPr>
          <w:color w:val="auto"/>
          <w:sz w:val="28"/>
          <w:szCs w:val="28"/>
          <w:highlight w:val="none"/>
        </w:rPr>
        <w:fldChar w:fldCharType="separate"/>
      </w:r>
      <w:r>
        <w:rPr>
          <w:color w:val="auto"/>
          <w:sz w:val="28"/>
          <w:szCs w:val="28"/>
          <w:highlight w:val="none"/>
        </w:rPr>
        <w:t>148</w:t>
      </w:r>
      <w:r>
        <w:rPr>
          <w:color w:val="auto"/>
          <w:sz w:val="28"/>
          <w:szCs w:val="28"/>
          <w:highlight w:val="none"/>
        </w:rPr>
        <w:fldChar w:fldCharType="end"/>
      </w:r>
      <w:r>
        <w:rPr>
          <w:rFonts w:ascii="Arial"/>
          <w:color w:val="auto"/>
          <w:sz w:val="28"/>
          <w:szCs w:val="28"/>
          <w:highlight w:val="none"/>
        </w:rPr>
        <w:fldChar w:fldCharType="end"/>
      </w:r>
    </w:p>
    <w:p w14:paraId="56E9C024">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_Toc1514 </w:instrText>
      </w:r>
      <w:r>
        <w:rPr>
          <w:rFonts w:ascii="Arial"/>
          <w:color w:val="auto"/>
          <w:sz w:val="28"/>
          <w:szCs w:val="28"/>
          <w:highlight w:val="none"/>
        </w:rPr>
        <w:fldChar w:fldCharType="separate"/>
      </w:r>
      <w:r>
        <w:rPr>
          <w:rFonts w:ascii="宋体" w:hAnsi="宋体" w:eastAsia="宋体" w:cs="宋体"/>
          <w:bCs/>
          <w:color w:val="auto"/>
          <w:spacing w:val="-16"/>
          <w:sz w:val="28"/>
          <w:szCs w:val="72"/>
          <w:highlight w:val="none"/>
        </w:rPr>
        <w:t>第六章</w:t>
      </w:r>
      <w:r>
        <w:rPr>
          <w:rFonts w:ascii="宋体" w:hAnsi="宋体" w:eastAsia="宋体" w:cs="宋体"/>
          <w:color w:val="auto"/>
          <w:spacing w:val="39"/>
          <w:sz w:val="28"/>
          <w:szCs w:val="72"/>
          <w:highlight w:val="none"/>
        </w:rPr>
        <w:t xml:space="preserve">  </w:t>
      </w:r>
      <w:r>
        <w:rPr>
          <w:rFonts w:ascii="宋体" w:hAnsi="宋体" w:eastAsia="宋体" w:cs="宋体"/>
          <w:bCs/>
          <w:color w:val="auto"/>
          <w:spacing w:val="-16"/>
          <w:sz w:val="28"/>
          <w:szCs w:val="72"/>
          <w:highlight w:val="none"/>
        </w:rPr>
        <w:t>图纸和资料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_Toc1514 \h </w:instrText>
      </w:r>
      <w:r>
        <w:rPr>
          <w:color w:val="auto"/>
          <w:sz w:val="28"/>
          <w:szCs w:val="28"/>
          <w:highlight w:val="none"/>
        </w:rPr>
        <w:fldChar w:fldCharType="separate"/>
      </w:r>
      <w:r>
        <w:rPr>
          <w:color w:val="auto"/>
          <w:sz w:val="28"/>
          <w:szCs w:val="28"/>
          <w:highlight w:val="none"/>
        </w:rPr>
        <w:t>153</w:t>
      </w:r>
      <w:r>
        <w:rPr>
          <w:color w:val="auto"/>
          <w:sz w:val="28"/>
          <w:szCs w:val="28"/>
          <w:highlight w:val="none"/>
        </w:rPr>
        <w:fldChar w:fldCharType="end"/>
      </w:r>
      <w:r>
        <w:rPr>
          <w:rFonts w:ascii="Arial"/>
          <w:color w:val="auto"/>
          <w:sz w:val="28"/>
          <w:szCs w:val="28"/>
          <w:highlight w:val="none"/>
        </w:rPr>
        <w:fldChar w:fldCharType="end"/>
      </w:r>
    </w:p>
    <w:p w14:paraId="32FA483E">
      <w:pPr>
        <w:pStyle w:val="12"/>
        <w:keepNext w:val="0"/>
        <w:keepLines w:val="0"/>
        <w:pageBreakBefore w:val="0"/>
        <w:widowControl/>
        <w:tabs>
          <w:tab w:val="right" w:leader="dot" w:pos="9637"/>
        </w:tabs>
        <w:kinsoku w:val="0"/>
        <w:wordWrap/>
        <w:overflowPunct/>
        <w:topLinePunct w:val="0"/>
        <w:autoSpaceDE w:val="0"/>
        <w:autoSpaceDN w:val="0"/>
        <w:bidi w:val="0"/>
        <w:adjustRightInd w:val="0"/>
        <w:snapToGrid w:val="0"/>
        <w:spacing w:line="360" w:lineRule="auto"/>
        <w:textAlignment w:val="baseline"/>
        <w:rPr>
          <w:color w:val="auto"/>
          <w:sz w:val="28"/>
          <w:szCs w:val="28"/>
          <w:highlight w:val="none"/>
        </w:rPr>
      </w:pPr>
      <w:r>
        <w:rPr>
          <w:rFonts w:ascii="Arial"/>
          <w:color w:val="auto"/>
          <w:sz w:val="28"/>
          <w:szCs w:val="28"/>
          <w:highlight w:val="none"/>
        </w:rPr>
        <w:fldChar w:fldCharType="begin"/>
      </w:r>
      <w:r>
        <w:rPr>
          <w:rFonts w:ascii="Arial"/>
          <w:color w:val="auto"/>
          <w:sz w:val="28"/>
          <w:szCs w:val="28"/>
          <w:highlight w:val="none"/>
        </w:rPr>
        <w:instrText xml:space="preserve"> HYPERLINK \l _Toc7980 </w:instrText>
      </w:r>
      <w:r>
        <w:rPr>
          <w:rFonts w:ascii="Arial"/>
          <w:color w:val="auto"/>
          <w:sz w:val="28"/>
          <w:szCs w:val="28"/>
          <w:highlight w:val="none"/>
        </w:rPr>
        <w:fldChar w:fldCharType="separate"/>
      </w:r>
      <w:r>
        <w:rPr>
          <w:color w:val="auto"/>
          <w:sz w:val="28"/>
          <w:szCs w:val="60"/>
          <w:highlight w:val="none"/>
        </w:rPr>
        <w:t>第七章  投标文件格式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_Toc7980 \h </w:instrText>
      </w:r>
      <w:r>
        <w:rPr>
          <w:color w:val="auto"/>
          <w:sz w:val="28"/>
          <w:szCs w:val="28"/>
          <w:highlight w:val="none"/>
        </w:rPr>
        <w:fldChar w:fldCharType="separate"/>
      </w:r>
      <w:r>
        <w:rPr>
          <w:color w:val="auto"/>
          <w:sz w:val="28"/>
          <w:szCs w:val="28"/>
          <w:highlight w:val="none"/>
        </w:rPr>
        <w:t>155</w:t>
      </w:r>
      <w:r>
        <w:rPr>
          <w:color w:val="auto"/>
          <w:sz w:val="28"/>
          <w:szCs w:val="28"/>
          <w:highlight w:val="none"/>
        </w:rPr>
        <w:fldChar w:fldCharType="end"/>
      </w:r>
      <w:r>
        <w:rPr>
          <w:rFonts w:ascii="Arial"/>
          <w:color w:val="auto"/>
          <w:sz w:val="28"/>
          <w:szCs w:val="28"/>
          <w:highlight w:val="none"/>
        </w:rPr>
        <w:fldChar w:fldCharType="end"/>
      </w:r>
    </w:p>
    <w:p w14:paraId="120B0AF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color w:val="auto"/>
          <w:sz w:val="21"/>
          <w:highlight w:val="none"/>
        </w:rPr>
      </w:pPr>
      <w:r>
        <w:rPr>
          <w:rFonts w:ascii="Arial"/>
          <w:color w:val="auto"/>
          <w:sz w:val="28"/>
          <w:szCs w:val="28"/>
          <w:highlight w:val="none"/>
        </w:rPr>
        <w:fldChar w:fldCharType="end"/>
      </w:r>
    </w:p>
    <w:p w14:paraId="64B76B72">
      <w:pPr>
        <w:spacing w:line="285" w:lineRule="auto"/>
        <w:rPr>
          <w:rFonts w:ascii="Arial"/>
          <w:color w:val="auto"/>
          <w:sz w:val="21"/>
          <w:highlight w:val="none"/>
        </w:rPr>
      </w:pPr>
    </w:p>
    <w:p w14:paraId="17D82F48">
      <w:pPr>
        <w:rPr>
          <w:rFonts w:ascii="Arial"/>
          <w:color w:val="auto"/>
          <w:sz w:val="21"/>
          <w:highlight w:val="none"/>
        </w:rPr>
      </w:pPr>
    </w:p>
    <w:p w14:paraId="592E5697">
      <w:pPr>
        <w:rPr>
          <w:rFonts w:ascii="Arial"/>
          <w:color w:val="auto"/>
          <w:sz w:val="21"/>
          <w:highlight w:val="none"/>
        </w:rPr>
      </w:pPr>
    </w:p>
    <w:p w14:paraId="1B2B7BFF">
      <w:pPr>
        <w:rPr>
          <w:rFonts w:ascii="Arial"/>
          <w:color w:val="auto"/>
          <w:sz w:val="21"/>
          <w:highlight w:val="none"/>
        </w:rPr>
      </w:pPr>
    </w:p>
    <w:p w14:paraId="32F4913D">
      <w:pPr>
        <w:rPr>
          <w:rFonts w:ascii="Arial"/>
          <w:color w:val="auto"/>
          <w:sz w:val="21"/>
          <w:highlight w:val="none"/>
        </w:rPr>
      </w:pPr>
    </w:p>
    <w:p w14:paraId="6C90D11E">
      <w:pPr>
        <w:rPr>
          <w:rFonts w:ascii="Arial"/>
          <w:color w:val="auto"/>
          <w:sz w:val="21"/>
          <w:highlight w:val="none"/>
        </w:rPr>
      </w:pPr>
    </w:p>
    <w:p w14:paraId="04F296BF">
      <w:pPr>
        <w:rPr>
          <w:rFonts w:ascii="Arial"/>
          <w:color w:val="auto"/>
          <w:sz w:val="21"/>
          <w:highlight w:val="none"/>
        </w:rPr>
      </w:pPr>
    </w:p>
    <w:p w14:paraId="566F5851">
      <w:pPr>
        <w:rPr>
          <w:rFonts w:ascii="Arial"/>
          <w:color w:val="auto"/>
          <w:sz w:val="21"/>
          <w:highlight w:val="none"/>
        </w:rPr>
      </w:pPr>
    </w:p>
    <w:p w14:paraId="1D869840">
      <w:pPr>
        <w:rPr>
          <w:rFonts w:ascii="Arial"/>
          <w:color w:val="auto"/>
          <w:sz w:val="21"/>
          <w:highlight w:val="none"/>
        </w:rPr>
      </w:pPr>
    </w:p>
    <w:p w14:paraId="3A45A3AA">
      <w:pPr>
        <w:rPr>
          <w:rFonts w:ascii="Arial"/>
          <w:color w:val="auto"/>
          <w:sz w:val="21"/>
          <w:highlight w:val="none"/>
        </w:rPr>
      </w:pPr>
    </w:p>
    <w:p w14:paraId="2941195E">
      <w:pPr>
        <w:rPr>
          <w:rFonts w:ascii="Arial"/>
          <w:color w:val="auto"/>
          <w:sz w:val="21"/>
          <w:highlight w:val="none"/>
        </w:rPr>
      </w:pPr>
    </w:p>
    <w:p w14:paraId="18EBAAF8">
      <w:pPr>
        <w:rPr>
          <w:rFonts w:ascii="Arial"/>
          <w:color w:val="auto"/>
          <w:sz w:val="21"/>
          <w:highlight w:val="none"/>
        </w:rPr>
      </w:pPr>
    </w:p>
    <w:p w14:paraId="07601697">
      <w:pPr>
        <w:rPr>
          <w:rFonts w:ascii="Arial"/>
          <w:color w:val="auto"/>
          <w:sz w:val="21"/>
          <w:highlight w:val="none"/>
        </w:rPr>
      </w:pPr>
    </w:p>
    <w:p w14:paraId="2B57BF27">
      <w:pPr>
        <w:rPr>
          <w:rFonts w:ascii="Arial"/>
          <w:color w:val="auto"/>
          <w:sz w:val="21"/>
          <w:highlight w:val="none"/>
        </w:rPr>
      </w:pPr>
    </w:p>
    <w:p w14:paraId="37B9F3BD">
      <w:pPr>
        <w:rPr>
          <w:rFonts w:ascii="Arial"/>
          <w:color w:val="auto"/>
          <w:sz w:val="21"/>
          <w:highlight w:val="none"/>
        </w:rPr>
      </w:pPr>
    </w:p>
    <w:p w14:paraId="2B496343">
      <w:pPr>
        <w:rPr>
          <w:rFonts w:ascii="Arial"/>
          <w:color w:val="auto"/>
          <w:sz w:val="21"/>
          <w:highlight w:val="none"/>
        </w:rPr>
      </w:pPr>
    </w:p>
    <w:p w14:paraId="422EABFF">
      <w:pPr>
        <w:rPr>
          <w:rFonts w:ascii="Arial"/>
          <w:color w:val="auto"/>
          <w:sz w:val="21"/>
          <w:highlight w:val="none"/>
        </w:rPr>
      </w:pPr>
    </w:p>
    <w:p w14:paraId="3FEDDE2C">
      <w:pPr>
        <w:rPr>
          <w:rFonts w:ascii="Arial"/>
          <w:color w:val="auto"/>
          <w:sz w:val="21"/>
          <w:highlight w:val="none"/>
        </w:rPr>
      </w:pPr>
    </w:p>
    <w:p w14:paraId="582FBC4C">
      <w:pPr>
        <w:rPr>
          <w:rFonts w:ascii="Arial"/>
          <w:color w:val="auto"/>
          <w:sz w:val="21"/>
          <w:highlight w:val="none"/>
        </w:rPr>
      </w:pPr>
    </w:p>
    <w:p w14:paraId="7D6636CF">
      <w:pPr>
        <w:rPr>
          <w:rFonts w:ascii="Arial"/>
          <w:color w:val="auto"/>
          <w:sz w:val="21"/>
          <w:highlight w:val="none"/>
        </w:rPr>
      </w:pPr>
    </w:p>
    <w:p w14:paraId="50DECB89">
      <w:pPr>
        <w:rPr>
          <w:rFonts w:ascii="Arial"/>
          <w:color w:val="auto"/>
          <w:sz w:val="21"/>
          <w:highlight w:val="none"/>
        </w:rPr>
      </w:pPr>
    </w:p>
    <w:p w14:paraId="5B5A22EB">
      <w:pPr>
        <w:rPr>
          <w:rFonts w:ascii="Arial"/>
          <w:color w:val="auto"/>
          <w:sz w:val="21"/>
          <w:highlight w:val="none"/>
        </w:rPr>
      </w:pPr>
    </w:p>
    <w:p w14:paraId="4AFBCD8A">
      <w:pPr>
        <w:rPr>
          <w:rFonts w:ascii="Arial"/>
          <w:color w:val="auto"/>
          <w:sz w:val="21"/>
          <w:highlight w:val="none"/>
        </w:rPr>
      </w:pPr>
    </w:p>
    <w:p w14:paraId="2F3470BD">
      <w:pPr>
        <w:rPr>
          <w:rFonts w:ascii="Arial"/>
          <w:color w:val="auto"/>
          <w:sz w:val="21"/>
          <w:highlight w:val="none"/>
        </w:rPr>
        <w:sectPr>
          <w:headerReference r:id="rId5" w:type="default"/>
          <w:footerReference r:id="rId6" w:type="default"/>
          <w:pgSz w:w="11905" w:h="16838"/>
          <w:pgMar w:top="1134" w:right="1134" w:bottom="1134" w:left="1134" w:header="0" w:footer="1066" w:gutter="0"/>
          <w:cols w:space="0" w:num="1"/>
          <w:rtlGutter w:val="0"/>
          <w:docGrid w:linePitch="0" w:charSpace="0"/>
        </w:sectPr>
      </w:pPr>
    </w:p>
    <w:p w14:paraId="04B6ADC1">
      <w:pPr>
        <w:rPr>
          <w:rFonts w:ascii="Arial"/>
          <w:color w:val="auto"/>
          <w:sz w:val="21"/>
          <w:highlight w:val="none"/>
        </w:rPr>
      </w:pPr>
    </w:p>
    <w:p w14:paraId="4FFD78DB">
      <w:pPr>
        <w:rPr>
          <w:rFonts w:ascii="Arial"/>
          <w:color w:val="auto"/>
          <w:sz w:val="21"/>
          <w:highlight w:val="none"/>
        </w:rPr>
      </w:pPr>
    </w:p>
    <w:p w14:paraId="0289324C">
      <w:pPr>
        <w:rPr>
          <w:rFonts w:ascii="Arial"/>
          <w:color w:val="auto"/>
          <w:sz w:val="21"/>
          <w:highlight w:val="none"/>
        </w:rPr>
      </w:pPr>
    </w:p>
    <w:p w14:paraId="31A3171E">
      <w:pPr>
        <w:rPr>
          <w:rFonts w:ascii="Arial"/>
          <w:color w:val="auto"/>
          <w:sz w:val="21"/>
          <w:highlight w:val="none"/>
        </w:rPr>
      </w:pPr>
    </w:p>
    <w:p w14:paraId="40762ECC">
      <w:pPr>
        <w:rPr>
          <w:rFonts w:ascii="Arial"/>
          <w:color w:val="auto"/>
          <w:sz w:val="21"/>
          <w:highlight w:val="none"/>
        </w:rPr>
      </w:pPr>
    </w:p>
    <w:p w14:paraId="44AE9195">
      <w:pPr>
        <w:rPr>
          <w:rFonts w:ascii="Arial"/>
          <w:color w:val="auto"/>
          <w:sz w:val="21"/>
          <w:highlight w:val="none"/>
        </w:rPr>
      </w:pPr>
    </w:p>
    <w:p w14:paraId="18D59790">
      <w:pPr>
        <w:rPr>
          <w:rFonts w:ascii="Arial"/>
          <w:color w:val="auto"/>
          <w:sz w:val="21"/>
          <w:highlight w:val="none"/>
        </w:rPr>
      </w:pPr>
    </w:p>
    <w:p w14:paraId="27C10CA2">
      <w:pPr>
        <w:rPr>
          <w:rFonts w:ascii="Arial"/>
          <w:color w:val="auto"/>
          <w:sz w:val="21"/>
          <w:highlight w:val="none"/>
        </w:rPr>
      </w:pPr>
    </w:p>
    <w:p w14:paraId="78CB110D">
      <w:pPr>
        <w:rPr>
          <w:rFonts w:ascii="Arial"/>
          <w:color w:val="auto"/>
          <w:sz w:val="21"/>
          <w:highlight w:val="none"/>
        </w:rPr>
      </w:pPr>
    </w:p>
    <w:p w14:paraId="32635796">
      <w:pPr>
        <w:rPr>
          <w:rFonts w:ascii="Arial"/>
          <w:color w:val="auto"/>
          <w:sz w:val="21"/>
          <w:highlight w:val="none"/>
        </w:rPr>
      </w:pPr>
    </w:p>
    <w:p w14:paraId="59C76D7E">
      <w:pPr>
        <w:rPr>
          <w:rFonts w:ascii="Arial"/>
          <w:color w:val="auto"/>
          <w:sz w:val="21"/>
          <w:highlight w:val="none"/>
        </w:rPr>
      </w:pPr>
    </w:p>
    <w:p w14:paraId="0B7A17C3">
      <w:pPr>
        <w:rPr>
          <w:rFonts w:ascii="Arial"/>
          <w:color w:val="auto"/>
          <w:sz w:val="21"/>
          <w:highlight w:val="none"/>
        </w:rPr>
      </w:pPr>
    </w:p>
    <w:p w14:paraId="229D9EB8">
      <w:pPr>
        <w:rPr>
          <w:rFonts w:ascii="Arial"/>
          <w:color w:val="auto"/>
          <w:sz w:val="21"/>
          <w:highlight w:val="none"/>
        </w:rPr>
      </w:pPr>
    </w:p>
    <w:p w14:paraId="03A5BD63">
      <w:pPr>
        <w:rPr>
          <w:rFonts w:ascii="Arial"/>
          <w:color w:val="auto"/>
          <w:sz w:val="21"/>
          <w:highlight w:val="none"/>
        </w:rPr>
      </w:pPr>
    </w:p>
    <w:p w14:paraId="5058A7CC">
      <w:pPr>
        <w:rPr>
          <w:rFonts w:ascii="Arial"/>
          <w:color w:val="auto"/>
          <w:sz w:val="21"/>
          <w:highlight w:val="none"/>
        </w:rPr>
      </w:pPr>
    </w:p>
    <w:p w14:paraId="2705C50F">
      <w:pPr>
        <w:rPr>
          <w:rFonts w:ascii="Arial"/>
          <w:color w:val="auto"/>
          <w:sz w:val="21"/>
          <w:highlight w:val="none"/>
        </w:rPr>
      </w:pPr>
    </w:p>
    <w:p w14:paraId="27D2129A">
      <w:pPr>
        <w:rPr>
          <w:rFonts w:ascii="Arial"/>
          <w:color w:val="auto"/>
          <w:sz w:val="21"/>
          <w:highlight w:val="none"/>
        </w:rPr>
      </w:pPr>
    </w:p>
    <w:p w14:paraId="206469E9">
      <w:pPr>
        <w:rPr>
          <w:rFonts w:ascii="Arial"/>
          <w:color w:val="auto"/>
          <w:sz w:val="21"/>
          <w:highlight w:val="none"/>
        </w:rPr>
      </w:pPr>
    </w:p>
    <w:p w14:paraId="7A4289A2">
      <w:pPr>
        <w:rPr>
          <w:rFonts w:ascii="Arial"/>
          <w:color w:val="auto"/>
          <w:sz w:val="21"/>
          <w:highlight w:val="none"/>
        </w:rPr>
      </w:pPr>
    </w:p>
    <w:p w14:paraId="7C1FDD5B">
      <w:pPr>
        <w:rPr>
          <w:rFonts w:ascii="Arial"/>
          <w:color w:val="auto"/>
          <w:sz w:val="21"/>
          <w:highlight w:val="none"/>
        </w:rPr>
      </w:pPr>
    </w:p>
    <w:p w14:paraId="5C1374E2">
      <w:pPr>
        <w:rPr>
          <w:rFonts w:ascii="Arial"/>
          <w:color w:val="auto"/>
          <w:sz w:val="21"/>
          <w:highlight w:val="none"/>
        </w:rPr>
      </w:pPr>
    </w:p>
    <w:p w14:paraId="78462D95">
      <w:pPr>
        <w:spacing w:line="241" w:lineRule="auto"/>
        <w:rPr>
          <w:rFonts w:ascii="Arial"/>
          <w:color w:val="auto"/>
          <w:sz w:val="21"/>
          <w:highlight w:val="none"/>
        </w:rPr>
      </w:pPr>
    </w:p>
    <w:p w14:paraId="6594C92E">
      <w:pPr>
        <w:spacing w:line="241" w:lineRule="auto"/>
        <w:rPr>
          <w:rFonts w:ascii="Arial"/>
          <w:color w:val="auto"/>
          <w:sz w:val="21"/>
          <w:highlight w:val="none"/>
        </w:rPr>
      </w:pPr>
    </w:p>
    <w:p w14:paraId="787C72E7">
      <w:pPr>
        <w:pStyle w:val="7"/>
        <w:spacing w:before="230" w:line="224" w:lineRule="auto"/>
        <w:jc w:val="center"/>
        <w:rPr>
          <w:color w:val="auto"/>
          <w:sz w:val="71"/>
          <w:szCs w:val="71"/>
          <w:highlight w:val="none"/>
        </w:rPr>
      </w:pPr>
      <w:r>
        <w:rPr>
          <w:color w:val="auto"/>
          <w:sz w:val="71"/>
          <w:szCs w:val="71"/>
          <w:highlight w:val="none"/>
        </w:rPr>
        <w:t>第一卷</w:t>
      </w:r>
    </w:p>
    <w:p w14:paraId="501C1739">
      <w:pPr>
        <w:spacing w:line="224" w:lineRule="auto"/>
        <w:rPr>
          <w:color w:val="auto"/>
          <w:sz w:val="71"/>
          <w:szCs w:val="71"/>
          <w:highlight w:val="none"/>
        </w:rPr>
        <w:sectPr>
          <w:footerReference r:id="rId7" w:type="default"/>
          <w:pgSz w:w="11905" w:h="16838"/>
          <w:pgMar w:top="1134" w:right="1134" w:bottom="1134" w:left="1134" w:header="0" w:footer="1066" w:gutter="0"/>
          <w:pgNumType w:fmt="decimal" w:start="1"/>
          <w:cols w:space="0" w:num="1"/>
          <w:rtlGutter w:val="0"/>
          <w:docGrid w:linePitch="0" w:charSpace="0"/>
        </w:sectPr>
      </w:pPr>
    </w:p>
    <w:p w14:paraId="19860491">
      <w:pPr>
        <w:spacing w:line="241" w:lineRule="auto"/>
        <w:rPr>
          <w:rFonts w:ascii="Arial"/>
          <w:color w:val="auto"/>
          <w:sz w:val="21"/>
          <w:highlight w:val="none"/>
        </w:rPr>
      </w:pPr>
    </w:p>
    <w:p w14:paraId="391A6F5A">
      <w:pPr>
        <w:spacing w:line="241" w:lineRule="auto"/>
        <w:rPr>
          <w:rFonts w:ascii="Arial"/>
          <w:color w:val="auto"/>
          <w:sz w:val="21"/>
          <w:highlight w:val="none"/>
        </w:rPr>
      </w:pPr>
    </w:p>
    <w:p w14:paraId="610958C9">
      <w:pPr>
        <w:spacing w:line="241" w:lineRule="auto"/>
        <w:rPr>
          <w:rFonts w:ascii="Arial"/>
          <w:color w:val="auto"/>
          <w:sz w:val="21"/>
          <w:highlight w:val="none"/>
        </w:rPr>
      </w:pPr>
    </w:p>
    <w:p w14:paraId="598E6BEA">
      <w:pPr>
        <w:spacing w:line="241" w:lineRule="auto"/>
        <w:rPr>
          <w:rFonts w:ascii="Arial"/>
          <w:color w:val="auto"/>
          <w:sz w:val="21"/>
          <w:highlight w:val="none"/>
        </w:rPr>
      </w:pPr>
    </w:p>
    <w:p w14:paraId="3D24D4A6">
      <w:pPr>
        <w:spacing w:line="241" w:lineRule="auto"/>
        <w:rPr>
          <w:rFonts w:ascii="Arial"/>
          <w:color w:val="auto"/>
          <w:sz w:val="21"/>
          <w:highlight w:val="none"/>
        </w:rPr>
      </w:pPr>
    </w:p>
    <w:p w14:paraId="5DB5A61E">
      <w:pPr>
        <w:spacing w:line="241" w:lineRule="auto"/>
        <w:rPr>
          <w:rFonts w:ascii="Arial"/>
          <w:color w:val="auto"/>
          <w:sz w:val="21"/>
          <w:highlight w:val="none"/>
        </w:rPr>
      </w:pPr>
    </w:p>
    <w:p w14:paraId="5306B9EA">
      <w:pPr>
        <w:spacing w:line="241" w:lineRule="auto"/>
        <w:rPr>
          <w:rFonts w:ascii="Arial"/>
          <w:color w:val="auto"/>
          <w:sz w:val="21"/>
          <w:highlight w:val="none"/>
        </w:rPr>
      </w:pPr>
    </w:p>
    <w:p w14:paraId="6C7E995D">
      <w:pPr>
        <w:spacing w:line="241" w:lineRule="auto"/>
        <w:rPr>
          <w:rFonts w:ascii="Arial"/>
          <w:color w:val="auto"/>
          <w:sz w:val="21"/>
          <w:highlight w:val="none"/>
        </w:rPr>
      </w:pPr>
    </w:p>
    <w:p w14:paraId="26EAD3A5">
      <w:pPr>
        <w:spacing w:line="241" w:lineRule="auto"/>
        <w:rPr>
          <w:rFonts w:ascii="Arial"/>
          <w:color w:val="auto"/>
          <w:sz w:val="21"/>
          <w:highlight w:val="none"/>
        </w:rPr>
      </w:pPr>
    </w:p>
    <w:p w14:paraId="75E08E40">
      <w:pPr>
        <w:spacing w:line="241" w:lineRule="auto"/>
        <w:rPr>
          <w:rFonts w:ascii="Arial"/>
          <w:color w:val="auto"/>
          <w:sz w:val="21"/>
          <w:highlight w:val="none"/>
        </w:rPr>
      </w:pPr>
    </w:p>
    <w:p w14:paraId="0D2D116F">
      <w:pPr>
        <w:spacing w:line="241" w:lineRule="auto"/>
        <w:rPr>
          <w:rFonts w:ascii="Arial"/>
          <w:color w:val="auto"/>
          <w:sz w:val="21"/>
          <w:highlight w:val="none"/>
        </w:rPr>
      </w:pPr>
    </w:p>
    <w:p w14:paraId="3ECEB1A6">
      <w:pPr>
        <w:spacing w:line="241" w:lineRule="auto"/>
        <w:rPr>
          <w:rFonts w:ascii="Arial"/>
          <w:color w:val="auto"/>
          <w:sz w:val="21"/>
          <w:highlight w:val="none"/>
        </w:rPr>
      </w:pPr>
    </w:p>
    <w:p w14:paraId="2EF008C1">
      <w:pPr>
        <w:spacing w:line="241" w:lineRule="auto"/>
        <w:rPr>
          <w:rFonts w:ascii="Arial"/>
          <w:color w:val="auto"/>
          <w:sz w:val="21"/>
          <w:highlight w:val="none"/>
        </w:rPr>
      </w:pPr>
    </w:p>
    <w:p w14:paraId="6915863F">
      <w:pPr>
        <w:spacing w:line="241" w:lineRule="auto"/>
        <w:rPr>
          <w:rFonts w:ascii="Arial"/>
          <w:color w:val="auto"/>
          <w:sz w:val="21"/>
          <w:highlight w:val="none"/>
        </w:rPr>
      </w:pPr>
    </w:p>
    <w:p w14:paraId="430DDBAB">
      <w:pPr>
        <w:spacing w:line="241" w:lineRule="auto"/>
        <w:rPr>
          <w:rFonts w:ascii="Arial"/>
          <w:color w:val="auto"/>
          <w:sz w:val="21"/>
          <w:highlight w:val="none"/>
        </w:rPr>
      </w:pPr>
    </w:p>
    <w:p w14:paraId="0E01EDBC">
      <w:pPr>
        <w:spacing w:line="241" w:lineRule="auto"/>
        <w:rPr>
          <w:rFonts w:ascii="Arial"/>
          <w:color w:val="auto"/>
          <w:sz w:val="21"/>
          <w:highlight w:val="none"/>
        </w:rPr>
      </w:pPr>
    </w:p>
    <w:p w14:paraId="58D9F321">
      <w:pPr>
        <w:spacing w:line="241" w:lineRule="auto"/>
        <w:rPr>
          <w:rFonts w:ascii="Arial"/>
          <w:color w:val="auto"/>
          <w:sz w:val="21"/>
          <w:highlight w:val="none"/>
        </w:rPr>
      </w:pPr>
    </w:p>
    <w:p w14:paraId="22B7A21F">
      <w:pPr>
        <w:spacing w:line="241" w:lineRule="auto"/>
        <w:rPr>
          <w:rFonts w:ascii="Arial"/>
          <w:color w:val="auto"/>
          <w:sz w:val="21"/>
          <w:highlight w:val="none"/>
        </w:rPr>
      </w:pPr>
    </w:p>
    <w:p w14:paraId="01CE0E3F">
      <w:pPr>
        <w:spacing w:line="241" w:lineRule="auto"/>
        <w:rPr>
          <w:rFonts w:ascii="Arial"/>
          <w:color w:val="auto"/>
          <w:sz w:val="21"/>
          <w:highlight w:val="none"/>
        </w:rPr>
      </w:pPr>
    </w:p>
    <w:p w14:paraId="5EE0480E">
      <w:pPr>
        <w:spacing w:line="242" w:lineRule="auto"/>
        <w:rPr>
          <w:rFonts w:ascii="Arial"/>
          <w:color w:val="auto"/>
          <w:sz w:val="21"/>
          <w:highlight w:val="none"/>
        </w:rPr>
      </w:pPr>
    </w:p>
    <w:p w14:paraId="08720349">
      <w:pPr>
        <w:pStyle w:val="2"/>
        <w:bidi w:val="0"/>
        <w:jc w:val="center"/>
        <w:rPr>
          <w:color w:val="auto"/>
          <w:sz w:val="52"/>
          <w:szCs w:val="52"/>
          <w:highlight w:val="none"/>
        </w:rPr>
      </w:pPr>
      <w:bookmarkStart w:id="1" w:name="_Toc29810"/>
      <w:r>
        <w:rPr>
          <w:color w:val="auto"/>
          <w:sz w:val="52"/>
          <w:szCs w:val="52"/>
          <w:highlight w:val="none"/>
        </w:rPr>
        <w:t>第一章  招标公告</w:t>
      </w:r>
      <w:bookmarkEnd w:id="1"/>
    </w:p>
    <w:p w14:paraId="4556A1BA">
      <w:pPr>
        <w:spacing w:line="218" w:lineRule="auto"/>
        <w:rPr>
          <w:rFonts w:ascii="宋体" w:hAnsi="宋体" w:eastAsia="宋体" w:cs="宋体"/>
          <w:color w:val="auto"/>
          <w:sz w:val="52"/>
          <w:szCs w:val="52"/>
          <w:highlight w:val="none"/>
        </w:rPr>
        <w:sectPr>
          <w:footerReference r:id="rId8" w:type="default"/>
          <w:pgSz w:w="11905" w:h="16838"/>
          <w:pgMar w:top="1134" w:right="1134" w:bottom="1134" w:left="1134" w:header="0" w:footer="1066" w:gutter="0"/>
          <w:pgNumType w:fmt="decimal"/>
          <w:cols w:space="0" w:num="1"/>
          <w:rtlGutter w:val="0"/>
          <w:docGrid w:linePitch="0" w:charSpace="0"/>
        </w:sectPr>
      </w:pPr>
    </w:p>
    <w:p w14:paraId="41C746E2">
      <w:pPr>
        <w:bidi w:val="0"/>
        <w:jc w:val="center"/>
        <w:rPr>
          <w:rFonts w:hint="eastAsia" w:ascii="宋体" w:hAnsi="宋体" w:eastAsia="宋体" w:cs="宋体"/>
          <w:b/>
          <w:bCs/>
          <w:color w:val="auto"/>
          <w:sz w:val="36"/>
          <w:szCs w:val="36"/>
          <w:highlight w:val="none"/>
        </w:rPr>
      </w:pPr>
      <w:bookmarkStart w:id="2" w:name="bookmark5"/>
      <w:bookmarkEnd w:id="2"/>
      <w:r>
        <w:rPr>
          <w:rFonts w:hint="eastAsia" w:ascii="宋体" w:hAnsi="宋体" w:eastAsia="宋体" w:cs="宋体"/>
          <w:b/>
          <w:bCs/>
          <w:color w:val="auto"/>
          <w:sz w:val="36"/>
          <w:szCs w:val="36"/>
          <w:highlight w:val="none"/>
        </w:rPr>
        <w:t>第一章  招标公告</w:t>
      </w:r>
    </w:p>
    <w:p w14:paraId="0B4696F2">
      <w:pPr>
        <w:bidi w:val="0"/>
        <w:rPr>
          <w:rFonts w:hint="eastAsia"/>
          <w:color w:val="auto"/>
          <w:highlight w:val="none"/>
          <w:lang w:eastAsia="zh-CN"/>
        </w:rPr>
      </w:pPr>
    </w:p>
    <w:p w14:paraId="27DB9C38">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0"/>
        <w:jc w:val="center"/>
        <w:textAlignment w:val="baseline"/>
        <w:rPr>
          <w:rFonts w:ascii="宋体" w:hAnsi="宋体" w:eastAsia="宋体" w:cs="宋体"/>
          <w:color w:val="auto"/>
          <w:spacing w:val="-2"/>
          <w:sz w:val="24"/>
          <w:szCs w:val="24"/>
          <w:highlight w:val="none"/>
        </w:rPr>
      </w:pPr>
      <w:r>
        <w:rPr>
          <w:rFonts w:hint="eastAsia"/>
          <w:b/>
          <w:bCs/>
          <w:color w:val="auto"/>
          <w:sz w:val="36"/>
          <w:szCs w:val="36"/>
          <w:highlight w:val="none"/>
          <w:lang w:eastAsia="zh-CN"/>
        </w:rPr>
        <w:t>国道 G535 线始兴下窖（江西交界）至顿岗段改建工程施工监理</w:t>
      </w:r>
      <w:r>
        <w:rPr>
          <w:b/>
          <w:bCs/>
          <w:color w:val="auto"/>
          <w:sz w:val="36"/>
          <w:szCs w:val="36"/>
          <w:highlight w:val="none"/>
        </w:rPr>
        <w:t>招标公告</w:t>
      </w:r>
    </w:p>
    <w:tbl>
      <w:tblPr>
        <w:tblStyle w:val="19"/>
        <w:tblW w:w="97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3"/>
        <w:gridCol w:w="1979"/>
        <w:gridCol w:w="1663"/>
        <w:gridCol w:w="1320"/>
        <w:gridCol w:w="2907"/>
      </w:tblGrid>
      <w:tr w14:paraId="1BDF4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903" w:type="dxa"/>
            <w:vAlign w:val="center"/>
          </w:tcPr>
          <w:p w14:paraId="05DA5AB2">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投资项目代码</w:t>
            </w:r>
          </w:p>
        </w:tc>
        <w:tc>
          <w:tcPr>
            <w:tcW w:w="7869" w:type="dxa"/>
            <w:gridSpan w:val="4"/>
            <w:vAlign w:val="center"/>
          </w:tcPr>
          <w:p w14:paraId="375028C1">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2020-440222-48-01-024548</w:t>
            </w:r>
          </w:p>
        </w:tc>
      </w:tr>
      <w:tr w14:paraId="5A845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2240D778">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投资项目名称</w:t>
            </w:r>
          </w:p>
        </w:tc>
        <w:tc>
          <w:tcPr>
            <w:tcW w:w="7869" w:type="dxa"/>
            <w:gridSpan w:val="4"/>
            <w:vAlign w:val="center"/>
          </w:tcPr>
          <w:p w14:paraId="01CE8853">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国道G535线始兴下窖（江西交界）至顿岗段改建工程</w:t>
            </w:r>
          </w:p>
        </w:tc>
      </w:tr>
      <w:tr w14:paraId="1BE1C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09175B9D">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招标项目名称</w:t>
            </w:r>
          </w:p>
        </w:tc>
        <w:tc>
          <w:tcPr>
            <w:tcW w:w="7869" w:type="dxa"/>
            <w:gridSpan w:val="4"/>
            <w:vAlign w:val="center"/>
          </w:tcPr>
          <w:p w14:paraId="1AFB1E4E">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lang w:eastAsia="zh-CN"/>
              </w:rPr>
            </w:pPr>
            <w:r>
              <w:rPr>
                <w:rFonts w:hint="eastAsia" w:ascii="宋体" w:hAnsi="宋体" w:eastAsia="宋体" w:cs="宋体"/>
                <w:i w:val="0"/>
                <w:color w:val="auto"/>
                <w:sz w:val="20"/>
                <w:szCs w:val="20"/>
                <w:highlight w:val="none"/>
                <w:u w:val="none"/>
                <w:lang w:eastAsia="zh-CN"/>
              </w:rPr>
              <w:t>国道G535线始兴下窖（江西交界）至顿岗段改建工程施工监理</w:t>
            </w:r>
          </w:p>
        </w:tc>
      </w:tr>
      <w:tr w14:paraId="16BE0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903" w:type="dxa"/>
            <w:vAlign w:val="center"/>
          </w:tcPr>
          <w:p w14:paraId="5D747146">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标段（包）名称</w:t>
            </w:r>
          </w:p>
        </w:tc>
        <w:tc>
          <w:tcPr>
            <w:tcW w:w="1979" w:type="dxa"/>
            <w:vAlign w:val="center"/>
          </w:tcPr>
          <w:p w14:paraId="29C195E3">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国道G535线始兴下窖（江西交界）至顿岗段改建工程施工监理</w:t>
            </w:r>
          </w:p>
        </w:tc>
        <w:tc>
          <w:tcPr>
            <w:tcW w:w="1663" w:type="dxa"/>
            <w:vAlign w:val="center"/>
          </w:tcPr>
          <w:p w14:paraId="091AC623">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b/>
                <w:bCs/>
                <w:color w:val="auto"/>
                <w:spacing w:val="4"/>
                <w:sz w:val="20"/>
                <w:szCs w:val="20"/>
                <w:highlight w:val="none"/>
              </w:rPr>
              <w:t>公告性质</w:t>
            </w:r>
          </w:p>
        </w:tc>
        <w:tc>
          <w:tcPr>
            <w:tcW w:w="4227" w:type="dxa"/>
            <w:gridSpan w:val="2"/>
            <w:vAlign w:val="center"/>
          </w:tcPr>
          <w:p w14:paraId="5330D863">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pacing w:val="4"/>
                <w:sz w:val="20"/>
                <w:szCs w:val="20"/>
                <w:highlight w:val="none"/>
              </w:rPr>
              <w:t>正常</w:t>
            </w:r>
          </w:p>
        </w:tc>
      </w:tr>
      <w:tr w14:paraId="7B13C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01B614BE">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5"/>
                <w:sz w:val="20"/>
                <w:szCs w:val="20"/>
                <w:highlight w:val="none"/>
              </w:rPr>
              <w:t>资格审查方式</w:t>
            </w:r>
          </w:p>
        </w:tc>
        <w:tc>
          <w:tcPr>
            <w:tcW w:w="7869" w:type="dxa"/>
            <w:gridSpan w:val="4"/>
            <w:vAlign w:val="center"/>
          </w:tcPr>
          <w:p w14:paraId="3C59C1D8">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pacing w:val="5"/>
                <w:sz w:val="20"/>
                <w:szCs w:val="20"/>
                <w:highlight w:val="none"/>
              </w:rPr>
              <w:t>资格后审</w:t>
            </w:r>
          </w:p>
        </w:tc>
      </w:tr>
      <w:tr w14:paraId="44E34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903" w:type="dxa"/>
            <w:vAlign w:val="center"/>
          </w:tcPr>
          <w:p w14:paraId="459823BC">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招标项目实施</w:t>
            </w:r>
            <w:r>
              <w:rPr>
                <w:rFonts w:hint="eastAsia" w:ascii="宋体" w:hAnsi="宋体" w:eastAsia="宋体" w:cs="宋体"/>
                <w:b/>
                <w:bCs/>
                <w:color w:val="auto"/>
                <w:spacing w:val="5"/>
                <w:sz w:val="20"/>
                <w:szCs w:val="20"/>
                <w:highlight w:val="none"/>
              </w:rPr>
              <w:t>（交货）地点</w:t>
            </w:r>
          </w:p>
        </w:tc>
        <w:tc>
          <w:tcPr>
            <w:tcW w:w="7869" w:type="dxa"/>
            <w:gridSpan w:val="4"/>
            <w:vAlign w:val="center"/>
          </w:tcPr>
          <w:p w14:paraId="6ED6F80E">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val="en-US" w:eastAsia="zh-CN"/>
              </w:rPr>
              <w:t>韶关市始兴县</w:t>
            </w:r>
          </w:p>
        </w:tc>
      </w:tr>
      <w:tr w14:paraId="24E18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12A7549C">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4"/>
                <w:sz w:val="20"/>
                <w:szCs w:val="20"/>
                <w:highlight w:val="none"/>
              </w:rPr>
              <w:t>资金来源</w:t>
            </w:r>
          </w:p>
        </w:tc>
        <w:tc>
          <w:tcPr>
            <w:tcW w:w="1979" w:type="dxa"/>
            <w:vAlign w:val="center"/>
          </w:tcPr>
          <w:p w14:paraId="76304104">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val="en-US" w:eastAsia="zh-CN"/>
              </w:rPr>
              <w:t>交通运输部补助、省级补助资金和始兴县财政统筹</w:t>
            </w:r>
          </w:p>
        </w:tc>
        <w:tc>
          <w:tcPr>
            <w:tcW w:w="1663" w:type="dxa"/>
            <w:vAlign w:val="center"/>
          </w:tcPr>
          <w:p w14:paraId="7C005444">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color w:val="auto"/>
                <w:kern w:val="0"/>
                <w:sz w:val="20"/>
                <w:szCs w:val="20"/>
                <w:highlight w:val="none"/>
                <w:u w:val="none"/>
                <w:lang w:val="en-US" w:eastAsia="zh-CN" w:bidi="ar"/>
              </w:rPr>
              <w:t>资金来源构成</w:t>
            </w:r>
          </w:p>
        </w:tc>
        <w:tc>
          <w:tcPr>
            <w:tcW w:w="4227" w:type="dxa"/>
            <w:gridSpan w:val="2"/>
            <w:vAlign w:val="center"/>
          </w:tcPr>
          <w:p w14:paraId="7DD07BD0">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color w:val="auto"/>
                <w:kern w:val="0"/>
                <w:sz w:val="20"/>
                <w:szCs w:val="20"/>
                <w:highlight w:val="none"/>
                <w:u w:val="none"/>
                <w:lang w:val="en-US" w:eastAsia="zh-CN" w:bidi="ar"/>
              </w:rPr>
              <w:t>全部来源交通运输部补助、省级补助资金和始兴县财政统筹</w:t>
            </w:r>
          </w:p>
        </w:tc>
      </w:tr>
      <w:tr w14:paraId="79DE6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70278987">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招标范围及规模</w:t>
            </w:r>
          </w:p>
        </w:tc>
        <w:tc>
          <w:tcPr>
            <w:tcW w:w="7869" w:type="dxa"/>
            <w:gridSpan w:val="4"/>
            <w:vAlign w:val="center"/>
          </w:tcPr>
          <w:p w14:paraId="073F0B46">
            <w:pPr>
              <w:keepNext w:val="0"/>
              <w:keepLines w:val="0"/>
              <w:pageBreakBefore w:val="0"/>
              <w:widowControl/>
              <w:suppressLineNumbers w:val="0"/>
              <w:kinsoku/>
              <w:wordWrap w:val="0"/>
              <w:overflowPunct/>
              <w:topLinePunct/>
              <w:autoSpaceDE/>
              <w:autoSpaceDN/>
              <w:bidi w:val="0"/>
              <w:adjustRightInd w:val="0"/>
              <w:snapToGrid w:val="0"/>
              <w:spacing w:line="288" w:lineRule="auto"/>
              <w:ind w:left="0" w:leftChars="0" w:right="0"/>
              <w:jc w:val="both"/>
              <w:textAlignment w:val="center"/>
              <w:rPr>
                <w:rFonts w:hint="eastAsia" w:ascii="宋体" w:hAnsi="宋体" w:eastAsia="宋体" w:cs="宋体"/>
                <w:i w:val="0"/>
                <w:iCs w:val="0"/>
                <w:caps w:val="0"/>
                <w:color w:val="auto"/>
                <w:spacing w:val="0"/>
                <w:sz w:val="20"/>
                <w:szCs w:val="20"/>
                <w:highlight w:val="none"/>
                <w:lang w:eastAsia="zh-CN"/>
              </w:rPr>
            </w:pPr>
            <w:r>
              <w:rPr>
                <w:rFonts w:hint="eastAsia" w:ascii="宋体" w:hAnsi="宋体" w:eastAsia="宋体" w:cs="宋体"/>
                <w:i w:val="0"/>
                <w:iCs w:val="0"/>
                <w:caps w:val="0"/>
                <w:color w:val="auto"/>
                <w:spacing w:val="0"/>
                <w:sz w:val="20"/>
                <w:szCs w:val="20"/>
                <w:highlight w:val="none"/>
                <w:lang w:val="en-US" w:eastAsia="zh-CN"/>
              </w:rPr>
              <w:t>建设内容与规模</w:t>
            </w:r>
            <w:r>
              <w:rPr>
                <w:rFonts w:hint="eastAsia" w:ascii="宋体" w:hAnsi="宋体" w:eastAsia="宋体" w:cs="宋体"/>
                <w:i w:val="0"/>
                <w:iCs w:val="0"/>
                <w:caps w:val="0"/>
                <w:color w:val="auto"/>
                <w:spacing w:val="0"/>
                <w:sz w:val="20"/>
                <w:szCs w:val="20"/>
                <w:highlight w:val="none"/>
              </w:rPr>
              <w:t>：</w:t>
            </w:r>
            <w:r>
              <w:rPr>
                <w:rFonts w:hint="eastAsia" w:ascii="宋体" w:hAnsi="宋体" w:eastAsia="宋体" w:cs="宋体"/>
                <w:i w:val="0"/>
                <w:iCs w:val="0"/>
                <w:caps w:val="0"/>
                <w:color w:val="auto"/>
                <w:spacing w:val="0"/>
                <w:sz w:val="20"/>
                <w:szCs w:val="20"/>
                <w:highlight w:val="none"/>
                <w:lang w:eastAsia="zh-CN"/>
              </w:rPr>
              <w:t>本项目</w:t>
            </w:r>
            <w:r>
              <w:rPr>
                <w:rFonts w:hint="eastAsia" w:ascii="宋体" w:hAnsi="宋体" w:eastAsia="宋体" w:cs="宋体"/>
                <w:i w:val="0"/>
                <w:color w:val="auto"/>
                <w:kern w:val="0"/>
                <w:sz w:val="20"/>
                <w:szCs w:val="20"/>
                <w:highlight w:val="none"/>
                <w:u w:val="none"/>
                <w:lang w:val="en-US" w:eastAsia="zh-CN" w:bidi="ar"/>
              </w:rPr>
              <w:t>路线全长35.037km</w:t>
            </w:r>
            <w:r>
              <w:rPr>
                <w:rFonts w:hint="default" w:ascii="宋体" w:hAnsi="宋体" w:eastAsia="宋体" w:cs="宋体"/>
                <w:i w:val="0"/>
                <w:color w:val="auto"/>
                <w:kern w:val="0"/>
                <w:sz w:val="20"/>
                <w:szCs w:val="20"/>
                <w:highlight w:val="none"/>
                <w:u w:val="none"/>
                <w:lang w:val="en-US" w:eastAsia="zh-CN" w:bidi="ar"/>
              </w:rPr>
              <w:t>。全线共设桥梁293m/7 座（其中拆除重建中桥138m/4座，新建中桥155m/3座）、涵洞132道（其中新建89道，拆除重建43道），设主要平面交叉3处。</w:t>
            </w:r>
            <w:r>
              <w:rPr>
                <w:rFonts w:hint="eastAsia" w:ascii="宋体" w:hAnsi="宋体" w:eastAsia="宋体" w:cs="宋体"/>
                <w:i w:val="0"/>
                <w:color w:val="auto"/>
                <w:kern w:val="0"/>
                <w:sz w:val="20"/>
                <w:szCs w:val="20"/>
                <w:highlight w:val="none"/>
                <w:u w:val="none"/>
                <w:lang w:val="en-US" w:eastAsia="zh-CN" w:bidi="ar"/>
              </w:rPr>
              <w:t>采用二级公路技术标准；设计速度：40km/h</w:t>
            </w:r>
            <w:r>
              <w:rPr>
                <w:rFonts w:hint="default" w:ascii="宋体" w:hAnsi="宋体" w:eastAsia="宋体" w:cs="宋体"/>
                <w:i w:val="0"/>
                <w:color w:val="auto"/>
                <w:kern w:val="0"/>
                <w:sz w:val="20"/>
                <w:szCs w:val="20"/>
                <w:highlight w:val="none"/>
                <w:u w:val="none"/>
                <w:lang w:val="en-US" w:eastAsia="zh-CN" w:bidi="ar"/>
              </w:rPr>
              <w:t>（K111+930.414~K119+265、K128+905 ~K141+700段）、60km/h（K119+265~K128+905、K141+700~K146+967.413段）</w:t>
            </w:r>
            <w:r>
              <w:rPr>
                <w:rFonts w:hint="eastAsia" w:ascii="宋体" w:hAnsi="宋体" w:eastAsia="宋体" w:cs="宋体"/>
                <w:i w:val="0"/>
                <w:color w:val="auto"/>
                <w:kern w:val="0"/>
                <w:sz w:val="20"/>
                <w:szCs w:val="20"/>
                <w:highlight w:val="none"/>
                <w:u w:val="none"/>
                <w:lang w:val="en-US" w:eastAsia="zh-CN" w:bidi="ar"/>
              </w:rPr>
              <w:t>；路基宽度：10.0m。</w:t>
            </w:r>
          </w:p>
          <w:p w14:paraId="7C85CA87">
            <w:pPr>
              <w:pStyle w:val="20"/>
              <w:keepNext w:val="0"/>
              <w:keepLines w:val="0"/>
              <w:pageBreakBefore w:val="0"/>
              <w:widowControl/>
              <w:tabs>
                <w:tab w:val="left" w:pos="1576"/>
              </w:tabs>
              <w:wordWrap w:val="0"/>
              <w:overflowPunct/>
              <w:topLinePunct/>
              <w:bidi w:val="0"/>
              <w:adjustRightInd w:val="0"/>
              <w:snapToGrid w:val="0"/>
              <w:spacing w:line="288" w:lineRule="auto"/>
              <w:ind w:left="0" w:leftChars="0" w:right="0"/>
              <w:jc w:val="both"/>
              <w:rPr>
                <w:rFonts w:hint="eastAsia" w:ascii="宋体" w:hAnsi="宋体" w:eastAsia="宋体" w:cs="宋体"/>
                <w:color w:val="auto"/>
                <w:sz w:val="20"/>
                <w:szCs w:val="20"/>
                <w:highlight w:val="none"/>
              </w:rPr>
            </w:pPr>
            <w:r>
              <w:rPr>
                <w:rFonts w:hint="eastAsia" w:cs="宋体"/>
                <w:i w:val="0"/>
                <w:iCs w:val="0"/>
                <w:caps w:val="0"/>
                <w:color w:val="auto"/>
                <w:spacing w:val="0"/>
                <w:sz w:val="20"/>
                <w:szCs w:val="20"/>
                <w:highlight w:val="none"/>
                <w:lang w:val="en-US" w:eastAsia="zh-CN"/>
              </w:rPr>
              <w:t>工程投资</w:t>
            </w:r>
            <w:r>
              <w:rPr>
                <w:rFonts w:hint="eastAsia" w:ascii="宋体" w:hAnsi="宋体" w:eastAsia="宋体" w:cs="宋体"/>
                <w:i w:val="0"/>
                <w:iCs w:val="0"/>
                <w:caps w:val="0"/>
                <w:color w:val="auto"/>
                <w:spacing w:val="0"/>
                <w:sz w:val="20"/>
                <w:szCs w:val="20"/>
                <w:highlight w:val="none"/>
              </w:rPr>
              <w:t>：本项目初步设计概算为64030.11万元</w:t>
            </w:r>
            <w:r>
              <w:rPr>
                <w:rFonts w:hint="eastAsia" w:ascii="宋体" w:hAnsi="宋体" w:eastAsia="宋体" w:cs="宋体"/>
                <w:i w:val="0"/>
                <w:iCs w:val="0"/>
                <w:caps w:val="0"/>
                <w:color w:val="auto"/>
                <w:spacing w:val="0"/>
                <w:sz w:val="20"/>
                <w:szCs w:val="20"/>
                <w:highlight w:val="none"/>
                <w:lang w:eastAsia="zh-CN"/>
              </w:rPr>
              <w:t>，其中</w:t>
            </w:r>
            <w:r>
              <w:rPr>
                <w:rFonts w:hint="eastAsia" w:cs="宋体"/>
                <w:i w:val="0"/>
                <w:iCs w:val="0"/>
                <w:caps w:val="0"/>
                <w:color w:val="auto"/>
                <w:spacing w:val="0"/>
                <w:sz w:val="20"/>
                <w:szCs w:val="20"/>
                <w:highlight w:val="none"/>
                <w:lang w:eastAsia="zh-CN"/>
              </w:rPr>
              <w:t>建筑安装</w:t>
            </w:r>
            <w:r>
              <w:rPr>
                <w:rFonts w:hint="eastAsia" w:ascii="宋体" w:hAnsi="宋体" w:eastAsia="宋体" w:cs="宋体"/>
                <w:i w:val="0"/>
                <w:iCs w:val="0"/>
                <w:caps w:val="0"/>
                <w:color w:val="auto"/>
                <w:spacing w:val="0"/>
                <w:sz w:val="20"/>
                <w:szCs w:val="20"/>
                <w:highlight w:val="none"/>
              </w:rPr>
              <w:t>工程费用</w:t>
            </w:r>
            <w:r>
              <w:rPr>
                <w:rFonts w:hint="eastAsia" w:cs="宋体"/>
                <w:i w:val="0"/>
                <w:iCs w:val="0"/>
                <w:caps w:val="0"/>
                <w:color w:val="auto"/>
                <w:spacing w:val="0"/>
                <w:sz w:val="20"/>
                <w:szCs w:val="20"/>
                <w:highlight w:val="none"/>
                <w:lang w:val="en-US" w:eastAsia="zh-CN"/>
              </w:rPr>
              <w:t>42307.37</w:t>
            </w:r>
            <w:r>
              <w:rPr>
                <w:rFonts w:hint="eastAsia" w:ascii="宋体" w:hAnsi="宋体" w:eastAsia="宋体" w:cs="宋体"/>
                <w:i w:val="0"/>
                <w:iCs w:val="0"/>
                <w:caps w:val="0"/>
                <w:color w:val="auto"/>
                <w:spacing w:val="0"/>
                <w:sz w:val="20"/>
                <w:szCs w:val="20"/>
                <w:highlight w:val="none"/>
              </w:rPr>
              <w:t>万元</w:t>
            </w:r>
            <w:r>
              <w:rPr>
                <w:rFonts w:hint="eastAsia" w:ascii="宋体" w:hAnsi="宋体" w:eastAsia="宋体" w:cs="宋体"/>
                <w:i w:val="0"/>
                <w:iCs w:val="0"/>
                <w:caps w:val="0"/>
                <w:color w:val="auto"/>
                <w:spacing w:val="0"/>
                <w:sz w:val="20"/>
                <w:szCs w:val="20"/>
                <w:highlight w:val="none"/>
                <w:lang w:eastAsia="zh-CN"/>
              </w:rPr>
              <w:t>。</w:t>
            </w:r>
          </w:p>
        </w:tc>
      </w:tr>
      <w:tr w14:paraId="32ACD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03" w:type="dxa"/>
            <w:vAlign w:val="center"/>
          </w:tcPr>
          <w:p w14:paraId="7112BECF">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招标内容</w:t>
            </w:r>
          </w:p>
        </w:tc>
        <w:tc>
          <w:tcPr>
            <w:tcW w:w="7869" w:type="dxa"/>
            <w:gridSpan w:val="4"/>
            <w:vAlign w:val="center"/>
          </w:tcPr>
          <w:p w14:paraId="26076E74">
            <w:pPr>
              <w:pStyle w:val="20"/>
              <w:keepNext w:val="0"/>
              <w:keepLines w:val="0"/>
              <w:pageBreakBefore w:val="0"/>
              <w:widowControl/>
              <w:overflowPunct/>
              <w:bidi w:val="0"/>
              <w:adjustRightInd w:val="0"/>
              <w:snapToGrid w:val="0"/>
              <w:spacing w:line="288" w:lineRule="auto"/>
              <w:ind w:left="0" w:leftChars="0" w:right="0"/>
              <w:jc w:val="both"/>
              <w:rPr>
                <w:rFonts w:hint="eastAsia" w:ascii="宋体" w:hAnsi="宋体" w:eastAsia="宋体" w:cs="宋体"/>
                <w:color w:val="auto"/>
                <w:sz w:val="20"/>
                <w:szCs w:val="20"/>
                <w:highlight w:val="none"/>
              </w:rPr>
            </w:pPr>
            <w:r>
              <w:rPr>
                <w:rFonts w:hint="eastAsia" w:ascii="宋体" w:hAnsi="宋体" w:eastAsia="宋体" w:cs="宋体"/>
                <w:color w:val="auto"/>
                <w:spacing w:val="7"/>
                <w:sz w:val="20"/>
                <w:szCs w:val="20"/>
                <w:highlight w:val="none"/>
              </w:rPr>
              <w:t>本次招标共分</w:t>
            </w:r>
            <w:r>
              <w:rPr>
                <w:rFonts w:hint="eastAsia" w:ascii="宋体" w:hAnsi="宋体" w:eastAsia="宋体" w:cs="宋体"/>
                <w:color w:val="auto"/>
                <w:spacing w:val="-83"/>
                <w:sz w:val="20"/>
                <w:szCs w:val="20"/>
                <w:highlight w:val="none"/>
              </w:rPr>
              <w:t xml:space="preserve"> </w:t>
            </w:r>
            <w:r>
              <w:rPr>
                <w:rFonts w:hint="eastAsia" w:ascii="宋体" w:hAnsi="宋体" w:eastAsia="宋体" w:cs="宋体"/>
                <w:color w:val="auto"/>
                <w:spacing w:val="4"/>
                <w:sz w:val="20"/>
                <w:szCs w:val="20"/>
                <w:highlight w:val="none"/>
                <w:u w:val="single" w:color="auto"/>
                <w:lang w:val="en-US" w:eastAsia="zh-CN"/>
              </w:rPr>
              <w:t>1</w:t>
            </w:r>
            <w:r>
              <w:rPr>
                <w:rFonts w:hint="eastAsia" w:ascii="宋体" w:hAnsi="宋体" w:eastAsia="宋体" w:cs="宋体"/>
                <w:color w:val="auto"/>
                <w:spacing w:val="7"/>
                <w:sz w:val="20"/>
                <w:szCs w:val="20"/>
                <w:highlight w:val="none"/>
              </w:rPr>
              <w:t>个标类</w:t>
            </w:r>
            <w:r>
              <w:rPr>
                <w:rFonts w:hint="eastAsia" w:ascii="宋体" w:hAnsi="宋体" w:eastAsia="宋体" w:cs="宋体"/>
                <w:color w:val="auto"/>
                <w:spacing w:val="7"/>
                <w:sz w:val="20"/>
                <w:szCs w:val="20"/>
                <w:highlight w:val="none"/>
                <w:u w:val="single" w:color="auto"/>
                <w:lang w:val="en-US" w:eastAsia="zh-CN"/>
              </w:rPr>
              <w:t>1</w:t>
            </w:r>
            <w:r>
              <w:rPr>
                <w:rFonts w:hint="eastAsia" w:ascii="宋体" w:hAnsi="宋体" w:eastAsia="宋体" w:cs="宋体"/>
                <w:color w:val="auto"/>
                <w:spacing w:val="7"/>
                <w:sz w:val="20"/>
                <w:szCs w:val="20"/>
                <w:highlight w:val="none"/>
              </w:rPr>
              <w:t>个标段。具体见附件</w:t>
            </w:r>
            <w:r>
              <w:rPr>
                <w:rFonts w:hint="eastAsia" w:ascii="宋体" w:hAnsi="宋体" w:eastAsia="宋体" w:cs="宋体"/>
                <w:color w:val="auto"/>
                <w:spacing w:val="-23"/>
                <w:sz w:val="20"/>
                <w:szCs w:val="20"/>
                <w:highlight w:val="none"/>
              </w:rPr>
              <w:t xml:space="preserve"> </w:t>
            </w:r>
            <w:r>
              <w:rPr>
                <w:rFonts w:hint="eastAsia" w:ascii="宋体" w:hAnsi="宋体" w:eastAsia="宋体" w:cs="宋体"/>
                <w:color w:val="auto"/>
                <w:spacing w:val="7"/>
                <w:sz w:val="20"/>
                <w:szCs w:val="20"/>
                <w:highlight w:val="none"/>
              </w:rPr>
              <w:t>1</w:t>
            </w:r>
            <w:r>
              <w:rPr>
                <w:rFonts w:hint="eastAsia" w:ascii="宋体" w:hAnsi="宋体" w:eastAsia="宋体" w:cs="宋体"/>
                <w:color w:val="auto"/>
                <w:spacing w:val="-38"/>
                <w:sz w:val="20"/>
                <w:szCs w:val="20"/>
                <w:highlight w:val="none"/>
              </w:rPr>
              <w:t xml:space="preserve"> </w:t>
            </w:r>
            <w:r>
              <w:rPr>
                <w:rFonts w:hint="eastAsia" w:ascii="宋体" w:hAnsi="宋体" w:eastAsia="宋体" w:cs="宋体"/>
                <w:color w:val="auto"/>
                <w:spacing w:val="7"/>
                <w:sz w:val="20"/>
                <w:szCs w:val="20"/>
                <w:highlight w:val="none"/>
              </w:rPr>
              <w:t>标段划分及主要工程项目情况。</w:t>
            </w:r>
          </w:p>
        </w:tc>
      </w:tr>
      <w:tr w14:paraId="0F572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 w:hRule="atLeast"/>
        </w:trPr>
        <w:tc>
          <w:tcPr>
            <w:tcW w:w="1903" w:type="dxa"/>
            <w:vAlign w:val="center"/>
          </w:tcPr>
          <w:p w14:paraId="6F52DADD">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57025277">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5"/>
                <w:sz w:val="20"/>
                <w:szCs w:val="20"/>
                <w:highlight w:val="none"/>
              </w:rPr>
              <w:t>工期（交货期）</w:t>
            </w:r>
          </w:p>
        </w:tc>
        <w:tc>
          <w:tcPr>
            <w:tcW w:w="7869" w:type="dxa"/>
            <w:gridSpan w:val="4"/>
            <w:vAlign w:val="center"/>
          </w:tcPr>
          <w:p w14:paraId="672D93B9">
            <w:pPr>
              <w:pStyle w:val="20"/>
              <w:keepNext w:val="0"/>
              <w:keepLines w:val="0"/>
              <w:pageBreakBefore w:val="0"/>
              <w:widowControl/>
              <w:tabs>
                <w:tab w:val="left" w:pos="7562"/>
              </w:tabs>
              <w:overflowPunct/>
              <w:bidi w:val="0"/>
              <w:adjustRightInd w:val="0"/>
              <w:snapToGrid w:val="0"/>
              <w:spacing w:line="288" w:lineRule="auto"/>
              <w:ind w:left="0" w:leftChars="0" w:right="0"/>
              <w:jc w:val="both"/>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施工监理服务期限为：</w:t>
            </w:r>
            <w:r>
              <w:rPr>
                <w:rFonts w:hint="eastAsia" w:cs="宋体"/>
                <w:color w:val="auto"/>
                <w:spacing w:val="9"/>
                <w:sz w:val="20"/>
                <w:szCs w:val="20"/>
                <w:highlight w:val="none"/>
                <w:u w:val="single" w:color="auto"/>
                <w:lang w:val="en-US" w:eastAsia="zh-CN"/>
              </w:rPr>
              <w:t>61</w:t>
            </w:r>
            <w:r>
              <w:rPr>
                <w:rFonts w:hint="eastAsia" w:ascii="宋体" w:hAnsi="宋体" w:eastAsia="宋体" w:cs="宋体"/>
                <w:color w:val="auto"/>
                <w:spacing w:val="9"/>
                <w:sz w:val="20"/>
                <w:szCs w:val="20"/>
                <w:highlight w:val="none"/>
              </w:rPr>
              <w:t>个月，包括施工准</w:t>
            </w:r>
            <w:r>
              <w:rPr>
                <w:rFonts w:hint="eastAsia" w:ascii="宋体" w:hAnsi="宋体" w:eastAsia="宋体" w:cs="宋体"/>
                <w:color w:val="auto"/>
                <w:spacing w:val="8"/>
                <w:sz w:val="20"/>
                <w:szCs w:val="20"/>
                <w:highlight w:val="none"/>
              </w:rPr>
              <w:t>备阶段监理</w:t>
            </w:r>
            <w:r>
              <w:rPr>
                <w:rFonts w:hint="eastAsia" w:cs="宋体"/>
                <w:color w:val="auto"/>
                <w:spacing w:val="8"/>
                <w:sz w:val="20"/>
                <w:szCs w:val="20"/>
                <w:highlight w:val="none"/>
                <w:u w:val="single" w:color="auto"/>
                <w:lang w:val="en-US" w:eastAsia="zh-CN"/>
              </w:rPr>
              <w:t>1</w:t>
            </w:r>
            <w:r>
              <w:rPr>
                <w:rFonts w:hint="eastAsia" w:ascii="宋体" w:hAnsi="宋体" w:eastAsia="宋体" w:cs="宋体"/>
                <w:color w:val="auto"/>
                <w:spacing w:val="-91"/>
                <w:sz w:val="20"/>
                <w:szCs w:val="20"/>
                <w:highlight w:val="none"/>
              </w:rPr>
              <w:t xml:space="preserve"> </w:t>
            </w:r>
            <w:r>
              <w:rPr>
                <w:rFonts w:hint="eastAsia" w:ascii="宋体" w:hAnsi="宋体" w:eastAsia="宋体" w:cs="宋体"/>
                <w:color w:val="auto"/>
                <w:spacing w:val="8"/>
                <w:sz w:val="20"/>
                <w:szCs w:val="20"/>
                <w:highlight w:val="none"/>
              </w:rPr>
              <w:t>个月，施工阶段监理</w:t>
            </w:r>
            <w:r>
              <w:rPr>
                <w:rFonts w:hint="eastAsia" w:cs="宋体"/>
                <w:color w:val="auto"/>
                <w:sz w:val="20"/>
                <w:szCs w:val="20"/>
                <w:highlight w:val="none"/>
                <w:u w:val="single" w:color="auto"/>
                <w:lang w:val="en-US" w:eastAsia="zh-CN"/>
              </w:rPr>
              <w:t>36</w:t>
            </w:r>
            <w:r>
              <w:rPr>
                <w:rFonts w:hint="eastAsia" w:ascii="宋体" w:hAnsi="宋体" w:eastAsia="宋体" w:cs="宋体"/>
                <w:color w:val="auto"/>
                <w:sz w:val="20"/>
                <w:szCs w:val="20"/>
                <w:highlight w:val="none"/>
              </w:rPr>
              <w:t xml:space="preserve"> </w:t>
            </w:r>
            <w:r>
              <w:rPr>
                <w:rFonts w:hint="eastAsia" w:ascii="宋体" w:hAnsi="宋体" w:eastAsia="宋体" w:cs="宋体"/>
                <w:color w:val="auto"/>
                <w:spacing w:val="8"/>
                <w:sz w:val="20"/>
                <w:szCs w:val="20"/>
                <w:highlight w:val="none"/>
              </w:rPr>
              <w:t>个月，交</w:t>
            </w:r>
            <w:r>
              <w:rPr>
                <w:rFonts w:hint="eastAsia" w:ascii="宋体" w:hAnsi="宋体" w:eastAsia="宋体" w:cs="宋体"/>
                <w:color w:val="auto"/>
                <w:spacing w:val="-53"/>
                <w:sz w:val="20"/>
                <w:szCs w:val="20"/>
                <w:highlight w:val="none"/>
              </w:rPr>
              <w:t xml:space="preserve"> </w:t>
            </w:r>
            <w:r>
              <w:rPr>
                <w:rFonts w:hint="eastAsia" w:ascii="宋体" w:hAnsi="宋体" w:eastAsia="宋体" w:cs="宋体"/>
                <w:color w:val="auto"/>
                <w:spacing w:val="8"/>
                <w:sz w:val="20"/>
                <w:szCs w:val="20"/>
                <w:highlight w:val="none"/>
              </w:rPr>
              <w:t>(竣)工验收及缺陷责任期监理</w:t>
            </w:r>
            <w:r>
              <w:rPr>
                <w:rFonts w:hint="eastAsia" w:cs="宋体"/>
                <w:color w:val="auto"/>
                <w:spacing w:val="8"/>
                <w:sz w:val="20"/>
                <w:szCs w:val="20"/>
                <w:highlight w:val="none"/>
                <w:u w:val="single" w:color="auto"/>
                <w:lang w:val="en-US" w:eastAsia="zh-CN"/>
              </w:rPr>
              <w:t>24</w:t>
            </w:r>
            <w:r>
              <w:rPr>
                <w:rFonts w:hint="eastAsia" w:ascii="宋体" w:hAnsi="宋体" w:eastAsia="宋体" w:cs="宋体"/>
                <w:color w:val="auto"/>
                <w:spacing w:val="-92"/>
                <w:sz w:val="20"/>
                <w:szCs w:val="20"/>
                <w:highlight w:val="none"/>
              </w:rPr>
              <w:t xml:space="preserve"> </w:t>
            </w:r>
            <w:r>
              <w:rPr>
                <w:rFonts w:hint="eastAsia" w:ascii="宋体" w:hAnsi="宋体" w:eastAsia="宋体" w:cs="宋体"/>
                <w:color w:val="auto"/>
                <w:spacing w:val="7"/>
                <w:sz w:val="20"/>
                <w:szCs w:val="20"/>
                <w:highlight w:val="none"/>
              </w:rPr>
              <w:t>个月，如施工工期进行调整，监理服务期也相应进行调整。</w:t>
            </w:r>
          </w:p>
        </w:tc>
      </w:tr>
      <w:tr w14:paraId="52951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3380C98C">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最高投标限价</w:t>
            </w:r>
          </w:p>
        </w:tc>
        <w:tc>
          <w:tcPr>
            <w:tcW w:w="7869" w:type="dxa"/>
            <w:gridSpan w:val="4"/>
            <w:vAlign w:val="center"/>
          </w:tcPr>
          <w:p w14:paraId="7EAD560E">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color w:val="auto"/>
                <w:spacing w:val="8"/>
                <w:highlight w:val="none"/>
                <w:lang w:val="en-US" w:eastAsia="zh-CN"/>
              </w:rPr>
              <w:t>￥5700000.00</w:t>
            </w:r>
            <w:r>
              <w:rPr>
                <w:color w:val="auto"/>
                <w:spacing w:val="8"/>
                <w:highlight w:val="none"/>
              </w:rPr>
              <w:t>元</w:t>
            </w:r>
          </w:p>
        </w:tc>
      </w:tr>
      <w:tr w14:paraId="55AC7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903" w:type="dxa"/>
            <w:vAlign w:val="center"/>
          </w:tcPr>
          <w:p w14:paraId="07E28CE2">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是否接受联合体</w:t>
            </w:r>
            <w:r>
              <w:rPr>
                <w:rFonts w:hint="eastAsia" w:ascii="宋体" w:hAnsi="宋体" w:eastAsia="宋体" w:cs="宋体"/>
                <w:b/>
                <w:bCs/>
                <w:color w:val="auto"/>
                <w:spacing w:val="2"/>
                <w:sz w:val="20"/>
                <w:szCs w:val="20"/>
                <w:highlight w:val="none"/>
              </w:rPr>
              <w:t>投标</w:t>
            </w:r>
          </w:p>
        </w:tc>
        <w:tc>
          <w:tcPr>
            <w:tcW w:w="7869" w:type="dxa"/>
            <w:gridSpan w:val="4"/>
            <w:vAlign w:val="center"/>
          </w:tcPr>
          <w:p w14:paraId="245C8AE0">
            <w:pPr>
              <w:pStyle w:val="20"/>
              <w:keepNext w:val="0"/>
              <w:keepLines w:val="0"/>
              <w:pageBreakBefore w:val="0"/>
              <w:widowControl/>
              <w:overflowPunct/>
              <w:bidi w:val="0"/>
              <w:adjustRightInd w:val="0"/>
              <w:snapToGrid w:val="0"/>
              <w:spacing w:line="288" w:lineRule="auto"/>
              <w:ind w:left="0" w:leftChars="0" w:right="0" w:firstLine="461"/>
              <w:jc w:val="both"/>
              <w:rPr>
                <w:rFonts w:hint="eastAsia" w:ascii="宋体" w:hAnsi="宋体" w:eastAsia="宋体" w:cs="宋体"/>
                <w:color w:val="auto"/>
                <w:sz w:val="20"/>
                <w:szCs w:val="20"/>
                <w:highlight w:val="none"/>
              </w:rPr>
            </w:pPr>
            <w:r>
              <w:rPr>
                <w:rFonts w:hint="eastAsia" w:ascii="宋体" w:hAnsi="宋体" w:eastAsia="宋体" w:cs="宋体"/>
                <w:color w:val="auto"/>
                <w:spacing w:val="8"/>
                <w:sz w:val="20"/>
                <w:szCs w:val="20"/>
                <w:highlight w:val="none"/>
              </w:rPr>
              <w:t>本工程</w:t>
            </w:r>
            <w:r>
              <w:rPr>
                <w:rFonts w:hint="eastAsia" w:ascii="宋体" w:hAnsi="宋体" w:eastAsia="宋体" w:cs="宋体"/>
                <w:b/>
                <w:bCs/>
                <w:color w:val="auto"/>
                <w:spacing w:val="8"/>
                <w:sz w:val="20"/>
                <w:szCs w:val="20"/>
                <w:highlight w:val="none"/>
                <w:u w:val="single" w:color="auto"/>
              </w:rPr>
              <w:t>不接受</w:t>
            </w:r>
            <w:r>
              <w:rPr>
                <w:rFonts w:hint="eastAsia" w:ascii="宋体" w:hAnsi="宋体" w:eastAsia="宋体" w:cs="宋体"/>
                <w:color w:val="auto"/>
                <w:spacing w:val="8"/>
                <w:sz w:val="20"/>
                <w:szCs w:val="20"/>
                <w:highlight w:val="none"/>
              </w:rPr>
              <w:t>联合体投标。</w:t>
            </w:r>
          </w:p>
        </w:tc>
      </w:tr>
      <w:tr w14:paraId="5230D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1903" w:type="dxa"/>
            <w:vMerge w:val="restart"/>
            <w:tcBorders>
              <w:bottom w:val="nil"/>
            </w:tcBorders>
            <w:vAlign w:val="center"/>
          </w:tcPr>
          <w:p w14:paraId="0F94E985">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bookmarkStart w:id="3" w:name="bookmark17"/>
            <w:bookmarkEnd w:id="3"/>
          </w:p>
          <w:p w14:paraId="2440DA14">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6A406C51">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投标资格能力要</w:t>
            </w:r>
          </w:p>
          <w:p w14:paraId="1381C23D">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求（包括但不限</w:t>
            </w:r>
          </w:p>
          <w:p w14:paraId="37DFB737">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于资质人员、业</w:t>
            </w:r>
          </w:p>
          <w:p w14:paraId="72A0A7E9">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4"/>
                <w:sz w:val="20"/>
                <w:szCs w:val="20"/>
                <w:highlight w:val="none"/>
              </w:rPr>
              <w:t>绩等要求）</w:t>
            </w:r>
          </w:p>
        </w:tc>
        <w:tc>
          <w:tcPr>
            <w:tcW w:w="1979" w:type="dxa"/>
            <w:vAlign w:val="center"/>
          </w:tcPr>
          <w:p w14:paraId="677028A5">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pacing w:val="8"/>
                <w:sz w:val="20"/>
                <w:szCs w:val="20"/>
                <w:highlight w:val="none"/>
              </w:rPr>
              <w:t>投标人资格要求</w:t>
            </w:r>
          </w:p>
        </w:tc>
        <w:tc>
          <w:tcPr>
            <w:tcW w:w="5890" w:type="dxa"/>
            <w:gridSpan w:val="3"/>
            <w:vAlign w:val="center"/>
          </w:tcPr>
          <w:p w14:paraId="5FF055C3">
            <w:pPr>
              <w:pStyle w:val="20"/>
              <w:keepNext w:val="0"/>
              <w:keepLines w:val="0"/>
              <w:pageBreakBefore w:val="0"/>
              <w:widowControl/>
              <w:overflowPunct/>
              <w:bidi w:val="0"/>
              <w:adjustRightInd w:val="0"/>
              <w:snapToGrid w:val="0"/>
              <w:spacing w:line="288" w:lineRule="auto"/>
              <w:ind w:left="0" w:leftChars="0" w:right="0" w:firstLine="4"/>
              <w:jc w:val="both"/>
              <w:rPr>
                <w:rFonts w:hint="eastAsia" w:ascii="宋体" w:hAnsi="宋体" w:eastAsia="宋体" w:cs="宋体"/>
                <w:color w:val="auto"/>
                <w:sz w:val="20"/>
                <w:szCs w:val="20"/>
                <w:highlight w:val="none"/>
              </w:rPr>
            </w:pPr>
            <w:r>
              <w:rPr>
                <w:rFonts w:hint="eastAsia" w:ascii="宋体" w:hAnsi="宋体" w:eastAsia="宋体" w:cs="宋体"/>
                <w:color w:val="auto"/>
                <w:spacing w:val="20"/>
                <w:sz w:val="20"/>
                <w:szCs w:val="20"/>
                <w:highlight w:val="none"/>
              </w:rPr>
              <w:t>投标人应具有以下资质：</w:t>
            </w:r>
            <w:r>
              <w:rPr>
                <w:rFonts w:hint="eastAsia" w:ascii="宋体" w:hAnsi="宋体" w:eastAsia="宋体" w:cs="宋体"/>
                <w:color w:val="auto"/>
                <w:spacing w:val="-38"/>
                <w:sz w:val="20"/>
                <w:szCs w:val="20"/>
                <w:highlight w:val="none"/>
              </w:rPr>
              <w:t xml:space="preserve"> </w:t>
            </w:r>
            <w:r>
              <w:rPr>
                <w:rFonts w:hint="eastAsia" w:ascii="宋体" w:hAnsi="宋体" w:eastAsia="宋体" w:cs="宋体"/>
                <w:color w:val="auto"/>
                <w:spacing w:val="20"/>
                <w:sz w:val="20"/>
                <w:szCs w:val="20"/>
                <w:highlight w:val="none"/>
              </w:rPr>
              <w:t>详见招标公告附件</w:t>
            </w:r>
            <w:r>
              <w:rPr>
                <w:rFonts w:hint="eastAsia" w:ascii="宋体" w:hAnsi="宋体" w:eastAsia="宋体" w:cs="宋体"/>
                <w:color w:val="auto"/>
                <w:spacing w:val="-53"/>
                <w:sz w:val="20"/>
                <w:szCs w:val="20"/>
                <w:highlight w:val="none"/>
              </w:rPr>
              <w:t xml:space="preserve"> </w:t>
            </w:r>
            <w:r>
              <w:rPr>
                <w:rFonts w:hint="eastAsia" w:ascii="宋体" w:hAnsi="宋体" w:eastAsia="宋体" w:cs="宋体"/>
                <w:color w:val="auto"/>
                <w:spacing w:val="20"/>
                <w:sz w:val="20"/>
                <w:szCs w:val="20"/>
                <w:highlight w:val="none"/>
              </w:rPr>
              <w:t>，</w:t>
            </w:r>
            <w:r>
              <w:rPr>
                <w:rFonts w:hint="eastAsia" w:ascii="宋体" w:hAnsi="宋体" w:eastAsia="宋体" w:cs="宋体"/>
                <w:color w:val="auto"/>
                <w:spacing w:val="19"/>
                <w:sz w:val="20"/>
                <w:szCs w:val="20"/>
                <w:highlight w:val="none"/>
                <w:u w:val="single" w:color="auto"/>
              </w:rPr>
              <w:t>投标人应</w:t>
            </w:r>
            <w:r>
              <w:rPr>
                <w:rFonts w:hint="eastAsia" w:ascii="宋体" w:hAnsi="宋体" w:eastAsia="宋体" w:cs="宋体"/>
                <w:color w:val="auto"/>
                <w:spacing w:val="21"/>
                <w:sz w:val="20"/>
                <w:szCs w:val="20"/>
                <w:highlight w:val="none"/>
                <w:u w:val="single" w:color="auto"/>
              </w:rPr>
              <w:t>进入交通运输部</w:t>
            </w:r>
            <w:r>
              <w:rPr>
                <w:rFonts w:hint="eastAsia" w:ascii="宋体" w:hAnsi="宋体" w:eastAsia="宋体" w:cs="宋体"/>
                <w:color w:val="auto"/>
                <w:spacing w:val="-72"/>
                <w:sz w:val="20"/>
                <w:szCs w:val="20"/>
                <w:highlight w:val="none"/>
                <w:u w:val="single" w:color="auto"/>
              </w:rPr>
              <w:t xml:space="preserve"> </w:t>
            </w:r>
            <w:r>
              <w:rPr>
                <w:rFonts w:hint="eastAsia" w:ascii="宋体" w:hAnsi="宋体" w:eastAsia="宋体" w:cs="宋体"/>
                <w:color w:val="auto"/>
                <w:spacing w:val="21"/>
                <w:sz w:val="20"/>
                <w:szCs w:val="20"/>
                <w:highlight w:val="none"/>
                <w:u w:val="single" w:color="auto"/>
              </w:rPr>
              <w:t>“</w:t>
            </w:r>
            <w:r>
              <w:rPr>
                <w:rFonts w:hint="eastAsia" w:ascii="宋体" w:hAnsi="宋体" w:eastAsia="宋体" w:cs="宋体"/>
                <w:color w:val="auto"/>
                <w:spacing w:val="-71"/>
                <w:sz w:val="20"/>
                <w:szCs w:val="20"/>
                <w:highlight w:val="none"/>
                <w:u w:val="single" w:color="auto"/>
              </w:rPr>
              <w:t xml:space="preserve"> </w:t>
            </w:r>
            <w:r>
              <w:rPr>
                <w:rFonts w:hint="eastAsia" w:ascii="宋体" w:hAnsi="宋体" w:eastAsia="宋体" w:cs="宋体"/>
                <w:color w:val="auto"/>
                <w:spacing w:val="21"/>
                <w:sz w:val="20"/>
                <w:szCs w:val="20"/>
                <w:highlight w:val="none"/>
                <w:u w:val="single" w:color="auto"/>
              </w:rPr>
              <w:t>全</w:t>
            </w:r>
            <w:r>
              <w:rPr>
                <w:rFonts w:hint="eastAsia" w:ascii="宋体" w:hAnsi="宋体" w:eastAsia="宋体" w:cs="宋体"/>
                <w:color w:val="auto"/>
                <w:spacing w:val="-50"/>
                <w:sz w:val="20"/>
                <w:szCs w:val="20"/>
                <w:highlight w:val="none"/>
                <w:u w:val="single" w:color="auto"/>
              </w:rPr>
              <w:t xml:space="preserve"> </w:t>
            </w:r>
            <w:r>
              <w:rPr>
                <w:rFonts w:hint="eastAsia" w:ascii="宋体" w:hAnsi="宋体" w:eastAsia="宋体" w:cs="宋体"/>
                <w:color w:val="auto"/>
                <w:spacing w:val="21"/>
                <w:sz w:val="20"/>
                <w:szCs w:val="20"/>
                <w:highlight w:val="none"/>
                <w:u w:val="single" w:color="auto"/>
              </w:rPr>
              <w:t>国公路建设市场监督管理系统</w:t>
            </w:r>
            <w:r>
              <w:rPr>
                <w:rFonts w:hint="eastAsia" w:ascii="宋体" w:hAnsi="宋体" w:eastAsia="宋体" w:cs="宋体"/>
                <w:color w:val="auto"/>
                <w:spacing w:val="-51"/>
                <w:sz w:val="20"/>
                <w:szCs w:val="20"/>
                <w:highlight w:val="none"/>
                <w:u w:val="single" w:color="auto"/>
              </w:rPr>
              <w:t xml:space="preserve"> </w:t>
            </w:r>
            <w:r>
              <w:rPr>
                <w:rFonts w:hint="eastAsia" w:ascii="宋体" w:hAnsi="宋体" w:eastAsia="宋体" w:cs="宋体"/>
                <w:color w:val="auto"/>
                <w:spacing w:val="21"/>
                <w:sz w:val="20"/>
                <w:szCs w:val="20"/>
                <w:highlight w:val="none"/>
                <w:u w:val="single" w:color="auto"/>
              </w:rPr>
              <w:t>”</w:t>
            </w:r>
            <w:r>
              <w:rPr>
                <w:rFonts w:hint="eastAsia" w:ascii="宋体" w:hAnsi="宋体" w:eastAsia="宋体" w:cs="宋体"/>
                <w:color w:val="auto"/>
                <w:spacing w:val="-69"/>
                <w:sz w:val="20"/>
                <w:szCs w:val="20"/>
                <w:highlight w:val="none"/>
                <w:u w:val="single" w:color="auto"/>
              </w:rPr>
              <w:t xml:space="preserve"> </w:t>
            </w:r>
            <w:r>
              <w:rPr>
                <w:rFonts w:hint="eastAsia" w:ascii="宋体" w:hAnsi="宋体" w:eastAsia="宋体" w:cs="宋体"/>
                <w:color w:val="auto"/>
                <w:spacing w:val="21"/>
                <w:sz w:val="20"/>
                <w:szCs w:val="20"/>
                <w:highlight w:val="none"/>
                <w:u w:val="single" w:color="auto"/>
              </w:rPr>
              <w:t>中</w:t>
            </w:r>
            <w:r>
              <w:rPr>
                <w:rFonts w:hint="eastAsia" w:ascii="宋体" w:hAnsi="宋体" w:eastAsia="宋体" w:cs="宋体"/>
                <w:color w:val="auto"/>
                <w:spacing w:val="27"/>
                <w:sz w:val="20"/>
                <w:szCs w:val="20"/>
                <w:highlight w:val="none"/>
                <w:u w:val="single" w:color="auto"/>
              </w:rPr>
              <w:t>的公路工程施工监理资质企业名录</w:t>
            </w:r>
            <w:r>
              <w:rPr>
                <w:rFonts w:hint="eastAsia" w:ascii="宋体" w:hAnsi="宋体" w:eastAsia="宋体" w:cs="宋体"/>
                <w:color w:val="auto"/>
                <w:spacing w:val="-53"/>
                <w:sz w:val="20"/>
                <w:szCs w:val="20"/>
                <w:highlight w:val="none"/>
                <w:u w:val="single" w:color="auto"/>
              </w:rPr>
              <w:t xml:space="preserve"> </w:t>
            </w:r>
            <w:r>
              <w:rPr>
                <w:rFonts w:hint="eastAsia" w:ascii="宋体" w:hAnsi="宋体" w:eastAsia="宋体" w:cs="宋体"/>
                <w:color w:val="auto"/>
                <w:spacing w:val="27"/>
                <w:sz w:val="20"/>
                <w:szCs w:val="20"/>
                <w:highlight w:val="none"/>
                <w:u w:val="single" w:color="auto"/>
              </w:rPr>
              <w:t>，且投标人</w:t>
            </w:r>
            <w:r>
              <w:rPr>
                <w:rFonts w:hint="eastAsia" w:ascii="宋体" w:hAnsi="宋体" w:eastAsia="宋体" w:cs="宋体"/>
                <w:color w:val="auto"/>
                <w:spacing w:val="26"/>
                <w:sz w:val="20"/>
                <w:szCs w:val="20"/>
                <w:highlight w:val="none"/>
                <w:u w:val="single" w:color="auto"/>
              </w:rPr>
              <w:t>名称和资</w:t>
            </w:r>
            <w:r>
              <w:rPr>
                <w:rFonts w:hint="eastAsia" w:ascii="宋体" w:hAnsi="宋体" w:eastAsia="宋体" w:cs="宋体"/>
                <w:color w:val="auto"/>
                <w:spacing w:val="22"/>
                <w:sz w:val="20"/>
                <w:szCs w:val="20"/>
                <w:highlight w:val="none"/>
                <w:u w:val="single" w:color="auto"/>
              </w:rPr>
              <w:t>质与该名录</w:t>
            </w:r>
            <w:r>
              <w:rPr>
                <w:rFonts w:hint="eastAsia" w:ascii="宋体" w:hAnsi="宋体" w:eastAsia="宋体" w:cs="宋体"/>
                <w:color w:val="auto"/>
                <w:spacing w:val="-34"/>
                <w:sz w:val="20"/>
                <w:szCs w:val="20"/>
                <w:highlight w:val="none"/>
                <w:u w:val="single" w:color="auto"/>
              </w:rPr>
              <w:t xml:space="preserve"> </w:t>
            </w:r>
            <w:r>
              <w:rPr>
                <w:rFonts w:hint="eastAsia" w:ascii="宋体" w:hAnsi="宋体" w:eastAsia="宋体" w:cs="宋体"/>
                <w:color w:val="auto"/>
                <w:spacing w:val="22"/>
                <w:sz w:val="20"/>
                <w:szCs w:val="20"/>
                <w:highlight w:val="none"/>
                <w:u w:val="single" w:color="auto"/>
              </w:rPr>
              <w:t>中</w:t>
            </w:r>
            <w:r>
              <w:rPr>
                <w:rFonts w:hint="eastAsia" w:ascii="宋体" w:hAnsi="宋体" w:eastAsia="宋体" w:cs="宋体"/>
                <w:color w:val="auto"/>
                <w:spacing w:val="-54"/>
                <w:sz w:val="20"/>
                <w:szCs w:val="20"/>
                <w:highlight w:val="none"/>
                <w:u w:val="single" w:color="auto"/>
              </w:rPr>
              <w:t xml:space="preserve"> </w:t>
            </w:r>
            <w:r>
              <w:rPr>
                <w:rFonts w:hint="eastAsia" w:ascii="宋体" w:hAnsi="宋体" w:eastAsia="宋体" w:cs="宋体"/>
                <w:color w:val="auto"/>
                <w:spacing w:val="22"/>
                <w:sz w:val="20"/>
                <w:szCs w:val="20"/>
                <w:highlight w:val="none"/>
                <w:u w:val="single" w:color="auto"/>
              </w:rPr>
              <w:t>的相应企业名称和资质完全一致</w:t>
            </w:r>
            <w:r>
              <w:rPr>
                <w:rFonts w:hint="eastAsia" w:ascii="宋体" w:hAnsi="宋体" w:eastAsia="宋体" w:cs="宋体"/>
                <w:color w:val="auto"/>
                <w:spacing w:val="22"/>
                <w:sz w:val="20"/>
                <w:szCs w:val="20"/>
                <w:highlight w:val="none"/>
              </w:rPr>
              <w:t>。</w:t>
            </w:r>
          </w:p>
          <w:p w14:paraId="710B6E1A">
            <w:pPr>
              <w:pStyle w:val="20"/>
              <w:keepNext w:val="0"/>
              <w:keepLines w:val="0"/>
              <w:pageBreakBefore w:val="0"/>
              <w:widowControl/>
              <w:overflowPunct/>
              <w:bidi w:val="0"/>
              <w:adjustRightInd w:val="0"/>
              <w:snapToGrid w:val="0"/>
              <w:spacing w:line="288" w:lineRule="auto"/>
              <w:ind w:left="0" w:leftChars="0" w:right="0" w:hanging="1"/>
              <w:jc w:val="both"/>
              <w:rPr>
                <w:rFonts w:hint="eastAsia" w:ascii="宋体" w:hAnsi="宋体" w:eastAsia="宋体" w:cs="宋体"/>
                <w:color w:val="auto"/>
                <w:sz w:val="20"/>
                <w:szCs w:val="20"/>
                <w:highlight w:val="none"/>
              </w:rPr>
            </w:pPr>
            <w:r>
              <w:rPr>
                <w:rFonts w:hint="eastAsia" w:ascii="宋体" w:hAnsi="宋体" w:eastAsia="宋体" w:cs="宋体"/>
                <w:color w:val="auto"/>
                <w:spacing w:val="22"/>
                <w:sz w:val="20"/>
                <w:szCs w:val="20"/>
                <w:highlight w:val="none"/>
              </w:rPr>
              <w:t>总监理工程师/驻地监理工程师</w:t>
            </w:r>
            <w:r>
              <w:rPr>
                <w:rFonts w:hint="eastAsia" w:ascii="宋体" w:hAnsi="宋体" w:eastAsia="宋体" w:cs="宋体"/>
                <w:color w:val="auto"/>
                <w:spacing w:val="-50"/>
                <w:sz w:val="20"/>
                <w:szCs w:val="20"/>
                <w:highlight w:val="none"/>
              </w:rPr>
              <w:t xml:space="preserve"> </w:t>
            </w:r>
            <w:r>
              <w:rPr>
                <w:rFonts w:hint="eastAsia" w:ascii="宋体" w:hAnsi="宋体" w:eastAsia="宋体" w:cs="宋体"/>
                <w:color w:val="auto"/>
                <w:spacing w:val="22"/>
                <w:sz w:val="20"/>
                <w:szCs w:val="20"/>
                <w:highlight w:val="none"/>
              </w:rPr>
              <w:t>的资格要求：</w:t>
            </w:r>
            <w:r>
              <w:rPr>
                <w:rFonts w:hint="eastAsia" w:ascii="宋体" w:hAnsi="宋体" w:eastAsia="宋体" w:cs="宋体"/>
                <w:color w:val="auto"/>
                <w:spacing w:val="-39"/>
                <w:sz w:val="20"/>
                <w:szCs w:val="20"/>
                <w:highlight w:val="none"/>
              </w:rPr>
              <w:t xml:space="preserve"> </w:t>
            </w:r>
            <w:r>
              <w:rPr>
                <w:rFonts w:hint="eastAsia" w:ascii="宋体" w:hAnsi="宋体" w:eastAsia="宋体" w:cs="宋体"/>
                <w:color w:val="auto"/>
                <w:spacing w:val="22"/>
                <w:sz w:val="20"/>
                <w:szCs w:val="20"/>
                <w:highlight w:val="none"/>
              </w:rPr>
              <w:t>详见招标</w:t>
            </w:r>
            <w:r>
              <w:rPr>
                <w:rFonts w:hint="eastAsia" w:ascii="宋体" w:hAnsi="宋体" w:eastAsia="宋体" w:cs="宋体"/>
                <w:color w:val="auto"/>
                <w:spacing w:val="13"/>
                <w:sz w:val="20"/>
                <w:szCs w:val="20"/>
                <w:highlight w:val="none"/>
              </w:rPr>
              <w:t>公告附件。</w:t>
            </w:r>
          </w:p>
        </w:tc>
      </w:tr>
      <w:tr w14:paraId="3264E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Merge w:val="continue"/>
            <w:tcBorders>
              <w:top w:val="nil"/>
            </w:tcBorders>
            <w:vAlign w:val="center"/>
          </w:tcPr>
          <w:p w14:paraId="00DDC7BA">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tc>
        <w:tc>
          <w:tcPr>
            <w:tcW w:w="1979" w:type="dxa"/>
            <w:vAlign w:val="center"/>
          </w:tcPr>
          <w:p w14:paraId="26A59A34">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pacing w:val="8"/>
                <w:sz w:val="20"/>
                <w:szCs w:val="20"/>
                <w:highlight w:val="none"/>
              </w:rPr>
              <w:t>投标人业绩要求</w:t>
            </w:r>
          </w:p>
        </w:tc>
        <w:tc>
          <w:tcPr>
            <w:tcW w:w="5890" w:type="dxa"/>
            <w:gridSpan w:val="3"/>
            <w:vAlign w:val="center"/>
          </w:tcPr>
          <w:p w14:paraId="527918AE">
            <w:pPr>
              <w:pStyle w:val="20"/>
              <w:keepNext w:val="0"/>
              <w:keepLines w:val="0"/>
              <w:pageBreakBefore w:val="0"/>
              <w:widowControl/>
              <w:overflowPunct/>
              <w:bidi w:val="0"/>
              <w:adjustRightInd w:val="0"/>
              <w:snapToGrid w:val="0"/>
              <w:spacing w:line="288" w:lineRule="auto"/>
              <w:ind w:left="0" w:leftChars="0" w:right="0"/>
              <w:jc w:val="both"/>
              <w:rPr>
                <w:rFonts w:hint="eastAsia" w:ascii="宋体" w:hAnsi="宋体" w:eastAsia="宋体" w:cs="宋体"/>
                <w:color w:val="auto"/>
                <w:sz w:val="20"/>
                <w:szCs w:val="20"/>
                <w:highlight w:val="none"/>
              </w:rPr>
            </w:pPr>
            <w:r>
              <w:rPr>
                <w:rFonts w:hint="eastAsia" w:ascii="宋体" w:hAnsi="宋体" w:eastAsia="宋体" w:cs="宋体"/>
                <w:color w:val="auto"/>
                <w:spacing w:val="13"/>
                <w:sz w:val="20"/>
                <w:szCs w:val="20"/>
                <w:highlight w:val="none"/>
                <w:u w:val="single" w:color="auto"/>
              </w:rPr>
              <w:t>详见招标公告附件</w:t>
            </w:r>
            <w:r>
              <w:rPr>
                <w:rFonts w:hint="eastAsia" w:ascii="宋体" w:hAnsi="宋体" w:eastAsia="宋体" w:cs="宋体"/>
                <w:color w:val="auto"/>
                <w:spacing w:val="-53"/>
                <w:sz w:val="20"/>
                <w:szCs w:val="20"/>
                <w:highlight w:val="none"/>
                <w:u w:val="single" w:color="auto"/>
              </w:rPr>
              <w:t xml:space="preserve"> </w:t>
            </w:r>
            <w:r>
              <w:rPr>
                <w:rFonts w:hint="eastAsia" w:ascii="宋体" w:hAnsi="宋体" w:eastAsia="宋体" w:cs="宋体"/>
                <w:color w:val="auto"/>
                <w:spacing w:val="13"/>
                <w:sz w:val="20"/>
                <w:szCs w:val="20"/>
                <w:highlight w:val="none"/>
                <w:u w:val="single" w:color="auto"/>
              </w:rPr>
              <w:t xml:space="preserve">。 </w:t>
            </w:r>
          </w:p>
        </w:tc>
      </w:tr>
      <w:tr w14:paraId="15CD6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1903" w:type="dxa"/>
            <w:vMerge w:val="restart"/>
            <w:tcBorders>
              <w:bottom w:val="nil"/>
            </w:tcBorders>
            <w:vAlign w:val="center"/>
          </w:tcPr>
          <w:p w14:paraId="6CDBE22B">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19B9F5CE">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080F5417">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64663A93">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3B040020">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7A1F2785">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49128AB5">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5AC372CF">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171AE910">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是否采用电子招标投标方式</w:t>
            </w:r>
          </w:p>
        </w:tc>
        <w:tc>
          <w:tcPr>
            <w:tcW w:w="1979" w:type="dxa"/>
            <w:vMerge w:val="restart"/>
            <w:tcBorders>
              <w:bottom w:val="nil"/>
            </w:tcBorders>
            <w:vAlign w:val="center"/>
          </w:tcPr>
          <w:p w14:paraId="41ED2B8B">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是</w:t>
            </w:r>
          </w:p>
        </w:tc>
        <w:tc>
          <w:tcPr>
            <w:tcW w:w="1663" w:type="dxa"/>
            <w:vMerge w:val="restart"/>
            <w:tcBorders>
              <w:bottom w:val="nil"/>
            </w:tcBorders>
            <w:vAlign w:val="center"/>
          </w:tcPr>
          <w:p w14:paraId="14E38A7E">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招标文件的方</w:t>
            </w:r>
            <w:r>
              <w:rPr>
                <w:rFonts w:hint="eastAsia" w:ascii="宋体" w:hAnsi="宋体" w:eastAsia="宋体" w:cs="宋体"/>
                <w:b/>
                <w:bCs/>
                <w:color w:val="auto"/>
                <w:spacing w:val="-3"/>
                <w:sz w:val="20"/>
                <w:szCs w:val="20"/>
                <w:highlight w:val="none"/>
              </w:rPr>
              <w:t>式</w:t>
            </w:r>
          </w:p>
        </w:tc>
        <w:tc>
          <w:tcPr>
            <w:tcW w:w="1320" w:type="dxa"/>
            <w:vAlign w:val="center"/>
          </w:tcPr>
          <w:p w14:paraId="0E8C3893">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pacing w:val="15"/>
                <w:sz w:val="20"/>
                <w:szCs w:val="20"/>
                <w:highlight w:val="none"/>
              </w:rPr>
              <w:t>下载招标文</w:t>
            </w:r>
          </w:p>
          <w:p w14:paraId="0DB6B17B">
            <w:pPr>
              <w:pStyle w:val="20"/>
              <w:keepNext w:val="0"/>
              <w:keepLines w:val="0"/>
              <w:pageBreakBefore w:val="0"/>
              <w:widowControl/>
              <w:overflowPunct/>
              <w:bidi w:val="0"/>
              <w:adjustRightInd w:val="0"/>
              <w:snapToGrid w:val="0"/>
              <w:spacing w:line="288" w:lineRule="auto"/>
              <w:ind w:left="0" w:leftChars="0" w:right="0" w:hanging="1"/>
              <w:jc w:val="center"/>
              <w:rPr>
                <w:rFonts w:hint="eastAsia" w:ascii="宋体" w:hAnsi="宋体" w:eastAsia="宋体" w:cs="宋体"/>
                <w:color w:val="auto"/>
                <w:sz w:val="20"/>
                <w:szCs w:val="20"/>
                <w:highlight w:val="none"/>
              </w:rPr>
            </w:pPr>
            <w:r>
              <w:rPr>
                <w:rFonts w:hint="eastAsia" w:ascii="宋体" w:hAnsi="宋体" w:eastAsia="宋体" w:cs="宋体"/>
                <w:color w:val="auto"/>
                <w:spacing w:val="17"/>
                <w:sz w:val="20"/>
                <w:szCs w:val="20"/>
                <w:highlight w:val="none"/>
              </w:rPr>
              <w:t>件的网络地</w:t>
            </w:r>
            <w:r>
              <w:rPr>
                <w:rFonts w:hint="eastAsia" w:ascii="宋体" w:hAnsi="宋体" w:eastAsia="宋体" w:cs="宋体"/>
                <w:color w:val="auto"/>
                <w:sz w:val="20"/>
                <w:szCs w:val="20"/>
                <w:highlight w:val="none"/>
              </w:rPr>
              <w:t>址</w:t>
            </w:r>
          </w:p>
        </w:tc>
        <w:tc>
          <w:tcPr>
            <w:tcW w:w="2907" w:type="dxa"/>
            <w:vAlign w:val="center"/>
          </w:tcPr>
          <w:p w14:paraId="503F71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val="0"/>
              <w:snapToGrid w:val="0"/>
              <w:spacing w:beforeAutospacing="0" w:after="0" w:afterAutospacing="0" w:line="288" w:lineRule="auto"/>
              <w:ind w:left="0" w:leftChars="0" w:right="0" w:firstLine="0"/>
              <w:jc w:val="left"/>
              <w:textAlignment w:val="center"/>
              <w:rPr>
                <w:rFonts w:hint="eastAsia" w:ascii="宋体" w:hAnsi="宋体" w:eastAsia="宋体" w:cs="宋体"/>
                <w:i w:val="0"/>
                <w:iCs w:val="0"/>
                <w:caps w:val="0"/>
                <w:color w:val="auto"/>
                <w:spacing w:val="0"/>
                <w:kern w:val="0"/>
                <w:sz w:val="20"/>
                <w:szCs w:val="20"/>
                <w:highlight w:val="none"/>
                <w:lang w:val="en-US" w:eastAsia="zh-CN" w:bidi="ar"/>
              </w:rPr>
            </w:pPr>
            <w:r>
              <w:rPr>
                <w:rFonts w:hint="eastAsia" w:ascii="宋体" w:hAnsi="宋体" w:eastAsia="宋体" w:cs="宋体"/>
                <w:i w:val="0"/>
                <w:iCs w:val="0"/>
                <w:caps w:val="0"/>
                <w:color w:val="auto"/>
                <w:spacing w:val="0"/>
                <w:kern w:val="0"/>
                <w:sz w:val="20"/>
                <w:szCs w:val="20"/>
                <w:highlight w:val="none"/>
                <w:lang w:val="en-US" w:eastAsia="zh-CN" w:bidi="ar"/>
              </w:rPr>
              <w:t>广东省招标投标监管网http://zbtb.gd.gov.cn；</w:t>
            </w:r>
          </w:p>
          <w:p w14:paraId="1FADA0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val="0"/>
              <w:snapToGrid w:val="0"/>
              <w:spacing w:beforeAutospacing="0" w:after="0" w:afterAutospacing="0" w:line="288" w:lineRule="auto"/>
              <w:ind w:left="0" w:leftChars="0" w:right="0" w:rightChars="0"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aps w:val="0"/>
                <w:color w:val="auto"/>
                <w:spacing w:val="0"/>
                <w:kern w:val="0"/>
                <w:sz w:val="20"/>
                <w:szCs w:val="20"/>
                <w:highlight w:val="none"/>
                <w:lang w:val="en-US" w:eastAsia="zh-CN" w:bidi="ar"/>
              </w:rPr>
              <w:t>全国公共资源交易平台（广东省·韶关市）https://ygp.gdzwfw.gov.cn/ggzy-portal/#/440200/index。</w:t>
            </w:r>
          </w:p>
        </w:tc>
      </w:tr>
      <w:tr w14:paraId="2A4F8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9" w:hRule="atLeast"/>
        </w:trPr>
        <w:tc>
          <w:tcPr>
            <w:tcW w:w="1903" w:type="dxa"/>
            <w:vMerge w:val="continue"/>
            <w:tcBorders>
              <w:top w:val="nil"/>
            </w:tcBorders>
            <w:vAlign w:val="center"/>
          </w:tcPr>
          <w:p w14:paraId="4438B64C">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tc>
        <w:tc>
          <w:tcPr>
            <w:tcW w:w="1979" w:type="dxa"/>
            <w:vMerge w:val="continue"/>
            <w:tcBorders>
              <w:top w:val="nil"/>
            </w:tcBorders>
            <w:vAlign w:val="top"/>
          </w:tcPr>
          <w:p w14:paraId="08295974">
            <w:pPr>
              <w:keepNext w:val="0"/>
              <w:keepLines w:val="0"/>
              <w:pageBreakBefore w:val="0"/>
              <w:widowControl/>
              <w:overflowPunct/>
              <w:bidi w:val="0"/>
              <w:adjustRightInd w:val="0"/>
              <w:snapToGrid w:val="0"/>
              <w:spacing w:line="288" w:lineRule="auto"/>
              <w:ind w:left="0" w:leftChars="0" w:right="0"/>
              <w:rPr>
                <w:rFonts w:hint="eastAsia" w:ascii="宋体" w:hAnsi="宋体" w:eastAsia="宋体" w:cs="宋体"/>
                <w:color w:val="auto"/>
                <w:sz w:val="20"/>
                <w:szCs w:val="20"/>
                <w:highlight w:val="none"/>
              </w:rPr>
            </w:pPr>
          </w:p>
        </w:tc>
        <w:tc>
          <w:tcPr>
            <w:tcW w:w="1663" w:type="dxa"/>
            <w:vMerge w:val="continue"/>
            <w:tcBorders>
              <w:top w:val="nil"/>
            </w:tcBorders>
            <w:vAlign w:val="center"/>
          </w:tcPr>
          <w:p w14:paraId="4646A821">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tc>
        <w:tc>
          <w:tcPr>
            <w:tcW w:w="1320" w:type="dxa"/>
            <w:vAlign w:val="center"/>
          </w:tcPr>
          <w:p w14:paraId="62FDD5CF">
            <w:pPr>
              <w:pStyle w:val="20"/>
              <w:keepNext w:val="0"/>
              <w:keepLines w:val="0"/>
              <w:pageBreakBefore w:val="0"/>
              <w:widowControl/>
              <w:overflowPunct/>
              <w:bidi w:val="0"/>
              <w:adjustRightInd w:val="0"/>
              <w:snapToGrid w:val="0"/>
              <w:spacing w:line="288" w:lineRule="auto"/>
              <w:ind w:left="0" w:leftChars="0" w:right="0" w:firstLine="4"/>
              <w:jc w:val="center"/>
              <w:rPr>
                <w:rFonts w:hint="eastAsia" w:ascii="宋体" w:hAnsi="宋体" w:eastAsia="宋体" w:cs="宋体"/>
                <w:color w:val="auto"/>
                <w:sz w:val="20"/>
                <w:szCs w:val="20"/>
                <w:highlight w:val="none"/>
              </w:rPr>
            </w:pPr>
            <w:r>
              <w:rPr>
                <w:rFonts w:hint="eastAsia" w:ascii="宋体" w:hAnsi="宋体" w:eastAsia="宋体" w:cs="宋体"/>
                <w:color w:val="auto"/>
                <w:spacing w:val="16"/>
                <w:sz w:val="20"/>
                <w:szCs w:val="20"/>
                <w:highlight w:val="none"/>
              </w:rPr>
              <w:t>获取招标文</w:t>
            </w:r>
            <w:r>
              <w:rPr>
                <w:rFonts w:hint="eastAsia" w:ascii="宋体" w:hAnsi="宋体" w:eastAsia="宋体" w:cs="宋体"/>
                <w:color w:val="auto"/>
                <w:spacing w:val="7"/>
                <w:sz w:val="20"/>
                <w:szCs w:val="20"/>
                <w:highlight w:val="none"/>
              </w:rPr>
              <w:t>件的方式</w:t>
            </w:r>
          </w:p>
        </w:tc>
        <w:tc>
          <w:tcPr>
            <w:tcW w:w="2907" w:type="dxa"/>
            <w:vAlign w:val="center"/>
          </w:tcPr>
          <w:p w14:paraId="0C1958A2">
            <w:pPr>
              <w:keepNext w:val="0"/>
              <w:keepLines w:val="0"/>
              <w:pageBreakBefore w:val="0"/>
              <w:widowControl/>
              <w:suppressLineNumbers w:val="0"/>
              <w:kinsoku/>
              <w:overflowPunct/>
              <w:autoSpaceDE/>
              <w:autoSpaceDN/>
              <w:bidi w:val="0"/>
              <w:adjustRightInd w:val="0"/>
              <w:snapToGrid w:val="0"/>
              <w:spacing w:line="288" w:lineRule="auto"/>
              <w:ind w:left="0" w:leftChars="0" w:right="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凡有意参加投标者，请于获取招标文件截止时间前，登录</w:t>
            </w:r>
            <w:r>
              <w:rPr>
                <w:rFonts w:hint="eastAsia" w:ascii="宋体" w:hAnsi="宋体" w:eastAsia="宋体" w:cs="宋体"/>
                <w:i w:val="0"/>
                <w:iCs w:val="0"/>
                <w:caps w:val="0"/>
                <w:color w:val="auto"/>
                <w:spacing w:val="0"/>
                <w:sz w:val="20"/>
                <w:szCs w:val="20"/>
                <w:highlight w:val="none"/>
              </w:rPr>
              <w:t>全国公共资源交易平台（广东省·韶关市）</w:t>
            </w:r>
            <w:r>
              <w:rPr>
                <w:rFonts w:hint="eastAsia" w:ascii="宋体" w:hAnsi="宋体" w:eastAsia="宋体" w:cs="宋体"/>
                <w:color w:val="auto"/>
                <w:sz w:val="20"/>
                <w:szCs w:val="20"/>
                <w:highlight w:val="none"/>
              </w:rPr>
              <w:t>网站，选择对应招标项目进行投标登记，并自行在网站中下载招标文件。</w:t>
            </w:r>
            <w:r>
              <w:rPr>
                <w:rFonts w:hint="eastAsia" w:ascii="宋体" w:hAnsi="宋体" w:eastAsia="宋体" w:cs="宋体"/>
                <w:color w:val="auto"/>
                <w:sz w:val="20"/>
                <w:szCs w:val="20"/>
                <w:highlight w:val="none"/>
                <w:u w:val="single"/>
              </w:rPr>
              <w:t>投标人参加多个标段投标的，应按所投标段分别进行投标登记，并按所投标段分别递交投标文件。</w:t>
            </w:r>
          </w:p>
        </w:tc>
      </w:tr>
      <w:tr w14:paraId="37F32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903" w:type="dxa"/>
            <w:vAlign w:val="center"/>
          </w:tcPr>
          <w:p w14:paraId="75FC4953">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获取招标文件开</w:t>
            </w:r>
            <w:r>
              <w:rPr>
                <w:rFonts w:hint="eastAsia" w:ascii="宋体" w:hAnsi="宋体" w:eastAsia="宋体" w:cs="宋体"/>
                <w:b/>
                <w:bCs/>
                <w:color w:val="auto"/>
                <w:spacing w:val="5"/>
                <w:sz w:val="20"/>
                <w:szCs w:val="20"/>
                <w:highlight w:val="none"/>
              </w:rPr>
              <w:t>始时间</w:t>
            </w:r>
          </w:p>
        </w:tc>
        <w:tc>
          <w:tcPr>
            <w:tcW w:w="1979" w:type="dxa"/>
            <w:vAlign w:val="center"/>
          </w:tcPr>
          <w:p w14:paraId="4EA2827C">
            <w:pPr>
              <w:keepNext w:val="0"/>
              <w:keepLines w:val="0"/>
              <w:pageBreakBefore w:val="0"/>
              <w:widowControl/>
              <w:kinsoku/>
              <w:wordWrap/>
              <w:overflowPunct/>
              <w:topLinePunct w:val="0"/>
              <w:autoSpaceDE/>
              <w:autoSpaceDN/>
              <w:bidi w:val="0"/>
              <w:adjustRightInd w:val="0"/>
              <w:snapToGrid w:val="0"/>
              <w:spacing w:line="288" w:lineRule="auto"/>
              <w:ind w:left="57" w:leftChars="0" w:right="0"/>
              <w:jc w:val="both"/>
              <w:textAlignment w:val="auto"/>
              <w:rPr>
                <w:rFonts w:hint="eastAsia" w:ascii="宋体" w:hAnsi="宋体" w:eastAsia="宋体" w:cs="宋体"/>
                <w:bCs/>
                <w:snapToGrid w:val="0"/>
                <w:color w:val="auto"/>
                <w:kern w:val="0"/>
                <w:sz w:val="20"/>
                <w:szCs w:val="20"/>
                <w:highlight w:val="none"/>
                <w:u w:val="none"/>
              </w:rPr>
            </w:pPr>
            <w:r>
              <w:rPr>
                <w:rFonts w:hint="eastAsia" w:ascii="宋体" w:hAnsi="宋体" w:eastAsia="宋体" w:cs="宋体"/>
                <w:bCs/>
                <w:snapToGrid w:val="0"/>
                <w:color w:val="auto"/>
                <w:kern w:val="0"/>
                <w:sz w:val="20"/>
                <w:szCs w:val="20"/>
                <w:highlight w:val="none"/>
                <w:u w:val="none"/>
                <w:lang w:val="en-US" w:eastAsia="zh-CN"/>
              </w:rPr>
              <w:t>2026</w:t>
            </w:r>
            <w:r>
              <w:rPr>
                <w:rFonts w:hint="eastAsia" w:ascii="宋体" w:hAnsi="宋体" w:eastAsia="宋体" w:cs="宋体"/>
                <w:bCs/>
                <w:snapToGrid w:val="0"/>
                <w:color w:val="auto"/>
                <w:kern w:val="0"/>
                <w:sz w:val="20"/>
                <w:szCs w:val="20"/>
                <w:highlight w:val="none"/>
                <w:u w:val="none"/>
              </w:rPr>
              <w:t>年</w:t>
            </w:r>
            <w:r>
              <w:rPr>
                <w:rFonts w:hint="eastAsia" w:hAnsi="宋体" w:cs="宋体"/>
                <w:bCs/>
                <w:snapToGrid w:val="0"/>
                <w:color w:val="auto"/>
                <w:kern w:val="0"/>
                <w:sz w:val="20"/>
                <w:szCs w:val="20"/>
                <w:highlight w:val="none"/>
                <w:u w:val="none"/>
                <w:lang w:val="en-US" w:eastAsia="zh-CN"/>
              </w:rPr>
              <w:t>10</w:t>
            </w:r>
            <w:r>
              <w:rPr>
                <w:rFonts w:hint="eastAsia" w:ascii="宋体" w:hAnsi="宋体" w:eastAsia="宋体" w:cs="宋体"/>
                <w:bCs/>
                <w:snapToGrid w:val="0"/>
                <w:color w:val="auto"/>
                <w:kern w:val="0"/>
                <w:sz w:val="20"/>
                <w:szCs w:val="20"/>
                <w:highlight w:val="none"/>
                <w:u w:val="none"/>
              </w:rPr>
              <w:t>月</w:t>
            </w:r>
            <w:r>
              <w:rPr>
                <w:rFonts w:hint="eastAsia" w:hAnsi="宋体" w:cs="宋体"/>
                <w:bCs/>
                <w:snapToGrid w:val="0"/>
                <w:color w:val="auto"/>
                <w:kern w:val="0"/>
                <w:sz w:val="20"/>
                <w:szCs w:val="20"/>
                <w:highlight w:val="none"/>
                <w:u w:val="none"/>
                <w:lang w:val="en-US" w:eastAsia="zh-CN"/>
              </w:rPr>
              <w:t>8</w:t>
            </w:r>
            <w:r>
              <w:rPr>
                <w:rFonts w:hint="eastAsia" w:ascii="宋体" w:hAnsi="宋体" w:eastAsia="宋体" w:cs="宋体"/>
                <w:bCs/>
                <w:snapToGrid w:val="0"/>
                <w:color w:val="auto"/>
                <w:kern w:val="0"/>
                <w:sz w:val="20"/>
                <w:szCs w:val="20"/>
                <w:highlight w:val="none"/>
                <w:u w:val="none"/>
              </w:rPr>
              <w:t>日</w:t>
            </w:r>
          </w:p>
          <w:p w14:paraId="730F0F37">
            <w:pPr>
              <w:keepNext w:val="0"/>
              <w:keepLines w:val="0"/>
              <w:pageBreakBefore w:val="0"/>
              <w:widowControl/>
              <w:kinsoku/>
              <w:wordWrap/>
              <w:overflowPunct/>
              <w:topLinePunct w:val="0"/>
              <w:autoSpaceDE/>
              <w:autoSpaceDN/>
              <w:bidi w:val="0"/>
              <w:adjustRightInd w:val="0"/>
              <w:snapToGrid w:val="0"/>
              <w:spacing w:line="288" w:lineRule="auto"/>
              <w:ind w:left="57" w:right="0"/>
              <w:jc w:val="both"/>
              <w:textAlignment w:val="auto"/>
              <w:rPr>
                <w:rFonts w:hint="eastAsia" w:ascii="宋体" w:hAnsi="宋体" w:eastAsia="宋体" w:cs="宋体"/>
                <w:color w:val="auto"/>
                <w:sz w:val="20"/>
                <w:szCs w:val="20"/>
                <w:highlight w:val="none"/>
              </w:rPr>
            </w:pPr>
            <w:r>
              <w:rPr>
                <w:rFonts w:hint="eastAsia" w:hAnsi="宋体" w:cs="宋体"/>
                <w:bCs/>
                <w:snapToGrid w:val="0"/>
                <w:color w:val="auto"/>
                <w:kern w:val="0"/>
                <w:sz w:val="20"/>
                <w:szCs w:val="20"/>
                <w:highlight w:val="none"/>
                <w:u w:val="none"/>
                <w:lang w:val="en-US" w:eastAsia="zh-CN"/>
              </w:rPr>
              <w:t>18</w:t>
            </w:r>
            <w:r>
              <w:rPr>
                <w:rFonts w:hint="eastAsia" w:ascii="宋体" w:hAnsi="宋体" w:eastAsia="宋体" w:cs="宋体"/>
                <w:bCs/>
                <w:snapToGrid w:val="0"/>
                <w:color w:val="auto"/>
                <w:kern w:val="0"/>
                <w:sz w:val="20"/>
                <w:szCs w:val="20"/>
                <w:highlight w:val="none"/>
                <w:u w:val="none"/>
              </w:rPr>
              <w:t>时</w:t>
            </w:r>
            <w:r>
              <w:rPr>
                <w:rFonts w:hint="eastAsia" w:hAnsi="宋体" w:cs="宋体"/>
                <w:bCs/>
                <w:snapToGrid w:val="0"/>
                <w:color w:val="auto"/>
                <w:kern w:val="0"/>
                <w:sz w:val="20"/>
                <w:szCs w:val="20"/>
                <w:highlight w:val="none"/>
                <w:u w:val="none"/>
                <w:lang w:val="en-US" w:eastAsia="zh-CN"/>
              </w:rPr>
              <w:t>00</w:t>
            </w:r>
            <w:r>
              <w:rPr>
                <w:rFonts w:hint="eastAsia" w:ascii="宋体" w:hAnsi="宋体" w:eastAsia="宋体" w:cs="宋体"/>
                <w:bCs/>
                <w:snapToGrid w:val="0"/>
                <w:color w:val="auto"/>
                <w:kern w:val="0"/>
                <w:sz w:val="20"/>
                <w:szCs w:val="20"/>
                <w:highlight w:val="none"/>
                <w:u w:val="none"/>
              </w:rPr>
              <w:t>分</w:t>
            </w:r>
          </w:p>
        </w:tc>
        <w:tc>
          <w:tcPr>
            <w:tcW w:w="1663" w:type="dxa"/>
            <w:vAlign w:val="center"/>
          </w:tcPr>
          <w:p w14:paraId="27303CA1">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获取招标文件截止时间</w:t>
            </w:r>
          </w:p>
        </w:tc>
        <w:tc>
          <w:tcPr>
            <w:tcW w:w="4227" w:type="dxa"/>
            <w:gridSpan w:val="2"/>
            <w:vAlign w:val="center"/>
          </w:tcPr>
          <w:p w14:paraId="4BB7FBB7">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bCs/>
                <w:snapToGrid w:val="0"/>
                <w:color w:val="auto"/>
                <w:kern w:val="0"/>
                <w:sz w:val="20"/>
                <w:szCs w:val="20"/>
                <w:highlight w:val="none"/>
                <w:u w:val="none"/>
                <w:lang w:val="en-US" w:eastAsia="zh-CN"/>
              </w:rPr>
              <w:t>2026</w:t>
            </w:r>
            <w:r>
              <w:rPr>
                <w:rFonts w:hint="eastAsia" w:ascii="宋体" w:hAnsi="宋体" w:eastAsia="宋体" w:cs="宋体"/>
                <w:bCs/>
                <w:snapToGrid w:val="0"/>
                <w:color w:val="auto"/>
                <w:kern w:val="0"/>
                <w:sz w:val="20"/>
                <w:szCs w:val="20"/>
                <w:highlight w:val="none"/>
                <w:u w:val="none"/>
              </w:rPr>
              <w:t>年</w:t>
            </w:r>
            <w:r>
              <w:rPr>
                <w:rFonts w:hint="eastAsia" w:cs="宋体"/>
                <w:bCs/>
                <w:snapToGrid w:val="0"/>
                <w:color w:val="auto"/>
                <w:kern w:val="0"/>
                <w:sz w:val="20"/>
                <w:szCs w:val="20"/>
                <w:highlight w:val="none"/>
                <w:u w:val="none"/>
                <w:lang w:val="en-US" w:eastAsia="zh-CN"/>
              </w:rPr>
              <w:t>10</w:t>
            </w:r>
            <w:r>
              <w:rPr>
                <w:rFonts w:hint="eastAsia" w:ascii="宋体" w:hAnsi="宋体" w:eastAsia="宋体" w:cs="宋体"/>
                <w:bCs/>
                <w:snapToGrid w:val="0"/>
                <w:color w:val="auto"/>
                <w:kern w:val="0"/>
                <w:sz w:val="20"/>
                <w:szCs w:val="20"/>
                <w:highlight w:val="none"/>
                <w:u w:val="none"/>
              </w:rPr>
              <w:t>月</w:t>
            </w:r>
            <w:r>
              <w:rPr>
                <w:rFonts w:hint="eastAsia" w:cs="宋体"/>
                <w:bCs/>
                <w:snapToGrid w:val="0"/>
                <w:color w:val="auto"/>
                <w:kern w:val="0"/>
                <w:sz w:val="20"/>
                <w:szCs w:val="20"/>
                <w:highlight w:val="none"/>
                <w:u w:val="none"/>
                <w:lang w:val="en-US" w:eastAsia="zh-CN"/>
              </w:rPr>
              <w:t>29</w:t>
            </w:r>
            <w:r>
              <w:rPr>
                <w:rFonts w:hint="eastAsia" w:ascii="宋体" w:hAnsi="宋体" w:eastAsia="宋体" w:cs="宋体"/>
                <w:bCs/>
                <w:snapToGrid w:val="0"/>
                <w:color w:val="auto"/>
                <w:kern w:val="0"/>
                <w:sz w:val="20"/>
                <w:szCs w:val="20"/>
                <w:highlight w:val="none"/>
                <w:u w:val="none"/>
              </w:rPr>
              <w:t>日</w:t>
            </w:r>
            <w:r>
              <w:rPr>
                <w:rFonts w:hint="eastAsia" w:cs="宋体"/>
                <w:bCs/>
                <w:snapToGrid w:val="0"/>
                <w:color w:val="auto"/>
                <w:kern w:val="0"/>
                <w:sz w:val="20"/>
                <w:szCs w:val="20"/>
                <w:highlight w:val="none"/>
                <w:u w:val="none"/>
                <w:lang w:val="en-US" w:eastAsia="zh-CN"/>
              </w:rPr>
              <w:t>9</w:t>
            </w:r>
            <w:r>
              <w:rPr>
                <w:rFonts w:hint="eastAsia" w:ascii="宋体" w:hAnsi="宋体" w:eastAsia="宋体" w:cs="宋体"/>
                <w:bCs/>
                <w:snapToGrid w:val="0"/>
                <w:color w:val="auto"/>
                <w:kern w:val="0"/>
                <w:sz w:val="20"/>
                <w:szCs w:val="20"/>
                <w:highlight w:val="none"/>
                <w:u w:val="none"/>
              </w:rPr>
              <w:t>时</w:t>
            </w:r>
            <w:r>
              <w:rPr>
                <w:rFonts w:hint="eastAsia" w:cs="宋体"/>
                <w:bCs/>
                <w:snapToGrid w:val="0"/>
                <w:color w:val="auto"/>
                <w:kern w:val="0"/>
                <w:sz w:val="20"/>
                <w:szCs w:val="20"/>
                <w:highlight w:val="none"/>
                <w:u w:val="none"/>
                <w:lang w:val="en-US" w:eastAsia="zh-CN"/>
              </w:rPr>
              <w:t>30</w:t>
            </w:r>
            <w:r>
              <w:rPr>
                <w:rFonts w:hint="eastAsia" w:ascii="宋体" w:hAnsi="宋体" w:eastAsia="宋体" w:cs="宋体"/>
                <w:bCs/>
                <w:snapToGrid w:val="0"/>
                <w:color w:val="auto"/>
                <w:kern w:val="0"/>
                <w:sz w:val="20"/>
                <w:szCs w:val="20"/>
                <w:highlight w:val="none"/>
                <w:u w:val="none"/>
              </w:rPr>
              <w:t>分</w:t>
            </w:r>
          </w:p>
        </w:tc>
      </w:tr>
      <w:tr w14:paraId="7F3EB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903" w:type="dxa"/>
            <w:tcBorders>
              <w:bottom w:val="single" w:color="auto" w:sz="4" w:space="0"/>
            </w:tcBorders>
            <w:vAlign w:val="center"/>
          </w:tcPr>
          <w:p w14:paraId="28897CE7">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递交投标文件截</w:t>
            </w:r>
            <w:bookmarkStart w:id="4" w:name="bookmark18"/>
            <w:bookmarkEnd w:id="4"/>
            <w:bookmarkStart w:id="5" w:name="bookmark19"/>
            <w:bookmarkEnd w:id="5"/>
            <w:r>
              <w:rPr>
                <w:rFonts w:hint="eastAsia" w:ascii="宋体" w:hAnsi="宋体" w:eastAsia="宋体" w:cs="宋体"/>
                <w:b/>
                <w:bCs/>
                <w:color w:val="auto"/>
                <w:spacing w:val="5"/>
                <w:sz w:val="20"/>
                <w:szCs w:val="20"/>
                <w:highlight w:val="none"/>
              </w:rPr>
              <w:t>止时间</w:t>
            </w:r>
          </w:p>
        </w:tc>
        <w:tc>
          <w:tcPr>
            <w:tcW w:w="1979" w:type="dxa"/>
            <w:tcBorders>
              <w:bottom w:val="single" w:color="auto" w:sz="4" w:space="0"/>
            </w:tcBorders>
            <w:vAlign w:val="center"/>
          </w:tcPr>
          <w:p w14:paraId="0D8C5FBC">
            <w:pPr>
              <w:keepNext w:val="0"/>
              <w:keepLines w:val="0"/>
              <w:pageBreakBefore w:val="0"/>
              <w:widowControl/>
              <w:kinsoku/>
              <w:wordWrap/>
              <w:overflowPunct/>
              <w:topLinePunct w:val="0"/>
              <w:autoSpaceDE/>
              <w:autoSpaceDN/>
              <w:bidi w:val="0"/>
              <w:adjustRightInd w:val="0"/>
              <w:snapToGrid w:val="0"/>
              <w:spacing w:line="288" w:lineRule="auto"/>
              <w:ind w:left="57" w:leftChars="0" w:right="0"/>
              <w:jc w:val="both"/>
              <w:textAlignment w:val="auto"/>
              <w:rPr>
                <w:rFonts w:hint="eastAsia" w:ascii="宋体" w:hAnsi="宋体" w:eastAsia="宋体" w:cs="宋体"/>
                <w:bCs/>
                <w:snapToGrid w:val="0"/>
                <w:color w:val="auto"/>
                <w:kern w:val="0"/>
                <w:sz w:val="20"/>
                <w:szCs w:val="20"/>
                <w:highlight w:val="none"/>
                <w:u w:val="none"/>
              </w:rPr>
            </w:pPr>
            <w:r>
              <w:rPr>
                <w:rFonts w:hint="eastAsia" w:ascii="宋体" w:hAnsi="宋体" w:eastAsia="宋体" w:cs="宋体"/>
                <w:bCs/>
                <w:snapToGrid w:val="0"/>
                <w:color w:val="auto"/>
                <w:kern w:val="0"/>
                <w:sz w:val="20"/>
                <w:szCs w:val="20"/>
                <w:highlight w:val="none"/>
                <w:u w:val="none"/>
                <w:lang w:val="en-US" w:eastAsia="zh-CN"/>
              </w:rPr>
              <w:t>2026</w:t>
            </w:r>
            <w:r>
              <w:rPr>
                <w:rFonts w:hint="eastAsia" w:ascii="宋体" w:hAnsi="宋体" w:eastAsia="宋体" w:cs="宋体"/>
                <w:bCs/>
                <w:snapToGrid w:val="0"/>
                <w:color w:val="auto"/>
                <w:kern w:val="0"/>
                <w:sz w:val="20"/>
                <w:szCs w:val="20"/>
                <w:highlight w:val="none"/>
                <w:u w:val="none"/>
              </w:rPr>
              <w:t>年</w:t>
            </w:r>
            <w:r>
              <w:rPr>
                <w:rFonts w:hint="eastAsia" w:hAnsi="宋体" w:cs="宋体"/>
                <w:bCs/>
                <w:snapToGrid w:val="0"/>
                <w:color w:val="auto"/>
                <w:kern w:val="0"/>
                <w:sz w:val="20"/>
                <w:szCs w:val="20"/>
                <w:highlight w:val="none"/>
                <w:u w:val="none"/>
                <w:lang w:val="en-US" w:eastAsia="zh-CN"/>
              </w:rPr>
              <w:t>10</w:t>
            </w:r>
            <w:r>
              <w:rPr>
                <w:rFonts w:hint="eastAsia" w:ascii="宋体" w:hAnsi="宋体" w:eastAsia="宋体" w:cs="宋体"/>
                <w:bCs/>
                <w:snapToGrid w:val="0"/>
                <w:color w:val="auto"/>
                <w:kern w:val="0"/>
                <w:sz w:val="20"/>
                <w:szCs w:val="20"/>
                <w:highlight w:val="none"/>
                <w:u w:val="none"/>
              </w:rPr>
              <w:t>月</w:t>
            </w:r>
            <w:r>
              <w:rPr>
                <w:rFonts w:hint="eastAsia" w:hAnsi="宋体" w:cs="宋体"/>
                <w:bCs/>
                <w:snapToGrid w:val="0"/>
                <w:color w:val="auto"/>
                <w:kern w:val="0"/>
                <w:sz w:val="20"/>
                <w:szCs w:val="20"/>
                <w:highlight w:val="none"/>
                <w:u w:val="none"/>
                <w:lang w:val="en-US" w:eastAsia="zh-CN"/>
              </w:rPr>
              <w:t>29</w:t>
            </w:r>
            <w:r>
              <w:rPr>
                <w:rFonts w:hint="eastAsia" w:ascii="宋体" w:hAnsi="宋体" w:eastAsia="宋体" w:cs="宋体"/>
                <w:bCs/>
                <w:snapToGrid w:val="0"/>
                <w:color w:val="auto"/>
                <w:kern w:val="0"/>
                <w:sz w:val="20"/>
                <w:szCs w:val="20"/>
                <w:highlight w:val="none"/>
                <w:u w:val="none"/>
              </w:rPr>
              <w:t>日</w:t>
            </w:r>
          </w:p>
          <w:p w14:paraId="3079077F">
            <w:pPr>
              <w:keepNext w:val="0"/>
              <w:keepLines w:val="0"/>
              <w:pageBreakBefore w:val="0"/>
              <w:widowControl/>
              <w:kinsoku/>
              <w:wordWrap/>
              <w:overflowPunct/>
              <w:topLinePunct w:val="0"/>
              <w:autoSpaceDE/>
              <w:autoSpaceDN/>
              <w:bidi w:val="0"/>
              <w:adjustRightInd w:val="0"/>
              <w:snapToGrid w:val="0"/>
              <w:spacing w:line="288" w:lineRule="auto"/>
              <w:ind w:left="57" w:right="0"/>
              <w:jc w:val="both"/>
              <w:textAlignment w:val="auto"/>
              <w:rPr>
                <w:rFonts w:hint="eastAsia" w:ascii="宋体" w:hAnsi="宋体" w:eastAsia="宋体" w:cs="宋体"/>
                <w:color w:val="auto"/>
                <w:sz w:val="20"/>
                <w:szCs w:val="20"/>
                <w:highlight w:val="none"/>
              </w:rPr>
            </w:pPr>
            <w:r>
              <w:rPr>
                <w:rFonts w:hint="eastAsia" w:hAnsi="宋体" w:cs="宋体"/>
                <w:bCs/>
                <w:snapToGrid w:val="0"/>
                <w:color w:val="auto"/>
                <w:kern w:val="0"/>
                <w:sz w:val="20"/>
                <w:szCs w:val="20"/>
                <w:highlight w:val="none"/>
                <w:u w:val="none"/>
                <w:lang w:val="en-US" w:eastAsia="zh-CN"/>
              </w:rPr>
              <w:t>9</w:t>
            </w:r>
            <w:r>
              <w:rPr>
                <w:rFonts w:hint="eastAsia" w:ascii="宋体" w:hAnsi="宋体" w:eastAsia="宋体" w:cs="宋体"/>
                <w:bCs/>
                <w:snapToGrid w:val="0"/>
                <w:color w:val="auto"/>
                <w:kern w:val="0"/>
                <w:sz w:val="20"/>
                <w:szCs w:val="20"/>
                <w:highlight w:val="none"/>
                <w:u w:val="none"/>
              </w:rPr>
              <w:t>时</w:t>
            </w:r>
            <w:r>
              <w:rPr>
                <w:rFonts w:hint="eastAsia" w:hAnsi="宋体" w:cs="宋体"/>
                <w:bCs/>
                <w:snapToGrid w:val="0"/>
                <w:color w:val="auto"/>
                <w:kern w:val="0"/>
                <w:sz w:val="20"/>
                <w:szCs w:val="20"/>
                <w:highlight w:val="none"/>
                <w:u w:val="none"/>
                <w:lang w:val="en-US" w:eastAsia="zh-CN"/>
              </w:rPr>
              <w:t>30</w:t>
            </w:r>
            <w:r>
              <w:rPr>
                <w:rFonts w:hint="eastAsia" w:ascii="宋体" w:hAnsi="宋体" w:eastAsia="宋体" w:cs="宋体"/>
                <w:bCs/>
                <w:snapToGrid w:val="0"/>
                <w:color w:val="auto"/>
                <w:kern w:val="0"/>
                <w:sz w:val="20"/>
                <w:szCs w:val="20"/>
                <w:highlight w:val="none"/>
                <w:u w:val="none"/>
              </w:rPr>
              <w:t>分</w:t>
            </w:r>
          </w:p>
        </w:tc>
        <w:tc>
          <w:tcPr>
            <w:tcW w:w="1663" w:type="dxa"/>
            <w:tcBorders>
              <w:bottom w:val="single" w:color="auto" w:sz="4" w:space="0"/>
            </w:tcBorders>
            <w:vAlign w:val="center"/>
          </w:tcPr>
          <w:p w14:paraId="7084928E">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投标文件递交</w:t>
            </w:r>
            <w:r>
              <w:rPr>
                <w:rFonts w:hint="eastAsia" w:ascii="宋体" w:hAnsi="宋体" w:eastAsia="宋体" w:cs="宋体"/>
                <w:b/>
                <w:bCs/>
                <w:color w:val="auto"/>
                <w:spacing w:val="3"/>
                <w:sz w:val="20"/>
                <w:szCs w:val="20"/>
                <w:highlight w:val="none"/>
              </w:rPr>
              <w:t>方式</w:t>
            </w:r>
          </w:p>
        </w:tc>
        <w:tc>
          <w:tcPr>
            <w:tcW w:w="4227" w:type="dxa"/>
            <w:gridSpan w:val="2"/>
            <w:vAlign w:val="top"/>
          </w:tcPr>
          <w:p w14:paraId="2E00FB77">
            <w:pPr>
              <w:pStyle w:val="20"/>
              <w:keepNext w:val="0"/>
              <w:keepLines w:val="0"/>
              <w:pageBreakBefore w:val="0"/>
              <w:widowControl/>
              <w:overflowPunct/>
              <w:bidi w:val="0"/>
              <w:adjustRightInd w:val="0"/>
              <w:snapToGrid w:val="0"/>
              <w:spacing w:line="288" w:lineRule="auto"/>
              <w:ind w:left="0" w:leftChars="0" w:right="0" w:firstLine="1"/>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投标人应在递交投标文件截止时间前，通过互联网使用 CA 数字证书登录“电子交易平台 ”，将加密的投标文件上传，并保存上传成功后系统自动生成的电子签收凭证，递交时间即为电子签收凭证时间。逾期未完成上传或未按规定加密的投标文件，招标人予以拒收。</w:t>
            </w:r>
          </w:p>
        </w:tc>
      </w:tr>
      <w:tr w14:paraId="1B9FC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3" w:hRule="atLeast"/>
        </w:trPr>
        <w:tc>
          <w:tcPr>
            <w:tcW w:w="1903" w:type="dxa"/>
            <w:tcBorders>
              <w:top w:val="single" w:color="auto" w:sz="4" w:space="0"/>
              <w:left w:val="single" w:color="auto" w:sz="4" w:space="0"/>
              <w:bottom w:val="single" w:color="auto" w:sz="4" w:space="0"/>
              <w:right w:val="single" w:color="auto" w:sz="4" w:space="0"/>
            </w:tcBorders>
            <w:vAlign w:val="center"/>
          </w:tcPr>
          <w:p w14:paraId="10421943">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开标时间</w:t>
            </w:r>
          </w:p>
        </w:tc>
        <w:tc>
          <w:tcPr>
            <w:tcW w:w="1979" w:type="dxa"/>
            <w:tcBorders>
              <w:top w:val="single" w:color="auto" w:sz="4" w:space="0"/>
              <w:left w:val="single" w:color="auto" w:sz="4" w:space="0"/>
              <w:bottom w:val="single" w:color="auto" w:sz="4" w:space="0"/>
              <w:right w:val="single" w:color="auto" w:sz="4" w:space="0"/>
            </w:tcBorders>
            <w:vAlign w:val="center"/>
          </w:tcPr>
          <w:p w14:paraId="6A599A65">
            <w:pPr>
              <w:keepNext w:val="0"/>
              <w:keepLines w:val="0"/>
              <w:pageBreakBefore w:val="0"/>
              <w:widowControl/>
              <w:kinsoku/>
              <w:wordWrap/>
              <w:overflowPunct/>
              <w:topLinePunct w:val="0"/>
              <w:autoSpaceDE/>
              <w:autoSpaceDN/>
              <w:bidi w:val="0"/>
              <w:adjustRightInd w:val="0"/>
              <w:snapToGrid w:val="0"/>
              <w:spacing w:line="288" w:lineRule="auto"/>
              <w:ind w:left="57" w:leftChars="0" w:right="0"/>
              <w:jc w:val="both"/>
              <w:textAlignment w:val="auto"/>
              <w:rPr>
                <w:rFonts w:hint="eastAsia" w:ascii="宋体" w:hAnsi="宋体" w:eastAsia="宋体" w:cs="宋体"/>
                <w:bCs/>
                <w:snapToGrid w:val="0"/>
                <w:color w:val="auto"/>
                <w:kern w:val="0"/>
                <w:sz w:val="20"/>
                <w:szCs w:val="20"/>
                <w:highlight w:val="none"/>
                <w:u w:val="none"/>
              </w:rPr>
            </w:pPr>
            <w:r>
              <w:rPr>
                <w:rFonts w:hint="eastAsia" w:ascii="宋体" w:hAnsi="宋体" w:eastAsia="宋体" w:cs="宋体"/>
                <w:bCs/>
                <w:snapToGrid w:val="0"/>
                <w:color w:val="auto"/>
                <w:kern w:val="0"/>
                <w:sz w:val="20"/>
                <w:szCs w:val="20"/>
                <w:highlight w:val="none"/>
                <w:u w:val="none"/>
                <w:lang w:val="en-US" w:eastAsia="zh-CN"/>
              </w:rPr>
              <w:t>2026</w:t>
            </w:r>
            <w:r>
              <w:rPr>
                <w:rFonts w:hint="eastAsia" w:ascii="宋体" w:hAnsi="宋体" w:eastAsia="宋体" w:cs="宋体"/>
                <w:bCs/>
                <w:snapToGrid w:val="0"/>
                <w:color w:val="auto"/>
                <w:kern w:val="0"/>
                <w:sz w:val="20"/>
                <w:szCs w:val="20"/>
                <w:highlight w:val="none"/>
                <w:u w:val="none"/>
              </w:rPr>
              <w:t>年</w:t>
            </w:r>
            <w:r>
              <w:rPr>
                <w:rFonts w:hint="eastAsia" w:hAnsi="宋体" w:cs="宋体"/>
                <w:bCs/>
                <w:snapToGrid w:val="0"/>
                <w:color w:val="auto"/>
                <w:kern w:val="0"/>
                <w:sz w:val="20"/>
                <w:szCs w:val="20"/>
                <w:highlight w:val="none"/>
                <w:u w:val="none"/>
                <w:lang w:val="en-US" w:eastAsia="zh-CN"/>
              </w:rPr>
              <w:t>10</w:t>
            </w:r>
            <w:r>
              <w:rPr>
                <w:rFonts w:hint="eastAsia" w:ascii="宋体" w:hAnsi="宋体" w:eastAsia="宋体" w:cs="宋体"/>
                <w:bCs/>
                <w:snapToGrid w:val="0"/>
                <w:color w:val="auto"/>
                <w:kern w:val="0"/>
                <w:sz w:val="20"/>
                <w:szCs w:val="20"/>
                <w:highlight w:val="none"/>
                <w:u w:val="none"/>
              </w:rPr>
              <w:t>月</w:t>
            </w:r>
            <w:r>
              <w:rPr>
                <w:rFonts w:hint="eastAsia" w:hAnsi="宋体" w:cs="宋体"/>
                <w:bCs/>
                <w:snapToGrid w:val="0"/>
                <w:color w:val="auto"/>
                <w:kern w:val="0"/>
                <w:sz w:val="20"/>
                <w:szCs w:val="20"/>
                <w:highlight w:val="none"/>
                <w:u w:val="none"/>
                <w:lang w:val="en-US" w:eastAsia="zh-CN"/>
              </w:rPr>
              <w:t>29</w:t>
            </w:r>
            <w:r>
              <w:rPr>
                <w:rFonts w:hint="eastAsia" w:ascii="宋体" w:hAnsi="宋体" w:eastAsia="宋体" w:cs="宋体"/>
                <w:bCs/>
                <w:snapToGrid w:val="0"/>
                <w:color w:val="auto"/>
                <w:kern w:val="0"/>
                <w:sz w:val="20"/>
                <w:szCs w:val="20"/>
                <w:highlight w:val="none"/>
                <w:u w:val="none"/>
              </w:rPr>
              <w:t>日</w:t>
            </w:r>
          </w:p>
          <w:p w14:paraId="61F95011">
            <w:pPr>
              <w:keepNext w:val="0"/>
              <w:keepLines w:val="0"/>
              <w:pageBreakBefore w:val="0"/>
              <w:widowControl/>
              <w:kinsoku/>
              <w:wordWrap/>
              <w:overflowPunct/>
              <w:topLinePunct w:val="0"/>
              <w:autoSpaceDE/>
              <w:autoSpaceDN/>
              <w:bidi w:val="0"/>
              <w:adjustRightInd w:val="0"/>
              <w:snapToGrid w:val="0"/>
              <w:spacing w:line="288" w:lineRule="auto"/>
              <w:ind w:left="57" w:right="0"/>
              <w:jc w:val="both"/>
              <w:textAlignment w:val="auto"/>
              <w:rPr>
                <w:rFonts w:hint="eastAsia" w:ascii="宋体" w:hAnsi="宋体" w:eastAsia="宋体" w:cs="宋体"/>
                <w:color w:val="auto"/>
                <w:sz w:val="20"/>
                <w:szCs w:val="20"/>
                <w:highlight w:val="none"/>
              </w:rPr>
            </w:pPr>
            <w:r>
              <w:rPr>
                <w:rFonts w:hint="eastAsia" w:hAnsi="宋体" w:cs="宋体"/>
                <w:bCs/>
                <w:snapToGrid w:val="0"/>
                <w:color w:val="auto"/>
                <w:kern w:val="0"/>
                <w:sz w:val="20"/>
                <w:szCs w:val="20"/>
                <w:highlight w:val="none"/>
                <w:u w:val="none"/>
                <w:lang w:val="en-US" w:eastAsia="zh-CN"/>
              </w:rPr>
              <w:t>9</w:t>
            </w:r>
            <w:r>
              <w:rPr>
                <w:rFonts w:hint="eastAsia" w:ascii="宋体" w:hAnsi="宋体" w:eastAsia="宋体" w:cs="宋体"/>
                <w:bCs/>
                <w:snapToGrid w:val="0"/>
                <w:color w:val="auto"/>
                <w:kern w:val="0"/>
                <w:sz w:val="20"/>
                <w:szCs w:val="20"/>
                <w:highlight w:val="none"/>
                <w:u w:val="none"/>
              </w:rPr>
              <w:t>时</w:t>
            </w:r>
            <w:r>
              <w:rPr>
                <w:rFonts w:hint="eastAsia" w:hAnsi="宋体" w:cs="宋体"/>
                <w:bCs/>
                <w:snapToGrid w:val="0"/>
                <w:color w:val="auto"/>
                <w:kern w:val="0"/>
                <w:sz w:val="20"/>
                <w:szCs w:val="20"/>
                <w:highlight w:val="none"/>
                <w:u w:val="none"/>
                <w:lang w:val="en-US" w:eastAsia="zh-CN"/>
              </w:rPr>
              <w:t>30</w:t>
            </w:r>
            <w:r>
              <w:rPr>
                <w:rFonts w:hint="eastAsia" w:ascii="宋体" w:hAnsi="宋体" w:eastAsia="宋体" w:cs="宋体"/>
                <w:bCs/>
                <w:snapToGrid w:val="0"/>
                <w:color w:val="auto"/>
                <w:kern w:val="0"/>
                <w:sz w:val="20"/>
                <w:szCs w:val="20"/>
                <w:highlight w:val="none"/>
                <w:u w:val="none"/>
              </w:rPr>
              <w:t>分</w:t>
            </w:r>
            <w:r>
              <w:rPr>
                <w:rFonts w:hint="eastAsia" w:ascii="宋体" w:hAnsi="宋体" w:eastAsia="宋体" w:cs="宋体"/>
                <w:i w:val="0"/>
                <w:color w:val="auto"/>
                <w:kern w:val="0"/>
                <w:sz w:val="20"/>
                <w:szCs w:val="20"/>
                <w:highlight w:val="none"/>
                <w:u w:val="none"/>
                <w:lang w:val="en-US" w:eastAsia="zh-CN" w:bidi="ar"/>
              </w:rPr>
              <w:t>（与投标截止时间为同一时间）</w:t>
            </w:r>
          </w:p>
        </w:tc>
        <w:tc>
          <w:tcPr>
            <w:tcW w:w="1663" w:type="dxa"/>
            <w:tcBorders>
              <w:top w:val="single" w:color="auto" w:sz="4" w:space="0"/>
              <w:left w:val="single" w:color="auto" w:sz="4" w:space="0"/>
              <w:bottom w:val="single" w:color="auto" w:sz="4" w:space="0"/>
              <w:right w:val="single" w:color="auto" w:sz="4" w:space="0"/>
            </w:tcBorders>
            <w:vAlign w:val="center"/>
          </w:tcPr>
          <w:p w14:paraId="795BC714">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开标地点</w:t>
            </w:r>
          </w:p>
        </w:tc>
        <w:tc>
          <w:tcPr>
            <w:tcW w:w="4227" w:type="dxa"/>
            <w:gridSpan w:val="2"/>
            <w:tcBorders>
              <w:left w:val="single" w:color="auto" w:sz="4" w:space="0"/>
            </w:tcBorders>
            <w:vAlign w:val="center"/>
          </w:tcPr>
          <w:p w14:paraId="3C959560">
            <w:pPr>
              <w:keepNext w:val="0"/>
              <w:keepLines w:val="0"/>
              <w:pageBreakBefore w:val="0"/>
              <w:widowControl/>
              <w:suppressLineNumbers w:val="0"/>
              <w:kinsoku/>
              <w:overflowPunct/>
              <w:autoSpaceDE/>
              <w:autoSpaceDN/>
              <w:bidi w:val="0"/>
              <w:adjustRightInd w:val="0"/>
              <w:snapToGrid w:val="0"/>
              <w:spacing w:line="288" w:lineRule="auto"/>
              <w:ind w:left="0" w:leftChars="0" w:right="0"/>
              <w:jc w:val="both"/>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sz w:val="20"/>
                <w:szCs w:val="20"/>
                <w:highlight w:val="none"/>
                <w:u w:val="none"/>
              </w:rPr>
              <w:t>开标场所：</w:t>
            </w:r>
            <w:r>
              <w:rPr>
                <w:rFonts w:hint="eastAsia" w:ascii="宋体" w:hAnsi="宋体" w:eastAsia="宋体" w:cs="宋体"/>
                <w:i w:val="0"/>
                <w:color w:val="auto"/>
                <w:sz w:val="20"/>
                <w:szCs w:val="20"/>
                <w:highlight w:val="none"/>
                <w:u w:val="none"/>
                <w:lang w:val="en-US" w:eastAsia="zh-CN"/>
              </w:rPr>
              <w:t>韶关市公共资源交易中心</w:t>
            </w:r>
          </w:p>
          <w:p w14:paraId="072ECE85">
            <w:pPr>
              <w:keepNext w:val="0"/>
              <w:keepLines w:val="0"/>
              <w:pageBreakBefore w:val="0"/>
              <w:widowControl/>
              <w:overflowPunct/>
              <w:bidi w:val="0"/>
              <w:adjustRightInd w:val="0"/>
              <w:snapToGrid w:val="0"/>
              <w:spacing w:line="288" w:lineRule="auto"/>
              <w:ind w:left="0" w:leftChars="0" w:right="0"/>
              <w:jc w:val="both"/>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rPr>
              <w:t>地址：</w:t>
            </w:r>
            <w:r>
              <w:rPr>
                <w:rFonts w:hint="eastAsia" w:ascii="宋体" w:hAnsi="宋体" w:eastAsia="宋体" w:cs="宋体"/>
                <w:i w:val="0"/>
                <w:color w:val="auto"/>
                <w:sz w:val="20"/>
                <w:szCs w:val="20"/>
                <w:highlight w:val="none"/>
                <w:u w:val="none"/>
                <w:lang w:val="en-US" w:eastAsia="zh-CN"/>
              </w:rPr>
              <w:t>始兴县永安大道中79号行</w:t>
            </w:r>
            <w:bookmarkStart w:id="354" w:name="_GoBack"/>
            <w:bookmarkEnd w:id="354"/>
            <w:r>
              <w:rPr>
                <w:rFonts w:hint="eastAsia" w:ascii="宋体" w:hAnsi="宋体" w:eastAsia="宋体" w:cs="宋体"/>
                <w:i w:val="0"/>
                <w:color w:val="auto"/>
                <w:sz w:val="20"/>
                <w:szCs w:val="20"/>
                <w:highlight w:val="none"/>
                <w:u w:val="none"/>
                <w:lang w:val="en-US" w:eastAsia="zh-CN"/>
              </w:rPr>
              <w:t>政服务大楼四楼韶关市公共资源交易中心始兴分中心</w:t>
            </w:r>
            <w:r>
              <w:rPr>
                <w:rFonts w:hint="eastAsia" w:ascii="宋体" w:hAnsi="宋体" w:eastAsia="宋体" w:cs="宋体"/>
                <w:i w:val="0"/>
                <w:color w:val="auto"/>
                <w:sz w:val="20"/>
                <w:szCs w:val="20"/>
                <w:highlight w:val="none"/>
                <w:u w:val="none"/>
              </w:rPr>
              <w:t>，具体开标室以当日现场通知为准</w:t>
            </w:r>
          </w:p>
        </w:tc>
      </w:tr>
      <w:tr w14:paraId="63951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03" w:type="dxa"/>
            <w:vAlign w:val="center"/>
          </w:tcPr>
          <w:p w14:paraId="1062DA6C">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发布公告媒介</w:t>
            </w:r>
          </w:p>
        </w:tc>
        <w:tc>
          <w:tcPr>
            <w:tcW w:w="7869" w:type="dxa"/>
            <w:gridSpan w:val="4"/>
            <w:vAlign w:val="center"/>
          </w:tcPr>
          <w:p w14:paraId="7B7D0069">
            <w:pPr>
              <w:pStyle w:val="20"/>
              <w:keepNext w:val="0"/>
              <w:keepLines w:val="0"/>
              <w:pageBreakBefore w:val="0"/>
              <w:widowControl/>
              <w:kinsoku/>
              <w:wordWrap/>
              <w:overflowPunct/>
              <w:topLinePunct w:val="0"/>
              <w:autoSpaceDE/>
              <w:autoSpaceDN/>
              <w:bidi w:val="0"/>
              <w:adjustRightInd w:val="0"/>
              <w:snapToGrid w:val="0"/>
              <w:spacing w:line="288" w:lineRule="auto"/>
              <w:ind w:left="23" w:leftChars="0" w:right="0" w:hanging="23"/>
              <w:jc w:val="both"/>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广东省招标投标监管网、全国公共资源交易平台（广东省·韶关市），如公告详细内容不一致者，以广东省招标投标监管网公告为准。</w:t>
            </w:r>
          </w:p>
        </w:tc>
      </w:tr>
      <w:tr w14:paraId="1BF94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03" w:type="dxa"/>
            <w:vAlign w:val="center"/>
          </w:tcPr>
          <w:p w14:paraId="42D4D8F1">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5"/>
                <w:sz w:val="20"/>
                <w:szCs w:val="20"/>
                <w:highlight w:val="none"/>
              </w:rPr>
              <w:t>招标人</w:t>
            </w:r>
          </w:p>
        </w:tc>
        <w:tc>
          <w:tcPr>
            <w:tcW w:w="1979" w:type="dxa"/>
            <w:vAlign w:val="center"/>
          </w:tcPr>
          <w:p w14:paraId="5E07D8F6">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始兴县地方公路事务中心</w:t>
            </w:r>
          </w:p>
        </w:tc>
        <w:tc>
          <w:tcPr>
            <w:tcW w:w="1663" w:type="dxa"/>
            <w:vAlign w:val="center"/>
          </w:tcPr>
          <w:p w14:paraId="4D69159D">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color w:val="auto"/>
                <w:kern w:val="0"/>
                <w:sz w:val="20"/>
                <w:szCs w:val="20"/>
                <w:highlight w:val="none"/>
                <w:u w:val="none"/>
                <w:lang w:val="en-US" w:eastAsia="zh-CN" w:bidi="ar"/>
              </w:rPr>
              <w:t>联系地址</w:t>
            </w:r>
          </w:p>
        </w:tc>
        <w:tc>
          <w:tcPr>
            <w:tcW w:w="4227" w:type="dxa"/>
            <w:gridSpan w:val="2"/>
            <w:vAlign w:val="center"/>
          </w:tcPr>
          <w:p w14:paraId="6F77C8E7">
            <w:pPr>
              <w:keepNext w:val="0"/>
              <w:keepLines w:val="0"/>
              <w:pageBreakBefore w:val="0"/>
              <w:widowControl/>
              <w:kinsoku/>
              <w:overflowPunct/>
              <w:autoSpaceDE/>
              <w:autoSpaceDN/>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始兴县太平镇北门路420号</w:t>
            </w:r>
          </w:p>
        </w:tc>
      </w:tr>
      <w:tr w14:paraId="034D8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903" w:type="dxa"/>
            <w:vAlign w:val="center"/>
          </w:tcPr>
          <w:p w14:paraId="313D7609">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招标人联系人</w:t>
            </w:r>
          </w:p>
        </w:tc>
        <w:tc>
          <w:tcPr>
            <w:tcW w:w="1979" w:type="dxa"/>
            <w:vAlign w:val="center"/>
          </w:tcPr>
          <w:p w14:paraId="42CA64D3">
            <w:pPr>
              <w:keepNext w:val="0"/>
              <w:keepLines w:val="0"/>
              <w:pageBreakBefore w:val="0"/>
              <w:widowControl/>
              <w:kinsoku/>
              <w:overflowPunct/>
              <w:autoSpaceDE/>
              <w:autoSpaceDN/>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刘工</w:t>
            </w:r>
          </w:p>
        </w:tc>
        <w:tc>
          <w:tcPr>
            <w:tcW w:w="1663" w:type="dxa"/>
            <w:vAlign w:val="center"/>
          </w:tcPr>
          <w:p w14:paraId="1E739E17">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227" w:type="dxa"/>
            <w:gridSpan w:val="2"/>
            <w:vAlign w:val="center"/>
          </w:tcPr>
          <w:p w14:paraId="285216EC">
            <w:pPr>
              <w:keepNext w:val="0"/>
              <w:keepLines w:val="0"/>
              <w:pageBreakBefore w:val="0"/>
              <w:widowControl/>
              <w:kinsoku/>
              <w:overflowPunct/>
              <w:autoSpaceDE/>
              <w:autoSpaceDN/>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i w:val="0"/>
                <w:color w:val="auto"/>
                <w:sz w:val="20"/>
                <w:szCs w:val="20"/>
                <w:highlight w:val="none"/>
                <w:u w:val="none"/>
                <w:lang w:eastAsia="zh-CN"/>
              </w:rPr>
              <w:t>0751-6927330</w:t>
            </w:r>
          </w:p>
        </w:tc>
      </w:tr>
      <w:tr w14:paraId="42414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903" w:type="dxa"/>
            <w:vAlign w:val="center"/>
          </w:tcPr>
          <w:p w14:paraId="01707A1B">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招标代理机构</w:t>
            </w:r>
          </w:p>
        </w:tc>
        <w:tc>
          <w:tcPr>
            <w:tcW w:w="1979" w:type="dxa"/>
            <w:vAlign w:val="center"/>
          </w:tcPr>
          <w:p w14:paraId="6C916B90">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广东粤韶招投标代理有限公司</w:t>
            </w:r>
          </w:p>
        </w:tc>
        <w:tc>
          <w:tcPr>
            <w:tcW w:w="1663" w:type="dxa"/>
            <w:vAlign w:val="center"/>
          </w:tcPr>
          <w:p w14:paraId="15D59DB5">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联系地址</w:t>
            </w:r>
          </w:p>
        </w:tc>
        <w:tc>
          <w:tcPr>
            <w:tcW w:w="4227" w:type="dxa"/>
            <w:gridSpan w:val="2"/>
            <w:vAlign w:val="center"/>
          </w:tcPr>
          <w:p w14:paraId="322BB8A6">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eastAsia="zh-CN"/>
              </w:rPr>
              <w:t>韶关市武江区惠民街道姐妹岭</w:t>
            </w:r>
            <w:r>
              <w:rPr>
                <w:rFonts w:hint="eastAsia" w:ascii="宋体" w:hAnsi="宋体" w:eastAsia="宋体" w:cs="宋体"/>
                <w:color w:val="auto"/>
                <w:sz w:val="20"/>
                <w:szCs w:val="20"/>
                <w:highlight w:val="none"/>
                <w:lang w:val="en-US" w:eastAsia="zh-CN"/>
              </w:rPr>
              <w:t>23号</w:t>
            </w:r>
          </w:p>
        </w:tc>
      </w:tr>
      <w:tr w14:paraId="391B3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903" w:type="dxa"/>
            <w:vAlign w:val="center"/>
          </w:tcPr>
          <w:p w14:paraId="0578C7FD">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招标代理联系人</w:t>
            </w:r>
          </w:p>
        </w:tc>
        <w:tc>
          <w:tcPr>
            <w:tcW w:w="1979" w:type="dxa"/>
            <w:vAlign w:val="center"/>
          </w:tcPr>
          <w:p w14:paraId="164F9348">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宋亮</w:t>
            </w:r>
          </w:p>
        </w:tc>
        <w:tc>
          <w:tcPr>
            <w:tcW w:w="1663" w:type="dxa"/>
            <w:vAlign w:val="center"/>
          </w:tcPr>
          <w:p w14:paraId="281DD843">
            <w:pPr>
              <w:pStyle w:val="20"/>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联系电话</w:t>
            </w:r>
          </w:p>
        </w:tc>
        <w:tc>
          <w:tcPr>
            <w:tcW w:w="4227" w:type="dxa"/>
            <w:gridSpan w:val="2"/>
            <w:vAlign w:val="center"/>
          </w:tcPr>
          <w:p w14:paraId="2A297B4A">
            <w:pPr>
              <w:keepNext w:val="0"/>
              <w:keepLines w:val="0"/>
              <w:pageBreakBefore w:val="0"/>
              <w:widowControl/>
              <w:overflowPunct/>
              <w:bidi w:val="0"/>
              <w:adjustRightInd w:val="0"/>
              <w:snapToGrid w:val="0"/>
              <w:spacing w:line="288" w:lineRule="auto"/>
              <w:ind w:left="0" w:leftChars="0" w:right="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13420552672</w:t>
            </w:r>
          </w:p>
        </w:tc>
      </w:tr>
      <w:tr w14:paraId="5E705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903" w:type="dxa"/>
            <w:vAlign w:val="center"/>
          </w:tcPr>
          <w:p w14:paraId="7C65A59F">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6"/>
                <w:sz w:val="20"/>
                <w:szCs w:val="20"/>
                <w:highlight w:val="none"/>
              </w:rPr>
              <w:t>招标监督机构</w:t>
            </w:r>
          </w:p>
        </w:tc>
        <w:tc>
          <w:tcPr>
            <w:tcW w:w="1979" w:type="dxa"/>
            <w:vAlign w:val="center"/>
          </w:tcPr>
          <w:p w14:paraId="2862916A">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韶关市交通运输局</w:t>
            </w:r>
          </w:p>
        </w:tc>
        <w:tc>
          <w:tcPr>
            <w:tcW w:w="1663" w:type="dxa"/>
            <w:vAlign w:val="center"/>
          </w:tcPr>
          <w:p w14:paraId="5B74C412">
            <w:pPr>
              <w:keepNext w:val="0"/>
              <w:keepLines w:val="0"/>
              <w:pageBreakBefore w:val="0"/>
              <w:widowControl/>
              <w:suppressLineNumbers w:val="0"/>
              <w:kinsoku/>
              <w:overflowPunct/>
              <w:autoSpaceDE/>
              <w:autoSpaceDN/>
              <w:bidi w:val="0"/>
              <w:adjustRightInd w:val="0"/>
              <w:snapToGrid w:val="0"/>
              <w:spacing w:line="288" w:lineRule="auto"/>
              <w:ind w:left="0" w:leftChars="0" w:right="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227" w:type="dxa"/>
            <w:gridSpan w:val="2"/>
            <w:vAlign w:val="center"/>
          </w:tcPr>
          <w:p w14:paraId="67488C41">
            <w:pPr>
              <w:keepNext w:val="0"/>
              <w:keepLines w:val="0"/>
              <w:pageBreakBefore w:val="0"/>
              <w:widowControl/>
              <w:kinsoku/>
              <w:overflowPunct/>
              <w:autoSpaceDE/>
              <w:autoSpaceDN/>
              <w:bidi w:val="0"/>
              <w:adjustRightInd w:val="0"/>
              <w:snapToGrid w:val="0"/>
              <w:spacing w:line="288" w:lineRule="auto"/>
              <w:ind w:left="0" w:leftChars="0" w:right="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0751-8877330</w:t>
            </w:r>
          </w:p>
        </w:tc>
      </w:tr>
      <w:tr w14:paraId="6E199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903" w:type="dxa"/>
            <w:vAlign w:val="center"/>
          </w:tcPr>
          <w:p w14:paraId="0FA3E15F">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05260209">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3BA52E17">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52BE4B46">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4C9EF439">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36B6CE80">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079A5E67">
            <w:pPr>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p>
          <w:p w14:paraId="6A371D42">
            <w:pPr>
              <w:pStyle w:val="20"/>
              <w:keepNext w:val="0"/>
              <w:keepLines w:val="0"/>
              <w:pageBreakBefore w:val="0"/>
              <w:widowControl/>
              <w:kinsoku w:val="0"/>
              <w:wordWrap/>
              <w:overflowPunct/>
              <w:topLinePunct w:val="0"/>
              <w:bidi w:val="0"/>
              <w:adjustRightInd w:val="0"/>
              <w:snapToGrid w:val="0"/>
              <w:spacing w:line="288" w:lineRule="auto"/>
              <w:ind w:left="0" w:leftChars="0" w:right="0" w:firstLine="0"/>
              <w:jc w:val="center"/>
              <w:textAlignment w:val="baseline"/>
              <w:rPr>
                <w:rFonts w:hint="eastAsia" w:ascii="宋体" w:hAnsi="宋体" w:eastAsia="宋体" w:cs="宋体"/>
                <w:color w:val="auto"/>
                <w:sz w:val="20"/>
                <w:szCs w:val="20"/>
                <w:highlight w:val="none"/>
              </w:rPr>
            </w:pPr>
            <w:r>
              <w:rPr>
                <w:rFonts w:hint="eastAsia" w:ascii="宋体" w:hAnsi="宋体" w:eastAsia="宋体" w:cs="宋体"/>
                <w:b/>
                <w:bCs/>
                <w:color w:val="auto"/>
                <w:spacing w:val="7"/>
                <w:sz w:val="20"/>
                <w:szCs w:val="20"/>
                <w:highlight w:val="none"/>
              </w:rPr>
              <w:t>其他依法应当载</w:t>
            </w:r>
            <w:r>
              <w:rPr>
                <w:rFonts w:hint="eastAsia" w:ascii="宋体" w:hAnsi="宋体" w:eastAsia="宋体" w:cs="宋体"/>
                <w:b/>
                <w:bCs/>
                <w:color w:val="auto"/>
                <w:spacing w:val="1"/>
                <w:sz w:val="20"/>
                <w:szCs w:val="20"/>
                <w:highlight w:val="none"/>
              </w:rPr>
              <w:t>明的内容</w:t>
            </w:r>
          </w:p>
        </w:tc>
        <w:tc>
          <w:tcPr>
            <w:tcW w:w="7869" w:type="dxa"/>
            <w:gridSpan w:val="4"/>
            <w:vAlign w:val="top"/>
          </w:tcPr>
          <w:p w14:paraId="67E7C1C8">
            <w:pPr>
              <w:pStyle w:val="20"/>
              <w:keepNext w:val="0"/>
              <w:keepLines w:val="0"/>
              <w:pageBreakBefore w:val="0"/>
              <w:widowControl/>
              <w:overflowPunct/>
              <w:bidi w:val="0"/>
              <w:adjustRightInd w:val="0"/>
              <w:snapToGrid w:val="0"/>
              <w:spacing w:line="288" w:lineRule="auto"/>
              <w:ind w:left="0" w:leftChars="0" w:right="0" w:firstLine="12"/>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1.本招标项目</w:t>
            </w:r>
            <w:r>
              <w:rPr>
                <w:rFonts w:hint="eastAsia" w:ascii="宋体" w:hAnsi="宋体" w:eastAsia="宋体" w:cs="宋体"/>
                <w:i w:val="0"/>
                <w:color w:val="auto"/>
                <w:sz w:val="20"/>
                <w:szCs w:val="20"/>
                <w:highlight w:val="none"/>
                <w:u w:val="single"/>
                <w:lang w:eastAsia="zh-CN"/>
              </w:rPr>
              <w:t>国道G535线始兴下窖（江西交界）至顿岗段改建工程施工监理</w:t>
            </w:r>
            <w:r>
              <w:rPr>
                <w:rFonts w:hint="eastAsia" w:ascii="宋体" w:hAnsi="宋体" w:eastAsia="宋体" w:cs="宋体"/>
                <w:color w:val="auto"/>
                <w:spacing w:val="-53"/>
                <w:sz w:val="20"/>
                <w:szCs w:val="20"/>
                <w:highlight w:val="none"/>
                <w:u w:val="single" w:color="auto"/>
              </w:rPr>
              <w:t xml:space="preserve"> </w:t>
            </w:r>
            <w:r>
              <w:rPr>
                <w:rFonts w:hint="eastAsia" w:ascii="宋体" w:hAnsi="宋体" w:eastAsia="宋体" w:cs="宋体"/>
                <w:color w:val="auto"/>
                <w:spacing w:val="9"/>
                <w:sz w:val="20"/>
                <w:szCs w:val="20"/>
                <w:highlight w:val="none"/>
              </w:rPr>
              <w:t>已由</w:t>
            </w:r>
            <w:r>
              <w:rPr>
                <w:rFonts w:hint="eastAsia" w:ascii="宋体" w:hAnsi="宋体" w:eastAsia="宋体" w:cs="宋体"/>
                <w:color w:val="auto"/>
                <w:spacing w:val="4"/>
                <w:sz w:val="20"/>
                <w:szCs w:val="20"/>
                <w:highlight w:val="none"/>
                <w:u w:val="single" w:color="auto"/>
              </w:rPr>
              <w:t>广东省发展和改革委员会</w:t>
            </w:r>
            <w:r>
              <w:rPr>
                <w:rFonts w:hint="eastAsia" w:ascii="宋体" w:hAnsi="宋体" w:eastAsia="宋体" w:cs="宋体"/>
                <w:snapToGrid/>
                <w:color w:val="auto"/>
                <w:spacing w:val="9"/>
                <w:kern w:val="2"/>
                <w:sz w:val="20"/>
                <w:szCs w:val="20"/>
                <w:highlight w:val="none"/>
                <w:lang w:eastAsia="zh-CN"/>
              </w:rPr>
              <w:t>以</w:t>
            </w:r>
            <w:r>
              <w:rPr>
                <w:rFonts w:hint="eastAsia" w:ascii="宋体" w:hAnsi="宋体" w:eastAsia="宋体" w:cs="宋体"/>
                <w:snapToGrid/>
                <w:color w:val="auto"/>
                <w:spacing w:val="9"/>
                <w:kern w:val="2"/>
                <w:sz w:val="20"/>
                <w:szCs w:val="20"/>
                <w:highlight w:val="none"/>
                <w:u w:val="single"/>
                <w:vertAlign w:val="baseline"/>
                <w:lang w:val="en-US" w:eastAsia="zh-CN"/>
              </w:rPr>
              <w:t>广东省</w:t>
            </w:r>
            <w:r>
              <w:rPr>
                <w:rFonts w:hint="eastAsia" w:ascii="宋体" w:hAnsi="宋体" w:eastAsia="宋体" w:cs="宋体"/>
                <w:color w:val="auto"/>
                <w:spacing w:val="4"/>
                <w:sz w:val="20"/>
                <w:szCs w:val="20"/>
                <w:highlight w:val="none"/>
                <w:u w:val="single" w:color="auto"/>
              </w:rPr>
              <w:t>发展改革委</w:t>
            </w:r>
            <w:r>
              <w:rPr>
                <w:rFonts w:hint="eastAsia" w:ascii="宋体" w:hAnsi="宋体" w:eastAsia="宋体" w:cs="宋体"/>
                <w:color w:val="auto"/>
                <w:spacing w:val="4"/>
                <w:sz w:val="20"/>
                <w:szCs w:val="20"/>
                <w:highlight w:val="none"/>
                <w:u w:val="single" w:color="auto"/>
                <w:lang w:eastAsia="zh-CN"/>
              </w:rPr>
              <w:t>关于</w:t>
            </w:r>
            <w:r>
              <w:rPr>
                <w:rFonts w:hint="eastAsia" w:ascii="宋体" w:hAnsi="宋体" w:eastAsia="宋体" w:cs="宋体"/>
                <w:color w:val="auto"/>
                <w:spacing w:val="4"/>
                <w:sz w:val="20"/>
                <w:szCs w:val="20"/>
                <w:highlight w:val="none"/>
                <w:u w:val="single"/>
                <w:lang w:eastAsia="zh-CN"/>
              </w:rPr>
              <w:t>国道G535线始兴下窖（江西交界）至顿岗段改建工程</w:t>
            </w:r>
            <w:r>
              <w:rPr>
                <w:rFonts w:hint="eastAsia" w:ascii="宋体" w:hAnsi="宋体" w:eastAsia="宋体" w:cs="宋体"/>
                <w:snapToGrid/>
                <w:color w:val="auto"/>
                <w:spacing w:val="9"/>
                <w:kern w:val="2"/>
                <w:sz w:val="20"/>
                <w:szCs w:val="20"/>
                <w:highlight w:val="none"/>
                <w:u w:val="single"/>
                <w:vertAlign w:val="baseline"/>
                <w:lang w:val="en-US" w:eastAsia="zh-CN"/>
              </w:rPr>
              <w:t>可行性研究报告</w:t>
            </w:r>
            <w:r>
              <w:rPr>
                <w:rFonts w:hint="eastAsia" w:ascii="宋体" w:hAnsi="宋体" w:eastAsia="宋体" w:cs="宋体"/>
                <w:snapToGrid/>
                <w:color w:val="auto"/>
                <w:kern w:val="2"/>
                <w:sz w:val="20"/>
                <w:szCs w:val="20"/>
                <w:highlight w:val="none"/>
                <w:u w:val="single"/>
                <w:lang w:val="en-US" w:eastAsia="zh-CN"/>
              </w:rPr>
              <w:t>的批复（粤发改投审〔2024〕150号）</w:t>
            </w:r>
            <w:r>
              <w:rPr>
                <w:rFonts w:hint="eastAsia" w:ascii="宋体" w:hAnsi="宋体" w:eastAsia="宋体" w:cs="宋体"/>
                <w:color w:val="auto"/>
                <w:spacing w:val="7"/>
                <w:sz w:val="20"/>
                <w:szCs w:val="20"/>
                <w:highlight w:val="none"/>
              </w:rPr>
              <w:t>批准建设，初步设计已由</w:t>
            </w:r>
            <w:r>
              <w:rPr>
                <w:rFonts w:hint="eastAsia" w:ascii="宋体" w:hAnsi="宋体" w:eastAsia="宋体" w:cs="宋体"/>
                <w:color w:val="auto"/>
                <w:spacing w:val="7"/>
                <w:sz w:val="20"/>
                <w:szCs w:val="20"/>
                <w:highlight w:val="none"/>
                <w:u w:val="single"/>
              </w:rPr>
              <w:t>广东省交通运输厅</w:t>
            </w:r>
            <w:r>
              <w:rPr>
                <w:rFonts w:hint="eastAsia" w:ascii="宋体" w:hAnsi="宋体" w:eastAsia="宋体" w:cs="宋体"/>
                <w:color w:val="auto"/>
                <w:spacing w:val="12"/>
                <w:sz w:val="20"/>
                <w:szCs w:val="20"/>
                <w:highlight w:val="none"/>
              </w:rPr>
              <w:t>以</w:t>
            </w:r>
            <w:r>
              <w:rPr>
                <w:rFonts w:hint="eastAsia" w:ascii="宋体" w:hAnsi="宋体" w:eastAsia="宋体" w:cs="宋体"/>
                <w:color w:val="auto"/>
                <w:spacing w:val="-92"/>
                <w:sz w:val="20"/>
                <w:szCs w:val="20"/>
                <w:highlight w:val="none"/>
              </w:rPr>
              <w:t xml:space="preserve"> </w:t>
            </w:r>
            <w:r>
              <w:rPr>
                <w:rFonts w:hint="eastAsia" w:ascii="宋体" w:hAnsi="宋体" w:eastAsia="宋体" w:cs="宋体"/>
                <w:color w:val="auto"/>
                <w:spacing w:val="12"/>
                <w:sz w:val="20"/>
                <w:szCs w:val="20"/>
                <w:highlight w:val="none"/>
                <w:u w:val="single"/>
              </w:rPr>
              <w:t>广东省交通运输厅关于国道G535线始兴下窖（江西交界）至顿岗段改建工程初步设计的批复</w:t>
            </w:r>
            <w:r>
              <w:rPr>
                <w:rFonts w:hint="eastAsia" w:cs="宋体"/>
                <w:color w:val="auto"/>
                <w:spacing w:val="12"/>
                <w:sz w:val="20"/>
                <w:szCs w:val="20"/>
                <w:highlight w:val="none"/>
                <w:u w:val="single"/>
                <w:lang w:eastAsia="zh-CN"/>
              </w:rPr>
              <w:t>（</w:t>
            </w:r>
            <w:r>
              <w:rPr>
                <w:rFonts w:hint="eastAsia" w:ascii="宋体" w:hAnsi="宋体" w:eastAsia="宋体" w:cs="宋体"/>
                <w:color w:val="auto"/>
                <w:spacing w:val="12"/>
                <w:sz w:val="20"/>
                <w:szCs w:val="20"/>
                <w:highlight w:val="none"/>
                <w:u w:val="single"/>
              </w:rPr>
              <w:t>粤交基〔2026〕338号</w:t>
            </w:r>
            <w:r>
              <w:rPr>
                <w:rFonts w:hint="eastAsia" w:cs="宋体"/>
                <w:color w:val="auto"/>
                <w:spacing w:val="12"/>
                <w:sz w:val="20"/>
                <w:szCs w:val="20"/>
                <w:highlight w:val="none"/>
                <w:u w:val="single"/>
                <w:lang w:eastAsia="zh-CN"/>
              </w:rPr>
              <w:t>）</w:t>
            </w:r>
            <w:r>
              <w:rPr>
                <w:rFonts w:hint="eastAsia" w:ascii="宋体" w:hAnsi="宋体" w:eastAsia="宋体" w:cs="宋体"/>
                <w:color w:val="auto"/>
                <w:spacing w:val="12"/>
                <w:sz w:val="20"/>
                <w:szCs w:val="20"/>
                <w:highlight w:val="none"/>
              </w:rPr>
              <w:t>批准，建设单位为</w:t>
            </w:r>
            <w:r>
              <w:rPr>
                <w:rFonts w:hint="eastAsia" w:ascii="宋体" w:hAnsi="宋体" w:eastAsia="宋体" w:cs="宋体"/>
                <w:color w:val="auto"/>
                <w:spacing w:val="12"/>
                <w:sz w:val="20"/>
                <w:szCs w:val="20"/>
                <w:highlight w:val="none"/>
                <w:u w:val="single"/>
                <w:lang w:eastAsia="zh-CN"/>
              </w:rPr>
              <w:t>始兴县地方公路事务中心</w:t>
            </w:r>
            <w:r>
              <w:rPr>
                <w:rFonts w:hint="eastAsia" w:ascii="宋体" w:hAnsi="宋体" w:eastAsia="宋体" w:cs="宋体"/>
                <w:color w:val="auto"/>
                <w:spacing w:val="12"/>
                <w:sz w:val="20"/>
                <w:szCs w:val="20"/>
                <w:highlight w:val="none"/>
                <w:u w:val="none" w:color="auto"/>
              </w:rPr>
              <w:t>，</w:t>
            </w:r>
            <w:r>
              <w:rPr>
                <w:rFonts w:hint="eastAsia" w:ascii="宋体" w:hAnsi="宋体" w:eastAsia="宋体" w:cs="宋体"/>
                <w:color w:val="auto"/>
                <w:spacing w:val="12"/>
                <w:sz w:val="20"/>
                <w:szCs w:val="20"/>
                <w:highlight w:val="none"/>
              </w:rPr>
              <w:t>招标人</w:t>
            </w:r>
            <w:r>
              <w:rPr>
                <w:rFonts w:hint="eastAsia" w:ascii="宋体" w:hAnsi="宋体" w:eastAsia="宋体" w:cs="宋体"/>
                <w:color w:val="auto"/>
                <w:spacing w:val="-1"/>
                <w:sz w:val="20"/>
                <w:szCs w:val="20"/>
                <w:highlight w:val="none"/>
              </w:rPr>
              <w:t>为</w:t>
            </w:r>
            <w:r>
              <w:rPr>
                <w:rFonts w:hint="eastAsia" w:ascii="宋体" w:hAnsi="宋体" w:eastAsia="宋体" w:cs="宋体"/>
                <w:color w:val="auto"/>
                <w:spacing w:val="-1"/>
                <w:sz w:val="20"/>
                <w:szCs w:val="20"/>
                <w:highlight w:val="none"/>
                <w:u w:val="single"/>
                <w:lang w:eastAsia="zh-CN"/>
              </w:rPr>
              <w:t>始兴县地方公路事务中心</w:t>
            </w:r>
            <w:r>
              <w:rPr>
                <w:rFonts w:hint="eastAsia" w:ascii="宋体" w:hAnsi="宋体" w:eastAsia="宋体" w:cs="宋体"/>
                <w:color w:val="auto"/>
                <w:spacing w:val="-1"/>
                <w:sz w:val="20"/>
                <w:szCs w:val="20"/>
                <w:highlight w:val="none"/>
              </w:rPr>
              <w:t>。</w:t>
            </w:r>
          </w:p>
          <w:p w14:paraId="7E91C422">
            <w:pPr>
              <w:pStyle w:val="20"/>
              <w:keepNext w:val="0"/>
              <w:keepLines w:val="0"/>
              <w:pageBreakBefore w:val="0"/>
              <w:widowControl/>
              <w:overflowPunct/>
              <w:bidi w:val="0"/>
              <w:adjustRightInd w:val="0"/>
              <w:snapToGrid w:val="0"/>
              <w:spacing w:line="288" w:lineRule="auto"/>
              <w:ind w:left="0" w:leftChars="0" w:right="0" w:firstLine="3"/>
              <w:rPr>
                <w:rFonts w:hint="eastAsia" w:ascii="宋体" w:hAnsi="宋体" w:eastAsia="宋体" w:cs="宋体"/>
                <w:color w:val="auto"/>
                <w:spacing w:val="8"/>
                <w:sz w:val="20"/>
                <w:szCs w:val="20"/>
                <w:highlight w:val="none"/>
              </w:rPr>
            </w:pPr>
            <w:r>
              <w:rPr>
                <w:rFonts w:hint="eastAsia" w:ascii="宋体" w:hAnsi="宋体" w:eastAsia="宋体" w:cs="宋体"/>
                <w:color w:val="auto"/>
                <w:spacing w:val="11"/>
                <w:sz w:val="20"/>
                <w:szCs w:val="20"/>
                <w:highlight w:val="none"/>
              </w:rPr>
              <w:t>2.被广东省交通运输厅评为</w:t>
            </w:r>
            <w:r>
              <w:rPr>
                <w:rFonts w:hint="eastAsia" w:ascii="宋体" w:hAnsi="宋体" w:eastAsia="宋体" w:cs="宋体"/>
                <w:color w:val="auto"/>
                <w:spacing w:val="-94"/>
                <w:sz w:val="20"/>
                <w:szCs w:val="20"/>
                <w:highlight w:val="none"/>
              </w:rPr>
              <w:t xml:space="preserve"> </w:t>
            </w:r>
            <w:r>
              <w:rPr>
                <w:rFonts w:hint="eastAsia" w:ascii="宋体" w:hAnsi="宋体" w:eastAsia="宋体" w:cs="宋体"/>
                <w:color w:val="auto"/>
                <w:spacing w:val="7"/>
                <w:sz w:val="20"/>
                <w:szCs w:val="20"/>
                <w:highlight w:val="none"/>
                <w:u w:val="single" w:color="auto"/>
                <w:lang w:val="en-US" w:eastAsia="zh-CN"/>
              </w:rPr>
              <w:t>/</w:t>
            </w:r>
            <w:r>
              <w:rPr>
                <w:rFonts w:hint="eastAsia" w:ascii="宋体" w:hAnsi="宋体" w:eastAsia="宋体" w:cs="宋体"/>
                <w:color w:val="auto"/>
                <w:spacing w:val="11"/>
                <w:sz w:val="20"/>
                <w:szCs w:val="20"/>
                <w:highlight w:val="none"/>
              </w:rPr>
              <w:t>级信用等级的投标人，最多可对其中的</w:t>
            </w:r>
            <w:r>
              <w:rPr>
                <w:rFonts w:hint="eastAsia" w:ascii="宋体" w:hAnsi="宋体" w:eastAsia="宋体" w:cs="宋体"/>
                <w:color w:val="auto"/>
                <w:spacing w:val="-96"/>
                <w:sz w:val="20"/>
                <w:szCs w:val="20"/>
                <w:highlight w:val="none"/>
              </w:rPr>
              <w:t xml:space="preserve"> </w:t>
            </w:r>
            <w:r>
              <w:rPr>
                <w:rFonts w:hint="eastAsia" w:ascii="宋体" w:hAnsi="宋体" w:eastAsia="宋体" w:cs="宋体"/>
                <w:color w:val="auto"/>
                <w:spacing w:val="8"/>
                <w:sz w:val="20"/>
                <w:szCs w:val="20"/>
                <w:highlight w:val="none"/>
                <w:u w:val="single" w:color="auto"/>
                <w:lang w:val="en-US" w:eastAsia="zh-CN"/>
              </w:rPr>
              <w:t>/</w:t>
            </w:r>
            <w:r>
              <w:rPr>
                <w:rFonts w:hint="eastAsia" w:ascii="宋体" w:hAnsi="宋体" w:eastAsia="宋体" w:cs="宋体"/>
                <w:color w:val="auto"/>
                <w:spacing w:val="11"/>
                <w:sz w:val="20"/>
                <w:szCs w:val="20"/>
                <w:highlight w:val="none"/>
              </w:rPr>
              <w:t>个</w:t>
            </w:r>
            <w:r>
              <w:rPr>
                <w:rFonts w:hint="eastAsia" w:ascii="宋体" w:hAnsi="宋体" w:eastAsia="宋体" w:cs="宋体"/>
                <w:color w:val="auto"/>
                <w:spacing w:val="11"/>
                <w:sz w:val="20"/>
                <w:szCs w:val="20"/>
                <w:highlight w:val="none"/>
                <w:u w:val="single" w:color="auto"/>
              </w:rPr>
              <w:t>标</w:t>
            </w:r>
            <w:r>
              <w:rPr>
                <w:rFonts w:hint="eastAsia" w:ascii="宋体" w:hAnsi="宋体" w:eastAsia="宋体" w:cs="宋体"/>
                <w:color w:val="auto"/>
                <w:spacing w:val="12"/>
                <w:sz w:val="20"/>
                <w:szCs w:val="20"/>
                <w:highlight w:val="none"/>
                <w:u w:val="single" w:color="auto"/>
              </w:rPr>
              <w:t>类或标段</w:t>
            </w:r>
            <w:r>
              <w:rPr>
                <w:rFonts w:hint="eastAsia" w:ascii="宋体" w:hAnsi="宋体" w:eastAsia="宋体" w:cs="宋体"/>
                <w:color w:val="auto"/>
                <w:spacing w:val="12"/>
                <w:sz w:val="20"/>
                <w:szCs w:val="20"/>
                <w:highlight w:val="none"/>
              </w:rPr>
              <w:t>进行投标，其余投标人最多可对其中的</w:t>
            </w:r>
            <w:r>
              <w:rPr>
                <w:rFonts w:hint="eastAsia" w:ascii="宋体" w:hAnsi="宋体" w:eastAsia="宋体" w:cs="宋体"/>
                <w:color w:val="auto"/>
                <w:spacing w:val="-85"/>
                <w:sz w:val="20"/>
                <w:szCs w:val="20"/>
                <w:highlight w:val="none"/>
              </w:rPr>
              <w:t xml:space="preserve"> </w:t>
            </w:r>
            <w:r>
              <w:rPr>
                <w:rFonts w:hint="eastAsia" w:ascii="宋体" w:hAnsi="宋体" w:eastAsia="宋体" w:cs="宋体"/>
                <w:color w:val="auto"/>
                <w:spacing w:val="8"/>
                <w:sz w:val="20"/>
                <w:szCs w:val="20"/>
                <w:highlight w:val="none"/>
                <w:u w:val="single" w:color="auto"/>
                <w:lang w:val="en-US" w:eastAsia="zh-CN"/>
              </w:rPr>
              <w:t>/</w:t>
            </w:r>
            <w:r>
              <w:rPr>
                <w:rFonts w:hint="eastAsia" w:ascii="宋体" w:hAnsi="宋体" w:eastAsia="宋体" w:cs="宋体"/>
                <w:color w:val="auto"/>
                <w:spacing w:val="-91"/>
                <w:sz w:val="20"/>
                <w:szCs w:val="20"/>
                <w:highlight w:val="none"/>
              </w:rPr>
              <w:t xml:space="preserve"> </w:t>
            </w:r>
            <w:r>
              <w:rPr>
                <w:rFonts w:hint="eastAsia" w:ascii="宋体" w:hAnsi="宋体" w:eastAsia="宋体" w:cs="宋体"/>
                <w:color w:val="auto"/>
                <w:spacing w:val="12"/>
                <w:sz w:val="20"/>
                <w:szCs w:val="20"/>
                <w:highlight w:val="none"/>
              </w:rPr>
              <w:t>个</w:t>
            </w:r>
            <w:r>
              <w:rPr>
                <w:rFonts w:hint="eastAsia" w:ascii="宋体" w:hAnsi="宋体" w:eastAsia="宋体" w:cs="宋体"/>
                <w:color w:val="auto"/>
                <w:spacing w:val="12"/>
                <w:sz w:val="20"/>
                <w:szCs w:val="20"/>
                <w:highlight w:val="none"/>
                <w:u w:val="single" w:color="auto"/>
              </w:rPr>
              <w:t>标类或</w:t>
            </w:r>
            <w:r>
              <w:rPr>
                <w:rFonts w:hint="eastAsia" w:ascii="宋体" w:hAnsi="宋体" w:eastAsia="宋体" w:cs="宋体"/>
                <w:color w:val="auto"/>
                <w:spacing w:val="12"/>
                <w:sz w:val="20"/>
                <w:szCs w:val="20"/>
                <w:highlight w:val="none"/>
              </w:rPr>
              <w:t>标段进行投标，每个</w:t>
            </w:r>
            <w:r>
              <w:rPr>
                <w:rFonts w:hint="eastAsia" w:ascii="宋体" w:hAnsi="宋体" w:eastAsia="宋体" w:cs="宋体"/>
                <w:color w:val="auto"/>
                <w:spacing w:val="9"/>
                <w:sz w:val="20"/>
                <w:szCs w:val="20"/>
                <w:highlight w:val="none"/>
              </w:rPr>
              <w:t>投标人只允许中</w:t>
            </w:r>
            <w:r>
              <w:rPr>
                <w:rFonts w:hint="eastAsia" w:ascii="宋体" w:hAnsi="宋体" w:eastAsia="宋体" w:cs="宋体"/>
                <w:color w:val="auto"/>
                <w:spacing w:val="9"/>
                <w:sz w:val="20"/>
                <w:szCs w:val="20"/>
                <w:highlight w:val="none"/>
                <w:u w:val="single" w:color="auto"/>
                <w:lang w:val="en-US" w:eastAsia="zh-CN"/>
              </w:rPr>
              <w:t>/</w:t>
            </w:r>
            <w:r>
              <w:rPr>
                <w:rFonts w:hint="eastAsia" w:ascii="宋体" w:hAnsi="宋体" w:eastAsia="宋体" w:cs="宋体"/>
                <w:color w:val="auto"/>
                <w:spacing w:val="-77"/>
                <w:sz w:val="20"/>
                <w:szCs w:val="20"/>
                <w:highlight w:val="none"/>
              </w:rPr>
              <w:t xml:space="preserve"> </w:t>
            </w:r>
            <w:r>
              <w:rPr>
                <w:rFonts w:hint="eastAsia" w:ascii="宋体" w:hAnsi="宋体" w:eastAsia="宋体" w:cs="宋体"/>
                <w:color w:val="auto"/>
                <w:spacing w:val="9"/>
                <w:sz w:val="20"/>
                <w:szCs w:val="20"/>
                <w:highlight w:val="none"/>
              </w:rPr>
              <w:t>个标段。（本款所指的信用等级为广东省交通运输厅最新年度发布的广东省公路工程从业单位信用等级（监理单位</w:t>
            </w:r>
            <w:r>
              <w:rPr>
                <w:rFonts w:hint="eastAsia" w:ascii="宋体" w:hAnsi="宋体" w:eastAsia="宋体" w:cs="宋体"/>
                <w:color w:val="auto"/>
                <w:spacing w:val="24"/>
                <w:sz w:val="20"/>
                <w:szCs w:val="20"/>
                <w:highlight w:val="none"/>
              </w:rPr>
              <w:t>），</w:t>
            </w:r>
            <w:r>
              <w:rPr>
                <w:rFonts w:hint="eastAsia" w:ascii="宋体" w:hAnsi="宋体" w:eastAsia="宋体" w:cs="宋体"/>
                <w:color w:val="auto"/>
                <w:spacing w:val="9"/>
                <w:sz w:val="20"/>
                <w:szCs w:val="20"/>
                <w:highlight w:val="none"/>
              </w:rPr>
              <w:t>投标登记阶段无需承诺是否</w:t>
            </w:r>
            <w:r>
              <w:rPr>
                <w:rFonts w:hint="eastAsia" w:ascii="宋体" w:hAnsi="宋体" w:eastAsia="宋体" w:cs="宋体"/>
                <w:color w:val="auto"/>
                <w:spacing w:val="8"/>
                <w:sz w:val="20"/>
                <w:szCs w:val="20"/>
                <w:highlight w:val="none"/>
              </w:rPr>
              <w:t>在此次投标过程中使用）。</w:t>
            </w:r>
          </w:p>
          <w:p w14:paraId="7DEC85EA">
            <w:pPr>
              <w:pStyle w:val="20"/>
              <w:keepNext w:val="0"/>
              <w:keepLines w:val="0"/>
              <w:pageBreakBefore w:val="0"/>
              <w:widowControl/>
              <w:overflowPunct/>
              <w:bidi w:val="0"/>
              <w:adjustRightInd w:val="0"/>
              <w:snapToGrid w:val="0"/>
              <w:spacing w:line="288" w:lineRule="auto"/>
              <w:ind w:left="0" w:leftChars="0" w:right="0" w:firstLine="3"/>
              <w:rPr>
                <w:rFonts w:hint="eastAsia" w:ascii="宋体" w:hAnsi="宋体" w:eastAsia="宋体" w:cs="宋体"/>
                <w:color w:val="auto"/>
                <w:spacing w:val="9"/>
                <w:sz w:val="20"/>
                <w:szCs w:val="20"/>
                <w:highlight w:val="none"/>
              </w:rPr>
            </w:pPr>
            <w:r>
              <w:rPr>
                <w:rFonts w:hint="eastAsia" w:ascii="宋体" w:hAnsi="宋体" w:eastAsia="宋体" w:cs="宋体"/>
                <w:color w:val="auto"/>
                <w:spacing w:val="9"/>
                <w:sz w:val="20"/>
                <w:szCs w:val="20"/>
                <w:highlight w:val="none"/>
              </w:rPr>
              <w:t>3.与招标人存在利害关系可能影响招标公正性的法人，不得参加投标；若单位负责</w:t>
            </w:r>
            <w:r>
              <w:rPr>
                <w:rFonts w:hint="eastAsia" w:ascii="宋体" w:hAnsi="宋体" w:eastAsia="宋体" w:cs="宋体"/>
                <w:color w:val="auto"/>
                <w:spacing w:val="12"/>
                <w:sz w:val="20"/>
                <w:szCs w:val="20"/>
                <w:highlight w:val="none"/>
              </w:rPr>
              <w:t>人为同一人、或者存在控股</w:t>
            </w:r>
            <w:r>
              <w:rPr>
                <w:rFonts w:hint="eastAsia" w:ascii="宋体" w:hAnsi="宋体" w:eastAsia="宋体" w:cs="宋体"/>
                <w:color w:val="auto"/>
                <w:spacing w:val="-25"/>
                <w:position w:val="10"/>
                <w:sz w:val="20"/>
                <w:szCs w:val="20"/>
                <w:highlight w:val="none"/>
              </w:rPr>
              <w:t xml:space="preserve"> </w:t>
            </w:r>
            <w:r>
              <w:rPr>
                <w:rFonts w:hint="eastAsia" w:ascii="宋体" w:hAnsi="宋体" w:eastAsia="宋体" w:cs="宋体"/>
                <w:color w:val="auto"/>
                <w:spacing w:val="12"/>
                <w:sz w:val="20"/>
                <w:szCs w:val="20"/>
                <w:highlight w:val="none"/>
              </w:rPr>
              <w:t>、管理关系的不</w:t>
            </w:r>
            <w:r>
              <w:rPr>
                <w:rFonts w:hint="eastAsia" w:ascii="宋体" w:hAnsi="宋体" w:eastAsia="宋体" w:cs="宋体"/>
                <w:color w:val="auto"/>
                <w:spacing w:val="11"/>
                <w:sz w:val="20"/>
                <w:szCs w:val="20"/>
                <w:highlight w:val="none"/>
              </w:rPr>
              <w:t>同单位，不得参加同一标段投标或</w:t>
            </w:r>
            <w:r>
              <w:rPr>
                <w:rFonts w:hint="eastAsia" w:ascii="宋体" w:hAnsi="宋体" w:eastAsia="宋体" w:cs="宋体"/>
                <w:color w:val="auto"/>
                <w:spacing w:val="9"/>
                <w:sz w:val="20"/>
                <w:szCs w:val="20"/>
                <w:highlight w:val="none"/>
              </w:rPr>
              <w:t>者未划分标段的同一招标项目投标，否则按否决其投标处理。</w:t>
            </w:r>
          </w:p>
          <w:p w14:paraId="35F5C1E9">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hanging="4"/>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11"/>
                <w:sz w:val="20"/>
                <w:szCs w:val="20"/>
                <w:highlight w:val="none"/>
                <w:lang w:val="en-US" w:eastAsia="zh-CN"/>
              </w:rPr>
              <w:t>4</w:t>
            </w:r>
            <w:r>
              <w:rPr>
                <w:rFonts w:hint="eastAsia" w:ascii="宋体" w:hAnsi="宋体" w:eastAsia="宋体" w:cs="宋体"/>
                <w:color w:val="auto"/>
                <w:spacing w:val="11"/>
                <w:sz w:val="20"/>
                <w:szCs w:val="20"/>
                <w:highlight w:val="none"/>
              </w:rPr>
              <w:t>.在“信用中国</w:t>
            </w:r>
            <w:r>
              <w:rPr>
                <w:rFonts w:hint="eastAsia" w:ascii="宋体" w:hAnsi="宋体" w:eastAsia="宋体" w:cs="宋体"/>
                <w:color w:val="auto"/>
                <w:spacing w:val="-56"/>
                <w:sz w:val="20"/>
                <w:szCs w:val="20"/>
                <w:highlight w:val="none"/>
              </w:rPr>
              <w:t xml:space="preserve"> </w:t>
            </w:r>
            <w:r>
              <w:rPr>
                <w:rFonts w:hint="eastAsia" w:ascii="宋体" w:hAnsi="宋体" w:eastAsia="宋体" w:cs="宋体"/>
                <w:color w:val="auto"/>
                <w:spacing w:val="11"/>
                <w:sz w:val="20"/>
                <w:szCs w:val="20"/>
                <w:highlight w:val="none"/>
              </w:rPr>
              <w:t>”网站中被列入失信被执行人名单的投标人，在国家企业信用信</w:t>
            </w:r>
            <w:r>
              <w:rPr>
                <w:rFonts w:hint="eastAsia" w:ascii="宋体" w:hAnsi="宋体" w:eastAsia="宋体" w:cs="宋体"/>
                <w:color w:val="auto"/>
                <w:spacing w:val="9"/>
                <w:sz w:val="20"/>
                <w:szCs w:val="20"/>
                <w:highlight w:val="none"/>
              </w:rPr>
              <w:t>息公示系统中被列入严重违法失信名单的投标人，均按否决投标处理。</w:t>
            </w:r>
          </w:p>
          <w:p w14:paraId="78775FF7">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6"/>
                <w:sz w:val="20"/>
                <w:szCs w:val="20"/>
                <w:highlight w:val="none"/>
                <w:lang w:val="en-US" w:eastAsia="zh-CN"/>
              </w:rPr>
              <w:t>5</w:t>
            </w:r>
            <w:r>
              <w:rPr>
                <w:rFonts w:hint="eastAsia" w:ascii="宋体" w:hAnsi="宋体" w:eastAsia="宋体" w:cs="宋体"/>
                <w:color w:val="auto"/>
                <w:spacing w:val="6"/>
                <w:sz w:val="20"/>
                <w:szCs w:val="20"/>
                <w:highlight w:val="none"/>
              </w:rPr>
              <w:t>.办理企业信息登记要求：</w:t>
            </w:r>
            <w:r>
              <w:rPr>
                <w:rFonts w:hint="eastAsia" w:ascii="宋体" w:hAnsi="宋体" w:eastAsia="宋体" w:cs="宋体"/>
                <w:color w:val="auto"/>
                <w:spacing w:val="6"/>
                <w:kern w:val="2"/>
                <w:sz w:val="20"/>
                <w:szCs w:val="20"/>
                <w:highlight w:val="none"/>
                <w:u w:val="single"/>
                <w:lang w:val="en-US" w:eastAsia="en-US" w:bidi="ar-SA"/>
              </w:rPr>
              <w:t>首次在韶关市参与建设工程招标投标活动的投标人，必须在平台系统上传企业相关资料办理企业入库事宜。投标人可登录</w:t>
            </w:r>
            <w:r>
              <w:rPr>
                <w:rFonts w:hint="eastAsia" w:ascii="宋体" w:hAnsi="宋体" w:eastAsia="宋体" w:cs="宋体"/>
                <w:color w:val="auto"/>
                <w:spacing w:val="6"/>
                <w:kern w:val="2"/>
                <w:sz w:val="20"/>
                <w:szCs w:val="20"/>
                <w:highlight w:val="none"/>
                <w:u w:val="single"/>
                <w:lang w:val="en-US" w:eastAsia="zh-CN" w:bidi="ar-SA"/>
              </w:rPr>
              <w:t>全国公共资源交易平台（广东省·韶关市）</w:t>
            </w:r>
            <w:r>
              <w:rPr>
                <w:rFonts w:hint="eastAsia" w:ascii="宋体" w:hAnsi="宋体" w:eastAsia="宋体" w:cs="宋体"/>
                <w:color w:val="auto"/>
                <w:spacing w:val="6"/>
                <w:kern w:val="2"/>
                <w:sz w:val="20"/>
                <w:szCs w:val="20"/>
                <w:highlight w:val="none"/>
                <w:u w:val="single"/>
                <w:lang w:val="en-US" w:eastAsia="en-US" w:bidi="ar-SA"/>
              </w:rPr>
              <w:t>（https://ygp.gdzwfw.gov.cn/ggzy-portal/#/440200/index）办理企业入库、数字证书及电子印章事宜，具体请在平台查阅相应的交易指引。</w:t>
            </w:r>
          </w:p>
          <w:p w14:paraId="448658CD">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textAlignment w:val="baseline"/>
              <w:rPr>
                <w:rFonts w:hint="eastAsia" w:ascii="宋体" w:hAnsi="宋体" w:eastAsia="宋体" w:cs="宋体"/>
                <w:color w:val="auto"/>
                <w:sz w:val="20"/>
                <w:szCs w:val="20"/>
                <w:highlight w:val="none"/>
                <w:u w:val="none"/>
              </w:rPr>
            </w:pPr>
            <w:r>
              <w:rPr>
                <w:rFonts w:hint="eastAsia" w:ascii="宋体" w:hAnsi="宋体" w:eastAsia="宋体" w:cs="宋体"/>
                <w:color w:val="auto"/>
                <w:spacing w:val="8"/>
                <w:sz w:val="20"/>
                <w:szCs w:val="20"/>
                <w:highlight w:val="none"/>
                <w:lang w:val="en-US" w:eastAsia="zh-CN"/>
              </w:rPr>
              <w:t>6</w:t>
            </w:r>
            <w:r>
              <w:rPr>
                <w:rFonts w:hint="eastAsia" w:ascii="宋体" w:hAnsi="宋体" w:eastAsia="宋体" w:cs="宋体"/>
                <w:color w:val="auto"/>
                <w:spacing w:val="8"/>
                <w:sz w:val="20"/>
                <w:szCs w:val="20"/>
                <w:highlight w:val="none"/>
              </w:rPr>
              <w:t>.</w:t>
            </w:r>
            <w:r>
              <w:rPr>
                <w:rFonts w:hint="eastAsia" w:ascii="宋体" w:hAnsi="宋体" w:eastAsia="宋体" w:cs="宋体"/>
                <w:color w:val="auto"/>
                <w:spacing w:val="8"/>
                <w:kern w:val="2"/>
                <w:sz w:val="20"/>
                <w:szCs w:val="20"/>
                <w:highlight w:val="none"/>
                <w:lang w:val="en-US" w:eastAsia="en-US" w:bidi="ar-SA"/>
              </w:rPr>
              <w:t>招标人将</w:t>
            </w:r>
            <w:r>
              <w:rPr>
                <w:rFonts w:hint="eastAsia" w:ascii="宋体" w:hAnsi="宋体" w:eastAsia="宋体" w:cs="宋体"/>
                <w:color w:val="auto"/>
                <w:spacing w:val="8"/>
                <w:kern w:val="2"/>
                <w:sz w:val="20"/>
                <w:szCs w:val="20"/>
                <w:highlight w:val="none"/>
                <w:u w:val="single" w:color="auto"/>
                <w:lang w:val="en-US" w:eastAsia="en-US" w:bidi="ar-SA"/>
              </w:rPr>
              <w:t>不组织</w:t>
            </w:r>
            <w:r>
              <w:rPr>
                <w:rFonts w:hint="eastAsia" w:ascii="宋体" w:hAnsi="宋体" w:eastAsia="宋体" w:cs="宋体"/>
                <w:color w:val="auto"/>
                <w:spacing w:val="8"/>
                <w:kern w:val="2"/>
                <w:sz w:val="20"/>
                <w:szCs w:val="20"/>
                <w:highlight w:val="none"/>
                <w:lang w:val="en-US" w:eastAsia="en-US" w:bidi="ar-SA"/>
              </w:rPr>
              <w:t>踏勘现场和投标预备会。</w:t>
            </w:r>
          </w:p>
          <w:p w14:paraId="28BFA9E3">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firstLine="2"/>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u w:val="none"/>
                <w:lang w:val="en-US" w:eastAsia="zh-CN"/>
              </w:rPr>
              <w:t>7</w:t>
            </w:r>
            <w:r>
              <w:rPr>
                <w:rFonts w:hint="eastAsia" w:ascii="宋体" w:hAnsi="宋体" w:eastAsia="宋体" w:cs="宋体"/>
                <w:color w:val="auto"/>
                <w:spacing w:val="9"/>
                <w:sz w:val="20"/>
                <w:szCs w:val="20"/>
                <w:highlight w:val="none"/>
                <w:u w:val="none"/>
              </w:rPr>
              <w:t>.</w:t>
            </w:r>
            <w:r>
              <w:rPr>
                <w:rFonts w:hint="eastAsia" w:ascii="宋体" w:hAnsi="宋体" w:eastAsia="宋体" w:cs="宋体"/>
                <w:color w:val="auto"/>
                <w:spacing w:val="5"/>
                <w:kern w:val="2"/>
                <w:sz w:val="20"/>
                <w:szCs w:val="20"/>
                <w:highlight w:val="none"/>
                <w:lang w:val="en-US" w:eastAsia="en-US" w:bidi="ar-SA"/>
              </w:rPr>
              <w:t>在规定的投标登记期间，如某个标段投标登记并获取招标文件的投标人不足</w:t>
            </w:r>
            <w:r>
              <w:rPr>
                <w:rFonts w:hint="eastAsia" w:ascii="宋体" w:hAnsi="宋体" w:eastAsia="宋体" w:cs="宋体"/>
                <w:color w:val="auto"/>
                <w:spacing w:val="-26"/>
                <w:kern w:val="2"/>
                <w:sz w:val="20"/>
                <w:szCs w:val="20"/>
                <w:highlight w:val="none"/>
                <w:lang w:val="en-US" w:eastAsia="en-US" w:bidi="ar-SA"/>
              </w:rPr>
              <w:t xml:space="preserve"> </w:t>
            </w:r>
            <w:r>
              <w:rPr>
                <w:rFonts w:hint="eastAsia" w:ascii="宋体" w:hAnsi="宋体" w:eastAsia="宋体" w:cs="宋体"/>
                <w:color w:val="auto"/>
                <w:spacing w:val="5"/>
                <w:kern w:val="2"/>
                <w:sz w:val="20"/>
                <w:szCs w:val="20"/>
                <w:highlight w:val="none"/>
                <w:lang w:val="en-US" w:eastAsia="en-US" w:bidi="ar-SA"/>
              </w:rPr>
              <w:t>3</w:t>
            </w:r>
            <w:r>
              <w:rPr>
                <w:rFonts w:hint="eastAsia" w:ascii="宋体" w:hAnsi="宋体" w:eastAsia="宋体" w:cs="宋体"/>
                <w:color w:val="auto"/>
                <w:spacing w:val="-36"/>
                <w:kern w:val="2"/>
                <w:sz w:val="20"/>
                <w:szCs w:val="20"/>
                <w:highlight w:val="none"/>
                <w:lang w:val="en-US" w:eastAsia="en-US" w:bidi="ar-SA"/>
              </w:rPr>
              <w:t xml:space="preserve"> </w:t>
            </w:r>
            <w:r>
              <w:rPr>
                <w:rFonts w:hint="eastAsia" w:ascii="宋体" w:hAnsi="宋体" w:eastAsia="宋体" w:cs="宋体"/>
                <w:color w:val="auto"/>
                <w:spacing w:val="5"/>
                <w:kern w:val="2"/>
                <w:sz w:val="20"/>
                <w:szCs w:val="20"/>
                <w:highlight w:val="none"/>
                <w:lang w:val="en-US" w:eastAsia="en-US" w:bidi="ar-SA"/>
              </w:rPr>
              <w:t>家时，</w:t>
            </w:r>
            <w:r>
              <w:rPr>
                <w:rFonts w:hint="eastAsia" w:ascii="宋体" w:hAnsi="宋体" w:eastAsia="宋体" w:cs="宋体"/>
                <w:color w:val="auto"/>
                <w:spacing w:val="9"/>
                <w:kern w:val="2"/>
                <w:sz w:val="20"/>
                <w:szCs w:val="20"/>
                <w:highlight w:val="none"/>
                <w:lang w:val="en-US" w:eastAsia="en-US" w:bidi="ar-SA"/>
              </w:rPr>
              <w:t>招标人有权选择以下任一方式</w:t>
            </w:r>
            <w:r>
              <w:rPr>
                <w:rFonts w:hint="eastAsia" w:ascii="宋体" w:hAnsi="宋体" w:eastAsia="宋体" w:cs="宋体"/>
                <w:color w:val="auto"/>
                <w:spacing w:val="-36"/>
                <w:kern w:val="2"/>
                <w:sz w:val="20"/>
                <w:szCs w:val="20"/>
                <w:highlight w:val="none"/>
                <w:lang w:val="en-US" w:eastAsia="en-US" w:bidi="ar-SA"/>
              </w:rPr>
              <w:t>：</w:t>
            </w:r>
            <w:r>
              <w:rPr>
                <w:rFonts w:hint="eastAsia" w:ascii="宋体" w:hAnsi="宋体" w:eastAsia="宋体" w:cs="宋体"/>
                <w:color w:val="auto"/>
                <w:spacing w:val="9"/>
                <w:kern w:val="2"/>
                <w:sz w:val="20"/>
                <w:szCs w:val="20"/>
                <w:highlight w:val="none"/>
                <w:lang w:val="en-US" w:eastAsia="zh-CN" w:bidi="ar-SA"/>
              </w:rPr>
              <w:t>（1</w:t>
            </w:r>
            <w:r>
              <w:rPr>
                <w:rFonts w:hint="eastAsia" w:ascii="宋体" w:hAnsi="宋体" w:eastAsia="宋体" w:cs="宋体"/>
                <w:color w:val="auto"/>
                <w:spacing w:val="9"/>
                <w:kern w:val="2"/>
                <w:sz w:val="20"/>
                <w:szCs w:val="20"/>
                <w:highlight w:val="none"/>
                <w:lang w:val="en-US" w:eastAsia="en-US" w:bidi="ar-SA"/>
              </w:rPr>
              <w:t>）在广东省招标投标监管网及</w:t>
            </w:r>
            <w:r>
              <w:rPr>
                <w:rFonts w:hint="eastAsia" w:ascii="宋体" w:hAnsi="宋体" w:eastAsia="宋体" w:cs="宋体"/>
                <w:color w:val="auto"/>
                <w:spacing w:val="9"/>
                <w:kern w:val="2"/>
                <w:sz w:val="20"/>
                <w:szCs w:val="20"/>
                <w:highlight w:val="none"/>
                <w:lang w:val="en-US" w:eastAsia="zh-CN" w:bidi="ar-SA"/>
              </w:rPr>
              <w:t>全国公共资源交易平台（广东省·韶关市）</w:t>
            </w:r>
            <w:r>
              <w:rPr>
                <w:rFonts w:hint="eastAsia" w:ascii="宋体" w:hAnsi="宋体" w:eastAsia="宋体" w:cs="宋体"/>
                <w:color w:val="auto"/>
                <w:spacing w:val="7"/>
                <w:kern w:val="2"/>
                <w:sz w:val="20"/>
                <w:szCs w:val="20"/>
                <w:highlight w:val="none"/>
                <w:lang w:val="en-US" w:eastAsia="en-US" w:bidi="ar-SA"/>
              </w:rPr>
              <w:t>发布公告延长上述投标人家数不足的标段投标登记和获取招标文件时间，在延</w:t>
            </w:r>
            <w:r>
              <w:rPr>
                <w:rFonts w:hint="eastAsia" w:ascii="宋体" w:hAnsi="宋体" w:eastAsia="宋体" w:cs="宋体"/>
                <w:color w:val="auto"/>
                <w:spacing w:val="12"/>
                <w:kern w:val="2"/>
                <w:sz w:val="20"/>
                <w:szCs w:val="20"/>
                <w:highlight w:val="none"/>
                <w:lang w:val="en-US" w:eastAsia="en-US" w:bidi="ar-SA"/>
              </w:rPr>
              <w:t>期投标登记和获取招标文件时间内，</w:t>
            </w:r>
            <w:r>
              <w:rPr>
                <w:rFonts w:hint="eastAsia" w:ascii="宋体" w:hAnsi="宋体" w:eastAsia="宋体" w:cs="宋体"/>
                <w:color w:val="auto"/>
                <w:spacing w:val="-58"/>
                <w:kern w:val="2"/>
                <w:sz w:val="20"/>
                <w:szCs w:val="20"/>
                <w:highlight w:val="none"/>
                <w:lang w:val="en-US" w:eastAsia="en-US" w:bidi="ar-SA"/>
              </w:rPr>
              <w:t xml:space="preserve"> </w:t>
            </w:r>
            <w:r>
              <w:rPr>
                <w:rFonts w:hint="eastAsia" w:ascii="宋体" w:hAnsi="宋体" w:eastAsia="宋体" w:cs="宋体"/>
                <w:color w:val="auto"/>
                <w:spacing w:val="12"/>
                <w:kern w:val="2"/>
                <w:sz w:val="20"/>
                <w:szCs w:val="20"/>
                <w:highlight w:val="none"/>
                <w:lang w:val="en-US" w:eastAsia="en-US" w:bidi="ar-SA"/>
              </w:rPr>
              <w:t>已投标登记投标人的资料仍有效</w:t>
            </w:r>
            <w:r>
              <w:rPr>
                <w:rFonts w:hint="eastAsia" w:ascii="宋体" w:hAnsi="宋体" w:eastAsia="宋体" w:cs="宋体"/>
                <w:color w:val="auto"/>
                <w:spacing w:val="11"/>
                <w:kern w:val="2"/>
                <w:sz w:val="20"/>
                <w:szCs w:val="20"/>
                <w:highlight w:val="none"/>
                <w:lang w:val="en-US" w:eastAsia="en-US" w:bidi="ar-SA"/>
              </w:rPr>
              <w:t>并可自行补充资料，未投标登记的投标人可根据公告的约定进行投标登记并获</w:t>
            </w:r>
            <w:r>
              <w:rPr>
                <w:rFonts w:hint="eastAsia" w:ascii="宋体" w:hAnsi="宋体" w:eastAsia="宋体" w:cs="宋体"/>
                <w:color w:val="auto"/>
                <w:spacing w:val="10"/>
                <w:kern w:val="2"/>
                <w:sz w:val="20"/>
                <w:szCs w:val="20"/>
                <w:highlight w:val="none"/>
                <w:lang w:val="en-US" w:eastAsia="en-US" w:bidi="ar-SA"/>
              </w:rPr>
              <w:t>取招标文件</w:t>
            </w:r>
            <w:r>
              <w:rPr>
                <w:rFonts w:hint="eastAsia" w:ascii="宋体" w:hAnsi="宋体" w:eastAsia="宋体" w:cs="宋体"/>
                <w:color w:val="auto"/>
                <w:spacing w:val="-4"/>
                <w:kern w:val="2"/>
                <w:sz w:val="20"/>
                <w:szCs w:val="20"/>
                <w:highlight w:val="none"/>
                <w:lang w:val="en-US" w:eastAsia="en-US" w:bidi="ar-SA"/>
              </w:rPr>
              <w:t>；（</w:t>
            </w:r>
            <w:r>
              <w:rPr>
                <w:rFonts w:hint="eastAsia" w:ascii="宋体" w:hAnsi="宋体" w:eastAsia="宋体" w:cs="宋体"/>
                <w:color w:val="auto"/>
                <w:spacing w:val="10"/>
                <w:kern w:val="2"/>
                <w:sz w:val="20"/>
                <w:szCs w:val="20"/>
                <w:highlight w:val="none"/>
                <w:lang w:val="en-US" w:eastAsia="en-US" w:bidi="ar-SA"/>
              </w:rPr>
              <w:t>2）对上</w:t>
            </w:r>
            <w:r>
              <w:rPr>
                <w:rFonts w:hint="eastAsia" w:ascii="宋体" w:hAnsi="宋体" w:eastAsia="宋体" w:cs="宋体"/>
                <w:color w:val="auto"/>
                <w:spacing w:val="9"/>
                <w:kern w:val="2"/>
                <w:sz w:val="20"/>
                <w:szCs w:val="20"/>
                <w:highlight w:val="none"/>
                <w:lang w:val="en-US" w:eastAsia="en-US" w:bidi="ar-SA"/>
              </w:rPr>
              <w:t>述投标人家数不足的标段依法重新组织招标或依法开展后续工作。</w:t>
            </w:r>
          </w:p>
          <w:p w14:paraId="39833A19">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textAlignment w:val="baseline"/>
              <w:rPr>
                <w:rFonts w:hint="eastAsia" w:ascii="宋体" w:hAnsi="宋体" w:eastAsia="宋体" w:cs="宋体"/>
                <w:color w:val="auto"/>
                <w:spacing w:val="7"/>
                <w:sz w:val="20"/>
                <w:szCs w:val="20"/>
                <w:highlight w:val="none"/>
              </w:rPr>
            </w:pPr>
            <w:r>
              <w:rPr>
                <w:rFonts w:hint="eastAsia" w:ascii="宋体" w:hAnsi="宋体" w:eastAsia="宋体" w:cs="宋体"/>
                <w:color w:val="auto"/>
                <w:spacing w:val="7"/>
                <w:sz w:val="20"/>
                <w:szCs w:val="20"/>
                <w:highlight w:val="none"/>
                <w:lang w:val="en-US" w:eastAsia="zh-CN"/>
              </w:rPr>
              <w:t>8</w:t>
            </w:r>
            <w:r>
              <w:rPr>
                <w:rFonts w:hint="eastAsia" w:ascii="宋体" w:hAnsi="宋体" w:eastAsia="宋体" w:cs="宋体"/>
                <w:color w:val="auto"/>
                <w:spacing w:val="7"/>
                <w:sz w:val="20"/>
                <w:szCs w:val="20"/>
                <w:highlight w:val="none"/>
              </w:rPr>
              <w:t>.受理异议的联系人和联系方式：</w:t>
            </w:r>
          </w:p>
          <w:p w14:paraId="1C33A708">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0" w:leftChars="0" w:right="0" w:firstLine="216" w:firstLineChars="100"/>
              <w:textAlignment w:val="baseline"/>
              <w:rPr>
                <w:rFonts w:hint="eastAsia" w:ascii="宋体" w:hAnsi="宋体" w:eastAsia="宋体" w:cs="宋体"/>
                <w:i w:val="0"/>
                <w:color w:val="auto"/>
                <w:kern w:val="2"/>
                <w:sz w:val="20"/>
                <w:szCs w:val="20"/>
                <w:highlight w:val="none"/>
                <w:u w:val="single" w:color="auto"/>
                <w:lang w:val="en-US" w:eastAsia="zh-CN" w:bidi="ar-SA"/>
              </w:rPr>
            </w:pPr>
            <w:r>
              <w:rPr>
                <w:rFonts w:hint="eastAsia" w:ascii="宋体" w:hAnsi="宋体" w:eastAsia="宋体" w:cs="宋体"/>
                <w:color w:val="auto"/>
                <w:spacing w:val="8"/>
                <w:kern w:val="2"/>
                <w:sz w:val="20"/>
                <w:szCs w:val="20"/>
                <w:highlight w:val="none"/>
                <w:lang w:val="en-US" w:eastAsia="en-US" w:bidi="ar-SA"/>
              </w:rPr>
              <w:t>异议受理部门：</w:t>
            </w:r>
            <w:r>
              <w:rPr>
                <w:rFonts w:hint="eastAsia" w:ascii="宋体" w:hAnsi="宋体" w:eastAsia="宋体" w:cs="宋体"/>
                <w:i w:val="0"/>
                <w:color w:val="auto"/>
                <w:kern w:val="2"/>
                <w:sz w:val="20"/>
                <w:szCs w:val="20"/>
                <w:highlight w:val="none"/>
                <w:u w:val="single" w:color="auto"/>
                <w:lang w:val="en-US" w:eastAsia="zh-CN" w:bidi="ar-SA"/>
              </w:rPr>
              <w:t>始兴县地方公路事务中心</w:t>
            </w:r>
          </w:p>
          <w:p w14:paraId="3516E50B">
            <w:pPr>
              <w:pStyle w:val="20"/>
              <w:keepNext w:val="0"/>
              <w:keepLines w:val="0"/>
              <w:pageBreakBefore w:val="0"/>
              <w:widowControl/>
              <w:overflowPunct/>
              <w:bidi w:val="0"/>
              <w:adjustRightInd w:val="0"/>
              <w:snapToGrid w:val="0"/>
              <w:spacing w:line="288" w:lineRule="auto"/>
              <w:ind w:left="0" w:leftChars="0" w:right="0" w:firstLine="186" w:firstLineChars="100"/>
              <w:rPr>
                <w:rFonts w:hint="eastAsia" w:ascii="宋体" w:hAnsi="宋体" w:eastAsia="宋体" w:cs="宋体"/>
                <w:color w:val="auto"/>
                <w:sz w:val="20"/>
                <w:szCs w:val="20"/>
                <w:highlight w:val="none"/>
              </w:rPr>
            </w:pPr>
            <w:r>
              <w:rPr>
                <w:rFonts w:hint="eastAsia" w:ascii="宋体" w:hAnsi="宋体" w:eastAsia="宋体" w:cs="宋体"/>
                <w:color w:val="auto"/>
                <w:spacing w:val="-7"/>
                <w:kern w:val="2"/>
                <w:sz w:val="20"/>
                <w:szCs w:val="20"/>
                <w:highlight w:val="none"/>
                <w:lang w:val="en-US" w:eastAsia="en-US" w:bidi="ar-SA"/>
              </w:rPr>
              <w:t>联系方式：</w:t>
            </w:r>
            <w:r>
              <w:rPr>
                <w:rFonts w:hint="eastAsia" w:ascii="宋体" w:hAnsi="宋体" w:eastAsia="宋体" w:cs="宋体"/>
                <w:i w:val="0"/>
                <w:color w:val="auto"/>
                <w:kern w:val="2"/>
                <w:sz w:val="20"/>
                <w:szCs w:val="20"/>
                <w:highlight w:val="none"/>
                <w:u w:val="single"/>
                <w:lang w:val="en-US" w:eastAsia="zh-CN" w:bidi="ar-SA"/>
              </w:rPr>
              <w:t xml:space="preserve">0751-6927330 </w:t>
            </w:r>
          </w:p>
        </w:tc>
      </w:tr>
    </w:tbl>
    <w:p w14:paraId="197B8419">
      <w:pPr>
        <w:spacing w:line="249" w:lineRule="auto"/>
        <w:rPr>
          <w:rFonts w:ascii="Arial"/>
          <w:color w:val="auto"/>
          <w:sz w:val="21"/>
          <w:highlight w:val="none"/>
        </w:rPr>
      </w:pPr>
    </w:p>
    <w:p w14:paraId="6E016048">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招标公告附件</w:t>
      </w:r>
    </w:p>
    <w:p w14:paraId="0ED5779E">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附件</w:t>
      </w:r>
      <w:r>
        <w:rPr>
          <w:rFonts w:ascii="宋体" w:hAnsi="宋体" w:eastAsia="宋体" w:cs="宋体"/>
          <w:color w:val="auto"/>
          <w:spacing w:val="-18"/>
          <w:sz w:val="24"/>
          <w:szCs w:val="24"/>
          <w:highlight w:val="none"/>
        </w:rPr>
        <w:t xml:space="preserve"> </w:t>
      </w:r>
      <w:r>
        <w:rPr>
          <w:rFonts w:ascii="宋体" w:hAnsi="宋体" w:eastAsia="宋体" w:cs="宋体"/>
          <w:color w:val="auto"/>
          <w:spacing w:val="-4"/>
          <w:sz w:val="24"/>
          <w:szCs w:val="24"/>
          <w:highlight w:val="none"/>
        </w:rPr>
        <w:t>1：标段的划分及主要工程项目情况</w:t>
      </w:r>
    </w:p>
    <w:p w14:paraId="7B8873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eastAsia="zh-CN"/>
        </w:rPr>
        <w:t>附件</w:t>
      </w:r>
      <w:r>
        <w:rPr>
          <w:rFonts w:hint="eastAsia" w:ascii="宋体" w:hAnsi="宋体" w:eastAsia="宋体" w:cs="宋体"/>
          <w:color w:val="auto"/>
          <w:spacing w:val="-2"/>
          <w:sz w:val="24"/>
          <w:szCs w:val="24"/>
          <w:highlight w:val="none"/>
          <w:lang w:val="en-US" w:eastAsia="zh-CN"/>
        </w:rPr>
        <w:t xml:space="preserve"> 2：重要事项时间地点一览表</w:t>
      </w:r>
    </w:p>
    <w:p w14:paraId="03FF3A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 xml:space="preserve">附件 </w:t>
      </w:r>
      <w:r>
        <w:rPr>
          <w:rFonts w:hint="eastAsia" w:ascii="宋体" w:hAnsi="宋体" w:eastAsia="宋体" w:cs="宋体"/>
          <w:color w:val="auto"/>
          <w:spacing w:val="-2"/>
          <w:sz w:val="24"/>
          <w:szCs w:val="24"/>
          <w:highlight w:val="none"/>
          <w:lang w:val="en-US" w:eastAsia="zh-CN"/>
        </w:rPr>
        <w:t>3</w:t>
      </w:r>
      <w:r>
        <w:rPr>
          <w:rFonts w:ascii="宋体" w:hAnsi="宋体" w:eastAsia="宋体" w:cs="宋体"/>
          <w:color w:val="auto"/>
          <w:spacing w:val="-2"/>
          <w:sz w:val="24"/>
          <w:szCs w:val="24"/>
          <w:highlight w:val="none"/>
        </w:rPr>
        <w:t>：招标文件（含资格审查条件、评标办法）</w:t>
      </w:r>
    </w:p>
    <w:p w14:paraId="7EDDCE4C">
      <w:pPr>
        <w:keepNext w:val="0"/>
        <w:keepLines w:val="0"/>
        <w:pageBreakBefore w:val="0"/>
        <w:widowControl/>
        <w:kinsoku w:val="0"/>
        <w:wordWrap/>
        <w:overflowPunct/>
        <w:topLinePunct w:val="0"/>
        <w:autoSpaceDE w:val="0"/>
        <w:autoSpaceDN w:val="0"/>
        <w:bidi w:val="0"/>
        <w:adjustRightInd w:val="0"/>
        <w:snapToGrid w:val="0"/>
        <w:spacing w:line="317" w:lineRule="auto"/>
        <w:ind w:left="28" w:right="0" w:firstLine="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以上附件可从发布公告的网站媒介上下载。</w:t>
      </w:r>
    </w:p>
    <w:p w14:paraId="31CB5723">
      <w:pPr>
        <w:spacing w:line="243" w:lineRule="auto"/>
        <w:rPr>
          <w:rFonts w:ascii="Arial"/>
          <w:color w:val="auto"/>
          <w:sz w:val="21"/>
          <w:highlight w:val="none"/>
        </w:rPr>
      </w:pPr>
    </w:p>
    <w:p w14:paraId="23FD899E">
      <w:pPr>
        <w:spacing w:line="243" w:lineRule="auto"/>
        <w:rPr>
          <w:rFonts w:ascii="Arial"/>
          <w:color w:val="auto"/>
          <w:sz w:val="21"/>
          <w:highlight w:val="none"/>
        </w:rPr>
      </w:pPr>
    </w:p>
    <w:p w14:paraId="2FE2332B">
      <w:pPr>
        <w:spacing w:line="243" w:lineRule="auto"/>
        <w:rPr>
          <w:rFonts w:ascii="Arial"/>
          <w:color w:val="auto"/>
          <w:sz w:val="21"/>
          <w:highlight w:val="none"/>
        </w:rPr>
      </w:pPr>
    </w:p>
    <w:p w14:paraId="61AAB2DF">
      <w:pPr>
        <w:spacing w:line="243" w:lineRule="auto"/>
        <w:rPr>
          <w:rFonts w:ascii="Arial"/>
          <w:color w:val="auto"/>
          <w:sz w:val="21"/>
          <w:highlight w:val="none"/>
        </w:rPr>
      </w:pPr>
    </w:p>
    <w:p w14:paraId="7D24B35F">
      <w:pPr>
        <w:spacing w:line="243" w:lineRule="auto"/>
        <w:rPr>
          <w:rFonts w:ascii="Arial"/>
          <w:color w:val="auto"/>
          <w:sz w:val="21"/>
          <w:highlight w:val="none"/>
        </w:rPr>
      </w:pPr>
    </w:p>
    <w:p w14:paraId="086C9FAA">
      <w:pPr>
        <w:spacing w:line="243" w:lineRule="auto"/>
        <w:rPr>
          <w:rFonts w:ascii="Arial"/>
          <w:color w:val="auto"/>
          <w:sz w:val="21"/>
          <w:highlight w:val="none"/>
        </w:rPr>
      </w:pPr>
    </w:p>
    <w:p w14:paraId="76428A3E">
      <w:pPr>
        <w:spacing w:line="243" w:lineRule="auto"/>
        <w:rPr>
          <w:rFonts w:ascii="Arial"/>
          <w:color w:val="auto"/>
          <w:sz w:val="21"/>
          <w:highlight w:val="none"/>
        </w:rPr>
      </w:pPr>
    </w:p>
    <w:p w14:paraId="16E54C75">
      <w:pPr>
        <w:spacing w:line="243" w:lineRule="auto"/>
        <w:rPr>
          <w:rFonts w:ascii="Arial"/>
          <w:color w:val="auto"/>
          <w:sz w:val="21"/>
          <w:highlight w:val="none"/>
        </w:rPr>
      </w:pPr>
    </w:p>
    <w:p w14:paraId="36A5A8D6">
      <w:pPr>
        <w:spacing w:line="243" w:lineRule="auto"/>
        <w:rPr>
          <w:rFonts w:ascii="Arial"/>
          <w:color w:val="auto"/>
          <w:sz w:val="21"/>
          <w:highlight w:val="none"/>
        </w:rPr>
      </w:pPr>
    </w:p>
    <w:p w14:paraId="70C87D11">
      <w:pPr>
        <w:spacing w:line="243" w:lineRule="auto"/>
        <w:rPr>
          <w:rFonts w:ascii="Arial"/>
          <w:color w:val="auto"/>
          <w:sz w:val="21"/>
          <w:highlight w:val="none"/>
        </w:rPr>
      </w:pPr>
    </w:p>
    <w:p w14:paraId="46DFCE64">
      <w:pPr>
        <w:spacing w:line="243" w:lineRule="auto"/>
        <w:rPr>
          <w:rFonts w:ascii="Arial"/>
          <w:color w:val="auto"/>
          <w:sz w:val="21"/>
          <w:highlight w:val="none"/>
        </w:rPr>
      </w:pPr>
    </w:p>
    <w:p w14:paraId="62AADA97">
      <w:pPr>
        <w:spacing w:line="243" w:lineRule="auto"/>
        <w:rPr>
          <w:rFonts w:ascii="Arial"/>
          <w:color w:val="auto"/>
          <w:sz w:val="21"/>
          <w:highlight w:val="none"/>
        </w:rPr>
      </w:pPr>
    </w:p>
    <w:p w14:paraId="74BCD695">
      <w:pPr>
        <w:pStyle w:val="3"/>
        <w:bidi w:val="0"/>
        <w:rPr>
          <w:rFonts w:ascii="Arial"/>
          <w:color w:val="auto"/>
          <w:sz w:val="21"/>
          <w:highlight w:val="none"/>
        </w:rPr>
      </w:pPr>
      <w:r>
        <w:rPr>
          <w:color w:val="auto"/>
          <w:highlight w:val="none"/>
        </w:rPr>
        <w:t>附件 1</w:t>
      </w:r>
      <w:r>
        <w:rPr>
          <w:rFonts w:hint="eastAsia"/>
          <w:color w:val="auto"/>
          <w:highlight w:val="none"/>
          <w:lang w:val="en-US" w:eastAsia="zh-CN"/>
        </w:rPr>
        <w:t>：</w:t>
      </w:r>
      <w:r>
        <w:rPr>
          <w:color w:val="auto"/>
          <w:highlight w:val="none"/>
        </w:rPr>
        <w:t>标段的划分及主要工程项目情况</w:t>
      </w:r>
    </w:p>
    <w:tbl>
      <w:tblPr>
        <w:tblStyle w:val="19"/>
        <w:tblW w:w="9443" w:type="dxa"/>
        <w:tblInd w:w="1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7"/>
        <w:gridCol w:w="540"/>
        <w:gridCol w:w="948"/>
        <w:gridCol w:w="896"/>
        <w:gridCol w:w="2969"/>
        <w:gridCol w:w="1733"/>
        <w:gridCol w:w="1500"/>
      </w:tblGrid>
      <w:tr w14:paraId="7B39A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857" w:type="dxa"/>
            <w:vAlign w:val="center"/>
          </w:tcPr>
          <w:p w14:paraId="50E58759">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highlight w:val="none"/>
              </w:rPr>
            </w:pPr>
            <w:r>
              <w:rPr>
                <w:b w:val="0"/>
                <w:bCs w:val="0"/>
                <w:color w:val="auto"/>
                <w:spacing w:val="4"/>
                <w:highlight w:val="none"/>
              </w:rPr>
              <w:t>标类</w:t>
            </w:r>
          </w:p>
        </w:tc>
        <w:tc>
          <w:tcPr>
            <w:tcW w:w="540" w:type="dxa"/>
            <w:vAlign w:val="center"/>
          </w:tcPr>
          <w:p w14:paraId="22A5F616">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highlight w:val="none"/>
              </w:rPr>
            </w:pPr>
            <w:r>
              <w:rPr>
                <w:b w:val="0"/>
                <w:bCs w:val="0"/>
                <w:color w:val="auto"/>
                <w:spacing w:val="4"/>
                <w:highlight w:val="none"/>
              </w:rPr>
              <w:t>标段</w:t>
            </w:r>
            <w:r>
              <w:rPr>
                <w:b w:val="0"/>
                <w:bCs w:val="0"/>
                <w:color w:val="auto"/>
                <w:highlight w:val="none"/>
              </w:rPr>
              <w:t>号</w:t>
            </w:r>
          </w:p>
        </w:tc>
        <w:tc>
          <w:tcPr>
            <w:tcW w:w="948" w:type="dxa"/>
            <w:vAlign w:val="center"/>
          </w:tcPr>
          <w:p w14:paraId="696A5BF8">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highlight w:val="none"/>
              </w:rPr>
            </w:pPr>
            <w:r>
              <w:rPr>
                <w:b w:val="0"/>
                <w:bCs w:val="0"/>
                <w:color w:val="auto"/>
                <w:spacing w:val="6"/>
                <w:highlight w:val="none"/>
              </w:rPr>
              <w:t>合同起讫桩号</w:t>
            </w:r>
          </w:p>
        </w:tc>
        <w:tc>
          <w:tcPr>
            <w:tcW w:w="896" w:type="dxa"/>
            <w:vAlign w:val="center"/>
          </w:tcPr>
          <w:p w14:paraId="2283B3A3">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highlight w:val="none"/>
              </w:rPr>
            </w:pPr>
            <w:r>
              <w:rPr>
                <w:b w:val="0"/>
                <w:bCs w:val="0"/>
                <w:color w:val="auto"/>
                <w:spacing w:val="3"/>
                <w:highlight w:val="none"/>
              </w:rPr>
              <w:t>里程</w:t>
            </w:r>
            <w:r>
              <w:rPr>
                <w:b w:val="0"/>
                <w:bCs w:val="0"/>
                <w:color w:val="auto"/>
                <w:spacing w:val="4"/>
                <w:highlight w:val="none"/>
              </w:rPr>
              <w:t>长度</w:t>
            </w:r>
          </w:p>
        </w:tc>
        <w:tc>
          <w:tcPr>
            <w:tcW w:w="2969" w:type="dxa"/>
            <w:vAlign w:val="center"/>
          </w:tcPr>
          <w:p w14:paraId="773995D1">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sz w:val="10"/>
                <w:szCs w:val="10"/>
                <w:highlight w:val="none"/>
              </w:rPr>
            </w:pPr>
            <w:r>
              <w:rPr>
                <w:b w:val="0"/>
                <w:bCs w:val="0"/>
                <w:color w:val="auto"/>
                <w:spacing w:val="6"/>
                <w:highlight w:val="none"/>
              </w:rPr>
              <w:t>招标内容</w:t>
            </w:r>
          </w:p>
        </w:tc>
        <w:tc>
          <w:tcPr>
            <w:tcW w:w="1733" w:type="dxa"/>
            <w:vAlign w:val="center"/>
          </w:tcPr>
          <w:p w14:paraId="2134E64E">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highlight w:val="none"/>
              </w:rPr>
            </w:pPr>
            <w:r>
              <w:rPr>
                <w:b w:val="0"/>
                <w:bCs w:val="0"/>
                <w:color w:val="auto"/>
                <w:spacing w:val="7"/>
                <w:highlight w:val="none"/>
              </w:rPr>
              <w:t>监理服务期</w:t>
            </w:r>
          </w:p>
        </w:tc>
        <w:tc>
          <w:tcPr>
            <w:tcW w:w="1500" w:type="dxa"/>
            <w:vAlign w:val="center"/>
          </w:tcPr>
          <w:p w14:paraId="49831229">
            <w:pPr>
              <w:pStyle w:val="20"/>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b w:val="0"/>
                <w:bCs w:val="0"/>
                <w:color w:val="auto"/>
                <w:sz w:val="10"/>
                <w:szCs w:val="10"/>
                <w:highlight w:val="none"/>
              </w:rPr>
            </w:pPr>
            <w:r>
              <w:rPr>
                <w:b w:val="0"/>
                <w:bCs w:val="0"/>
                <w:color w:val="auto"/>
                <w:spacing w:val="5"/>
                <w:highlight w:val="none"/>
              </w:rPr>
              <w:t>资质等级</w:t>
            </w:r>
          </w:p>
        </w:tc>
      </w:tr>
      <w:tr w14:paraId="18574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1" w:hRule="atLeast"/>
        </w:trPr>
        <w:tc>
          <w:tcPr>
            <w:tcW w:w="857" w:type="dxa"/>
            <w:vAlign w:val="top"/>
          </w:tcPr>
          <w:p w14:paraId="3DB724E6">
            <w:pPr>
              <w:spacing w:line="253" w:lineRule="auto"/>
              <w:rPr>
                <w:rFonts w:ascii="Arial"/>
                <w:color w:val="auto"/>
                <w:sz w:val="21"/>
                <w:highlight w:val="none"/>
              </w:rPr>
            </w:pPr>
          </w:p>
          <w:p w14:paraId="7CBB8980">
            <w:pPr>
              <w:spacing w:line="253" w:lineRule="auto"/>
              <w:rPr>
                <w:rFonts w:ascii="Arial"/>
                <w:color w:val="auto"/>
                <w:sz w:val="21"/>
                <w:highlight w:val="none"/>
              </w:rPr>
            </w:pPr>
          </w:p>
          <w:p w14:paraId="05996240">
            <w:pPr>
              <w:spacing w:line="253" w:lineRule="auto"/>
              <w:rPr>
                <w:rFonts w:ascii="Arial"/>
                <w:color w:val="auto"/>
                <w:sz w:val="21"/>
                <w:highlight w:val="none"/>
              </w:rPr>
            </w:pPr>
          </w:p>
          <w:p w14:paraId="27DA94B4">
            <w:pPr>
              <w:spacing w:line="254" w:lineRule="auto"/>
              <w:rPr>
                <w:rFonts w:ascii="Arial"/>
                <w:color w:val="auto"/>
                <w:sz w:val="21"/>
                <w:highlight w:val="none"/>
              </w:rPr>
            </w:pPr>
          </w:p>
          <w:p w14:paraId="0A5F070C">
            <w:pPr>
              <w:spacing w:line="254" w:lineRule="auto"/>
              <w:rPr>
                <w:rFonts w:ascii="Arial"/>
                <w:color w:val="auto"/>
                <w:sz w:val="21"/>
                <w:highlight w:val="none"/>
              </w:rPr>
            </w:pPr>
          </w:p>
          <w:p w14:paraId="13947EE1">
            <w:pPr>
              <w:spacing w:line="254" w:lineRule="auto"/>
              <w:rPr>
                <w:rFonts w:ascii="Arial"/>
                <w:color w:val="auto"/>
                <w:sz w:val="21"/>
                <w:highlight w:val="none"/>
              </w:rPr>
            </w:pPr>
          </w:p>
          <w:p w14:paraId="677D7585">
            <w:pPr>
              <w:pStyle w:val="20"/>
              <w:keepNext w:val="0"/>
              <w:keepLines w:val="0"/>
              <w:pageBreakBefore w:val="0"/>
              <w:widowControl w:val="0"/>
              <w:kinsoku/>
              <w:wordWrap/>
              <w:overflowPunct/>
              <w:topLinePunct w:val="0"/>
              <w:autoSpaceDE/>
              <w:autoSpaceDN/>
              <w:bidi w:val="0"/>
              <w:adjustRightInd/>
              <w:snapToGrid/>
              <w:spacing w:line="288" w:lineRule="auto"/>
              <w:ind w:left="0" w:right="0" w:firstLine="0"/>
              <w:jc w:val="center"/>
              <w:textAlignment w:val="auto"/>
              <w:rPr>
                <w:color w:val="auto"/>
                <w:sz w:val="10"/>
                <w:szCs w:val="10"/>
                <w:highlight w:val="none"/>
              </w:rPr>
            </w:pPr>
            <w:r>
              <w:rPr>
                <w:b/>
                <w:bCs/>
                <w:color w:val="auto"/>
                <w:spacing w:val="3"/>
                <w:highlight w:val="none"/>
              </w:rPr>
              <w:t>土建</w:t>
            </w:r>
            <w:r>
              <w:rPr>
                <w:b/>
                <w:bCs/>
                <w:color w:val="auto"/>
                <w:spacing w:val="29"/>
                <w:highlight w:val="none"/>
              </w:rPr>
              <w:t>监理含中心试验室</w:t>
            </w:r>
            <w:r>
              <w:rPr>
                <w:b/>
                <w:bCs/>
                <w:color w:val="auto"/>
                <w:spacing w:val="33"/>
                <w:w w:val="113"/>
                <w:highlight w:val="none"/>
              </w:rPr>
              <w:t>（D</w:t>
            </w:r>
            <w:r>
              <w:rPr>
                <w:b/>
                <w:bCs/>
                <w:color w:val="auto"/>
                <w:spacing w:val="4"/>
                <w:position w:val="-1"/>
                <w:highlight w:val="none"/>
              </w:rPr>
              <w:t>类）</w:t>
            </w:r>
          </w:p>
        </w:tc>
        <w:tc>
          <w:tcPr>
            <w:tcW w:w="540" w:type="dxa"/>
            <w:vAlign w:val="center"/>
          </w:tcPr>
          <w:p w14:paraId="04B73183">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c>
          <w:tcPr>
            <w:tcW w:w="948" w:type="dxa"/>
            <w:vAlign w:val="center"/>
          </w:tcPr>
          <w:p w14:paraId="282C06D1">
            <w:pPr>
              <w:jc w:val="center"/>
              <w:rPr>
                <w:rFonts w:hint="eastAsia" w:ascii="Arial" w:eastAsia="宋体"/>
                <w:color w:val="auto"/>
                <w:sz w:val="21"/>
                <w:highlight w:val="none"/>
                <w:lang w:val="en-US" w:eastAsia="zh-CN"/>
              </w:rPr>
            </w:pPr>
            <w:r>
              <w:rPr>
                <w:rFonts w:ascii="宋体" w:hAnsi="宋体" w:eastAsia="宋体" w:cs="宋体"/>
                <w:color w:val="auto"/>
                <w:spacing w:val="-1"/>
                <w:sz w:val="22"/>
                <w:szCs w:val="22"/>
                <w:highlight w:val="none"/>
                <w:u w:val="single"/>
              </w:rPr>
              <w:t>K111+930.414</w:t>
            </w:r>
            <w:r>
              <w:rPr>
                <w:rFonts w:hint="eastAsia" w:ascii="宋体" w:hAnsi="宋体" w:eastAsia="宋体" w:cs="宋体"/>
                <w:color w:val="auto"/>
                <w:spacing w:val="-1"/>
                <w:sz w:val="22"/>
                <w:szCs w:val="22"/>
                <w:highlight w:val="none"/>
                <w:u w:val="single"/>
                <w:lang w:val="en-US" w:eastAsia="zh-CN"/>
              </w:rPr>
              <w:t>~K146+967.413</w:t>
            </w:r>
          </w:p>
        </w:tc>
        <w:tc>
          <w:tcPr>
            <w:tcW w:w="896" w:type="dxa"/>
            <w:vAlign w:val="center"/>
          </w:tcPr>
          <w:p w14:paraId="62E45E34">
            <w:pPr>
              <w:jc w:val="center"/>
              <w:rPr>
                <w:rFonts w:ascii="Arial"/>
                <w:color w:val="auto"/>
                <w:sz w:val="21"/>
                <w:highlight w:val="none"/>
              </w:rPr>
            </w:pPr>
            <w:r>
              <w:rPr>
                <w:rFonts w:hint="eastAsia" w:ascii="宋体" w:hAnsi="宋体" w:eastAsia="宋体" w:cs="宋体"/>
                <w:b w:val="0"/>
                <w:bCs w:val="0"/>
                <w:color w:val="auto"/>
                <w:sz w:val="21"/>
                <w:highlight w:val="none"/>
                <w:lang w:val="en-US" w:eastAsia="zh-CN"/>
              </w:rPr>
              <w:t>35.037公里</w:t>
            </w:r>
          </w:p>
        </w:tc>
        <w:tc>
          <w:tcPr>
            <w:tcW w:w="2969" w:type="dxa"/>
            <w:vAlign w:val="top"/>
          </w:tcPr>
          <w:p w14:paraId="5648D03F">
            <w:pPr>
              <w:pStyle w:val="20"/>
              <w:tabs>
                <w:tab w:val="left" w:pos="2858"/>
              </w:tabs>
              <w:spacing w:before="34" w:line="289" w:lineRule="auto"/>
              <w:ind w:left="112" w:right="104" w:firstLine="3"/>
              <w:jc w:val="both"/>
              <w:rPr>
                <w:color w:val="auto"/>
                <w:highlight w:val="none"/>
              </w:rPr>
            </w:pPr>
            <w:r>
              <w:rPr>
                <w:color w:val="auto"/>
                <w:spacing w:val="18"/>
                <w:highlight w:val="none"/>
              </w:rPr>
              <w:t>里程范围内</w:t>
            </w:r>
            <w:r>
              <w:rPr>
                <w:color w:val="auto"/>
                <w:spacing w:val="18"/>
                <w:highlight w:val="none"/>
                <w:u w:val="single" w:color="auto"/>
              </w:rPr>
              <w:t>路基、桥涵、路</w:t>
            </w:r>
            <w:r>
              <w:rPr>
                <w:color w:val="auto"/>
                <w:spacing w:val="11"/>
                <w:highlight w:val="none"/>
                <w:u w:val="single" w:color="auto"/>
              </w:rPr>
              <w:t>面、绿化、交通安全设</w:t>
            </w:r>
            <w:r>
              <w:rPr>
                <w:color w:val="auto"/>
                <w:spacing w:val="25"/>
                <w:highlight w:val="none"/>
                <w:u w:val="single" w:color="auto"/>
              </w:rPr>
              <w:t>施、机电工程三大系统（监</w:t>
            </w:r>
            <w:r>
              <w:rPr>
                <w:color w:val="auto"/>
                <w:spacing w:val="11"/>
                <w:highlight w:val="none"/>
                <w:u w:val="single" w:color="auto"/>
              </w:rPr>
              <w:t>控、通信和收费）、通信管道</w:t>
            </w:r>
            <w:r>
              <w:rPr>
                <w:color w:val="auto"/>
                <w:highlight w:val="none"/>
                <w:u w:val="single" w:color="auto"/>
              </w:rPr>
              <w:t>工程</w:t>
            </w:r>
            <w:r>
              <w:rPr>
                <w:color w:val="auto"/>
                <w:spacing w:val="7"/>
                <w:highlight w:val="none"/>
                <w:u w:val="single" w:color="auto"/>
              </w:rPr>
              <w:t>以及供配</w:t>
            </w:r>
            <w:r>
              <w:rPr>
                <w:color w:val="auto"/>
                <w:spacing w:val="11"/>
                <w:highlight w:val="none"/>
                <w:u w:val="single" w:color="auto"/>
              </w:rPr>
              <w:t>电、照明工程及沿线附属设施</w:t>
            </w:r>
            <w:r>
              <w:rPr>
                <w:color w:val="auto"/>
                <w:spacing w:val="11"/>
                <w:highlight w:val="none"/>
              </w:rPr>
              <w:t>等的施工准备阶段、施工阶段、缺陷责任期阶段的施</w:t>
            </w:r>
            <w:r>
              <w:rPr>
                <w:color w:val="auto"/>
                <w:spacing w:val="10"/>
                <w:highlight w:val="none"/>
              </w:rPr>
              <w:t>工监理、施工安全的监理，项</w:t>
            </w:r>
            <w:r>
              <w:rPr>
                <w:color w:val="auto"/>
                <w:spacing w:val="11"/>
                <w:highlight w:val="none"/>
              </w:rPr>
              <w:t>目的环境保护、</w:t>
            </w:r>
            <w:r>
              <w:rPr>
                <w:color w:val="auto"/>
                <w:spacing w:val="11"/>
                <w:highlight w:val="none"/>
                <w:u w:val="none" w:color="auto"/>
              </w:rPr>
              <w:t>水土保持</w:t>
            </w:r>
            <w:r>
              <w:rPr>
                <w:color w:val="auto"/>
                <w:spacing w:val="11"/>
                <w:highlight w:val="none"/>
              </w:rPr>
              <w:t>的监理，参建各方竣工档案编制工</w:t>
            </w:r>
            <w:r>
              <w:rPr>
                <w:color w:val="auto"/>
                <w:spacing w:val="7"/>
                <w:highlight w:val="none"/>
              </w:rPr>
              <w:t>作的监理，以及配合业主交、</w:t>
            </w:r>
            <w:r>
              <w:rPr>
                <w:color w:val="auto"/>
                <w:spacing w:val="11"/>
                <w:highlight w:val="none"/>
              </w:rPr>
              <w:t>竣工验收和配合业主竣工验收前的结算与决算的有关工作。并负责监理中心试验室的筹建</w:t>
            </w:r>
            <w:bookmarkStart w:id="6" w:name="bookmark6"/>
            <w:bookmarkEnd w:id="6"/>
            <w:bookmarkStart w:id="7" w:name="_Toc23680"/>
            <w:r>
              <w:rPr>
                <w:color w:val="auto"/>
                <w:spacing w:val="2"/>
                <w:highlight w:val="none"/>
              </w:rPr>
              <w:t>工作。</w:t>
            </w:r>
            <w:bookmarkEnd w:id="7"/>
          </w:p>
        </w:tc>
        <w:tc>
          <w:tcPr>
            <w:tcW w:w="1733" w:type="dxa"/>
            <w:vAlign w:val="center"/>
          </w:tcPr>
          <w:p w14:paraId="27361508">
            <w:pPr>
              <w:keepNext w:val="0"/>
              <w:keepLines w:val="0"/>
              <w:pageBreakBefore w:val="0"/>
              <w:widowControl w:val="0"/>
              <w:kinsoku/>
              <w:wordWrap/>
              <w:overflowPunct/>
              <w:topLinePunct w:val="0"/>
              <w:autoSpaceDE/>
              <w:autoSpaceDN/>
              <w:bidi w:val="0"/>
              <w:adjustRightInd/>
              <w:snapToGrid/>
              <w:spacing w:line="288" w:lineRule="auto"/>
              <w:ind w:left="68" w:right="68"/>
              <w:jc w:val="both"/>
              <w:textAlignment w:val="auto"/>
              <w:rPr>
                <w:color w:val="auto"/>
                <w:highlight w:val="none"/>
              </w:rPr>
            </w:pPr>
            <w:r>
              <w:rPr>
                <w:color w:val="auto"/>
                <w:sz w:val="20"/>
                <w:szCs w:val="15"/>
                <w:highlight w:val="none"/>
              </w:rPr>
              <w:t>施工监理服务期限为：</w:t>
            </w:r>
            <w:r>
              <w:rPr>
                <w:rFonts w:hint="eastAsia"/>
                <w:color w:val="auto"/>
                <w:sz w:val="20"/>
                <w:szCs w:val="15"/>
                <w:highlight w:val="none"/>
                <w:u w:val="single"/>
                <w:lang w:val="en-US" w:eastAsia="zh-CN"/>
              </w:rPr>
              <w:t>61</w:t>
            </w:r>
            <w:r>
              <w:rPr>
                <w:color w:val="auto"/>
                <w:sz w:val="20"/>
                <w:szCs w:val="15"/>
                <w:highlight w:val="none"/>
              </w:rPr>
              <w:t>个月，包括施工准备阶段监</w:t>
            </w:r>
            <w:r>
              <w:rPr>
                <w:rFonts w:hint="eastAsia"/>
                <w:color w:val="auto"/>
                <w:sz w:val="20"/>
                <w:szCs w:val="15"/>
                <w:highlight w:val="none"/>
                <w:lang w:val="en-US" w:eastAsia="zh-CN"/>
              </w:rPr>
              <w:t>理</w:t>
            </w:r>
            <w:r>
              <w:rPr>
                <w:rFonts w:hint="eastAsia"/>
                <w:color w:val="auto"/>
                <w:sz w:val="20"/>
                <w:szCs w:val="15"/>
                <w:highlight w:val="none"/>
                <w:u w:val="single"/>
                <w:lang w:val="en-US" w:eastAsia="zh-CN"/>
              </w:rPr>
              <w:t>1</w:t>
            </w:r>
            <w:r>
              <w:rPr>
                <w:rFonts w:hint="eastAsia"/>
                <w:color w:val="auto"/>
                <w:sz w:val="20"/>
                <w:szCs w:val="15"/>
                <w:highlight w:val="none"/>
                <w:lang w:val="en-US" w:eastAsia="zh-CN"/>
              </w:rPr>
              <w:t>个</w:t>
            </w:r>
            <w:r>
              <w:rPr>
                <w:color w:val="auto"/>
                <w:sz w:val="20"/>
                <w:szCs w:val="15"/>
                <w:highlight w:val="none"/>
              </w:rPr>
              <w:t>月，施工阶段监理</w:t>
            </w:r>
            <w:r>
              <w:rPr>
                <w:rFonts w:hint="eastAsia"/>
                <w:color w:val="auto"/>
                <w:sz w:val="20"/>
                <w:szCs w:val="15"/>
                <w:highlight w:val="none"/>
                <w:u w:val="single"/>
                <w:lang w:val="en-US" w:eastAsia="zh-CN"/>
              </w:rPr>
              <w:t>36</w:t>
            </w:r>
            <w:r>
              <w:rPr>
                <w:color w:val="auto"/>
                <w:sz w:val="20"/>
                <w:szCs w:val="15"/>
                <w:highlight w:val="none"/>
              </w:rPr>
              <w:t>个月，交工验收及缺陷责任期监理</w:t>
            </w:r>
            <w:r>
              <w:rPr>
                <w:color w:val="auto"/>
                <w:sz w:val="20"/>
                <w:szCs w:val="15"/>
                <w:highlight w:val="none"/>
                <w:u w:val="single"/>
              </w:rPr>
              <w:t>24</w:t>
            </w:r>
            <w:r>
              <w:rPr>
                <w:color w:val="auto"/>
                <w:sz w:val="20"/>
                <w:szCs w:val="15"/>
                <w:highlight w:val="none"/>
              </w:rPr>
              <w:t>个月，如施工工期进行调整，监理服务期也相应进行调整。</w:t>
            </w:r>
          </w:p>
        </w:tc>
        <w:tc>
          <w:tcPr>
            <w:tcW w:w="1500" w:type="dxa"/>
            <w:vAlign w:val="top"/>
          </w:tcPr>
          <w:p w14:paraId="66A04611">
            <w:pPr>
              <w:spacing w:line="274" w:lineRule="auto"/>
              <w:rPr>
                <w:rFonts w:ascii="Arial"/>
                <w:color w:val="auto"/>
                <w:sz w:val="21"/>
                <w:highlight w:val="none"/>
              </w:rPr>
            </w:pPr>
          </w:p>
          <w:p w14:paraId="527F5883">
            <w:pPr>
              <w:spacing w:line="274" w:lineRule="auto"/>
              <w:rPr>
                <w:rFonts w:ascii="Arial"/>
                <w:color w:val="auto"/>
                <w:sz w:val="21"/>
                <w:highlight w:val="none"/>
              </w:rPr>
            </w:pPr>
          </w:p>
          <w:p w14:paraId="1169865A">
            <w:pPr>
              <w:spacing w:line="275" w:lineRule="auto"/>
              <w:rPr>
                <w:rFonts w:ascii="Arial"/>
                <w:color w:val="auto"/>
                <w:sz w:val="21"/>
                <w:highlight w:val="none"/>
              </w:rPr>
            </w:pPr>
          </w:p>
          <w:p w14:paraId="114C3726">
            <w:pPr>
              <w:spacing w:line="275" w:lineRule="auto"/>
              <w:rPr>
                <w:rFonts w:ascii="Arial"/>
                <w:color w:val="auto"/>
                <w:sz w:val="21"/>
                <w:highlight w:val="none"/>
              </w:rPr>
            </w:pPr>
          </w:p>
          <w:p w14:paraId="0D721372">
            <w:pPr>
              <w:spacing w:line="275" w:lineRule="auto"/>
              <w:rPr>
                <w:rFonts w:ascii="Arial"/>
                <w:color w:val="auto"/>
                <w:sz w:val="21"/>
                <w:highlight w:val="none"/>
              </w:rPr>
            </w:pPr>
          </w:p>
          <w:p w14:paraId="249EA8FF">
            <w:pPr>
              <w:pStyle w:val="20"/>
              <w:keepNext w:val="0"/>
              <w:keepLines w:val="0"/>
              <w:pageBreakBefore w:val="0"/>
              <w:widowControl w:val="0"/>
              <w:kinsoku/>
              <w:wordWrap w:val="0"/>
              <w:overflowPunct/>
              <w:topLinePunct/>
              <w:autoSpaceDE/>
              <w:autoSpaceDN/>
              <w:bidi w:val="0"/>
              <w:adjustRightInd/>
              <w:snapToGrid/>
              <w:spacing w:before="65" w:line="288" w:lineRule="auto"/>
              <w:ind w:left="85" w:right="85" w:firstLine="6"/>
              <w:jc w:val="left"/>
              <w:textAlignment w:val="auto"/>
              <w:rPr>
                <w:color w:val="auto"/>
                <w:highlight w:val="none"/>
              </w:rPr>
            </w:pPr>
            <w:r>
              <w:rPr>
                <w:color w:val="auto"/>
                <w:spacing w:val="-2"/>
                <w:highlight w:val="none"/>
              </w:rPr>
              <w:t>具有交通</w:t>
            </w:r>
            <w:r>
              <w:rPr>
                <w:color w:val="auto"/>
                <w:spacing w:val="-1"/>
                <w:highlight w:val="none"/>
              </w:rPr>
              <w:t>运输主管</w:t>
            </w:r>
            <w:r>
              <w:rPr>
                <w:color w:val="auto"/>
                <w:spacing w:val="-7"/>
                <w:highlight w:val="none"/>
              </w:rPr>
              <w:t>部门核发</w:t>
            </w:r>
            <w:r>
              <w:rPr>
                <w:color w:val="auto"/>
                <w:spacing w:val="-1"/>
                <w:highlight w:val="none"/>
              </w:rPr>
              <w:t>的在有效</w:t>
            </w:r>
            <w:r>
              <w:rPr>
                <w:color w:val="auto"/>
                <w:spacing w:val="-11"/>
                <w:highlight w:val="none"/>
              </w:rPr>
              <w:t>期内的公</w:t>
            </w:r>
            <w:r>
              <w:rPr>
                <w:color w:val="auto"/>
                <w:spacing w:val="12"/>
                <w:highlight w:val="none"/>
              </w:rPr>
              <w:t>路工程</w:t>
            </w:r>
            <w:r>
              <w:rPr>
                <w:rFonts w:hint="eastAsia"/>
                <w:color w:val="auto"/>
                <w:spacing w:val="53"/>
                <w:highlight w:val="none"/>
                <w:u w:val="single" w:color="auto"/>
                <w:lang w:eastAsia="zh-CN"/>
              </w:rPr>
              <w:t>乙</w:t>
            </w:r>
            <w:r>
              <w:rPr>
                <w:color w:val="auto"/>
                <w:spacing w:val="12"/>
                <w:highlight w:val="none"/>
                <w:u w:val="single" w:color="auto"/>
              </w:rPr>
              <w:t>级</w:t>
            </w:r>
            <w:r>
              <w:rPr>
                <w:rFonts w:hint="eastAsia"/>
                <w:color w:val="auto"/>
                <w:spacing w:val="12"/>
                <w:highlight w:val="none"/>
                <w:u w:val="single" w:color="auto"/>
                <w:lang w:val="en-US" w:eastAsia="zh-CN"/>
              </w:rPr>
              <w:t>以上（含乙级）</w:t>
            </w:r>
            <w:r>
              <w:rPr>
                <w:color w:val="auto"/>
                <w:spacing w:val="-1"/>
                <w:highlight w:val="none"/>
              </w:rPr>
              <w:t>监理企业</w:t>
            </w:r>
            <w:r>
              <w:rPr>
                <w:color w:val="auto"/>
                <w:spacing w:val="3"/>
                <w:highlight w:val="none"/>
              </w:rPr>
              <w:t>资质。</w:t>
            </w:r>
          </w:p>
        </w:tc>
      </w:tr>
    </w:tbl>
    <w:p w14:paraId="27EE77DC">
      <w:pPr>
        <w:spacing w:line="241" w:lineRule="auto"/>
        <w:rPr>
          <w:rFonts w:ascii="Arial"/>
          <w:color w:val="auto"/>
          <w:sz w:val="21"/>
          <w:highlight w:val="none"/>
        </w:rPr>
      </w:pPr>
    </w:p>
    <w:p w14:paraId="2279401D">
      <w:pPr>
        <w:spacing w:line="242" w:lineRule="auto"/>
        <w:rPr>
          <w:rFonts w:ascii="Arial"/>
          <w:color w:val="auto"/>
          <w:sz w:val="21"/>
          <w:highlight w:val="none"/>
        </w:rPr>
      </w:pPr>
    </w:p>
    <w:p w14:paraId="11F0FCBB">
      <w:pPr>
        <w:spacing w:line="241" w:lineRule="auto"/>
        <w:rPr>
          <w:rFonts w:ascii="Arial"/>
          <w:color w:val="auto"/>
          <w:sz w:val="21"/>
          <w:highlight w:val="none"/>
        </w:rPr>
      </w:pPr>
    </w:p>
    <w:p w14:paraId="2B0B8638">
      <w:pPr>
        <w:spacing w:line="241" w:lineRule="auto"/>
        <w:rPr>
          <w:rFonts w:ascii="Arial"/>
          <w:color w:val="auto"/>
          <w:sz w:val="21"/>
          <w:highlight w:val="none"/>
        </w:rPr>
      </w:pPr>
    </w:p>
    <w:p w14:paraId="510031F1">
      <w:pPr>
        <w:spacing w:line="241" w:lineRule="auto"/>
        <w:rPr>
          <w:rFonts w:ascii="Arial"/>
          <w:color w:val="auto"/>
          <w:sz w:val="21"/>
          <w:highlight w:val="none"/>
        </w:rPr>
      </w:pPr>
    </w:p>
    <w:p w14:paraId="555911AD">
      <w:pPr>
        <w:spacing w:line="241" w:lineRule="auto"/>
        <w:rPr>
          <w:rFonts w:ascii="Arial"/>
          <w:color w:val="auto"/>
          <w:sz w:val="21"/>
          <w:highlight w:val="none"/>
        </w:rPr>
      </w:pPr>
    </w:p>
    <w:p w14:paraId="74888296">
      <w:pPr>
        <w:spacing w:line="241" w:lineRule="auto"/>
        <w:rPr>
          <w:rFonts w:ascii="Arial"/>
          <w:color w:val="auto"/>
          <w:sz w:val="21"/>
          <w:highlight w:val="none"/>
        </w:rPr>
      </w:pPr>
    </w:p>
    <w:p w14:paraId="736FBFA0">
      <w:pPr>
        <w:spacing w:line="241" w:lineRule="auto"/>
        <w:rPr>
          <w:rFonts w:ascii="Arial"/>
          <w:color w:val="auto"/>
          <w:sz w:val="21"/>
          <w:highlight w:val="none"/>
        </w:rPr>
      </w:pPr>
    </w:p>
    <w:p w14:paraId="29C031BB">
      <w:pPr>
        <w:spacing w:line="241" w:lineRule="auto"/>
        <w:rPr>
          <w:rFonts w:ascii="Arial"/>
          <w:color w:val="auto"/>
          <w:sz w:val="21"/>
          <w:highlight w:val="none"/>
        </w:rPr>
      </w:pPr>
    </w:p>
    <w:p w14:paraId="3E0C6EAD">
      <w:pPr>
        <w:spacing w:line="241" w:lineRule="auto"/>
        <w:rPr>
          <w:rFonts w:ascii="Arial"/>
          <w:color w:val="auto"/>
          <w:sz w:val="21"/>
          <w:highlight w:val="none"/>
        </w:rPr>
      </w:pPr>
    </w:p>
    <w:p w14:paraId="1F8415AB">
      <w:pPr>
        <w:spacing w:line="241" w:lineRule="auto"/>
        <w:rPr>
          <w:rFonts w:ascii="Arial"/>
          <w:color w:val="auto"/>
          <w:sz w:val="21"/>
          <w:highlight w:val="none"/>
        </w:rPr>
      </w:pPr>
    </w:p>
    <w:p w14:paraId="479C4A81">
      <w:pPr>
        <w:spacing w:line="241" w:lineRule="auto"/>
        <w:rPr>
          <w:rFonts w:ascii="Arial"/>
          <w:color w:val="auto"/>
          <w:sz w:val="21"/>
          <w:highlight w:val="none"/>
        </w:rPr>
      </w:pPr>
    </w:p>
    <w:p w14:paraId="25D347E1">
      <w:pPr>
        <w:spacing w:line="241" w:lineRule="auto"/>
        <w:rPr>
          <w:rFonts w:ascii="Arial"/>
          <w:color w:val="auto"/>
          <w:sz w:val="21"/>
          <w:highlight w:val="none"/>
        </w:rPr>
      </w:pPr>
    </w:p>
    <w:p w14:paraId="14F2C03A">
      <w:pPr>
        <w:spacing w:line="241" w:lineRule="auto"/>
        <w:rPr>
          <w:rFonts w:ascii="Arial"/>
          <w:color w:val="auto"/>
          <w:sz w:val="21"/>
          <w:highlight w:val="none"/>
        </w:rPr>
      </w:pPr>
    </w:p>
    <w:p w14:paraId="4B94326F">
      <w:pPr>
        <w:spacing w:line="242" w:lineRule="auto"/>
        <w:rPr>
          <w:rFonts w:ascii="Arial"/>
          <w:color w:val="auto"/>
          <w:sz w:val="21"/>
          <w:highlight w:val="none"/>
        </w:rPr>
      </w:pPr>
    </w:p>
    <w:p w14:paraId="62E85F0F">
      <w:pPr>
        <w:spacing w:line="242" w:lineRule="auto"/>
        <w:rPr>
          <w:rFonts w:ascii="Arial"/>
          <w:color w:val="auto"/>
          <w:sz w:val="21"/>
          <w:highlight w:val="none"/>
        </w:rPr>
      </w:pPr>
    </w:p>
    <w:p w14:paraId="6B1CAC19">
      <w:pPr>
        <w:spacing w:line="242" w:lineRule="auto"/>
        <w:rPr>
          <w:rFonts w:ascii="Arial"/>
          <w:color w:val="auto"/>
          <w:sz w:val="21"/>
          <w:highlight w:val="none"/>
        </w:rPr>
      </w:pPr>
    </w:p>
    <w:p w14:paraId="5DC6EBA5">
      <w:pPr>
        <w:spacing w:line="242" w:lineRule="auto"/>
        <w:rPr>
          <w:rFonts w:ascii="Arial"/>
          <w:color w:val="auto"/>
          <w:sz w:val="21"/>
          <w:highlight w:val="none"/>
        </w:rPr>
      </w:pPr>
    </w:p>
    <w:p w14:paraId="4A63558C">
      <w:pPr>
        <w:spacing w:line="242" w:lineRule="auto"/>
        <w:rPr>
          <w:rFonts w:ascii="Arial"/>
          <w:color w:val="auto"/>
          <w:sz w:val="21"/>
          <w:highlight w:val="none"/>
        </w:rPr>
      </w:pPr>
    </w:p>
    <w:p w14:paraId="78E74775">
      <w:pPr>
        <w:spacing w:line="242" w:lineRule="auto"/>
        <w:rPr>
          <w:rFonts w:ascii="Arial"/>
          <w:color w:val="auto"/>
          <w:sz w:val="21"/>
          <w:highlight w:val="none"/>
        </w:rPr>
      </w:pPr>
    </w:p>
    <w:p w14:paraId="11C0F540">
      <w:pPr>
        <w:spacing w:line="242" w:lineRule="auto"/>
        <w:rPr>
          <w:rFonts w:ascii="Arial"/>
          <w:color w:val="auto"/>
          <w:sz w:val="21"/>
          <w:highlight w:val="none"/>
        </w:rPr>
      </w:pPr>
    </w:p>
    <w:p w14:paraId="3067B582">
      <w:pPr>
        <w:spacing w:line="242" w:lineRule="auto"/>
        <w:rPr>
          <w:rFonts w:ascii="Arial"/>
          <w:color w:val="auto"/>
          <w:sz w:val="21"/>
          <w:highlight w:val="none"/>
        </w:rPr>
      </w:pPr>
    </w:p>
    <w:p w14:paraId="3EEB099D">
      <w:pPr>
        <w:spacing w:line="242" w:lineRule="auto"/>
        <w:rPr>
          <w:rFonts w:ascii="Arial"/>
          <w:color w:val="auto"/>
          <w:sz w:val="21"/>
          <w:highlight w:val="none"/>
        </w:rPr>
      </w:pPr>
    </w:p>
    <w:p w14:paraId="71EC0AE7">
      <w:pPr>
        <w:spacing w:line="242" w:lineRule="auto"/>
        <w:rPr>
          <w:rFonts w:ascii="Arial"/>
          <w:color w:val="auto"/>
          <w:sz w:val="21"/>
          <w:highlight w:val="none"/>
        </w:rPr>
      </w:pPr>
    </w:p>
    <w:p w14:paraId="08914404">
      <w:pPr>
        <w:spacing w:line="242" w:lineRule="auto"/>
        <w:rPr>
          <w:rFonts w:ascii="Arial"/>
          <w:color w:val="auto"/>
          <w:sz w:val="21"/>
          <w:highlight w:val="none"/>
        </w:rPr>
      </w:pPr>
    </w:p>
    <w:p w14:paraId="4376B2D0">
      <w:pPr>
        <w:spacing w:line="242" w:lineRule="auto"/>
        <w:rPr>
          <w:rFonts w:ascii="Arial"/>
          <w:color w:val="auto"/>
          <w:sz w:val="21"/>
          <w:highlight w:val="none"/>
        </w:rPr>
      </w:pPr>
    </w:p>
    <w:p w14:paraId="33882D86">
      <w:pPr>
        <w:spacing w:line="242" w:lineRule="auto"/>
        <w:rPr>
          <w:rFonts w:ascii="Arial"/>
          <w:color w:val="auto"/>
          <w:sz w:val="21"/>
          <w:highlight w:val="none"/>
        </w:rPr>
      </w:pPr>
    </w:p>
    <w:p w14:paraId="7A44B028">
      <w:pPr>
        <w:spacing w:line="242" w:lineRule="auto"/>
        <w:rPr>
          <w:rFonts w:ascii="Arial"/>
          <w:color w:val="auto"/>
          <w:sz w:val="21"/>
          <w:highlight w:val="none"/>
        </w:rPr>
      </w:pPr>
    </w:p>
    <w:p w14:paraId="67FE8ECF">
      <w:pPr>
        <w:spacing w:line="242" w:lineRule="auto"/>
        <w:rPr>
          <w:rFonts w:ascii="Arial"/>
          <w:color w:val="auto"/>
          <w:sz w:val="21"/>
          <w:highlight w:val="none"/>
        </w:rPr>
      </w:pPr>
    </w:p>
    <w:p w14:paraId="46317748">
      <w:pPr>
        <w:spacing w:line="242" w:lineRule="auto"/>
        <w:rPr>
          <w:rFonts w:ascii="Arial"/>
          <w:color w:val="auto"/>
          <w:sz w:val="21"/>
          <w:highlight w:val="none"/>
        </w:rPr>
      </w:pPr>
    </w:p>
    <w:p w14:paraId="30B08638">
      <w:pPr>
        <w:pStyle w:val="3"/>
        <w:bidi w:val="0"/>
        <w:rPr>
          <w:color w:val="auto"/>
          <w:highlight w:val="none"/>
        </w:rPr>
      </w:pPr>
      <w:bookmarkStart w:id="8" w:name="_Toc22224"/>
      <w:r>
        <w:rPr>
          <w:rFonts w:hint="eastAsia"/>
          <w:color w:val="auto"/>
          <w:highlight w:val="none"/>
          <w:lang w:eastAsia="zh-CN"/>
        </w:rPr>
        <w:t>附件</w:t>
      </w:r>
      <w:r>
        <w:rPr>
          <w:rFonts w:hint="eastAsia"/>
          <w:color w:val="auto"/>
          <w:highlight w:val="none"/>
          <w:lang w:val="en-US" w:eastAsia="zh-CN"/>
        </w:rPr>
        <w:t xml:space="preserve"> 2：</w:t>
      </w:r>
      <w:r>
        <w:rPr>
          <w:rFonts w:hint="eastAsia"/>
          <w:color w:val="auto"/>
          <w:highlight w:val="none"/>
        </w:rPr>
        <w:t>重要事项时间地点一览表</w:t>
      </w:r>
      <w:bookmarkEnd w:id="8"/>
    </w:p>
    <w:tbl>
      <w:tblPr>
        <w:tblStyle w:val="17"/>
        <w:tblW w:w="929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58"/>
        <w:gridCol w:w="1667"/>
        <w:gridCol w:w="7170"/>
      </w:tblGrid>
      <w:tr w14:paraId="11EA56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0598E238">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0E95D32">
            <w:pPr>
              <w:wordWrap w:val="0"/>
              <w:adjustRightInd w:val="0"/>
              <w:snapToGrid w:val="0"/>
              <w:spacing w:line="360" w:lineRule="exact"/>
              <w:jc w:val="center"/>
              <w:rPr>
                <w:rFonts w:ascii="宋体" w:hAnsi="Times New Roman" w:eastAsia="宋体" w:cs="Times New Roman"/>
                <w:snapToGrid w:val="0"/>
                <w:color w:val="auto"/>
                <w:kern w:val="0"/>
                <w:sz w:val="22"/>
                <w:szCs w:val="22"/>
                <w:highlight w:val="none"/>
              </w:rPr>
            </w:pPr>
            <w:r>
              <w:rPr>
                <w:rFonts w:hint="eastAsia" w:ascii="宋体" w:hAnsi="Times New Roman" w:eastAsia="宋体" w:cs="Times New Roman"/>
                <w:snapToGrid w:val="0"/>
                <w:color w:val="auto"/>
                <w:kern w:val="0"/>
                <w:sz w:val="22"/>
                <w:szCs w:val="22"/>
                <w:highlight w:val="none"/>
              </w:rPr>
              <w:t>招标公告</w:t>
            </w:r>
          </w:p>
          <w:p w14:paraId="39B8FE17">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 xml:space="preserve">发布时间 </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072E1F80">
            <w:pPr>
              <w:keepNext w:val="0"/>
              <w:keepLines w:val="0"/>
              <w:pageBreakBefore w:val="0"/>
              <w:widowControl/>
              <w:kinsoku/>
              <w:wordWrap/>
              <w:overflowPunct/>
              <w:topLinePunct w:val="0"/>
              <w:autoSpaceDE/>
              <w:autoSpaceDN/>
              <w:bidi w:val="0"/>
              <w:adjustRightInd/>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8</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18</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00</w:t>
            </w:r>
            <w:r>
              <w:rPr>
                <w:rFonts w:hint="eastAsia" w:ascii="宋体" w:hAnsi="宋体" w:eastAsia="宋体" w:cs="宋体"/>
                <w:color w:val="auto"/>
                <w:kern w:val="0"/>
                <w:sz w:val="22"/>
                <w:szCs w:val="22"/>
                <w:highlight w:val="none"/>
              </w:rPr>
              <w:t>分</w:t>
            </w:r>
          </w:p>
        </w:tc>
      </w:tr>
      <w:tr w14:paraId="45B0E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7AFD1D9">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2135BC62">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 xml:space="preserve">获取招标文件截止时间 </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0BE49602">
            <w:pPr>
              <w:keepNext w:val="0"/>
              <w:keepLines w:val="0"/>
              <w:pageBreakBefore w:val="0"/>
              <w:widowControl/>
              <w:kinsoku/>
              <w:wordWrap/>
              <w:overflowPunct/>
              <w:topLinePunct w:val="0"/>
              <w:autoSpaceDE/>
              <w:autoSpaceDN/>
              <w:bidi w:val="0"/>
              <w:adjustRightInd/>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29</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tc>
      </w:tr>
      <w:tr w14:paraId="0BB2EA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5"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59501711">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35244E4F">
            <w:pPr>
              <w:wordWrap w:val="0"/>
              <w:adjustRightInd w:val="0"/>
              <w:snapToGrid w:val="0"/>
              <w:spacing w:line="360" w:lineRule="exact"/>
              <w:jc w:val="center"/>
              <w:rPr>
                <w:rFonts w:ascii="宋体" w:hAnsi="Times New Roman" w:eastAsia="宋体" w:cs="Times New Roman"/>
                <w:snapToGrid w:val="0"/>
                <w:color w:val="auto"/>
                <w:kern w:val="0"/>
                <w:sz w:val="22"/>
                <w:szCs w:val="22"/>
                <w:highlight w:val="none"/>
              </w:rPr>
            </w:pPr>
            <w:r>
              <w:rPr>
                <w:rFonts w:hint="eastAsia" w:ascii="宋体" w:hAnsi="Times New Roman" w:eastAsia="宋体" w:cs="Times New Roman"/>
                <w:snapToGrid w:val="0"/>
                <w:color w:val="auto"/>
                <w:kern w:val="0"/>
                <w:sz w:val="22"/>
                <w:szCs w:val="22"/>
                <w:highlight w:val="none"/>
              </w:rPr>
              <w:t>网上提问</w:t>
            </w:r>
          </w:p>
          <w:p w14:paraId="453787B9">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截止时间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454BB914">
            <w:pPr>
              <w:keepNext w:val="0"/>
              <w:keepLines w:val="0"/>
              <w:pageBreakBefore w:val="0"/>
              <w:kinsoku/>
              <w:wordWrap w:val="0"/>
              <w:overflowPunct/>
              <w:topLinePunct w:val="0"/>
              <w:autoSpaceDE/>
              <w:autoSpaceDN/>
              <w:bidi w:val="0"/>
              <w:adjustRightInd w:val="0"/>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19</w:t>
            </w:r>
            <w:r>
              <w:rPr>
                <w:rFonts w:hint="eastAsia" w:ascii="宋体" w:hAnsi="宋体" w:eastAsia="宋体" w:cs="宋体"/>
                <w:color w:val="auto"/>
                <w:kern w:val="0"/>
                <w:sz w:val="22"/>
                <w:szCs w:val="22"/>
                <w:highlight w:val="none"/>
              </w:rPr>
              <w:t>日</w:t>
            </w:r>
            <w:r>
              <w:rPr>
                <w:rFonts w:hint="eastAsia" w:ascii="宋体" w:hAnsi="宋体" w:eastAsia="宋体" w:cs="宋体"/>
                <w:color w:val="auto"/>
                <w:kern w:val="0"/>
                <w:sz w:val="22"/>
                <w:szCs w:val="22"/>
                <w:highlight w:val="none"/>
                <w:u w:val="single"/>
              </w:rPr>
              <w:t xml:space="preserve">16 </w:t>
            </w:r>
            <w:r>
              <w:rPr>
                <w:rFonts w:hint="eastAsia" w:ascii="宋体" w:hAnsi="宋体" w:eastAsia="宋体" w:cs="宋体"/>
                <w:color w:val="auto"/>
                <w:kern w:val="0"/>
                <w:sz w:val="22"/>
                <w:szCs w:val="22"/>
                <w:highlight w:val="none"/>
              </w:rPr>
              <w:t>时</w:t>
            </w:r>
            <w:r>
              <w:rPr>
                <w:rFonts w:hint="eastAsia" w:ascii="宋体" w:hAnsi="宋体" w:eastAsia="宋体" w:cs="宋体"/>
                <w:color w:val="auto"/>
                <w:kern w:val="0"/>
                <w:sz w:val="22"/>
                <w:szCs w:val="22"/>
                <w:highlight w:val="none"/>
                <w:u w:val="single"/>
              </w:rPr>
              <w:t xml:space="preserve"> 00 </w:t>
            </w:r>
            <w:r>
              <w:rPr>
                <w:rFonts w:hint="eastAsia" w:ascii="宋体" w:hAnsi="宋体" w:eastAsia="宋体" w:cs="宋体"/>
                <w:color w:val="auto"/>
                <w:kern w:val="0"/>
                <w:sz w:val="22"/>
                <w:szCs w:val="22"/>
                <w:highlight w:val="none"/>
              </w:rPr>
              <w:t>分</w:t>
            </w:r>
          </w:p>
        </w:tc>
      </w:tr>
      <w:tr w14:paraId="2A2D0C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7"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20406B80">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588EF083">
            <w:pPr>
              <w:wordWrap w:val="0"/>
              <w:adjustRightInd w:val="0"/>
              <w:snapToGrid w:val="0"/>
              <w:spacing w:line="360" w:lineRule="exact"/>
              <w:jc w:val="center"/>
              <w:rPr>
                <w:rFonts w:ascii="宋体" w:hAnsi="Times New Roman" w:eastAsia="宋体" w:cs="Times New Roman"/>
                <w:snapToGrid w:val="0"/>
                <w:color w:val="auto"/>
                <w:kern w:val="0"/>
                <w:sz w:val="22"/>
                <w:szCs w:val="22"/>
                <w:highlight w:val="none"/>
              </w:rPr>
            </w:pPr>
            <w:r>
              <w:rPr>
                <w:rFonts w:hint="eastAsia" w:ascii="宋体" w:hAnsi="Times New Roman" w:eastAsia="宋体" w:cs="Times New Roman"/>
                <w:snapToGrid w:val="0"/>
                <w:color w:val="auto"/>
                <w:kern w:val="0"/>
                <w:sz w:val="22"/>
                <w:szCs w:val="22"/>
                <w:highlight w:val="none"/>
              </w:rPr>
              <w:t>网上答疑</w:t>
            </w:r>
          </w:p>
          <w:p w14:paraId="07937536">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3CFBF0F6">
            <w:pPr>
              <w:keepNext w:val="0"/>
              <w:keepLines w:val="0"/>
              <w:pageBreakBefore w:val="0"/>
              <w:kinsoku/>
              <w:overflowPunct/>
              <w:topLinePunct w:val="0"/>
              <w:autoSpaceDE/>
              <w:autoSpaceDN/>
              <w:bidi w:val="0"/>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19</w:t>
            </w:r>
            <w:r>
              <w:rPr>
                <w:rFonts w:hint="eastAsia" w:ascii="宋体" w:hAnsi="宋体" w:eastAsia="宋体" w:cs="宋体"/>
                <w:color w:val="auto"/>
                <w:kern w:val="0"/>
                <w:sz w:val="22"/>
                <w:szCs w:val="22"/>
                <w:highlight w:val="none"/>
              </w:rPr>
              <w:t>日</w:t>
            </w:r>
            <w:r>
              <w:rPr>
                <w:rFonts w:hint="eastAsia" w:ascii="宋体" w:hAnsi="宋体" w:eastAsia="宋体" w:cs="宋体"/>
                <w:color w:val="auto"/>
                <w:kern w:val="0"/>
                <w:sz w:val="22"/>
                <w:szCs w:val="22"/>
                <w:highlight w:val="none"/>
                <w:u w:val="single"/>
              </w:rPr>
              <w:t xml:space="preserve">16 </w:t>
            </w:r>
            <w:r>
              <w:rPr>
                <w:rFonts w:hint="eastAsia" w:ascii="宋体" w:hAnsi="宋体" w:eastAsia="宋体" w:cs="宋体"/>
                <w:color w:val="auto"/>
                <w:kern w:val="0"/>
                <w:sz w:val="22"/>
                <w:szCs w:val="22"/>
                <w:highlight w:val="none"/>
              </w:rPr>
              <w:t>时</w:t>
            </w:r>
            <w:r>
              <w:rPr>
                <w:rFonts w:hint="eastAsia" w:ascii="宋体" w:hAnsi="宋体" w:eastAsia="宋体" w:cs="宋体"/>
                <w:color w:val="auto"/>
                <w:kern w:val="0"/>
                <w:sz w:val="22"/>
                <w:szCs w:val="22"/>
                <w:highlight w:val="none"/>
                <w:u w:val="single"/>
              </w:rPr>
              <w:t xml:space="preserve"> 30 </w:t>
            </w:r>
            <w:r>
              <w:rPr>
                <w:rFonts w:hint="eastAsia" w:ascii="宋体" w:hAnsi="宋体" w:eastAsia="宋体" w:cs="宋体"/>
                <w:color w:val="auto"/>
                <w:kern w:val="0"/>
                <w:sz w:val="22"/>
                <w:szCs w:val="22"/>
                <w:highlight w:val="none"/>
              </w:rPr>
              <w:t>分至</w:t>
            </w: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22</w:t>
            </w:r>
            <w:r>
              <w:rPr>
                <w:rFonts w:hint="eastAsia" w:ascii="宋体" w:hAnsi="宋体" w:eastAsia="宋体" w:cs="宋体"/>
                <w:color w:val="auto"/>
                <w:kern w:val="0"/>
                <w:sz w:val="22"/>
                <w:szCs w:val="22"/>
                <w:highlight w:val="none"/>
              </w:rPr>
              <w:t>日</w:t>
            </w:r>
            <w:r>
              <w:rPr>
                <w:rFonts w:hint="eastAsia" w:ascii="宋体" w:hAnsi="宋体" w:eastAsia="宋体" w:cs="宋体"/>
                <w:color w:val="auto"/>
                <w:kern w:val="0"/>
                <w:sz w:val="22"/>
                <w:szCs w:val="22"/>
                <w:highlight w:val="none"/>
                <w:u w:val="single"/>
              </w:rPr>
              <w:t xml:space="preserve"> 16 </w:t>
            </w:r>
            <w:r>
              <w:rPr>
                <w:rFonts w:hint="eastAsia" w:ascii="宋体" w:hAnsi="宋体" w:eastAsia="宋体" w:cs="宋体"/>
                <w:color w:val="auto"/>
                <w:kern w:val="0"/>
                <w:sz w:val="22"/>
                <w:szCs w:val="22"/>
                <w:highlight w:val="none"/>
              </w:rPr>
              <w:t>时</w:t>
            </w:r>
            <w:r>
              <w:rPr>
                <w:rFonts w:hint="eastAsia" w:ascii="宋体" w:hAnsi="宋体" w:eastAsia="宋体" w:cs="宋体"/>
                <w:color w:val="auto"/>
                <w:kern w:val="0"/>
                <w:sz w:val="22"/>
                <w:szCs w:val="22"/>
                <w:highlight w:val="none"/>
                <w:u w:val="single"/>
              </w:rPr>
              <w:t>00</w:t>
            </w:r>
            <w:r>
              <w:rPr>
                <w:rFonts w:hint="eastAsia" w:ascii="宋体" w:hAnsi="宋体" w:eastAsia="宋体" w:cs="宋体"/>
                <w:color w:val="auto"/>
                <w:kern w:val="0"/>
                <w:sz w:val="22"/>
                <w:szCs w:val="22"/>
                <w:highlight w:val="none"/>
              </w:rPr>
              <w:t>分</w:t>
            </w:r>
          </w:p>
        </w:tc>
      </w:tr>
      <w:tr w14:paraId="51C965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4"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318B6E3">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0515A0D6">
            <w:pPr>
              <w:wordWrap w:val="0"/>
              <w:adjustRightInd w:val="0"/>
              <w:snapToGrid w:val="0"/>
              <w:spacing w:line="360" w:lineRule="exact"/>
              <w:jc w:val="center"/>
              <w:rPr>
                <w:rFonts w:ascii="宋体" w:hAnsi="Times New Roman" w:eastAsia="宋体" w:cs="Times New Roman"/>
                <w:snapToGrid w:val="0"/>
                <w:color w:val="auto"/>
                <w:kern w:val="0"/>
                <w:sz w:val="22"/>
                <w:szCs w:val="22"/>
                <w:highlight w:val="none"/>
              </w:rPr>
            </w:pPr>
            <w:r>
              <w:rPr>
                <w:rFonts w:hint="eastAsia" w:ascii="宋体" w:hAnsi="Times New Roman" w:eastAsia="宋体" w:cs="Times New Roman"/>
                <w:snapToGrid w:val="0"/>
                <w:color w:val="auto"/>
                <w:kern w:val="0"/>
                <w:sz w:val="22"/>
                <w:szCs w:val="22"/>
                <w:highlight w:val="none"/>
              </w:rPr>
              <w:t>投标保证缴</w:t>
            </w:r>
          </w:p>
          <w:p w14:paraId="2C873B15">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纳截止时间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08DFF695">
            <w:pPr>
              <w:keepNext w:val="0"/>
              <w:keepLines w:val="0"/>
              <w:pageBreakBefore w:val="0"/>
              <w:widowControl/>
              <w:kinsoku/>
              <w:wordWrap/>
              <w:overflowPunct/>
              <w:topLinePunct w:val="0"/>
              <w:autoSpaceDE/>
              <w:autoSpaceDN/>
              <w:bidi w:val="0"/>
              <w:adjustRightInd/>
              <w:snapToGrid w:val="0"/>
              <w:spacing w:before="0" w:beforeLines="50" w:line="360" w:lineRule="auto"/>
              <w:ind w:left="105" w:leftChars="50"/>
              <w:jc w:val="left"/>
              <w:textAlignment w:val="auto"/>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投标保证金到账截止时间：</w:t>
            </w: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28</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p w14:paraId="745C42E5">
            <w:pPr>
              <w:keepNext w:val="0"/>
              <w:keepLines w:val="0"/>
              <w:pageBreakBefore w:val="0"/>
              <w:widowControl/>
              <w:kinsoku/>
              <w:wordWrap/>
              <w:overflowPunct/>
              <w:topLinePunct w:val="0"/>
              <w:autoSpaceDE/>
              <w:autoSpaceDN/>
              <w:bidi w:val="0"/>
              <w:adjustRightInd/>
              <w:snapToGrid w:val="0"/>
              <w:spacing w:line="360" w:lineRule="auto"/>
              <w:ind w:left="105" w:leftChars="50"/>
              <w:jc w:val="left"/>
              <w:textAlignment w:val="auto"/>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投标保证担保上传截止时间：</w:t>
            </w: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28</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p w14:paraId="3C308CC3">
            <w:pPr>
              <w:keepNext w:val="0"/>
              <w:keepLines w:val="0"/>
              <w:pageBreakBefore w:val="0"/>
              <w:widowControl/>
              <w:kinsoku/>
              <w:wordWrap/>
              <w:overflowPunct/>
              <w:topLinePunct w:val="0"/>
              <w:autoSpaceDE/>
              <w:autoSpaceDN/>
              <w:bidi w:val="0"/>
              <w:adjustRightInd/>
              <w:snapToGrid w:val="0"/>
              <w:spacing w:line="36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rPr>
              <w:t>投标保证保险投保截止时间：</w:t>
            </w: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28</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tc>
      </w:tr>
      <w:tr w14:paraId="0BDF3F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9"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4D78A936">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25026D1E">
            <w:pPr>
              <w:wordWrap w:val="0"/>
              <w:adjustRightInd w:val="0"/>
              <w:snapToGrid w:val="0"/>
              <w:spacing w:line="360" w:lineRule="exact"/>
              <w:jc w:val="center"/>
              <w:rPr>
                <w:rFonts w:ascii="宋体" w:hAnsi="Times New Roman" w:eastAsia="宋体" w:cs="Times New Roman"/>
                <w:snapToGrid w:val="0"/>
                <w:color w:val="auto"/>
                <w:kern w:val="0"/>
                <w:sz w:val="22"/>
                <w:szCs w:val="22"/>
                <w:highlight w:val="none"/>
              </w:rPr>
            </w:pPr>
            <w:r>
              <w:rPr>
                <w:rFonts w:hint="eastAsia" w:ascii="宋体" w:hAnsi="Times New Roman" w:eastAsia="宋体" w:cs="Times New Roman"/>
                <w:snapToGrid w:val="0"/>
                <w:color w:val="auto"/>
                <w:kern w:val="0"/>
                <w:sz w:val="22"/>
                <w:szCs w:val="22"/>
                <w:highlight w:val="none"/>
              </w:rPr>
              <w:t>电子投标</w:t>
            </w:r>
          </w:p>
          <w:p w14:paraId="793A5DFC">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Times New Roman" w:eastAsia="宋体" w:cs="Times New Roman"/>
                <w:snapToGrid w:val="0"/>
                <w:color w:val="auto"/>
                <w:kern w:val="0"/>
                <w:sz w:val="22"/>
                <w:szCs w:val="22"/>
                <w:highlight w:val="none"/>
              </w:rPr>
              <w:t>截止时间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0F94DBCE">
            <w:pPr>
              <w:keepNext w:val="0"/>
              <w:keepLines w:val="0"/>
              <w:pageBreakBefore w:val="0"/>
              <w:kinsoku/>
              <w:overflowPunct/>
              <w:topLinePunct w:val="0"/>
              <w:autoSpaceDE/>
              <w:autoSpaceDN/>
              <w:bidi w:val="0"/>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29</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tc>
      </w:tr>
      <w:tr w14:paraId="2DA759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040FDD4">
            <w:pPr>
              <w:wordWrap w:val="0"/>
              <w:adjustRightInd w:val="0"/>
              <w:snapToGrid w:val="0"/>
              <w:spacing w:line="360" w:lineRule="exact"/>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rPr>
              <w:t>7</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645796D4">
            <w:pPr>
              <w:wordWrap w:val="0"/>
              <w:adjustRightInd w:val="0"/>
              <w:snapToGrid w:val="0"/>
              <w:spacing w:line="360" w:lineRule="exact"/>
              <w:jc w:val="center"/>
              <w:rPr>
                <w:rFonts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相关评审资料原件（如有）</w:t>
            </w:r>
          </w:p>
          <w:p w14:paraId="7A6DFC0C">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宋体" w:eastAsia="宋体" w:cs="宋体"/>
                <w:snapToGrid w:val="0"/>
                <w:color w:val="auto"/>
                <w:kern w:val="0"/>
                <w:sz w:val="22"/>
                <w:szCs w:val="22"/>
                <w:highlight w:val="none"/>
              </w:rPr>
              <w:t>递交时间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79566903">
            <w:pPr>
              <w:keepNext w:val="0"/>
              <w:keepLines w:val="0"/>
              <w:pageBreakBefore w:val="0"/>
              <w:kinsoku/>
              <w:overflowPunct/>
              <w:topLinePunct w:val="0"/>
              <w:autoSpaceDE/>
              <w:autoSpaceDN/>
              <w:bidi w:val="0"/>
              <w:snapToGrid w:val="0"/>
              <w:spacing w:line="240" w:lineRule="auto"/>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29</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00</w:t>
            </w:r>
            <w:r>
              <w:rPr>
                <w:rFonts w:hint="eastAsia" w:ascii="宋体" w:hAnsi="宋体" w:eastAsia="宋体" w:cs="宋体"/>
                <w:color w:val="auto"/>
                <w:kern w:val="0"/>
                <w:sz w:val="22"/>
                <w:szCs w:val="22"/>
                <w:highlight w:val="none"/>
              </w:rPr>
              <w:t>分至</w:t>
            </w: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29</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tc>
      </w:tr>
      <w:tr w14:paraId="0455F9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F22100B">
            <w:pPr>
              <w:widowControl w:val="0"/>
              <w:wordWrap w:val="0"/>
              <w:adjustRightInd w:val="0"/>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5027222A">
            <w:pPr>
              <w:widowControl w:val="0"/>
              <w:wordWrap w:val="0"/>
              <w:adjustRightInd w:val="0"/>
              <w:snapToGrid w:val="0"/>
              <w:spacing w:line="400" w:lineRule="exact"/>
              <w:jc w:val="center"/>
              <w:rPr>
                <w:rFonts w:ascii="宋体" w:hAnsi="宋体" w:eastAsia="宋体" w:cs="Tahoma"/>
                <w:color w:val="auto"/>
                <w:kern w:val="2"/>
                <w:sz w:val="20"/>
                <w:szCs w:val="22"/>
                <w:highlight w:val="none"/>
                <w:lang w:val="en-US" w:eastAsia="zh-CN" w:bidi="ar-SA"/>
              </w:rPr>
            </w:pPr>
            <w:r>
              <w:rPr>
                <w:rFonts w:hint="eastAsia" w:ascii="宋体" w:hAnsi="Times New Roman" w:eastAsia="宋体" w:cs="Times New Roman"/>
                <w:snapToGrid w:val="0"/>
                <w:color w:val="auto"/>
                <w:kern w:val="0"/>
                <w:sz w:val="22"/>
                <w:szCs w:val="22"/>
                <w:highlight w:val="none"/>
                <w:lang w:val="en-US" w:eastAsia="zh-CN" w:bidi="ar-SA"/>
              </w:rPr>
              <w:t>开标时间</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3899542A">
            <w:pPr>
              <w:keepNext w:val="0"/>
              <w:keepLines w:val="0"/>
              <w:pageBreakBefore w:val="0"/>
              <w:widowControl w:val="0"/>
              <w:kinsoku/>
              <w:wordWrap w:val="0"/>
              <w:overflowPunct/>
              <w:topLinePunct w:val="0"/>
              <w:autoSpaceDE/>
              <w:autoSpaceDN/>
              <w:bidi w:val="0"/>
              <w:adjustRightInd w:val="0"/>
              <w:snapToGrid w:val="0"/>
              <w:spacing w:line="240" w:lineRule="auto"/>
              <w:ind w:left="105" w:leftChars="50"/>
              <w:jc w:val="both"/>
              <w:textAlignment w:val="auto"/>
              <w:rPr>
                <w:rFonts w:ascii="宋体" w:hAnsi="宋体" w:eastAsia="宋体" w:cs="Tahoma"/>
                <w:color w:val="auto"/>
                <w:kern w:val="2"/>
                <w:sz w:val="20"/>
                <w:szCs w:val="22"/>
                <w:highlight w:val="none"/>
                <w:lang w:val="en-US" w:eastAsia="zh-CN" w:bidi="ar-SA"/>
              </w:rPr>
            </w:pPr>
            <w:r>
              <w:rPr>
                <w:rFonts w:hint="eastAsia" w:ascii="宋体" w:hAnsi="宋体" w:eastAsia="宋体" w:cs="宋体"/>
                <w:color w:val="auto"/>
                <w:kern w:val="0"/>
                <w:sz w:val="22"/>
                <w:szCs w:val="22"/>
                <w:highlight w:val="none"/>
                <w:u w:val="single"/>
              </w:rPr>
              <w:t>202</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rPr>
              <w:t>年</w:t>
            </w:r>
            <w:r>
              <w:rPr>
                <w:rFonts w:hint="eastAsia" w:hAnsi="宋体" w:cs="宋体"/>
                <w:color w:val="auto"/>
                <w:kern w:val="0"/>
                <w:sz w:val="22"/>
                <w:szCs w:val="22"/>
                <w:highlight w:val="none"/>
                <w:u w:val="single"/>
                <w:lang w:val="en-US" w:eastAsia="zh-CN"/>
              </w:rPr>
              <w:t>10</w:t>
            </w:r>
            <w:r>
              <w:rPr>
                <w:rFonts w:hint="eastAsia" w:ascii="宋体" w:hAnsi="宋体" w:eastAsia="宋体" w:cs="宋体"/>
                <w:color w:val="auto"/>
                <w:kern w:val="0"/>
                <w:sz w:val="22"/>
                <w:szCs w:val="22"/>
                <w:highlight w:val="none"/>
              </w:rPr>
              <w:t>月</w:t>
            </w:r>
            <w:r>
              <w:rPr>
                <w:rFonts w:hint="eastAsia" w:hAnsi="宋体" w:cs="宋体"/>
                <w:color w:val="auto"/>
                <w:kern w:val="0"/>
                <w:sz w:val="22"/>
                <w:szCs w:val="22"/>
                <w:highlight w:val="none"/>
                <w:u w:val="single"/>
                <w:lang w:val="en-US" w:eastAsia="zh-CN"/>
              </w:rPr>
              <w:t>29</w:t>
            </w:r>
            <w:r>
              <w:rPr>
                <w:rFonts w:hint="eastAsia" w:ascii="宋体" w:hAnsi="宋体" w:eastAsia="宋体" w:cs="宋体"/>
                <w:color w:val="auto"/>
                <w:kern w:val="0"/>
                <w:sz w:val="22"/>
                <w:szCs w:val="22"/>
                <w:highlight w:val="none"/>
              </w:rPr>
              <w:t>日</w:t>
            </w:r>
            <w:r>
              <w:rPr>
                <w:rFonts w:hint="eastAsia" w:hAnsi="宋体" w:cs="宋体"/>
                <w:color w:val="auto"/>
                <w:kern w:val="0"/>
                <w:sz w:val="22"/>
                <w:szCs w:val="22"/>
                <w:highlight w:val="none"/>
                <w:u w:val="single"/>
                <w:lang w:val="en-US" w:eastAsia="zh-CN"/>
              </w:rPr>
              <w:t>9</w:t>
            </w:r>
            <w:r>
              <w:rPr>
                <w:rFonts w:hint="eastAsia" w:ascii="宋体" w:hAnsi="宋体" w:eastAsia="宋体" w:cs="宋体"/>
                <w:color w:val="auto"/>
                <w:kern w:val="0"/>
                <w:sz w:val="22"/>
                <w:szCs w:val="22"/>
                <w:highlight w:val="none"/>
              </w:rPr>
              <w:t>时</w:t>
            </w:r>
            <w:r>
              <w:rPr>
                <w:rFonts w:hint="eastAsia" w:hAnsi="宋体" w:cs="宋体"/>
                <w:color w:val="auto"/>
                <w:kern w:val="0"/>
                <w:sz w:val="22"/>
                <w:szCs w:val="22"/>
                <w:highlight w:val="none"/>
                <w:u w:val="single"/>
                <w:lang w:val="en-US" w:eastAsia="zh-CN"/>
              </w:rPr>
              <w:t>30</w:t>
            </w:r>
            <w:r>
              <w:rPr>
                <w:rFonts w:hint="eastAsia" w:ascii="宋体" w:hAnsi="宋体" w:eastAsia="宋体" w:cs="宋体"/>
                <w:color w:val="auto"/>
                <w:kern w:val="0"/>
                <w:sz w:val="22"/>
                <w:szCs w:val="22"/>
                <w:highlight w:val="none"/>
              </w:rPr>
              <w:t>分</w:t>
            </w:r>
          </w:p>
        </w:tc>
      </w:tr>
      <w:tr w14:paraId="50BF7C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12"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00E9D575">
            <w:pPr>
              <w:wordWrap w:val="0"/>
              <w:adjustRightInd w:val="0"/>
              <w:snapToGrid w:val="0"/>
              <w:spacing w:line="360" w:lineRule="exact"/>
              <w:jc w:val="center"/>
              <w:rPr>
                <w:rFonts w:hint="eastAsia" w:ascii="宋体" w:hAnsi="宋体" w:eastAsia="宋体" w:cs="宋体"/>
                <w:color w:val="auto"/>
                <w:sz w:val="22"/>
                <w:szCs w:val="22"/>
                <w:highlight w:val="none"/>
                <w:lang w:eastAsia="zh-CN"/>
              </w:rPr>
            </w:pPr>
            <w:r>
              <w:rPr>
                <w:rFonts w:hint="eastAsia" w:ascii="宋体" w:hAnsi="宋体" w:eastAsia="宋体" w:cs="宋体"/>
                <w:snapToGrid w:val="0"/>
                <w:color w:val="auto"/>
                <w:kern w:val="0"/>
                <w:sz w:val="22"/>
                <w:szCs w:val="22"/>
                <w:highlight w:val="none"/>
                <w:lang w:val="en-US" w:eastAsia="zh-CN"/>
              </w:rPr>
              <w:t>9</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1090A971">
            <w:pPr>
              <w:wordWrap w:val="0"/>
              <w:adjustRightInd w:val="0"/>
              <w:snapToGrid w:val="0"/>
              <w:spacing w:line="360" w:lineRule="exact"/>
              <w:jc w:val="center"/>
              <w:rPr>
                <w:rFonts w:ascii="宋体" w:hAnsi="宋体" w:eastAsia="宋体" w:cs="Tahoma"/>
                <w:color w:val="auto"/>
                <w:sz w:val="22"/>
                <w:szCs w:val="22"/>
                <w:highlight w:val="none"/>
              </w:rPr>
            </w:pPr>
            <w:r>
              <w:rPr>
                <w:rFonts w:hint="eastAsia" w:ascii="宋体" w:hAnsi="宋体" w:eastAsia="宋体" w:cs="宋体"/>
                <w:snapToGrid w:val="0"/>
                <w:color w:val="auto"/>
                <w:kern w:val="0"/>
                <w:sz w:val="22"/>
                <w:szCs w:val="22"/>
                <w:highlight w:val="none"/>
              </w:rPr>
              <w:t xml:space="preserve">开标地点 </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71C8D30E">
            <w:pPr>
              <w:keepNext w:val="0"/>
              <w:keepLines w:val="0"/>
              <w:pageBreakBefore w:val="0"/>
              <w:kinsoku/>
              <w:wordWrap w:val="0"/>
              <w:overflowPunct/>
              <w:topLinePunct w:val="0"/>
              <w:autoSpaceDE/>
              <w:autoSpaceDN/>
              <w:bidi w:val="0"/>
              <w:adjustRightInd w:val="0"/>
              <w:snapToGrid w:val="0"/>
              <w:spacing w:line="400" w:lineRule="exact"/>
              <w:ind w:left="105" w:leftChars="50"/>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开标场所：韶关市公共资源交易中心</w:t>
            </w:r>
          </w:p>
          <w:p w14:paraId="2454B429">
            <w:pPr>
              <w:keepNext w:val="0"/>
              <w:keepLines w:val="0"/>
              <w:pageBreakBefore w:val="0"/>
              <w:kinsoku/>
              <w:wordWrap w:val="0"/>
              <w:overflowPunct/>
              <w:topLinePunct w:val="0"/>
              <w:autoSpaceDE/>
              <w:autoSpaceDN/>
              <w:bidi w:val="0"/>
              <w:adjustRightInd w:val="0"/>
              <w:snapToGrid w:val="0"/>
              <w:spacing w:line="400" w:lineRule="exact"/>
              <w:ind w:left="105" w:leftChars="50"/>
              <w:jc w:val="left"/>
              <w:textAlignment w:val="auto"/>
              <w:rPr>
                <w:rFonts w:ascii="宋体" w:hAnsi="宋体" w:eastAsia="宋体" w:cs="Tahoma"/>
                <w:color w:val="auto"/>
                <w:sz w:val="22"/>
                <w:szCs w:val="22"/>
                <w:highlight w:val="none"/>
              </w:rPr>
            </w:pPr>
            <w:r>
              <w:rPr>
                <w:rFonts w:hint="eastAsia" w:ascii="宋体" w:hAnsi="宋体" w:eastAsia="宋体" w:cs="宋体"/>
                <w:b w:val="0"/>
                <w:bCs w:val="0"/>
                <w:color w:val="auto"/>
                <w:sz w:val="22"/>
                <w:szCs w:val="22"/>
                <w:highlight w:val="none"/>
              </w:rPr>
              <w:t>地址</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始兴县永安大道中79号行政服务大楼四楼韶关市公共资源交易中心始兴分中心</w:t>
            </w:r>
            <w:r>
              <w:rPr>
                <w:rFonts w:hint="eastAsia" w:ascii="宋体" w:hAnsi="宋体" w:eastAsia="宋体" w:cs="宋体"/>
                <w:b w:val="0"/>
                <w:bCs w:val="0"/>
                <w:color w:val="auto"/>
                <w:sz w:val="22"/>
                <w:szCs w:val="22"/>
                <w:highlight w:val="none"/>
              </w:rPr>
              <w:t>，具体开标室以当日现场通知为准。</w:t>
            </w:r>
          </w:p>
        </w:tc>
      </w:tr>
      <w:tr w14:paraId="357607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74" w:hRule="exac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6DE48ED1">
            <w:pPr>
              <w:widowControl/>
              <w:snapToGrid w:val="0"/>
              <w:spacing w:line="40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10</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35324193">
            <w:pPr>
              <w:widowControl/>
              <w:snapToGrid w:val="0"/>
              <w:spacing w:line="360" w:lineRule="exact"/>
              <w:jc w:val="center"/>
              <w:rPr>
                <w:rFonts w:ascii="Times New Roman" w:hAnsi="宋体" w:eastAsia="宋体" w:cs="宋体"/>
                <w:color w:val="auto"/>
                <w:kern w:val="2"/>
                <w:sz w:val="22"/>
                <w:szCs w:val="22"/>
                <w:highlight w:val="none"/>
                <w:lang w:val="en-US" w:eastAsia="zh-CN" w:bidi="ar-SA"/>
              </w:rPr>
            </w:pPr>
            <w:r>
              <w:rPr>
                <w:rFonts w:ascii="Times New Roman" w:hAnsi="宋体" w:eastAsia="宋体" w:cs="宋体"/>
                <w:color w:val="auto"/>
                <w:kern w:val="2"/>
                <w:sz w:val="22"/>
                <w:szCs w:val="22"/>
                <w:highlight w:val="none"/>
                <w:lang w:val="en-US" w:eastAsia="zh-CN" w:bidi="ar-SA"/>
              </w:rPr>
              <w:t>交易场所</w:t>
            </w:r>
          </w:p>
          <w:p w14:paraId="7817B89D">
            <w:pPr>
              <w:widowControl/>
              <w:snapToGrid w:val="0"/>
              <w:spacing w:line="360" w:lineRule="exact"/>
              <w:jc w:val="center"/>
              <w:rPr>
                <w:rFonts w:ascii="Times New Roman" w:hAnsi="宋体" w:eastAsia="宋体" w:cs="Tahoma"/>
                <w:color w:val="auto"/>
                <w:kern w:val="2"/>
                <w:sz w:val="22"/>
                <w:szCs w:val="22"/>
                <w:highlight w:val="none"/>
                <w:lang w:val="en-US" w:eastAsia="zh-CN" w:bidi="ar-SA"/>
              </w:rPr>
            </w:pPr>
            <w:r>
              <w:rPr>
                <w:rFonts w:ascii="Times New Roman" w:hAnsi="宋体" w:eastAsia="宋体" w:cs="宋体"/>
                <w:color w:val="auto"/>
                <w:kern w:val="2"/>
                <w:sz w:val="22"/>
                <w:szCs w:val="22"/>
                <w:highlight w:val="none"/>
                <w:lang w:val="en-US" w:eastAsia="zh-CN" w:bidi="ar-SA"/>
              </w:rPr>
              <w:t xml:space="preserve">联系方式 </w:t>
            </w:r>
          </w:p>
        </w:tc>
        <w:tc>
          <w:tcPr>
            <w:tcW w:w="7170" w:type="dxa"/>
            <w:tcBorders>
              <w:top w:val="single" w:color="080000" w:sz="4" w:space="0"/>
              <w:left w:val="single" w:color="080000" w:sz="4" w:space="0"/>
              <w:bottom w:val="single" w:color="080000" w:sz="4" w:space="0"/>
              <w:right w:val="single" w:color="080000" w:sz="4" w:space="0"/>
            </w:tcBorders>
            <w:noWrap/>
            <w:vAlign w:val="center"/>
          </w:tcPr>
          <w:p w14:paraId="17037DCB">
            <w:pPr>
              <w:keepNext w:val="0"/>
              <w:keepLines w:val="0"/>
              <w:pageBreakBefore w:val="0"/>
              <w:kinsoku/>
              <w:wordWrap w:val="0"/>
              <w:overflowPunct/>
              <w:topLinePunct w:val="0"/>
              <w:autoSpaceDE/>
              <w:autoSpaceDN/>
              <w:bidi w:val="0"/>
              <w:adjustRightInd w:val="0"/>
              <w:snapToGrid w:val="0"/>
              <w:spacing w:line="400" w:lineRule="exact"/>
              <w:ind w:left="105" w:leftChars="50"/>
              <w:jc w:val="left"/>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单位名称：韶关市公共资源交易中心</w:t>
            </w:r>
          </w:p>
          <w:p w14:paraId="1EB30ADE">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jc w:val="left"/>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办公地址：始兴县永安大道中79号行政服务大楼四楼韶关市公共资源交易中心始兴分中心。</w:t>
            </w:r>
          </w:p>
          <w:p w14:paraId="7499BF2A">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jc w:val="left"/>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联系人（部门）：邓工（工程交易股）</w:t>
            </w:r>
          </w:p>
          <w:p w14:paraId="407C5C19">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jc w:val="left"/>
              <w:textAlignment w:val="auto"/>
              <w:rPr>
                <w:rFonts w:ascii="宋体" w:hAnsi="宋体" w:eastAsia="宋体" w:cs="Tahoma"/>
                <w:color w:val="auto"/>
                <w:kern w:val="2"/>
                <w:sz w:val="20"/>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联系电话：0751-3315236</w:t>
            </w:r>
          </w:p>
        </w:tc>
      </w:tr>
      <w:tr w14:paraId="5EA2A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51" w:hRule="exact"/>
          <w:jc w:val="center"/>
        </w:trPr>
        <w:tc>
          <w:tcPr>
            <w:tcW w:w="9295" w:type="dxa"/>
            <w:gridSpan w:val="3"/>
            <w:tcBorders>
              <w:top w:val="single" w:color="080000" w:sz="4" w:space="0"/>
              <w:left w:val="single" w:color="080000" w:sz="4" w:space="0"/>
              <w:bottom w:val="single" w:color="080000" w:sz="4" w:space="0"/>
              <w:right w:val="single" w:color="080000" w:sz="4" w:space="0"/>
            </w:tcBorders>
            <w:noWrap/>
            <w:vAlign w:val="center"/>
          </w:tcPr>
          <w:p w14:paraId="6FCE36E3">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jc w:val="left"/>
              <w:textAlignment w:val="auto"/>
              <w:rPr>
                <w:rFonts w:hint="eastAsia" w:ascii="宋体" w:hAnsi="宋体" w:eastAsia="宋体" w:cs="Tahoma"/>
                <w:color w:val="auto"/>
                <w:kern w:val="2"/>
                <w:sz w:val="20"/>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备注：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1F2A3E9B">
      <w:pPr>
        <w:spacing w:line="242" w:lineRule="auto"/>
        <w:rPr>
          <w:rFonts w:ascii="Arial"/>
          <w:color w:val="auto"/>
          <w:sz w:val="21"/>
          <w:highlight w:val="none"/>
        </w:rPr>
      </w:pPr>
    </w:p>
    <w:p w14:paraId="4C71073F">
      <w:pPr>
        <w:spacing w:line="242" w:lineRule="auto"/>
        <w:rPr>
          <w:rFonts w:ascii="Arial"/>
          <w:color w:val="auto"/>
          <w:sz w:val="21"/>
          <w:highlight w:val="none"/>
        </w:rPr>
      </w:pPr>
    </w:p>
    <w:p w14:paraId="383A8EB1">
      <w:pPr>
        <w:spacing w:line="242" w:lineRule="auto"/>
        <w:rPr>
          <w:rFonts w:ascii="Arial"/>
          <w:color w:val="auto"/>
          <w:sz w:val="21"/>
          <w:highlight w:val="none"/>
        </w:rPr>
      </w:pPr>
    </w:p>
    <w:p w14:paraId="13381EED">
      <w:pPr>
        <w:spacing w:line="242" w:lineRule="auto"/>
        <w:rPr>
          <w:rFonts w:ascii="Arial"/>
          <w:color w:val="auto"/>
          <w:sz w:val="21"/>
          <w:highlight w:val="none"/>
        </w:rPr>
      </w:pPr>
    </w:p>
    <w:p w14:paraId="3C31C2C3">
      <w:pPr>
        <w:spacing w:line="242" w:lineRule="auto"/>
        <w:rPr>
          <w:rFonts w:ascii="Arial"/>
          <w:color w:val="auto"/>
          <w:sz w:val="21"/>
          <w:highlight w:val="none"/>
        </w:rPr>
      </w:pPr>
    </w:p>
    <w:p w14:paraId="558031AB">
      <w:pPr>
        <w:spacing w:line="242" w:lineRule="auto"/>
        <w:rPr>
          <w:rFonts w:ascii="Arial"/>
          <w:color w:val="auto"/>
          <w:sz w:val="21"/>
          <w:highlight w:val="none"/>
        </w:rPr>
      </w:pPr>
    </w:p>
    <w:p w14:paraId="14D6FEF2">
      <w:pPr>
        <w:spacing w:line="242" w:lineRule="auto"/>
        <w:rPr>
          <w:rFonts w:ascii="Arial"/>
          <w:color w:val="auto"/>
          <w:sz w:val="21"/>
          <w:highlight w:val="none"/>
        </w:rPr>
      </w:pPr>
    </w:p>
    <w:p w14:paraId="19933ADF">
      <w:pPr>
        <w:spacing w:line="242" w:lineRule="auto"/>
        <w:rPr>
          <w:rFonts w:ascii="Arial"/>
          <w:color w:val="auto"/>
          <w:sz w:val="21"/>
          <w:highlight w:val="none"/>
        </w:rPr>
      </w:pPr>
    </w:p>
    <w:p w14:paraId="7F361CC8">
      <w:pPr>
        <w:spacing w:line="242" w:lineRule="auto"/>
        <w:rPr>
          <w:rFonts w:ascii="Arial"/>
          <w:color w:val="auto"/>
          <w:sz w:val="21"/>
          <w:highlight w:val="none"/>
        </w:rPr>
      </w:pPr>
    </w:p>
    <w:p w14:paraId="41EA69B0">
      <w:pPr>
        <w:spacing w:line="242" w:lineRule="auto"/>
        <w:rPr>
          <w:rFonts w:ascii="Arial"/>
          <w:color w:val="auto"/>
          <w:sz w:val="21"/>
          <w:highlight w:val="none"/>
        </w:rPr>
      </w:pPr>
    </w:p>
    <w:p w14:paraId="4865D0D5">
      <w:pPr>
        <w:spacing w:line="242" w:lineRule="auto"/>
        <w:rPr>
          <w:rFonts w:ascii="Arial"/>
          <w:color w:val="auto"/>
          <w:sz w:val="21"/>
          <w:highlight w:val="none"/>
        </w:rPr>
      </w:pPr>
    </w:p>
    <w:p w14:paraId="005AB15B">
      <w:pPr>
        <w:spacing w:line="242" w:lineRule="auto"/>
        <w:rPr>
          <w:rFonts w:ascii="Arial"/>
          <w:color w:val="auto"/>
          <w:sz w:val="21"/>
          <w:highlight w:val="none"/>
        </w:rPr>
      </w:pPr>
    </w:p>
    <w:p w14:paraId="5DF6EFCC">
      <w:pPr>
        <w:spacing w:line="242" w:lineRule="auto"/>
        <w:rPr>
          <w:rFonts w:ascii="Arial"/>
          <w:color w:val="auto"/>
          <w:sz w:val="21"/>
          <w:highlight w:val="none"/>
        </w:rPr>
      </w:pPr>
    </w:p>
    <w:p w14:paraId="4C224D67">
      <w:pPr>
        <w:spacing w:line="242" w:lineRule="auto"/>
        <w:rPr>
          <w:rFonts w:ascii="Arial"/>
          <w:color w:val="auto"/>
          <w:sz w:val="21"/>
          <w:highlight w:val="none"/>
        </w:rPr>
      </w:pPr>
    </w:p>
    <w:p w14:paraId="10427F8A">
      <w:pPr>
        <w:spacing w:line="242" w:lineRule="auto"/>
        <w:rPr>
          <w:rFonts w:ascii="Arial"/>
          <w:color w:val="auto"/>
          <w:sz w:val="21"/>
          <w:highlight w:val="none"/>
        </w:rPr>
      </w:pPr>
    </w:p>
    <w:p w14:paraId="2E56DE11">
      <w:pPr>
        <w:spacing w:line="242" w:lineRule="auto"/>
        <w:rPr>
          <w:rFonts w:ascii="Arial"/>
          <w:color w:val="auto"/>
          <w:sz w:val="21"/>
          <w:highlight w:val="none"/>
        </w:rPr>
      </w:pPr>
    </w:p>
    <w:p w14:paraId="1C3834AB">
      <w:pPr>
        <w:spacing w:line="242" w:lineRule="auto"/>
        <w:rPr>
          <w:rFonts w:ascii="Arial"/>
          <w:color w:val="auto"/>
          <w:sz w:val="21"/>
          <w:highlight w:val="none"/>
        </w:rPr>
      </w:pPr>
    </w:p>
    <w:p w14:paraId="1E3E7D8C">
      <w:pPr>
        <w:spacing w:line="242" w:lineRule="auto"/>
        <w:rPr>
          <w:rFonts w:ascii="Arial"/>
          <w:color w:val="auto"/>
          <w:sz w:val="21"/>
          <w:highlight w:val="none"/>
        </w:rPr>
      </w:pPr>
    </w:p>
    <w:p w14:paraId="1E7AA0D7">
      <w:pPr>
        <w:spacing w:line="242" w:lineRule="auto"/>
        <w:rPr>
          <w:rFonts w:ascii="Arial"/>
          <w:color w:val="auto"/>
          <w:sz w:val="21"/>
          <w:highlight w:val="none"/>
        </w:rPr>
      </w:pPr>
    </w:p>
    <w:p w14:paraId="43F3FDB1">
      <w:pPr>
        <w:spacing w:line="242" w:lineRule="auto"/>
        <w:rPr>
          <w:rFonts w:ascii="Arial"/>
          <w:color w:val="auto"/>
          <w:sz w:val="21"/>
          <w:highlight w:val="none"/>
        </w:rPr>
      </w:pPr>
    </w:p>
    <w:p w14:paraId="59C62B4C">
      <w:pPr>
        <w:spacing w:line="242" w:lineRule="auto"/>
        <w:rPr>
          <w:rFonts w:ascii="Arial"/>
          <w:color w:val="auto"/>
          <w:sz w:val="21"/>
          <w:highlight w:val="none"/>
        </w:rPr>
      </w:pPr>
    </w:p>
    <w:p w14:paraId="40116A72">
      <w:pPr>
        <w:spacing w:line="242" w:lineRule="auto"/>
        <w:rPr>
          <w:rFonts w:ascii="Arial"/>
          <w:color w:val="auto"/>
          <w:sz w:val="21"/>
          <w:highlight w:val="none"/>
        </w:rPr>
      </w:pPr>
    </w:p>
    <w:p w14:paraId="4FE6D0D4">
      <w:pPr>
        <w:spacing w:line="242" w:lineRule="auto"/>
        <w:rPr>
          <w:rFonts w:ascii="Arial"/>
          <w:color w:val="auto"/>
          <w:sz w:val="21"/>
          <w:highlight w:val="none"/>
        </w:rPr>
      </w:pPr>
    </w:p>
    <w:p w14:paraId="3282BC83">
      <w:pPr>
        <w:spacing w:line="242" w:lineRule="auto"/>
        <w:rPr>
          <w:rFonts w:ascii="Arial"/>
          <w:color w:val="auto"/>
          <w:sz w:val="21"/>
          <w:highlight w:val="none"/>
        </w:rPr>
      </w:pPr>
    </w:p>
    <w:p w14:paraId="5AE4AFB3">
      <w:pPr>
        <w:spacing w:line="242" w:lineRule="auto"/>
        <w:rPr>
          <w:rFonts w:ascii="Arial"/>
          <w:color w:val="auto"/>
          <w:sz w:val="21"/>
          <w:highlight w:val="none"/>
        </w:rPr>
      </w:pPr>
    </w:p>
    <w:p w14:paraId="1D78ECD8">
      <w:pPr>
        <w:spacing w:line="242" w:lineRule="auto"/>
        <w:rPr>
          <w:rFonts w:ascii="Arial"/>
          <w:color w:val="auto"/>
          <w:sz w:val="21"/>
          <w:highlight w:val="none"/>
        </w:rPr>
      </w:pPr>
    </w:p>
    <w:p w14:paraId="27966B7C">
      <w:pPr>
        <w:spacing w:line="242" w:lineRule="auto"/>
        <w:rPr>
          <w:rFonts w:ascii="Arial"/>
          <w:color w:val="auto"/>
          <w:sz w:val="21"/>
          <w:highlight w:val="none"/>
        </w:rPr>
      </w:pPr>
    </w:p>
    <w:p w14:paraId="3F8D33A4">
      <w:pPr>
        <w:pStyle w:val="2"/>
        <w:bidi w:val="0"/>
        <w:jc w:val="center"/>
        <w:rPr>
          <w:b/>
          <w:bCs/>
          <w:color w:val="auto"/>
          <w:sz w:val="52"/>
          <w:szCs w:val="52"/>
          <w:highlight w:val="none"/>
        </w:rPr>
      </w:pPr>
      <w:bookmarkStart w:id="9" w:name="_Toc16580"/>
      <w:r>
        <w:rPr>
          <w:b/>
          <w:bCs/>
          <w:color w:val="auto"/>
          <w:sz w:val="52"/>
          <w:szCs w:val="52"/>
          <w:highlight w:val="none"/>
        </w:rPr>
        <w:t>第二章  投标人须知</w:t>
      </w:r>
      <w:bookmarkEnd w:id="9"/>
    </w:p>
    <w:p w14:paraId="081F4255">
      <w:pPr>
        <w:spacing w:line="219" w:lineRule="auto"/>
        <w:rPr>
          <w:rFonts w:ascii="宋体" w:hAnsi="宋体" w:eastAsia="宋体" w:cs="宋体"/>
          <w:color w:val="auto"/>
          <w:sz w:val="52"/>
          <w:szCs w:val="52"/>
          <w:highlight w:val="none"/>
        </w:rPr>
        <w:sectPr>
          <w:footerReference r:id="rId9" w:type="default"/>
          <w:pgSz w:w="11905" w:h="16838"/>
          <w:pgMar w:top="1134" w:right="1134" w:bottom="1134" w:left="1134" w:header="0" w:footer="1066" w:gutter="0"/>
          <w:pgNumType w:fmt="decimal"/>
          <w:cols w:space="0" w:num="1"/>
          <w:rtlGutter w:val="0"/>
          <w:docGrid w:linePitch="0" w:charSpace="0"/>
        </w:sectPr>
      </w:pPr>
    </w:p>
    <w:p w14:paraId="32AB86E5">
      <w:pPr>
        <w:bidi w:val="0"/>
        <w:jc w:val="center"/>
        <w:rPr>
          <w:rFonts w:hint="eastAsia" w:ascii="宋体" w:hAnsi="宋体" w:eastAsia="宋体" w:cs="宋体"/>
          <w:b/>
          <w:bCs/>
          <w:color w:val="auto"/>
          <w:sz w:val="36"/>
          <w:szCs w:val="36"/>
          <w:highlight w:val="none"/>
        </w:rPr>
      </w:pPr>
      <w:bookmarkStart w:id="10" w:name="bookmark7"/>
      <w:bookmarkEnd w:id="10"/>
      <w:r>
        <w:rPr>
          <w:rFonts w:hint="eastAsia" w:ascii="宋体" w:hAnsi="宋体" w:eastAsia="宋体" w:cs="宋体"/>
          <w:b/>
          <w:bCs/>
          <w:color w:val="auto"/>
          <w:sz w:val="36"/>
          <w:szCs w:val="36"/>
          <w:highlight w:val="none"/>
        </w:rPr>
        <w:t>第二章  投标人须知</w:t>
      </w:r>
    </w:p>
    <w:p w14:paraId="3FD9D223">
      <w:pPr>
        <w:pStyle w:val="3"/>
        <w:bidi w:val="0"/>
        <w:rPr>
          <w:color w:val="auto"/>
          <w:highlight w:val="none"/>
        </w:rPr>
      </w:pPr>
      <w:r>
        <w:rPr>
          <w:color w:val="auto"/>
          <w:highlight w:val="none"/>
        </w:rPr>
        <w:t>投标人须知前附表</w:t>
      </w:r>
    </w:p>
    <w:tbl>
      <w:tblPr>
        <w:tblStyle w:val="19"/>
        <w:tblW w:w="97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3"/>
        <w:gridCol w:w="2877"/>
        <w:gridCol w:w="5798"/>
        <w:gridCol w:w="13"/>
      </w:tblGrid>
      <w:tr w14:paraId="0C771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9" w:hRule="atLeast"/>
        </w:trPr>
        <w:tc>
          <w:tcPr>
            <w:tcW w:w="1013" w:type="dxa"/>
            <w:vAlign w:val="top"/>
          </w:tcPr>
          <w:p w14:paraId="3E2F4AAC">
            <w:pPr>
              <w:pStyle w:val="20"/>
              <w:spacing w:before="145" w:line="228" w:lineRule="auto"/>
              <w:ind w:left="198"/>
              <w:rPr>
                <w:color w:val="auto"/>
                <w:highlight w:val="none"/>
              </w:rPr>
            </w:pPr>
            <w:r>
              <w:rPr>
                <w:b/>
                <w:bCs/>
                <w:color w:val="auto"/>
                <w:spacing w:val="5"/>
                <w:highlight w:val="none"/>
              </w:rPr>
              <w:t>条款号</w:t>
            </w:r>
          </w:p>
        </w:tc>
        <w:tc>
          <w:tcPr>
            <w:tcW w:w="2877" w:type="dxa"/>
            <w:vAlign w:val="top"/>
          </w:tcPr>
          <w:p w14:paraId="7E2C486D">
            <w:pPr>
              <w:pStyle w:val="20"/>
              <w:spacing w:before="145" w:line="228" w:lineRule="auto"/>
              <w:ind w:left="706"/>
              <w:rPr>
                <w:color w:val="auto"/>
                <w:highlight w:val="none"/>
              </w:rPr>
            </w:pPr>
            <w:r>
              <w:rPr>
                <w:b/>
                <w:bCs/>
                <w:color w:val="auto"/>
                <w:spacing w:val="-3"/>
                <w:highlight w:val="none"/>
              </w:rPr>
              <w:t>条</w:t>
            </w:r>
            <w:r>
              <w:rPr>
                <w:color w:val="auto"/>
                <w:spacing w:val="10"/>
                <w:highlight w:val="none"/>
              </w:rPr>
              <w:t xml:space="preserve">  </w:t>
            </w:r>
            <w:r>
              <w:rPr>
                <w:b/>
                <w:bCs/>
                <w:color w:val="auto"/>
                <w:spacing w:val="-3"/>
                <w:highlight w:val="none"/>
              </w:rPr>
              <w:t>款</w:t>
            </w:r>
            <w:r>
              <w:rPr>
                <w:color w:val="auto"/>
                <w:spacing w:val="12"/>
                <w:highlight w:val="none"/>
              </w:rPr>
              <w:t xml:space="preserve">  </w:t>
            </w:r>
            <w:r>
              <w:rPr>
                <w:b/>
                <w:bCs/>
                <w:color w:val="auto"/>
                <w:spacing w:val="-3"/>
                <w:highlight w:val="none"/>
              </w:rPr>
              <w:t>名</w:t>
            </w:r>
            <w:r>
              <w:rPr>
                <w:color w:val="auto"/>
                <w:spacing w:val="11"/>
                <w:highlight w:val="none"/>
              </w:rPr>
              <w:t xml:space="preserve">  </w:t>
            </w:r>
            <w:r>
              <w:rPr>
                <w:b/>
                <w:bCs/>
                <w:color w:val="auto"/>
                <w:spacing w:val="-3"/>
                <w:highlight w:val="none"/>
              </w:rPr>
              <w:t>称</w:t>
            </w:r>
          </w:p>
        </w:tc>
        <w:tc>
          <w:tcPr>
            <w:tcW w:w="5798" w:type="dxa"/>
            <w:vAlign w:val="center"/>
          </w:tcPr>
          <w:p w14:paraId="7B78ABE3">
            <w:pPr>
              <w:pStyle w:val="20"/>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color w:val="auto"/>
                <w:highlight w:val="none"/>
              </w:rPr>
            </w:pPr>
            <w:r>
              <w:rPr>
                <w:b/>
                <w:bCs/>
                <w:color w:val="auto"/>
                <w:spacing w:val="-10"/>
                <w:highlight w:val="none"/>
              </w:rPr>
              <w:t>编</w:t>
            </w:r>
            <w:r>
              <w:rPr>
                <w:color w:val="auto"/>
                <w:spacing w:val="13"/>
                <w:highlight w:val="none"/>
              </w:rPr>
              <w:t xml:space="preserve">  </w:t>
            </w:r>
            <w:r>
              <w:rPr>
                <w:b/>
                <w:bCs/>
                <w:color w:val="auto"/>
                <w:spacing w:val="-10"/>
                <w:highlight w:val="none"/>
              </w:rPr>
              <w:t>列</w:t>
            </w:r>
            <w:r>
              <w:rPr>
                <w:color w:val="auto"/>
                <w:spacing w:val="23"/>
                <w:highlight w:val="none"/>
              </w:rPr>
              <w:t xml:space="preserve">  </w:t>
            </w:r>
            <w:r>
              <w:rPr>
                <w:b/>
                <w:bCs/>
                <w:color w:val="auto"/>
                <w:spacing w:val="-10"/>
                <w:highlight w:val="none"/>
              </w:rPr>
              <w:t>内</w:t>
            </w:r>
            <w:r>
              <w:rPr>
                <w:color w:val="auto"/>
                <w:spacing w:val="12"/>
                <w:highlight w:val="none"/>
              </w:rPr>
              <w:t xml:space="preserve">  </w:t>
            </w:r>
            <w:r>
              <w:rPr>
                <w:b/>
                <w:bCs/>
                <w:color w:val="auto"/>
                <w:spacing w:val="-10"/>
                <w:highlight w:val="none"/>
              </w:rPr>
              <w:t>容</w:t>
            </w:r>
          </w:p>
        </w:tc>
      </w:tr>
      <w:tr w14:paraId="75173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464" w:hRule="atLeast"/>
        </w:trPr>
        <w:tc>
          <w:tcPr>
            <w:tcW w:w="1013" w:type="dxa"/>
            <w:vAlign w:val="center"/>
          </w:tcPr>
          <w:p w14:paraId="5C3E6BC2">
            <w:pPr>
              <w:pStyle w:val="20"/>
              <w:spacing w:before="65" w:line="268" w:lineRule="exact"/>
              <w:ind w:left="264"/>
              <w:jc w:val="center"/>
              <w:rPr>
                <w:color w:val="auto"/>
                <w:highlight w:val="none"/>
              </w:rPr>
            </w:pPr>
            <w:r>
              <w:rPr>
                <w:color w:val="auto"/>
                <w:position w:val="1"/>
                <w:highlight w:val="none"/>
              </w:rPr>
              <w:t>1.1.2</w:t>
            </w:r>
          </w:p>
        </w:tc>
        <w:tc>
          <w:tcPr>
            <w:tcW w:w="2877" w:type="dxa"/>
            <w:vAlign w:val="center"/>
          </w:tcPr>
          <w:p w14:paraId="7BA8093C">
            <w:pPr>
              <w:pStyle w:val="20"/>
              <w:spacing w:before="65" w:line="228" w:lineRule="auto"/>
              <w:jc w:val="center"/>
              <w:rPr>
                <w:color w:val="auto"/>
                <w:highlight w:val="none"/>
              </w:rPr>
            </w:pPr>
            <w:r>
              <w:rPr>
                <w:color w:val="auto"/>
                <w:spacing w:val="6"/>
                <w:highlight w:val="none"/>
              </w:rPr>
              <w:t>招标人</w:t>
            </w:r>
          </w:p>
        </w:tc>
        <w:tc>
          <w:tcPr>
            <w:tcW w:w="5798" w:type="dxa"/>
            <w:vAlign w:val="center"/>
          </w:tcPr>
          <w:p w14:paraId="7EE31153">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color w:val="auto"/>
                <w:highlight w:val="none"/>
                <w:lang w:val="en-US" w:eastAsia="zh-CN"/>
              </w:rPr>
            </w:pPr>
            <w:r>
              <w:rPr>
                <w:rFonts w:hint="eastAsia"/>
                <w:color w:val="auto"/>
                <w:highlight w:val="none"/>
                <w:lang w:val="en-US" w:eastAsia="zh-CN"/>
              </w:rPr>
              <w:t>名称：始兴县地方公路事务中心</w:t>
            </w:r>
          </w:p>
          <w:p w14:paraId="3E656D63">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color w:val="auto"/>
                <w:highlight w:val="none"/>
                <w:lang w:val="en-US" w:eastAsia="zh-CN"/>
              </w:rPr>
            </w:pPr>
            <w:r>
              <w:rPr>
                <w:rFonts w:hint="eastAsia"/>
                <w:color w:val="auto"/>
                <w:highlight w:val="none"/>
                <w:lang w:val="en-US" w:eastAsia="zh-CN"/>
              </w:rPr>
              <w:t>地址：始兴县太平镇北门路420号。</w:t>
            </w:r>
          </w:p>
          <w:p w14:paraId="1256A4DA">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color w:val="auto"/>
                <w:highlight w:val="none"/>
                <w:lang w:val="en-US" w:eastAsia="zh-CN"/>
              </w:rPr>
            </w:pPr>
            <w:r>
              <w:rPr>
                <w:rFonts w:hint="eastAsia"/>
                <w:color w:val="auto"/>
                <w:highlight w:val="none"/>
                <w:lang w:val="en-US" w:eastAsia="zh-CN"/>
              </w:rPr>
              <w:t>联系人：刘工</w:t>
            </w:r>
          </w:p>
          <w:p w14:paraId="6A827B2E">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rFonts w:hint="eastAsia"/>
                <w:color w:val="auto"/>
                <w:highlight w:val="none"/>
                <w:lang w:val="en-US" w:eastAsia="zh-CN"/>
              </w:rPr>
              <w:t>电话：0751-6927330</w:t>
            </w:r>
          </w:p>
        </w:tc>
      </w:tr>
      <w:tr w14:paraId="14D5F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474" w:hRule="atLeast"/>
        </w:trPr>
        <w:tc>
          <w:tcPr>
            <w:tcW w:w="1013" w:type="dxa"/>
            <w:vAlign w:val="center"/>
          </w:tcPr>
          <w:p w14:paraId="53CFC3CC">
            <w:pPr>
              <w:pStyle w:val="20"/>
              <w:spacing w:before="65" w:line="268" w:lineRule="exact"/>
              <w:ind w:left="264"/>
              <w:jc w:val="center"/>
              <w:rPr>
                <w:color w:val="auto"/>
                <w:highlight w:val="none"/>
              </w:rPr>
            </w:pPr>
            <w:r>
              <w:rPr>
                <w:color w:val="auto"/>
                <w:position w:val="1"/>
                <w:highlight w:val="none"/>
              </w:rPr>
              <w:t>1.1.3</w:t>
            </w:r>
          </w:p>
        </w:tc>
        <w:tc>
          <w:tcPr>
            <w:tcW w:w="2877" w:type="dxa"/>
            <w:vAlign w:val="center"/>
          </w:tcPr>
          <w:p w14:paraId="733ABB8F">
            <w:pPr>
              <w:pStyle w:val="20"/>
              <w:spacing w:before="65" w:line="227" w:lineRule="auto"/>
              <w:jc w:val="center"/>
              <w:rPr>
                <w:color w:val="auto"/>
                <w:highlight w:val="none"/>
              </w:rPr>
            </w:pPr>
            <w:r>
              <w:rPr>
                <w:color w:val="auto"/>
                <w:spacing w:val="8"/>
                <w:highlight w:val="none"/>
              </w:rPr>
              <w:t>招标代理机构</w:t>
            </w:r>
          </w:p>
        </w:tc>
        <w:tc>
          <w:tcPr>
            <w:tcW w:w="5798" w:type="dxa"/>
            <w:vAlign w:val="center"/>
          </w:tcPr>
          <w:p w14:paraId="54BCCF01">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color w:val="auto"/>
                <w:spacing w:val="2"/>
                <w:highlight w:val="none"/>
              </w:rPr>
              <w:t>名称：</w:t>
            </w:r>
            <w:r>
              <w:rPr>
                <w:rFonts w:hint="eastAsia" w:ascii="宋体" w:hAnsi="宋体" w:eastAsia="宋体" w:cs="宋体"/>
                <w:color w:val="auto"/>
                <w:sz w:val="20"/>
                <w:szCs w:val="20"/>
                <w:highlight w:val="none"/>
                <w:lang w:eastAsia="zh-CN"/>
              </w:rPr>
              <w:t>广东粤韶招投标代理有限公司</w:t>
            </w:r>
          </w:p>
          <w:p w14:paraId="1ACE53D5">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color w:val="auto"/>
                <w:spacing w:val="3"/>
                <w:highlight w:val="none"/>
              </w:rPr>
              <w:t>地址：</w:t>
            </w:r>
            <w:r>
              <w:rPr>
                <w:rFonts w:hint="eastAsia" w:ascii="宋体" w:hAnsi="宋体" w:eastAsia="宋体" w:cs="宋体"/>
                <w:color w:val="auto"/>
                <w:sz w:val="20"/>
                <w:szCs w:val="20"/>
                <w:highlight w:val="none"/>
                <w:lang w:eastAsia="zh-CN"/>
              </w:rPr>
              <w:t>韶关市武江区惠民街道姐妹岭</w:t>
            </w:r>
            <w:r>
              <w:rPr>
                <w:rFonts w:hint="eastAsia" w:ascii="宋体" w:hAnsi="宋体" w:eastAsia="宋体" w:cs="宋体"/>
                <w:color w:val="auto"/>
                <w:sz w:val="20"/>
                <w:szCs w:val="20"/>
                <w:highlight w:val="none"/>
                <w:lang w:val="en-US" w:eastAsia="zh-CN"/>
              </w:rPr>
              <w:t>23号</w:t>
            </w:r>
          </w:p>
          <w:p w14:paraId="1CB89C86">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eastAsia="宋体"/>
                <w:color w:val="auto"/>
                <w:spacing w:val="-6"/>
                <w:highlight w:val="none"/>
                <w:lang w:eastAsia="zh-CN"/>
              </w:rPr>
            </w:pPr>
            <w:r>
              <w:rPr>
                <w:color w:val="auto"/>
                <w:spacing w:val="-6"/>
                <w:highlight w:val="none"/>
              </w:rPr>
              <w:t>联系人：</w:t>
            </w:r>
            <w:r>
              <w:rPr>
                <w:rFonts w:hint="eastAsia"/>
                <w:color w:val="auto"/>
                <w:spacing w:val="-6"/>
                <w:highlight w:val="none"/>
                <w:lang w:eastAsia="zh-CN"/>
              </w:rPr>
              <w:t>宋亮</w:t>
            </w:r>
          </w:p>
          <w:p w14:paraId="67B1372E">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color w:val="auto"/>
                <w:spacing w:val="-5"/>
                <w:highlight w:val="none"/>
              </w:rPr>
              <w:t>电话：</w:t>
            </w:r>
            <w:r>
              <w:rPr>
                <w:rFonts w:hint="eastAsia" w:ascii="宋体" w:hAnsi="宋体" w:eastAsia="宋体" w:cs="宋体"/>
                <w:color w:val="auto"/>
                <w:sz w:val="20"/>
                <w:szCs w:val="20"/>
                <w:highlight w:val="none"/>
                <w:lang w:val="en-US" w:eastAsia="zh-CN"/>
              </w:rPr>
              <w:t>13420552672</w:t>
            </w:r>
          </w:p>
        </w:tc>
      </w:tr>
      <w:tr w14:paraId="33C49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19A08462">
            <w:pPr>
              <w:pStyle w:val="20"/>
              <w:spacing w:before="142" w:line="233" w:lineRule="auto"/>
              <w:ind w:left="264"/>
              <w:jc w:val="center"/>
              <w:rPr>
                <w:color w:val="auto"/>
                <w:highlight w:val="none"/>
              </w:rPr>
            </w:pPr>
            <w:r>
              <w:rPr>
                <w:color w:val="auto"/>
                <w:highlight w:val="none"/>
              </w:rPr>
              <w:t>1.1.4</w:t>
            </w:r>
          </w:p>
        </w:tc>
        <w:tc>
          <w:tcPr>
            <w:tcW w:w="2877" w:type="dxa"/>
            <w:vAlign w:val="center"/>
          </w:tcPr>
          <w:p w14:paraId="3EEDE18A">
            <w:pPr>
              <w:pStyle w:val="20"/>
              <w:spacing w:before="143" w:line="228" w:lineRule="auto"/>
              <w:jc w:val="center"/>
              <w:rPr>
                <w:color w:val="auto"/>
                <w:highlight w:val="none"/>
              </w:rPr>
            </w:pPr>
            <w:r>
              <w:rPr>
                <w:color w:val="auto"/>
                <w:spacing w:val="8"/>
                <w:highlight w:val="none"/>
              </w:rPr>
              <w:t>招标项目名称</w:t>
            </w:r>
          </w:p>
        </w:tc>
        <w:tc>
          <w:tcPr>
            <w:tcW w:w="5798" w:type="dxa"/>
            <w:vAlign w:val="center"/>
          </w:tcPr>
          <w:p w14:paraId="109AF279">
            <w:pPr>
              <w:keepNext w:val="0"/>
              <w:keepLines w:val="0"/>
              <w:pageBreakBefore w:val="0"/>
              <w:widowControl/>
              <w:overflowPunct/>
              <w:bidi w:val="0"/>
              <w:adjustRightInd w:val="0"/>
              <w:snapToGrid w:val="0"/>
              <w:spacing w:line="288" w:lineRule="auto"/>
              <w:ind w:left="105" w:leftChars="50" w:right="42" w:rightChars="20" w:firstLine="0" w:firstLineChars="0"/>
              <w:jc w:val="both"/>
              <w:textAlignment w:val="baseline"/>
              <w:rPr>
                <w:rFonts w:ascii="Arial"/>
                <w:color w:val="auto"/>
                <w:sz w:val="21"/>
                <w:highlight w:val="none"/>
              </w:rPr>
            </w:pPr>
            <w:r>
              <w:rPr>
                <w:rFonts w:hint="eastAsia" w:ascii="宋体" w:hAnsi="宋体" w:eastAsia="宋体" w:cs="宋体"/>
                <w:i w:val="0"/>
                <w:color w:val="auto"/>
                <w:sz w:val="20"/>
                <w:szCs w:val="20"/>
                <w:highlight w:val="none"/>
                <w:u w:val="none"/>
                <w:lang w:eastAsia="zh-CN"/>
              </w:rPr>
              <w:t>国道G535线始兴下窖（江西交界）至顿岗段改建工程施工监理</w:t>
            </w:r>
          </w:p>
        </w:tc>
      </w:tr>
      <w:tr w14:paraId="25F52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56195862">
            <w:pPr>
              <w:pStyle w:val="20"/>
              <w:spacing w:before="143" w:line="232" w:lineRule="auto"/>
              <w:ind w:left="264"/>
              <w:jc w:val="center"/>
              <w:rPr>
                <w:color w:val="auto"/>
                <w:highlight w:val="none"/>
              </w:rPr>
            </w:pPr>
            <w:r>
              <w:rPr>
                <w:color w:val="auto"/>
                <w:highlight w:val="none"/>
              </w:rPr>
              <w:t>1.1.5</w:t>
            </w:r>
          </w:p>
        </w:tc>
        <w:tc>
          <w:tcPr>
            <w:tcW w:w="2877" w:type="dxa"/>
            <w:vAlign w:val="center"/>
          </w:tcPr>
          <w:p w14:paraId="631B93BA">
            <w:pPr>
              <w:pStyle w:val="20"/>
              <w:spacing w:before="126" w:line="264" w:lineRule="exact"/>
              <w:jc w:val="center"/>
              <w:rPr>
                <w:color w:val="auto"/>
                <w:sz w:val="10"/>
                <w:szCs w:val="10"/>
                <w:highlight w:val="none"/>
              </w:rPr>
            </w:pPr>
            <w:r>
              <w:rPr>
                <w:color w:val="auto"/>
                <w:spacing w:val="8"/>
                <w:highlight w:val="none"/>
              </w:rPr>
              <w:t>标段建设地点</w:t>
            </w:r>
          </w:p>
        </w:tc>
        <w:tc>
          <w:tcPr>
            <w:tcW w:w="5798" w:type="dxa"/>
            <w:vAlign w:val="center"/>
          </w:tcPr>
          <w:p w14:paraId="09B8FA60">
            <w:pPr>
              <w:keepNext w:val="0"/>
              <w:keepLines w:val="0"/>
              <w:pageBreakBefore w:val="0"/>
              <w:widowControl/>
              <w:overflowPunct/>
              <w:bidi w:val="0"/>
              <w:adjustRightInd w:val="0"/>
              <w:snapToGrid w:val="0"/>
              <w:spacing w:line="288" w:lineRule="auto"/>
              <w:ind w:left="105" w:leftChars="50" w:right="42" w:rightChars="20" w:firstLine="0" w:firstLineChars="0"/>
              <w:jc w:val="both"/>
              <w:textAlignment w:val="baseline"/>
              <w:rPr>
                <w:rFonts w:ascii="Arial"/>
                <w:color w:val="auto"/>
                <w:sz w:val="21"/>
                <w:highlight w:val="none"/>
              </w:rPr>
            </w:pPr>
            <w:r>
              <w:rPr>
                <w:rFonts w:hint="eastAsia" w:ascii="宋体" w:hAnsi="宋体" w:eastAsia="宋体" w:cs="宋体"/>
                <w:i w:val="0"/>
                <w:color w:val="auto"/>
                <w:sz w:val="20"/>
                <w:szCs w:val="20"/>
                <w:highlight w:val="none"/>
                <w:u w:val="none"/>
                <w:lang w:val="en-US" w:eastAsia="zh-CN"/>
              </w:rPr>
              <w:t>韶关市始兴县</w:t>
            </w:r>
          </w:p>
        </w:tc>
      </w:tr>
      <w:tr w14:paraId="78687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73C83B61">
            <w:pPr>
              <w:pStyle w:val="20"/>
              <w:spacing w:before="143" w:line="232" w:lineRule="auto"/>
              <w:ind w:left="264"/>
              <w:jc w:val="center"/>
              <w:rPr>
                <w:color w:val="auto"/>
                <w:highlight w:val="none"/>
              </w:rPr>
            </w:pPr>
            <w:r>
              <w:rPr>
                <w:color w:val="auto"/>
                <w:highlight w:val="none"/>
              </w:rPr>
              <w:t>1.1.6</w:t>
            </w:r>
          </w:p>
        </w:tc>
        <w:tc>
          <w:tcPr>
            <w:tcW w:w="2877" w:type="dxa"/>
            <w:vAlign w:val="center"/>
          </w:tcPr>
          <w:p w14:paraId="1F61874C">
            <w:pPr>
              <w:pStyle w:val="20"/>
              <w:spacing w:before="143" w:line="228" w:lineRule="auto"/>
              <w:jc w:val="center"/>
              <w:rPr>
                <w:color w:val="auto"/>
                <w:highlight w:val="none"/>
              </w:rPr>
            </w:pPr>
            <w:r>
              <w:rPr>
                <w:color w:val="auto"/>
                <w:spacing w:val="8"/>
                <w:highlight w:val="none"/>
              </w:rPr>
              <w:t>标段建设规模</w:t>
            </w:r>
          </w:p>
        </w:tc>
        <w:tc>
          <w:tcPr>
            <w:tcW w:w="5798" w:type="dxa"/>
            <w:vAlign w:val="center"/>
          </w:tcPr>
          <w:p w14:paraId="73581F21">
            <w:pPr>
              <w:keepNext w:val="0"/>
              <w:keepLines w:val="0"/>
              <w:pageBreakBefore w:val="0"/>
              <w:widowControl/>
              <w:kinsoku/>
              <w:wordWrap w:val="0"/>
              <w:overflowPunct/>
              <w:topLinePunct/>
              <w:autoSpaceDE/>
              <w:autoSpaceDN/>
              <w:bidi w:val="0"/>
              <w:adjustRightInd w:val="0"/>
              <w:snapToGrid w:val="0"/>
              <w:spacing w:line="288" w:lineRule="auto"/>
              <w:ind w:left="105" w:leftChars="50" w:right="42" w:rightChars="20" w:firstLine="0" w:firstLineChars="0"/>
              <w:jc w:val="both"/>
              <w:textAlignment w:val="baseline"/>
              <w:rPr>
                <w:rFonts w:ascii="Arial"/>
                <w:color w:val="auto"/>
                <w:sz w:val="21"/>
                <w:highlight w:val="none"/>
              </w:rPr>
            </w:pPr>
            <w:r>
              <w:rPr>
                <w:rFonts w:hint="eastAsia" w:ascii="宋体" w:hAnsi="宋体" w:eastAsia="宋体" w:cs="宋体"/>
                <w:i w:val="0"/>
                <w:color w:val="auto"/>
                <w:kern w:val="0"/>
                <w:sz w:val="20"/>
                <w:szCs w:val="20"/>
                <w:highlight w:val="none"/>
                <w:u w:val="none"/>
                <w:lang w:val="en-US" w:eastAsia="zh-CN" w:bidi="ar"/>
              </w:rPr>
              <w:t>本项目路线全长35.037km</w:t>
            </w:r>
            <w:r>
              <w:rPr>
                <w:rFonts w:hint="default" w:ascii="宋体" w:hAnsi="宋体" w:eastAsia="宋体" w:cs="宋体"/>
                <w:i w:val="0"/>
                <w:color w:val="auto"/>
                <w:kern w:val="0"/>
                <w:sz w:val="20"/>
                <w:szCs w:val="20"/>
                <w:highlight w:val="none"/>
                <w:u w:val="none"/>
                <w:lang w:val="en-US" w:eastAsia="zh-CN" w:bidi="ar"/>
              </w:rPr>
              <w:t>。全线共设桥梁293m/7 座（其中拆除重建中桥138m/4座，新建中桥155m/3座）、涵洞132道（其中新建89道，拆除重建43道），设主要平面交叉3处。</w:t>
            </w:r>
            <w:r>
              <w:rPr>
                <w:rFonts w:hint="eastAsia" w:ascii="宋体" w:hAnsi="宋体" w:eastAsia="宋体" w:cs="宋体"/>
                <w:i w:val="0"/>
                <w:color w:val="auto"/>
                <w:kern w:val="0"/>
                <w:sz w:val="20"/>
                <w:szCs w:val="20"/>
                <w:highlight w:val="none"/>
                <w:u w:val="none"/>
                <w:lang w:val="en-US" w:eastAsia="zh-CN" w:bidi="ar"/>
              </w:rPr>
              <w:t>采用二级公路技术标准；设计速度：40km/h</w:t>
            </w:r>
            <w:r>
              <w:rPr>
                <w:rFonts w:hint="default" w:ascii="宋体" w:hAnsi="宋体" w:eastAsia="宋体" w:cs="宋体"/>
                <w:i w:val="0"/>
                <w:color w:val="auto"/>
                <w:kern w:val="0"/>
                <w:sz w:val="20"/>
                <w:szCs w:val="20"/>
                <w:highlight w:val="none"/>
                <w:u w:val="none"/>
                <w:lang w:val="en-US" w:eastAsia="zh-CN" w:bidi="ar"/>
              </w:rPr>
              <w:t>（K111+930.414~K119+265、K128+905 ~K141+700段）、60km/h（K119+265~K128+905、K141+700~K 146+967.413段）</w:t>
            </w:r>
            <w:r>
              <w:rPr>
                <w:rFonts w:hint="eastAsia" w:ascii="宋体" w:hAnsi="宋体" w:eastAsia="宋体" w:cs="宋体"/>
                <w:i w:val="0"/>
                <w:color w:val="auto"/>
                <w:kern w:val="0"/>
                <w:sz w:val="20"/>
                <w:szCs w:val="20"/>
                <w:highlight w:val="none"/>
                <w:u w:val="none"/>
                <w:lang w:val="en-US" w:eastAsia="zh-CN" w:bidi="ar"/>
              </w:rPr>
              <w:t>；路基宽度：10.0m。</w:t>
            </w:r>
          </w:p>
        </w:tc>
      </w:tr>
      <w:tr w14:paraId="2D81F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05" w:hRule="atLeast"/>
        </w:trPr>
        <w:tc>
          <w:tcPr>
            <w:tcW w:w="1013" w:type="dxa"/>
            <w:vAlign w:val="center"/>
          </w:tcPr>
          <w:p w14:paraId="0AB3F82E">
            <w:pPr>
              <w:pStyle w:val="20"/>
              <w:spacing w:before="65" w:line="268" w:lineRule="exact"/>
              <w:jc w:val="center"/>
              <w:rPr>
                <w:color w:val="auto"/>
                <w:highlight w:val="none"/>
              </w:rPr>
            </w:pPr>
            <w:r>
              <w:rPr>
                <w:color w:val="auto"/>
                <w:position w:val="1"/>
                <w:highlight w:val="none"/>
              </w:rPr>
              <w:t>1.1.7</w:t>
            </w:r>
          </w:p>
        </w:tc>
        <w:tc>
          <w:tcPr>
            <w:tcW w:w="2877" w:type="dxa"/>
            <w:vAlign w:val="center"/>
          </w:tcPr>
          <w:p w14:paraId="3E8EF3E1">
            <w:pPr>
              <w:pStyle w:val="20"/>
              <w:spacing w:before="144" w:line="228" w:lineRule="auto"/>
              <w:jc w:val="center"/>
              <w:rPr>
                <w:color w:val="auto"/>
                <w:highlight w:val="none"/>
              </w:rPr>
            </w:pPr>
            <w:r>
              <w:rPr>
                <w:color w:val="auto"/>
                <w:spacing w:val="9"/>
                <w:highlight w:val="none"/>
              </w:rPr>
              <w:t>招标项目施工预计开工日期</w:t>
            </w:r>
          </w:p>
          <w:p w14:paraId="27361F34">
            <w:pPr>
              <w:pStyle w:val="20"/>
              <w:spacing w:before="151" w:line="228" w:lineRule="auto"/>
              <w:ind w:left="919"/>
              <w:jc w:val="center"/>
              <w:rPr>
                <w:color w:val="auto"/>
                <w:highlight w:val="none"/>
              </w:rPr>
            </w:pPr>
            <w:r>
              <w:rPr>
                <w:color w:val="auto"/>
                <w:spacing w:val="7"/>
                <w:highlight w:val="none"/>
              </w:rPr>
              <w:t>和建设周期</w:t>
            </w:r>
          </w:p>
        </w:tc>
        <w:tc>
          <w:tcPr>
            <w:tcW w:w="5798" w:type="dxa"/>
            <w:vAlign w:val="center"/>
          </w:tcPr>
          <w:p w14:paraId="442828A8">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计划开工日期：</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年</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月</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日</w:t>
            </w:r>
          </w:p>
          <w:p w14:paraId="100836F4">
            <w:pPr>
              <w:keepNext w:val="0"/>
              <w:keepLines w:val="0"/>
              <w:pageBreakBefore w:val="0"/>
              <w:widowControl/>
              <w:overflowPunct/>
              <w:autoSpaceDE w:val="0"/>
              <w:autoSpaceDN w:val="0"/>
              <w:bidi w:val="0"/>
              <w:adjustRightInd w:val="0"/>
              <w:snapToGrid w:val="0"/>
              <w:spacing w:line="288" w:lineRule="auto"/>
              <w:ind w:left="105" w:leftChars="50" w:right="42" w:rightChars="20" w:firstLine="0" w:firstLineChars="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计划竣工日期：</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年</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月</w:t>
            </w:r>
            <w:r>
              <w:rPr>
                <w:rFonts w:hint="eastAsia" w:ascii="宋体" w:hAnsi="宋体" w:eastAsia="宋体" w:cs="宋体"/>
                <w:color w:val="auto"/>
                <w:sz w:val="20"/>
                <w:szCs w:val="20"/>
                <w:highlight w:val="none"/>
                <w:u w:val="single"/>
              </w:rPr>
              <w:t xml:space="preserve"> / </w:t>
            </w:r>
            <w:r>
              <w:rPr>
                <w:rFonts w:hint="eastAsia" w:ascii="宋体" w:hAnsi="宋体" w:eastAsia="宋体" w:cs="宋体"/>
                <w:color w:val="auto"/>
                <w:sz w:val="20"/>
                <w:szCs w:val="20"/>
                <w:highlight w:val="none"/>
              </w:rPr>
              <w:t>日</w:t>
            </w:r>
          </w:p>
          <w:p w14:paraId="35F366D4">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宋体" w:hAnsi="宋体" w:eastAsia="宋体" w:cs="宋体"/>
                <w:color w:val="auto"/>
                <w:sz w:val="20"/>
                <w:szCs w:val="20"/>
                <w:highlight w:val="none"/>
              </w:rPr>
              <w:t>建设周期：</w:t>
            </w:r>
            <w:r>
              <w:rPr>
                <w:rFonts w:hint="eastAsia" w:ascii="宋体" w:hAnsi="宋体" w:eastAsia="宋体" w:cs="宋体"/>
                <w:color w:val="auto"/>
                <w:sz w:val="20"/>
                <w:szCs w:val="20"/>
                <w:highlight w:val="none"/>
                <w:u w:val="single"/>
                <w:lang w:val="en-US" w:eastAsia="zh-CN"/>
              </w:rPr>
              <w:t>36</w:t>
            </w:r>
            <w:r>
              <w:rPr>
                <w:rFonts w:hint="eastAsia" w:ascii="宋体" w:hAnsi="宋体" w:eastAsia="宋体" w:cs="宋体"/>
                <w:color w:val="auto"/>
                <w:sz w:val="20"/>
                <w:szCs w:val="20"/>
                <w:highlight w:val="none"/>
              </w:rPr>
              <w:t>个月</w:t>
            </w:r>
          </w:p>
        </w:tc>
      </w:tr>
      <w:tr w14:paraId="5DC6F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05" w:hRule="atLeast"/>
        </w:trPr>
        <w:tc>
          <w:tcPr>
            <w:tcW w:w="1013" w:type="dxa"/>
            <w:vAlign w:val="center"/>
          </w:tcPr>
          <w:p w14:paraId="497CEB08">
            <w:pPr>
              <w:pStyle w:val="20"/>
              <w:spacing w:before="65" w:line="268" w:lineRule="exact"/>
              <w:jc w:val="center"/>
              <w:rPr>
                <w:color w:val="auto"/>
                <w:highlight w:val="none"/>
              </w:rPr>
            </w:pPr>
            <w:r>
              <w:rPr>
                <w:color w:val="auto"/>
                <w:position w:val="1"/>
                <w:highlight w:val="none"/>
              </w:rPr>
              <w:t>1.1.8</w:t>
            </w:r>
          </w:p>
        </w:tc>
        <w:tc>
          <w:tcPr>
            <w:tcW w:w="2877" w:type="dxa"/>
            <w:vAlign w:val="center"/>
          </w:tcPr>
          <w:p w14:paraId="6C195F73">
            <w:pPr>
              <w:pStyle w:val="20"/>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color w:val="auto"/>
                <w:highlight w:val="none"/>
              </w:rPr>
            </w:pPr>
            <w:r>
              <w:rPr>
                <w:color w:val="auto"/>
                <w:spacing w:val="8"/>
                <w:highlight w:val="none"/>
              </w:rPr>
              <w:t>建筑安装工程费/工程概算投</w:t>
            </w:r>
          </w:p>
          <w:p w14:paraId="1D34C606">
            <w:pPr>
              <w:pStyle w:val="20"/>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color w:val="auto"/>
                <w:highlight w:val="none"/>
              </w:rPr>
            </w:pPr>
            <w:r>
              <w:rPr>
                <w:color w:val="auto"/>
                <w:highlight w:val="none"/>
              </w:rPr>
              <w:t>资额</w:t>
            </w:r>
          </w:p>
        </w:tc>
        <w:tc>
          <w:tcPr>
            <w:tcW w:w="5798" w:type="dxa"/>
            <w:vAlign w:val="center"/>
          </w:tcPr>
          <w:p w14:paraId="55FC4989">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宋体" w:hAnsi="宋体" w:eastAsia="宋体" w:cs="宋体"/>
                <w:i w:val="0"/>
                <w:color w:val="auto"/>
                <w:kern w:val="0"/>
                <w:sz w:val="20"/>
                <w:szCs w:val="20"/>
                <w:highlight w:val="none"/>
                <w:u w:val="none"/>
                <w:lang w:val="en-US" w:eastAsia="zh-CN" w:bidi="ar"/>
              </w:rPr>
              <w:t>建筑安装工程费：42307.37万元，工程概算投资额：64030.11万元</w:t>
            </w:r>
          </w:p>
        </w:tc>
      </w:tr>
      <w:tr w14:paraId="00639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3C1CF7F3">
            <w:pPr>
              <w:pStyle w:val="20"/>
              <w:spacing w:before="143" w:line="232" w:lineRule="auto"/>
              <w:jc w:val="center"/>
              <w:rPr>
                <w:color w:val="auto"/>
                <w:highlight w:val="none"/>
              </w:rPr>
            </w:pPr>
            <w:r>
              <w:rPr>
                <w:color w:val="auto"/>
                <w:highlight w:val="none"/>
              </w:rPr>
              <w:t>1.2.1</w:t>
            </w:r>
          </w:p>
        </w:tc>
        <w:tc>
          <w:tcPr>
            <w:tcW w:w="2877" w:type="dxa"/>
            <w:vAlign w:val="center"/>
          </w:tcPr>
          <w:p w14:paraId="3524F0E7">
            <w:pPr>
              <w:pStyle w:val="20"/>
              <w:spacing w:before="143" w:line="228" w:lineRule="auto"/>
              <w:jc w:val="center"/>
              <w:rPr>
                <w:color w:val="auto"/>
                <w:highlight w:val="none"/>
              </w:rPr>
            </w:pPr>
            <w:r>
              <w:rPr>
                <w:color w:val="auto"/>
                <w:spacing w:val="7"/>
                <w:highlight w:val="none"/>
              </w:rPr>
              <w:t>资金来源及比例</w:t>
            </w:r>
          </w:p>
        </w:tc>
        <w:tc>
          <w:tcPr>
            <w:tcW w:w="5798" w:type="dxa"/>
            <w:vAlign w:val="center"/>
          </w:tcPr>
          <w:p w14:paraId="5FD0CE6F">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详见招标公告</w:t>
            </w:r>
          </w:p>
        </w:tc>
      </w:tr>
      <w:tr w14:paraId="4355F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53CB0965">
            <w:pPr>
              <w:pStyle w:val="20"/>
              <w:spacing w:before="144" w:line="231" w:lineRule="auto"/>
              <w:jc w:val="center"/>
              <w:rPr>
                <w:color w:val="auto"/>
                <w:highlight w:val="none"/>
              </w:rPr>
            </w:pPr>
            <w:r>
              <w:rPr>
                <w:color w:val="auto"/>
                <w:highlight w:val="none"/>
              </w:rPr>
              <w:t>1.2.2</w:t>
            </w:r>
          </w:p>
        </w:tc>
        <w:tc>
          <w:tcPr>
            <w:tcW w:w="2877" w:type="dxa"/>
            <w:vAlign w:val="center"/>
          </w:tcPr>
          <w:p w14:paraId="60625F0C">
            <w:pPr>
              <w:pStyle w:val="20"/>
              <w:spacing w:before="144" w:line="228" w:lineRule="auto"/>
              <w:jc w:val="center"/>
              <w:rPr>
                <w:color w:val="auto"/>
                <w:highlight w:val="none"/>
              </w:rPr>
            </w:pPr>
            <w:r>
              <w:rPr>
                <w:color w:val="auto"/>
                <w:spacing w:val="6"/>
                <w:highlight w:val="none"/>
              </w:rPr>
              <w:t>资金落实情况</w:t>
            </w:r>
          </w:p>
        </w:tc>
        <w:tc>
          <w:tcPr>
            <w:tcW w:w="5798" w:type="dxa"/>
            <w:vAlign w:val="center"/>
          </w:tcPr>
          <w:p w14:paraId="278BFDF9">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Arial"/>
                <w:color w:val="auto"/>
                <w:sz w:val="21"/>
                <w:highlight w:val="none"/>
              </w:rPr>
              <w:t>资金已落实</w:t>
            </w:r>
          </w:p>
        </w:tc>
      </w:tr>
      <w:tr w14:paraId="214D7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204" w:hRule="atLeast"/>
        </w:trPr>
        <w:tc>
          <w:tcPr>
            <w:tcW w:w="1013" w:type="dxa"/>
            <w:vAlign w:val="center"/>
          </w:tcPr>
          <w:p w14:paraId="43B09865">
            <w:pPr>
              <w:pStyle w:val="20"/>
              <w:spacing w:before="65" w:line="268" w:lineRule="exact"/>
              <w:jc w:val="center"/>
              <w:rPr>
                <w:color w:val="auto"/>
                <w:highlight w:val="none"/>
              </w:rPr>
            </w:pPr>
            <w:r>
              <w:rPr>
                <w:color w:val="auto"/>
                <w:position w:val="1"/>
                <w:highlight w:val="none"/>
              </w:rPr>
              <w:t>1.3.1</w:t>
            </w:r>
          </w:p>
        </w:tc>
        <w:tc>
          <w:tcPr>
            <w:tcW w:w="2877" w:type="dxa"/>
            <w:vAlign w:val="center"/>
          </w:tcPr>
          <w:p w14:paraId="2A10A375">
            <w:pPr>
              <w:pStyle w:val="20"/>
              <w:spacing w:before="65" w:line="265" w:lineRule="exact"/>
              <w:jc w:val="center"/>
              <w:rPr>
                <w:color w:val="auto"/>
                <w:sz w:val="10"/>
                <w:szCs w:val="10"/>
                <w:highlight w:val="none"/>
              </w:rPr>
            </w:pPr>
            <w:r>
              <w:rPr>
                <w:color w:val="auto"/>
                <w:spacing w:val="7"/>
                <w:highlight w:val="none"/>
              </w:rPr>
              <w:t>招标范围</w:t>
            </w:r>
          </w:p>
        </w:tc>
        <w:tc>
          <w:tcPr>
            <w:tcW w:w="5798" w:type="dxa"/>
            <w:vAlign w:val="center"/>
          </w:tcPr>
          <w:p w14:paraId="1B14C592">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spacing w:val="7"/>
                <w:highlight w:val="none"/>
                <w:lang w:eastAsia="zh-CN"/>
              </w:rPr>
              <w:t>☑</w:t>
            </w:r>
            <w:r>
              <w:rPr>
                <w:color w:val="auto"/>
                <w:spacing w:val="7"/>
                <w:highlight w:val="none"/>
              </w:rPr>
              <w:t>总监理工程师办公室（含中心试验室）</w:t>
            </w:r>
          </w:p>
          <w:p w14:paraId="1C469E8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□驻地监理工程师办公室（含监理试验室）</w:t>
            </w:r>
          </w:p>
          <w:p w14:paraId="5A0D00B0">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2"/>
                <w:highlight w:val="none"/>
              </w:rPr>
              <w:t>□其他：</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p>
        </w:tc>
      </w:tr>
      <w:tr w14:paraId="72379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735" w:hRule="atLeast"/>
        </w:trPr>
        <w:tc>
          <w:tcPr>
            <w:tcW w:w="1013" w:type="dxa"/>
            <w:vAlign w:val="center"/>
          </w:tcPr>
          <w:p w14:paraId="6D0A582E">
            <w:pPr>
              <w:spacing w:line="476" w:lineRule="auto"/>
              <w:jc w:val="center"/>
              <w:rPr>
                <w:rFonts w:ascii="Arial"/>
                <w:color w:val="auto"/>
                <w:sz w:val="21"/>
                <w:highlight w:val="none"/>
              </w:rPr>
            </w:pPr>
          </w:p>
          <w:p w14:paraId="34CF5855">
            <w:pPr>
              <w:pStyle w:val="20"/>
              <w:spacing w:before="65" w:line="268" w:lineRule="exact"/>
              <w:jc w:val="center"/>
              <w:rPr>
                <w:color w:val="auto"/>
                <w:highlight w:val="none"/>
              </w:rPr>
            </w:pPr>
            <w:r>
              <w:rPr>
                <w:color w:val="auto"/>
                <w:position w:val="1"/>
                <w:highlight w:val="none"/>
              </w:rPr>
              <w:t>1.3.2</w:t>
            </w:r>
          </w:p>
        </w:tc>
        <w:tc>
          <w:tcPr>
            <w:tcW w:w="2877" w:type="dxa"/>
            <w:vAlign w:val="center"/>
          </w:tcPr>
          <w:p w14:paraId="47C21D5B">
            <w:pPr>
              <w:spacing w:line="476" w:lineRule="auto"/>
              <w:jc w:val="center"/>
              <w:rPr>
                <w:rFonts w:ascii="Arial"/>
                <w:color w:val="auto"/>
                <w:sz w:val="21"/>
                <w:highlight w:val="none"/>
              </w:rPr>
            </w:pPr>
          </w:p>
          <w:p w14:paraId="1982FDBD">
            <w:pPr>
              <w:pStyle w:val="20"/>
              <w:spacing w:before="65" w:line="228" w:lineRule="auto"/>
              <w:jc w:val="center"/>
              <w:rPr>
                <w:color w:val="auto"/>
                <w:highlight w:val="none"/>
              </w:rPr>
            </w:pPr>
            <w:r>
              <w:rPr>
                <w:color w:val="auto"/>
                <w:spacing w:val="8"/>
                <w:highlight w:val="none"/>
              </w:rPr>
              <w:t>监理服务期限</w:t>
            </w:r>
          </w:p>
        </w:tc>
        <w:tc>
          <w:tcPr>
            <w:tcW w:w="5798" w:type="dxa"/>
            <w:vAlign w:val="center"/>
          </w:tcPr>
          <w:p w14:paraId="0A929C31">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spacing w:val="7"/>
                <w:highlight w:val="none"/>
              </w:rPr>
            </w:pPr>
            <w:r>
              <w:rPr>
                <w:color w:val="auto"/>
                <w:spacing w:val="7"/>
                <w:highlight w:val="none"/>
              </w:rPr>
              <w:t>监理服务期：</w:t>
            </w:r>
            <w:r>
              <w:rPr>
                <w:rFonts w:hint="eastAsia"/>
                <w:color w:val="auto"/>
                <w:spacing w:val="5"/>
                <w:highlight w:val="none"/>
                <w:u w:val="single" w:color="auto"/>
                <w:lang w:val="en-US" w:eastAsia="zh-CN"/>
              </w:rPr>
              <w:t>61</w:t>
            </w:r>
            <w:r>
              <w:rPr>
                <w:color w:val="auto"/>
                <w:spacing w:val="7"/>
                <w:highlight w:val="none"/>
                <w:u w:val="single" w:color="auto"/>
              </w:rPr>
              <w:t>个</w:t>
            </w:r>
            <w:r>
              <w:rPr>
                <w:color w:val="auto"/>
                <w:spacing w:val="7"/>
                <w:highlight w:val="none"/>
              </w:rPr>
              <w:t>月</w:t>
            </w:r>
          </w:p>
          <w:p w14:paraId="7887DA19">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color w:val="auto"/>
                <w:spacing w:val="2"/>
                <w:highlight w:val="none"/>
              </w:rPr>
              <w:t>其中：</w:t>
            </w:r>
          </w:p>
          <w:p w14:paraId="267E18FC">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spacing w:val="6"/>
                <w:highlight w:val="none"/>
              </w:rPr>
            </w:pPr>
            <w:r>
              <w:rPr>
                <w:color w:val="auto"/>
                <w:spacing w:val="6"/>
                <w:highlight w:val="none"/>
              </w:rPr>
              <w:t>施工准备阶段：</w:t>
            </w:r>
            <w:r>
              <w:rPr>
                <w:rFonts w:hint="eastAsia"/>
                <w:color w:val="auto"/>
                <w:spacing w:val="6"/>
                <w:highlight w:val="none"/>
                <w:u w:val="single" w:color="auto"/>
                <w:lang w:val="en-US" w:eastAsia="zh-CN"/>
              </w:rPr>
              <w:t>1</w:t>
            </w:r>
            <w:r>
              <w:rPr>
                <w:color w:val="auto"/>
                <w:spacing w:val="6"/>
                <w:highlight w:val="none"/>
                <w:u w:val="single" w:color="auto"/>
              </w:rPr>
              <w:t>个</w:t>
            </w:r>
            <w:r>
              <w:rPr>
                <w:color w:val="auto"/>
                <w:spacing w:val="6"/>
                <w:highlight w:val="none"/>
              </w:rPr>
              <w:t>月</w:t>
            </w:r>
          </w:p>
          <w:p w14:paraId="7DC4B725">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highlight w:val="none"/>
              </w:rPr>
            </w:pPr>
            <w:r>
              <w:rPr>
                <w:color w:val="auto"/>
                <w:spacing w:val="7"/>
                <w:highlight w:val="none"/>
              </w:rPr>
              <w:t>施工阶段：</w:t>
            </w:r>
            <w:r>
              <w:rPr>
                <w:color w:val="auto"/>
                <w:highlight w:val="none"/>
                <w:u w:val="single" w:color="auto"/>
              </w:rPr>
              <w:t xml:space="preserve"> </w:t>
            </w:r>
            <w:r>
              <w:rPr>
                <w:rFonts w:hint="eastAsia"/>
                <w:color w:val="auto"/>
                <w:highlight w:val="none"/>
                <w:u w:val="single" w:color="auto"/>
                <w:lang w:val="en-US" w:eastAsia="zh-CN"/>
              </w:rPr>
              <w:t>36</w:t>
            </w:r>
            <w:r>
              <w:rPr>
                <w:color w:val="auto"/>
                <w:spacing w:val="7"/>
                <w:highlight w:val="none"/>
                <w:u w:val="single" w:color="auto"/>
              </w:rPr>
              <w:t>个</w:t>
            </w:r>
            <w:r>
              <w:rPr>
                <w:color w:val="auto"/>
                <w:spacing w:val="7"/>
                <w:highlight w:val="none"/>
              </w:rPr>
              <w:t>月</w:t>
            </w:r>
          </w:p>
          <w:p w14:paraId="260CBE26">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color w:val="auto"/>
                <w:spacing w:val="6"/>
                <w:highlight w:val="none"/>
              </w:rPr>
            </w:pPr>
            <w:r>
              <w:rPr>
                <w:color w:val="auto"/>
                <w:spacing w:val="5"/>
                <w:highlight w:val="none"/>
              </w:rPr>
              <w:t>交</w:t>
            </w:r>
            <w:r>
              <w:rPr>
                <w:color w:val="auto"/>
                <w:spacing w:val="-45"/>
                <w:highlight w:val="none"/>
              </w:rPr>
              <w:t xml:space="preserve"> </w:t>
            </w:r>
            <w:r>
              <w:rPr>
                <w:color w:val="auto"/>
                <w:spacing w:val="5"/>
                <w:highlight w:val="none"/>
              </w:rPr>
              <w:t>(竣)工验收及缺陷责任期：</w:t>
            </w:r>
            <w:r>
              <w:rPr>
                <w:rFonts w:hint="eastAsia"/>
                <w:color w:val="auto"/>
                <w:spacing w:val="5"/>
                <w:highlight w:val="none"/>
                <w:u w:val="single" w:color="auto"/>
                <w:lang w:val="en-US" w:eastAsia="zh-CN"/>
              </w:rPr>
              <w:t>24</w:t>
            </w:r>
            <w:r>
              <w:rPr>
                <w:color w:val="auto"/>
                <w:spacing w:val="5"/>
                <w:highlight w:val="none"/>
                <w:u w:val="single" w:color="auto"/>
              </w:rPr>
              <w:t>个</w:t>
            </w:r>
            <w:r>
              <w:rPr>
                <w:color w:val="auto"/>
                <w:spacing w:val="5"/>
                <w:highlight w:val="none"/>
              </w:rPr>
              <w:t>月</w:t>
            </w:r>
          </w:p>
        </w:tc>
      </w:tr>
      <w:tr w14:paraId="2CABE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66434E91">
            <w:pPr>
              <w:pStyle w:val="20"/>
              <w:spacing w:before="141" w:line="234" w:lineRule="auto"/>
              <w:jc w:val="center"/>
              <w:rPr>
                <w:color w:val="auto"/>
                <w:highlight w:val="none"/>
              </w:rPr>
            </w:pPr>
            <w:r>
              <w:rPr>
                <w:color w:val="auto"/>
                <w:highlight w:val="none"/>
              </w:rPr>
              <w:t>1.3.3</w:t>
            </w:r>
          </w:p>
        </w:tc>
        <w:tc>
          <w:tcPr>
            <w:tcW w:w="2877" w:type="dxa"/>
            <w:vAlign w:val="center"/>
          </w:tcPr>
          <w:p w14:paraId="2FE696D0">
            <w:pPr>
              <w:pStyle w:val="20"/>
              <w:spacing w:before="124" w:line="265" w:lineRule="exact"/>
              <w:jc w:val="center"/>
              <w:rPr>
                <w:color w:val="auto"/>
                <w:sz w:val="10"/>
                <w:szCs w:val="10"/>
                <w:highlight w:val="none"/>
              </w:rPr>
            </w:pPr>
            <w:r>
              <w:rPr>
                <w:color w:val="auto"/>
                <w:spacing w:val="7"/>
                <w:highlight w:val="none"/>
              </w:rPr>
              <w:t>质量要求</w:t>
            </w:r>
          </w:p>
        </w:tc>
        <w:tc>
          <w:tcPr>
            <w:tcW w:w="5798" w:type="dxa"/>
            <w:vAlign w:val="center"/>
          </w:tcPr>
          <w:p w14:paraId="28B7C3C2">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8"/>
                <w:highlight w:val="none"/>
                <w:u w:val="single" w:color="auto"/>
              </w:rPr>
              <w:t>严格按照施工监理规范开展工作</w:t>
            </w:r>
            <w:r>
              <w:rPr>
                <w:color w:val="auto"/>
                <w:spacing w:val="8"/>
                <w:highlight w:val="none"/>
              </w:rPr>
              <w:t>。</w:t>
            </w:r>
          </w:p>
        </w:tc>
      </w:tr>
      <w:tr w14:paraId="4F618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06C81ED1">
            <w:pPr>
              <w:pStyle w:val="20"/>
              <w:spacing w:before="142" w:line="233" w:lineRule="auto"/>
              <w:jc w:val="center"/>
              <w:rPr>
                <w:color w:val="auto"/>
                <w:highlight w:val="none"/>
              </w:rPr>
            </w:pPr>
            <w:r>
              <w:rPr>
                <w:color w:val="auto"/>
                <w:highlight w:val="none"/>
              </w:rPr>
              <w:t>1.3.4</w:t>
            </w:r>
          </w:p>
        </w:tc>
        <w:tc>
          <w:tcPr>
            <w:tcW w:w="2877" w:type="dxa"/>
            <w:vAlign w:val="center"/>
          </w:tcPr>
          <w:p w14:paraId="666DE7BE">
            <w:pPr>
              <w:pStyle w:val="20"/>
              <w:spacing w:before="122" w:line="267" w:lineRule="exact"/>
              <w:jc w:val="center"/>
              <w:rPr>
                <w:color w:val="auto"/>
                <w:sz w:val="10"/>
                <w:szCs w:val="10"/>
                <w:highlight w:val="none"/>
              </w:rPr>
            </w:pPr>
            <w:r>
              <w:rPr>
                <w:color w:val="auto"/>
                <w:spacing w:val="6"/>
                <w:highlight w:val="none"/>
              </w:rPr>
              <w:t>安全目标</w:t>
            </w:r>
          </w:p>
        </w:tc>
        <w:tc>
          <w:tcPr>
            <w:tcW w:w="5798" w:type="dxa"/>
            <w:vAlign w:val="center"/>
          </w:tcPr>
          <w:p w14:paraId="4B633F20">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9"/>
                <w:highlight w:val="none"/>
                <w:u w:val="single" w:color="auto"/>
              </w:rPr>
              <w:t>严格执行有关安全生产的法律法规和规章制</w:t>
            </w:r>
            <w:r>
              <w:rPr>
                <w:color w:val="auto"/>
                <w:spacing w:val="8"/>
                <w:highlight w:val="none"/>
                <w:u w:val="single" w:color="auto"/>
              </w:rPr>
              <w:t>度</w:t>
            </w:r>
            <w:r>
              <w:rPr>
                <w:color w:val="auto"/>
                <w:spacing w:val="8"/>
                <w:highlight w:val="none"/>
              </w:rPr>
              <w:t>。</w:t>
            </w:r>
          </w:p>
        </w:tc>
      </w:tr>
      <w:tr w14:paraId="39E1F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2004" w:hRule="atLeast"/>
        </w:trPr>
        <w:tc>
          <w:tcPr>
            <w:tcW w:w="1013" w:type="dxa"/>
            <w:vAlign w:val="center"/>
          </w:tcPr>
          <w:p w14:paraId="5101291F">
            <w:pPr>
              <w:pStyle w:val="20"/>
              <w:spacing w:before="65" w:line="268" w:lineRule="exact"/>
              <w:jc w:val="center"/>
              <w:rPr>
                <w:color w:val="auto"/>
                <w:highlight w:val="none"/>
              </w:rPr>
            </w:pPr>
            <w:r>
              <w:rPr>
                <w:color w:val="auto"/>
                <w:position w:val="1"/>
                <w:highlight w:val="none"/>
              </w:rPr>
              <w:t>1.4.1</w:t>
            </w:r>
          </w:p>
        </w:tc>
        <w:tc>
          <w:tcPr>
            <w:tcW w:w="2877" w:type="dxa"/>
            <w:vAlign w:val="center"/>
          </w:tcPr>
          <w:p w14:paraId="58706AB5">
            <w:pPr>
              <w:pStyle w:val="20"/>
              <w:spacing w:before="65" w:line="228" w:lineRule="auto"/>
              <w:jc w:val="center"/>
              <w:rPr>
                <w:color w:val="auto"/>
                <w:highlight w:val="none"/>
              </w:rPr>
            </w:pPr>
            <w:r>
              <w:rPr>
                <w:color w:val="auto"/>
                <w:spacing w:val="8"/>
                <w:highlight w:val="none"/>
              </w:rPr>
              <w:t>投标人资质条件、能力和信</w:t>
            </w:r>
            <w:r>
              <w:rPr>
                <w:color w:val="auto"/>
                <w:spacing w:val="1"/>
                <w:highlight w:val="none"/>
              </w:rPr>
              <w:t>誉</w:t>
            </w:r>
          </w:p>
        </w:tc>
        <w:tc>
          <w:tcPr>
            <w:tcW w:w="5798" w:type="dxa"/>
            <w:vAlign w:val="center"/>
          </w:tcPr>
          <w:p w14:paraId="7C93F9A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6"/>
                <w:highlight w:val="none"/>
              </w:rPr>
              <w:t>资质要求：见附录</w:t>
            </w:r>
            <w:r>
              <w:rPr>
                <w:color w:val="auto"/>
                <w:spacing w:val="-16"/>
                <w:highlight w:val="none"/>
              </w:rPr>
              <w:t xml:space="preserve"> </w:t>
            </w:r>
            <w:r>
              <w:rPr>
                <w:color w:val="auto"/>
                <w:spacing w:val="6"/>
                <w:highlight w:val="none"/>
              </w:rPr>
              <w:t>1</w:t>
            </w:r>
          </w:p>
          <w:p w14:paraId="295FC1AE">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业绩要求：见附录</w:t>
            </w:r>
            <w:r>
              <w:rPr>
                <w:color w:val="auto"/>
                <w:spacing w:val="-28"/>
                <w:highlight w:val="none"/>
              </w:rPr>
              <w:t xml:space="preserve"> </w:t>
            </w:r>
            <w:r>
              <w:rPr>
                <w:color w:val="auto"/>
                <w:spacing w:val="7"/>
                <w:highlight w:val="none"/>
              </w:rPr>
              <w:t>2</w:t>
            </w:r>
          </w:p>
          <w:p w14:paraId="7983F22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信誉要求：见附录</w:t>
            </w:r>
            <w:r>
              <w:rPr>
                <w:color w:val="auto"/>
                <w:spacing w:val="-28"/>
                <w:highlight w:val="none"/>
              </w:rPr>
              <w:t xml:space="preserve"> </w:t>
            </w:r>
            <w:r>
              <w:rPr>
                <w:color w:val="auto"/>
                <w:spacing w:val="7"/>
                <w:highlight w:val="none"/>
              </w:rPr>
              <w:t>3</w:t>
            </w:r>
          </w:p>
          <w:p w14:paraId="61F809A9">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spacing w:val="11"/>
                <w:highlight w:val="none"/>
              </w:rPr>
            </w:pPr>
            <w:r>
              <w:rPr>
                <w:color w:val="auto"/>
                <w:spacing w:val="11"/>
                <w:highlight w:val="none"/>
              </w:rPr>
              <w:t>总监理工程师或驻地监理工程师资格：见附录4</w:t>
            </w:r>
          </w:p>
          <w:p w14:paraId="2DCAFB8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2"/>
                <w:highlight w:val="none"/>
              </w:rPr>
              <w:t>其他要求:</w:t>
            </w:r>
            <w:r>
              <w:rPr>
                <w:color w:val="auto"/>
                <w:spacing w:val="58"/>
                <w:highlight w:val="none"/>
              </w:rPr>
              <w:t xml:space="preserve"> </w:t>
            </w:r>
            <w:r>
              <w:rPr>
                <w:color w:val="auto"/>
                <w:spacing w:val="11"/>
                <w:highlight w:val="none"/>
                <w:u w:val="single" w:color="auto"/>
              </w:rPr>
              <w:t>见附录</w:t>
            </w:r>
            <w:r>
              <w:rPr>
                <w:rFonts w:hint="eastAsia"/>
                <w:color w:val="auto"/>
                <w:spacing w:val="11"/>
                <w:highlight w:val="none"/>
                <w:u w:val="single" w:color="auto"/>
                <w:lang w:val="en-US" w:eastAsia="zh-CN"/>
              </w:rPr>
              <w:t>5</w:t>
            </w:r>
          </w:p>
        </w:tc>
      </w:tr>
      <w:tr w14:paraId="0173D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604" w:hRule="atLeast"/>
        </w:trPr>
        <w:tc>
          <w:tcPr>
            <w:tcW w:w="1013" w:type="dxa"/>
            <w:vAlign w:val="center"/>
          </w:tcPr>
          <w:p w14:paraId="278BAE89">
            <w:pPr>
              <w:pStyle w:val="20"/>
              <w:spacing w:before="65" w:line="268" w:lineRule="exact"/>
              <w:jc w:val="center"/>
              <w:rPr>
                <w:color w:val="auto"/>
                <w:highlight w:val="none"/>
              </w:rPr>
            </w:pPr>
            <w:r>
              <w:rPr>
                <w:color w:val="auto"/>
                <w:position w:val="1"/>
                <w:highlight w:val="none"/>
              </w:rPr>
              <w:t>1.4.2</w:t>
            </w:r>
          </w:p>
        </w:tc>
        <w:tc>
          <w:tcPr>
            <w:tcW w:w="2877" w:type="dxa"/>
            <w:vAlign w:val="center"/>
          </w:tcPr>
          <w:p w14:paraId="4A3ADF02">
            <w:pPr>
              <w:pStyle w:val="20"/>
              <w:spacing w:before="65" w:line="228" w:lineRule="auto"/>
              <w:jc w:val="center"/>
              <w:rPr>
                <w:color w:val="auto"/>
                <w:highlight w:val="none"/>
              </w:rPr>
            </w:pPr>
            <w:r>
              <w:rPr>
                <w:color w:val="auto"/>
                <w:spacing w:val="8"/>
                <w:highlight w:val="none"/>
              </w:rPr>
              <w:t>是否接受联合体投标</w:t>
            </w:r>
          </w:p>
        </w:tc>
        <w:tc>
          <w:tcPr>
            <w:tcW w:w="5798" w:type="dxa"/>
            <w:vAlign w:val="center"/>
          </w:tcPr>
          <w:p w14:paraId="5FD5F113">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spacing w:val="2"/>
                <w:highlight w:val="none"/>
                <w:lang w:eastAsia="zh-CN"/>
              </w:rPr>
              <w:t>☑</w:t>
            </w:r>
            <w:r>
              <w:rPr>
                <w:color w:val="auto"/>
                <w:spacing w:val="2"/>
                <w:highlight w:val="none"/>
              </w:rPr>
              <w:t>不接受</w:t>
            </w:r>
          </w:p>
          <w:p w14:paraId="55CE217F">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6"/>
                <w:highlight w:val="none"/>
              </w:rPr>
              <w:t>□接受，应满足下列要求：</w:t>
            </w:r>
          </w:p>
          <w:p w14:paraId="52DF88C4">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（1）联合体所有成员数量不得超过</w:t>
            </w:r>
            <w:r>
              <w:rPr>
                <w:color w:val="auto"/>
                <w:spacing w:val="-91"/>
                <w:highlight w:val="none"/>
              </w:rPr>
              <w:t xml:space="preserve"> </w:t>
            </w:r>
            <w:r>
              <w:rPr>
                <w:color w:val="auto"/>
                <w:spacing w:val="5"/>
                <w:highlight w:val="none"/>
                <w:u w:val="single" w:color="auto"/>
              </w:rPr>
              <w:t xml:space="preserve">    </w:t>
            </w:r>
            <w:r>
              <w:rPr>
                <w:color w:val="auto"/>
                <w:spacing w:val="-89"/>
                <w:highlight w:val="none"/>
              </w:rPr>
              <w:t xml:space="preserve"> </w:t>
            </w:r>
            <w:r>
              <w:rPr>
                <w:color w:val="auto"/>
                <w:spacing w:val="7"/>
                <w:highlight w:val="none"/>
              </w:rPr>
              <w:t>家；</w:t>
            </w:r>
          </w:p>
          <w:p w14:paraId="6FF549E0">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5"/>
                <w:highlight w:val="none"/>
              </w:rPr>
              <w:t>（2）联合体牵头人应具有</w:t>
            </w:r>
            <w:r>
              <w:rPr>
                <w:color w:val="auto"/>
                <w:spacing w:val="-92"/>
                <w:highlight w:val="none"/>
              </w:rPr>
              <w:t xml:space="preserve"> </w:t>
            </w:r>
            <w:r>
              <w:rPr>
                <w:color w:val="auto"/>
                <w:spacing w:val="5"/>
                <w:highlight w:val="none"/>
                <w:u w:val="single" w:color="auto"/>
              </w:rPr>
              <w:t xml:space="preserve">        </w:t>
            </w:r>
            <w:r>
              <w:rPr>
                <w:color w:val="auto"/>
                <w:spacing w:val="-82"/>
                <w:highlight w:val="none"/>
              </w:rPr>
              <w:t xml:space="preserve"> </w:t>
            </w:r>
            <w:r>
              <w:rPr>
                <w:color w:val="auto"/>
                <w:spacing w:val="5"/>
                <w:highlight w:val="none"/>
              </w:rPr>
              <w:t>资质；</w:t>
            </w:r>
            <w:r>
              <w:rPr>
                <w:color w:val="auto"/>
                <w:spacing w:val="-67"/>
                <w:highlight w:val="none"/>
              </w:rPr>
              <w:t xml:space="preserve"> </w:t>
            </w:r>
            <w:r>
              <w:rPr>
                <w:color w:val="auto"/>
                <w:spacing w:val="5"/>
                <w:highlight w:val="none"/>
              </w:rPr>
              <w:t>……</w:t>
            </w:r>
          </w:p>
        </w:tc>
      </w:tr>
      <w:tr w14:paraId="53AAB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1079" w:hRule="atLeast"/>
        </w:trPr>
        <w:tc>
          <w:tcPr>
            <w:tcW w:w="1013" w:type="dxa"/>
            <w:vAlign w:val="center"/>
          </w:tcPr>
          <w:p w14:paraId="4A3D2D42">
            <w:pPr>
              <w:pStyle w:val="20"/>
              <w:spacing w:before="65" w:line="268" w:lineRule="exact"/>
              <w:jc w:val="center"/>
              <w:rPr>
                <w:color w:val="auto"/>
                <w:highlight w:val="none"/>
              </w:rPr>
            </w:pPr>
            <w:r>
              <w:rPr>
                <w:color w:val="auto"/>
                <w:position w:val="1"/>
                <w:highlight w:val="none"/>
              </w:rPr>
              <w:t>1.4.3</w:t>
            </w:r>
          </w:p>
        </w:tc>
        <w:tc>
          <w:tcPr>
            <w:tcW w:w="2877" w:type="dxa"/>
            <w:vAlign w:val="center"/>
          </w:tcPr>
          <w:p w14:paraId="29833FA6">
            <w:pPr>
              <w:pStyle w:val="20"/>
              <w:spacing w:before="65" w:line="228" w:lineRule="auto"/>
              <w:jc w:val="center"/>
              <w:rPr>
                <w:color w:val="auto"/>
                <w:highlight w:val="none"/>
              </w:rPr>
            </w:pPr>
            <w:r>
              <w:rPr>
                <w:color w:val="auto"/>
                <w:spacing w:val="8"/>
                <w:highlight w:val="none"/>
              </w:rPr>
              <w:t>投标人不得存在的其他关联</w:t>
            </w:r>
            <w:r>
              <w:rPr>
                <w:color w:val="auto"/>
                <w:spacing w:val="4"/>
                <w:highlight w:val="none"/>
              </w:rPr>
              <w:t>情形</w:t>
            </w:r>
          </w:p>
        </w:tc>
        <w:tc>
          <w:tcPr>
            <w:tcW w:w="5798" w:type="dxa"/>
            <w:vAlign w:val="center"/>
          </w:tcPr>
          <w:p w14:paraId="6352472E">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eastAsia="宋体"/>
                <w:color w:val="auto"/>
                <w:highlight w:val="none"/>
                <w:lang w:eastAsia="zh-CN"/>
              </w:rPr>
            </w:pPr>
            <w:r>
              <w:rPr>
                <w:rFonts w:hint="eastAsia"/>
                <w:color w:val="auto"/>
                <w:spacing w:val="11"/>
                <w:highlight w:val="none"/>
                <w:lang w:val="en-US" w:eastAsia="zh-CN"/>
              </w:rPr>
              <w:t>/</w:t>
            </w:r>
          </w:p>
        </w:tc>
      </w:tr>
      <w:tr w14:paraId="21738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05" w:hRule="atLeast"/>
        </w:trPr>
        <w:tc>
          <w:tcPr>
            <w:tcW w:w="1013" w:type="dxa"/>
            <w:vAlign w:val="center"/>
          </w:tcPr>
          <w:p w14:paraId="69B15A4B">
            <w:pPr>
              <w:pStyle w:val="20"/>
              <w:spacing w:before="65" w:line="268" w:lineRule="exact"/>
              <w:jc w:val="center"/>
              <w:rPr>
                <w:color w:val="auto"/>
                <w:highlight w:val="none"/>
              </w:rPr>
            </w:pPr>
            <w:r>
              <w:rPr>
                <w:color w:val="auto"/>
                <w:position w:val="1"/>
                <w:highlight w:val="none"/>
              </w:rPr>
              <w:t>1.4.4</w:t>
            </w:r>
          </w:p>
        </w:tc>
        <w:tc>
          <w:tcPr>
            <w:tcW w:w="2877" w:type="dxa"/>
            <w:vAlign w:val="center"/>
          </w:tcPr>
          <w:p w14:paraId="1CDCED78">
            <w:pPr>
              <w:pStyle w:val="20"/>
              <w:spacing w:before="145" w:line="300" w:lineRule="auto"/>
              <w:ind w:right="180"/>
              <w:jc w:val="center"/>
              <w:rPr>
                <w:color w:val="auto"/>
                <w:highlight w:val="none"/>
              </w:rPr>
            </w:pPr>
            <w:r>
              <w:rPr>
                <w:color w:val="auto"/>
                <w:spacing w:val="8"/>
                <w:highlight w:val="none"/>
              </w:rPr>
              <w:t>投标人不得存在的其他不良状况或不良信用记录</w:t>
            </w:r>
          </w:p>
        </w:tc>
        <w:tc>
          <w:tcPr>
            <w:tcW w:w="5798" w:type="dxa"/>
            <w:vAlign w:val="center"/>
          </w:tcPr>
          <w:p w14:paraId="5C9271D5">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Arial" w:eastAsia="宋体"/>
                <w:color w:val="auto"/>
                <w:sz w:val="21"/>
                <w:highlight w:val="none"/>
                <w:lang w:val="en-US" w:eastAsia="zh-CN"/>
              </w:rPr>
            </w:pPr>
            <w:r>
              <w:rPr>
                <w:rFonts w:hint="eastAsia" w:ascii="宋体" w:hAnsi="宋体" w:eastAsia="宋体" w:cs="宋体"/>
                <w:color w:val="auto"/>
                <w:spacing w:val="11"/>
                <w:highlight w:val="none"/>
                <w:lang w:val="en-US" w:eastAsia="zh-CN"/>
              </w:rPr>
              <w:t>/</w:t>
            </w:r>
          </w:p>
        </w:tc>
      </w:tr>
      <w:tr w14:paraId="0E1D4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14" w:hRule="atLeast"/>
        </w:trPr>
        <w:tc>
          <w:tcPr>
            <w:tcW w:w="1013" w:type="dxa"/>
            <w:vAlign w:val="center"/>
          </w:tcPr>
          <w:p w14:paraId="1F87ADF5">
            <w:pPr>
              <w:pStyle w:val="20"/>
              <w:spacing w:before="65" w:line="285" w:lineRule="exact"/>
              <w:jc w:val="center"/>
              <w:rPr>
                <w:color w:val="auto"/>
                <w:sz w:val="10"/>
                <w:szCs w:val="10"/>
                <w:highlight w:val="none"/>
              </w:rPr>
            </w:pPr>
            <w:r>
              <w:rPr>
                <w:color w:val="auto"/>
                <w:spacing w:val="1"/>
                <w:highlight w:val="none"/>
              </w:rPr>
              <w:t>1.10.2</w:t>
            </w:r>
          </w:p>
        </w:tc>
        <w:tc>
          <w:tcPr>
            <w:tcW w:w="2877" w:type="dxa"/>
            <w:vAlign w:val="center"/>
          </w:tcPr>
          <w:p w14:paraId="4CEF2377">
            <w:pPr>
              <w:pStyle w:val="20"/>
              <w:spacing w:before="150" w:line="227" w:lineRule="auto"/>
              <w:jc w:val="center"/>
              <w:rPr>
                <w:color w:val="auto"/>
                <w:highlight w:val="none"/>
              </w:rPr>
            </w:pPr>
            <w:r>
              <w:rPr>
                <w:color w:val="auto"/>
                <w:spacing w:val="8"/>
                <w:highlight w:val="none"/>
              </w:rPr>
              <w:t>投标人在投标预备会前提出</w:t>
            </w:r>
          </w:p>
          <w:p w14:paraId="695F2592">
            <w:pPr>
              <w:pStyle w:val="20"/>
              <w:spacing w:before="152" w:line="230" w:lineRule="auto"/>
              <w:jc w:val="center"/>
              <w:rPr>
                <w:color w:val="auto"/>
                <w:highlight w:val="none"/>
              </w:rPr>
            </w:pPr>
            <w:r>
              <w:rPr>
                <w:color w:val="auto"/>
                <w:spacing w:val="-7"/>
                <w:highlight w:val="none"/>
              </w:rPr>
              <w:t>问题</w:t>
            </w:r>
          </w:p>
        </w:tc>
        <w:tc>
          <w:tcPr>
            <w:tcW w:w="5798" w:type="dxa"/>
            <w:vAlign w:val="center"/>
          </w:tcPr>
          <w:p w14:paraId="5C01528E">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eastAsia="宋体"/>
                <w:color w:val="auto"/>
                <w:highlight w:val="none"/>
                <w:lang w:eastAsia="zh-CN"/>
              </w:rPr>
            </w:pPr>
            <w:r>
              <w:rPr>
                <w:rFonts w:hint="eastAsia"/>
                <w:color w:val="auto"/>
                <w:spacing w:val="6"/>
                <w:highlight w:val="none"/>
                <w:lang w:eastAsia="zh-CN"/>
              </w:rPr>
              <w:t>本项目不组织投标预备会</w:t>
            </w:r>
          </w:p>
        </w:tc>
      </w:tr>
      <w:tr w14:paraId="7CFBA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34" w:hRule="atLeast"/>
        </w:trPr>
        <w:tc>
          <w:tcPr>
            <w:tcW w:w="1013" w:type="dxa"/>
            <w:vAlign w:val="center"/>
          </w:tcPr>
          <w:p w14:paraId="14D2AE14">
            <w:pPr>
              <w:pStyle w:val="20"/>
              <w:spacing w:before="159" w:line="265" w:lineRule="exact"/>
              <w:jc w:val="center"/>
              <w:rPr>
                <w:color w:val="auto"/>
                <w:highlight w:val="none"/>
              </w:rPr>
            </w:pPr>
            <w:r>
              <w:rPr>
                <w:color w:val="auto"/>
                <w:spacing w:val="1"/>
                <w:position w:val="1"/>
                <w:highlight w:val="none"/>
              </w:rPr>
              <w:t>2.1</w:t>
            </w:r>
          </w:p>
        </w:tc>
        <w:tc>
          <w:tcPr>
            <w:tcW w:w="2877" w:type="dxa"/>
            <w:vAlign w:val="center"/>
          </w:tcPr>
          <w:p w14:paraId="518EECB9">
            <w:pPr>
              <w:pStyle w:val="20"/>
              <w:spacing w:before="159" w:line="228" w:lineRule="auto"/>
              <w:jc w:val="center"/>
              <w:rPr>
                <w:color w:val="auto"/>
                <w:highlight w:val="none"/>
              </w:rPr>
            </w:pPr>
            <w:r>
              <w:rPr>
                <w:color w:val="auto"/>
                <w:spacing w:val="8"/>
                <w:highlight w:val="none"/>
              </w:rPr>
              <w:t>构成招标文件的其他资料</w:t>
            </w:r>
          </w:p>
        </w:tc>
        <w:tc>
          <w:tcPr>
            <w:tcW w:w="5798" w:type="dxa"/>
            <w:vAlign w:val="center"/>
          </w:tcPr>
          <w:p w14:paraId="38BBD050">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Arial"/>
                <w:color w:val="auto"/>
                <w:sz w:val="21"/>
                <w:highlight w:val="none"/>
              </w:rPr>
              <w:t>招标文件所附的其他资料</w:t>
            </w:r>
          </w:p>
        </w:tc>
      </w:tr>
      <w:tr w14:paraId="31DCA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Merge w:val="restart"/>
            <w:tcBorders>
              <w:bottom w:val="nil"/>
            </w:tcBorders>
            <w:vAlign w:val="center"/>
          </w:tcPr>
          <w:p w14:paraId="247F9764">
            <w:pPr>
              <w:pStyle w:val="20"/>
              <w:spacing w:before="65" w:line="268" w:lineRule="exact"/>
              <w:jc w:val="center"/>
              <w:rPr>
                <w:color w:val="auto"/>
                <w:highlight w:val="none"/>
              </w:rPr>
            </w:pPr>
            <w:r>
              <w:rPr>
                <w:color w:val="auto"/>
                <w:spacing w:val="2"/>
                <w:position w:val="1"/>
                <w:highlight w:val="none"/>
              </w:rPr>
              <w:t>2.2.1</w:t>
            </w:r>
          </w:p>
        </w:tc>
        <w:tc>
          <w:tcPr>
            <w:tcW w:w="2877" w:type="dxa"/>
            <w:vMerge w:val="restart"/>
            <w:tcBorders>
              <w:bottom w:val="nil"/>
            </w:tcBorders>
            <w:vAlign w:val="center"/>
          </w:tcPr>
          <w:p w14:paraId="123C78E8">
            <w:pPr>
              <w:spacing w:line="282" w:lineRule="auto"/>
              <w:jc w:val="center"/>
              <w:rPr>
                <w:rFonts w:ascii="Arial"/>
                <w:color w:val="auto"/>
                <w:sz w:val="21"/>
                <w:highlight w:val="none"/>
              </w:rPr>
            </w:pPr>
          </w:p>
          <w:p w14:paraId="2B6BB1D2">
            <w:pPr>
              <w:pStyle w:val="20"/>
              <w:spacing w:before="65" w:line="228" w:lineRule="auto"/>
              <w:jc w:val="center"/>
              <w:rPr>
                <w:color w:val="auto"/>
                <w:highlight w:val="none"/>
              </w:rPr>
            </w:pPr>
            <w:r>
              <w:rPr>
                <w:color w:val="auto"/>
                <w:spacing w:val="8"/>
                <w:highlight w:val="none"/>
              </w:rPr>
              <w:t>投标人要求澄清招标文件</w:t>
            </w:r>
          </w:p>
        </w:tc>
        <w:tc>
          <w:tcPr>
            <w:tcW w:w="5798" w:type="dxa"/>
            <w:vAlign w:val="center"/>
          </w:tcPr>
          <w:p w14:paraId="51FB692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时间：</w:t>
            </w:r>
            <w:r>
              <w:rPr>
                <w:rFonts w:hint="eastAsia"/>
                <w:color w:val="auto"/>
                <w:spacing w:val="7"/>
                <w:highlight w:val="none"/>
              </w:rPr>
              <w:t>见“重要事项时间地点一览表”</w:t>
            </w:r>
          </w:p>
        </w:tc>
      </w:tr>
      <w:tr w14:paraId="0F3A3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Merge w:val="continue"/>
            <w:tcBorders>
              <w:top w:val="nil"/>
            </w:tcBorders>
            <w:vAlign w:val="center"/>
          </w:tcPr>
          <w:p w14:paraId="10B6EFCC">
            <w:pPr>
              <w:jc w:val="center"/>
              <w:rPr>
                <w:rFonts w:ascii="Arial"/>
                <w:color w:val="auto"/>
                <w:sz w:val="21"/>
                <w:highlight w:val="none"/>
              </w:rPr>
            </w:pPr>
          </w:p>
        </w:tc>
        <w:tc>
          <w:tcPr>
            <w:tcW w:w="2877" w:type="dxa"/>
            <w:vMerge w:val="continue"/>
            <w:tcBorders>
              <w:top w:val="nil"/>
            </w:tcBorders>
            <w:vAlign w:val="center"/>
          </w:tcPr>
          <w:p w14:paraId="3B29BB11">
            <w:pPr>
              <w:jc w:val="center"/>
              <w:rPr>
                <w:rFonts w:ascii="Arial"/>
                <w:color w:val="auto"/>
                <w:sz w:val="21"/>
                <w:highlight w:val="none"/>
              </w:rPr>
            </w:pPr>
          </w:p>
        </w:tc>
        <w:tc>
          <w:tcPr>
            <w:tcW w:w="5798" w:type="dxa"/>
            <w:vAlign w:val="center"/>
          </w:tcPr>
          <w:p w14:paraId="75357F77">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5"/>
                <w:highlight w:val="none"/>
              </w:rPr>
              <w:t>形式：</w:t>
            </w:r>
            <w:r>
              <w:rPr>
                <w:rFonts w:hint="eastAsia"/>
                <w:color w:val="auto"/>
                <w:spacing w:val="5"/>
                <w:highlight w:val="none"/>
              </w:rPr>
              <w:t>投标人对招标文件的疑问或要求澄清的内容以不署名的形式在</w:t>
            </w:r>
            <w:r>
              <w:rPr>
                <w:rFonts w:hint="eastAsia"/>
                <w:color w:val="auto"/>
                <w:spacing w:val="5"/>
                <w:highlight w:val="none"/>
                <w:lang w:eastAsia="zh-CN"/>
              </w:rPr>
              <w:t>全国公共资源交易平台（广东省·韶关市）</w:t>
            </w:r>
            <w:r>
              <w:rPr>
                <w:rFonts w:hint="eastAsia"/>
                <w:color w:val="auto"/>
                <w:spacing w:val="5"/>
                <w:highlight w:val="none"/>
              </w:rPr>
              <w:t>建设工程交易系统提出。</w:t>
            </w:r>
          </w:p>
        </w:tc>
      </w:tr>
      <w:tr w14:paraId="65067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62" w:hRule="atLeast"/>
        </w:trPr>
        <w:tc>
          <w:tcPr>
            <w:tcW w:w="1013" w:type="dxa"/>
            <w:vAlign w:val="center"/>
          </w:tcPr>
          <w:p w14:paraId="0E5A1704">
            <w:pPr>
              <w:pStyle w:val="20"/>
              <w:spacing w:before="172" w:line="268" w:lineRule="exact"/>
              <w:jc w:val="center"/>
              <w:rPr>
                <w:color w:val="auto"/>
                <w:highlight w:val="none"/>
              </w:rPr>
            </w:pPr>
            <w:r>
              <w:rPr>
                <w:color w:val="auto"/>
                <w:spacing w:val="2"/>
                <w:position w:val="1"/>
                <w:highlight w:val="none"/>
              </w:rPr>
              <w:t>2.2.2</w:t>
            </w:r>
          </w:p>
        </w:tc>
        <w:tc>
          <w:tcPr>
            <w:tcW w:w="2877" w:type="dxa"/>
            <w:vAlign w:val="center"/>
          </w:tcPr>
          <w:p w14:paraId="4E38585A">
            <w:pPr>
              <w:pStyle w:val="20"/>
              <w:spacing w:before="172" w:line="228" w:lineRule="auto"/>
              <w:jc w:val="center"/>
              <w:rPr>
                <w:color w:val="auto"/>
                <w:highlight w:val="none"/>
              </w:rPr>
            </w:pPr>
            <w:r>
              <w:rPr>
                <w:color w:val="auto"/>
                <w:spacing w:val="9"/>
                <w:highlight w:val="none"/>
              </w:rPr>
              <w:t>招标文件澄清发出的形式</w:t>
            </w:r>
          </w:p>
        </w:tc>
        <w:tc>
          <w:tcPr>
            <w:tcW w:w="5798" w:type="dxa"/>
            <w:vAlign w:val="center"/>
          </w:tcPr>
          <w:p w14:paraId="2A39BCF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highlight w:val="none"/>
              </w:rPr>
              <w:t>在</w:t>
            </w:r>
            <w:r>
              <w:rPr>
                <w:rFonts w:hint="eastAsia"/>
                <w:color w:val="auto"/>
                <w:highlight w:val="none"/>
                <w:lang w:eastAsia="zh-CN"/>
              </w:rPr>
              <w:t>全国公共资源交易平台（广东省·韶关市）（https://ygp.gdzwfw.gov.cn/ggzy-portal/#/440200/index）</w:t>
            </w:r>
            <w:r>
              <w:rPr>
                <w:rFonts w:hint="eastAsia"/>
                <w:color w:val="auto"/>
                <w:highlight w:val="none"/>
              </w:rPr>
              <w:t>发布</w:t>
            </w:r>
          </w:p>
        </w:tc>
      </w:tr>
      <w:tr w14:paraId="6E0B1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606133D7">
            <w:pPr>
              <w:pStyle w:val="20"/>
              <w:spacing w:before="144" w:line="231" w:lineRule="auto"/>
              <w:jc w:val="center"/>
              <w:rPr>
                <w:color w:val="auto"/>
                <w:highlight w:val="none"/>
              </w:rPr>
            </w:pPr>
            <w:r>
              <w:rPr>
                <w:color w:val="auto"/>
                <w:spacing w:val="2"/>
                <w:highlight w:val="none"/>
              </w:rPr>
              <w:t>2.3.1</w:t>
            </w:r>
          </w:p>
        </w:tc>
        <w:tc>
          <w:tcPr>
            <w:tcW w:w="2877" w:type="dxa"/>
            <w:vAlign w:val="center"/>
          </w:tcPr>
          <w:p w14:paraId="563D58E5">
            <w:pPr>
              <w:pStyle w:val="20"/>
              <w:spacing w:before="144" w:line="228" w:lineRule="auto"/>
              <w:jc w:val="center"/>
              <w:rPr>
                <w:color w:val="auto"/>
                <w:highlight w:val="none"/>
              </w:rPr>
            </w:pPr>
            <w:r>
              <w:rPr>
                <w:color w:val="auto"/>
                <w:spacing w:val="9"/>
                <w:highlight w:val="none"/>
              </w:rPr>
              <w:t>招标文件修改发出的形式</w:t>
            </w:r>
          </w:p>
        </w:tc>
        <w:tc>
          <w:tcPr>
            <w:tcW w:w="5798" w:type="dxa"/>
            <w:vAlign w:val="center"/>
          </w:tcPr>
          <w:p w14:paraId="0A129433">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highlight w:val="none"/>
              </w:rPr>
              <w:t>在</w:t>
            </w:r>
            <w:r>
              <w:rPr>
                <w:rFonts w:hint="eastAsia"/>
                <w:color w:val="auto"/>
                <w:highlight w:val="none"/>
                <w:lang w:eastAsia="zh-CN"/>
              </w:rPr>
              <w:t>全国公共资源交易平台（广东省·韶关市）（https://ygp.gdzwfw.gov.cn/ggzy-portal/#/440200/index）</w:t>
            </w:r>
            <w:r>
              <w:rPr>
                <w:rFonts w:hint="eastAsia"/>
                <w:color w:val="auto"/>
                <w:highlight w:val="none"/>
              </w:rPr>
              <w:t>发布</w:t>
            </w:r>
          </w:p>
        </w:tc>
      </w:tr>
      <w:tr w14:paraId="553C0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47" w:hRule="atLeast"/>
        </w:trPr>
        <w:tc>
          <w:tcPr>
            <w:tcW w:w="1013" w:type="dxa"/>
            <w:vAlign w:val="center"/>
          </w:tcPr>
          <w:p w14:paraId="6110D9EF">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snapToGrid w:val="0"/>
                <w:color w:val="auto"/>
                <w:kern w:val="0"/>
                <w:sz w:val="20"/>
                <w:szCs w:val="20"/>
                <w:highlight w:val="none"/>
                <w:lang w:val="en-US" w:eastAsia="zh-CN" w:bidi="ar-SA"/>
              </w:rPr>
              <w:t>2.3.2</w:t>
            </w:r>
          </w:p>
        </w:tc>
        <w:tc>
          <w:tcPr>
            <w:tcW w:w="2877" w:type="dxa"/>
            <w:vAlign w:val="center"/>
          </w:tcPr>
          <w:p w14:paraId="01D38007">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snapToGrid w:val="0"/>
                <w:color w:val="auto"/>
                <w:kern w:val="0"/>
                <w:sz w:val="20"/>
                <w:szCs w:val="20"/>
                <w:highlight w:val="none"/>
                <w:lang w:val="en-US" w:eastAsia="zh-CN" w:bidi="ar-SA"/>
              </w:rPr>
              <w:t>投标人确认收到</w:t>
            </w:r>
          </w:p>
          <w:p w14:paraId="0F1B237F">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snapToGrid w:val="0"/>
                <w:color w:val="auto"/>
                <w:kern w:val="0"/>
                <w:sz w:val="20"/>
                <w:szCs w:val="20"/>
                <w:highlight w:val="none"/>
                <w:lang w:val="en-US" w:eastAsia="zh-CN" w:bidi="ar-SA"/>
              </w:rPr>
              <w:t>招标文件修改</w:t>
            </w:r>
          </w:p>
        </w:tc>
        <w:tc>
          <w:tcPr>
            <w:tcW w:w="5798" w:type="dxa"/>
            <w:vAlign w:val="center"/>
          </w:tcPr>
          <w:p w14:paraId="7C6FC67A">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snapToGrid w:val="0"/>
                <w:color w:val="auto"/>
                <w:kern w:val="0"/>
                <w:sz w:val="20"/>
                <w:szCs w:val="20"/>
                <w:highlight w:val="none"/>
                <w:lang w:val="en-US" w:eastAsia="zh-CN" w:bidi="ar-SA"/>
              </w:rPr>
              <w:t>投标人应注意及时浏览网上发出的修改，因投标人自身原因未及时获知修改内容而导致的任何后果将由投标人自行承担。</w:t>
            </w:r>
          </w:p>
        </w:tc>
      </w:tr>
      <w:tr w14:paraId="63721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47" w:hRule="atLeast"/>
        </w:trPr>
        <w:tc>
          <w:tcPr>
            <w:tcW w:w="1013" w:type="dxa"/>
            <w:vAlign w:val="center"/>
          </w:tcPr>
          <w:p w14:paraId="508B50A6">
            <w:pPr>
              <w:pStyle w:val="20"/>
              <w:spacing w:before="166" w:line="268" w:lineRule="exact"/>
              <w:jc w:val="center"/>
              <w:rPr>
                <w:color w:val="auto"/>
                <w:highlight w:val="none"/>
              </w:rPr>
            </w:pPr>
            <w:r>
              <w:rPr>
                <w:color w:val="auto"/>
                <w:spacing w:val="2"/>
                <w:position w:val="1"/>
                <w:highlight w:val="none"/>
              </w:rPr>
              <w:t>3.1.1</w:t>
            </w:r>
          </w:p>
        </w:tc>
        <w:tc>
          <w:tcPr>
            <w:tcW w:w="2877" w:type="dxa"/>
            <w:vAlign w:val="center"/>
          </w:tcPr>
          <w:p w14:paraId="780B283F">
            <w:pPr>
              <w:pStyle w:val="20"/>
              <w:spacing w:before="166" w:line="228" w:lineRule="auto"/>
              <w:jc w:val="center"/>
              <w:rPr>
                <w:color w:val="auto"/>
                <w:highlight w:val="none"/>
              </w:rPr>
            </w:pPr>
            <w:r>
              <w:rPr>
                <w:color w:val="auto"/>
                <w:spacing w:val="8"/>
                <w:highlight w:val="none"/>
              </w:rPr>
              <w:t>构成投标文件的其他资料</w:t>
            </w:r>
          </w:p>
        </w:tc>
        <w:tc>
          <w:tcPr>
            <w:tcW w:w="5798" w:type="dxa"/>
            <w:vAlign w:val="center"/>
          </w:tcPr>
          <w:p w14:paraId="16B0C0C7">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Arial" w:eastAsia="宋体"/>
                <w:color w:val="auto"/>
                <w:sz w:val="21"/>
                <w:highlight w:val="none"/>
                <w:lang w:val="en-US" w:eastAsia="zh-CN"/>
              </w:rPr>
            </w:pPr>
            <w:r>
              <w:rPr>
                <w:rFonts w:hint="eastAsia" w:ascii="宋体" w:hAnsi="宋体" w:eastAsia="宋体" w:cs="宋体"/>
                <w:color w:val="auto"/>
                <w:spacing w:val="11"/>
                <w:highlight w:val="none"/>
                <w:lang w:val="en-US" w:eastAsia="zh-CN"/>
              </w:rPr>
              <w:t>/</w:t>
            </w:r>
          </w:p>
        </w:tc>
      </w:tr>
      <w:tr w14:paraId="3DCF8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76" w:hRule="atLeast"/>
        </w:trPr>
        <w:tc>
          <w:tcPr>
            <w:tcW w:w="1013" w:type="dxa"/>
            <w:vAlign w:val="center"/>
          </w:tcPr>
          <w:p w14:paraId="118673C0">
            <w:pPr>
              <w:pStyle w:val="20"/>
              <w:spacing w:before="180" w:line="267" w:lineRule="exact"/>
              <w:jc w:val="center"/>
              <w:rPr>
                <w:color w:val="auto"/>
                <w:highlight w:val="none"/>
              </w:rPr>
            </w:pPr>
            <w:r>
              <w:rPr>
                <w:color w:val="auto"/>
                <w:spacing w:val="2"/>
                <w:position w:val="1"/>
                <w:highlight w:val="none"/>
              </w:rPr>
              <w:t>3.2.1</w:t>
            </w:r>
          </w:p>
        </w:tc>
        <w:tc>
          <w:tcPr>
            <w:tcW w:w="2877" w:type="dxa"/>
            <w:vAlign w:val="center"/>
          </w:tcPr>
          <w:p w14:paraId="5B6BA79C">
            <w:pPr>
              <w:pStyle w:val="20"/>
              <w:spacing w:before="179" w:line="228" w:lineRule="auto"/>
              <w:jc w:val="center"/>
              <w:rPr>
                <w:color w:val="auto"/>
                <w:highlight w:val="none"/>
              </w:rPr>
            </w:pPr>
            <w:r>
              <w:rPr>
                <w:color w:val="auto"/>
                <w:spacing w:val="8"/>
                <w:highlight w:val="none"/>
              </w:rPr>
              <w:t>增值税税金的计算方法</w:t>
            </w:r>
          </w:p>
        </w:tc>
        <w:tc>
          <w:tcPr>
            <w:tcW w:w="5798" w:type="dxa"/>
            <w:vAlign w:val="center"/>
          </w:tcPr>
          <w:p w14:paraId="41A399E1">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Arial"/>
                <w:color w:val="auto"/>
                <w:sz w:val="21"/>
                <w:highlight w:val="none"/>
              </w:rPr>
              <w:t>按国家、省、市现行规定执行</w:t>
            </w:r>
          </w:p>
        </w:tc>
      </w:tr>
      <w:tr w14:paraId="689B2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7" w:hRule="atLeast"/>
        </w:trPr>
        <w:tc>
          <w:tcPr>
            <w:tcW w:w="1013" w:type="dxa"/>
            <w:vAlign w:val="center"/>
          </w:tcPr>
          <w:p w14:paraId="183D7C06">
            <w:pPr>
              <w:pStyle w:val="20"/>
              <w:spacing w:before="145" w:line="232" w:lineRule="auto"/>
              <w:jc w:val="center"/>
              <w:rPr>
                <w:color w:val="auto"/>
                <w:highlight w:val="none"/>
              </w:rPr>
            </w:pPr>
            <w:bookmarkStart w:id="11" w:name="bookmark43"/>
            <w:bookmarkEnd w:id="11"/>
            <w:r>
              <w:rPr>
                <w:color w:val="auto"/>
                <w:spacing w:val="2"/>
                <w:highlight w:val="none"/>
              </w:rPr>
              <w:t>3.2.3</w:t>
            </w:r>
          </w:p>
        </w:tc>
        <w:tc>
          <w:tcPr>
            <w:tcW w:w="2877" w:type="dxa"/>
            <w:vAlign w:val="center"/>
          </w:tcPr>
          <w:p w14:paraId="0CE3D79F">
            <w:pPr>
              <w:pStyle w:val="20"/>
              <w:spacing w:before="145" w:line="226" w:lineRule="auto"/>
              <w:jc w:val="center"/>
              <w:rPr>
                <w:color w:val="auto"/>
                <w:highlight w:val="none"/>
              </w:rPr>
            </w:pPr>
            <w:r>
              <w:rPr>
                <w:color w:val="auto"/>
                <w:spacing w:val="7"/>
                <w:highlight w:val="none"/>
              </w:rPr>
              <w:t>报价方式</w:t>
            </w:r>
          </w:p>
        </w:tc>
        <w:tc>
          <w:tcPr>
            <w:tcW w:w="5798" w:type="dxa"/>
            <w:vAlign w:val="center"/>
          </w:tcPr>
          <w:p w14:paraId="27F88AD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spacing w:val="-1"/>
                <w:highlight w:val="none"/>
              </w:rPr>
            </w:pPr>
            <w:r>
              <w:rPr>
                <w:rFonts w:hint="eastAsia"/>
                <w:color w:val="auto"/>
                <w:spacing w:val="-1"/>
                <w:highlight w:val="none"/>
                <w:lang w:eastAsia="zh-CN"/>
              </w:rPr>
              <w:t>☑</w:t>
            </w:r>
            <w:r>
              <w:rPr>
                <w:color w:val="auto"/>
                <w:spacing w:val="-1"/>
                <w:highlight w:val="none"/>
              </w:rPr>
              <w:t>总价</w:t>
            </w:r>
          </w:p>
          <w:p w14:paraId="0129D38F">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spacing w:val="-1"/>
                <w:highlight w:val="none"/>
              </w:rPr>
            </w:pPr>
            <w:r>
              <w:rPr>
                <w:color w:val="auto"/>
                <w:spacing w:val="-1"/>
                <w:highlight w:val="none"/>
              </w:rPr>
              <w:t>□单价</w:t>
            </w:r>
          </w:p>
        </w:tc>
      </w:tr>
      <w:tr w14:paraId="2C04A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142F5413">
            <w:pPr>
              <w:pStyle w:val="20"/>
              <w:spacing w:before="141" w:line="234" w:lineRule="auto"/>
              <w:jc w:val="center"/>
              <w:rPr>
                <w:color w:val="auto"/>
                <w:highlight w:val="none"/>
              </w:rPr>
            </w:pPr>
            <w:r>
              <w:rPr>
                <w:color w:val="auto"/>
                <w:spacing w:val="2"/>
                <w:highlight w:val="none"/>
              </w:rPr>
              <w:t>3.2.4</w:t>
            </w:r>
          </w:p>
        </w:tc>
        <w:tc>
          <w:tcPr>
            <w:tcW w:w="2877" w:type="dxa"/>
            <w:vAlign w:val="center"/>
          </w:tcPr>
          <w:p w14:paraId="5F37DF79">
            <w:pPr>
              <w:pStyle w:val="20"/>
              <w:spacing w:before="141" w:line="226" w:lineRule="auto"/>
              <w:jc w:val="center"/>
              <w:rPr>
                <w:color w:val="auto"/>
                <w:highlight w:val="none"/>
              </w:rPr>
            </w:pPr>
            <w:r>
              <w:rPr>
                <w:color w:val="auto"/>
                <w:spacing w:val="7"/>
                <w:highlight w:val="none"/>
              </w:rPr>
              <w:t>最高投标限价</w:t>
            </w:r>
          </w:p>
        </w:tc>
        <w:tc>
          <w:tcPr>
            <w:tcW w:w="5798" w:type="dxa"/>
            <w:vAlign w:val="center"/>
          </w:tcPr>
          <w:p w14:paraId="185205D5">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8"/>
                <w:highlight w:val="none"/>
              </w:rPr>
              <w:t>最高投标限价</w:t>
            </w:r>
            <w:r>
              <w:rPr>
                <w:rFonts w:hint="eastAsia"/>
                <w:color w:val="auto"/>
                <w:spacing w:val="8"/>
                <w:highlight w:val="none"/>
                <w:lang w:val="en-US" w:eastAsia="zh-CN"/>
              </w:rPr>
              <w:t>5700000.00</w:t>
            </w:r>
            <w:r>
              <w:rPr>
                <w:color w:val="auto"/>
                <w:spacing w:val="8"/>
                <w:highlight w:val="none"/>
              </w:rPr>
              <w:t>元（其</w:t>
            </w:r>
            <w:r>
              <w:rPr>
                <w:color w:val="auto"/>
                <w:spacing w:val="8"/>
                <w:highlight w:val="none"/>
                <w:u w:val="single" w:color="auto"/>
              </w:rPr>
              <w:t>中含暂列金额</w:t>
            </w:r>
            <w:r>
              <w:rPr>
                <w:rFonts w:hint="eastAsia"/>
                <w:color w:val="auto"/>
                <w:spacing w:val="8"/>
                <w:highlight w:val="none"/>
                <w:u w:val="single" w:color="auto"/>
                <w:lang w:val="en-US" w:eastAsia="zh-CN"/>
              </w:rPr>
              <w:t>/</w:t>
            </w:r>
            <w:r>
              <w:rPr>
                <w:color w:val="auto"/>
                <w:spacing w:val="8"/>
                <w:highlight w:val="none"/>
                <w:u w:val="single" w:color="auto"/>
              </w:rPr>
              <w:t>元）</w:t>
            </w:r>
          </w:p>
        </w:tc>
      </w:tr>
      <w:tr w14:paraId="3CDB5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667D2844">
            <w:pPr>
              <w:pStyle w:val="20"/>
              <w:spacing w:before="141" w:line="234" w:lineRule="auto"/>
              <w:jc w:val="center"/>
              <w:rPr>
                <w:color w:val="auto"/>
                <w:highlight w:val="none"/>
              </w:rPr>
            </w:pPr>
            <w:r>
              <w:rPr>
                <w:color w:val="auto"/>
                <w:spacing w:val="2"/>
                <w:highlight w:val="none"/>
              </w:rPr>
              <w:t>3.2.5</w:t>
            </w:r>
          </w:p>
        </w:tc>
        <w:tc>
          <w:tcPr>
            <w:tcW w:w="2877" w:type="dxa"/>
            <w:vAlign w:val="center"/>
          </w:tcPr>
          <w:p w14:paraId="6809C07C">
            <w:pPr>
              <w:pStyle w:val="20"/>
              <w:spacing w:before="141" w:line="226" w:lineRule="auto"/>
              <w:jc w:val="center"/>
              <w:rPr>
                <w:color w:val="auto"/>
                <w:highlight w:val="none"/>
              </w:rPr>
            </w:pPr>
            <w:r>
              <w:rPr>
                <w:color w:val="auto"/>
                <w:spacing w:val="8"/>
                <w:highlight w:val="none"/>
              </w:rPr>
              <w:t>投标报价的其他要求</w:t>
            </w:r>
          </w:p>
        </w:tc>
        <w:tc>
          <w:tcPr>
            <w:tcW w:w="5798" w:type="dxa"/>
            <w:vAlign w:val="center"/>
          </w:tcPr>
          <w:p w14:paraId="40FBA4C5">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ascii="Arial"/>
                <w:color w:val="auto"/>
                <w:sz w:val="21"/>
                <w:highlight w:val="none"/>
              </w:rPr>
            </w:pPr>
            <w:r>
              <w:rPr>
                <w:rFonts w:hint="eastAsia" w:ascii="宋体" w:hAnsi="宋体" w:eastAsia="宋体" w:cs="宋体"/>
                <w:color w:val="auto"/>
                <w:spacing w:val="11"/>
                <w:highlight w:val="none"/>
                <w:lang w:val="en-US" w:eastAsia="zh-CN"/>
              </w:rPr>
              <w:t>/</w:t>
            </w:r>
          </w:p>
        </w:tc>
      </w:tr>
      <w:tr w14:paraId="0601A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405" w:hRule="atLeast"/>
        </w:trPr>
        <w:tc>
          <w:tcPr>
            <w:tcW w:w="1013" w:type="dxa"/>
            <w:vAlign w:val="center"/>
          </w:tcPr>
          <w:p w14:paraId="0D3F2FEA">
            <w:pPr>
              <w:pStyle w:val="20"/>
              <w:spacing w:before="141" w:line="234" w:lineRule="auto"/>
              <w:jc w:val="center"/>
              <w:rPr>
                <w:color w:val="auto"/>
                <w:highlight w:val="none"/>
              </w:rPr>
            </w:pPr>
            <w:r>
              <w:rPr>
                <w:color w:val="auto"/>
                <w:spacing w:val="2"/>
                <w:highlight w:val="none"/>
              </w:rPr>
              <w:t>3.3.1</w:t>
            </w:r>
          </w:p>
        </w:tc>
        <w:tc>
          <w:tcPr>
            <w:tcW w:w="2877" w:type="dxa"/>
            <w:vAlign w:val="center"/>
          </w:tcPr>
          <w:p w14:paraId="6F2C3D04">
            <w:pPr>
              <w:pStyle w:val="20"/>
              <w:spacing w:before="142" w:line="228" w:lineRule="auto"/>
              <w:jc w:val="center"/>
              <w:rPr>
                <w:color w:val="auto"/>
                <w:highlight w:val="none"/>
              </w:rPr>
            </w:pPr>
            <w:r>
              <w:rPr>
                <w:color w:val="auto"/>
                <w:spacing w:val="7"/>
                <w:highlight w:val="none"/>
              </w:rPr>
              <w:t>投标有效期</w:t>
            </w:r>
          </w:p>
        </w:tc>
        <w:tc>
          <w:tcPr>
            <w:tcW w:w="5798" w:type="dxa"/>
            <w:vAlign w:val="center"/>
          </w:tcPr>
          <w:p w14:paraId="09D3579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自投标人提交投标文件截止之日起计算</w:t>
            </w:r>
            <w:r>
              <w:rPr>
                <w:color w:val="auto"/>
                <w:spacing w:val="-98"/>
                <w:highlight w:val="none"/>
              </w:rPr>
              <w:t xml:space="preserve"> </w:t>
            </w:r>
            <w:r>
              <w:rPr>
                <w:color w:val="auto"/>
                <w:spacing w:val="4"/>
                <w:highlight w:val="none"/>
                <w:u w:val="single" w:color="auto"/>
              </w:rPr>
              <w:t xml:space="preserve"> </w:t>
            </w:r>
            <w:r>
              <w:rPr>
                <w:rFonts w:hint="eastAsia"/>
                <w:color w:val="auto"/>
                <w:spacing w:val="4"/>
                <w:highlight w:val="none"/>
                <w:u w:val="single" w:color="auto"/>
                <w:lang w:val="en-US" w:eastAsia="zh-CN"/>
              </w:rPr>
              <w:t>90</w:t>
            </w:r>
            <w:r>
              <w:rPr>
                <w:color w:val="auto"/>
                <w:spacing w:val="4"/>
                <w:highlight w:val="none"/>
                <w:u w:val="single" w:color="auto"/>
              </w:rPr>
              <w:t xml:space="preserve"> </w:t>
            </w:r>
            <w:r>
              <w:rPr>
                <w:color w:val="auto"/>
                <w:spacing w:val="7"/>
                <w:highlight w:val="none"/>
              </w:rPr>
              <w:t>日</w:t>
            </w:r>
          </w:p>
        </w:tc>
      </w:tr>
      <w:tr w14:paraId="7BD61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209" w:hRule="atLeast"/>
        </w:trPr>
        <w:tc>
          <w:tcPr>
            <w:tcW w:w="1013" w:type="dxa"/>
            <w:vAlign w:val="center"/>
          </w:tcPr>
          <w:p w14:paraId="10BA4AF6">
            <w:pPr>
              <w:pStyle w:val="20"/>
              <w:spacing w:before="65" w:line="268" w:lineRule="exact"/>
              <w:jc w:val="center"/>
              <w:rPr>
                <w:color w:val="auto"/>
                <w:highlight w:val="none"/>
              </w:rPr>
            </w:pPr>
            <w:r>
              <w:rPr>
                <w:color w:val="auto"/>
                <w:spacing w:val="2"/>
                <w:position w:val="1"/>
                <w:highlight w:val="none"/>
              </w:rPr>
              <w:t>3.4.1</w:t>
            </w:r>
          </w:p>
        </w:tc>
        <w:tc>
          <w:tcPr>
            <w:tcW w:w="2877" w:type="dxa"/>
            <w:vAlign w:val="center"/>
          </w:tcPr>
          <w:p w14:paraId="290069B7">
            <w:pPr>
              <w:pStyle w:val="20"/>
              <w:spacing w:before="65" w:line="266" w:lineRule="exact"/>
              <w:jc w:val="center"/>
              <w:rPr>
                <w:color w:val="auto"/>
                <w:sz w:val="10"/>
                <w:szCs w:val="10"/>
                <w:highlight w:val="none"/>
              </w:rPr>
            </w:pPr>
            <w:r>
              <w:rPr>
                <w:color w:val="auto"/>
                <w:spacing w:val="7"/>
                <w:highlight w:val="none"/>
              </w:rPr>
              <w:t>投标保证金</w:t>
            </w:r>
          </w:p>
        </w:tc>
        <w:tc>
          <w:tcPr>
            <w:tcW w:w="5798" w:type="dxa"/>
            <w:vAlign w:val="center"/>
          </w:tcPr>
          <w:p w14:paraId="2949E466">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是否要求投标人递交投标保证金：</w:t>
            </w:r>
          </w:p>
          <w:p w14:paraId="2144EF55">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要求，投标保证金的金额：</w:t>
            </w:r>
            <w:r>
              <w:rPr>
                <w:rFonts w:hint="eastAsia" w:cs="宋体"/>
                <w:color w:val="auto"/>
                <w:spacing w:val="6"/>
                <w:sz w:val="21"/>
                <w:szCs w:val="21"/>
                <w:highlight w:val="none"/>
                <w:u w:val="single" w:color="auto"/>
                <w:lang w:eastAsia="zh-CN"/>
              </w:rPr>
              <w:t>壹拾万元整</w:t>
            </w:r>
          </w:p>
          <w:p w14:paraId="06877FE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□按投标人在广东省交通运输厅最新年度发布的广</w:t>
            </w:r>
            <w:r>
              <w:rPr>
                <w:rFonts w:hint="eastAsia" w:ascii="宋体" w:hAnsi="宋体" w:eastAsia="宋体" w:cs="宋体"/>
                <w:color w:val="auto"/>
                <w:spacing w:val="9"/>
                <w:sz w:val="21"/>
                <w:szCs w:val="21"/>
                <w:highlight w:val="none"/>
              </w:rPr>
              <w:t>东省公路工程从业单位信用等级（监理单位）减免</w:t>
            </w:r>
            <w:r>
              <w:rPr>
                <w:rFonts w:hint="eastAsia" w:ascii="宋体" w:hAnsi="宋体" w:eastAsia="宋体" w:cs="宋体"/>
                <w:color w:val="auto"/>
                <w:spacing w:val="8"/>
                <w:sz w:val="21"/>
                <w:szCs w:val="21"/>
                <w:highlight w:val="none"/>
              </w:rPr>
              <w:t>投标保证金，减免幅度如下:</w:t>
            </w:r>
          </w:p>
          <w:tbl>
            <w:tblPr>
              <w:tblStyle w:val="19"/>
              <w:tblW w:w="5557"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0"/>
              <w:gridCol w:w="1394"/>
              <w:gridCol w:w="1234"/>
              <w:gridCol w:w="733"/>
              <w:gridCol w:w="586"/>
            </w:tblGrid>
            <w:tr w14:paraId="74329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610" w:type="dxa"/>
                  <w:vAlign w:val="center"/>
                </w:tcPr>
                <w:p w14:paraId="6468AA8F">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信用评价等级</w:t>
                  </w:r>
                </w:p>
              </w:tc>
              <w:tc>
                <w:tcPr>
                  <w:tcW w:w="1394" w:type="dxa"/>
                  <w:vAlign w:val="center"/>
                </w:tcPr>
                <w:p w14:paraId="072E6864">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AA</w:t>
                  </w:r>
                </w:p>
              </w:tc>
              <w:tc>
                <w:tcPr>
                  <w:tcW w:w="1234" w:type="dxa"/>
                  <w:vAlign w:val="center"/>
                </w:tcPr>
                <w:p w14:paraId="3052AC80">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p>
              </w:tc>
              <w:tc>
                <w:tcPr>
                  <w:tcW w:w="733" w:type="dxa"/>
                  <w:vAlign w:val="center"/>
                </w:tcPr>
                <w:p w14:paraId="5236A827">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p>
              </w:tc>
              <w:tc>
                <w:tcPr>
                  <w:tcW w:w="586" w:type="dxa"/>
                  <w:vAlign w:val="center"/>
                </w:tcPr>
                <w:p w14:paraId="1D7EB229">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w:t>
                  </w:r>
                </w:p>
              </w:tc>
            </w:tr>
            <w:tr w14:paraId="32360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10" w:type="dxa"/>
                  <w:vAlign w:val="center"/>
                </w:tcPr>
                <w:p w14:paraId="3957BEAB">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投标保证金减免</w:t>
                  </w:r>
                  <w:r>
                    <w:rPr>
                      <w:rFonts w:hint="eastAsia" w:ascii="宋体" w:hAnsi="宋体" w:eastAsia="宋体" w:cs="宋体"/>
                      <w:color w:val="auto"/>
                      <w:spacing w:val="-8"/>
                      <w:sz w:val="21"/>
                      <w:szCs w:val="21"/>
                      <w:highlight w:val="none"/>
                    </w:rPr>
                    <w:t>幅度</w:t>
                  </w:r>
                </w:p>
              </w:tc>
              <w:tc>
                <w:tcPr>
                  <w:tcW w:w="1394" w:type="dxa"/>
                  <w:vAlign w:val="center"/>
                </w:tcPr>
                <w:p w14:paraId="53FAC0F3">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u w:val="single" w:color="auto"/>
                    </w:rPr>
                    <w:t>50%~</w:t>
                  </w:r>
                  <w:r>
                    <w:rPr>
                      <w:rFonts w:hint="eastAsia" w:ascii="宋体" w:hAnsi="宋体" w:eastAsia="宋体" w:cs="宋体"/>
                      <w:color w:val="auto"/>
                      <w:spacing w:val="13"/>
                      <w:sz w:val="21"/>
                      <w:szCs w:val="21"/>
                      <w:highlight w:val="none"/>
                      <w:u w:val="single" w:color="auto"/>
                      <w:lang w:val="en-US" w:eastAsia="zh-CN"/>
                    </w:rPr>
                    <w:t xml:space="preserve"> </w:t>
                  </w:r>
                  <w:r>
                    <w:rPr>
                      <w:rFonts w:hint="eastAsia" w:ascii="宋体" w:hAnsi="宋体" w:eastAsia="宋体" w:cs="宋体"/>
                      <w:color w:val="auto"/>
                      <w:spacing w:val="-5"/>
                      <w:sz w:val="21"/>
                      <w:szCs w:val="21"/>
                      <w:highlight w:val="none"/>
                      <w:u w:val="single" w:color="auto"/>
                    </w:rPr>
                    <w:t>100%</w:t>
                  </w:r>
                </w:p>
              </w:tc>
              <w:tc>
                <w:tcPr>
                  <w:tcW w:w="1234" w:type="dxa"/>
                  <w:vAlign w:val="center"/>
                </w:tcPr>
                <w:p w14:paraId="41CC5875">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u w:val="single" w:color="auto"/>
                    </w:rPr>
                    <w:t>10%</w:t>
                  </w:r>
                  <w:r>
                    <w:rPr>
                      <w:rFonts w:hint="eastAsia" w:ascii="宋体" w:hAnsi="宋体" w:eastAsia="宋体" w:cs="宋体"/>
                      <w:color w:val="auto"/>
                      <w:spacing w:val="10"/>
                      <w:sz w:val="21"/>
                      <w:szCs w:val="21"/>
                      <w:highlight w:val="none"/>
                      <w:u w:val="single" w:color="auto"/>
                      <w:lang w:val="en-US" w:eastAsia="zh-CN"/>
                    </w:rPr>
                    <w:t xml:space="preserve"> </w:t>
                  </w:r>
                  <w:r>
                    <w:rPr>
                      <w:rFonts w:hint="eastAsia" w:ascii="宋体" w:hAnsi="宋体" w:eastAsia="宋体" w:cs="宋体"/>
                      <w:color w:val="auto"/>
                      <w:spacing w:val="10"/>
                      <w:sz w:val="21"/>
                      <w:szCs w:val="21"/>
                      <w:highlight w:val="none"/>
                      <w:u w:val="single" w:color="auto"/>
                    </w:rPr>
                    <w:t>~</w:t>
                  </w:r>
                  <w:r>
                    <w:rPr>
                      <w:rFonts w:hint="eastAsia" w:ascii="宋体" w:hAnsi="宋体" w:eastAsia="宋体" w:cs="宋体"/>
                      <w:color w:val="auto"/>
                      <w:spacing w:val="10"/>
                      <w:sz w:val="21"/>
                      <w:szCs w:val="21"/>
                      <w:highlight w:val="none"/>
                      <w:u w:val="single" w:color="auto"/>
                      <w:lang w:val="en-US" w:eastAsia="zh-CN"/>
                    </w:rPr>
                    <w:t xml:space="preserve"> </w:t>
                  </w:r>
                  <w:r>
                    <w:rPr>
                      <w:rFonts w:hint="eastAsia" w:ascii="宋体" w:hAnsi="宋体" w:eastAsia="宋体" w:cs="宋体"/>
                      <w:color w:val="auto"/>
                      <w:spacing w:val="-4"/>
                      <w:sz w:val="21"/>
                      <w:szCs w:val="21"/>
                      <w:highlight w:val="none"/>
                      <w:u w:val="single" w:color="auto"/>
                    </w:rPr>
                    <w:t>50%</w:t>
                  </w:r>
                </w:p>
              </w:tc>
              <w:tc>
                <w:tcPr>
                  <w:tcW w:w="733" w:type="dxa"/>
                  <w:vAlign w:val="center"/>
                </w:tcPr>
                <w:p w14:paraId="02A28210">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0%</w:t>
                  </w:r>
                </w:p>
              </w:tc>
              <w:tc>
                <w:tcPr>
                  <w:tcW w:w="586" w:type="dxa"/>
                  <w:vAlign w:val="center"/>
                </w:tcPr>
                <w:p w14:paraId="1ED56DAC">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0%</w:t>
                  </w:r>
                </w:p>
              </w:tc>
            </w:tr>
            <w:tr w14:paraId="76B70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610" w:type="dxa"/>
                  <w:vAlign w:val="center"/>
                </w:tcPr>
                <w:p w14:paraId="1DFA534C">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减免后的投标保证金金额</w:t>
                  </w:r>
                </w:p>
              </w:tc>
              <w:tc>
                <w:tcPr>
                  <w:tcW w:w="1394" w:type="dxa"/>
                  <w:vAlign w:val="center"/>
                </w:tcPr>
                <w:p w14:paraId="73D03BF6">
                  <w:pPr>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234" w:type="dxa"/>
                  <w:vAlign w:val="center"/>
                </w:tcPr>
                <w:p w14:paraId="425A9657">
                  <w:pPr>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733" w:type="dxa"/>
                  <w:vAlign w:val="center"/>
                </w:tcPr>
                <w:p w14:paraId="788DA321">
                  <w:pPr>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586" w:type="dxa"/>
                  <w:vAlign w:val="center"/>
                </w:tcPr>
                <w:p w14:paraId="4CBFDF11">
                  <w:pPr>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bl>
          <w:p w14:paraId="045DD6BD">
            <w:pPr>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color w:val="auto"/>
                <w:highlight w:val="none"/>
              </w:rPr>
            </w:pPr>
          </w:p>
          <w:p w14:paraId="30567B84">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color w:val="auto"/>
                <w:spacing w:val="8"/>
                <w:sz w:val="21"/>
                <w:szCs w:val="21"/>
                <w:highlight w:val="none"/>
              </w:rPr>
            </w:pPr>
            <w:r>
              <w:rPr>
                <w:rFonts w:hint="eastAsia" w:ascii="宋体" w:hAnsi="宋体" w:eastAsia="宋体" w:cs="宋体"/>
                <w:color w:val="auto"/>
                <w:spacing w:val="11"/>
                <w:sz w:val="21"/>
                <w:szCs w:val="21"/>
                <w:highlight w:val="none"/>
              </w:rPr>
              <w:t>□无失信记录的中小微企业</w:t>
            </w:r>
            <w:r>
              <w:rPr>
                <w:rFonts w:hint="eastAsia" w:ascii="宋体" w:hAnsi="宋体" w:eastAsia="宋体" w:cs="宋体"/>
                <w:color w:val="auto"/>
                <w:spacing w:val="-17"/>
                <w:position w:val="10"/>
                <w:sz w:val="21"/>
                <w:szCs w:val="21"/>
                <w:highlight w:val="none"/>
              </w:rPr>
              <w:t xml:space="preserve"> </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69"/>
                <w:sz w:val="21"/>
                <w:szCs w:val="21"/>
                <w:highlight w:val="none"/>
              </w:rPr>
              <w:t xml:space="preserve"> </w:t>
            </w:r>
            <w:r>
              <w:rPr>
                <w:rFonts w:hint="eastAsia" w:ascii="宋体" w:hAnsi="宋体" w:eastAsia="宋体" w:cs="宋体"/>
                <w:color w:val="auto"/>
                <w:spacing w:val="11"/>
                <w:sz w:val="21"/>
                <w:szCs w:val="21"/>
                <w:highlight w:val="none"/>
              </w:rPr>
              <w:t>给予减免投标</w:t>
            </w:r>
            <w:r>
              <w:rPr>
                <w:rFonts w:hint="eastAsia" w:ascii="宋体" w:hAnsi="宋体" w:eastAsia="宋体" w:cs="宋体"/>
                <w:color w:val="auto"/>
                <w:spacing w:val="10"/>
                <w:sz w:val="21"/>
                <w:szCs w:val="21"/>
                <w:highlight w:val="none"/>
              </w:rPr>
              <w:t>保证金，减免</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7"/>
                <w:sz w:val="21"/>
                <w:szCs w:val="21"/>
                <w:highlight w:val="none"/>
                <w:u w:val="single" w:color="auto"/>
                <w:lang w:val="en-US" w:eastAsia="zh-CN"/>
              </w:rPr>
              <w:t>/</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96"/>
                <w:sz w:val="21"/>
                <w:szCs w:val="21"/>
                <w:highlight w:val="none"/>
              </w:rPr>
              <w:t xml:space="preserve"> </w:t>
            </w:r>
            <w:r>
              <w:rPr>
                <w:rFonts w:hint="eastAsia" w:ascii="宋体" w:hAnsi="宋体" w:eastAsia="宋体" w:cs="宋体"/>
                <w:color w:val="auto"/>
                <w:spacing w:val="10"/>
                <w:sz w:val="21"/>
                <w:szCs w:val="21"/>
                <w:highlight w:val="none"/>
              </w:rPr>
              <w:t>%缴纳投标保证金，减免后投标保证</w:t>
            </w:r>
            <w:r>
              <w:rPr>
                <w:rFonts w:hint="eastAsia" w:ascii="宋体" w:hAnsi="宋体" w:eastAsia="宋体" w:cs="宋体"/>
                <w:color w:val="auto"/>
                <w:spacing w:val="9"/>
                <w:sz w:val="21"/>
                <w:szCs w:val="21"/>
                <w:highlight w:val="none"/>
              </w:rPr>
              <w:t>金金额：</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lang w:val="en-US" w:eastAsia="zh-CN"/>
              </w:rPr>
              <w:t>/</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54"/>
                <w:sz w:val="21"/>
                <w:szCs w:val="21"/>
                <w:highlight w:val="none"/>
              </w:rPr>
              <w:t xml:space="preserve"> </w:t>
            </w:r>
            <w:r>
              <w:rPr>
                <w:rFonts w:hint="eastAsia" w:ascii="宋体" w:hAnsi="宋体" w:eastAsia="宋体" w:cs="宋体"/>
                <w:color w:val="auto"/>
                <w:spacing w:val="9"/>
                <w:sz w:val="21"/>
                <w:szCs w:val="21"/>
                <w:highlight w:val="none"/>
              </w:rPr>
              <w:t>。如同时满足以上信用等级和中小微</w:t>
            </w:r>
            <w:r>
              <w:rPr>
                <w:rFonts w:hint="eastAsia" w:ascii="宋体" w:hAnsi="宋体" w:eastAsia="宋体" w:cs="宋体"/>
                <w:color w:val="auto"/>
                <w:spacing w:val="12"/>
                <w:sz w:val="21"/>
                <w:szCs w:val="21"/>
                <w:highlight w:val="none"/>
              </w:rPr>
              <w:t>企业减免投标保证金的情形，则以减免后投</w:t>
            </w:r>
            <w:r>
              <w:rPr>
                <w:rFonts w:hint="eastAsia" w:ascii="宋体" w:hAnsi="宋体" w:eastAsia="宋体" w:cs="宋体"/>
                <w:color w:val="auto"/>
                <w:spacing w:val="11"/>
                <w:sz w:val="21"/>
                <w:szCs w:val="21"/>
                <w:highlight w:val="none"/>
              </w:rPr>
              <w:t>标保证</w:t>
            </w:r>
            <w:r>
              <w:rPr>
                <w:rFonts w:hint="eastAsia" w:ascii="宋体" w:hAnsi="宋体" w:eastAsia="宋体" w:cs="宋体"/>
                <w:color w:val="auto"/>
                <w:spacing w:val="8"/>
                <w:sz w:val="21"/>
                <w:szCs w:val="21"/>
                <w:highlight w:val="none"/>
              </w:rPr>
              <w:t>金金额较少的为准。</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8"/>
                <w:sz w:val="21"/>
                <w:szCs w:val="21"/>
                <w:highlight w:val="none"/>
              </w:rPr>
              <w:t>以联合体形式参加投标的，</w:t>
            </w:r>
            <w:r>
              <w:rPr>
                <w:rFonts w:hint="eastAsia" w:ascii="宋体" w:hAnsi="宋体" w:eastAsia="宋体" w:cs="宋体"/>
                <w:color w:val="auto"/>
                <w:spacing w:val="-57"/>
                <w:sz w:val="21"/>
                <w:szCs w:val="21"/>
                <w:highlight w:val="none"/>
              </w:rPr>
              <w:t xml:space="preserve"> </w:t>
            </w:r>
            <w:r>
              <w:rPr>
                <w:rFonts w:hint="eastAsia" w:ascii="宋体" w:hAnsi="宋体" w:eastAsia="宋体" w:cs="宋体"/>
                <w:color w:val="auto"/>
                <w:spacing w:val="8"/>
                <w:sz w:val="21"/>
                <w:szCs w:val="21"/>
                <w:highlight w:val="none"/>
              </w:rPr>
              <w:t>以上情形以联合体牵头人的企业性质为准。</w:t>
            </w:r>
          </w:p>
          <w:p w14:paraId="16780110">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投标保证的形式包括</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u w:val="single"/>
              </w:rPr>
              <w:t>投标保证金、投标保证</w:t>
            </w:r>
            <w:r>
              <w:rPr>
                <w:rFonts w:hint="eastAsia" w:ascii="宋体" w:hAnsi="宋体" w:eastAsia="宋体" w:cs="宋体"/>
                <w:bCs/>
                <w:color w:val="auto"/>
                <w:sz w:val="21"/>
                <w:szCs w:val="21"/>
                <w:highlight w:val="none"/>
                <w:u w:val="single"/>
                <w:lang w:val="en-US" w:eastAsia="zh-CN"/>
              </w:rPr>
              <w:t>担保</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投标保证保险</w:t>
            </w:r>
            <w:r>
              <w:rPr>
                <w:rFonts w:hint="eastAsia" w:ascii="宋体" w:hAnsi="宋体" w:eastAsia="宋体" w:cs="宋体"/>
                <w:bCs/>
                <w:color w:val="auto"/>
                <w:sz w:val="21"/>
                <w:szCs w:val="21"/>
                <w:highlight w:val="none"/>
                <w:u w:val="single"/>
              </w:rPr>
              <w:t>担保</w:t>
            </w:r>
            <w:r>
              <w:rPr>
                <w:rFonts w:hint="eastAsia" w:ascii="宋体" w:hAnsi="宋体" w:eastAsia="宋体" w:cs="宋体"/>
                <w:bCs/>
                <w:color w:val="auto"/>
                <w:sz w:val="21"/>
                <w:szCs w:val="21"/>
                <w:highlight w:val="none"/>
                <w:u w:val="single"/>
                <w:lang w:val="en-US" w:eastAsia="zh-CN"/>
              </w:rPr>
              <w:t>三</w:t>
            </w:r>
            <w:r>
              <w:rPr>
                <w:rFonts w:hint="eastAsia" w:ascii="宋体" w:hAnsi="宋体" w:eastAsia="宋体" w:cs="宋体"/>
                <w:bCs/>
                <w:color w:val="auto"/>
                <w:sz w:val="21"/>
                <w:szCs w:val="21"/>
                <w:highlight w:val="none"/>
                <w:u w:val="single"/>
              </w:rPr>
              <w:t>种</w:t>
            </w:r>
            <w:r>
              <w:rPr>
                <w:rFonts w:hint="eastAsia" w:ascii="宋体" w:hAnsi="宋体" w:eastAsia="宋体" w:cs="宋体"/>
                <w:bCs/>
                <w:color w:val="auto"/>
                <w:sz w:val="21"/>
                <w:szCs w:val="21"/>
                <w:highlight w:val="none"/>
              </w:rPr>
              <w:t>，由投标人自主选择</w:t>
            </w:r>
            <w:r>
              <w:rPr>
                <w:rFonts w:hint="eastAsia" w:ascii="宋体" w:hAnsi="宋体" w:eastAsia="宋体" w:cs="宋体"/>
                <w:bCs/>
                <w:color w:val="auto"/>
                <w:sz w:val="21"/>
                <w:szCs w:val="21"/>
                <w:highlight w:val="none"/>
                <w:lang w:eastAsia="zh-CN"/>
              </w:rPr>
              <w:t>。</w:t>
            </w:r>
          </w:p>
          <w:p w14:paraId="107396E6">
            <w:pPr>
              <w:pStyle w:val="20"/>
              <w:keepNext w:val="0"/>
              <w:keepLines w:val="0"/>
              <w:pageBreakBefore w:val="0"/>
              <w:widowControl/>
              <w:kinsoku/>
              <w:overflowPunct/>
              <w:topLinePunct w:val="0"/>
              <w:bidi w:val="0"/>
              <w:adjustRightInd w:val="0"/>
              <w:snapToGrid w:val="0"/>
              <w:spacing w:line="288" w:lineRule="auto"/>
              <w:ind w:left="105" w:leftChars="50" w:right="42" w:rightChars="20" w:firstLine="0" w:firstLineChars="0"/>
              <w:jc w:val="both"/>
              <w:textAlignment w:val="auto"/>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rPr>
              <w:t>招标人指定的开户银行及账号如下：</w:t>
            </w:r>
            <w:r>
              <w:rPr>
                <w:rFonts w:hint="eastAsia" w:ascii="宋体" w:hAnsi="宋体" w:eastAsia="宋体" w:cs="宋体"/>
                <w:color w:val="auto"/>
                <w:spacing w:val="8"/>
                <w:sz w:val="21"/>
                <w:szCs w:val="21"/>
                <w:highlight w:val="none"/>
                <w:u w:val="single"/>
                <w:lang w:eastAsia="zh-CN"/>
              </w:rPr>
              <w:t>在</w:t>
            </w:r>
            <w:r>
              <w:rPr>
                <w:rFonts w:hint="eastAsia" w:ascii="宋体" w:hAnsi="宋体" w:eastAsia="宋体" w:cs="宋体"/>
                <w:color w:val="auto"/>
                <w:spacing w:val="8"/>
                <w:sz w:val="21"/>
                <w:szCs w:val="21"/>
                <w:highlight w:val="none"/>
                <w:u w:val="single"/>
              </w:rPr>
              <w:t>建设工程交易系统获取本次招标投标保证金缴纳账号</w:t>
            </w:r>
            <w:r>
              <w:rPr>
                <w:rFonts w:hint="eastAsia" w:ascii="宋体" w:hAnsi="宋体" w:eastAsia="宋体" w:cs="宋体"/>
                <w:color w:val="auto"/>
                <w:spacing w:val="8"/>
                <w:sz w:val="21"/>
                <w:szCs w:val="21"/>
                <w:highlight w:val="none"/>
                <w:u w:val="single"/>
                <w:lang w:eastAsia="zh-CN"/>
              </w:rPr>
              <w:t>。</w:t>
            </w:r>
          </w:p>
          <w:p w14:paraId="21102F7A">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ascii="宋体" w:hAnsi="宋体" w:eastAsia="宋体" w:cs="宋体"/>
                <w:color w:val="auto"/>
                <w:sz w:val="21"/>
                <w:szCs w:val="21"/>
                <w:highlight w:val="none"/>
              </w:rPr>
              <w:t>□不要求</w:t>
            </w:r>
          </w:p>
        </w:tc>
      </w:tr>
      <w:tr w14:paraId="50332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788" w:hRule="atLeast"/>
        </w:trPr>
        <w:tc>
          <w:tcPr>
            <w:tcW w:w="1013" w:type="dxa"/>
            <w:vAlign w:val="center"/>
          </w:tcPr>
          <w:p w14:paraId="27DCA866">
            <w:pPr>
              <w:pStyle w:val="20"/>
              <w:spacing w:before="65" w:line="268" w:lineRule="exact"/>
              <w:jc w:val="center"/>
              <w:rPr>
                <w:color w:val="auto"/>
                <w:highlight w:val="none"/>
              </w:rPr>
            </w:pPr>
            <w:r>
              <w:rPr>
                <w:color w:val="auto"/>
                <w:spacing w:val="2"/>
                <w:position w:val="1"/>
                <w:highlight w:val="none"/>
              </w:rPr>
              <w:t>3.4.3</w:t>
            </w:r>
          </w:p>
        </w:tc>
        <w:tc>
          <w:tcPr>
            <w:tcW w:w="2877" w:type="dxa"/>
            <w:vAlign w:val="center"/>
          </w:tcPr>
          <w:p w14:paraId="0BCD2D57">
            <w:pPr>
              <w:pStyle w:val="20"/>
              <w:spacing w:before="65" w:line="228" w:lineRule="auto"/>
              <w:jc w:val="center"/>
              <w:rPr>
                <w:color w:val="auto"/>
                <w:highlight w:val="none"/>
              </w:rPr>
            </w:pPr>
            <w:r>
              <w:rPr>
                <w:color w:val="auto"/>
                <w:spacing w:val="8"/>
                <w:highlight w:val="none"/>
              </w:rPr>
              <w:t>投标保证金的利息计算原则</w:t>
            </w:r>
          </w:p>
        </w:tc>
        <w:tc>
          <w:tcPr>
            <w:tcW w:w="5798" w:type="dxa"/>
            <w:vAlign w:val="center"/>
          </w:tcPr>
          <w:p w14:paraId="3CF16A86">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18"/>
                <w:highlight w:val="none"/>
              </w:rPr>
              <w:t>利息退还方式按</w:t>
            </w:r>
            <w:r>
              <w:rPr>
                <w:rFonts w:hint="eastAsia"/>
                <w:color w:val="auto"/>
                <w:spacing w:val="18"/>
                <w:highlight w:val="none"/>
                <w:u w:val="single"/>
              </w:rPr>
              <w:t>韶关市</w:t>
            </w:r>
            <w:r>
              <w:rPr>
                <w:color w:val="auto"/>
                <w:spacing w:val="-83"/>
                <w:highlight w:val="none"/>
                <w:u w:val="single"/>
              </w:rPr>
              <w:t xml:space="preserve"> </w:t>
            </w:r>
            <w:r>
              <w:rPr>
                <w:color w:val="auto"/>
                <w:spacing w:val="18"/>
                <w:highlight w:val="none"/>
              </w:rPr>
              <w:t>公共资源交易中心规定办</w:t>
            </w:r>
            <w:r>
              <w:rPr>
                <w:color w:val="auto"/>
                <w:spacing w:val="-1"/>
                <w:highlight w:val="none"/>
              </w:rPr>
              <w:t>理。</w:t>
            </w:r>
          </w:p>
        </w:tc>
      </w:tr>
      <w:tr w14:paraId="04446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2643" w:hRule="atLeast"/>
        </w:trPr>
        <w:tc>
          <w:tcPr>
            <w:tcW w:w="1013" w:type="dxa"/>
            <w:vAlign w:val="center"/>
          </w:tcPr>
          <w:p w14:paraId="4ABBDBA1">
            <w:pPr>
              <w:pStyle w:val="20"/>
              <w:spacing w:before="65" w:line="267" w:lineRule="exact"/>
              <w:jc w:val="center"/>
              <w:rPr>
                <w:color w:val="auto"/>
                <w:highlight w:val="none"/>
              </w:rPr>
            </w:pPr>
            <w:r>
              <w:rPr>
                <w:color w:val="auto"/>
                <w:spacing w:val="2"/>
                <w:position w:val="1"/>
                <w:highlight w:val="none"/>
              </w:rPr>
              <w:t>3.4.4</w:t>
            </w:r>
          </w:p>
        </w:tc>
        <w:tc>
          <w:tcPr>
            <w:tcW w:w="2877" w:type="dxa"/>
            <w:vAlign w:val="center"/>
          </w:tcPr>
          <w:p w14:paraId="1F1D18BB">
            <w:pPr>
              <w:pStyle w:val="20"/>
              <w:spacing w:before="65" w:line="228" w:lineRule="auto"/>
              <w:jc w:val="center"/>
              <w:rPr>
                <w:color w:val="auto"/>
                <w:highlight w:val="none"/>
              </w:rPr>
            </w:pPr>
            <w:r>
              <w:rPr>
                <w:color w:val="auto"/>
                <w:spacing w:val="9"/>
                <w:highlight w:val="none"/>
              </w:rPr>
              <w:t>其他可以不予退还投标保证</w:t>
            </w:r>
          </w:p>
          <w:p w14:paraId="3FC82588">
            <w:pPr>
              <w:pStyle w:val="20"/>
              <w:spacing w:before="151" w:line="228" w:lineRule="auto"/>
              <w:ind w:left="1023"/>
              <w:jc w:val="center"/>
              <w:rPr>
                <w:color w:val="auto"/>
                <w:highlight w:val="none"/>
              </w:rPr>
            </w:pPr>
            <w:r>
              <w:rPr>
                <w:color w:val="auto"/>
                <w:spacing w:val="6"/>
                <w:highlight w:val="none"/>
              </w:rPr>
              <w:t>金的情形</w:t>
            </w:r>
          </w:p>
        </w:tc>
        <w:tc>
          <w:tcPr>
            <w:tcW w:w="5798" w:type="dxa"/>
            <w:vAlign w:val="center"/>
          </w:tcPr>
          <w:p w14:paraId="793230C0">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（4）串通投标；或</w:t>
            </w:r>
          </w:p>
          <w:p w14:paraId="38B6E388">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14"/>
                <w:highlight w:val="none"/>
              </w:rPr>
              <w:t>（5）评标、</w:t>
            </w:r>
            <w:r>
              <w:rPr>
                <w:color w:val="auto"/>
                <w:spacing w:val="-57"/>
                <w:highlight w:val="none"/>
              </w:rPr>
              <w:t xml:space="preserve"> </w:t>
            </w:r>
            <w:r>
              <w:rPr>
                <w:color w:val="auto"/>
                <w:spacing w:val="14"/>
                <w:highlight w:val="none"/>
              </w:rPr>
              <w:t>中标候选人公示、签订合同前等环节</w:t>
            </w:r>
            <w:r>
              <w:rPr>
                <w:color w:val="auto"/>
                <w:spacing w:val="8"/>
                <w:highlight w:val="none"/>
              </w:rPr>
              <w:t>因作假而被取消中标资格；或</w:t>
            </w:r>
          </w:p>
          <w:p w14:paraId="529BAB93">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8"/>
                <w:highlight w:val="none"/>
              </w:rPr>
              <w:t>（6）因投诉属实取消投标资格的；或</w:t>
            </w:r>
          </w:p>
          <w:p w14:paraId="445EFA02">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13"/>
                <w:highlight w:val="none"/>
              </w:rPr>
              <w:t>（7）其他违反规定、妨碍公平竞争准则的行为；</w:t>
            </w:r>
            <w:r>
              <w:rPr>
                <w:color w:val="auto"/>
                <w:highlight w:val="none"/>
              </w:rPr>
              <w:t>或</w:t>
            </w:r>
          </w:p>
          <w:p w14:paraId="3E38D416">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2"/>
                <w:highlight w:val="none"/>
              </w:rPr>
              <w:t>（8）</w:t>
            </w:r>
            <w:r>
              <w:rPr>
                <w:color w:val="auto"/>
                <w:highlight w:val="none"/>
                <w:u w:val="single" w:color="auto"/>
              </w:rPr>
              <w:t xml:space="preserve">  </w:t>
            </w:r>
            <w:r>
              <w:rPr>
                <w:rFonts w:hint="eastAsia"/>
                <w:color w:val="auto"/>
                <w:highlight w:val="none"/>
                <w:u w:val="single" w:color="auto"/>
                <w:lang w:val="en-US" w:eastAsia="zh-CN"/>
              </w:rPr>
              <w:t>/</w:t>
            </w:r>
            <w:r>
              <w:rPr>
                <w:color w:val="auto"/>
                <w:highlight w:val="none"/>
                <w:u w:val="single" w:color="auto"/>
              </w:rPr>
              <w:t xml:space="preserve">   </w:t>
            </w:r>
          </w:p>
        </w:tc>
      </w:tr>
      <w:tr w14:paraId="031FB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05" w:hRule="atLeast"/>
        </w:trPr>
        <w:tc>
          <w:tcPr>
            <w:tcW w:w="1013" w:type="dxa"/>
            <w:vAlign w:val="center"/>
          </w:tcPr>
          <w:p w14:paraId="49CF385E">
            <w:pPr>
              <w:pStyle w:val="20"/>
              <w:spacing w:before="65" w:line="268" w:lineRule="exact"/>
              <w:jc w:val="center"/>
              <w:rPr>
                <w:color w:val="auto"/>
                <w:highlight w:val="none"/>
              </w:rPr>
            </w:pPr>
            <w:r>
              <w:rPr>
                <w:color w:val="auto"/>
                <w:spacing w:val="1"/>
                <w:position w:val="1"/>
                <w:highlight w:val="none"/>
              </w:rPr>
              <w:t>3.5</w:t>
            </w:r>
          </w:p>
        </w:tc>
        <w:tc>
          <w:tcPr>
            <w:tcW w:w="2877" w:type="dxa"/>
            <w:vAlign w:val="center"/>
          </w:tcPr>
          <w:p w14:paraId="6A6C949B">
            <w:pPr>
              <w:pStyle w:val="20"/>
              <w:spacing w:before="65" w:line="228" w:lineRule="auto"/>
              <w:jc w:val="center"/>
              <w:rPr>
                <w:color w:val="auto"/>
                <w:highlight w:val="none"/>
              </w:rPr>
            </w:pPr>
            <w:r>
              <w:rPr>
                <w:color w:val="auto"/>
                <w:spacing w:val="8"/>
                <w:highlight w:val="none"/>
              </w:rPr>
              <w:t>资格审查资料的特殊要求</w:t>
            </w:r>
          </w:p>
        </w:tc>
        <w:tc>
          <w:tcPr>
            <w:tcW w:w="5798" w:type="dxa"/>
            <w:vAlign w:val="center"/>
          </w:tcPr>
          <w:p w14:paraId="54ECA3AF">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5"/>
                <w:highlight w:val="none"/>
              </w:rPr>
              <w:t>□无</w:t>
            </w:r>
          </w:p>
          <w:p w14:paraId="46239D18">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spacing w:val="6"/>
                <w:highlight w:val="none"/>
                <w:lang w:eastAsia="zh-CN"/>
              </w:rPr>
              <w:t>☑</w:t>
            </w:r>
            <w:r>
              <w:rPr>
                <w:color w:val="auto"/>
                <w:spacing w:val="6"/>
                <w:highlight w:val="none"/>
              </w:rPr>
              <w:t>有，具体要求：</w:t>
            </w:r>
            <w:r>
              <w:rPr>
                <w:rFonts w:hint="eastAsia"/>
                <w:strike w:val="0"/>
                <w:dstrike w:val="0"/>
                <w:color w:val="auto"/>
                <w:spacing w:val="6"/>
                <w:highlight w:val="none"/>
                <w:u w:val="single"/>
              </w:rPr>
              <w:t>投标人提供的各类证照</w:t>
            </w:r>
            <w:r>
              <w:rPr>
                <w:rFonts w:hint="eastAsia"/>
                <w:strike w:val="0"/>
                <w:dstrike w:val="0"/>
                <w:color w:val="auto"/>
                <w:spacing w:val="6"/>
                <w:highlight w:val="none"/>
                <w:u w:val="single"/>
                <w:lang w:eastAsia="zh-CN"/>
              </w:rPr>
              <w:t>扫描</w:t>
            </w:r>
            <w:r>
              <w:rPr>
                <w:rFonts w:hint="eastAsia"/>
                <w:strike w:val="0"/>
                <w:dstrike w:val="0"/>
                <w:color w:val="auto"/>
                <w:spacing w:val="6"/>
                <w:highlight w:val="none"/>
                <w:u w:val="single"/>
              </w:rPr>
              <w:t>件均指彩色扫描件，其他资料的</w:t>
            </w:r>
            <w:r>
              <w:rPr>
                <w:rFonts w:hint="eastAsia"/>
                <w:strike w:val="0"/>
                <w:dstrike w:val="0"/>
                <w:color w:val="auto"/>
                <w:spacing w:val="6"/>
                <w:highlight w:val="none"/>
                <w:u w:val="single"/>
                <w:lang w:eastAsia="zh-CN"/>
              </w:rPr>
              <w:t>扫描</w:t>
            </w:r>
            <w:r>
              <w:rPr>
                <w:rFonts w:hint="eastAsia"/>
                <w:strike w:val="0"/>
                <w:dstrike w:val="0"/>
                <w:color w:val="auto"/>
                <w:spacing w:val="6"/>
                <w:highlight w:val="none"/>
                <w:u w:val="single"/>
              </w:rPr>
              <w:t>件可为黑白扫描件。</w:t>
            </w:r>
          </w:p>
        </w:tc>
      </w:tr>
      <w:tr w14:paraId="11099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3093" w:hRule="atLeast"/>
        </w:trPr>
        <w:tc>
          <w:tcPr>
            <w:tcW w:w="1013" w:type="dxa"/>
            <w:vAlign w:val="center"/>
          </w:tcPr>
          <w:p w14:paraId="75A2E39E">
            <w:pPr>
              <w:pStyle w:val="20"/>
              <w:spacing w:before="66" w:line="267" w:lineRule="exact"/>
              <w:jc w:val="center"/>
              <w:rPr>
                <w:color w:val="auto"/>
                <w:highlight w:val="none"/>
              </w:rPr>
            </w:pPr>
            <w:r>
              <w:rPr>
                <w:color w:val="auto"/>
                <w:spacing w:val="2"/>
                <w:position w:val="1"/>
                <w:highlight w:val="none"/>
              </w:rPr>
              <w:t>3.5.2</w:t>
            </w:r>
          </w:p>
        </w:tc>
        <w:tc>
          <w:tcPr>
            <w:tcW w:w="2877" w:type="dxa"/>
            <w:vAlign w:val="center"/>
          </w:tcPr>
          <w:p w14:paraId="05D6D48C">
            <w:pPr>
              <w:pStyle w:val="20"/>
              <w:spacing w:before="65" w:line="228" w:lineRule="auto"/>
              <w:jc w:val="center"/>
              <w:rPr>
                <w:color w:val="auto"/>
                <w:highlight w:val="none"/>
              </w:rPr>
            </w:pPr>
            <w:r>
              <w:rPr>
                <w:color w:val="auto"/>
                <w:spacing w:val="9"/>
                <w:highlight w:val="none"/>
              </w:rPr>
              <w:t>近年完成的类似项目情况的</w:t>
            </w:r>
            <w:r>
              <w:rPr>
                <w:color w:val="auto"/>
                <w:spacing w:val="4"/>
                <w:highlight w:val="none"/>
              </w:rPr>
              <w:t>时间要求</w:t>
            </w:r>
          </w:p>
        </w:tc>
        <w:tc>
          <w:tcPr>
            <w:tcW w:w="5798" w:type="dxa"/>
            <w:vAlign w:val="center"/>
          </w:tcPr>
          <w:p w14:paraId="0C22ACCD">
            <w:pPr>
              <w:pStyle w:val="20"/>
              <w:keepNext w:val="0"/>
              <w:keepLines w:val="0"/>
              <w:pageBreakBefore w:val="0"/>
              <w:widowControl/>
              <w:tabs>
                <w:tab w:val="left" w:pos="840"/>
              </w:tabs>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highlight w:val="none"/>
                <w:u w:val="single" w:color="auto"/>
                <w:lang w:val="en-US" w:eastAsia="zh-CN"/>
              </w:rPr>
              <w:t>2021</w:t>
            </w:r>
            <w:r>
              <w:rPr>
                <w:color w:val="auto"/>
                <w:spacing w:val="4"/>
                <w:highlight w:val="none"/>
              </w:rPr>
              <w:t>年</w:t>
            </w:r>
            <w:r>
              <w:rPr>
                <w:rFonts w:hint="eastAsia"/>
                <w:color w:val="auto"/>
                <w:spacing w:val="4"/>
                <w:highlight w:val="none"/>
                <w:u w:val="single" w:color="auto"/>
                <w:lang w:val="en-US" w:eastAsia="zh-CN"/>
              </w:rPr>
              <w:t>01</w:t>
            </w:r>
            <w:r>
              <w:rPr>
                <w:color w:val="auto"/>
                <w:spacing w:val="-87"/>
                <w:highlight w:val="none"/>
              </w:rPr>
              <w:t xml:space="preserve"> </w:t>
            </w:r>
            <w:r>
              <w:rPr>
                <w:color w:val="auto"/>
                <w:spacing w:val="4"/>
                <w:highlight w:val="none"/>
              </w:rPr>
              <w:t>月</w:t>
            </w:r>
            <w:r>
              <w:rPr>
                <w:rFonts w:hint="eastAsia"/>
                <w:color w:val="auto"/>
                <w:spacing w:val="4"/>
                <w:highlight w:val="none"/>
                <w:u w:val="single" w:color="auto"/>
                <w:lang w:val="en-US" w:eastAsia="zh-CN"/>
              </w:rPr>
              <w:t>0</w:t>
            </w:r>
            <w:r>
              <w:rPr>
                <w:color w:val="auto"/>
                <w:spacing w:val="-98"/>
                <w:highlight w:val="none"/>
                <w:u w:val="single" w:color="auto"/>
              </w:rPr>
              <w:t xml:space="preserve"> </w:t>
            </w:r>
            <w:r>
              <w:rPr>
                <w:rFonts w:hint="eastAsia"/>
                <w:color w:val="auto"/>
                <w:spacing w:val="4"/>
                <w:highlight w:val="none"/>
                <w:u w:val="single" w:color="auto"/>
                <w:lang w:val="en-US" w:eastAsia="zh-CN"/>
              </w:rPr>
              <w:t>1</w:t>
            </w:r>
            <w:r>
              <w:rPr>
                <w:color w:val="auto"/>
                <w:spacing w:val="4"/>
                <w:highlight w:val="none"/>
              </w:rPr>
              <w:t>日至投标文件递交截止日（近</w:t>
            </w:r>
            <w:r>
              <w:rPr>
                <w:color w:val="auto"/>
                <w:spacing w:val="-35"/>
                <w:highlight w:val="none"/>
              </w:rPr>
              <w:t xml:space="preserve"> </w:t>
            </w:r>
            <w:r>
              <w:rPr>
                <w:color w:val="auto"/>
                <w:spacing w:val="4"/>
                <w:highlight w:val="none"/>
              </w:rPr>
              <w:t>5</w:t>
            </w:r>
            <w:r>
              <w:rPr>
                <w:color w:val="auto"/>
                <w:highlight w:val="none"/>
              </w:rPr>
              <w:t>年</w:t>
            </w:r>
            <w:r>
              <w:rPr>
                <w:color w:val="auto"/>
                <w:spacing w:val="6"/>
                <w:highlight w:val="none"/>
              </w:rPr>
              <w:t>），</w:t>
            </w:r>
            <w:r>
              <w:rPr>
                <w:color w:val="auto"/>
                <w:spacing w:val="-60"/>
                <w:highlight w:val="none"/>
              </w:rPr>
              <w:t xml:space="preserve"> </w:t>
            </w:r>
            <w:r>
              <w:rPr>
                <w:color w:val="auto"/>
                <w:highlight w:val="none"/>
              </w:rPr>
              <w:t>以</w:t>
            </w:r>
          </w:p>
          <w:p w14:paraId="66456BB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7"/>
                <w:highlight w:val="none"/>
              </w:rPr>
              <w:t>□</w:t>
            </w:r>
            <w:r>
              <w:rPr>
                <w:color w:val="auto"/>
                <w:spacing w:val="7"/>
                <w:highlight w:val="none"/>
                <w:u w:val="single" w:color="auto"/>
              </w:rPr>
              <w:t>“全国公路建设市场监督管理系统</w:t>
            </w:r>
            <w:r>
              <w:rPr>
                <w:color w:val="auto"/>
                <w:spacing w:val="-70"/>
                <w:highlight w:val="none"/>
                <w:u w:val="single" w:color="auto"/>
              </w:rPr>
              <w:t xml:space="preserve"> </w:t>
            </w:r>
            <w:r>
              <w:rPr>
                <w:color w:val="auto"/>
                <w:spacing w:val="7"/>
                <w:highlight w:val="none"/>
                <w:u w:val="single" w:color="auto"/>
              </w:rPr>
              <w:t>”上的交</w:t>
            </w:r>
            <w:r>
              <w:rPr>
                <w:color w:val="auto"/>
                <w:spacing w:val="9"/>
                <w:highlight w:val="none"/>
                <w:u w:val="single" w:color="auto"/>
              </w:rPr>
              <w:t>工验收或未交工验收一次性竣工验收的时间为准。</w:t>
            </w:r>
          </w:p>
          <w:p w14:paraId="13E0637E">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spacing w:val="9"/>
                <w:highlight w:val="none"/>
                <w:lang w:eastAsia="zh-CN"/>
              </w:rPr>
              <w:t>☑</w:t>
            </w:r>
            <w:r>
              <w:rPr>
                <w:color w:val="auto"/>
                <w:spacing w:val="9"/>
                <w:highlight w:val="none"/>
                <w:u w:val="single" w:color="auto"/>
              </w:rPr>
              <w:t>“全国公路建设市场监督管理系统</w:t>
            </w:r>
            <w:r>
              <w:rPr>
                <w:color w:val="auto"/>
                <w:spacing w:val="-58"/>
                <w:highlight w:val="none"/>
                <w:u w:val="single" w:color="auto"/>
              </w:rPr>
              <w:t xml:space="preserve"> </w:t>
            </w:r>
            <w:r>
              <w:rPr>
                <w:color w:val="auto"/>
                <w:spacing w:val="9"/>
                <w:highlight w:val="none"/>
                <w:u w:val="single" w:color="auto"/>
              </w:rPr>
              <w:t>”或省级</w:t>
            </w:r>
            <w:r>
              <w:rPr>
                <w:color w:val="auto"/>
                <w:spacing w:val="15"/>
                <w:highlight w:val="none"/>
                <w:u w:val="single" w:color="auto"/>
              </w:rPr>
              <w:t>交通运输主管部门“公路建设市场监督管理系统</w:t>
            </w:r>
            <w:r>
              <w:rPr>
                <w:color w:val="auto"/>
                <w:spacing w:val="-68"/>
                <w:highlight w:val="none"/>
                <w:u w:val="single" w:color="auto"/>
              </w:rPr>
              <w:t xml:space="preserve"> </w:t>
            </w:r>
            <w:r>
              <w:rPr>
                <w:color w:val="auto"/>
                <w:spacing w:val="15"/>
                <w:highlight w:val="none"/>
                <w:u w:val="single" w:color="auto"/>
              </w:rPr>
              <w:t>”</w:t>
            </w:r>
            <w:r>
              <w:rPr>
                <w:color w:val="auto"/>
                <w:spacing w:val="12"/>
                <w:highlight w:val="none"/>
                <w:u w:val="single" w:color="auto"/>
              </w:rPr>
              <w:t>上的交工验收或未交工验收一次性竣工验收</w:t>
            </w:r>
            <w:r>
              <w:rPr>
                <w:color w:val="auto"/>
                <w:spacing w:val="11"/>
                <w:highlight w:val="none"/>
                <w:u w:val="single" w:color="auto"/>
              </w:rPr>
              <w:t>的时间</w:t>
            </w:r>
            <w:r>
              <w:rPr>
                <w:color w:val="auto"/>
                <w:spacing w:val="2"/>
                <w:highlight w:val="none"/>
                <w:u w:val="single" w:color="auto"/>
              </w:rPr>
              <w:t>为准</w:t>
            </w:r>
            <w:r>
              <w:rPr>
                <w:color w:val="auto"/>
                <w:spacing w:val="2"/>
                <w:highlight w:val="none"/>
              </w:rPr>
              <w:t>。</w:t>
            </w:r>
          </w:p>
          <w:p w14:paraId="04281192">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color w:val="auto"/>
                <w:spacing w:val="6"/>
                <w:highlight w:val="none"/>
              </w:rPr>
              <w:t>□</w:t>
            </w:r>
            <w:r>
              <w:rPr>
                <w:rFonts w:ascii="MingLiU-ExtB" w:hAnsi="MingLiU-ExtB" w:eastAsia="MingLiU-ExtB" w:cs="MingLiU-ExtB"/>
                <w:color w:val="auto"/>
                <w:highlight w:val="none"/>
                <w:u w:val="single" w:color="auto"/>
              </w:rPr>
              <w:t>XX</w:t>
            </w:r>
            <w:r>
              <w:rPr>
                <w:rFonts w:ascii="MingLiU-ExtB" w:hAnsi="MingLiU-ExtB" w:eastAsia="MingLiU-ExtB" w:cs="MingLiU-ExtB"/>
                <w:color w:val="auto"/>
                <w:spacing w:val="-32"/>
                <w:highlight w:val="none"/>
                <w:u w:val="single" w:color="auto"/>
              </w:rPr>
              <w:t xml:space="preserve"> </w:t>
            </w:r>
            <w:r>
              <w:rPr>
                <w:color w:val="auto"/>
                <w:spacing w:val="6"/>
                <w:highlight w:val="none"/>
                <w:u w:val="single" w:color="auto"/>
              </w:rPr>
              <w:t>证明材料签发时间为准</w:t>
            </w:r>
            <w:r>
              <w:rPr>
                <w:color w:val="auto"/>
                <w:spacing w:val="6"/>
                <w:highlight w:val="none"/>
              </w:rPr>
              <w:t>。</w:t>
            </w:r>
          </w:p>
        </w:tc>
      </w:tr>
      <w:tr w14:paraId="17052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805" w:hRule="atLeast"/>
        </w:trPr>
        <w:tc>
          <w:tcPr>
            <w:tcW w:w="1013" w:type="dxa"/>
            <w:vAlign w:val="center"/>
          </w:tcPr>
          <w:p w14:paraId="73BCCD2B">
            <w:pPr>
              <w:pStyle w:val="20"/>
              <w:spacing w:before="65" w:line="268" w:lineRule="exact"/>
              <w:jc w:val="center"/>
              <w:rPr>
                <w:color w:val="auto"/>
                <w:highlight w:val="none"/>
              </w:rPr>
            </w:pPr>
            <w:r>
              <w:rPr>
                <w:color w:val="auto"/>
                <w:spacing w:val="2"/>
                <w:position w:val="1"/>
                <w:highlight w:val="none"/>
              </w:rPr>
              <w:t>3.6.1</w:t>
            </w:r>
          </w:p>
        </w:tc>
        <w:tc>
          <w:tcPr>
            <w:tcW w:w="2877" w:type="dxa"/>
            <w:vAlign w:val="center"/>
          </w:tcPr>
          <w:p w14:paraId="7067CDC1">
            <w:pPr>
              <w:pStyle w:val="20"/>
              <w:spacing w:before="65" w:line="228" w:lineRule="auto"/>
              <w:jc w:val="center"/>
              <w:rPr>
                <w:color w:val="auto"/>
                <w:highlight w:val="none"/>
              </w:rPr>
            </w:pPr>
            <w:r>
              <w:rPr>
                <w:color w:val="auto"/>
                <w:spacing w:val="8"/>
                <w:highlight w:val="none"/>
              </w:rPr>
              <w:t>是否允许递交备选投标方案</w:t>
            </w:r>
          </w:p>
        </w:tc>
        <w:tc>
          <w:tcPr>
            <w:tcW w:w="5798" w:type="dxa"/>
            <w:vAlign w:val="center"/>
          </w:tcPr>
          <w:p w14:paraId="1CF082CE">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spacing w:val="2"/>
                <w:highlight w:val="none"/>
                <w:lang w:eastAsia="zh-CN"/>
              </w:rPr>
              <w:t>☑</w:t>
            </w:r>
            <w:r>
              <w:rPr>
                <w:color w:val="auto"/>
                <w:spacing w:val="2"/>
                <w:highlight w:val="none"/>
              </w:rPr>
              <w:t>不允许</w:t>
            </w:r>
            <w:r>
              <w:rPr>
                <w:color w:val="auto"/>
                <w:spacing w:val="-1"/>
                <w:highlight w:val="none"/>
              </w:rPr>
              <w:t>□允许</w:t>
            </w:r>
          </w:p>
        </w:tc>
      </w:tr>
      <w:tr w14:paraId="1E896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dxa"/>
          <w:trHeight w:val="5206" w:hRule="atLeast"/>
        </w:trPr>
        <w:tc>
          <w:tcPr>
            <w:tcW w:w="1013" w:type="dxa"/>
            <w:vAlign w:val="center"/>
          </w:tcPr>
          <w:p w14:paraId="6A578D68">
            <w:pPr>
              <w:pStyle w:val="20"/>
              <w:spacing w:before="65" w:line="267" w:lineRule="exact"/>
              <w:jc w:val="center"/>
              <w:rPr>
                <w:color w:val="auto"/>
                <w:highlight w:val="none"/>
              </w:rPr>
            </w:pPr>
            <w:r>
              <w:rPr>
                <w:color w:val="auto"/>
                <w:spacing w:val="2"/>
                <w:position w:val="1"/>
                <w:highlight w:val="none"/>
              </w:rPr>
              <w:t>3.7.4</w:t>
            </w:r>
          </w:p>
        </w:tc>
        <w:tc>
          <w:tcPr>
            <w:tcW w:w="2877" w:type="dxa"/>
            <w:vAlign w:val="center"/>
          </w:tcPr>
          <w:p w14:paraId="52955EA4">
            <w:pPr>
              <w:pStyle w:val="20"/>
              <w:spacing w:before="65" w:line="228" w:lineRule="auto"/>
              <w:jc w:val="center"/>
              <w:rPr>
                <w:color w:val="auto"/>
                <w:highlight w:val="none"/>
              </w:rPr>
            </w:pPr>
            <w:r>
              <w:rPr>
                <w:color w:val="auto"/>
                <w:spacing w:val="8"/>
                <w:highlight w:val="none"/>
              </w:rPr>
              <w:t>投标文件其他要求</w:t>
            </w:r>
          </w:p>
        </w:tc>
        <w:tc>
          <w:tcPr>
            <w:tcW w:w="5798" w:type="dxa"/>
            <w:vAlign w:val="center"/>
          </w:tcPr>
          <w:p w14:paraId="19AA3C7B">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投标文件的</w:t>
            </w:r>
            <w:r>
              <w:rPr>
                <w:rFonts w:hint="eastAsia"/>
                <w:color w:val="auto"/>
                <w:highlight w:val="none"/>
              </w:rPr>
              <w:t>页码起始从封面开始。</w:t>
            </w:r>
          </w:p>
          <w:p w14:paraId="5D8949E3">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rPr>
              <w:t>电子投标解密失败及突发情况的补救</w:t>
            </w:r>
          </w:p>
          <w:p w14:paraId="51E87601">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color w:val="auto"/>
                <w:highlight w:val="none"/>
              </w:rPr>
            </w:pPr>
            <w:r>
              <w:rPr>
                <w:rFonts w:hint="eastAsia"/>
                <w:color w:val="auto"/>
                <w:highlight w:val="none"/>
              </w:rPr>
              <w:t xml:space="preserve">按照交易平台关于全流程电子化项目的相关指引进行操作。详见：全国公共资源交易平台（广东省·韶关市）（https://ygp.gdzwfw.gov.cn/ggzy-portal/#/440200/index）交易指引栏目发布的最新版操作指引。  </w:t>
            </w:r>
          </w:p>
          <w:p w14:paraId="3698CE5C">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rFonts w:hint="eastAsia"/>
                <w:color w:val="auto"/>
                <w:highlight w:val="none"/>
              </w:rPr>
            </w:pPr>
            <w:r>
              <w:rPr>
                <w:rFonts w:hint="eastAsia"/>
                <w:color w:val="auto"/>
                <w:highlight w:val="none"/>
              </w:rPr>
              <w:t>在规定时间内，因投标人之外原因(指网络瘫痪、服务器损坏、交易系统故障短期无法恢复)等导致的电子投标文件解密失败，在开标现场解密环节由代理授权后，解密失败投标人可在规定时间（代理机构授权后30分钟内）</w:t>
            </w:r>
            <w:r>
              <w:rPr>
                <w:rFonts w:hint="eastAsia"/>
                <w:color w:val="auto"/>
                <w:highlight w:val="none"/>
                <w:lang w:eastAsia="zh-CN"/>
              </w:rPr>
              <w:t>内</w:t>
            </w:r>
            <w:r>
              <w:rPr>
                <w:rFonts w:hint="eastAsia"/>
                <w:color w:val="auto"/>
                <w:highlight w:val="none"/>
              </w:rPr>
              <w:t>在交易平台重新提交投标文件继续开标程序。</w:t>
            </w:r>
          </w:p>
          <w:p w14:paraId="46EB4F1D">
            <w:pPr>
              <w:pStyle w:val="20"/>
              <w:keepNext w:val="0"/>
              <w:keepLines w:val="0"/>
              <w:pageBreakBefore w:val="0"/>
              <w:widowControl/>
              <w:overflowPunct/>
              <w:bidi w:val="0"/>
              <w:adjustRightInd w:val="0"/>
              <w:snapToGrid w:val="0"/>
              <w:spacing w:line="288" w:lineRule="auto"/>
              <w:ind w:left="105" w:leftChars="50" w:right="42" w:rightChars="20" w:firstLine="0" w:firstLineChars="0"/>
              <w:jc w:val="both"/>
              <w:rPr>
                <w:color w:val="auto"/>
                <w:highlight w:val="none"/>
              </w:rPr>
            </w:pPr>
            <w:r>
              <w:rPr>
                <w:rFonts w:hint="eastAsia"/>
                <w:color w:val="auto"/>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tc>
      </w:tr>
      <w:tr w14:paraId="60574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1" w:hRule="atLeast"/>
        </w:trPr>
        <w:tc>
          <w:tcPr>
            <w:tcW w:w="1013" w:type="dxa"/>
            <w:vAlign w:val="center"/>
          </w:tcPr>
          <w:p w14:paraId="542D5D8D">
            <w:pPr>
              <w:pStyle w:val="20"/>
              <w:spacing w:before="65" w:line="268" w:lineRule="exact"/>
              <w:jc w:val="center"/>
              <w:rPr>
                <w:color w:val="auto"/>
                <w:highlight w:val="none"/>
              </w:rPr>
            </w:pPr>
            <w:r>
              <w:rPr>
                <w:color w:val="auto"/>
                <w:spacing w:val="1"/>
                <w:position w:val="1"/>
                <w:highlight w:val="none"/>
              </w:rPr>
              <w:t>5.1</w:t>
            </w:r>
          </w:p>
        </w:tc>
        <w:tc>
          <w:tcPr>
            <w:tcW w:w="2877" w:type="dxa"/>
            <w:vAlign w:val="center"/>
          </w:tcPr>
          <w:p w14:paraId="0E87E15E">
            <w:pPr>
              <w:pStyle w:val="20"/>
              <w:spacing w:before="65" w:line="228" w:lineRule="auto"/>
              <w:jc w:val="center"/>
              <w:rPr>
                <w:color w:val="auto"/>
                <w:highlight w:val="none"/>
              </w:rPr>
            </w:pPr>
            <w:r>
              <w:rPr>
                <w:color w:val="auto"/>
                <w:spacing w:val="8"/>
                <w:highlight w:val="none"/>
              </w:rPr>
              <w:t>开标时间和地点</w:t>
            </w:r>
          </w:p>
        </w:tc>
        <w:tc>
          <w:tcPr>
            <w:tcW w:w="5811" w:type="dxa"/>
            <w:gridSpan w:val="2"/>
            <w:vAlign w:val="center"/>
          </w:tcPr>
          <w:p w14:paraId="0EECE0D1">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jc w:val="both"/>
              <w:textAlignment w:val="baseline"/>
              <w:rPr>
                <w:rFonts w:hint="eastAsia"/>
                <w:color w:val="auto"/>
                <w:spacing w:val="6"/>
                <w:highlight w:val="none"/>
                <w:lang w:eastAsia="zh-CN"/>
              </w:rPr>
            </w:pPr>
            <w:r>
              <w:rPr>
                <w:color w:val="auto"/>
                <w:spacing w:val="19"/>
                <w:highlight w:val="none"/>
              </w:rPr>
              <w:t>投标文件第一个信封（商务及技术文件）</w:t>
            </w:r>
            <w:r>
              <w:rPr>
                <w:color w:val="auto"/>
                <w:spacing w:val="-38"/>
                <w:highlight w:val="none"/>
              </w:rPr>
              <w:t xml:space="preserve"> </w:t>
            </w:r>
            <w:r>
              <w:rPr>
                <w:color w:val="auto"/>
                <w:spacing w:val="19"/>
                <w:highlight w:val="none"/>
              </w:rPr>
              <w:t>开标时</w:t>
            </w:r>
            <w:r>
              <w:rPr>
                <w:color w:val="auto"/>
                <w:spacing w:val="6"/>
                <w:highlight w:val="none"/>
              </w:rPr>
              <w:t>间：</w:t>
            </w:r>
            <w:r>
              <w:rPr>
                <w:rFonts w:hint="eastAsia"/>
                <w:color w:val="auto"/>
                <w:spacing w:val="6"/>
                <w:highlight w:val="none"/>
              </w:rPr>
              <w:t>详见“重要事项时间地点一览表”</w:t>
            </w:r>
            <w:r>
              <w:rPr>
                <w:rFonts w:hint="eastAsia"/>
                <w:color w:val="auto"/>
                <w:spacing w:val="6"/>
                <w:highlight w:val="none"/>
                <w:lang w:eastAsia="zh-CN"/>
              </w:rPr>
              <w:t>。</w:t>
            </w:r>
          </w:p>
          <w:p w14:paraId="21A5A9FD">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jc w:val="both"/>
              <w:textAlignment w:val="baseline"/>
              <w:rPr>
                <w:rFonts w:hint="eastAsia"/>
                <w:color w:val="auto"/>
                <w:spacing w:val="7"/>
                <w:highlight w:val="none"/>
                <w:lang w:eastAsia="zh-CN"/>
              </w:rPr>
            </w:pPr>
            <w:r>
              <w:rPr>
                <w:color w:val="auto"/>
                <w:spacing w:val="19"/>
                <w:highlight w:val="none"/>
              </w:rPr>
              <w:t>投标文件第一个信封（商务及技术文件）</w:t>
            </w:r>
            <w:r>
              <w:rPr>
                <w:color w:val="auto"/>
                <w:spacing w:val="-38"/>
                <w:highlight w:val="none"/>
              </w:rPr>
              <w:t xml:space="preserve"> </w:t>
            </w:r>
            <w:r>
              <w:rPr>
                <w:color w:val="auto"/>
                <w:spacing w:val="19"/>
                <w:highlight w:val="none"/>
              </w:rPr>
              <w:t>开标地</w:t>
            </w:r>
            <w:r>
              <w:rPr>
                <w:color w:val="auto"/>
                <w:spacing w:val="7"/>
                <w:highlight w:val="none"/>
              </w:rPr>
              <w:t>点：</w:t>
            </w:r>
            <w:r>
              <w:rPr>
                <w:rFonts w:hint="eastAsia"/>
                <w:color w:val="auto"/>
                <w:spacing w:val="7"/>
                <w:highlight w:val="none"/>
              </w:rPr>
              <w:t>详见“重要事项时间地点一览表”</w:t>
            </w:r>
            <w:r>
              <w:rPr>
                <w:rFonts w:hint="eastAsia"/>
                <w:color w:val="auto"/>
                <w:spacing w:val="7"/>
                <w:highlight w:val="none"/>
                <w:lang w:eastAsia="zh-CN"/>
              </w:rPr>
              <w:t>。</w:t>
            </w:r>
          </w:p>
          <w:p w14:paraId="4075ED6B">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jc w:val="both"/>
              <w:textAlignment w:val="baseline"/>
              <w:rPr>
                <w:color w:val="auto"/>
                <w:highlight w:val="none"/>
              </w:rPr>
            </w:pPr>
            <w:r>
              <w:rPr>
                <w:color w:val="auto"/>
                <w:spacing w:val="8"/>
                <w:highlight w:val="none"/>
              </w:rPr>
              <w:t>投标文件第二个信封（报价文件）开标时间：</w:t>
            </w:r>
            <w:r>
              <w:rPr>
                <w:color w:val="auto"/>
                <w:spacing w:val="12"/>
                <w:highlight w:val="none"/>
                <w:u w:val="single" w:color="auto"/>
              </w:rPr>
              <w:t>第一个信封（商务及技术文件）评审结束后</w:t>
            </w:r>
            <w:r>
              <w:rPr>
                <w:color w:val="auto"/>
                <w:spacing w:val="13"/>
                <w:highlight w:val="none"/>
                <w:u w:val="single" w:color="auto"/>
              </w:rPr>
              <w:t>。</w:t>
            </w:r>
          </w:p>
          <w:p w14:paraId="756CB4A8">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42" w:rightChars="20" w:firstLine="0"/>
              <w:jc w:val="both"/>
              <w:textAlignment w:val="baseline"/>
              <w:rPr>
                <w:color w:val="auto"/>
                <w:highlight w:val="none"/>
              </w:rPr>
            </w:pPr>
            <w:r>
              <w:rPr>
                <w:color w:val="auto"/>
                <w:spacing w:val="6"/>
                <w:highlight w:val="none"/>
              </w:rPr>
              <w:t>投标文件第二个信封（报价文件）开标地点：</w:t>
            </w:r>
            <w:r>
              <w:rPr>
                <w:color w:val="auto"/>
                <w:spacing w:val="9"/>
                <w:highlight w:val="none"/>
                <w:u w:val="single" w:color="auto"/>
              </w:rPr>
              <w:t>同</w:t>
            </w:r>
            <w:r>
              <w:rPr>
                <w:color w:val="auto"/>
                <w:spacing w:val="19"/>
                <w:highlight w:val="none"/>
                <w:u w:val="single" w:color="auto"/>
              </w:rPr>
              <w:t>第一个信封（商务及技术文件）</w:t>
            </w:r>
            <w:r>
              <w:rPr>
                <w:color w:val="auto"/>
                <w:spacing w:val="-38"/>
                <w:highlight w:val="none"/>
                <w:u w:val="single" w:color="auto"/>
              </w:rPr>
              <w:t xml:space="preserve"> </w:t>
            </w:r>
            <w:r>
              <w:rPr>
                <w:color w:val="auto"/>
                <w:spacing w:val="19"/>
                <w:highlight w:val="none"/>
                <w:u w:val="single" w:color="auto"/>
              </w:rPr>
              <w:t>开标地</w:t>
            </w:r>
            <w:r>
              <w:rPr>
                <w:color w:val="auto"/>
                <w:spacing w:val="7"/>
                <w:highlight w:val="none"/>
                <w:u w:val="single" w:color="auto"/>
              </w:rPr>
              <w:t>点</w:t>
            </w:r>
            <w:r>
              <w:rPr>
                <w:rFonts w:hint="eastAsia"/>
                <w:color w:val="auto"/>
                <w:spacing w:val="7"/>
                <w:highlight w:val="none"/>
                <w:u w:val="single" w:color="auto"/>
                <w:lang w:eastAsia="zh-CN"/>
              </w:rPr>
              <w:t>，详见“重要事项时间地点一览表”</w:t>
            </w:r>
            <w:r>
              <w:rPr>
                <w:color w:val="auto"/>
                <w:spacing w:val="9"/>
                <w:highlight w:val="none"/>
                <w:u w:val="single" w:color="auto"/>
              </w:rPr>
              <w:t>。</w:t>
            </w:r>
          </w:p>
        </w:tc>
      </w:tr>
      <w:tr w14:paraId="7A84D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1013" w:type="dxa"/>
            <w:vAlign w:val="center"/>
          </w:tcPr>
          <w:p w14:paraId="69BAE44E">
            <w:pPr>
              <w:pStyle w:val="20"/>
              <w:spacing w:before="65" w:line="267" w:lineRule="exact"/>
              <w:jc w:val="center"/>
              <w:rPr>
                <w:color w:val="auto"/>
                <w:highlight w:val="none"/>
              </w:rPr>
            </w:pPr>
            <w:r>
              <w:rPr>
                <w:color w:val="auto"/>
                <w:spacing w:val="2"/>
                <w:position w:val="1"/>
                <w:highlight w:val="none"/>
              </w:rPr>
              <w:t>6.1.1</w:t>
            </w:r>
          </w:p>
        </w:tc>
        <w:tc>
          <w:tcPr>
            <w:tcW w:w="2877" w:type="dxa"/>
            <w:vAlign w:val="center"/>
          </w:tcPr>
          <w:p w14:paraId="40D08AC4">
            <w:pPr>
              <w:pStyle w:val="20"/>
              <w:spacing w:before="65" w:line="266" w:lineRule="exact"/>
              <w:jc w:val="center"/>
              <w:rPr>
                <w:color w:val="auto"/>
                <w:sz w:val="10"/>
                <w:szCs w:val="10"/>
                <w:highlight w:val="none"/>
              </w:rPr>
            </w:pPr>
            <w:r>
              <w:rPr>
                <w:color w:val="auto"/>
                <w:spacing w:val="8"/>
                <w:highlight w:val="none"/>
              </w:rPr>
              <w:t>评标委员会的组建</w:t>
            </w:r>
          </w:p>
        </w:tc>
        <w:tc>
          <w:tcPr>
            <w:tcW w:w="5811" w:type="dxa"/>
            <w:gridSpan w:val="2"/>
            <w:vAlign w:val="center"/>
          </w:tcPr>
          <w:p w14:paraId="58DE5E8A">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14"/>
                <w:highlight w:val="none"/>
              </w:rPr>
              <w:t>评标委员会构成：</w:t>
            </w:r>
            <w:r>
              <w:rPr>
                <w:color w:val="auto"/>
                <w:spacing w:val="-65"/>
                <w:highlight w:val="none"/>
              </w:rPr>
              <w:t xml:space="preserve"> </w:t>
            </w:r>
            <w:r>
              <w:rPr>
                <w:color w:val="auto"/>
                <w:spacing w:val="12"/>
                <w:highlight w:val="none"/>
                <w:u w:val="single" w:color="auto"/>
              </w:rPr>
              <w:t xml:space="preserve"> </w:t>
            </w:r>
            <w:r>
              <w:rPr>
                <w:rFonts w:hint="eastAsia"/>
                <w:color w:val="auto"/>
                <w:spacing w:val="12"/>
                <w:highlight w:val="none"/>
                <w:u w:val="single" w:color="auto"/>
                <w:lang w:val="en-US" w:eastAsia="zh-CN"/>
              </w:rPr>
              <w:t>7</w:t>
            </w:r>
            <w:r>
              <w:rPr>
                <w:color w:val="auto"/>
                <w:spacing w:val="12"/>
                <w:highlight w:val="none"/>
                <w:u w:val="single" w:color="auto"/>
              </w:rPr>
              <w:t xml:space="preserve"> </w:t>
            </w:r>
            <w:r>
              <w:rPr>
                <w:color w:val="auto"/>
                <w:spacing w:val="-89"/>
                <w:highlight w:val="none"/>
              </w:rPr>
              <w:t xml:space="preserve"> </w:t>
            </w:r>
            <w:r>
              <w:rPr>
                <w:color w:val="auto"/>
                <w:spacing w:val="14"/>
                <w:highlight w:val="none"/>
              </w:rPr>
              <w:t>人，评标委员会由招标人代</w:t>
            </w:r>
            <w:r>
              <w:rPr>
                <w:color w:val="auto"/>
                <w:spacing w:val="12"/>
                <w:highlight w:val="none"/>
              </w:rPr>
              <w:t>表和有关专家组成，其中技术、经济等方面的专家</w:t>
            </w:r>
            <w:r>
              <w:rPr>
                <w:color w:val="auto"/>
                <w:spacing w:val="8"/>
                <w:highlight w:val="none"/>
              </w:rPr>
              <w:t>不得少于成员总数的三分之二；</w:t>
            </w:r>
          </w:p>
          <w:p w14:paraId="5BC01C48">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color w:val="auto"/>
                <w:spacing w:val="12"/>
                <w:highlight w:val="none"/>
              </w:rPr>
            </w:pPr>
            <w:r>
              <w:rPr>
                <w:color w:val="auto"/>
                <w:spacing w:val="12"/>
                <w:highlight w:val="none"/>
              </w:rPr>
              <w:t>评标专家确定方式：</w:t>
            </w:r>
            <w:r>
              <w:rPr>
                <w:rFonts w:hint="eastAsia"/>
                <w:color w:val="auto"/>
                <w:spacing w:val="12"/>
                <w:highlight w:val="none"/>
                <w:lang w:val="en-US" w:eastAsia="zh-CN"/>
              </w:rPr>
              <w:t>依法</w:t>
            </w:r>
            <w:r>
              <w:rPr>
                <w:rFonts w:hint="eastAsia"/>
                <w:color w:val="auto"/>
                <w:spacing w:val="12"/>
                <w:highlight w:val="none"/>
              </w:rPr>
              <w:t>从</w:t>
            </w:r>
            <w:r>
              <w:rPr>
                <w:rFonts w:hint="eastAsia"/>
                <w:color w:val="auto"/>
                <w:spacing w:val="12"/>
                <w:highlight w:val="none"/>
                <w:lang w:eastAsia="zh-CN"/>
              </w:rPr>
              <w:t>广东省综合评标评审专家库（</w:t>
            </w:r>
            <w:r>
              <w:rPr>
                <w:rFonts w:hint="eastAsia"/>
                <w:color w:val="auto"/>
                <w:spacing w:val="12"/>
                <w:highlight w:val="none"/>
                <w:lang w:val="en-US" w:eastAsia="zh-CN"/>
              </w:rPr>
              <w:t>韶关区域及异地专家所属区域</w:t>
            </w:r>
            <w:r>
              <w:rPr>
                <w:rFonts w:hint="eastAsia"/>
                <w:color w:val="auto"/>
                <w:spacing w:val="12"/>
                <w:highlight w:val="none"/>
                <w:lang w:eastAsia="zh-CN"/>
              </w:rPr>
              <w:t>）</w:t>
            </w:r>
            <w:r>
              <w:rPr>
                <w:rFonts w:hint="eastAsia"/>
                <w:color w:val="auto"/>
                <w:spacing w:val="12"/>
                <w:highlight w:val="none"/>
              </w:rPr>
              <w:t>随机抽取</w:t>
            </w:r>
          </w:p>
          <w:p w14:paraId="1114E598">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color w:val="auto"/>
                <w:spacing w:val="12"/>
                <w:highlight w:val="none"/>
              </w:rPr>
            </w:pPr>
            <w:r>
              <w:rPr>
                <w:rFonts w:hint="eastAsia" w:ascii="宋体" w:hAnsi="宋体" w:eastAsia="宋体" w:cs="宋体"/>
                <w:color w:val="auto"/>
                <w:sz w:val="21"/>
                <w:szCs w:val="21"/>
                <w:highlight w:val="none"/>
                <w:lang w:val="en-US" w:eastAsia="zh-CN"/>
              </w:rPr>
              <w:t>本项目根据《广东省发展和改革委员会等部门关于印发广东省远程异地评标招标项目范围规定（试行）的通知》(粤发改规〔2026〕8号)文件要求，采用远程异地评审方式。其中</w:t>
            </w:r>
            <w:r>
              <w:rPr>
                <w:rFonts w:hint="eastAsia"/>
                <w:color w:val="auto"/>
                <w:spacing w:val="12"/>
                <w:highlight w:val="none"/>
                <w:lang w:val="en-US" w:eastAsia="zh-CN"/>
              </w:rPr>
              <w:t>异地专家所属区域</w:t>
            </w:r>
            <w:r>
              <w:rPr>
                <w:rFonts w:hint="eastAsia" w:ascii="宋体" w:hAnsi="宋体" w:eastAsia="宋体" w:cs="宋体"/>
                <w:color w:val="auto"/>
                <w:sz w:val="21"/>
                <w:szCs w:val="21"/>
                <w:highlight w:val="none"/>
                <w:lang w:val="en-US" w:eastAsia="zh-CN"/>
              </w:rPr>
              <w:t>，待项目与异地公共资源交易中心完成评审场地对接确认后确定。</w:t>
            </w:r>
          </w:p>
        </w:tc>
      </w:tr>
      <w:tr w14:paraId="75913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13" w:type="dxa"/>
            <w:vAlign w:val="center"/>
          </w:tcPr>
          <w:p w14:paraId="474B940E">
            <w:pPr>
              <w:pStyle w:val="20"/>
              <w:spacing w:before="65" w:line="268" w:lineRule="exact"/>
              <w:jc w:val="center"/>
              <w:rPr>
                <w:color w:val="auto"/>
                <w:highlight w:val="none"/>
              </w:rPr>
            </w:pPr>
            <w:r>
              <w:rPr>
                <w:color w:val="auto"/>
                <w:spacing w:val="2"/>
                <w:position w:val="1"/>
                <w:highlight w:val="none"/>
              </w:rPr>
              <w:t>6.3.2</w:t>
            </w:r>
          </w:p>
        </w:tc>
        <w:tc>
          <w:tcPr>
            <w:tcW w:w="2877" w:type="dxa"/>
            <w:vAlign w:val="center"/>
          </w:tcPr>
          <w:p w14:paraId="076F6684">
            <w:pPr>
              <w:pStyle w:val="20"/>
              <w:spacing w:before="139" w:line="227" w:lineRule="auto"/>
              <w:jc w:val="center"/>
              <w:rPr>
                <w:color w:val="auto"/>
                <w:highlight w:val="none"/>
              </w:rPr>
            </w:pPr>
            <w:r>
              <w:rPr>
                <w:color w:val="auto"/>
                <w:spacing w:val="9"/>
                <w:highlight w:val="none"/>
              </w:rPr>
              <w:t>评标委员会推荐</w:t>
            </w:r>
            <w:r>
              <w:rPr>
                <w:rFonts w:hint="eastAsia"/>
                <w:color w:val="auto"/>
                <w:spacing w:val="9"/>
                <w:highlight w:val="none"/>
                <w:lang w:eastAsia="zh-CN"/>
              </w:rPr>
              <w:t>定</w:t>
            </w:r>
            <w:r>
              <w:rPr>
                <w:color w:val="auto"/>
                <w:spacing w:val="9"/>
                <w:highlight w:val="none"/>
              </w:rPr>
              <w:t>标候选人</w:t>
            </w:r>
            <w:r>
              <w:rPr>
                <w:color w:val="auto"/>
                <w:spacing w:val="1"/>
                <w:highlight w:val="none"/>
              </w:rPr>
              <w:t>的人数</w:t>
            </w:r>
          </w:p>
        </w:tc>
        <w:tc>
          <w:tcPr>
            <w:tcW w:w="5811" w:type="dxa"/>
            <w:gridSpan w:val="2"/>
            <w:vAlign w:val="center"/>
          </w:tcPr>
          <w:p w14:paraId="168FD198">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rFonts w:hint="eastAsia"/>
                <w:color w:val="auto"/>
                <w:spacing w:val="-21"/>
                <w:highlight w:val="none"/>
                <w:lang w:val="en-US" w:eastAsia="zh-CN"/>
              </w:rPr>
              <w:t>5</w:t>
            </w:r>
            <w:r>
              <w:rPr>
                <w:color w:val="auto"/>
                <w:spacing w:val="-29"/>
                <w:highlight w:val="none"/>
              </w:rPr>
              <w:t xml:space="preserve"> </w:t>
            </w:r>
            <w:r>
              <w:rPr>
                <w:color w:val="auto"/>
                <w:spacing w:val="14"/>
                <w:highlight w:val="none"/>
              </w:rPr>
              <w:t>名（</w:t>
            </w:r>
            <w:r>
              <w:rPr>
                <w:rFonts w:hint="eastAsia"/>
                <w:color w:val="auto"/>
                <w:spacing w:val="14"/>
                <w:highlight w:val="none"/>
                <w:lang w:val="en-US" w:eastAsia="zh-CN"/>
              </w:rPr>
              <w:t>当有效投标人数量不足5名但满足法定要求时，所有通过评审的有效投标人均应作为定标候选人</w:t>
            </w:r>
            <w:r>
              <w:rPr>
                <w:color w:val="auto"/>
                <w:spacing w:val="14"/>
                <w:highlight w:val="none"/>
              </w:rPr>
              <w:t>）</w:t>
            </w:r>
          </w:p>
        </w:tc>
      </w:tr>
      <w:tr w14:paraId="27E81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1" w:hRule="atLeast"/>
        </w:trPr>
        <w:tc>
          <w:tcPr>
            <w:tcW w:w="1013" w:type="dxa"/>
            <w:vAlign w:val="center"/>
          </w:tcPr>
          <w:p w14:paraId="7A258664">
            <w:pPr>
              <w:pStyle w:val="20"/>
              <w:spacing w:before="65" w:line="268" w:lineRule="exact"/>
              <w:jc w:val="center"/>
              <w:rPr>
                <w:color w:val="auto"/>
                <w:highlight w:val="none"/>
              </w:rPr>
            </w:pPr>
            <w:r>
              <w:rPr>
                <w:color w:val="auto"/>
                <w:position w:val="1"/>
                <w:highlight w:val="none"/>
              </w:rPr>
              <w:t>7.1</w:t>
            </w:r>
          </w:p>
        </w:tc>
        <w:tc>
          <w:tcPr>
            <w:tcW w:w="2877" w:type="dxa"/>
            <w:vAlign w:val="center"/>
          </w:tcPr>
          <w:p w14:paraId="6F322E6B">
            <w:pPr>
              <w:pStyle w:val="20"/>
              <w:spacing w:before="65" w:line="227" w:lineRule="auto"/>
              <w:jc w:val="center"/>
              <w:rPr>
                <w:color w:val="auto"/>
                <w:highlight w:val="none"/>
              </w:rPr>
            </w:pPr>
            <w:r>
              <w:rPr>
                <w:rFonts w:hint="eastAsia"/>
                <w:color w:val="auto"/>
                <w:spacing w:val="7"/>
                <w:highlight w:val="none"/>
                <w:lang w:eastAsia="zh-CN"/>
              </w:rPr>
              <w:t>定</w:t>
            </w:r>
            <w:r>
              <w:rPr>
                <w:color w:val="auto"/>
                <w:spacing w:val="7"/>
                <w:highlight w:val="none"/>
              </w:rPr>
              <w:t>标候选人公示媒介及期限</w:t>
            </w:r>
          </w:p>
        </w:tc>
        <w:tc>
          <w:tcPr>
            <w:tcW w:w="5811" w:type="dxa"/>
            <w:gridSpan w:val="2"/>
            <w:vAlign w:val="center"/>
          </w:tcPr>
          <w:p w14:paraId="6E0A8E2D">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color w:val="auto"/>
                <w:highlight w:val="none"/>
                <w:u w:val="single"/>
                <w:lang w:eastAsia="zh-CN"/>
              </w:rPr>
            </w:pPr>
            <w:r>
              <w:rPr>
                <w:rFonts w:hint="eastAsia"/>
                <w:color w:val="auto"/>
                <w:highlight w:val="none"/>
              </w:rPr>
              <w:t>公示媒介：</w:t>
            </w:r>
            <w:r>
              <w:rPr>
                <w:rFonts w:hint="eastAsia"/>
                <w:color w:val="auto"/>
                <w:highlight w:val="none"/>
                <w:u w:val="single"/>
              </w:rPr>
              <w:t>广东省招标投标监管网（</w:t>
            </w:r>
            <w:r>
              <w:rPr>
                <w:rFonts w:hint="eastAsia"/>
                <w:color w:val="auto"/>
                <w:highlight w:val="none"/>
                <w:u w:val="single"/>
                <w:lang w:eastAsia="zh-CN"/>
              </w:rPr>
              <w:t>http://zbtb.gd.gov.cn</w:t>
            </w:r>
            <w:r>
              <w:rPr>
                <w:rFonts w:hint="eastAsia"/>
                <w:color w:val="auto"/>
                <w:highlight w:val="none"/>
                <w:u w:val="single"/>
              </w:rPr>
              <w:t>）、</w:t>
            </w:r>
            <w:r>
              <w:rPr>
                <w:rFonts w:hint="eastAsia"/>
                <w:color w:val="auto"/>
                <w:highlight w:val="none"/>
                <w:u w:val="single"/>
                <w:lang w:eastAsia="zh-CN"/>
              </w:rPr>
              <w:t>全国公共资源交易平台 （广东省·韶关市）（https://ygp.gdzwfw.gov.cn/ggzy-portal/#/440200/index）</w:t>
            </w:r>
          </w:p>
          <w:p w14:paraId="17F85A36">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rFonts w:hint="eastAsia"/>
                <w:color w:val="auto"/>
                <w:highlight w:val="none"/>
              </w:rPr>
              <w:t>公示期限：</w:t>
            </w:r>
            <w:r>
              <w:rPr>
                <w:rFonts w:hint="eastAsia"/>
                <w:color w:val="auto"/>
                <w:highlight w:val="none"/>
                <w:u w:val="single"/>
              </w:rPr>
              <w:t xml:space="preserve"> 3 </w:t>
            </w:r>
            <w:r>
              <w:rPr>
                <w:rFonts w:hint="eastAsia"/>
                <w:color w:val="auto"/>
                <w:highlight w:val="none"/>
              </w:rPr>
              <w:t>日</w:t>
            </w:r>
          </w:p>
          <w:p w14:paraId="4B84ED96">
            <w:pPr>
              <w:pStyle w:val="20"/>
              <w:keepNext w:val="0"/>
              <w:keepLines w:val="0"/>
              <w:pageBreakBefore w:val="0"/>
              <w:widowControl/>
              <w:wordWrap/>
              <w:overflowPunct/>
              <w:topLinePunct w:val="0"/>
              <w:bidi w:val="0"/>
              <w:spacing w:line="288" w:lineRule="auto"/>
              <w:ind w:left="105" w:leftChars="50" w:right="42" w:rightChars="20" w:firstLine="0" w:firstLineChars="0"/>
              <w:jc w:val="both"/>
              <w:rPr>
                <w:color w:val="auto"/>
                <w:highlight w:val="none"/>
              </w:rPr>
            </w:pPr>
            <w:r>
              <w:rPr>
                <w:rFonts w:hint="eastAsia"/>
                <w:color w:val="auto"/>
                <w:highlight w:val="none"/>
              </w:rPr>
              <w:t>公示的其他内容：</w:t>
            </w:r>
            <w:r>
              <w:rPr>
                <w:rFonts w:hint="eastAsia"/>
                <w:color w:val="auto"/>
                <w:highlight w:val="none"/>
                <w:u w:val="single"/>
                <w:lang w:eastAsia="zh-CN"/>
              </w:rPr>
              <w:t>定标候选人的投标文件、评标报告（含资审结果）、最新一年度 AA、A 级投标人的信用等级使用情况</w:t>
            </w:r>
            <w:r>
              <w:rPr>
                <w:rFonts w:hint="eastAsia"/>
                <w:color w:val="auto"/>
                <w:highlight w:val="none"/>
                <w:u w:val="single"/>
              </w:rPr>
              <w:t>及所有承诺使用最新</w:t>
            </w:r>
            <w:r>
              <w:rPr>
                <w:rFonts w:hint="eastAsia"/>
                <w:color w:val="auto"/>
                <w:highlight w:val="none"/>
                <w:u w:val="single"/>
                <w:lang w:eastAsia="zh-CN"/>
              </w:rPr>
              <w:t>一</w:t>
            </w:r>
            <w:r>
              <w:rPr>
                <w:rFonts w:hint="eastAsia"/>
                <w:color w:val="auto"/>
                <w:highlight w:val="none"/>
                <w:u w:val="single"/>
              </w:rPr>
              <w:t>年度AA、A级投标人的年度信用等级使用情况。</w:t>
            </w:r>
          </w:p>
        </w:tc>
      </w:tr>
      <w:tr w14:paraId="5B84A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13" w:type="dxa"/>
            <w:vAlign w:val="center"/>
          </w:tcPr>
          <w:p w14:paraId="4ADBA961">
            <w:pPr>
              <w:pStyle w:val="20"/>
              <w:spacing w:before="65" w:line="267" w:lineRule="exact"/>
              <w:jc w:val="center"/>
              <w:rPr>
                <w:color w:val="auto"/>
                <w:highlight w:val="none"/>
              </w:rPr>
            </w:pPr>
            <w:r>
              <w:rPr>
                <w:color w:val="auto"/>
                <w:position w:val="1"/>
                <w:highlight w:val="none"/>
              </w:rPr>
              <w:t>7.4</w:t>
            </w:r>
          </w:p>
        </w:tc>
        <w:tc>
          <w:tcPr>
            <w:tcW w:w="2877" w:type="dxa"/>
            <w:vAlign w:val="center"/>
          </w:tcPr>
          <w:p w14:paraId="2F92B72D">
            <w:pPr>
              <w:pStyle w:val="20"/>
              <w:keepNext w:val="0"/>
              <w:keepLines w:val="0"/>
              <w:pageBreakBefore w:val="0"/>
              <w:widowControl/>
              <w:kinsoku w:val="0"/>
              <w:wordWrap/>
              <w:overflowPunct/>
              <w:topLinePunct w:val="0"/>
              <w:autoSpaceDE w:val="0"/>
              <w:autoSpaceDN w:val="0"/>
              <w:bidi w:val="0"/>
              <w:adjustRightInd w:val="0"/>
              <w:snapToGrid w:val="0"/>
              <w:spacing w:line="340" w:lineRule="exact"/>
              <w:ind w:left="0" w:leftChars="0"/>
              <w:jc w:val="center"/>
              <w:textAlignment w:val="baseline"/>
              <w:rPr>
                <w:color w:val="auto"/>
                <w:highlight w:val="none"/>
              </w:rPr>
            </w:pPr>
            <w:r>
              <w:rPr>
                <w:color w:val="auto"/>
                <w:spacing w:val="8"/>
                <w:highlight w:val="none"/>
              </w:rPr>
              <w:t>确定中</w:t>
            </w:r>
            <w:r>
              <w:rPr>
                <w:color w:val="auto"/>
                <w:spacing w:val="4"/>
                <w:highlight w:val="none"/>
              </w:rPr>
              <w:t>标人</w:t>
            </w:r>
            <w:r>
              <w:rPr>
                <w:rFonts w:hint="eastAsia"/>
                <w:color w:val="auto"/>
                <w:spacing w:val="4"/>
                <w:highlight w:val="none"/>
                <w:lang w:eastAsia="zh-CN"/>
              </w:rPr>
              <w:t>的方式</w:t>
            </w:r>
          </w:p>
        </w:tc>
        <w:tc>
          <w:tcPr>
            <w:tcW w:w="5811" w:type="dxa"/>
            <w:gridSpan w:val="2"/>
            <w:vAlign w:val="center"/>
          </w:tcPr>
          <w:p w14:paraId="30E009AC">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leftChars="50" w:right="6" w:rightChars="0"/>
              <w:jc w:val="both"/>
              <w:textAlignment w:val="baseline"/>
              <w:rPr>
                <w:rFonts w:hint="eastAsia" w:eastAsia="宋体"/>
                <w:color w:val="auto"/>
                <w:spacing w:val="-5"/>
                <w:highlight w:val="none"/>
                <w:lang w:eastAsia="zh-CN"/>
              </w:rPr>
            </w:pPr>
            <w:r>
              <w:rPr>
                <w:color w:val="auto"/>
                <w:spacing w:val="-5"/>
                <w:highlight w:val="none"/>
              </w:rPr>
              <w:t>□</w:t>
            </w:r>
            <w:r>
              <w:rPr>
                <w:rFonts w:hint="eastAsia"/>
                <w:color w:val="auto"/>
                <w:spacing w:val="-5"/>
                <w:highlight w:val="none"/>
                <w:lang w:eastAsia="zh-CN"/>
              </w:rPr>
              <w:t>授权评标委员会确定中标人</w:t>
            </w:r>
          </w:p>
          <w:p w14:paraId="0CDAB22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leftChars="50" w:right="6" w:rightChars="0"/>
              <w:jc w:val="both"/>
              <w:textAlignment w:val="baseline"/>
              <w:rPr>
                <w:color w:val="auto"/>
                <w:highlight w:val="none"/>
              </w:rPr>
            </w:pPr>
            <w:r>
              <w:rPr>
                <w:rFonts w:hint="eastAsia"/>
                <w:color w:val="auto"/>
                <w:spacing w:val="-5"/>
                <w:highlight w:val="none"/>
                <w:lang w:eastAsia="zh-CN"/>
              </w:rPr>
              <w:t>☑</w:t>
            </w:r>
            <w:r>
              <w:rPr>
                <w:rFonts w:hint="eastAsia"/>
                <w:color w:val="auto"/>
                <w:spacing w:val="-5"/>
                <w:highlight w:val="none"/>
              </w:rPr>
              <w:t>由</w:t>
            </w:r>
            <w:r>
              <w:rPr>
                <w:rFonts w:hint="eastAsia"/>
                <w:color w:val="auto"/>
                <w:spacing w:val="-5"/>
                <w:highlight w:val="none"/>
                <w:lang w:eastAsia="zh-CN"/>
              </w:rPr>
              <w:t>招标人组建的</w:t>
            </w:r>
            <w:r>
              <w:rPr>
                <w:rFonts w:hint="eastAsia"/>
                <w:color w:val="auto"/>
                <w:spacing w:val="-5"/>
                <w:highlight w:val="none"/>
              </w:rPr>
              <w:t>定标委员会确定中标人。</w:t>
            </w:r>
          </w:p>
        </w:tc>
      </w:tr>
      <w:tr w14:paraId="71C59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013" w:type="dxa"/>
            <w:vAlign w:val="center"/>
          </w:tcPr>
          <w:p w14:paraId="58D10DFA">
            <w:pPr>
              <w:pStyle w:val="20"/>
              <w:spacing w:before="65" w:line="268" w:lineRule="exact"/>
              <w:jc w:val="center"/>
              <w:rPr>
                <w:b w:val="0"/>
                <w:bCs w:val="0"/>
                <w:color w:val="auto"/>
                <w:position w:val="1"/>
                <w:highlight w:val="none"/>
              </w:rPr>
            </w:pPr>
            <w:r>
              <w:rPr>
                <w:rFonts w:hint="eastAsia" w:ascii="宋体" w:hAnsi="宋体" w:eastAsia="宋体" w:cs="宋体"/>
                <w:b w:val="0"/>
                <w:bCs w:val="0"/>
                <w:color w:val="auto"/>
                <w:kern w:val="0"/>
                <w:sz w:val="20"/>
                <w:szCs w:val="16"/>
                <w:highlight w:val="none"/>
                <w:lang w:val="en-US" w:eastAsia="zh-CN"/>
              </w:rPr>
              <w:t>7.4.</w:t>
            </w:r>
            <w:r>
              <w:rPr>
                <w:rStyle w:val="27"/>
                <w:rFonts w:hint="eastAsia" w:ascii="宋体" w:hAnsi="宋体" w:eastAsia="宋体" w:cs="宋体"/>
                <w:b w:val="0"/>
                <w:bCs w:val="0"/>
                <w:color w:val="auto"/>
                <w:kern w:val="0"/>
                <w:sz w:val="20"/>
                <w:szCs w:val="20"/>
                <w:highlight w:val="none"/>
                <w:lang w:val="en-US" w:eastAsia="zh-CN"/>
              </w:rPr>
              <w:t>2</w:t>
            </w:r>
          </w:p>
        </w:tc>
        <w:tc>
          <w:tcPr>
            <w:tcW w:w="2877" w:type="dxa"/>
            <w:vAlign w:val="center"/>
          </w:tcPr>
          <w:p w14:paraId="6BF86620">
            <w:pPr>
              <w:pStyle w:val="20"/>
              <w:spacing w:before="65" w:line="372" w:lineRule="auto"/>
              <w:ind w:right="180"/>
              <w:jc w:val="center"/>
              <w:rPr>
                <w:b w:val="0"/>
                <w:bCs w:val="0"/>
                <w:color w:val="auto"/>
                <w:spacing w:val="7"/>
                <w:highlight w:val="none"/>
              </w:rPr>
            </w:pPr>
            <w:r>
              <w:rPr>
                <w:rStyle w:val="27"/>
                <w:rFonts w:hint="eastAsia" w:ascii="宋体" w:hAnsi="宋体" w:eastAsia="宋体" w:cs="宋体"/>
                <w:b w:val="0"/>
                <w:bCs w:val="0"/>
                <w:color w:val="auto"/>
                <w:kern w:val="0"/>
                <w:sz w:val="20"/>
                <w:szCs w:val="20"/>
                <w:highlight w:val="none"/>
                <w:lang w:eastAsia="zh-CN"/>
              </w:rPr>
              <w:t>定标委员会成员数量</w:t>
            </w:r>
          </w:p>
        </w:tc>
        <w:tc>
          <w:tcPr>
            <w:tcW w:w="5811" w:type="dxa"/>
            <w:gridSpan w:val="2"/>
            <w:vAlign w:val="center"/>
          </w:tcPr>
          <w:p w14:paraId="3CE1BE11">
            <w:pPr>
              <w:pStyle w:val="20"/>
              <w:keepNext w:val="0"/>
              <w:keepLines w:val="0"/>
              <w:pageBreakBefore w:val="0"/>
              <w:widowControl/>
              <w:wordWrap/>
              <w:overflowPunct/>
              <w:topLinePunct w:val="0"/>
              <w:bidi w:val="0"/>
              <w:spacing w:line="288" w:lineRule="auto"/>
              <w:ind w:left="105" w:leftChars="50" w:right="42" w:rightChars="20" w:firstLine="0"/>
              <w:jc w:val="both"/>
              <w:rPr>
                <w:color w:val="auto"/>
                <w:spacing w:val="9"/>
                <w:highlight w:val="none"/>
              </w:rPr>
            </w:pPr>
            <w:r>
              <w:rPr>
                <w:rFonts w:hint="eastAsia" w:ascii="宋体" w:hAnsi="宋体" w:eastAsia="宋体" w:cs="宋体"/>
                <w:color w:val="auto"/>
                <w:sz w:val="21"/>
                <w:szCs w:val="21"/>
                <w:highlight w:val="none"/>
                <w:u w:val="none"/>
                <w:lang w:val="en-US" w:eastAsia="zh-CN"/>
              </w:rPr>
              <w:t>本</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u w:val="none"/>
              </w:rPr>
              <w:t>定标委员会</w:t>
            </w:r>
            <w:r>
              <w:rPr>
                <w:rFonts w:hint="eastAsia" w:ascii="宋体" w:hAnsi="宋体" w:eastAsia="宋体" w:cs="宋体"/>
                <w:color w:val="auto"/>
                <w:sz w:val="21"/>
                <w:szCs w:val="21"/>
                <w:highlight w:val="none"/>
                <w:u w:val="none"/>
                <w:lang w:eastAsia="zh-CN"/>
              </w:rPr>
              <w:t>组成人</w:t>
            </w:r>
            <w:r>
              <w:rPr>
                <w:rFonts w:hint="eastAsia" w:ascii="宋体" w:hAnsi="宋体" w:eastAsia="宋体" w:cs="宋体"/>
                <w:color w:val="auto"/>
                <w:sz w:val="21"/>
                <w:szCs w:val="21"/>
                <w:highlight w:val="none"/>
                <w:u w:val="none"/>
              </w:rPr>
              <w:t>员为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7 </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none"/>
                <w:lang w:eastAsia="zh-CN"/>
              </w:rPr>
              <w:t>。</w:t>
            </w:r>
          </w:p>
        </w:tc>
      </w:tr>
      <w:tr w14:paraId="3424A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1013" w:type="dxa"/>
            <w:vAlign w:val="center"/>
          </w:tcPr>
          <w:p w14:paraId="15CF85FD">
            <w:pPr>
              <w:pStyle w:val="20"/>
              <w:spacing w:before="65" w:line="268" w:lineRule="exact"/>
              <w:jc w:val="center"/>
              <w:rPr>
                <w:rStyle w:val="27"/>
                <w:rFonts w:hint="eastAsia" w:ascii="宋体" w:hAnsi="宋体" w:eastAsia="宋体" w:cs="宋体"/>
                <w:b w:val="0"/>
                <w:bCs w:val="0"/>
                <w:color w:val="auto"/>
                <w:kern w:val="0"/>
                <w:sz w:val="20"/>
                <w:szCs w:val="20"/>
                <w:highlight w:val="none"/>
                <w:lang w:eastAsia="zh-CN"/>
              </w:rPr>
            </w:pPr>
            <w:r>
              <w:rPr>
                <w:rFonts w:hint="eastAsia" w:ascii="宋体" w:hAnsi="宋体" w:eastAsia="宋体" w:cs="宋体"/>
                <w:b w:val="0"/>
                <w:bCs w:val="0"/>
                <w:color w:val="auto"/>
                <w:kern w:val="0"/>
                <w:sz w:val="20"/>
                <w:szCs w:val="16"/>
                <w:highlight w:val="none"/>
                <w:lang w:val="en-US" w:eastAsia="zh-CN"/>
              </w:rPr>
              <w:t>7.4.4</w:t>
            </w:r>
          </w:p>
        </w:tc>
        <w:tc>
          <w:tcPr>
            <w:tcW w:w="2877" w:type="dxa"/>
            <w:vAlign w:val="center"/>
          </w:tcPr>
          <w:p w14:paraId="0DA57AF9">
            <w:pPr>
              <w:pStyle w:val="20"/>
              <w:spacing w:before="65" w:line="372" w:lineRule="auto"/>
              <w:ind w:right="180"/>
              <w:jc w:val="center"/>
              <w:rPr>
                <w:rStyle w:val="27"/>
                <w:rFonts w:hint="eastAsia" w:ascii="宋体" w:hAnsi="宋体" w:eastAsia="宋体" w:cs="宋体"/>
                <w:b w:val="0"/>
                <w:bCs w:val="0"/>
                <w:color w:val="auto"/>
                <w:kern w:val="0"/>
                <w:sz w:val="20"/>
                <w:szCs w:val="20"/>
                <w:highlight w:val="none"/>
                <w:lang w:eastAsia="zh-CN"/>
              </w:rPr>
            </w:pPr>
            <w:r>
              <w:rPr>
                <w:rStyle w:val="27"/>
                <w:rFonts w:hint="eastAsia" w:ascii="宋体" w:hAnsi="宋体" w:eastAsia="宋体" w:cs="宋体"/>
                <w:b w:val="0"/>
                <w:bCs w:val="0"/>
                <w:color w:val="auto"/>
                <w:kern w:val="0"/>
                <w:sz w:val="20"/>
                <w:szCs w:val="20"/>
                <w:highlight w:val="none"/>
                <w:lang w:eastAsia="zh-CN"/>
              </w:rPr>
              <w:t>定标方法</w:t>
            </w:r>
          </w:p>
        </w:tc>
        <w:tc>
          <w:tcPr>
            <w:tcW w:w="5811" w:type="dxa"/>
            <w:gridSpan w:val="2"/>
            <w:vAlign w:val="center"/>
          </w:tcPr>
          <w:p w14:paraId="1B17BD26">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105" w:leftChars="50"/>
              <w:textAlignment w:val="auto"/>
              <w:rPr>
                <w:rFonts w:hint="eastAsia" w:ascii="宋体" w:hAnsi="宋体" w:eastAsia="宋体" w:cs="宋体"/>
                <w:b w:val="0"/>
                <w:bCs w:val="0"/>
                <w:color w:val="auto"/>
                <w:spacing w:val="0"/>
                <w:kern w:val="2"/>
                <w:position w:val="0"/>
                <w:sz w:val="21"/>
                <w:szCs w:val="21"/>
                <w:highlight w:val="none"/>
                <w:u w:val="none" w:color="auto"/>
                <w:lang w:val="en-US" w:eastAsia="zh-CN" w:bidi="ar-SA"/>
              </w:rPr>
            </w:pPr>
            <w:r>
              <w:rPr>
                <w:rFonts w:hint="eastAsia" w:ascii="宋体" w:hAnsi="宋体" w:eastAsia="宋体" w:cs="宋体"/>
                <w:b w:val="0"/>
                <w:bCs w:val="0"/>
                <w:color w:val="auto"/>
                <w:spacing w:val="0"/>
                <w:kern w:val="2"/>
                <w:position w:val="0"/>
                <w:sz w:val="21"/>
                <w:szCs w:val="21"/>
                <w:highlight w:val="none"/>
                <w:u w:val="none" w:color="auto"/>
                <w:lang w:val="en-US" w:eastAsia="zh-CN" w:bidi="ar-SA"/>
              </w:rPr>
              <w:t>采用评定分离的项目，应选定下列定标方法：</w:t>
            </w:r>
          </w:p>
          <w:p w14:paraId="68B57797">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left="105" w:leftChars="50"/>
              <w:jc w:val="both"/>
              <w:textAlignment w:val="auto"/>
              <w:outlineLvl w:val="9"/>
              <w:rPr>
                <w:rFonts w:hint="eastAsia" w:ascii="宋体" w:hAnsi="宋体" w:eastAsia="宋体" w:cs="宋体"/>
                <w:b w:val="0"/>
                <w:bCs w:val="0"/>
                <w:color w:val="auto"/>
                <w:spacing w:val="0"/>
                <w:kern w:val="2"/>
                <w:position w:val="0"/>
                <w:sz w:val="21"/>
                <w:szCs w:val="21"/>
                <w:highlight w:val="none"/>
                <w:u w:val="none" w:color="auto"/>
                <w:lang w:val="en-US" w:eastAsia="zh-CN" w:bidi="ar-SA"/>
              </w:rPr>
            </w:pPr>
            <w:r>
              <w:rPr>
                <w:rFonts w:hint="eastAsia" w:ascii="宋体" w:hAnsi="宋体" w:eastAsia="宋体" w:cs="宋体"/>
                <w:b w:val="0"/>
                <w:bCs w:val="0"/>
                <w:color w:val="auto"/>
                <w:spacing w:val="0"/>
                <w:kern w:val="2"/>
                <w:position w:val="0"/>
                <w:sz w:val="21"/>
                <w:szCs w:val="21"/>
                <w:highlight w:val="none"/>
                <w:u w:val="none" w:color="auto"/>
                <w:lang w:val="en-US" w:eastAsia="zh-CN" w:bidi="ar-SA"/>
              </w:rPr>
              <w:t>☑票决数量法</w:t>
            </w:r>
          </w:p>
          <w:p w14:paraId="7A920926">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left="105" w:leftChars="50"/>
              <w:jc w:val="both"/>
              <w:textAlignment w:val="auto"/>
              <w:outlineLvl w:val="9"/>
              <w:rPr>
                <w:rFonts w:hint="eastAsia" w:ascii="宋体" w:hAnsi="宋体" w:eastAsia="宋体" w:cs="宋体"/>
                <w:b w:val="0"/>
                <w:bCs w:val="0"/>
                <w:color w:val="auto"/>
                <w:spacing w:val="0"/>
                <w:kern w:val="2"/>
                <w:position w:val="0"/>
                <w:sz w:val="21"/>
                <w:szCs w:val="21"/>
                <w:highlight w:val="none"/>
                <w:u w:val="none" w:color="auto"/>
                <w:lang w:val="en-US" w:eastAsia="zh-CN" w:bidi="ar-SA"/>
              </w:rPr>
            </w:pPr>
            <w:r>
              <w:rPr>
                <w:rFonts w:hint="eastAsia" w:ascii="宋体" w:hAnsi="宋体" w:eastAsia="宋体" w:cs="宋体"/>
                <w:b w:val="0"/>
                <w:bCs w:val="0"/>
                <w:color w:val="auto"/>
                <w:spacing w:val="0"/>
                <w:kern w:val="2"/>
                <w:position w:val="0"/>
                <w:sz w:val="21"/>
                <w:szCs w:val="21"/>
                <w:highlight w:val="none"/>
                <w:u w:val="none" w:color="auto"/>
                <w:lang w:val="en-US" w:eastAsia="zh-CN" w:bidi="ar-SA"/>
              </w:rPr>
              <w:t>□票决计分法</w:t>
            </w:r>
          </w:p>
          <w:p w14:paraId="6393FB2B">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left="105" w:leftChars="50"/>
              <w:jc w:val="both"/>
              <w:textAlignment w:val="auto"/>
              <w:outlineLvl w:val="9"/>
              <w:rPr>
                <w:rFonts w:hint="eastAsia" w:ascii="宋体" w:hAnsi="宋体" w:eastAsia="宋体" w:cs="宋体"/>
                <w:b w:val="0"/>
                <w:bCs w:val="0"/>
                <w:color w:val="auto"/>
                <w:spacing w:val="0"/>
                <w:kern w:val="2"/>
                <w:position w:val="0"/>
                <w:sz w:val="21"/>
                <w:szCs w:val="21"/>
                <w:highlight w:val="none"/>
                <w:u w:val="none" w:color="auto"/>
                <w:lang w:val="en-US" w:eastAsia="zh-CN" w:bidi="ar-SA"/>
              </w:rPr>
            </w:pPr>
            <w:r>
              <w:rPr>
                <w:rFonts w:hint="eastAsia" w:ascii="宋体" w:hAnsi="宋体" w:eastAsia="宋体" w:cs="宋体"/>
                <w:b w:val="0"/>
                <w:bCs w:val="0"/>
                <w:color w:val="auto"/>
                <w:spacing w:val="0"/>
                <w:kern w:val="2"/>
                <w:position w:val="0"/>
                <w:sz w:val="21"/>
                <w:szCs w:val="21"/>
                <w:highlight w:val="none"/>
                <w:u w:val="none" w:color="auto"/>
                <w:lang w:val="en-US" w:eastAsia="zh-CN" w:bidi="ar-SA"/>
              </w:rPr>
              <w:t>□集体议事法</w:t>
            </w:r>
          </w:p>
          <w:p w14:paraId="06F1B94A">
            <w:pPr>
              <w:pStyle w:val="20"/>
              <w:keepNext w:val="0"/>
              <w:keepLines w:val="0"/>
              <w:pageBreakBefore w:val="0"/>
              <w:widowControl/>
              <w:wordWrap/>
              <w:overflowPunct/>
              <w:topLinePunct w:val="0"/>
              <w:bidi w:val="0"/>
              <w:spacing w:line="288" w:lineRule="auto"/>
              <w:ind w:left="105" w:leftChars="50" w:right="42" w:rightChars="20" w:firstLine="0"/>
              <w:jc w:val="both"/>
              <w:rPr>
                <w:color w:val="auto"/>
                <w:spacing w:val="9"/>
                <w:highlight w:val="none"/>
              </w:rPr>
            </w:pPr>
            <w:r>
              <w:rPr>
                <w:rFonts w:hint="eastAsia" w:ascii="宋体" w:hAnsi="宋体" w:eastAsia="宋体" w:cs="宋体"/>
                <w:b w:val="0"/>
                <w:bCs w:val="0"/>
                <w:color w:val="auto"/>
                <w:spacing w:val="0"/>
                <w:kern w:val="2"/>
                <w:position w:val="0"/>
                <w:sz w:val="21"/>
                <w:szCs w:val="21"/>
                <w:highlight w:val="none"/>
                <w:u w:val="none" w:color="auto"/>
                <w:lang w:val="en-US" w:eastAsia="zh-CN" w:bidi="ar-SA"/>
              </w:rPr>
              <w:t>□其他方法：</w:t>
            </w:r>
          </w:p>
        </w:tc>
      </w:tr>
      <w:tr w14:paraId="73CF4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13" w:type="dxa"/>
            <w:vAlign w:val="center"/>
          </w:tcPr>
          <w:p w14:paraId="5D014414">
            <w:pPr>
              <w:pStyle w:val="20"/>
              <w:spacing w:before="65" w:line="268" w:lineRule="exact"/>
              <w:jc w:val="center"/>
              <w:rPr>
                <w:color w:val="auto"/>
                <w:highlight w:val="none"/>
              </w:rPr>
            </w:pPr>
            <w:r>
              <w:rPr>
                <w:color w:val="auto"/>
                <w:position w:val="1"/>
                <w:highlight w:val="none"/>
              </w:rPr>
              <w:t>7.5</w:t>
            </w:r>
          </w:p>
        </w:tc>
        <w:tc>
          <w:tcPr>
            <w:tcW w:w="2877" w:type="dxa"/>
            <w:vAlign w:val="center"/>
          </w:tcPr>
          <w:p w14:paraId="4801C0DB">
            <w:pPr>
              <w:pStyle w:val="20"/>
              <w:spacing w:before="65" w:line="372" w:lineRule="auto"/>
              <w:ind w:right="180"/>
              <w:jc w:val="center"/>
              <w:rPr>
                <w:color w:val="auto"/>
                <w:highlight w:val="none"/>
              </w:rPr>
            </w:pPr>
            <w:r>
              <w:rPr>
                <w:color w:val="auto"/>
                <w:spacing w:val="7"/>
                <w:highlight w:val="none"/>
              </w:rPr>
              <w:t>中标通知书和中标结果通知发出的形式</w:t>
            </w:r>
          </w:p>
        </w:tc>
        <w:tc>
          <w:tcPr>
            <w:tcW w:w="5811" w:type="dxa"/>
            <w:gridSpan w:val="2"/>
            <w:vAlign w:val="center"/>
          </w:tcPr>
          <w:p w14:paraId="35FAB617">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9"/>
                <w:highlight w:val="none"/>
              </w:rPr>
              <w:t>中标通知书以书面或电子形式发出；</w:t>
            </w:r>
            <w:r>
              <w:rPr>
                <w:color w:val="auto"/>
                <w:spacing w:val="-54"/>
                <w:highlight w:val="none"/>
              </w:rPr>
              <w:t xml:space="preserve"> </w:t>
            </w:r>
            <w:r>
              <w:rPr>
                <w:color w:val="auto"/>
                <w:spacing w:val="9"/>
                <w:highlight w:val="none"/>
              </w:rPr>
              <w:t>中标结果在广</w:t>
            </w:r>
            <w:r>
              <w:rPr>
                <w:color w:val="auto"/>
                <w:spacing w:val="14"/>
                <w:highlight w:val="none"/>
              </w:rPr>
              <w:t>东省招标投标监管网及</w:t>
            </w:r>
            <w:r>
              <w:rPr>
                <w:rFonts w:hint="eastAsia" w:ascii="宋体" w:hAnsi="宋体" w:eastAsia="宋体" w:cs="宋体"/>
                <w:color w:val="auto"/>
                <w:spacing w:val="9"/>
                <w:highlight w:val="none"/>
                <w:lang w:eastAsia="zh-CN"/>
              </w:rPr>
              <w:t>全国公共资源交易平台（广东省·韶关市）</w:t>
            </w:r>
            <w:r>
              <w:rPr>
                <w:rFonts w:ascii="宋体" w:hAnsi="宋体" w:eastAsia="宋体" w:cs="宋体"/>
                <w:color w:val="auto"/>
                <w:spacing w:val="9"/>
                <w:highlight w:val="none"/>
              </w:rPr>
              <w:t>发布。</w:t>
            </w:r>
          </w:p>
        </w:tc>
      </w:tr>
      <w:tr w14:paraId="7A1D1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1013" w:type="dxa"/>
            <w:vAlign w:val="center"/>
          </w:tcPr>
          <w:p w14:paraId="682F9F4D">
            <w:pPr>
              <w:pStyle w:val="20"/>
              <w:spacing w:before="65" w:line="268" w:lineRule="exact"/>
              <w:jc w:val="center"/>
              <w:rPr>
                <w:color w:val="auto"/>
                <w:highlight w:val="none"/>
              </w:rPr>
            </w:pPr>
            <w:r>
              <w:rPr>
                <w:color w:val="auto"/>
                <w:position w:val="1"/>
                <w:highlight w:val="none"/>
              </w:rPr>
              <w:t>7.6</w:t>
            </w:r>
          </w:p>
        </w:tc>
        <w:tc>
          <w:tcPr>
            <w:tcW w:w="2877" w:type="dxa"/>
            <w:vAlign w:val="center"/>
          </w:tcPr>
          <w:p w14:paraId="561139F0">
            <w:pPr>
              <w:pStyle w:val="20"/>
              <w:spacing w:before="65" w:line="226" w:lineRule="auto"/>
              <w:jc w:val="center"/>
              <w:rPr>
                <w:color w:val="auto"/>
                <w:highlight w:val="none"/>
              </w:rPr>
            </w:pPr>
            <w:r>
              <w:rPr>
                <w:color w:val="auto"/>
                <w:spacing w:val="7"/>
                <w:highlight w:val="none"/>
              </w:rPr>
              <w:t>中标结果公告媒介及期限</w:t>
            </w:r>
          </w:p>
        </w:tc>
        <w:tc>
          <w:tcPr>
            <w:tcW w:w="5811" w:type="dxa"/>
            <w:gridSpan w:val="2"/>
            <w:vAlign w:val="center"/>
          </w:tcPr>
          <w:p w14:paraId="1115F8B7">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15"/>
                <w:highlight w:val="none"/>
              </w:rPr>
              <w:t>公告媒介：广东省招标投标监管网、</w:t>
            </w:r>
            <w:r>
              <w:rPr>
                <w:rFonts w:hint="eastAsia"/>
                <w:color w:val="auto"/>
                <w:spacing w:val="15"/>
                <w:highlight w:val="none"/>
                <w:lang w:eastAsia="zh-CN"/>
              </w:rPr>
              <w:t>全国公共资源交易平台（广东省·韶关市）</w:t>
            </w:r>
          </w:p>
          <w:p w14:paraId="6DA35452">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5"/>
                <w:highlight w:val="none"/>
              </w:rPr>
              <w:t>公告期限：</w:t>
            </w:r>
            <w:r>
              <w:rPr>
                <w:rFonts w:hint="eastAsia"/>
                <w:color w:val="auto"/>
                <w:spacing w:val="5"/>
                <w:highlight w:val="none"/>
                <w:u w:val="single" w:color="auto"/>
                <w:lang w:val="en-US" w:eastAsia="zh-CN"/>
              </w:rPr>
              <w:t xml:space="preserve"> 3 </w:t>
            </w:r>
            <w:r>
              <w:rPr>
                <w:color w:val="auto"/>
                <w:spacing w:val="5"/>
                <w:highlight w:val="none"/>
              </w:rPr>
              <w:t>日</w:t>
            </w:r>
          </w:p>
        </w:tc>
      </w:tr>
      <w:tr w14:paraId="2A419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7" w:hRule="atLeast"/>
        </w:trPr>
        <w:tc>
          <w:tcPr>
            <w:tcW w:w="1013" w:type="dxa"/>
            <w:vAlign w:val="center"/>
          </w:tcPr>
          <w:p w14:paraId="340C3E7C">
            <w:pPr>
              <w:pStyle w:val="20"/>
              <w:spacing w:before="65" w:line="268" w:lineRule="exact"/>
              <w:jc w:val="center"/>
              <w:rPr>
                <w:color w:val="auto"/>
                <w:highlight w:val="none"/>
              </w:rPr>
            </w:pPr>
            <w:r>
              <w:rPr>
                <w:color w:val="auto"/>
                <w:spacing w:val="2"/>
                <w:position w:val="1"/>
                <w:highlight w:val="none"/>
              </w:rPr>
              <w:t>7.7.1</w:t>
            </w:r>
          </w:p>
        </w:tc>
        <w:tc>
          <w:tcPr>
            <w:tcW w:w="2877" w:type="dxa"/>
            <w:vAlign w:val="center"/>
          </w:tcPr>
          <w:p w14:paraId="35790765">
            <w:pPr>
              <w:pStyle w:val="20"/>
              <w:spacing w:before="65" w:line="228" w:lineRule="auto"/>
              <w:jc w:val="center"/>
              <w:rPr>
                <w:color w:val="auto"/>
                <w:highlight w:val="none"/>
              </w:rPr>
            </w:pPr>
            <w:r>
              <w:rPr>
                <w:color w:val="auto"/>
                <w:spacing w:val="7"/>
                <w:highlight w:val="none"/>
              </w:rPr>
              <w:t>履约保证金</w:t>
            </w:r>
          </w:p>
        </w:tc>
        <w:tc>
          <w:tcPr>
            <w:tcW w:w="5811" w:type="dxa"/>
            <w:gridSpan w:val="2"/>
            <w:vAlign w:val="center"/>
          </w:tcPr>
          <w:p w14:paraId="7926CD6F">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8"/>
                <w:highlight w:val="none"/>
              </w:rPr>
              <w:t>是否要求中标人提交履约保证金：</w:t>
            </w:r>
          </w:p>
          <w:p w14:paraId="1FE34115">
            <w:pPr>
              <w:pStyle w:val="20"/>
              <w:keepNext w:val="0"/>
              <w:keepLines w:val="0"/>
              <w:pageBreakBefore w:val="0"/>
              <w:widowControl/>
              <w:wordWrap/>
              <w:overflowPunct/>
              <w:topLinePunct w:val="0"/>
              <w:bidi w:val="0"/>
              <w:spacing w:line="288" w:lineRule="auto"/>
              <w:ind w:left="105" w:leftChars="50" w:right="42" w:rightChars="20" w:firstLine="0"/>
              <w:jc w:val="both"/>
              <w:rPr>
                <w:color w:val="auto"/>
                <w:spacing w:val="9"/>
                <w:highlight w:val="none"/>
                <w:u w:val="single" w:color="auto"/>
              </w:rPr>
            </w:pPr>
            <w:r>
              <w:rPr>
                <w:rFonts w:hint="eastAsia"/>
                <w:color w:val="auto"/>
                <w:spacing w:val="8"/>
                <w:highlight w:val="none"/>
                <w:lang w:eastAsia="zh-CN"/>
              </w:rPr>
              <w:t>☑</w:t>
            </w:r>
            <w:r>
              <w:rPr>
                <w:color w:val="auto"/>
                <w:spacing w:val="8"/>
                <w:highlight w:val="none"/>
              </w:rPr>
              <w:t>要求，履约保证金的形式：</w:t>
            </w:r>
            <w:r>
              <w:rPr>
                <w:color w:val="auto"/>
                <w:spacing w:val="-34"/>
                <w:highlight w:val="none"/>
              </w:rPr>
              <w:t xml:space="preserve"> </w:t>
            </w:r>
            <w:r>
              <w:rPr>
                <w:color w:val="auto"/>
                <w:spacing w:val="8"/>
                <w:highlight w:val="none"/>
              </w:rPr>
              <w:t>由投标人自主选择</w:t>
            </w:r>
            <w:r>
              <w:rPr>
                <w:color w:val="auto"/>
                <w:spacing w:val="8"/>
                <w:highlight w:val="none"/>
                <w:u w:val="single" w:color="auto"/>
              </w:rPr>
              <w:t>采</w:t>
            </w:r>
            <w:r>
              <w:rPr>
                <w:color w:val="auto"/>
                <w:spacing w:val="9"/>
                <w:highlight w:val="none"/>
                <w:u w:val="single" w:color="auto"/>
              </w:rPr>
              <w:t>用现金（或支票）或银行保函、或其他合法形式</w:t>
            </w:r>
          </w:p>
          <w:p w14:paraId="3A6FF57E">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11"/>
                <w:highlight w:val="none"/>
              </w:rPr>
              <w:t>履约保证金的金额：</w:t>
            </w:r>
            <w:r>
              <w:rPr>
                <w:rFonts w:hint="eastAsia"/>
                <w:color w:val="auto"/>
                <w:spacing w:val="8"/>
                <w:highlight w:val="none"/>
                <w:u w:val="single" w:color="auto"/>
                <w:lang w:val="en-US" w:eastAsia="zh-CN"/>
              </w:rPr>
              <w:t>5</w:t>
            </w:r>
            <w:r>
              <w:rPr>
                <w:color w:val="auto"/>
                <w:spacing w:val="-67"/>
                <w:highlight w:val="none"/>
              </w:rPr>
              <w:t xml:space="preserve"> </w:t>
            </w:r>
            <w:r>
              <w:rPr>
                <w:color w:val="auto"/>
                <w:spacing w:val="11"/>
                <w:highlight w:val="none"/>
              </w:rPr>
              <w:t>%</w:t>
            </w:r>
            <w:r>
              <w:rPr>
                <w:color w:val="auto"/>
                <w:spacing w:val="-71"/>
                <w:highlight w:val="none"/>
              </w:rPr>
              <w:t xml:space="preserve"> </w:t>
            </w:r>
            <w:r>
              <w:rPr>
                <w:color w:val="auto"/>
                <w:spacing w:val="11"/>
                <w:highlight w:val="none"/>
              </w:rPr>
              <w:t>签约合同价</w:t>
            </w:r>
          </w:p>
          <w:p w14:paraId="11821D0A">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1"/>
                <w:highlight w:val="none"/>
              </w:rPr>
              <w:t>□最新年度在广东省公路工程从业单位信用评价（监理单位）等级</w:t>
            </w:r>
            <w:r>
              <w:rPr>
                <w:color w:val="auto"/>
                <w:spacing w:val="-44"/>
                <w:highlight w:val="none"/>
              </w:rPr>
              <w:t xml:space="preserve"> </w:t>
            </w:r>
            <w:r>
              <w:rPr>
                <w:color w:val="auto"/>
                <w:highlight w:val="none"/>
              </w:rPr>
              <w:t>AA</w:t>
            </w:r>
            <w:r>
              <w:rPr>
                <w:color w:val="auto"/>
                <w:spacing w:val="-49"/>
                <w:highlight w:val="none"/>
              </w:rPr>
              <w:t xml:space="preserve"> </w:t>
            </w:r>
            <w:r>
              <w:rPr>
                <w:color w:val="auto"/>
                <w:spacing w:val="1"/>
                <w:highlight w:val="none"/>
              </w:rPr>
              <w:t>级的投标人，给予减少履约保证</w:t>
            </w:r>
          </w:p>
          <w:p w14:paraId="7D0B17D1">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3"/>
                <w:highlight w:val="none"/>
              </w:rPr>
              <w:t>金，履约保证金金额:</w:t>
            </w:r>
            <w:r>
              <w:rPr>
                <w:color w:val="auto"/>
                <w:spacing w:val="55"/>
                <w:highlight w:val="none"/>
              </w:rPr>
              <w:t xml:space="preserve"> </w:t>
            </w:r>
            <w:r>
              <w:rPr>
                <w:color w:val="auto"/>
                <w:highlight w:val="none"/>
                <w:u w:val="single" w:color="auto"/>
              </w:rPr>
              <w:t xml:space="preserve">     </w:t>
            </w:r>
          </w:p>
          <w:p w14:paraId="1CDB4AE0">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1"/>
                <w:highlight w:val="none"/>
              </w:rPr>
              <w:t>□最新年度在广东省公路工程从业单位信用评价（监理单位）A</w:t>
            </w:r>
            <w:r>
              <w:rPr>
                <w:color w:val="auto"/>
                <w:spacing w:val="-37"/>
                <w:highlight w:val="none"/>
              </w:rPr>
              <w:t xml:space="preserve"> </w:t>
            </w:r>
            <w:r>
              <w:rPr>
                <w:color w:val="auto"/>
                <w:spacing w:val="1"/>
                <w:highlight w:val="none"/>
              </w:rPr>
              <w:t>级的投标人，给予减少履约保证金，履约</w:t>
            </w:r>
            <w:r>
              <w:rPr>
                <w:color w:val="auto"/>
                <w:spacing w:val="-6"/>
                <w:highlight w:val="none"/>
              </w:rPr>
              <w:t>保证金金额:</w:t>
            </w:r>
            <w:r>
              <w:rPr>
                <w:color w:val="auto"/>
                <w:spacing w:val="56"/>
                <w:highlight w:val="none"/>
              </w:rPr>
              <w:t xml:space="preserve"> </w:t>
            </w:r>
            <w:r>
              <w:rPr>
                <w:color w:val="auto"/>
                <w:highlight w:val="none"/>
                <w:u w:val="single" w:color="auto"/>
              </w:rPr>
              <w:t xml:space="preserve">     </w:t>
            </w:r>
          </w:p>
          <w:p w14:paraId="6BBB32CD">
            <w:pPr>
              <w:pStyle w:val="20"/>
              <w:keepNext w:val="0"/>
              <w:keepLines w:val="0"/>
              <w:pageBreakBefore w:val="0"/>
              <w:widowControl/>
              <w:wordWrap/>
              <w:overflowPunct/>
              <w:topLinePunct w:val="0"/>
              <w:bidi w:val="0"/>
              <w:spacing w:line="288" w:lineRule="auto"/>
              <w:ind w:left="105" w:leftChars="50" w:right="42" w:rightChars="20" w:firstLine="452" w:firstLineChars="200"/>
              <w:jc w:val="both"/>
              <w:rPr>
                <w:color w:val="auto"/>
                <w:highlight w:val="none"/>
              </w:rPr>
            </w:pPr>
            <w:r>
              <w:rPr>
                <w:color w:val="auto"/>
                <w:spacing w:val="13"/>
                <w:highlight w:val="none"/>
              </w:rPr>
              <w:t>采用银行保函时，出具保函的银行级别：</w:t>
            </w:r>
            <w:r>
              <w:rPr>
                <w:color w:val="auto"/>
                <w:spacing w:val="13"/>
                <w:highlight w:val="none"/>
                <w:u w:val="single" w:color="auto"/>
              </w:rPr>
              <w:t>投标</w:t>
            </w:r>
            <w:r>
              <w:rPr>
                <w:color w:val="auto"/>
                <w:spacing w:val="11"/>
                <w:highlight w:val="none"/>
                <w:u w:val="single" w:color="auto"/>
              </w:rPr>
              <w:t>人公司注册所在地的股份制商业银行或城市商业银</w:t>
            </w:r>
            <w:r>
              <w:rPr>
                <w:color w:val="auto"/>
                <w:spacing w:val="12"/>
                <w:highlight w:val="none"/>
                <w:u w:val="single" w:color="auto"/>
              </w:rPr>
              <w:t>行或农村商业银行或全国性国有商业银行的分</w:t>
            </w:r>
            <w:r>
              <w:rPr>
                <w:color w:val="auto"/>
                <w:spacing w:val="11"/>
                <w:highlight w:val="none"/>
                <w:u w:val="single" w:color="auto"/>
              </w:rPr>
              <w:t>支机</w:t>
            </w:r>
            <w:r>
              <w:rPr>
                <w:color w:val="auto"/>
                <w:spacing w:val="13"/>
                <w:highlight w:val="none"/>
                <w:u w:val="single" w:color="auto"/>
              </w:rPr>
              <w:t>构。</w:t>
            </w:r>
          </w:p>
          <w:p w14:paraId="6A208C38">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2"/>
                <w:highlight w:val="none"/>
              </w:rPr>
              <w:t>□不要求</w:t>
            </w:r>
          </w:p>
        </w:tc>
      </w:tr>
      <w:tr w14:paraId="2E00E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3" w:hRule="atLeast"/>
        </w:trPr>
        <w:tc>
          <w:tcPr>
            <w:tcW w:w="1013" w:type="dxa"/>
            <w:vAlign w:val="center"/>
          </w:tcPr>
          <w:p w14:paraId="4443553B">
            <w:pPr>
              <w:pStyle w:val="20"/>
              <w:spacing w:before="65" w:line="267" w:lineRule="exact"/>
              <w:jc w:val="center"/>
              <w:rPr>
                <w:color w:val="auto"/>
                <w:highlight w:val="none"/>
              </w:rPr>
            </w:pPr>
            <w:r>
              <w:rPr>
                <w:color w:val="auto"/>
                <w:spacing w:val="3"/>
                <w:position w:val="1"/>
                <w:highlight w:val="none"/>
              </w:rPr>
              <w:t>8.5.1</w:t>
            </w:r>
          </w:p>
        </w:tc>
        <w:tc>
          <w:tcPr>
            <w:tcW w:w="2877" w:type="dxa"/>
            <w:vAlign w:val="center"/>
          </w:tcPr>
          <w:p w14:paraId="0C987F7A">
            <w:pPr>
              <w:pStyle w:val="20"/>
              <w:spacing w:before="65" w:line="228" w:lineRule="auto"/>
              <w:jc w:val="center"/>
              <w:rPr>
                <w:color w:val="auto"/>
                <w:highlight w:val="none"/>
              </w:rPr>
            </w:pPr>
            <w:r>
              <w:rPr>
                <w:color w:val="auto"/>
                <w:spacing w:val="7"/>
                <w:highlight w:val="none"/>
              </w:rPr>
              <w:t>监督部门</w:t>
            </w:r>
          </w:p>
        </w:tc>
        <w:tc>
          <w:tcPr>
            <w:tcW w:w="5811" w:type="dxa"/>
            <w:gridSpan w:val="2"/>
            <w:vAlign w:val="center"/>
          </w:tcPr>
          <w:p w14:paraId="6468A203">
            <w:pPr>
              <w:keepNext w:val="0"/>
              <w:keepLines w:val="0"/>
              <w:pageBreakBefore w:val="0"/>
              <w:widowControl/>
              <w:wordWrap/>
              <w:overflowPunct/>
              <w:topLinePunct w:val="0"/>
              <w:bidi w:val="0"/>
              <w:spacing w:line="288" w:lineRule="auto"/>
              <w:ind w:left="105" w:leftChars="50" w:right="42" w:rightChars="20" w:firstLine="0"/>
              <w:jc w:val="both"/>
              <w:rPr>
                <w:rFonts w:hint="eastAsia"/>
                <w:color w:val="auto"/>
                <w:highlight w:val="none"/>
              </w:rPr>
            </w:pPr>
          </w:p>
          <w:p w14:paraId="4F0EBCD1">
            <w:pPr>
              <w:keepNext w:val="0"/>
              <w:keepLines w:val="0"/>
              <w:pageBreakBefore w:val="0"/>
              <w:widowControl/>
              <w:kinsoku/>
              <w:wordWrap/>
              <w:overflowPunct/>
              <w:topLinePunct w:val="0"/>
              <w:autoSpaceDE/>
              <w:autoSpaceDN/>
              <w:bidi w:val="0"/>
              <w:adjustRightInd/>
              <w:snapToGrid/>
              <w:spacing w:line="288" w:lineRule="auto"/>
              <w:ind w:left="105" w:leftChars="50" w:right="42" w:rightChars="20" w:firstLine="0"/>
              <w:jc w:val="both"/>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监督部门：</w:t>
            </w:r>
            <w:r>
              <w:rPr>
                <w:rFonts w:hint="eastAsia" w:ascii="宋体" w:hAnsi="宋体" w:eastAsia="宋体" w:cs="宋体"/>
                <w:color w:val="auto"/>
                <w:sz w:val="20"/>
                <w:szCs w:val="20"/>
                <w:highlight w:val="none"/>
                <w:u w:val="single"/>
              </w:rPr>
              <w:t>韶关市交通运输局</w:t>
            </w:r>
            <w:r>
              <w:rPr>
                <w:rFonts w:hint="eastAsia" w:ascii="宋体" w:hAnsi="宋体" w:eastAsia="宋体" w:cs="宋体"/>
                <w:color w:val="auto"/>
                <w:sz w:val="20"/>
                <w:szCs w:val="20"/>
                <w:highlight w:val="none"/>
              </w:rPr>
              <w:t xml:space="preserve"> </w:t>
            </w:r>
          </w:p>
          <w:p w14:paraId="3D7D407D">
            <w:pPr>
              <w:keepNext w:val="0"/>
              <w:keepLines w:val="0"/>
              <w:pageBreakBefore w:val="0"/>
              <w:widowControl/>
              <w:kinsoku/>
              <w:wordWrap/>
              <w:overflowPunct/>
              <w:topLinePunct w:val="0"/>
              <w:autoSpaceDE/>
              <w:autoSpaceDN/>
              <w:bidi w:val="0"/>
              <w:adjustRightInd/>
              <w:snapToGrid/>
              <w:spacing w:line="288" w:lineRule="auto"/>
              <w:ind w:left="105" w:leftChars="50" w:right="42" w:rightChars="20" w:firstLine="0"/>
              <w:jc w:val="both"/>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    话：</w:t>
            </w:r>
            <w:r>
              <w:rPr>
                <w:rFonts w:hint="eastAsia" w:ascii="宋体" w:hAnsi="宋体" w:eastAsia="宋体" w:cs="宋体"/>
                <w:color w:val="auto"/>
                <w:sz w:val="20"/>
                <w:szCs w:val="20"/>
                <w:highlight w:val="none"/>
                <w:u w:val="single"/>
              </w:rPr>
              <w:t>0751-8877330</w:t>
            </w:r>
            <w:r>
              <w:rPr>
                <w:rFonts w:hint="eastAsia" w:ascii="宋体" w:hAnsi="宋体" w:eastAsia="宋体" w:cs="宋体"/>
                <w:color w:val="auto"/>
                <w:sz w:val="20"/>
                <w:szCs w:val="20"/>
                <w:highlight w:val="none"/>
              </w:rPr>
              <w:t xml:space="preserve"> </w:t>
            </w:r>
            <w:bookmarkStart w:id="12" w:name="OLE_LINK7"/>
            <w:bookmarkEnd w:id="12"/>
          </w:p>
          <w:p w14:paraId="28C0416D">
            <w:pPr>
              <w:keepNext w:val="0"/>
              <w:keepLines w:val="0"/>
              <w:pageBreakBefore w:val="0"/>
              <w:widowControl/>
              <w:kinsoku/>
              <w:wordWrap/>
              <w:overflowPunct/>
              <w:topLinePunct w:val="0"/>
              <w:autoSpaceDE/>
              <w:autoSpaceDN/>
              <w:bidi w:val="0"/>
              <w:adjustRightInd/>
              <w:snapToGrid/>
              <w:spacing w:line="288" w:lineRule="auto"/>
              <w:ind w:left="105" w:leftChars="50" w:right="42" w:rightChars="20" w:firstLine="0"/>
              <w:jc w:val="both"/>
              <w:textAlignment w:val="auto"/>
              <w:rPr>
                <w:rFonts w:hint="eastAsia" w:ascii="宋体" w:hAnsi="宋体" w:eastAsia="宋体" w:cs="宋体"/>
                <w:color w:val="auto"/>
                <w:sz w:val="20"/>
                <w:szCs w:val="20"/>
                <w:highlight w:val="none"/>
                <w:u w:val="single"/>
              </w:rPr>
            </w:pPr>
            <w:r>
              <w:rPr>
                <w:rFonts w:hint="eastAsia" w:ascii="宋体" w:hAnsi="宋体" w:eastAsia="宋体" w:cs="宋体"/>
                <w:color w:val="auto"/>
                <w:sz w:val="20"/>
                <w:szCs w:val="20"/>
                <w:highlight w:val="none"/>
                <w:lang w:val="en-US" w:eastAsia="zh-CN"/>
              </w:rPr>
              <w:t>通信</w:t>
            </w:r>
            <w:r>
              <w:rPr>
                <w:rFonts w:hint="eastAsia" w:ascii="宋体" w:hAnsi="宋体" w:eastAsia="宋体" w:cs="宋体"/>
                <w:color w:val="auto"/>
                <w:sz w:val="20"/>
                <w:szCs w:val="20"/>
                <w:highlight w:val="none"/>
              </w:rPr>
              <w:t>地址：</w:t>
            </w:r>
            <w:r>
              <w:rPr>
                <w:rFonts w:hint="eastAsia" w:ascii="宋体" w:hAnsi="宋体" w:eastAsia="宋体" w:cs="宋体"/>
                <w:color w:val="auto"/>
                <w:sz w:val="20"/>
                <w:szCs w:val="20"/>
                <w:highlight w:val="none"/>
                <w:u w:val="single"/>
              </w:rPr>
              <w:t>广东省韶关市东河执信路1号</w:t>
            </w:r>
          </w:p>
          <w:p w14:paraId="7EE69341">
            <w:pPr>
              <w:keepNext w:val="0"/>
              <w:keepLines w:val="0"/>
              <w:pageBreakBefore w:val="0"/>
              <w:widowControl/>
              <w:kinsoku/>
              <w:wordWrap/>
              <w:overflowPunct/>
              <w:topLinePunct w:val="0"/>
              <w:autoSpaceDE/>
              <w:autoSpaceDN/>
              <w:bidi w:val="0"/>
              <w:adjustRightInd/>
              <w:snapToGrid/>
              <w:spacing w:line="288" w:lineRule="auto"/>
              <w:ind w:left="105" w:leftChars="50" w:right="42" w:rightChars="20" w:firstLine="0"/>
              <w:jc w:val="both"/>
              <w:textAlignment w:val="auto"/>
              <w:rPr>
                <w:rFonts w:ascii="Arial"/>
                <w:color w:val="auto"/>
                <w:sz w:val="20"/>
                <w:szCs w:val="20"/>
                <w:highlight w:val="none"/>
              </w:rPr>
            </w:pPr>
            <w:r>
              <w:rPr>
                <w:rFonts w:hint="eastAsia" w:ascii="宋体" w:hAnsi="宋体" w:eastAsia="宋体" w:cs="宋体"/>
                <w:color w:val="auto"/>
                <w:sz w:val="20"/>
                <w:szCs w:val="20"/>
                <w:highlight w:val="none"/>
              </w:rPr>
              <w:t>邮政编码：</w:t>
            </w:r>
            <w:r>
              <w:rPr>
                <w:rFonts w:hint="eastAsia" w:ascii="宋体" w:hAnsi="宋体" w:eastAsia="宋体" w:cs="宋体"/>
                <w:color w:val="auto"/>
                <w:sz w:val="20"/>
                <w:szCs w:val="20"/>
                <w:highlight w:val="none"/>
                <w:u w:val="single"/>
              </w:rPr>
              <w:t>512000</w:t>
            </w:r>
          </w:p>
          <w:p w14:paraId="6AAE18E8">
            <w:pPr>
              <w:keepNext w:val="0"/>
              <w:keepLines w:val="0"/>
              <w:pageBreakBefore w:val="0"/>
              <w:widowControl/>
              <w:wordWrap/>
              <w:overflowPunct/>
              <w:topLinePunct w:val="0"/>
              <w:bidi w:val="0"/>
              <w:spacing w:line="288" w:lineRule="auto"/>
              <w:ind w:left="105" w:leftChars="50" w:right="42" w:rightChars="20" w:firstLine="0"/>
              <w:jc w:val="both"/>
              <w:rPr>
                <w:rFonts w:ascii="Arial"/>
                <w:color w:val="auto"/>
                <w:sz w:val="21"/>
                <w:highlight w:val="none"/>
              </w:rPr>
            </w:pPr>
          </w:p>
          <w:p w14:paraId="010CDD40">
            <w:pPr>
              <w:pStyle w:val="20"/>
              <w:keepNext w:val="0"/>
              <w:keepLines w:val="0"/>
              <w:pageBreakBefore w:val="0"/>
              <w:widowControl/>
              <w:tabs>
                <w:tab w:val="left" w:pos="629"/>
              </w:tabs>
              <w:wordWrap/>
              <w:overflowPunct/>
              <w:topLinePunct w:val="0"/>
              <w:bidi w:val="0"/>
              <w:spacing w:line="288" w:lineRule="auto"/>
              <w:ind w:left="105" w:leftChars="50" w:right="42" w:rightChars="20" w:firstLine="0"/>
              <w:jc w:val="both"/>
              <w:rPr>
                <w:rFonts w:hint="eastAsia" w:ascii="宋体" w:hAnsi="宋体" w:eastAsia="宋体" w:cs="宋体"/>
                <w:color w:val="auto"/>
                <w:spacing w:val="11"/>
                <w:sz w:val="20"/>
                <w:szCs w:val="20"/>
                <w:highlight w:val="none"/>
                <w:lang w:val="en-US" w:eastAsia="zh-CN"/>
              </w:rPr>
            </w:pPr>
            <w:r>
              <w:rPr>
                <w:rFonts w:hint="eastAsia" w:ascii="宋体" w:hAnsi="宋体" w:eastAsia="宋体" w:cs="宋体"/>
                <w:color w:val="auto"/>
                <w:spacing w:val="6"/>
                <w:sz w:val="20"/>
                <w:szCs w:val="20"/>
                <w:highlight w:val="none"/>
              </w:rPr>
              <w:t>项目上级管理</w:t>
            </w:r>
            <w:r>
              <w:rPr>
                <w:rFonts w:hint="eastAsia" w:ascii="宋体" w:hAnsi="宋体" w:eastAsia="宋体" w:cs="宋体"/>
                <w:color w:val="auto"/>
                <w:spacing w:val="2"/>
                <w:sz w:val="20"/>
                <w:szCs w:val="20"/>
                <w:highlight w:val="none"/>
              </w:rPr>
              <w:t>位</w:t>
            </w:r>
            <w:r>
              <w:rPr>
                <w:rFonts w:hint="eastAsia" w:ascii="宋体" w:hAnsi="宋体" w:eastAsia="宋体" w:cs="宋体"/>
                <w:color w:val="auto"/>
                <w:spacing w:val="11"/>
                <w:sz w:val="20"/>
                <w:szCs w:val="20"/>
                <w:highlight w:val="none"/>
              </w:rPr>
              <w:t>：</w:t>
            </w:r>
            <w:r>
              <w:rPr>
                <w:rFonts w:hint="eastAsia" w:ascii="宋体" w:hAnsi="宋体" w:eastAsia="宋体" w:cs="宋体"/>
                <w:color w:val="auto"/>
                <w:spacing w:val="11"/>
                <w:sz w:val="20"/>
                <w:szCs w:val="20"/>
                <w:highlight w:val="none"/>
                <w:u w:val="single"/>
                <w:lang w:val="en-US" w:eastAsia="zh-CN"/>
              </w:rPr>
              <w:t xml:space="preserve">始兴县交通运输局 </w:t>
            </w:r>
          </w:p>
          <w:p w14:paraId="5F22EF39">
            <w:pPr>
              <w:pStyle w:val="20"/>
              <w:keepNext w:val="0"/>
              <w:keepLines w:val="0"/>
              <w:pageBreakBefore w:val="0"/>
              <w:widowControl/>
              <w:tabs>
                <w:tab w:val="left" w:pos="629"/>
              </w:tabs>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u w:val="single"/>
                <w:lang w:val="en-US" w:eastAsia="zh-CN"/>
              </w:rPr>
            </w:pPr>
            <w:r>
              <w:rPr>
                <w:rFonts w:hint="eastAsia" w:ascii="宋体" w:hAnsi="宋体" w:eastAsia="宋体" w:cs="宋体"/>
                <w:color w:val="auto"/>
                <w:sz w:val="20"/>
                <w:szCs w:val="20"/>
                <w:highlight w:val="none"/>
                <w:lang w:val="en-US" w:eastAsia="zh-CN"/>
              </w:rPr>
              <w:t>电    话：</w:t>
            </w:r>
            <w:r>
              <w:rPr>
                <w:rFonts w:hint="eastAsia" w:ascii="宋体" w:hAnsi="宋体" w:eastAsia="宋体" w:cs="宋体"/>
                <w:color w:val="auto"/>
                <w:sz w:val="20"/>
                <w:szCs w:val="20"/>
                <w:highlight w:val="none"/>
                <w:u w:val="single"/>
                <w:lang w:val="en-US" w:eastAsia="zh-CN"/>
              </w:rPr>
              <w:t>0751-6961661</w:t>
            </w:r>
          </w:p>
          <w:p w14:paraId="7E39012F">
            <w:pPr>
              <w:pStyle w:val="20"/>
              <w:keepNext w:val="0"/>
              <w:keepLines w:val="0"/>
              <w:pageBreakBefore w:val="0"/>
              <w:widowControl/>
              <w:tabs>
                <w:tab w:val="left" w:pos="629"/>
              </w:tabs>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通信</w:t>
            </w:r>
            <w:r>
              <w:rPr>
                <w:rFonts w:hint="eastAsia" w:ascii="宋体" w:hAnsi="宋体" w:eastAsia="宋体" w:cs="宋体"/>
                <w:color w:val="auto"/>
                <w:sz w:val="20"/>
                <w:szCs w:val="20"/>
                <w:highlight w:val="none"/>
              </w:rPr>
              <w:t>地址</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u w:val="single"/>
                <w:lang w:val="en-US" w:eastAsia="zh-CN"/>
              </w:rPr>
              <w:t>始兴县太平镇北门路420号</w:t>
            </w:r>
          </w:p>
          <w:p w14:paraId="077E620C">
            <w:pPr>
              <w:pStyle w:val="20"/>
              <w:keepNext w:val="0"/>
              <w:keepLines w:val="0"/>
              <w:pageBreakBefore w:val="0"/>
              <w:widowControl/>
              <w:tabs>
                <w:tab w:val="left" w:pos="629"/>
              </w:tabs>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u w:val="single"/>
                <w:lang w:val="en-US" w:eastAsia="zh-CN"/>
              </w:rPr>
            </w:pPr>
            <w:r>
              <w:rPr>
                <w:rFonts w:hint="eastAsia" w:ascii="宋体" w:hAnsi="宋体" w:eastAsia="宋体" w:cs="宋体"/>
                <w:color w:val="auto"/>
                <w:sz w:val="20"/>
                <w:szCs w:val="20"/>
                <w:highlight w:val="none"/>
                <w:lang w:val="en-US" w:eastAsia="zh-CN"/>
              </w:rPr>
              <w:t>邮政编码：</w:t>
            </w:r>
            <w:r>
              <w:rPr>
                <w:rFonts w:hint="eastAsia" w:ascii="宋体" w:hAnsi="宋体" w:eastAsia="宋体" w:cs="宋体"/>
                <w:color w:val="auto"/>
                <w:sz w:val="20"/>
                <w:szCs w:val="20"/>
                <w:highlight w:val="none"/>
                <w:u w:val="single"/>
                <w:lang w:val="en-US" w:eastAsia="zh-CN"/>
              </w:rPr>
              <w:t>512500</w:t>
            </w:r>
          </w:p>
          <w:p w14:paraId="3D3421CF">
            <w:pPr>
              <w:keepNext w:val="0"/>
              <w:keepLines w:val="0"/>
              <w:pageBreakBefore w:val="0"/>
              <w:widowControl/>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rPr>
            </w:pPr>
          </w:p>
          <w:p w14:paraId="602E372F">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u w:val="single"/>
                <w:lang w:eastAsia="zh-CN"/>
              </w:rPr>
            </w:pPr>
            <w:r>
              <w:rPr>
                <w:rFonts w:hint="eastAsia" w:ascii="宋体" w:hAnsi="宋体" w:eastAsia="宋体" w:cs="宋体"/>
                <w:color w:val="auto"/>
                <w:sz w:val="20"/>
                <w:szCs w:val="20"/>
                <w:highlight w:val="none"/>
              </w:rPr>
              <w:t>项目管理单位：</w:t>
            </w:r>
            <w:r>
              <w:rPr>
                <w:rFonts w:hint="eastAsia" w:ascii="宋体" w:hAnsi="宋体" w:eastAsia="宋体" w:cs="宋体"/>
                <w:color w:val="auto"/>
                <w:sz w:val="20"/>
                <w:szCs w:val="20"/>
                <w:highlight w:val="none"/>
                <w:u w:val="single"/>
                <w:lang w:eastAsia="zh-CN"/>
              </w:rPr>
              <w:t>始兴县地方公路事务中心</w:t>
            </w:r>
          </w:p>
          <w:p w14:paraId="486DA314">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u w:val="single"/>
                <w:lang w:eastAsia="zh-CN"/>
              </w:rPr>
            </w:pPr>
            <w:r>
              <w:rPr>
                <w:rFonts w:hint="eastAsia" w:ascii="宋体" w:hAnsi="宋体" w:eastAsia="宋体" w:cs="宋体"/>
                <w:color w:val="auto"/>
                <w:sz w:val="20"/>
                <w:szCs w:val="20"/>
                <w:highlight w:val="none"/>
              </w:rPr>
              <w:t>电</w:t>
            </w:r>
            <w:r>
              <w:rPr>
                <w:rFonts w:hint="eastAsia" w:ascii="宋体" w:hAnsi="宋体" w:eastAsia="宋体" w:cs="宋体"/>
                <w:color w:val="auto"/>
                <w:sz w:val="20"/>
                <w:szCs w:val="20"/>
                <w:highlight w:val="none"/>
                <w:lang w:val="en-US" w:eastAsia="zh-CN"/>
              </w:rPr>
              <w:t xml:space="preserve">    </w:t>
            </w:r>
            <w:r>
              <w:rPr>
                <w:rFonts w:hint="eastAsia" w:ascii="宋体" w:hAnsi="宋体" w:eastAsia="宋体" w:cs="宋体"/>
                <w:color w:val="auto"/>
                <w:sz w:val="20"/>
                <w:szCs w:val="20"/>
                <w:highlight w:val="none"/>
              </w:rPr>
              <w:t>话：</w:t>
            </w:r>
            <w:r>
              <w:rPr>
                <w:rFonts w:hint="eastAsia" w:ascii="宋体" w:hAnsi="宋体" w:eastAsia="宋体" w:cs="宋体"/>
                <w:color w:val="auto"/>
                <w:sz w:val="20"/>
                <w:szCs w:val="20"/>
                <w:highlight w:val="none"/>
                <w:u w:val="single"/>
                <w:lang w:eastAsia="zh-CN"/>
              </w:rPr>
              <w:t>0751-6927330</w:t>
            </w:r>
          </w:p>
          <w:p w14:paraId="39E18885">
            <w:pPr>
              <w:pStyle w:val="20"/>
              <w:keepNext w:val="0"/>
              <w:keepLines w:val="0"/>
              <w:pageBreakBefore w:val="0"/>
              <w:widowControl/>
              <w:wordWrap/>
              <w:overflowPunct/>
              <w:topLinePunct w:val="0"/>
              <w:bidi w:val="0"/>
              <w:spacing w:line="288" w:lineRule="auto"/>
              <w:ind w:left="105" w:leftChars="50" w:right="42" w:rightChars="20" w:firstLine="0"/>
              <w:jc w:val="both"/>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通信</w:t>
            </w:r>
            <w:r>
              <w:rPr>
                <w:rFonts w:hint="eastAsia" w:ascii="宋体" w:hAnsi="宋体" w:eastAsia="宋体" w:cs="宋体"/>
                <w:color w:val="auto"/>
                <w:sz w:val="20"/>
                <w:szCs w:val="20"/>
                <w:highlight w:val="none"/>
              </w:rPr>
              <w:t>地址：</w:t>
            </w:r>
            <w:r>
              <w:rPr>
                <w:rFonts w:hint="eastAsia" w:ascii="宋体" w:hAnsi="宋体" w:eastAsia="宋体" w:cs="宋体"/>
                <w:color w:val="auto"/>
                <w:sz w:val="20"/>
                <w:szCs w:val="20"/>
                <w:highlight w:val="none"/>
                <w:u w:val="single"/>
                <w:lang w:eastAsia="zh-CN"/>
              </w:rPr>
              <w:t>始兴县太平镇北门路420号</w:t>
            </w:r>
          </w:p>
          <w:p w14:paraId="2E05694B">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rFonts w:hint="eastAsia" w:ascii="宋体" w:hAnsi="宋体" w:eastAsia="宋体" w:cs="宋体"/>
                <w:color w:val="auto"/>
                <w:sz w:val="20"/>
                <w:szCs w:val="20"/>
                <w:highlight w:val="none"/>
                <w:lang w:val="en-US" w:eastAsia="zh-CN"/>
              </w:rPr>
              <w:t>邮政编码：</w:t>
            </w:r>
            <w:r>
              <w:rPr>
                <w:rFonts w:hint="eastAsia" w:ascii="宋体" w:hAnsi="宋体" w:eastAsia="宋体" w:cs="宋体"/>
                <w:color w:val="auto"/>
                <w:sz w:val="20"/>
                <w:szCs w:val="20"/>
                <w:highlight w:val="none"/>
                <w:u w:val="single"/>
                <w:lang w:val="en-US" w:eastAsia="zh-CN"/>
              </w:rPr>
              <w:t>512500</w:t>
            </w:r>
          </w:p>
        </w:tc>
      </w:tr>
      <w:tr w14:paraId="2AE60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13" w:type="dxa"/>
            <w:vAlign w:val="center"/>
          </w:tcPr>
          <w:p w14:paraId="250C8AED">
            <w:pPr>
              <w:pStyle w:val="20"/>
              <w:spacing w:before="65" w:line="269" w:lineRule="exact"/>
              <w:ind w:left="461"/>
              <w:jc w:val="center"/>
              <w:rPr>
                <w:color w:val="auto"/>
                <w:highlight w:val="none"/>
              </w:rPr>
            </w:pPr>
            <w:r>
              <w:rPr>
                <w:color w:val="auto"/>
                <w:position w:val="1"/>
                <w:highlight w:val="none"/>
              </w:rPr>
              <w:t>9</w:t>
            </w:r>
          </w:p>
        </w:tc>
        <w:tc>
          <w:tcPr>
            <w:tcW w:w="2877" w:type="dxa"/>
            <w:vAlign w:val="center"/>
          </w:tcPr>
          <w:p w14:paraId="45719392">
            <w:pPr>
              <w:pStyle w:val="20"/>
              <w:spacing w:before="65" w:line="227" w:lineRule="auto"/>
              <w:jc w:val="center"/>
              <w:rPr>
                <w:color w:val="auto"/>
                <w:highlight w:val="none"/>
              </w:rPr>
            </w:pPr>
            <w:r>
              <w:rPr>
                <w:color w:val="auto"/>
                <w:spacing w:val="8"/>
                <w:highlight w:val="none"/>
              </w:rPr>
              <w:t>是否采用电子招标投标</w:t>
            </w:r>
          </w:p>
        </w:tc>
        <w:tc>
          <w:tcPr>
            <w:tcW w:w="5811" w:type="dxa"/>
            <w:gridSpan w:val="2"/>
            <w:vAlign w:val="center"/>
          </w:tcPr>
          <w:p w14:paraId="17B7738A">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color w:val="auto"/>
                <w:spacing w:val="-5"/>
                <w:highlight w:val="none"/>
              </w:rPr>
              <w:t>□否</w:t>
            </w:r>
          </w:p>
          <w:p w14:paraId="0BF58714">
            <w:pPr>
              <w:pStyle w:val="20"/>
              <w:keepNext w:val="0"/>
              <w:keepLines w:val="0"/>
              <w:pageBreakBefore w:val="0"/>
              <w:widowControl/>
              <w:wordWrap/>
              <w:overflowPunct/>
              <w:topLinePunct w:val="0"/>
              <w:bidi w:val="0"/>
              <w:spacing w:line="288" w:lineRule="auto"/>
              <w:ind w:left="105" w:leftChars="50" w:right="42" w:rightChars="20" w:firstLine="0"/>
              <w:jc w:val="both"/>
              <w:rPr>
                <w:color w:val="auto"/>
                <w:highlight w:val="none"/>
              </w:rPr>
            </w:pPr>
            <w:r>
              <w:rPr>
                <w:rFonts w:ascii="MS Gothic" w:hAnsi="MS Gothic" w:eastAsia="MS Gothic" w:cs="MS Gothic"/>
                <w:color w:val="auto"/>
                <w:spacing w:val="6"/>
                <w:highlight w:val="none"/>
              </w:rPr>
              <w:t>☑</w:t>
            </w:r>
            <w:r>
              <w:rPr>
                <w:color w:val="auto"/>
                <w:spacing w:val="6"/>
                <w:highlight w:val="none"/>
              </w:rPr>
              <w:t>是，</w:t>
            </w:r>
            <w:r>
              <w:rPr>
                <w:color w:val="auto"/>
                <w:spacing w:val="-57"/>
                <w:highlight w:val="none"/>
              </w:rPr>
              <w:t xml:space="preserve"> </w:t>
            </w:r>
            <w:r>
              <w:rPr>
                <w:color w:val="auto"/>
                <w:spacing w:val="6"/>
                <w:highlight w:val="none"/>
              </w:rPr>
              <w:t>电子招标投标的其他要求：</w:t>
            </w:r>
            <w:r>
              <w:rPr>
                <w:rFonts w:hint="eastAsia"/>
                <w:b/>
                <w:bCs/>
                <w:color w:val="auto"/>
                <w:spacing w:val="6"/>
                <w:highlight w:val="none"/>
                <w:u w:val="single"/>
              </w:rPr>
              <w:t>投标人必须在规定的截止时间前使用建设工程交易系统完成网上获取招标文件、缴纳投标保证和全流程电子投标。</w:t>
            </w:r>
          </w:p>
        </w:tc>
      </w:tr>
      <w:tr w14:paraId="1A9B5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01" w:type="dxa"/>
            <w:gridSpan w:val="4"/>
            <w:vAlign w:val="top"/>
          </w:tcPr>
          <w:p w14:paraId="568DB6CF">
            <w:pPr>
              <w:pStyle w:val="20"/>
              <w:spacing w:before="142" w:line="228" w:lineRule="auto"/>
              <w:ind w:left="126"/>
              <w:rPr>
                <w:color w:val="auto"/>
                <w:highlight w:val="none"/>
              </w:rPr>
            </w:pPr>
            <w:r>
              <w:rPr>
                <w:b/>
                <w:bCs/>
                <w:color w:val="auto"/>
                <w:spacing w:val="6"/>
                <w:highlight w:val="none"/>
              </w:rPr>
              <w:t>需要补充的其他内容</w:t>
            </w:r>
          </w:p>
        </w:tc>
      </w:tr>
      <w:tr w14:paraId="66ADC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13" w:type="dxa"/>
            <w:vAlign w:val="top"/>
          </w:tcPr>
          <w:p w14:paraId="155DD03F">
            <w:pPr>
              <w:pStyle w:val="20"/>
              <w:spacing w:before="256" w:line="267" w:lineRule="exact"/>
              <w:ind w:left="264"/>
              <w:rPr>
                <w:color w:val="auto"/>
                <w:highlight w:val="none"/>
              </w:rPr>
            </w:pPr>
            <w:r>
              <w:rPr>
                <w:color w:val="auto"/>
                <w:position w:val="1"/>
                <w:highlight w:val="none"/>
              </w:rPr>
              <w:t>1.4.4</w:t>
            </w:r>
          </w:p>
        </w:tc>
        <w:tc>
          <w:tcPr>
            <w:tcW w:w="8688" w:type="dxa"/>
            <w:gridSpan w:val="3"/>
            <w:vAlign w:val="top"/>
          </w:tcPr>
          <w:p w14:paraId="7B11C7CC">
            <w:pPr>
              <w:pStyle w:val="20"/>
              <w:spacing w:before="255" w:line="228" w:lineRule="auto"/>
              <w:ind w:left="112"/>
              <w:rPr>
                <w:color w:val="auto"/>
                <w:highlight w:val="none"/>
              </w:rPr>
            </w:pPr>
            <w:r>
              <w:rPr>
                <w:color w:val="auto"/>
                <w:spacing w:val="4"/>
                <w:highlight w:val="none"/>
              </w:rPr>
              <w:t>第</w:t>
            </w:r>
            <w:r>
              <w:rPr>
                <w:color w:val="auto"/>
                <w:spacing w:val="-14"/>
                <w:highlight w:val="none"/>
              </w:rPr>
              <w:t xml:space="preserve"> </w:t>
            </w:r>
            <w:r>
              <w:rPr>
                <w:color w:val="auto"/>
                <w:spacing w:val="4"/>
                <w:highlight w:val="none"/>
              </w:rPr>
              <w:t>1.4.4</w:t>
            </w:r>
            <w:r>
              <w:rPr>
                <w:color w:val="auto"/>
                <w:spacing w:val="-35"/>
                <w:highlight w:val="none"/>
              </w:rPr>
              <w:t xml:space="preserve"> </w:t>
            </w:r>
            <w:r>
              <w:rPr>
                <w:color w:val="auto"/>
                <w:spacing w:val="4"/>
                <w:highlight w:val="none"/>
              </w:rPr>
              <w:t>项中（1）</w:t>
            </w:r>
            <w:r>
              <w:rPr>
                <w:color w:val="auto"/>
                <w:spacing w:val="-42"/>
                <w:highlight w:val="none"/>
              </w:rPr>
              <w:t xml:space="preserve"> </w:t>
            </w:r>
            <w:r>
              <w:rPr>
                <w:color w:val="auto"/>
                <w:spacing w:val="4"/>
                <w:highlight w:val="none"/>
              </w:rPr>
              <w:t>目中的“招标项目所在地</w:t>
            </w:r>
            <w:r>
              <w:rPr>
                <w:color w:val="auto"/>
                <w:spacing w:val="-72"/>
                <w:highlight w:val="none"/>
              </w:rPr>
              <w:t xml:space="preserve"> </w:t>
            </w:r>
            <w:r>
              <w:rPr>
                <w:color w:val="auto"/>
                <w:spacing w:val="4"/>
                <w:highlight w:val="none"/>
              </w:rPr>
              <w:t>”指“广东省</w:t>
            </w:r>
            <w:r>
              <w:rPr>
                <w:color w:val="auto"/>
                <w:spacing w:val="-72"/>
                <w:highlight w:val="none"/>
              </w:rPr>
              <w:t xml:space="preserve"> </w:t>
            </w:r>
            <w:r>
              <w:rPr>
                <w:color w:val="auto"/>
                <w:spacing w:val="4"/>
                <w:highlight w:val="none"/>
              </w:rPr>
              <w:t>”。</w:t>
            </w:r>
          </w:p>
        </w:tc>
      </w:tr>
      <w:tr w14:paraId="21A11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56E9C1F5">
            <w:pPr>
              <w:spacing w:line="380" w:lineRule="exact"/>
              <w:jc w:val="center"/>
              <w:rPr>
                <w:rFonts w:hint="eastAsia" w:ascii="宋体" w:hAnsi="宋体" w:eastAsia="宋体" w:cs="宋体"/>
                <w:color w:val="auto"/>
                <w:sz w:val="21"/>
                <w:szCs w:val="21"/>
                <w:highlight w:val="none"/>
                <w:lang w:val="en-US" w:bidi="zh-CN"/>
              </w:rPr>
            </w:pPr>
            <w:r>
              <w:rPr>
                <w:rFonts w:hint="eastAsia" w:ascii="宋体" w:hAnsi="宋体" w:eastAsia="宋体" w:cs="宋体"/>
                <w:color w:val="auto"/>
                <w:sz w:val="20"/>
                <w:szCs w:val="20"/>
                <w:highlight w:val="none"/>
              </w:rPr>
              <w:t>3.1.1</w:t>
            </w:r>
          </w:p>
        </w:tc>
        <w:tc>
          <w:tcPr>
            <w:tcW w:w="8688" w:type="dxa"/>
            <w:gridSpan w:val="3"/>
            <w:vAlign w:val="center"/>
          </w:tcPr>
          <w:p w14:paraId="3E8DBF2D">
            <w:pPr>
              <w:keepNext w:val="0"/>
              <w:keepLines w:val="0"/>
              <w:pageBreakBefore w:val="0"/>
              <w:widowControl/>
              <w:kinsoku w:val="0"/>
              <w:wordWrap/>
              <w:overflowPunct/>
              <w:topLinePunct w:val="0"/>
              <w:autoSpaceDE w:val="0"/>
              <w:autoSpaceDN w:val="0"/>
              <w:bidi w:val="0"/>
              <w:adjustRightInd w:val="0"/>
              <w:snapToGrid w:val="0"/>
              <w:spacing w:line="360" w:lineRule="exact"/>
              <w:ind w:left="113"/>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将投标人须知原文3.1.1款修改如下：</w:t>
            </w:r>
          </w:p>
          <w:p w14:paraId="53722A54">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3.1.1 投标文件应采用双信封形式，包括下列内容：</w:t>
            </w:r>
          </w:p>
          <w:p w14:paraId="545688F4">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第一个信封（商务及技术文件）：</w:t>
            </w:r>
          </w:p>
          <w:p w14:paraId="4FF15D9E">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（1）投标函；</w:t>
            </w:r>
          </w:p>
          <w:p w14:paraId="6DF37FA1">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（2）授权委托书或法定代表人身份证明；</w:t>
            </w:r>
          </w:p>
          <w:p w14:paraId="3D8AF802">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（3）联合体协议书；</w:t>
            </w:r>
          </w:p>
          <w:p w14:paraId="5B718686">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（4）投标保证金；</w:t>
            </w:r>
          </w:p>
          <w:p w14:paraId="230754CA">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（5）资格审查资料；</w:t>
            </w:r>
          </w:p>
          <w:p w14:paraId="60BE83F0">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（6）投标人须知前附表规定的其他资料；</w:t>
            </w:r>
          </w:p>
          <w:p w14:paraId="3FF74E2C">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（7）技术建议书。</w:t>
            </w:r>
          </w:p>
          <w:p w14:paraId="6C32FF39">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第二个信封（报价文件）：</w:t>
            </w:r>
          </w:p>
          <w:p w14:paraId="269434A1">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（1）投标函</w:t>
            </w:r>
          </w:p>
          <w:p w14:paraId="313EE871">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监理服务费用清单</w:t>
            </w:r>
          </w:p>
          <w:p w14:paraId="50C366FF">
            <w:pPr>
              <w:keepNext w:val="0"/>
              <w:keepLines w:val="0"/>
              <w:pageBreakBefore w:val="0"/>
              <w:kinsoku w:val="0"/>
              <w:wordWrap/>
              <w:overflowPunct/>
              <w:topLinePunct w:val="0"/>
              <w:autoSpaceDE w:val="0"/>
              <w:autoSpaceDN w:val="0"/>
              <w:bidi w:val="0"/>
              <w:adjustRightInd w:val="0"/>
              <w:snapToGrid w:val="0"/>
              <w:spacing w:line="360" w:lineRule="exact"/>
              <w:ind w:left="28"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（3）定标佐证资料（根据招标文件</w:t>
            </w:r>
            <w:r>
              <w:rPr>
                <w:rFonts w:hint="eastAsia"/>
                <w:color w:val="auto"/>
                <w:highlight w:val="none"/>
                <w:lang w:val="en-US" w:eastAsia="zh-CN"/>
              </w:rPr>
              <w:t>载明的</w:t>
            </w:r>
            <w:r>
              <w:rPr>
                <w:rFonts w:hint="eastAsia"/>
                <w:color w:val="auto"/>
                <w:highlight w:val="none"/>
                <w:lang w:eastAsia="zh-CN"/>
              </w:rPr>
              <w:t>定标因素，</w:t>
            </w:r>
            <w:r>
              <w:rPr>
                <w:rFonts w:hint="eastAsia"/>
                <w:color w:val="auto"/>
                <w:highlight w:val="none"/>
                <w:lang w:val="en-US" w:eastAsia="zh-CN"/>
              </w:rPr>
              <w:t>提交相关</w:t>
            </w:r>
            <w:r>
              <w:rPr>
                <w:rFonts w:hint="eastAsia"/>
                <w:color w:val="auto"/>
                <w:highlight w:val="none"/>
                <w:lang w:eastAsia="zh-CN"/>
              </w:rPr>
              <w:t>评审资料，</w:t>
            </w:r>
            <w:r>
              <w:rPr>
                <w:rFonts w:hint="eastAsia" w:ascii="宋体" w:hAnsi="宋体" w:eastAsia="宋体" w:cs="宋体"/>
                <w:color w:val="auto"/>
                <w:sz w:val="20"/>
                <w:szCs w:val="20"/>
                <w:highlight w:val="none"/>
                <w:lang w:val="en-US" w:eastAsia="zh-CN"/>
              </w:rPr>
              <w:t>格式自拟）</w:t>
            </w:r>
          </w:p>
          <w:p w14:paraId="75263810">
            <w:pPr>
              <w:pStyle w:val="28"/>
              <w:keepNext w:val="0"/>
              <w:keepLines w:val="0"/>
              <w:pageBreakBefore w:val="0"/>
              <w:kinsoku w:val="0"/>
              <w:wordWrap/>
              <w:overflowPunct/>
              <w:topLinePunct w:val="0"/>
              <w:autoSpaceDE w:val="0"/>
              <w:autoSpaceDN w:val="0"/>
              <w:bidi w:val="0"/>
              <w:adjustRightInd w:val="0"/>
              <w:snapToGrid w:val="0"/>
              <w:spacing w:line="360" w:lineRule="exact"/>
              <w:ind w:left="0" w:leftChars="0" w:firstLine="40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sz w:val="20"/>
                <w:szCs w:val="20"/>
                <w:highlight w:val="none"/>
              </w:rPr>
              <w:t>投标人在评标过程中作出的符合法律法规和招标文件规定的澄清确认，构成投标文件的组成部分。</w:t>
            </w:r>
          </w:p>
        </w:tc>
      </w:tr>
      <w:tr w14:paraId="779AB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39D61BAF">
            <w:pPr>
              <w:spacing w:line="380" w:lineRule="exact"/>
              <w:jc w:val="center"/>
              <w:rPr>
                <w:rFonts w:hint="eastAsia" w:ascii="宋体" w:hAnsi="宋体" w:eastAsia="宋体" w:cs="宋体"/>
                <w:color w:val="auto"/>
                <w:spacing w:val="2"/>
                <w:position w:val="1"/>
                <w:sz w:val="21"/>
                <w:szCs w:val="21"/>
                <w:highlight w:val="none"/>
              </w:rPr>
            </w:pPr>
            <w:r>
              <w:rPr>
                <w:rFonts w:hint="eastAsia" w:ascii="宋体" w:hAnsi="宋体" w:eastAsia="宋体" w:cs="宋体"/>
                <w:color w:val="auto"/>
                <w:sz w:val="21"/>
                <w:szCs w:val="21"/>
                <w:highlight w:val="none"/>
                <w:lang w:val="en-US" w:bidi="zh-CN"/>
              </w:rPr>
              <w:t>3.4.1</w:t>
            </w:r>
          </w:p>
        </w:tc>
        <w:tc>
          <w:tcPr>
            <w:tcW w:w="8688" w:type="dxa"/>
            <w:gridSpan w:val="3"/>
            <w:vAlign w:val="top"/>
          </w:tcPr>
          <w:p w14:paraId="162CC7E7">
            <w:pPr>
              <w:pStyle w:val="21"/>
              <w:keepNext w:val="0"/>
              <w:keepLines w:val="0"/>
              <w:pageBreakBefore w:val="0"/>
              <w:widowControl w:val="0"/>
              <w:kinsoku/>
              <w:wordWrap w:val="0"/>
              <w:overflowPunct/>
              <w:topLinePunct w:val="0"/>
              <w:bidi w:val="0"/>
              <w:adjustRightInd w:val="0"/>
              <w:snapToGrid w:val="0"/>
              <w:spacing w:line="400" w:lineRule="exact"/>
              <w:ind w:left="42" w:leftChars="20" w:right="6" w:firstLine="105" w:firstLineChars="50"/>
              <w:jc w:val="left"/>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zh-CN" w:bidi="zh-CN"/>
              </w:rPr>
              <w:t>投标人须知正文第3.4.</w:t>
            </w:r>
            <w:r>
              <w:rPr>
                <w:rFonts w:hint="eastAsia" w:ascii="宋体" w:hAnsi="宋体" w:eastAsia="宋体" w:cs="宋体"/>
                <w:color w:val="auto"/>
                <w:sz w:val="21"/>
                <w:szCs w:val="21"/>
                <w:highlight w:val="none"/>
                <w:lang w:val="en-US" w:bidi="zh-CN"/>
              </w:rPr>
              <w:t>1</w:t>
            </w:r>
            <w:r>
              <w:rPr>
                <w:rFonts w:hint="eastAsia" w:ascii="宋体" w:hAnsi="宋体" w:eastAsia="宋体" w:cs="宋体"/>
                <w:color w:val="auto"/>
                <w:sz w:val="21"/>
                <w:szCs w:val="21"/>
                <w:highlight w:val="none"/>
                <w:lang w:val="zh-CN" w:bidi="zh-CN"/>
              </w:rPr>
              <w:t xml:space="preserve">款项修改如下：  </w:t>
            </w:r>
          </w:p>
          <w:p w14:paraId="083FDA45">
            <w:pPr>
              <w:pStyle w:val="21"/>
              <w:keepNext w:val="0"/>
              <w:keepLines w:val="0"/>
              <w:pageBreakBefore w:val="0"/>
              <w:widowControl w:val="0"/>
              <w:kinsoku/>
              <w:wordWrap w:val="0"/>
              <w:overflowPunct/>
              <w:topLinePunct w:val="0"/>
              <w:bidi w:val="0"/>
              <w:adjustRightInd w:val="0"/>
              <w:snapToGrid w:val="0"/>
              <w:spacing w:line="400" w:lineRule="exact"/>
              <w:ind w:left="42" w:leftChars="20" w:right="6" w:firstLine="103" w:firstLineChars="5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pacing w:val="-2"/>
                <w:sz w:val="21"/>
                <w:szCs w:val="21"/>
                <w:highlight w:val="none"/>
              </w:rPr>
              <w:t>3.4.1 投标人在递交投标文件的同时，应按投标人须知前附表规定的金额递交投标保证金，并作为其投标文件的</w:t>
            </w:r>
            <w:r>
              <w:rPr>
                <w:rFonts w:hint="eastAsia" w:ascii="宋体" w:hAnsi="宋体" w:eastAsia="宋体" w:cs="宋体"/>
                <w:color w:val="auto"/>
                <w:spacing w:val="-3"/>
                <w:sz w:val="21"/>
                <w:szCs w:val="21"/>
                <w:highlight w:val="none"/>
              </w:rPr>
              <w:t>组成部</w:t>
            </w:r>
            <w:r>
              <w:rPr>
                <w:rFonts w:hint="eastAsia" w:ascii="宋体" w:hAnsi="宋体" w:eastAsia="宋体" w:cs="宋体"/>
                <w:color w:val="auto"/>
                <w:spacing w:val="-1"/>
                <w:sz w:val="21"/>
                <w:szCs w:val="21"/>
                <w:highlight w:val="none"/>
              </w:rPr>
              <w:t>分。联合体投标的，其投标保证金由牵头人递交，并应符合投标人须知前附表的规定。</w:t>
            </w:r>
          </w:p>
          <w:p w14:paraId="565B02A4">
            <w:pPr>
              <w:pStyle w:val="21"/>
              <w:keepNext w:val="0"/>
              <w:keepLines w:val="0"/>
              <w:pageBreakBefore w:val="0"/>
              <w:widowControl w:val="0"/>
              <w:kinsoku/>
              <w:wordWrap w:val="0"/>
              <w:overflowPunct/>
              <w:topLinePunct w:val="0"/>
              <w:bidi w:val="0"/>
              <w:adjustRightInd w:val="0"/>
              <w:snapToGrid w:val="0"/>
              <w:spacing w:line="400" w:lineRule="exact"/>
              <w:ind w:left="42" w:leftChars="20" w:right="6" w:firstLine="105" w:firstLineChars="5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投标保证金的有关说明： </w:t>
            </w:r>
          </w:p>
          <w:p w14:paraId="73D52C05">
            <w:pPr>
              <w:pStyle w:val="23"/>
              <w:keepNext w:val="0"/>
              <w:keepLines w:val="0"/>
              <w:pageBreakBefore w:val="0"/>
              <w:widowControl w:val="0"/>
              <w:kinsoku/>
              <w:wordWrap w:val="0"/>
              <w:overflowPunct/>
              <w:topLinePunct w:val="0"/>
              <w:bidi w:val="0"/>
              <w:adjustRightInd w:val="0"/>
              <w:snapToGrid w:val="0"/>
              <w:spacing w:line="420" w:lineRule="exact"/>
              <w:ind w:left="42" w:leftChars="20" w:right="6"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投标保证的形式包括投标保证金、投标保证</w:t>
            </w:r>
            <w:r>
              <w:rPr>
                <w:rFonts w:hint="eastAsia" w:ascii="宋体" w:hAnsi="宋体" w:eastAsia="宋体" w:cs="宋体"/>
                <w:bCs/>
                <w:color w:val="auto"/>
                <w:sz w:val="21"/>
                <w:szCs w:val="21"/>
                <w:highlight w:val="none"/>
                <w:lang w:val="en-US" w:eastAsia="zh-CN"/>
              </w:rPr>
              <w:t>担保</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投标保证保险</w:t>
            </w:r>
            <w:r>
              <w:rPr>
                <w:rFonts w:hint="eastAsia" w:ascii="宋体" w:hAnsi="宋体" w:eastAsia="宋体" w:cs="宋体"/>
                <w:bCs/>
                <w:color w:val="auto"/>
                <w:sz w:val="21"/>
                <w:szCs w:val="21"/>
                <w:highlight w:val="none"/>
              </w:rPr>
              <w:t>担保</w:t>
            </w:r>
            <w:r>
              <w:rPr>
                <w:rFonts w:hint="eastAsia" w:ascii="宋体" w:hAnsi="宋体" w:eastAsia="宋体" w:cs="宋体"/>
                <w:bCs/>
                <w:color w:val="auto"/>
                <w:sz w:val="21"/>
                <w:szCs w:val="21"/>
                <w:highlight w:val="none"/>
                <w:lang w:val="en-US" w:eastAsia="zh-CN"/>
              </w:rPr>
              <w:t>三</w:t>
            </w:r>
            <w:r>
              <w:rPr>
                <w:rFonts w:hint="eastAsia" w:ascii="宋体" w:hAnsi="宋体" w:eastAsia="宋体" w:cs="宋体"/>
                <w:bCs/>
                <w:color w:val="auto"/>
                <w:sz w:val="21"/>
                <w:szCs w:val="21"/>
                <w:highlight w:val="none"/>
              </w:rPr>
              <w:t>种，由投标人自主选择。</w:t>
            </w:r>
          </w:p>
          <w:p w14:paraId="7A54BF39">
            <w:pPr>
              <w:pStyle w:val="23"/>
              <w:keepNext w:val="0"/>
              <w:keepLines w:val="0"/>
              <w:pageBreakBefore w:val="0"/>
              <w:widowControl w:val="0"/>
              <w:kinsoku/>
              <w:wordWrap w:val="0"/>
              <w:overflowPunct/>
              <w:topLinePunct w:val="0"/>
              <w:bidi w:val="0"/>
              <w:adjustRightInd w:val="0"/>
              <w:snapToGrid w:val="0"/>
              <w:spacing w:line="420" w:lineRule="exact"/>
              <w:ind w:left="42" w:leftChars="20" w:right="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（1）采用投标保证金的，投标人在建设工程交易系统</w:t>
            </w:r>
            <w:r>
              <w:rPr>
                <w:rFonts w:hint="eastAsia" w:ascii="宋体" w:hAnsi="宋体" w:eastAsia="宋体" w:cs="宋体"/>
                <w:bCs/>
                <w:color w:val="auto"/>
                <w:sz w:val="21"/>
                <w:szCs w:val="21"/>
                <w:highlight w:val="none"/>
                <w:lang w:eastAsia="zh-CN"/>
              </w:rPr>
              <w:t>获取招标文件</w:t>
            </w:r>
            <w:r>
              <w:rPr>
                <w:rFonts w:hint="eastAsia" w:ascii="宋体" w:hAnsi="宋体" w:eastAsia="宋体" w:cs="宋体"/>
                <w:bCs/>
                <w:color w:val="auto"/>
                <w:sz w:val="21"/>
                <w:szCs w:val="21"/>
                <w:highlight w:val="none"/>
              </w:rPr>
              <w:t>完毕后，即可在系统申请缴纳投标保证金，获取本次招标投标保证金缴纳账号。投标人须于投标保证金到账截止时间（见“重要事项时间地点一览表”）前，从其基本账户将投标保证金转账到指定的缴纳账号。逾期到账的、从非投标人基本账户转出的，其投标无效。</w:t>
            </w:r>
          </w:p>
          <w:p w14:paraId="417E50F0">
            <w:pPr>
              <w:pStyle w:val="23"/>
              <w:keepNext w:val="0"/>
              <w:keepLines w:val="0"/>
              <w:pageBreakBefore w:val="0"/>
              <w:widowControl w:val="0"/>
              <w:kinsoku/>
              <w:wordWrap w:val="0"/>
              <w:overflowPunct/>
              <w:topLinePunct w:val="0"/>
              <w:bidi w:val="0"/>
              <w:adjustRightInd w:val="0"/>
              <w:snapToGrid w:val="0"/>
              <w:spacing w:line="420" w:lineRule="exact"/>
              <w:ind w:left="42" w:leftChars="20" w:right="6"/>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采用投标保证担保的，投标人应提交有效的银行保函，银行保函的有效期不得短于投标有效期。投标人必须在投标保证担保截止时间（详见“重要事项时间地点一览表”）前，使用工程建设交易系统完成网上办理电子保函。</w:t>
            </w:r>
          </w:p>
          <w:p w14:paraId="028EC9AA">
            <w:pPr>
              <w:pStyle w:val="23"/>
              <w:keepNext w:val="0"/>
              <w:keepLines w:val="0"/>
              <w:pageBreakBefore w:val="0"/>
              <w:widowControl w:val="0"/>
              <w:kinsoku/>
              <w:wordWrap w:val="0"/>
              <w:overflowPunct/>
              <w:topLinePunct w:val="0"/>
              <w:bidi w:val="0"/>
              <w:adjustRightInd w:val="0"/>
              <w:snapToGrid w:val="0"/>
              <w:spacing w:line="420" w:lineRule="exact"/>
              <w:ind w:left="42" w:leftChars="20" w:right="6"/>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3）采用投标保证保险的，投标人须在投标保证保险投保截止时间（详见“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48232E5F">
            <w:pPr>
              <w:pStyle w:val="23"/>
              <w:keepNext w:val="0"/>
              <w:keepLines w:val="0"/>
              <w:pageBreakBefore w:val="0"/>
              <w:widowControl w:val="0"/>
              <w:kinsoku/>
              <w:wordWrap w:val="0"/>
              <w:overflowPunct/>
              <w:topLinePunct w:val="0"/>
              <w:bidi w:val="0"/>
              <w:adjustRightInd w:val="0"/>
              <w:snapToGrid w:val="0"/>
              <w:spacing w:line="420" w:lineRule="exact"/>
              <w:ind w:left="42" w:leftChars="20" w:right="6" w:rightChars="0"/>
              <w:textAlignment w:val="auto"/>
              <w:rPr>
                <w:rFonts w:hint="eastAsia" w:ascii="宋体" w:hAnsi="宋体" w:eastAsia="宋体" w:cs="宋体"/>
                <w:color w:val="auto"/>
                <w:spacing w:val="4"/>
                <w:position w:val="4"/>
                <w:sz w:val="21"/>
                <w:szCs w:val="21"/>
                <w:highlight w:val="none"/>
              </w:rPr>
            </w:pPr>
            <w:r>
              <w:rPr>
                <w:rFonts w:hint="eastAsia" w:ascii="宋体" w:hAnsi="宋体" w:eastAsia="宋体" w:cs="宋体"/>
                <w:bCs/>
                <w:color w:val="auto"/>
                <w:kern w:val="0"/>
                <w:sz w:val="21"/>
                <w:szCs w:val="21"/>
                <w:highlight w:val="none"/>
                <w:lang w:val="en-US" w:eastAsia="zh-CN" w:bidi="ar-SA"/>
              </w:rPr>
              <w:t>温馨提醒：投标人采用投标保证担保、投标保证保险的，为避免在评标过程中因有效期发生争议，建议投标人将银行保函有效期设置为较招标文件规定的投标有效期延长不少于20个日历天。</w:t>
            </w:r>
          </w:p>
        </w:tc>
      </w:tr>
      <w:tr w14:paraId="5CE67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44895508">
            <w:pPr>
              <w:spacing w:line="380" w:lineRule="exact"/>
              <w:jc w:val="center"/>
              <w:rPr>
                <w:color w:val="auto"/>
                <w:spacing w:val="2"/>
                <w:position w:val="1"/>
                <w:highlight w:val="none"/>
              </w:rPr>
            </w:pPr>
            <w:r>
              <w:rPr>
                <w:rFonts w:hint="eastAsia" w:ascii="宋体" w:hAnsi="宋体" w:eastAsia="宋体" w:cs="宋体"/>
                <w:color w:val="auto"/>
                <w:sz w:val="20"/>
                <w:szCs w:val="20"/>
                <w:highlight w:val="none"/>
                <w:lang w:val="zh-CN"/>
              </w:rPr>
              <w:t>3.4</w:t>
            </w:r>
            <w:r>
              <w:rPr>
                <w:rFonts w:hint="eastAsia" w:ascii="宋体" w:hAnsi="宋体" w:eastAsia="宋体" w:cs="宋体"/>
                <w:color w:val="auto"/>
                <w:sz w:val="20"/>
                <w:szCs w:val="20"/>
                <w:highlight w:val="none"/>
              </w:rPr>
              <w:t>.3</w:t>
            </w:r>
          </w:p>
        </w:tc>
        <w:tc>
          <w:tcPr>
            <w:tcW w:w="8688" w:type="dxa"/>
            <w:gridSpan w:val="3"/>
            <w:vAlign w:val="top"/>
          </w:tcPr>
          <w:p w14:paraId="530954AF">
            <w:pPr>
              <w:keepNext w:val="0"/>
              <w:keepLines w:val="0"/>
              <w:pageBreakBefore w:val="0"/>
              <w:wordWrap/>
              <w:overflowPunct/>
              <w:topLinePunct w:val="0"/>
              <w:bidi w:val="0"/>
              <w:spacing w:line="360" w:lineRule="exac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投标人须知正文第3.4.3款项修改如下：     </w:t>
            </w:r>
          </w:p>
          <w:p w14:paraId="2BFC3BB9">
            <w:pPr>
              <w:keepNext w:val="0"/>
              <w:keepLines w:val="0"/>
              <w:pageBreakBefore w:val="0"/>
              <w:wordWrap/>
              <w:overflowPunct/>
              <w:topLinePunct w:val="0"/>
              <w:bidi w:val="0"/>
              <w:spacing w:line="360" w:lineRule="exact"/>
              <w:ind w:firstLine="400" w:firstLineChars="200"/>
              <w:rPr>
                <w:color w:val="auto"/>
                <w:spacing w:val="4"/>
                <w:position w:val="4"/>
                <w:highlight w:val="none"/>
              </w:rPr>
            </w:pPr>
            <w:r>
              <w:rPr>
                <w:rFonts w:hint="eastAsia" w:ascii="宋体" w:hAnsi="宋体" w:eastAsia="宋体" w:cs="宋体"/>
                <w:color w:val="auto"/>
                <w:sz w:val="20"/>
                <w:szCs w:val="20"/>
                <w:highlight w:val="none"/>
                <w:lang w:val="zh-CN"/>
              </w:rPr>
              <w:t>中标人的投标保证金，系统在收到招标人与中标人所签合同后五日内退还原转出银行帐号；未中标投标人的投标保证金退还，按法定的评标结果、中标结果公示结束或异议处理结束后五日内分批退还至原转出银行帐号。</w:t>
            </w:r>
          </w:p>
        </w:tc>
      </w:tr>
      <w:tr w14:paraId="3C8C5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top"/>
          </w:tcPr>
          <w:p w14:paraId="71F33D62">
            <w:pPr>
              <w:pStyle w:val="20"/>
              <w:spacing w:before="256" w:line="267" w:lineRule="exact"/>
              <w:ind w:left="253"/>
              <w:rPr>
                <w:color w:val="auto"/>
                <w:highlight w:val="none"/>
              </w:rPr>
            </w:pPr>
            <w:r>
              <w:rPr>
                <w:color w:val="auto"/>
                <w:spacing w:val="2"/>
                <w:position w:val="1"/>
                <w:highlight w:val="none"/>
              </w:rPr>
              <w:t>3.5.2</w:t>
            </w:r>
          </w:p>
        </w:tc>
        <w:tc>
          <w:tcPr>
            <w:tcW w:w="8688" w:type="dxa"/>
            <w:gridSpan w:val="3"/>
            <w:vAlign w:val="top"/>
          </w:tcPr>
          <w:p w14:paraId="1DCAD6A4">
            <w:pPr>
              <w:pStyle w:val="20"/>
              <w:spacing w:before="115" w:line="400" w:lineRule="exact"/>
              <w:ind w:left="113"/>
              <w:rPr>
                <w:color w:val="auto"/>
                <w:highlight w:val="none"/>
              </w:rPr>
            </w:pPr>
            <w:r>
              <w:rPr>
                <w:color w:val="auto"/>
                <w:spacing w:val="4"/>
                <w:position w:val="4"/>
                <w:highlight w:val="none"/>
              </w:rPr>
              <w:t>本项目使用投标人须知</w:t>
            </w:r>
            <w:r>
              <w:rPr>
                <w:color w:val="auto"/>
                <w:spacing w:val="-27"/>
                <w:position w:val="4"/>
                <w:highlight w:val="none"/>
              </w:rPr>
              <w:t xml:space="preserve"> </w:t>
            </w:r>
            <w:r>
              <w:rPr>
                <w:color w:val="auto"/>
                <w:spacing w:val="4"/>
                <w:position w:val="4"/>
                <w:highlight w:val="none"/>
              </w:rPr>
              <w:t>3.5.2 (</w:t>
            </w:r>
            <w:r>
              <w:rPr>
                <w:rFonts w:hint="eastAsia"/>
                <w:color w:val="auto"/>
                <w:spacing w:val="4"/>
                <w:position w:val="4"/>
                <w:highlight w:val="none"/>
                <w:u w:val="single"/>
                <w:lang w:val="en-US" w:eastAsia="zh-CN"/>
              </w:rPr>
              <w:t xml:space="preserve"> </w:t>
            </w:r>
            <w:r>
              <w:rPr>
                <w:rFonts w:hint="eastAsia"/>
                <w:color w:val="auto"/>
                <w:spacing w:val="-68"/>
                <w:position w:val="4"/>
                <w:highlight w:val="none"/>
                <w:u w:val="single"/>
                <w:lang w:val="en-US" w:eastAsia="zh-CN"/>
              </w:rPr>
              <w:t xml:space="preserve">B    </w:t>
            </w:r>
            <w:r>
              <w:rPr>
                <w:color w:val="auto"/>
                <w:spacing w:val="-69"/>
                <w:position w:val="4"/>
                <w:highlight w:val="none"/>
                <w:u w:val="single"/>
              </w:rPr>
              <w:t xml:space="preserve"> </w:t>
            </w:r>
            <w:r>
              <w:rPr>
                <w:color w:val="auto"/>
                <w:spacing w:val="4"/>
                <w:position w:val="4"/>
                <w:highlight w:val="none"/>
              </w:rPr>
              <w:t>) 款正文内容。</w:t>
            </w:r>
          </w:p>
        </w:tc>
      </w:tr>
      <w:tr w14:paraId="2884A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top"/>
          </w:tcPr>
          <w:p w14:paraId="3CA8E3A7">
            <w:pPr>
              <w:pStyle w:val="20"/>
              <w:spacing w:before="256" w:line="267" w:lineRule="exact"/>
              <w:ind w:left="253"/>
              <w:rPr>
                <w:color w:val="auto"/>
                <w:highlight w:val="none"/>
              </w:rPr>
            </w:pPr>
            <w:r>
              <w:rPr>
                <w:color w:val="auto"/>
                <w:spacing w:val="2"/>
                <w:position w:val="1"/>
                <w:highlight w:val="none"/>
              </w:rPr>
              <w:t>3.5.4</w:t>
            </w:r>
          </w:p>
        </w:tc>
        <w:tc>
          <w:tcPr>
            <w:tcW w:w="8688" w:type="dxa"/>
            <w:gridSpan w:val="3"/>
            <w:vAlign w:val="top"/>
          </w:tcPr>
          <w:p w14:paraId="78F8EEA5">
            <w:pPr>
              <w:pStyle w:val="20"/>
              <w:spacing w:before="115" w:line="400" w:lineRule="exact"/>
              <w:ind w:left="113"/>
              <w:rPr>
                <w:color w:val="auto"/>
                <w:highlight w:val="none"/>
              </w:rPr>
            </w:pPr>
            <w:r>
              <w:rPr>
                <w:color w:val="auto"/>
                <w:spacing w:val="4"/>
                <w:position w:val="4"/>
                <w:highlight w:val="none"/>
              </w:rPr>
              <w:t>本项目使用投标人须知</w:t>
            </w:r>
            <w:r>
              <w:rPr>
                <w:color w:val="auto"/>
                <w:spacing w:val="-27"/>
                <w:position w:val="4"/>
                <w:highlight w:val="none"/>
              </w:rPr>
              <w:t xml:space="preserve"> </w:t>
            </w:r>
            <w:r>
              <w:rPr>
                <w:color w:val="auto"/>
                <w:spacing w:val="4"/>
                <w:position w:val="4"/>
                <w:highlight w:val="none"/>
              </w:rPr>
              <w:t>3.5.4 (</w:t>
            </w:r>
            <w:r>
              <w:rPr>
                <w:color w:val="auto"/>
                <w:spacing w:val="-68"/>
                <w:position w:val="4"/>
                <w:highlight w:val="none"/>
              </w:rPr>
              <w:t xml:space="preserve"> </w:t>
            </w:r>
            <w:r>
              <w:rPr>
                <w:rFonts w:hint="eastAsia"/>
                <w:color w:val="auto"/>
                <w:spacing w:val="4"/>
                <w:position w:val="4"/>
                <w:highlight w:val="none"/>
                <w:u w:val="single"/>
                <w:lang w:val="en-US" w:eastAsia="zh-CN"/>
              </w:rPr>
              <w:t xml:space="preserve"> </w:t>
            </w:r>
            <w:r>
              <w:rPr>
                <w:rFonts w:hint="eastAsia"/>
                <w:color w:val="auto"/>
                <w:spacing w:val="-68"/>
                <w:position w:val="4"/>
                <w:highlight w:val="none"/>
                <w:u w:val="single"/>
                <w:lang w:val="en-US" w:eastAsia="zh-CN"/>
              </w:rPr>
              <w:t xml:space="preserve">B    </w:t>
            </w:r>
            <w:r>
              <w:rPr>
                <w:color w:val="auto"/>
                <w:spacing w:val="-69"/>
                <w:position w:val="4"/>
                <w:highlight w:val="none"/>
                <w:u w:val="single"/>
              </w:rPr>
              <w:t xml:space="preserve"> </w:t>
            </w:r>
            <w:r>
              <w:rPr>
                <w:color w:val="auto"/>
                <w:spacing w:val="-69"/>
                <w:position w:val="4"/>
                <w:highlight w:val="none"/>
              </w:rPr>
              <w:t xml:space="preserve"> </w:t>
            </w:r>
            <w:r>
              <w:rPr>
                <w:color w:val="auto"/>
                <w:spacing w:val="4"/>
                <w:position w:val="4"/>
                <w:highlight w:val="none"/>
              </w:rPr>
              <w:t>)款正文内容。</w:t>
            </w:r>
          </w:p>
        </w:tc>
      </w:tr>
      <w:tr w14:paraId="25CBC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top"/>
          </w:tcPr>
          <w:p w14:paraId="3639462A">
            <w:pPr>
              <w:pStyle w:val="20"/>
              <w:spacing w:before="256" w:line="267" w:lineRule="exact"/>
              <w:ind w:left="253"/>
              <w:rPr>
                <w:color w:val="auto"/>
                <w:sz w:val="10"/>
                <w:szCs w:val="10"/>
                <w:highlight w:val="none"/>
              </w:rPr>
            </w:pPr>
            <w:r>
              <w:rPr>
                <w:rFonts w:ascii="宋体" w:hAnsi="宋体" w:eastAsia="宋体" w:cs="宋体"/>
                <w:color w:val="auto"/>
                <w:spacing w:val="2"/>
                <w:position w:val="1"/>
                <w:highlight w:val="none"/>
              </w:rPr>
              <w:t>3.5.5</w:t>
            </w:r>
          </w:p>
        </w:tc>
        <w:tc>
          <w:tcPr>
            <w:tcW w:w="8688" w:type="dxa"/>
            <w:gridSpan w:val="3"/>
            <w:vAlign w:val="top"/>
          </w:tcPr>
          <w:p w14:paraId="6D6A3C8E">
            <w:pPr>
              <w:pStyle w:val="20"/>
              <w:spacing w:before="255" w:line="228" w:lineRule="auto"/>
              <w:ind w:left="111"/>
              <w:rPr>
                <w:color w:val="auto"/>
                <w:highlight w:val="none"/>
              </w:rPr>
            </w:pPr>
            <w:r>
              <w:rPr>
                <w:color w:val="auto"/>
                <w:spacing w:val="4"/>
                <w:highlight w:val="none"/>
              </w:rPr>
              <w:t>删除原</w:t>
            </w:r>
            <w:r>
              <w:rPr>
                <w:color w:val="auto"/>
                <w:spacing w:val="-27"/>
                <w:highlight w:val="none"/>
              </w:rPr>
              <w:t xml:space="preserve"> </w:t>
            </w:r>
            <w:r>
              <w:rPr>
                <w:color w:val="auto"/>
                <w:spacing w:val="4"/>
                <w:highlight w:val="none"/>
              </w:rPr>
              <w:t>3.5.5</w:t>
            </w:r>
            <w:r>
              <w:rPr>
                <w:color w:val="auto"/>
                <w:spacing w:val="-36"/>
                <w:highlight w:val="none"/>
              </w:rPr>
              <w:t xml:space="preserve"> </w:t>
            </w:r>
            <w:r>
              <w:rPr>
                <w:color w:val="auto"/>
                <w:spacing w:val="4"/>
                <w:highlight w:val="none"/>
              </w:rPr>
              <w:t>条款内容。</w:t>
            </w:r>
          </w:p>
        </w:tc>
      </w:tr>
      <w:tr w14:paraId="05D60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52005CB6">
            <w:pPr>
              <w:pStyle w:val="20"/>
              <w:keepNext w:val="0"/>
              <w:keepLines w:val="0"/>
              <w:pageBreakBefore w:val="0"/>
              <w:widowControl/>
              <w:kinsoku w:val="0"/>
              <w:wordWrap/>
              <w:overflowPunct/>
              <w:topLinePunct w:val="0"/>
              <w:autoSpaceDE w:val="0"/>
              <w:autoSpaceDN w:val="0"/>
              <w:bidi w:val="0"/>
              <w:adjustRightInd w:val="0"/>
              <w:snapToGrid w:val="0"/>
              <w:spacing w:line="285" w:lineRule="exact"/>
              <w:ind w:left="0" w:leftChars="0" w:right="0" w:rightChars="0"/>
              <w:jc w:val="center"/>
              <w:textAlignment w:val="baseline"/>
              <w:rPr>
                <w:rFonts w:ascii="宋体" w:hAnsi="宋体" w:eastAsia="宋体" w:cs="宋体"/>
                <w:color w:val="auto"/>
                <w:spacing w:val="2"/>
                <w:position w:val="1"/>
                <w:highlight w:val="none"/>
              </w:rPr>
            </w:pPr>
            <w:r>
              <w:rPr>
                <w:rFonts w:hint="eastAsia"/>
                <w:color w:val="auto"/>
                <w:spacing w:val="3"/>
                <w:highlight w:val="none"/>
                <w:lang w:val="en-US" w:eastAsia="zh-CN"/>
              </w:rPr>
              <w:t>3.7.3</w:t>
            </w:r>
          </w:p>
        </w:tc>
        <w:tc>
          <w:tcPr>
            <w:tcW w:w="8688" w:type="dxa"/>
            <w:gridSpan w:val="3"/>
            <w:vAlign w:val="center"/>
          </w:tcPr>
          <w:p w14:paraId="53DFD5F1">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right="42" w:rightChars="20"/>
              <w:jc w:val="both"/>
              <w:textAlignment w:val="baseline"/>
              <w:rPr>
                <w:rFonts w:hint="eastAsia" w:ascii="宋体" w:hAnsi="宋体" w:eastAsia="宋体" w:cs="宋体"/>
                <w:color w:val="auto"/>
                <w:spacing w:val="11"/>
                <w:highlight w:val="none"/>
              </w:rPr>
            </w:pPr>
            <w:r>
              <w:rPr>
                <w:rFonts w:hint="eastAsia" w:ascii="宋体" w:hAnsi="宋体" w:eastAsia="宋体" w:cs="宋体"/>
                <w:color w:val="auto"/>
                <w:spacing w:val="11"/>
                <w:highlight w:val="none"/>
              </w:rPr>
              <w:t>投标人须知正文3.7.3项内容修改如下：</w:t>
            </w:r>
          </w:p>
          <w:p w14:paraId="18B7609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firstLine="459" w:firstLineChars="207"/>
              <w:jc w:val="both"/>
              <w:textAlignment w:val="baseline"/>
              <w:rPr>
                <w:rFonts w:hint="eastAsia" w:ascii="宋体" w:hAnsi="宋体" w:eastAsia="宋体" w:cs="宋体"/>
                <w:color w:val="auto"/>
                <w:spacing w:val="11"/>
                <w:highlight w:val="none"/>
              </w:rPr>
            </w:pPr>
            <w:r>
              <w:rPr>
                <w:rFonts w:hint="eastAsia" w:ascii="宋体" w:hAnsi="宋体" w:eastAsia="宋体" w:cs="宋体"/>
                <w:color w:val="auto"/>
                <w:spacing w:val="11"/>
                <w:highlight w:val="none"/>
              </w:rPr>
              <w:t>（</w:t>
            </w:r>
            <w:r>
              <w:rPr>
                <w:rFonts w:hint="eastAsia" w:cs="宋体"/>
                <w:color w:val="auto"/>
                <w:spacing w:val="11"/>
                <w:highlight w:val="none"/>
                <w:lang w:val="en-US" w:eastAsia="zh-CN"/>
              </w:rPr>
              <w:t>1</w:t>
            </w:r>
            <w:r>
              <w:rPr>
                <w:rFonts w:hint="eastAsia" w:ascii="宋体" w:hAnsi="宋体" w:eastAsia="宋体" w:cs="宋体"/>
                <w:color w:val="auto"/>
                <w:spacing w:val="11"/>
                <w:highlight w:val="none"/>
              </w:rPr>
              <w:t>）投标人在编制投标文件时应建立分级目录。</w:t>
            </w:r>
          </w:p>
          <w:p w14:paraId="469BF15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459" w:firstLineChars="207"/>
              <w:jc w:val="both"/>
              <w:textAlignment w:val="baseline"/>
              <w:rPr>
                <w:rFonts w:hint="eastAsia" w:ascii="宋体" w:hAnsi="宋体" w:eastAsia="宋体" w:cs="宋体"/>
                <w:color w:val="auto"/>
                <w:spacing w:val="11"/>
                <w:highlight w:val="none"/>
              </w:rPr>
            </w:pPr>
            <w:r>
              <w:rPr>
                <w:rFonts w:hint="eastAsia" w:ascii="宋体" w:hAnsi="宋体" w:eastAsia="宋体" w:cs="宋体"/>
                <w:color w:val="auto"/>
                <w:spacing w:val="11"/>
                <w:highlight w:val="none"/>
              </w:rPr>
              <w:t>（</w:t>
            </w:r>
            <w:r>
              <w:rPr>
                <w:rFonts w:hint="eastAsia" w:cs="宋体"/>
                <w:color w:val="auto"/>
                <w:spacing w:val="11"/>
                <w:highlight w:val="none"/>
                <w:lang w:val="en-US" w:eastAsia="zh-CN"/>
              </w:rPr>
              <w:t>2</w:t>
            </w:r>
            <w:r>
              <w:rPr>
                <w:rFonts w:hint="eastAsia" w:ascii="宋体" w:hAnsi="宋体" w:eastAsia="宋体" w:cs="宋体"/>
                <w:color w:val="auto"/>
                <w:spacing w:val="11"/>
                <w:highlight w:val="none"/>
              </w:rPr>
              <w:t>）投标文件中的已标价报价清单数据文件应与招标人提供的报价清单数据文件格式一致。</w:t>
            </w:r>
          </w:p>
          <w:p w14:paraId="1C0549A2">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459" w:firstLineChars="207"/>
              <w:jc w:val="both"/>
              <w:textAlignment w:val="baseline"/>
              <w:rPr>
                <w:rFonts w:hint="eastAsia" w:ascii="宋体" w:hAnsi="宋体" w:eastAsia="宋体" w:cs="宋体"/>
                <w:color w:val="auto"/>
                <w:spacing w:val="11"/>
                <w:highlight w:val="none"/>
              </w:rPr>
            </w:pPr>
            <w:r>
              <w:rPr>
                <w:rFonts w:hint="eastAsia" w:ascii="宋体" w:hAnsi="宋体" w:eastAsia="宋体" w:cs="宋体"/>
                <w:color w:val="auto"/>
                <w:spacing w:val="11"/>
                <w:highlight w:val="none"/>
              </w:rPr>
              <w:t>（</w:t>
            </w:r>
            <w:r>
              <w:rPr>
                <w:rFonts w:hint="eastAsia" w:cs="宋体"/>
                <w:color w:val="auto"/>
                <w:spacing w:val="11"/>
                <w:highlight w:val="none"/>
                <w:lang w:val="en-US" w:eastAsia="zh-CN"/>
              </w:rPr>
              <w:t>3</w:t>
            </w:r>
            <w:r>
              <w:rPr>
                <w:rFonts w:hint="eastAsia" w:ascii="宋体" w:hAnsi="宋体" w:eastAsia="宋体" w:cs="宋体"/>
                <w:color w:val="auto"/>
                <w:spacing w:val="11"/>
                <w:highlight w:val="none"/>
              </w:rPr>
              <w:t>）投标文件中需签名(签字)的，投标人应按要求使用个人电子签名章进行签名。如投标人法定代表人或其委托代理人或总监理工程师（含备选，如有）或驻地监理工程师（含备选，如有）未办理个人电子签名章的，投标人应打印需要签名的相关页面，本人亲笔签名后扫描上传至投标文件相应位置中。</w:t>
            </w:r>
          </w:p>
          <w:p w14:paraId="738780A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459" w:firstLineChars="207"/>
              <w:jc w:val="both"/>
              <w:textAlignment w:val="baseline"/>
              <w:rPr>
                <w:rFonts w:hint="eastAsia" w:ascii="宋体" w:hAnsi="宋体" w:eastAsia="宋体" w:cs="宋体"/>
                <w:color w:val="auto"/>
                <w:spacing w:val="11"/>
                <w:highlight w:val="none"/>
              </w:rPr>
            </w:pPr>
            <w:r>
              <w:rPr>
                <w:rFonts w:hint="eastAsia" w:ascii="宋体" w:hAnsi="宋体" w:eastAsia="宋体" w:cs="宋体"/>
                <w:color w:val="auto"/>
                <w:spacing w:val="11"/>
                <w:highlight w:val="none"/>
              </w:rPr>
              <w:t>（4）定标佐证资料加盖投标人单位公章。</w:t>
            </w:r>
          </w:p>
          <w:p w14:paraId="14C86D26">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459" w:firstLineChars="207"/>
              <w:jc w:val="both"/>
              <w:textAlignment w:val="baseline"/>
              <w:rPr>
                <w:color w:val="auto"/>
                <w:spacing w:val="4"/>
                <w:highlight w:val="none"/>
              </w:rPr>
            </w:pPr>
            <w:r>
              <w:rPr>
                <w:rFonts w:hint="eastAsia" w:ascii="宋体" w:hAnsi="宋体" w:eastAsia="宋体" w:cs="宋体"/>
                <w:color w:val="auto"/>
                <w:spacing w:val="11"/>
                <w:highlight w:val="none"/>
              </w:rPr>
              <w:t>（</w:t>
            </w:r>
            <w:r>
              <w:rPr>
                <w:rFonts w:hint="eastAsia" w:cs="宋体"/>
                <w:color w:val="auto"/>
                <w:spacing w:val="11"/>
                <w:highlight w:val="none"/>
                <w:lang w:val="en-US" w:eastAsia="zh-CN"/>
              </w:rPr>
              <w:t>5</w:t>
            </w:r>
            <w:r>
              <w:rPr>
                <w:rFonts w:hint="eastAsia" w:ascii="宋体" w:hAnsi="宋体" w:eastAsia="宋体" w:cs="宋体"/>
                <w:color w:val="auto"/>
                <w:spacing w:val="11"/>
                <w:highlight w:val="none"/>
              </w:rPr>
              <w:t>）投标文件（含定标佐证资料）制作完成后，投标人应使用 CA 数字证书对投标文件进行文件加密进行加密并上传到建设工程交易系统。</w:t>
            </w:r>
          </w:p>
        </w:tc>
      </w:tr>
      <w:tr w14:paraId="00CEE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29B059CF">
            <w:pPr>
              <w:pStyle w:val="20"/>
              <w:keepNext w:val="0"/>
              <w:keepLines w:val="0"/>
              <w:pageBreakBefore w:val="0"/>
              <w:widowControl/>
              <w:kinsoku w:val="0"/>
              <w:wordWrap/>
              <w:overflowPunct/>
              <w:topLinePunct w:val="0"/>
              <w:autoSpaceDE w:val="0"/>
              <w:autoSpaceDN w:val="0"/>
              <w:bidi w:val="0"/>
              <w:adjustRightInd w:val="0"/>
              <w:snapToGrid w:val="0"/>
              <w:spacing w:line="285" w:lineRule="exact"/>
              <w:ind w:left="0" w:leftChars="0" w:right="0" w:rightChars="0"/>
              <w:jc w:val="center"/>
              <w:textAlignment w:val="baseline"/>
              <w:rPr>
                <w:rFonts w:hint="eastAsia" w:ascii="宋体" w:hAnsi="宋体" w:cs="宋体"/>
                <w:color w:val="auto"/>
                <w:sz w:val="20"/>
                <w:szCs w:val="20"/>
                <w:highlight w:val="none"/>
                <w:lang w:val="en-US" w:eastAsia="zh-CN"/>
              </w:rPr>
            </w:pPr>
            <w:r>
              <w:rPr>
                <w:rFonts w:hint="eastAsia"/>
                <w:color w:val="auto"/>
                <w:spacing w:val="3"/>
                <w:highlight w:val="none"/>
                <w:lang w:val="en-US" w:eastAsia="zh-CN"/>
              </w:rPr>
              <w:t>4.2</w:t>
            </w:r>
          </w:p>
        </w:tc>
        <w:tc>
          <w:tcPr>
            <w:tcW w:w="8688" w:type="dxa"/>
            <w:gridSpan w:val="3"/>
            <w:vAlign w:val="center"/>
          </w:tcPr>
          <w:p w14:paraId="02349AE1">
            <w:pPr>
              <w:pStyle w:val="23"/>
              <w:keepNext w:val="0"/>
              <w:keepLines w:val="0"/>
              <w:pageBreakBefore w:val="0"/>
              <w:widowControl w:val="0"/>
              <w:kinsoku/>
              <w:wordWrap/>
              <w:overflowPunct/>
              <w:topLinePunct w:val="0"/>
              <w:bidi w:val="0"/>
              <w:snapToGrid/>
              <w:spacing w:line="360" w:lineRule="exact"/>
              <w:ind w:left="105" w:leftChars="50" w:right="283" w:rightChars="0"/>
              <w:textAlignment w:val="auto"/>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rPr>
              <w:t xml:space="preserve">投标人须知正文 </w:t>
            </w:r>
            <w:r>
              <w:rPr>
                <w:rFonts w:hint="eastAsia" w:ascii="宋体" w:hAnsi="宋体" w:eastAsia="宋体" w:cs="宋体"/>
                <w:color w:val="auto"/>
                <w:sz w:val="20"/>
                <w:szCs w:val="20"/>
                <w:highlight w:val="none"/>
                <w:lang w:val="en-US" w:eastAsia="zh-CN"/>
              </w:rPr>
              <w:t>4.2.1</w:t>
            </w:r>
            <w:r>
              <w:rPr>
                <w:rFonts w:hint="eastAsia" w:ascii="宋体" w:hAnsi="宋体" w:eastAsia="宋体" w:cs="宋体"/>
                <w:color w:val="auto"/>
                <w:sz w:val="20"/>
                <w:szCs w:val="20"/>
                <w:highlight w:val="none"/>
              </w:rPr>
              <w:t>项内容修改如下</w:t>
            </w:r>
          </w:p>
          <w:p w14:paraId="61A4E774">
            <w:pPr>
              <w:pStyle w:val="23"/>
              <w:keepNext w:val="0"/>
              <w:keepLines w:val="0"/>
              <w:pageBreakBefore w:val="0"/>
              <w:widowControl w:val="0"/>
              <w:kinsoku/>
              <w:wordWrap/>
              <w:overflowPunct/>
              <w:topLinePunct w:val="0"/>
              <w:bidi w:val="0"/>
              <w:snapToGrid/>
              <w:spacing w:line="360" w:lineRule="exact"/>
              <w:ind w:left="105" w:leftChars="50" w:right="283" w:rightChars="0" w:firstLine="420" w:firstLineChars="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lang w:val="en-US" w:eastAsia="zh-CN"/>
              </w:rPr>
              <w:t>4</w:t>
            </w: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2.</w:t>
            </w:r>
            <w:r>
              <w:rPr>
                <w:rFonts w:hint="eastAsia" w:ascii="宋体" w:hAnsi="宋体" w:eastAsia="宋体" w:cs="宋体"/>
                <w:color w:val="auto"/>
                <w:sz w:val="20"/>
                <w:szCs w:val="20"/>
                <w:highlight w:val="none"/>
                <w:shd w:val="clear" w:color="auto" w:fill="auto"/>
              </w:rPr>
              <w:t xml:space="preserve">1 </w:t>
            </w:r>
            <w:r>
              <w:rPr>
                <w:rFonts w:hint="eastAsia" w:ascii="宋体" w:hAnsi="宋体" w:eastAsia="宋体" w:cs="宋体"/>
                <w:color w:val="auto"/>
                <w:sz w:val="20"/>
                <w:szCs w:val="20"/>
                <w:highlight w:val="none"/>
                <w:shd w:val="clear" w:color="auto" w:fill="auto"/>
                <w:lang w:eastAsia="zh-CN"/>
              </w:rPr>
              <w:t>投标人应在第一章“招标公告”规定的投标截止时间前，</w:t>
            </w:r>
            <w:r>
              <w:rPr>
                <w:rFonts w:hint="eastAsia" w:ascii="宋体" w:hAnsi="宋体" w:eastAsia="宋体" w:cs="宋体"/>
                <w:color w:val="auto"/>
                <w:sz w:val="20"/>
                <w:szCs w:val="20"/>
                <w:highlight w:val="none"/>
                <w:shd w:val="clear" w:color="auto" w:fill="auto"/>
              </w:rPr>
              <w:t>在建设工程交易系统上传加盖了电子印章的投标文件、录入相关信息及标书页码信息，（页码起始从封面开始）并提交投标标书。提交标书为已加密投标文件。具体操作参照全国公共资源交易平台（广东省·韶关市）（https://ygp.gdzwfw.gov.cn/ggzy-portal/#/440200/index），在【服务指引】栏目中发布的最新操作指引。本项目评标采用全流程电子化进行招标投标（投标人应根据全国公共资源交易平台（广东省·韶关市）交易平台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tc>
      </w:tr>
      <w:tr w14:paraId="05211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6F0622B1">
            <w:pPr>
              <w:pStyle w:val="21"/>
              <w:spacing w:line="380" w:lineRule="exact"/>
              <w:ind w:firstLine="0" w:firstLineChars="0"/>
              <w:rPr>
                <w:color w:val="auto"/>
                <w:spacing w:val="3"/>
                <w:sz w:val="20"/>
                <w:szCs w:val="20"/>
                <w:highlight w:val="none"/>
              </w:rPr>
            </w:pPr>
            <w:r>
              <w:rPr>
                <w:rFonts w:hint="eastAsia" w:ascii="宋体" w:hAnsi="宋体" w:cs="宋体"/>
                <w:color w:val="auto"/>
                <w:sz w:val="20"/>
                <w:szCs w:val="20"/>
                <w:highlight w:val="none"/>
                <w:lang w:val="en-US" w:eastAsia="zh-CN"/>
              </w:rPr>
              <w:t>5.2.1</w:t>
            </w:r>
          </w:p>
        </w:tc>
        <w:tc>
          <w:tcPr>
            <w:tcW w:w="8688" w:type="dxa"/>
            <w:gridSpan w:val="3"/>
            <w:vAlign w:val="center"/>
          </w:tcPr>
          <w:p w14:paraId="18C71F47">
            <w:pPr>
              <w:keepNext w:val="0"/>
              <w:keepLines w:val="0"/>
              <w:pageBreakBefore w:val="0"/>
              <w:widowControl w:val="0"/>
              <w:kinsoku/>
              <w:wordWrap w:val="0"/>
              <w:overflowPunct/>
              <w:topLinePunct/>
              <w:autoSpaceDE/>
              <w:autoSpaceDN/>
              <w:bidi w:val="0"/>
              <w:adjustRightInd/>
              <w:snapToGrid/>
              <w:spacing w:line="380" w:lineRule="atLeast"/>
              <w:ind w:right="105" w:rightChars="50"/>
              <w:textAlignment w:val="auto"/>
              <w:rPr>
                <w:rFonts w:hint="eastAsia"/>
                <w:color w:val="auto"/>
                <w:highlight w:val="none"/>
              </w:rPr>
            </w:pPr>
            <w:r>
              <w:rPr>
                <w:rFonts w:hint="eastAsia" w:ascii="宋体" w:hAnsi="宋体" w:eastAsia="宋体" w:cs="宋体"/>
                <w:color w:val="auto"/>
                <w:sz w:val="20"/>
                <w:szCs w:val="20"/>
                <w:highlight w:val="none"/>
              </w:rPr>
              <w:t xml:space="preserve">投标人须知正文 </w:t>
            </w:r>
            <w:r>
              <w:rPr>
                <w:rFonts w:hint="eastAsia" w:ascii="宋体" w:hAnsi="宋体" w:eastAsia="宋体" w:cs="宋体"/>
                <w:color w:val="auto"/>
                <w:sz w:val="20"/>
                <w:szCs w:val="20"/>
                <w:highlight w:val="none"/>
                <w:lang w:val="en-US" w:eastAsia="zh-CN"/>
              </w:rPr>
              <w:t>5.2.1</w:t>
            </w:r>
            <w:r>
              <w:rPr>
                <w:rFonts w:hint="eastAsia" w:ascii="宋体" w:hAnsi="宋体" w:eastAsia="宋体" w:cs="宋体"/>
                <w:color w:val="auto"/>
                <w:sz w:val="20"/>
                <w:szCs w:val="20"/>
                <w:highlight w:val="none"/>
              </w:rPr>
              <w:t>项内容修改如下：</w:t>
            </w:r>
          </w:p>
          <w:p w14:paraId="5FCB1835">
            <w:pPr>
              <w:pStyle w:val="23"/>
              <w:keepNext w:val="0"/>
              <w:keepLines w:val="0"/>
              <w:pageBreakBefore w:val="0"/>
              <w:widowControl w:val="0"/>
              <w:kinsoku/>
              <w:wordWrap w:val="0"/>
              <w:overflowPunct/>
              <w:topLinePunct/>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shd w:val="clear" w:color="auto" w:fill="auto"/>
                <w:lang w:val="en-US" w:eastAsia="zh-CN"/>
              </w:rPr>
              <w:t>招标人将按照本章第5.1款规定的时间和地点对投标文件第一个信封（商务及技术文件）进行开标，主持人按下列程序进行开标：</w:t>
            </w:r>
          </w:p>
          <w:p w14:paraId="73B6610D">
            <w:pPr>
              <w:pStyle w:val="23"/>
              <w:keepNext w:val="0"/>
              <w:keepLines w:val="0"/>
              <w:pageBreakBefore w:val="0"/>
              <w:widowControl w:val="0"/>
              <w:kinsoku/>
              <w:wordWrap w:val="0"/>
              <w:overflowPunct/>
              <w:topLinePunct/>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（1）</w:t>
            </w:r>
            <w:r>
              <w:rPr>
                <w:rFonts w:hint="eastAsia" w:ascii="宋体" w:hAnsi="宋体" w:eastAsia="宋体" w:cs="宋体"/>
                <w:color w:val="auto"/>
                <w:sz w:val="20"/>
                <w:szCs w:val="20"/>
                <w:highlight w:val="none"/>
                <w:shd w:val="clear" w:color="auto" w:fill="auto"/>
                <w:lang w:eastAsia="zh-CN"/>
              </w:rPr>
              <w:t>开标由招标人或其委托的招标代理机构主持，</w:t>
            </w:r>
            <w:r>
              <w:rPr>
                <w:rFonts w:hint="eastAsia" w:ascii="宋体" w:hAnsi="宋体" w:eastAsia="宋体" w:cs="宋体"/>
                <w:color w:val="auto"/>
                <w:sz w:val="20"/>
                <w:szCs w:val="20"/>
                <w:highlight w:val="none"/>
                <w:shd w:val="clear" w:color="auto" w:fill="auto"/>
              </w:rPr>
              <w:t>宣</w:t>
            </w:r>
            <w:r>
              <w:rPr>
                <w:rFonts w:hint="eastAsia" w:ascii="宋体" w:hAnsi="宋体" w:eastAsia="宋体" w:cs="宋体"/>
                <w:color w:val="auto"/>
                <w:sz w:val="20"/>
                <w:szCs w:val="20"/>
                <w:highlight w:val="none"/>
                <w:shd w:val="clear" w:color="auto" w:fill="auto"/>
                <w:lang w:eastAsia="zh-CN"/>
              </w:rPr>
              <w:t>布</w:t>
            </w:r>
            <w:r>
              <w:rPr>
                <w:rFonts w:hint="eastAsia" w:ascii="宋体" w:hAnsi="宋体" w:eastAsia="宋体" w:cs="宋体"/>
                <w:color w:val="auto"/>
                <w:sz w:val="20"/>
                <w:szCs w:val="20"/>
                <w:highlight w:val="none"/>
                <w:shd w:val="clear" w:color="auto" w:fill="auto"/>
              </w:rPr>
              <w:t>开标纪律。</w:t>
            </w:r>
          </w:p>
          <w:p w14:paraId="7D84412B">
            <w:pPr>
              <w:pStyle w:val="23"/>
              <w:keepNext w:val="0"/>
              <w:keepLines w:val="0"/>
              <w:pageBreakBefore w:val="0"/>
              <w:widowControl w:val="0"/>
              <w:kinsoku/>
              <w:wordWrap w:val="0"/>
              <w:overflowPunct/>
              <w:topLinePunct/>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（2）宣布唱标人、记录人、见证人、监督人等有关人员。</w:t>
            </w:r>
          </w:p>
          <w:p w14:paraId="4D8CC357">
            <w:pPr>
              <w:pStyle w:val="23"/>
              <w:keepNext w:val="0"/>
              <w:keepLines w:val="0"/>
              <w:pageBreakBefore w:val="0"/>
              <w:widowControl w:val="0"/>
              <w:kinsoku/>
              <w:wordWrap w:val="0"/>
              <w:overflowPunct/>
              <w:topLinePunct/>
              <w:bidi w:val="0"/>
              <w:snapToGrid/>
              <w:spacing w:before="6" w:line="360" w:lineRule="auto"/>
              <w:ind w:right="225" w:firstLine="400" w:firstLineChars="20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3</w:t>
            </w:r>
            <w:r>
              <w:rPr>
                <w:rFonts w:hint="eastAsia" w:ascii="宋体" w:hAnsi="宋体" w:eastAsia="宋体" w:cs="宋体"/>
                <w:color w:val="auto"/>
                <w:sz w:val="20"/>
                <w:szCs w:val="20"/>
                <w:highlight w:val="none"/>
                <w:shd w:val="clear" w:color="auto" w:fill="auto"/>
              </w:rPr>
              <w:t>）在公共资源交易场所工作人员见证下由招标代理机构对投标人的电子投标信息进行解密，建设工程交易系统自动生成</w:t>
            </w:r>
            <w:r>
              <w:rPr>
                <w:rFonts w:hint="eastAsia" w:ascii="宋体" w:hAnsi="宋体" w:eastAsia="宋体" w:cs="宋体"/>
                <w:color w:val="auto"/>
                <w:sz w:val="20"/>
                <w:szCs w:val="20"/>
                <w:highlight w:val="none"/>
                <w:shd w:val="clear" w:color="auto" w:fill="auto"/>
                <w:lang w:eastAsia="zh-CN"/>
              </w:rPr>
              <w:t>并公布</w:t>
            </w:r>
            <w:r>
              <w:rPr>
                <w:rFonts w:hint="eastAsia" w:ascii="宋体" w:hAnsi="宋体" w:eastAsia="宋体" w:cs="宋体"/>
                <w:color w:val="auto"/>
                <w:sz w:val="20"/>
                <w:szCs w:val="20"/>
                <w:highlight w:val="none"/>
                <w:shd w:val="clear" w:color="auto" w:fill="auto"/>
              </w:rPr>
              <w:t>《投标保证缴纳情况表》和《开标一览表</w:t>
            </w:r>
            <w:r>
              <w:rPr>
                <w:rFonts w:hint="eastAsia" w:ascii="宋体" w:hAnsi="宋体" w:eastAsia="宋体" w:cs="宋体"/>
                <w:color w:val="auto"/>
                <w:sz w:val="20"/>
                <w:szCs w:val="20"/>
                <w:highlight w:val="none"/>
                <w:shd w:val="clear" w:color="auto" w:fill="auto"/>
                <w:lang w:eastAsia="zh-CN"/>
              </w:rPr>
              <w:t>（第一信封）</w:t>
            </w:r>
            <w:r>
              <w:rPr>
                <w:rFonts w:hint="eastAsia" w:ascii="宋体" w:hAnsi="宋体" w:eastAsia="宋体" w:cs="宋体"/>
                <w:color w:val="auto"/>
                <w:sz w:val="20"/>
                <w:szCs w:val="20"/>
                <w:highlight w:val="none"/>
                <w:shd w:val="clear" w:color="auto" w:fill="auto"/>
              </w:rPr>
              <w:t>》。</w:t>
            </w:r>
          </w:p>
          <w:p w14:paraId="3B470F0B">
            <w:pPr>
              <w:pStyle w:val="23"/>
              <w:keepNext w:val="0"/>
              <w:keepLines w:val="0"/>
              <w:pageBreakBefore w:val="0"/>
              <w:widowControl w:val="0"/>
              <w:kinsoku/>
              <w:wordWrap w:val="0"/>
              <w:overflowPunct/>
              <w:topLinePunct/>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4</w:t>
            </w:r>
            <w:r>
              <w:rPr>
                <w:rFonts w:hint="eastAsia" w:ascii="宋体" w:hAnsi="宋体" w:eastAsia="宋体" w:cs="宋体"/>
                <w:color w:val="auto"/>
                <w:sz w:val="20"/>
                <w:szCs w:val="20"/>
                <w:highlight w:val="none"/>
                <w:shd w:val="clear" w:color="auto" w:fill="auto"/>
              </w:rPr>
              <w:t>）异议环节</w:t>
            </w:r>
            <w:r>
              <w:rPr>
                <w:rFonts w:hint="eastAsia" w:ascii="宋体" w:hAnsi="宋体" w:eastAsia="宋体" w:cs="宋体"/>
                <w:color w:val="auto"/>
                <w:sz w:val="20"/>
                <w:szCs w:val="20"/>
                <w:highlight w:val="none"/>
                <w:shd w:val="clear" w:color="auto" w:fill="auto"/>
                <w:lang w:eastAsia="zh-CN"/>
              </w:rPr>
              <w:t>。</w:t>
            </w:r>
          </w:p>
          <w:p w14:paraId="30527025">
            <w:pPr>
              <w:pStyle w:val="23"/>
              <w:keepNext w:val="0"/>
              <w:keepLines w:val="0"/>
              <w:pageBreakBefore w:val="0"/>
              <w:widowControl w:val="0"/>
              <w:kinsoku/>
              <w:wordWrap w:val="0"/>
              <w:overflowPunct/>
              <w:topLinePunct/>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5</w:t>
            </w:r>
            <w:r>
              <w:rPr>
                <w:rFonts w:hint="eastAsia" w:ascii="宋体" w:hAnsi="宋体" w:eastAsia="宋体" w:cs="宋体"/>
                <w:color w:val="auto"/>
                <w:sz w:val="20"/>
                <w:szCs w:val="20"/>
                <w:highlight w:val="none"/>
                <w:shd w:val="clear" w:color="auto" w:fill="auto"/>
              </w:rPr>
              <w:t>）招标人代表、唱标人、记录人等有关人员在《投标保证缴纳情况表》以及《开标一览表</w:t>
            </w:r>
            <w:r>
              <w:rPr>
                <w:rFonts w:hint="eastAsia" w:ascii="宋体" w:hAnsi="宋体" w:eastAsia="宋体" w:cs="宋体"/>
                <w:color w:val="auto"/>
                <w:sz w:val="20"/>
                <w:szCs w:val="20"/>
                <w:highlight w:val="none"/>
                <w:shd w:val="clear" w:color="auto" w:fill="auto"/>
                <w:lang w:eastAsia="zh-CN"/>
              </w:rPr>
              <w:t>（第一信封）</w:t>
            </w:r>
            <w:r>
              <w:rPr>
                <w:rFonts w:hint="eastAsia" w:ascii="宋体" w:hAnsi="宋体" w:eastAsia="宋体" w:cs="宋体"/>
                <w:color w:val="auto"/>
                <w:sz w:val="20"/>
                <w:szCs w:val="20"/>
                <w:highlight w:val="none"/>
                <w:shd w:val="clear" w:color="auto" w:fill="auto"/>
              </w:rPr>
              <w:t>》上签字确认。</w:t>
            </w:r>
          </w:p>
          <w:p w14:paraId="5FDE817B">
            <w:pPr>
              <w:pStyle w:val="23"/>
              <w:keepNext w:val="0"/>
              <w:keepLines w:val="0"/>
              <w:pageBreakBefore w:val="0"/>
              <w:widowControl w:val="0"/>
              <w:kinsoku/>
              <w:wordWrap w:val="0"/>
              <w:overflowPunct/>
              <w:topLinePunct/>
              <w:bidi w:val="0"/>
              <w:snapToGrid/>
              <w:spacing w:before="6" w:line="360" w:lineRule="auto"/>
              <w:ind w:left="4" w:leftChars="0" w:right="225" w:rightChars="0" w:firstLine="420" w:firstLineChars="0"/>
              <w:textAlignment w:val="auto"/>
              <w:rPr>
                <w:color w:val="auto"/>
                <w:spacing w:val="4"/>
                <w:sz w:val="20"/>
                <w:szCs w:val="20"/>
                <w:highlight w:val="none"/>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8</w:t>
            </w:r>
            <w:r>
              <w:rPr>
                <w:rFonts w:hint="eastAsia" w:ascii="宋体" w:hAnsi="宋体" w:eastAsia="宋体" w:cs="宋体"/>
                <w:color w:val="auto"/>
                <w:sz w:val="20"/>
                <w:szCs w:val="20"/>
                <w:highlight w:val="none"/>
                <w:shd w:val="clear" w:color="auto" w:fill="auto"/>
              </w:rPr>
              <w:t>）主持人宣布有关注意事项后，宣布</w:t>
            </w:r>
            <w:r>
              <w:rPr>
                <w:rFonts w:hint="eastAsia" w:ascii="宋体" w:hAnsi="宋体" w:eastAsia="宋体" w:cs="宋体"/>
                <w:color w:val="auto"/>
                <w:sz w:val="20"/>
                <w:szCs w:val="20"/>
                <w:highlight w:val="none"/>
                <w:shd w:val="clear" w:color="auto" w:fill="auto"/>
                <w:lang w:val="en-US" w:eastAsia="zh-CN"/>
              </w:rPr>
              <w:t>第一个信封（商务及技术文件）</w:t>
            </w:r>
            <w:r>
              <w:rPr>
                <w:rFonts w:hint="eastAsia" w:ascii="宋体" w:hAnsi="宋体" w:eastAsia="宋体" w:cs="宋体"/>
                <w:color w:val="auto"/>
                <w:sz w:val="20"/>
                <w:szCs w:val="20"/>
                <w:highlight w:val="none"/>
                <w:shd w:val="clear" w:color="auto" w:fill="auto"/>
              </w:rPr>
              <w:t>开标结束。</w:t>
            </w:r>
          </w:p>
        </w:tc>
      </w:tr>
      <w:tr w14:paraId="01AA8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13" w:type="dxa"/>
            <w:vAlign w:val="center"/>
          </w:tcPr>
          <w:p w14:paraId="5ECAC9B0">
            <w:pPr>
              <w:pStyle w:val="21"/>
              <w:spacing w:line="380" w:lineRule="exact"/>
              <w:ind w:firstLine="0" w:firstLineChars="0"/>
              <w:rPr>
                <w:rFonts w:hint="eastAsia" w:ascii="宋体" w:hAnsi="宋体" w:eastAsia="宋体" w:cs="宋体"/>
                <w:color w:val="auto"/>
                <w:spacing w:val="3"/>
                <w:sz w:val="20"/>
                <w:szCs w:val="20"/>
                <w:highlight w:val="none"/>
              </w:rPr>
            </w:pPr>
            <w:r>
              <w:rPr>
                <w:rFonts w:hint="eastAsia" w:ascii="宋体" w:hAnsi="宋体" w:eastAsia="宋体" w:cs="宋体"/>
                <w:color w:val="auto"/>
                <w:sz w:val="20"/>
                <w:szCs w:val="20"/>
                <w:highlight w:val="none"/>
                <w:lang w:val="en-US" w:eastAsia="zh-CN"/>
              </w:rPr>
              <w:t>5.2.3</w:t>
            </w:r>
          </w:p>
        </w:tc>
        <w:tc>
          <w:tcPr>
            <w:tcW w:w="8688" w:type="dxa"/>
            <w:gridSpan w:val="3"/>
            <w:vAlign w:val="center"/>
          </w:tcPr>
          <w:p w14:paraId="43930EE4">
            <w:pPr>
              <w:keepNext w:val="0"/>
              <w:keepLines w:val="0"/>
              <w:pageBreakBefore w:val="0"/>
              <w:widowControl w:val="0"/>
              <w:kinsoku/>
              <w:wordWrap/>
              <w:overflowPunct/>
              <w:topLinePunct w:val="0"/>
              <w:autoSpaceDE/>
              <w:autoSpaceDN/>
              <w:bidi w:val="0"/>
              <w:adjustRightInd/>
              <w:snapToGrid/>
              <w:spacing w:line="380" w:lineRule="atLeast"/>
              <w:ind w:right="105" w:rightChars="5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投标人须知正文 </w:t>
            </w:r>
            <w:r>
              <w:rPr>
                <w:rFonts w:hint="eastAsia" w:ascii="宋体" w:hAnsi="宋体" w:eastAsia="宋体" w:cs="宋体"/>
                <w:color w:val="auto"/>
                <w:sz w:val="20"/>
                <w:szCs w:val="20"/>
                <w:highlight w:val="none"/>
                <w:lang w:val="en-US" w:eastAsia="zh-CN"/>
              </w:rPr>
              <w:t>5.2.3</w:t>
            </w:r>
            <w:r>
              <w:rPr>
                <w:rFonts w:hint="eastAsia" w:ascii="宋体" w:hAnsi="宋体" w:eastAsia="宋体" w:cs="宋体"/>
                <w:color w:val="auto"/>
                <w:sz w:val="20"/>
                <w:szCs w:val="20"/>
                <w:highlight w:val="none"/>
              </w:rPr>
              <w:t>项内容修改如下：</w:t>
            </w:r>
          </w:p>
          <w:p w14:paraId="3961A80E">
            <w:pPr>
              <w:pStyle w:val="24"/>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shd w:val="clear" w:color="auto" w:fill="auto"/>
                <w:lang w:val="en-US" w:eastAsia="zh-CN"/>
              </w:rPr>
              <w:t>招标人将按照本章5.1款规定的时间和地点对第二个信封（报价文件）进行开标。主持人按下列程序进行开标：</w:t>
            </w:r>
          </w:p>
          <w:p w14:paraId="027881C1">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（1）</w:t>
            </w:r>
            <w:r>
              <w:rPr>
                <w:rFonts w:hint="eastAsia" w:ascii="宋体" w:hAnsi="宋体" w:eastAsia="宋体" w:cs="宋体"/>
                <w:color w:val="auto"/>
                <w:sz w:val="20"/>
                <w:szCs w:val="20"/>
                <w:highlight w:val="none"/>
                <w:shd w:val="clear" w:color="auto" w:fill="auto"/>
                <w:lang w:eastAsia="zh-CN"/>
              </w:rPr>
              <w:t>开标由招标人或其委托的招标代理机构主持，</w:t>
            </w:r>
            <w:r>
              <w:rPr>
                <w:rFonts w:hint="eastAsia" w:ascii="宋体" w:hAnsi="宋体" w:eastAsia="宋体" w:cs="宋体"/>
                <w:color w:val="auto"/>
                <w:sz w:val="20"/>
                <w:szCs w:val="20"/>
                <w:highlight w:val="none"/>
                <w:shd w:val="clear" w:color="auto" w:fill="auto"/>
              </w:rPr>
              <w:t>宣</w:t>
            </w:r>
            <w:r>
              <w:rPr>
                <w:rFonts w:hint="eastAsia" w:ascii="宋体" w:hAnsi="宋体" w:eastAsia="宋体" w:cs="宋体"/>
                <w:color w:val="auto"/>
                <w:sz w:val="20"/>
                <w:szCs w:val="20"/>
                <w:highlight w:val="none"/>
                <w:shd w:val="clear" w:color="auto" w:fill="auto"/>
                <w:lang w:eastAsia="zh-CN"/>
              </w:rPr>
              <w:t>布</w:t>
            </w:r>
            <w:r>
              <w:rPr>
                <w:rFonts w:hint="eastAsia" w:ascii="宋体" w:hAnsi="宋体" w:eastAsia="宋体" w:cs="宋体"/>
                <w:color w:val="auto"/>
                <w:sz w:val="20"/>
                <w:szCs w:val="20"/>
                <w:highlight w:val="none"/>
                <w:shd w:val="clear" w:color="auto" w:fill="auto"/>
              </w:rPr>
              <w:t>开标纪律。</w:t>
            </w:r>
          </w:p>
          <w:p w14:paraId="5C2E083E">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2</w:t>
            </w:r>
            <w:r>
              <w:rPr>
                <w:rFonts w:hint="eastAsia" w:ascii="宋体" w:hAnsi="宋体" w:eastAsia="宋体" w:cs="宋体"/>
                <w:color w:val="auto"/>
                <w:sz w:val="20"/>
                <w:szCs w:val="20"/>
                <w:highlight w:val="none"/>
                <w:shd w:val="clear" w:color="auto" w:fill="auto"/>
              </w:rPr>
              <w:t>）主持人宣布唱标人、记录人、见证人、监督人等有关人员。</w:t>
            </w:r>
          </w:p>
          <w:p w14:paraId="4BEE5DE0">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3</w:t>
            </w:r>
            <w:r>
              <w:rPr>
                <w:rFonts w:hint="eastAsia" w:ascii="宋体" w:hAnsi="宋体" w:eastAsia="宋体" w:cs="宋体"/>
                <w:color w:val="auto"/>
                <w:sz w:val="20"/>
                <w:szCs w:val="20"/>
                <w:highlight w:val="none"/>
                <w:shd w:val="clear" w:color="auto" w:fill="auto"/>
              </w:rPr>
              <w:t>）摇取下浮率（如需）、评标价 E 值（如需），在开标现场采取摇珠方式确定。摇珠操作办法详见评标办法。</w:t>
            </w:r>
          </w:p>
          <w:p w14:paraId="36B7627D">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（4）招标人或招标代理机构宣布第一个信封（商务及技术文件）评审结果。投标人未通过第一个信封（商务及技术文件）评审的，对应标段的第二个信封（报价文件）不予开标。</w:t>
            </w:r>
          </w:p>
          <w:p w14:paraId="101E6D39">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5</w:t>
            </w:r>
            <w:r>
              <w:rPr>
                <w:rFonts w:hint="eastAsia" w:ascii="宋体" w:hAnsi="宋体" w:eastAsia="宋体" w:cs="宋体"/>
                <w:color w:val="auto"/>
                <w:sz w:val="20"/>
                <w:szCs w:val="20"/>
                <w:highlight w:val="none"/>
                <w:shd w:val="clear" w:color="auto" w:fill="auto"/>
              </w:rPr>
              <w:t>）建设工程交易系统自动生成</w:t>
            </w:r>
            <w:r>
              <w:rPr>
                <w:rFonts w:hint="eastAsia" w:ascii="宋体" w:hAnsi="宋体" w:eastAsia="宋体" w:cs="宋体"/>
                <w:color w:val="auto"/>
                <w:sz w:val="20"/>
                <w:szCs w:val="20"/>
                <w:highlight w:val="none"/>
                <w:shd w:val="clear" w:color="auto" w:fill="auto"/>
                <w:lang w:eastAsia="zh-CN"/>
              </w:rPr>
              <w:t>并公布</w:t>
            </w:r>
            <w:r>
              <w:rPr>
                <w:rFonts w:hint="eastAsia" w:ascii="宋体" w:hAnsi="宋体" w:eastAsia="宋体" w:cs="宋体"/>
                <w:color w:val="auto"/>
                <w:sz w:val="20"/>
                <w:szCs w:val="20"/>
                <w:highlight w:val="none"/>
                <w:shd w:val="clear" w:color="auto" w:fill="auto"/>
              </w:rPr>
              <w:t>《开标一览表</w:t>
            </w:r>
            <w:r>
              <w:rPr>
                <w:rFonts w:hint="eastAsia" w:ascii="宋体" w:hAnsi="宋体" w:eastAsia="宋体" w:cs="宋体"/>
                <w:color w:val="auto"/>
                <w:sz w:val="20"/>
                <w:szCs w:val="20"/>
                <w:highlight w:val="none"/>
                <w:shd w:val="clear" w:color="auto" w:fill="auto"/>
                <w:lang w:eastAsia="zh-CN"/>
              </w:rPr>
              <w:t>（第二信封）</w:t>
            </w:r>
            <w:r>
              <w:rPr>
                <w:rFonts w:hint="eastAsia" w:ascii="宋体" w:hAnsi="宋体" w:eastAsia="宋体" w:cs="宋体"/>
                <w:color w:val="auto"/>
                <w:sz w:val="20"/>
                <w:szCs w:val="20"/>
                <w:highlight w:val="none"/>
                <w:shd w:val="clear" w:color="auto" w:fill="auto"/>
              </w:rPr>
              <w:t>》。</w:t>
            </w:r>
          </w:p>
          <w:p w14:paraId="0E03A01B">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lang w:val="en-US" w:eastAsia="zh-CN"/>
              </w:rPr>
            </w:pPr>
            <w:r>
              <w:rPr>
                <w:rFonts w:hint="eastAsia" w:ascii="宋体" w:hAnsi="宋体" w:eastAsia="宋体" w:cs="宋体"/>
                <w:color w:val="auto"/>
                <w:sz w:val="20"/>
                <w:szCs w:val="20"/>
                <w:highlight w:val="none"/>
                <w:shd w:val="clear" w:color="auto" w:fill="auto"/>
              </w:rPr>
              <w:t>（6）异议环节</w:t>
            </w:r>
            <w:r>
              <w:rPr>
                <w:rFonts w:hint="eastAsia" w:ascii="宋体" w:hAnsi="宋体" w:eastAsia="宋体" w:cs="宋体"/>
                <w:color w:val="auto"/>
                <w:sz w:val="20"/>
                <w:szCs w:val="20"/>
                <w:highlight w:val="none"/>
                <w:shd w:val="clear" w:color="auto" w:fill="auto"/>
                <w:lang w:eastAsia="zh-CN"/>
              </w:rPr>
              <w:t>。</w:t>
            </w:r>
          </w:p>
          <w:p w14:paraId="1C4449CE">
            <w:pPr>
              <w:pStyle w:val="23"/>
              <w:keepNext w:val="0"/>
              <w:keepLines w:val="0"/>
              <w:pageBreakBefore w:val="0"/>
              <w:widowControl w:val="0"/>
              <w:kinsoku/>
              <w:overflowPunct/>
              <w:topLinePunct w:val="0"/>
              <w:bidi w:val="0"/>
              <w:snapToGrid/>
              <w:spacing w:before="6" w:line="360" w:lineRule="auto"/>
              <w:ind w:left="4" w:right="225" w:firstLine="420"/>
              <w:textAlignment w:val="auto"/>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7</w:t>
            </w:r>
            <w:r>
              <w:rPr>
                <w:rFonts w:hint="eastAsia" w:ascii="宋体" w:hAnsi="宋体" w:eastAsia="宋体" w:cs="宋体"/>
                <w:color w:val="auto"/>
                <w:sz w:val="20"/>
                <w:szCs w:val="20"/>
                <w:highlight w:val="none"/>
                <w:shd w:val="clear" w:color="auto" w:fill="auto"/>
              </w:rPr>
              <w:t>）招标人代表、唱标人、记录人等有关人员在《开标一览表</w:t>
            </w:r>
            <w:r>
              <w:rPr>
                <w:rFonts w:hint="eastAsia" w:ascii="宋体" w:hAnsi="宋体" w:eastAsia="宋体" w:cs="宋体"/>
                <w:color w:val="auto"/>
                <w:sz w:val="20"/>
                <w:szCs w:val="20"/>
                <w:highlight w:val="none"/>
                <w:shd w:val="clear" w:color="auto" w:fill="auto"/>
                <w:lang w:eastAsia="zh-CN"/>
              </w:rPr>
              <w:t>（第二信封）</w:t>
            </w:r>
            <w:r>
              <w:rPr>
                <w:rFonts w:hint="eastAsia" w:ascii="宋体" w:hAnsi="宋体" w:eastAsia="宋体" w:cs="宋体"/>
                <w:color w:val="auto"/>
                <w:sz w:val="20"/>
                <w:szCs w:val="20"/>
                <w:highlight w:val="none"/>
                <w:shd w:val="clear" w:color="auto" w:fill="auto"/>
              </w:rPr>
              <w:t>》上签字确认。</w:t>
            </w:r>
          </w:p>
          <w:p w14:paraId="64C9377C">
            <w:pPr>
              <w:pStyle w:val="21"/>
              <w:spacing w:line="380" w:lineRule="exact"/>
              <w:ind w:firstLine="400" w:firstLineChars="200"/>
              <w:jc w:val="both"/>
              <w:rPr>
                <w:rFonts w:hint="eastAsia" w:ascii="宋体" w:hAnsi="宋体" w:eastAsia="宋体" w:cs="宋体"/>
                <w:color w:val="auto"/>
                <w:spacing w:val="4"/>
                <w:sz w:val="20"/>
                <w:szCs w:val="20"/>
                <w:highlight w:val="none"/>
              </w:rPr>
            </w:pPr>
            <w:r>
              <w:rPr>
                <w:rFonts w:hint="eastAsia" w:ascii="宋体" w:hAnsi="宋体" w:eastAsia="宋体" w:cs="宋体"/>
                <w:color w:val="auto"/>
                <w:sz w:val="20"/>
                <w:szCs w:val="20"/>
                <w:highlight w:val="none"/>
                <w:shd w:val="clear" w:color="auto" w:fill="auto"/>
              </w:rPr>
              <w:t>（</w:t>
            </w:r>
            <w:r>
              <w:rPr>
                <w:rFonts w:hint="eastAsia" w:ascii="宋体" w:hAnsi="宋体" w:eastAsia="宋体" w:cs="宋体"/>
                <w:color w:val="auto"/>
                <w:sz w:val="20"/>
                <w:szCs w:val="20"/>
                <w:highlight w:val="none"/>
                <w:shd w:val="clear" w:color="auto" w:fill="auto"/>
                <w:lang w:val="en-US" w:eastAsia="zh-CN"/>
              </w:rPr>
              <w:t>8</w:t>
            </w:r>
            <w:r>
              <w:rPr>
                <w:rFonts w:hint="eastAsia" w:ascii="宋体" w:hAnsi="宋体" w:eastAsia="宋体" w:cs="宋体"/>
                <w:color w:val="auto"/>
                <w:sz w:val="20"/>
                <w:szCs w:val="20"/>
                <w:highlight w:val="none"/>
                <w:shd w:val="clear" w:color="auto" w:fill="auto"/>
              </w:rPr>
              <w:t>）宣布</w:t>
            </w:r>
            <w:r>
              <w:rPr>
                <w:rFonts w:hint="eastAsia" w:ascii="宋体" w:hAnsi="宋体" w:eastAsia="宋体" w:cs="宋体"/>
                <w:color w:val="auto"/>
                <w:sz w:val="20"/>
                <w:szCs w:val="20"/>
                <w:highlight w:val="none"/>
                <w:shd w:val="clear" w:color="auto" w:fill="auto"/>
                <w:lang w:val="en-US" w:eastAsia="zh-CN"/>
              </w:rPr>
              <w:t>第二个信封（报价文件）</w:t>
            </w:r>
            <w:r>
              <w:rPr>
                <w:rFonts w:hint="eastAsia" w:ascii="宋体" w:hAnsi="宋体" w:eastAsia="宋体" w:cs="宋体"/>
                <w:color w:val="auto"/>
                <w:sz w:val="20"/>
                <w:szCs w:val="20"/>
                <w:highlight w:val="none"/>
                <w:shd w:val="clear" w:color="auto" w:fill="auto"/>
              </w:rPr>
              <w:t>开标结束。</w:t>
            </w:r>
          </w:p>
        </w:tc>
      </w:tr>
      <w:tr w14:paraId="4C16A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0" w:hRule="atLeast"/>
        </w:trPr>
        <w:tc>
          <w:tcPr>
            <w:tcW w:w="1013" w:type="dxa"/>
            <w:vAlign w:val="center"/>
          </w:tcPr>
          <w:p w14:paraId="42C6E750">
            <w:pPr>
              <w:pStyle w:val="21"/>
              <w:spacing w:line="380" w:lineRule="exact"/>
              <w:ind w:firstLine="0" w:firstLineChars="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5.4</w:t>
            </w:r>
          </w:p>
        </w:tc>
        <w:tc>
          <w:tcPr>
            <w:tcW w:w="8688" w:type="dxa"/>
            <w:gridSpan w:val="3"/>
            <w:vAlign w:val="center"/>
          </w:tcPr>
          <w:p w14:paraId="03AEA6A4">
            <w:pPr>
              <w:pStyle w:val="21"/>
              <w:keepNext w:val="0"/>
              <w:keepLines w:val="0"/>
              <w:pageBreakBefore w:val="0"/>
              <w:widowControl w:val="0"/>
              <w:kinsoku w:val="0"/>
              <w:wordWrap/>
              <w:overflowPunct/>
              <w:topLinePunct w:val="0"/>
              <w:autoSpaceDE w:val="0"/>
              <w:autoSpaceDN w:val="0"/>
              <w:bidi w:val="0"/>
              <w:adjustRightInd w:val="0"/>
              <w:snapToGrid w:val="0"/>
              <w:spacing w:line="360" w:lineRule="exact"/>
              <w:ind w:left="105" w:leftChars="50" w:right="105" w:rightChars="50"/>
              <w:jc w:val="both"/>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投标人须知正文5.4项内容修改如下：</w:t>
            </w:r>
          </w:p>
          <w:p w14:paraId="40ED72C7">
            <w:pPr>
              <w:pStyle w:val="21"/>
              <w:keepNext w:val="0"/>
              <w:keepLines w:val="0"/>
              <w:pageBreakBefore w:val="0"/>
              <w:widowControl w:val="0"/>
              <w:kinsoku w:val="0"/>
              <w:wordWrap/>
              <w:overflowPunct/>
              <w:topLinePunct w:val="0"/>
              <w:autoSpaceDE w:val="0"/>
              <w:autoSpaceDN w:val="0"/>
              <w:bidi w:val="0"/>
              <w:adjustRightInd w:val="0"/>
              <w:snapToGrid w:val="0"/>
              <w:spacing w:line="360" w:lineRule="exact"/>
              <w:ind w:left="105" w:leftChars="50" w:right="105" w:rightChars="50"/>
              <w:jc w:val="both"/>
              <w:textAlignment w:val="baseline"/>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5.4开标补救措施</w:t>
            </w:r>
          </w:p>
          <w:p w14:paraId="091501B3">
            <w:pPr>
              <w:pStyle w:val="21"/>
              <w:keepNext w:val="0"/>
              <w:keepLines w:val="0"/>
              <w:pageBreakBefore w:val="0"/>
              <w:widowControl w:val="0"/>
              <w:kinsoku w:val="0"/>
              <w:wordWrap/>
              <w:overflowPunct/>
              <w:topLinePunct w:val="0"/>
              <w:autoSpaceDE w:val="0"/>
              <w:autoSpaceDN w:val="0"/>
              <w:bidi w:val="0"/>
              <w:adjustRightInd w:val="0"/>
              <w:snapToGrid w:val="0"/>
              <w:spacing w:line="360" w:lineRule="exact"/>
              <w:ind w:left="105" w:leftChars="50" w:right="105" w:rightChars="50" w:firstLine="400" w:firstLineChars="200"/>
              <w:jc w:val="both"/>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5.4.1 按照交易平台关于全流程电子化项目的相关指引进行操作。详见：全国公共资源交易平台（广东省·韶关市）（https://ygp.gdzwfw.gov.cn/ggzy-portal/#/440200/index）交易指引栏目发布的最新版操作指引。  </w:t>
            </w:r>
          </w:p>
          <w:p w14:paraId="23FFC58C">
            <w:pPr>
              <w:pStyle w:val="21"/>
              <w:keepNext w:val="0"/>
              <w:keepLines w:val="0"/>
              <w:pageBreakBefore w:val="0"/>
              <w:widowControl w:val="0"/>
              <w:kinsoku w:val="0"/>
              <w:wordWrap/>
              <w:overflowPunct/>
              <w:topLinePunct w:val="0"/>
              <w:autoSpaceDE w:val="0"/>
              <w:autoSpaceDN w:val="0"/>
              <w:bidi w:val="0"/>
              <w:adjustRightInd w:val="0"/>
              <w:snapToGrid w:val="0"/>
              <w:spacing w:line="360" w:lineRule="exact"/>
              <w:ind w:left="105" w:leftChars="50" w:right="105" w:rightChars="50" w:firstLine="376" w:firstLineChars="200"/>
              <w:jc w:val="both"/>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pacing w:val="-6"/>
                <w:sz w:val="20"/>
                <w:szCs w:val="20"/>
                <w:highlight w:val="none"/>
                <w:lang w:val="en-US" w:eastAsia="zh-CN"/>
              </w:rPr>
              <w:t>5.4.2 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r>
              <w:rPr>
                <w:rFonts w:hint="eastAsia" w:ascii="宋体" w:hAnsi="宋体" w:eastAsia="宋体" w:cs="宋体"/>
                <w:color w:val="auto"/>
                <w:sz w:val="20"/>
                <w:szCs w:val="20"/>
                <w:highlight w:val="none"/>
                <w:lang w:val="en-US" w:eastAsia="zh-CN"/>
              </w:rPr>
              <w:t>。</w:t>
            </w:r>
          </w:p>
          <w:p w14:paraId="094477F4">
            <w:pPr>
              <w:pStyle w:val="21"/>
              <w:keepNext w:val="0"/>
              <w:keepLines w:val="0"/>
              <w:pageBreakBefore w:val="0"/>
              <w:widowControl w:val="0"/>
              <w:kinsoku w:val="0"/>
              <w:wordWrap/>
              <w:overflowPunct/>
              <w:topLinePunct w:val="0"/>
              <w:autoSpaceDE w:val="0"/>
              <w:autoSpaceDN w:val="0"/>
              <w:bidi w:val="0"/>
              <w:adjustRightInd w:val="0"/>
              <w:snapToGrid w:val="0"/>
              <w:spacing w:line="360" w:lineRule="exact"/>
              <w:ind w:left="105" w:leftChars="50" w:right="105" w:rightChars="50" w:firstLine="400" w:firstLineChars="200"/>
              <w:jc w:val="both"/>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除发生上述情况外，开标均以投标人通过交易平台网上递交的电子投标文件为准。</w:t>
            </w:r>
          </w:p>
        </w:tc>
      </w:tr>
      <w:tr w14:paraId="520E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0" w:hRule="atLeast"/>
        </w:trPr>
        <w:tc>
          <w:tcPr>
            <w:tcW w:w="1013" w:type="dxa"/>
            <w:vAlign w:val="center"/>
          </w:tcPr>
          <w:p w14:paraId="38DD52AB">
            <w:pPr>
              <w:pStyle w:val="21"/>
              <w:spacing w:line="380" w:lineRule="exact"/>
              <w:ind w:firstLine="0" w:firstLineChars="0"/>
              <w:rPr>
                <w:rFonts w:hint="eastAsia" w:ascii="宋体" w:hAnsi="宋体" w:eastAsia="宋体" w:cs="宋体"/>
                <w:color w:val="auto"/>
                <w:sz w:val="20"/>
                <w:szCs w:val="20"/>
                <w:highlight w:val="none"/>
                <w:lang w:val="en-US" w:eastAsia="zh-CN"/>
              </w:rPr>
            </w:pPr>
            <w:r>
              <w:rPr>
                <w:rFonts w:ascii="宋体" w:hAnsi="宋体" w:eastAsia="宋体" w:cs="宋体"/>
                <w:color w:val="auto"/>
                <w:spacing w:val="-1"/>
                <w:sz w:val="20"/>
                <w:szCs w:val="20"/>
                <w:highlight w:val="none"/>
              </w:rPr>
              <w:t>6.3.2</w:t>
            </w:r>
          </w:p>
        </w:tc>
        <w:tc>
          <w:tcPr>
            <w:tcW w:w="8688" w:type="dxa"/>
            <w:gridSpan w:val="3"/>
            <w:vAlign w:val="center"/>
          </w:tcPr>
          <w:p w14:paraId="7703266E">
            <w:pPr>
              <w:keepNext w:val="0"/>
              <w:keepLines w:val="0"/>
              <w:pageBreakBefore w:val="0"/>
              <w:widowControl w:val="0"/>
              <w:kinsoku/>
              <w:wordWrap/>
              <w:overflowPunct/>
              <w:topLinePunct w:val="0"/>
              <w:autoSpaceDE/>
              <w:autoSpaceDN/>
              <w:bidi w:val="0"/>
              <w:adjustRightInd/>
              <w:snapToGrid/>
              <w:spacing w:line="360" w:lineRule="exact"/>
              <w:ind w:left="105" w:leftChars="50" w:right="105" w:rightChars="5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投标人须知正文</w:t>
            </w:r>
            <w:r>
              <w:rPr>
                <w:rFonts w:hint="eastAsia" w:ascii="宋体" w:hAnsi="宋体" w:eastAsia="宋体" w:cs="宋体"/>
                <w:color w:val="auto"/>
                <w:sz w:val="20"/>
                <w:szCs w:val="20"/>
                <w:highlight w:val="none"/>
                <w:lang w:val="en-US" w:eastAsia="zh-CN"/>
              </w:rPr>
              <w:t>6.3.2</w:t>
            </w:r>
            <w:r>
              <w:rPr>
                <w:rFonts w:hint="eastAsia" w:ascii="宋体" w:hAnsi="宋体" w:eastAsia="宋体" w:cs="宋体"/>
                <w:color w:val="auto"/>
                <w:sz w:val="20"/>
                <w:szCs w:val="20"/>
                <w:highlight w:val="none"/>
              </w:rPr>
              <w:t>项内容修改如下：</w:t>
            </w:r>
          </w:p>
          <w:p w14:paraId="35F49B74">
            <w:pPr>
              <w:pStyle w:val="21"/>
              <w:keepNext w:val="0"/>
              <w:keepLines w:val="0"/>
              <w:pageBreakBefore w:val="0"/>
              <w:widowControl w:val="0"/>
              <w:wordWrap/>
              <w:overflowPunct/>
              <w:topLinePunct w:val="0"/>
              <w:bidi w:val="0"/>
              <w:spacing w:line="360" w:lineRule="exact"/>
              <w:ind w:left="105" w:leftChars="50" w:right="105" w:rightChars="50" w:firstLine="400" w:firstLineChars="20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评标完成后，评标委员会应向招标人提交书面评标报告和定标候选人名单。评标委员会推荐定标候选人的人数见投标人须知前附表。</w:t>
            </w:r>
          </w:p>
        </w:tc>
      </w:tr>
      <w:tr w14:paraId="104C0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0" w:hRule="atLeast"/>
        </w:trPr>
        <w:tc>
          <w:tcPr>
            <w:tcW w:w="1013" w:type="dxa"/>
            <w:vAlign w:val="center"/>
          </w:tcPr>
          <w:p w14:paraId="6E3E9725">
            <w:pPr>
              <w:pStyle w:val="21"/>
              <w:spacing w:line="380" w:lineRule="exact"/>
              <w:ind w:firstLine="0" w:firstLineChars="0"/>
              <w:rPr>
                <w:color w:val="auto"/>
                <w:spacing w:val="-1"/>
                <w:position w:val="1"/>
                <w:highlight w:val="none"/>
              </w:rPr>
            </w:pPr>
            <w:r>
              <w:rPr>
                <w:rFonts w:hint="eastAsia" w:ascii="宋体" w:hAnsi="宋体" w:eastAsia="宋体" w:cs="宋体"/>
                <w:color w:val="auto"/>
                <w:sz w:val="20"/>
                <w:szCs w:val="20"/>
                <w:highlight w:val="none"/>
                <w:lang w:val="en-US" w:eastAsia="zh-CN"/>
              </w:rPr>
              <w:t>6.3.3</w:t>
            </w:r>
          </w:p>
        </w:tc>
        <w:tc>
          <w:tcPr>
            <w:tcW w:w="8688" w:type="dxa"/>
            <w:gridSpan w:val="3"/>
            <w:vAlign w:val="center"/>
          </w:tcPr>
          <w:p w14:paraId="0BB913FE">
            <w:pPr>
              <w:keepNext w:val="0"/>
              <w:keepLines w:val="0"/>
              <w:pageBreakBefore w:val="0"/>
              <w:widowControl w:val="0"/>
              <w:kinsoku/>
              <w:wordWrap/>
              <w:overflowPunct/>
              <w:topLinePunct w:val="0"/>
              <w:autoSpaceDE/>
              <w:autoSpaceDN/>
              <w:bidi w:val="0"/>
              <w:adjustRightInd/>
              <w:snapToGrid/>
              <w:spacing w:line="360" w:lineRule="exact"/>
              <w:ind w:left="105" w:leftChars="50" w:right="105" w:rightChars="5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投标人须知正文</w:t>
            </w:r>
            <w:r>
              <w:rPr>
                <w:rFonts w:hint="eastAsia" w:ascii="宋体" w:hAnsi="宋体" w:eastAsia="宋体" w:cs="宋体"/>
                <w:color w:val="auto"/>
                <w:sz w:val="20"/>
                <w:szCs w:val="20"/>
                <w:highlight w:val="none"/>
                <w:lang w:val="en-US" w:eastAsia="zh-CN"/>
              </w:rPr>
              <w:t>6.3.3</w:t>
            </w:r>
            <w:r>
              <w:rPr>
                <w:rFonts w:hint="eastAsia" w:ascii="宋体" w:hAnsi="宋体" w:eastAsia="宋体" w:cs="宋体"/>
                <w:color w:val="auto"/>
                <w:sz w:val="20"/>
                <w:szCs w:val="20"/>
                <w:highlight w:val="none"/>
              </w:rPr>
              <w:t>项内容修改如下：</w:t>
            </w:r>
          </w:p>
          <w:p w14:paraId="3A4E0346">
            <w:pPr>
              <w:pStyle w:val="21"/>
              <w:keepNext w:val="0"/>
              <w:keepLines w:val="0"/>
              <w:pageBreakBefore w:val="0"/>
              <w:widowControl w:val="0"/>
              <w:wordWrap/>
              <w:overflowPunct/>
              <w:topLinePunct w:val="0"/>
              <w:bidi w:val="0"/>
              <w:spacing w:line="360" w:lineRule="exact"/>
              <w:ind w:left="105" w:leftChars="50" w:right="105" w:rightChars="5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6.3.3评标补救措施</w:t>
            </w:r>
          </w:p>
          <w:p w14:paraId="48558DEF">
            <w:pPr>
              <w:pStyle w:val="21"/>
              <w:keepNext w:val="0"/>
              <w:keepLines w:val="0"/>
              <w:pageBreakBefore w:val="0"/>
              <w:widowControl w:val="0"/>
              <w:wordWrap/>
              <w:overflowPunct/>
              <w:topLinePunct w:val="0"/>
              <w:bidi w:val="0"/>
              <w:spacing w:line="360" w:lineRule="exact"/>
              <w:ind w:left="105" w:leftChars="50" w:right="105" w:rightChars="50" w:firstLine="400" w:firstLineChars="20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3EAA9D03">
            <w:pPr>
              <w:pStyle w:val="21"/>
              <w:keepNext w:val="0"/>
              <w:keepLines w:val="0"/>
              <w:pageBreakBefore w:val="0"/>
              <w:widowControl w:val="0"/>
              <w:wordWrap/>
              <w:overflowPunct/>
              <w:topLinePunct w:val="0"/>
              <w:bidi w:val="0"/>
              <w:spacing w:line="360" w:lineRule="exact"/>
              <w:ind w:left="105" w:leftChars="50" w:right="105" w:rightChars="50" w:firstLine="400" w:firstLineChars="200"/>
              <w:jc w:val="both"/>
              <w:rPr>
                <w:color w:val="auto"/>
                <w:spacing w:val="12"/>
                <w:highlight w:val="none"/>
              </w:rPr>
            </w:pPr>
            <w:r>
              <w:rPr>
                <w:rFonts w:hint="eastAsia" w:ascii="宋体" w:hAnsi="宋体" w:eastAsia="宋体" w:cs="宋体"/>
                <w:color w:val="auto"/>
                <w:sz w:val="20"/>
                <w:szCs w:val="20"/>
                <w:highlight w:val="none"/>
                <w:lang w:val="en-US" w:eastAsia="zh-CN"/>
              </w:rPr>
              <w:t>除发生上述情况外，评标均以投标人通过交易平台网上递交的电子投标文件为准。</w:t>
            </w:r>
          </w:p>
        </w:tc>
      </w:tr>
      <w:tr w14:paraId="27F01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1013" w:type="dxa"/>
            <w:vAlign w:val="center"/>
          </w:tcPr>
          <w:p w14:paraId="5AD53A09">
            <w:pPr>
              <w:pStyle w:val="21"/>
              <w:spacing w:line="380" w:lineRule="exact"/>
              <w:ind w:firstLine="0" w:firstLineChars="0"/>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w:t>
            </w:r>
          </w:p>
        </w:tc>
        <w:tc>
          <w:tcPr>
            <w:tcW w:w="8688" w:type="dxa"/>
            <w:gridSpan w:val="3"/>
            <w:vAlign w:val="center"/>
          </w:tcPr>
          <w:p w14:paraId="68B10ECE">
            <w:pPr>
              <w:keepNext w:val="0"/>
              <w:keepLines w:val="0"/>
              <w:pageBreakBefore w:val="0"/>
              <w:widowControl w:val="0"/>
              <w:kinsoku/>
              <w:wordWrap/>
              <w:overflowPunct/>
              <w:topLinePunct w:val="0"/>
              <w:autoSpaceDE/>
              <w:autoSpaceDN/>
              <w:bidi w:val="0"/>
              <w:adjustRightInd w:val="0"/>
              <w:snapToGrid w:val="0"/>
              <w:spacing w:line="360" w:lineRule="auto"/>
              <w:ind w:left="105" w:leftChars="50" w:right="0" w:rightChars="0"/>
              <w:textAlignment w:val="auto"/>
              <w:rPr>
                <w:color w:val="auto"/>
                <w:sz w:val="20"/>
                <w:szCs w:val="20"/>
                <w:highlight w:val="none"/>
              </w:rPr>
            </w:pPr>
            <w:r>
              <w:rPr>
                <w:rFonts w:hint="eastAsia" w:ascii="宋体" w:hAnsi="宋体" w:eastAsia="宋体" w:cs="宋体"/>
                <w:color w:val="auto"/>
                <w:sz w:val="20"/>
                <w:szCs w:val="20"/>
                <w:highlight w:val="none"/>
              </w:rPr>
              <w:t>投标人须知正文</w:t>
            </w:r>
            <w:r>
              <w:rPr>
                <w:rFonts w:hint="eastAsia" w:ascii="宋体" w:hAnsi="宋体" w:eastAsia="宋体" w:cs="宋体"/>
                <w:color w:val="auto"/>
                <w:sz w:val="20"/>
                <w:szCs w:val="20"/>
                <w:highlight w:val="none"/>
                <w:lang w:val="en-US" w:eastAsia="zh-CN"/>
              </w:rPr>
              <w:t>7</w:t>
            </w:r>
            <w:r>
              <w:rPr>
                <w:rFonts w:hint="eastAsia" w:ascii="宋体" w:hAnsi="宋体" w:eastAsia="宋体" w:cs="宋体"/>
                <w:color w:val="auto"/>
                <w:sz w:val="20"/>
                <w:szCs w:val="20"/>
                <w:highlight w:val="none"/>
              </w:rPr>
              <w:t>项</w:t>
            </w:r>
            <w:r>
              <w:rPr>
                <w:rFonts w:hint="eastAsia" w:ascii="宋体" w:hAnsi="宋体" w:eastAsia="宋体" w:cs="宋体"/>
                <w:color w:val="auto"/>
                <w:sz w:val="20"/>
                <w:szCs w:val="20"/>
                <w:highlight w:val="none"/>
                <w:lang w:val="en-US" w:eastAsia="zh-CN"/>
              </w:rPr>
              <w:t>7.1、7.2、7.3、7.4</w:t>
            </w:r>
            <w:r>
              <w:rPr>
                <w:rFonts w:hint="eastAsia" w:ascii="宋体" w:hAnsi="宋体" w:eastAsia="宋体" w:cs="宋体"/>
                <w:color w:val="auto"/>
                <w:sz w:val="20"/>
                <w:szCs w:val="20"/>
                <w:highlight w:val="none"/>
              </w:rPr>
              <w:t>内容修改如下：</w:t>
            </w:r>
          </w:p>
          <w:p w14:paraId="04E8C397">
            <w:pPr>
              <w:pStyle w:val="3"/>
              <w:pageBreakBefore w:val="0"/>
              <w:numPr>
                <w:ilvl w:val="0"/>
                <w:numId w:val="0"/>
              </w:numPr>
              <w:wordWrap/>
              <w:overflowPunct/>
              <w:topLinePunct w:val="0"/>
              <w:bidi w:val="0"/>
              <w:adjustRightInd w:val="0"/>
              <w:snapToGrid w:val="0"/>
              <w:spacing w:before="0" w:after="0" w:line="360" w:lineRule="auto"/>
              <w:ind w:left="105" w:leftChars="50" w:right="0" w:rightChars="0"/>
              <w:rPr>
                <w:rFonts w:hint="eastAsia" w:ascii="宋体" w:hAnsi="宋体" w:eastAsia="宋体" w:cs="宋体"/>
                <w:b/>
                <w:bCs/>
                <w:snapToGrid w:val="0"/>
                <w:color w:val="auto"/>
                <w:kern w:val="0"/>
                <w:sz w:val="20"/>
                <w:szCs w:val="20"/>
                <w:highlight w:val="none"/>
                <w:lang w:val="en-US" w:eastAsia="zh-CN" w:bidi="ar-SA"/>
              </w:rPr>
            </w:pPr>
            <w:r>
              <w:rPr>
                <w:rFonts w:hint="eastAsia" w:ascii="宋体" w:hAnsi="宋体" w:eastAsia="宋体" w:cs="宋体"/>
                <w:b/>
                <w:bCs/>
                <w:snapToGrid w:val="0"/>
                <w:color w:val="auto"/>
                <w:kern w:val="0"/>
                <w:sz w:val="20"/>
                <w:szCs w:val="20"/>
                <w:highlight w:val="none"/>
                <w:lang w:val="en-US" w:eastAsia="zh-CN" w:bidi="ar-SA"/>
              </w:rPr>
              <w:t>7.合同授予</w:t>
            </w:r>
          </w:p>
          <w:p w14:paraId="1FE1D8FF">
            <w:pPr>
              <w:pStyle w:val="4"/>
              <w:pageBreakBefore w:val="0"/>
              <w:wordWrap/>
              <w:overflowPunct/>
              <w:topLinePunct w:val="0"/>
              <w:bidi w:val="0"/>
              <w:adjustRightInd w:val="0"/>
              <w:snapToGrid w:val="0"/>
              <w:spacing w:before="0" w:line="360" w:lineRule="auto"/>
              <w:ind w:left="105" w:leftChars="50" w:right="0" w:rightChars="0"/>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7.1</w:t>
            </w:r>
            <w:r>
              <w:rPr>
                <w:rFonts w:ascii="宋体" w:hAnsi="宋体" w:eastAsia="宋体" w:cs="宋体"/>
                <w:color w:val="auto"/>
                <w:spacing w:val="38"/>
                <w:sz w:val="20"/>
                <w:szCs w:val="20"/>
                <w:highlight w:val="none"/>
              </w:rPr>
              <w:t xml:space="preserve"> </w:t>
            </w:r>
            <w:r>
              <w:rPr>
                <w:rFonts w:hint="eastAsia" w:ascii="宋体" w:hAnsi="宋体" w:cs="宋体"/>
                <w:b/>
                <w:bCs/>
                <w:color w:val="auto"/>
                <w:spacing w:val="-7"/>
                <w:sz w:val="20"/>
                <w:szCs w:val="20"/>
                <w:highlight w:val="none"/>
                <w:lang w:eastAsia="zh-CN"/>
              </w:rPr>
              <w:t>定</w:t>
            </w:r>
            <w:r>
              <w:rPr>
                <w:rFonts w:ascii="宋体" w:hAnsi="宋体" w:eastAsia="宋体" w:cs="宋体"/>
                <w:b/>
                <w:bCs/>
                <w:color w:val="auto"/>
                <w:spacing w:val="-7"/>
                <w:sz w:val="20"/>
                <w:szCs w:val="20"/>
                <w:highlight w:val="none"/>
              </w:rPr>
              <w:t>标候选人公示</w:t>
            </w:r>
          </w:p>
          <w:p w14:paraId="64F660CB">
            <w:pPr>
              <w:pageBreakBefore w:val="0"/>
              <w:wordWrap/>
              <w:overflowPunct/>
              <w:topLinePunct w:val="0"/>
              <w:bidi w:val="0"/>
              <w:adjustRightInd w:val="0"/>
              <w:snapToGrid w:val="0"/>
              <w:spacing w:line="360" w:lineRule="auto"/>
              <w:ind w:left="105" w:leftChars="50" w:right="0" w:rightChars="0" w:firstLine="478"/>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招标人在收到评标报告之日起</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3 日内，按照投标人须知前附</w:t>
            </w:r>
            <w:r>
              <w:rPr>
                <w:rFonts w:ascii="宋体" w:hAnsi="宋体" w:eastAsia="宋体" w:cs="宋体"/>
                <w:color w:val="auto"/>
                <w:spacing w:val="2"/>
                <w:sz w:val="20"/>
                <w:szCs w:val="20"/>
                <w:highlight w:val="none"/>
              </w:rPr>
              <w:t>表规定的公示媒介和</w:t>
            </w:r>
            <w:r>
              <w:rPr>
                <w:rFonts w:ascii="宋体" w:hAnsi="宋体" w:eastAsia="宋体" w:cs="宋体"/>
                <w:color w:val="auto"/>
                <w:spacing w:val="-3"/>
                <w:sz w:val="20"/>
                <w:szCs w:val="20"/>
                <w:highlight w:val="none"/>
              </w:rPr>
              <w:t>期限公示</w:t>
            </w:r>
            <w:r>
              <w:rPr>
                <w:rFonts w:hint="eastAsia" w:ascii="宋体" w:hAnsi="宋体" w:eastAsia="宋体" w:cs="宋体"/>
                <w:color w:val="auto"/>
                <w:spacing w:val="-3"/>
                <w:sz w:val="20"/>
                <w:szCs w:val="20"/>
                <w:highlight w:val="none"/>
                <w:lang w:eastAsia="zh-CN"/>
              </w:rPr>
              <w:t>定</w:t>
            </w:r>
            <w:r>
              <w:rPr>
                <w:rFonts w:ascii="宋体" w:hAnsi="宋体" w:eastAsia="宋体" w:cs="宋体"/>
                <w:color w:val="auto"/>
                <w:spacing w:val="-3"/>
                <w:sz w:val="20"/>
                <w:szCs w:val="20"/>
                <w:highlight w:val="none"/>
              </w:rPr>
              <w:t>标候选人，公示期不得少于</w:t>
            </w:r>
            <w:r>
              <w:rPr>
                <w:rFonts w:ascii="宋体" w:hAnsi="宋体" w:eastAsia="宋体" w:cs="宋体"/>
                <w:color w:val="auto"/>
                <w:spacing w:val="-46"/>
                <w:sz w:val="20"/>
                <w:szCs w:val="20"/>
                <w:highlight w:val="none"/>
              </w:rPr>
              <w:t xml:space="preserve"> </w:t>
            </w:r>
            <w:r>
              <w:rPr>
                <w:rFonts w:ascii="宋体" w:hAnsi="宋体" w:eastAsia="宋体" w:cs="宋体"/>
                <w:color w:val="auto"/>
                <w:spacing w:val="-3"/>
                <w:sz w:val="20"/>
                <w:szCs w:val="20"/>
                <w:highlight w:val="none"/>
              </w:rPr>
              <w:t>3 日，公示内</w:t>
            </w:r>
            <w:r>
              <w:rPr>
                <w:rFonts w:ascii="宋体" w:hAnsi="宋体" w:eastAsia="宋体" w:cs="宋体"/>
                <w:color w:val="auto"/>
                <w:spacing w:val="-4"/>
                <w:sz w:val="20"/>
                <w:szCs w:val="20"/>
                <w:highlight w:val="none"/>
              </w:rPr>
              <w:t>容包括：</w:t>
            </w:r>
          </w:p>
          <w:p w14:paraId="73F83156">
            <w:pPr>
              <w:pageBreakBefore w:val="0"/>
              <w:wordWrap/>
              <w:overflowPunct/>
              <w:topLinePunct w:val="0"/>
              <w:bidi w:val="0"/>
              <w:adjustRightInd w:val="0"/>
              <w:snapToGrid w:val="0"/>
              <w:spacing w:line="360" w:lineRule="auto"/>
              <w:ind w:left="105" w:leftChars="50" w:right="0" w:rightChars="0" w:firstLine="202" w:firstLineChars="100"/>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（1）</w:t>
            </w:r>
            <w:r>
              <w:rPr>
                <w:rFonts w:hint="eastAsia" w:ascii="宋体" w:hAnsi="宋体" w:eastAsia="宋体" w:cs="宋体"/>
                <w:color w:val="auto"/>
                <w:spacing w:val="4"/>
                <w:sz w:val="20"/>
                <w:szCs w:val="20"/>
                <w:highlight w:val="none"/>
              </w:rPr>
              <w:t>定标候选人名称</w:t>
            </w:r>
            <w:r>
              <w:rPr>
                <w:rFonts w:ascii="宋体" w:hAnsi="宋体" w:eastAsia="宋体" w:cs="宋体"/>
                <w:color w:val="auto"/>
                <w:spacing w:val="1"/>
                <w:sz w:val="20"/>
                <w:szCs w:val="20"/>
                <w:highlight w:val="none"/>
              </w:rPr>
              <w:t>、投标报价，对监理质量要求、安全目标和监理服务</w:t>
            </w:r>
            <w:r>
              <w:rPr>
                <w:rFonts w:ascii="宋体" w:hAnsi="宋体" w:eastAsia="宋体" w:cs="宋体"/>
                <w:color w:val="auto"/>
                <w:spacing w:val="-2"/>
                <w:sz w:val="20"/>
                <w:szCs w:val="20"/>
                <w:highlight w:val="none"/>
              </w:rPr>
              <w:t>期限的响应情况；</w:t>
            </w:r>
          </w:p>
          <w:p w14:paraId="40D64018">
            <w:pPr>
              <w:pageBreakBefore w:val="0"/>
              <w:wordWrap/>
              <w:overflowPunct/>
              <w:topLinePunct w:val="0"/>
              <w:bidi w:val="0"/>
              <w:adjustRightInd w:val="0"/>
              <w:snapToGrid w:val="0"/>
              <w:spacing w:line="360" w:lineRule="auto"/>
              <w:ind w:left="105" w:leftChars="50" w:right="0" w:rightChars="0" w:firstLine="202" w:firstLineChars="100"/>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（2）</w:t>
            </w:r>
            <w:r>
              <w:rPr>
                <w:rFonts w:hint="eastAsia" w:ascii="宋体" w:hAnsi="宋体" w:eastAsia="宋体" w:cs="宋体"/>
                <w:color w:val="auto"/>
                <w:spacing w:val="1"/>
                <w:sz w:val="20"/>
                <w:szCs w:val="20"/>
                <w:highlight w:val="none"/>
                <w:lang w:eastAsia="zh-CN"/>
              </w:rPr>
              <w:t>定</w:t>
            </w:r>
            <w:r>
              <w:rPr>
                <w:rFonts w:ascii="宋体" w:hAnsi="宋体" w:eastAsia="宋体" w:cs="宋体"/>
                <w:color w:val="auto"/>
                <w:spacing w:val="1"/>
                <w:sz w:val="20"/>
                <w:szCs w:val="20"/>
                <w:highlight w:val="none"/>
              </w:rPr>
              <w:t>标候选人在投标文件中承诺的总监理工程师或驻地监理工程师姓名、个人</w:t>
            </w:r>
            <w:r>
              <w:rPr>
                <w:rFonts w:ascii="宋体" w:hAnsi="宋体" w:eastAsia="宋体" w:cs="宋体"/>
                <w:color w:val="auto"/>
                <w:spacing w:val="-1"/>
                <w:sz w:val="20"/>
                <w:szCs w:val="20"/>
                <w:highlight w:val="none"/>
              </w:rPr>
              <w:t>业绩、相关证书名称和编号；</w:t>
            </w:r>
          </w:p>
          <w:p w14:paraId="6A6D7F67">
            <w:pPr>
              <w:pageBreakBefore w:val="0"/>
              <w:wordWrap/>
              <w:overflowPunct/>
              <w:topLinePunct w:val="0"/>
              <w:bidi w:val="0"/>
              <w:adjustRightInd w:val="0"/>
              <w:snapToGrid w:val="0"/>
              <w:spacing w:line="360" w:lineRule="auto"/>
              <w:ind w:left="105" w:leftChars="50" w:right="0" w:rightChars="0" w:firstLine="198" w:firstLineChars="100"/>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（3）</w:t>
            </w:r>
            <w:r>
              <w:rPr>
                <w:rFonts w:hint="eastAsia" w:ascii="宋体" w:hAnsi="宋体" w:eastAsia="宋体" w:cs="宋体"/>
                <w:color w:val="auto"/>
                <w:spacing w:val="-1"/>
                <w:sz w:val="20"/>
                <w:szCs w:val="20"/>
                <w:highlight w:val="none"/>
                <w:lang w:eastAsia="zh-CN"/>
              </w:rPr>
              <w:t>定</w:t>
            </w:r>
            <w:r>
              <w:rPr>
                <w:rFonts w:ascii="宋体" w:hAnsi="宋体" w:eastAsia="宋体" w:cs="宋体"/>
                <w:color w:val="auto"/>
                <w:spacing w:val="-1"/>
                <w:sz w:val="20"/>
                <w:szCs w:val="20"/>
                <w:highlight w:val="none"/>
              </w:rPr>
              <w:t>标候选人在投标文件中填报的项目业绩；</w:t>
            </w:r>
          </w:p>
          <w:p w14:paraId="6C358E38">
            <w:pPr>
              <w:pageBreakBefore w:val="0"/>
              <w:wordWrap/>
              <w:overflowPunct/>
              <w:topLinePunct w:val="0"/>
              <w:bidi w:val="0"/>
              <w:adjustRightInd w:val="0"/>
              <w:snapToGrid w:val="0"/>
              <w:spacing w:line="360" w:lineRule="auto"/>
              <w:ind w:left="105" w:leftChars="50" w:right="0" w:rightChars="0" w:firstLine="198" w:firstLineChars="100"/>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（4）被否决投标的投标人名称、否决依据和原因；</w:t>
            </w:r>
          </w:p>
          <w:p w14:paraId="743AF433">
            <w:pPr>
              <w:pageBreakBefore w:val="0"/>
              <w:wordWrap/>
              <w:overflowPunct/>
              <w:topLinePunct w:val="0"/>
              <w:bidi w:val="0"/>
              <w:adjustRightInd w:val="0"/>
              <w:snapToGrid w:val="0"/>
              <w:spacing w:line="360" w:lineRule="auto"/>
              <w:ind w:left="105" w:leftChars="50" w:right="0" w:rightChars="0" w:firstLine="196" w:firstLineChars="100"/>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（5）提出异议的渠道和方式；</w:t>
            </w:r>
          </w:p>
          <w:p w14:paraId="694985D8">
            <w:pPr>
              <w:pageBreakBefore w:val="0"/>
              <w:wordWrap/>
              <w:overflowPunct/>
              <w:topLinePunct w:val="0"/>
              <w:bidi w:val="0"/>
              <w:adjustRightInd w:val="0"/>
              <w:snapToGrid w:val="0"/>
              <w:spacing w:line="360" w:lineRule="auto"/>
              <w:ind w:left="105" w:leftChars="50" w:right="0" w:rightChars="0" w:firstLine="198" w:firstLineChars="100"/>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（6）投标人须知前附表规定公示的其他内容。</w:t>
            </w:r>
          </w:p>
          <w:p w14:paraId="08D0CA55">
            <w:pPr>
              <w:pStyle w:val="4"/>
              <w:pageBreakBefore w:val="0"/>
              <w:wordWrap/>
              <w:overflowPunct/>
              <w:topLinePunct w:val="0"/>
              <w:bidi w:val="0"/>
              <w:adjustRightInd w:val="0"/>
              <w:snapToGrid w:val="0"/>
              <w:spacing w:before="0" w:line="360" w:lineRule="auto"/>
              <w:ind w:left="105" w:leftChars="50" w:right="0" w:rightChars="0"/>
              <w:rPr>
                <w:rFonts w:ascii="宋体" w:hAnsi="宋体" w:eastAsia="宋体" w:cs="宋体"/>
                <w:color w:val="auto"/>
                <w:sz w:val="20"/>
                <w:szCs w:val="20"/>
                <w:highlight w:val="none"/>
              </w:rPr>
            </w:pPr>
            <w:r>
              <w:rPr>
                <w:rFonts w:ascii="宋体" w:hAnsi="宋体" w:eastAsia="宋体" w:cs="宋体"/>
                <w:b/>
                <w:bCs/>
                <w:color w:val="auto"/>
                <w:spacing w:val="-3"/>
                <w:sz w:val="20"/>
                <w:szCs w:val="20"/>
                <w:highlight w:val="none"/>
              </w:rPr>
              <w:t>7.2</w:t>
            </w:r>
            <w:r>
              <w:rPr>
                <w:rFonts w:ascii="宋体" w:hAnsi="宋体" w:eastAsia="宋体" w:cs="宋体"/>
                <w:color w:val="auto"/>
                <w:spacing w:val="-3"/>
                <w:sz w:val="20"/>
                <w:szCs w:val="20"/>
                <w:highlight w:val="none"/>
              </w:rPr>
              <w:t xml:space="preserve"> </w:t>
            </w:r>
            <w:r>
              <w:rPr>
                <w:rFonts w:ascii="宋体" w:hAnsi="宋体" w:eastAsia="宋体" w:cs="宋体"/>
                <w:b/>
                <w:bCs/>
                <w:color w:val="auto"/>
                <w:spacing w:val="-3"/>
                <w:sz w:val="20"/>
                <w:szCs w:val="20"/>
                <w:highlight w:val="none"/>
              </w:rPr>
              <w:t>评标结果异议</w:t>
            </w:r>
          </w:p>
          <w:p w14:paraId="7454D5AD">
            <w:pPr>
              <w:pageBreakBefore w:val="0"/>
              <w:wordWrap/>
              <w:overflowPunct/>
              <w:topLinePunct w:val="0"/>
              <w:bidi w:val="0"/>
              <w:adjustRightInd w:val="0"/>
              <w:snapToGrid w:val="0"/>
              <w:spacing w:line="360" w:lineRule="auto"/>
              <w:ind w:left="105" w:leftChars="50" w:right="0" w:rightChars="0" w:firstLine="420" w:firstLineChars="200"/>
              <w:jc w:val="both"/>
              <w:rPr>
                <w:rFonts w:ascii="宋体" w:hAnsi="宋体" w:eastAsia="宋体" w:cs="宋体"/>
                <w:color w:val="auto"/>
                <w:spacing w:val="-4"/>
                <w:sz w:val="20"/>
                <w:szCs w:val="20"/>
                <w:highlight w:val="none"/>
              </w:rPr>
            </w:pPr>
            <w:r>
              <w:rPr>
                <w:rFonts w:ascii="宋体" w:hAnsi="宋体" w:eastAsia="宋体" w:cs="宋体"/>
                <w:color w:val="auto"/>
                <w:spacing w:val="5"/>
                <w:sz w:val="20"/>
                <w:szCs w:val="20"/>
                <w:highlight w:val="none"/>
              </w:rPr>
              <w:t>投标人或其他利害关系人对依法必须进行招标的项目的评标结果有异议的，应在</w:t>
            </w:r>
            <w:r>
              <w:rPr>
                <w:rFonts w:hint="eastAsia" w:ascii="宋体" w:hAnsi="宋体" w:eastAsia="宋体" w:cs="宋体"/>
                <w:color w:val="auto"/>
                <w:spacing w:val="-3"/>
                <w:sz w:val="20"/>
                <w:szCs w:val="20"/>
                <w:highlight w:val="none"/>
                <w:lang w:eastAsia="zh-CN"/>
              </w:rPr>
              <w:t>定</w:t>
            </w:r>
            <w:r>
              <w:rPr>
                <w:rFonts w:ascii="宋体" w:hAnsi="宋体" w:eastAsia="宋体" w:cs="宋体"/>
                <w:color w:val="auto"/>
                <w:spacing w:val="-3"/>
                <w:sz w:val="20"/>
                <w:szCs w:val="20"/>
                <w:highlight w:val="none"/>
              </w:rPr>
              <w:t>标候选人公示期间提出。招标人将在收到异议之日起</w:t>
            </w:r>
            <w:r>
              <w:rPr>
                <w:rFonts w:ascii="宋体" w:hAnsi="宋体" w:eastAsia="宋体" w:cs="宋体"/>
                <w:color w:val="auto"/>
                <w:spacing w:val="-46"/>
                <w:sz w:val="20"/>
                <w:szCs w:val="20"/>
                <w:highlight w:val="none"/>
              </w:rPr>
              <w:t xml:space="preserve"> </w:t>
            </w:r>
            <w:r>
              <w:rPr>
                <w:rFonts w:ascii="宋体" w:hAnsi="宋体" w:eastAsia="宋体" w:cs="宋体"/>
                <w:color w:val="auto"/>
                <w:spacing w:val="-3"/>
                <w:sz w:val="20"/>
                <w:szCs w:val="20"/>
                <w:highlight w:val="none"/>
              </w:rPr>
              <w:t>3 日</w:t>
            </w:r>
            <w:r>
              <w:rPr>
                <w:rFonts w:ascii="宋体" w:hAnsi="宋体" w:eastAsia="宋体" w:cs="宋体"/>
                <w:color w:val="auto"/>
                <w:spacing w:val="-4"/>
                <w:sz w:val="20"/>
                <w:szCs w:val="20"/>
                <w:highlight w:val="none"/>
              </w:rPr>
              <w:t>内作出答复；作出答复前，</w:t>
            </w:r>
            <w:r>
              <w:rPr>
                <w:rFonts w:ascii="宋体" w:hAnsi="宋体" w:eastAsia="宋体" w:cs="宋体"/>
                <w:color w:val="auto"/>
                <w:spacing w:val="3"/>
                <w:sz w:val="20"/>
                <w:szCs w:val="20"/>
                <w:highlight w:val="none"/>
              </w:rPr>
              <w:t>将暂停招标投标活动。提出异议与作出答复均应通过“</w:t>
            </w:r>
            <w:r>
              <w:rPr>
                <w:rFonts w:ascii="宋体" w:hAnsi="宋体" w:eastAsia="宋体" w:cs="宋体"/>
                <w:color w:val="auto"/>
                <w:spacing w:val="-75"/>
                <w:sz w:val="20"/>
                <w:szCs w:val="20"/>
                <w:highlight w:val="none"/>
              </w:rPr>
              <w:t xml:space="preserve"> </w:t>
            </w:r>
            <w:r>
              <w:rPr>
                <w:rFonts w:ascii="宋体" w:hAnsi="宋体" w:eastAsia="宋体" w:cs="宋体"/>
                <w:color w:val="auto"/>
                <w:spacing w:val="3"/>
                <w:sz w:val="20"/>
                <w:szCs w:val="20"/>
                <w:highlight w:val="none"/>
              </w:rPr>
              <w:t>电子交易平台</w:t>
            </w:r>
            <w:r>
              <w:rPr>
                <w:rFonts w:ascii="宋体" w:hAnsi="宋体" w:eastAsia="宋体" w:cs="宋体"/>
                <w:color w:val="auto"/>
                <w:spacing w:val="-84"/>
                <w:sz w:val="20"/>
                <w:szCs w:val="20"/>
                <w:highlight w:val="none"/>
              </w:rPr>
              <w:t xml:space="preserve"> </w:t>
            </w:r>
            <w:r>
              <w:rPr>
                <w:rFonts w:ascii="宋体" w:hAnsi="宋体" w:eastAsia="宋体" w:cs="宋体"/>
                <w:color w:val="auto"/>
                <w:spacing w:val="2"/>
                <w:sz w:val="20"/>
                <w:szCs w:val="20"/>
                <w:highlight w:val="none"/>
              </w:rPr>
              <w:t>”在“异议与答</w:t>
            </w:r>
            <w:r>
              <w:rPr>
                <w:rFonts w:ascii="宋体" w:hAnsi="宋体" w:eastAsia="宋体" w:cs="宋体"/>
                <w:color w:val="auto"/>
                <w:spacing w:val="-4"/>
                <w:sz w:val="20"/>
                <w:szCs w:val="20"/>
                <w:highlight w:val="none"/>
              </w:rPr>
              <w:t>复</w:t>
            </w:r>
            <w:r>
              <w:rPr>
                <w:rFonts w:ascii="宋体" w:hAnsi="宋体" w:eastAsia="宋体" w:cs="宋体"/>
                <w:color w:val="auto"/>
                <w:spacing w:val="-81"/>
                <w:sz w:val="20"/>
                <w:szCs w:val="20"/>
                <w:highlight w:val="none"/>
              </w:rPr>
              <w:t xml:space="preserve"> </w:t>
            </w:r>
            <w:r>
              <w:rPr>
                <w:rFonts w:ascii="宋体" w:hAnsi="宋体" w:eastAsia="宋体" w:cs="宋体"/>
                <w:color w:val="auto"/>
                <w:spacing w:val="-4"/>
                <w:sz w:val="20"/>
                <w:szCs w:val="20"/>
                <w:highlight w:val="none"/>
              </w:rPr>
              <w:t>”菜单以书面形式进行。</w:t>
            </w:r>
          </w:p>
          <w:p w14:paraId="71EFBFE0">
            <w:pPr>
              <w:pStyle w:val="4"/>
              <w:pageBreakBefore w:val="0"/>
              <w:wordWrap/>
              <w:overflowPunct/>
              <w:topLinePunct w:val="0"/>
              <w:bidi w:val="0"/>
              <w:adjustRightInd w:val="0"/>
              <w:snapToGrid w:val="0"/>
              <w:spacing w:before="0" w:line="360" w:lineRule="auto"/>
              <w:ind w:left="105" w:leftChars="50" w:right="0" w:rightChars="0"/>
              <w:rPr>
                <w:rFonts w:ascii="宋体" w:hAnsi="宋体" w:eastAsia="宋体" w:cs="宋体"/>
                <w:b/>
                <w:bCs/>
                <w:color w:val="auto"/>
                <w:spacing w:val="-3"/>
                <w:sz w:val="20"/>
                <w:szCs w:val="20"/>
                <w:highlight w:val="none"/>
              </w:rPr>
            </w:pPr>
            <w:r>
              <w:rPr>
                <w:rFonts w:hint="eastAsia" w:ascii="宋体" w:hAnsi="宋体" w:eastAsia="宋体" w:cs="宋体"/>
                <w:b/>
                <w:bCs/>
                <w:color w:val="auto"/>
                <w:spacing w:val="-3"/>
                <w:sz w:val="20"/>
                <w:szCs w:val="20"/>
                <w:highlight w:val="none"/>
                <w:lang w:val="en-US" w:eastAsia="zh-CN"/>
              </w:rPr>
              <w:t xml:space="preserve">7.3 </w:t>
            </w:r>
            <w:r>
              <w:rPr>
                <w:rFonts w:hint="eastAsia" w:ascii="宋体" w:hAnsi="宋体" w:eastAsia="宋体" w:cs="宋体"/>
                <w:b/>
                <w:bCs/>
                <w:color w:val="auto"/>
                <w:spacing w:val="-3"/>
                <w:sz w:val="20"/>
                <w:szCs w:val="20"/>
                <w:highlight w:val="none"/>
                <w:lang w:eastAsia="zh-CN"/>
              </w:rPr>
              <w:t>定</w:t>
            </w:r>
            <w:r>
              <w:rPr>
                <w:rFonts w:ascii="宋体" w:hAnsi="宋体" w:eastAsia="宋体" w:cs="宋体"/>
                <w:b/>
                <w:bCs/>
                <w:color w:val="auto"/>
                <w:spacing w:val="-3"/>
                <w:sz w:val="20"/>
                <w:szCs w:val="20"/>
                <w:highlight w:val="none"/>
              </w:rPr>
              <w:t>标候选人履约能力审查</w:t>
            </w:r>
          </w:p>
          <w:p w14:paraId="21B9027E">
            <w:pPr>
              <w:pageBreakBefore w:val="0"/>
              <w:wordWrap/>
              <w:overflowPunct/>
              <w:topLinePunct w:val="0"/>
              <w:bidi w:val="0"/>
              <w:adjustRightInd w:val="0"/>
              <w:snapToGrid w:val="0"/>
              <w:spacing w:line="360" w:lineRule="auto"/>
              <w:ind w:left="105" w:leftChars="50" w:right="0" w:rightChars="0" w:firstLine="416" w:firstLineChars="200"/>
              <w:jc w:val="both"/>
              <w:rPr>
                <w:rFonts w:hint="eastAsia" w:eastAsia="宋体"/>
                <w:color w:val="auto"/>
                <w:highlight w:val="none"/>
                <w:lang w:eastAsia="zh-CN"/>
              </w:rPr>
            </w:pPr>
            <w:r>
              <w:rPr>
                <w:rFonts w:hint="eastAsia" w:ascii="宋体" w:hAnsi="宋体" w:eastAsia="宋体" w:cs="宋体"/>
                <w:color w:val="auto"/>
                <w:spacing w:val="4"/>
                <w:sz w:val="20"/>
                <w:szCs w:val="20"/>
                <w:highlight w:val="none"/>
                <w:lang w:eastAsia="zh-CN"/>
              </w:rPr>
              <w:t>定</w:t>
            </w:r>
            <w:r>
              <w:rPr>
                <w:rFonts w:ascii="宋体" w:hAnsi="宋体" w:eastAsia="宋体" w:cs="宋体"/>
                <w:color w:val="auto"/>
                <w:spacing w:val="4"/>
                <w:sz w:val="20"/>
                <w:szCs w:val="20"/>
                <w:highlight w:val="none"/>
              </w:rPr>
              <w:t>标候选人的经营、财务状况发生较大变化或存在违法行为，招标人认为可能影</w:t>
            </w:r>
            <w:r>
              <w:rPr>
                <w:rFonts w:ascii="宋体" w:hAnsi="宋体" w:eastAsia="宋体" w:cs="宋体"/>
                <w:color w:val="auto"/>
                <w:spacing w:val="5"/>
                <w:sz w:val="20"/>
                <w:szCs w:val="20"/>
                <w:highlight w:val="none"/>
              </w:rPr>
              <w:t>响其履约能力的，</w:t>
            </w:r>
            <w:r>
              <w:rPr>
                <w:color w:val="auto"/>
                <w:highlight w:val="none"/>
              </w:rPr>
              <w:t>应当在定标会议召开前、发出中标通知书前提请原评标委员会按照招标文件规定的标准和方法进行审查确认。原评标委员会出具审查意见后，招标人将审查意见及相关佐证材料一并提交定标委员会，作为定标重要参考依据</w:t>
            </w:r>
            <w:r>
              <w:rPr>
                <w:rFonts w:hint="eastAsia" w:eastAsia="宋体"/>
                <w:color w:val="auto"/>
                <w:highlight w:val="none"/>
                <w:lang w:eastAsia="zh-CN"/>
              </w:rPr>
              <w:t>。</w:t>
            </w:r>
          </w:p>
          <w:p w14:paraId="29EF508B">
            <w:pPr>
              <w:pStyle w:val="26"/>
              <w:keepNext w:val="0"/>
              <w:keepLines w:val="0"/>
              <w:pageBreakBefore w:val="0"/>
              <w:numPr>
                <w:ilvl w:val="0"/>
                <w:numId w:val="0"/>
              </w:numPr>
              <w:kinsoku/>
              <w:wordWrap/>
              <w:overflowPunct/>
              <w:topLinePunct w:val="0"/>
              <w:bidi w:val="0"/>
              <w:adjustRightInd w:val="0"/>
              <w:snapToGrid w:val="0"/>
              <w:spacing w:line="360" w:lineRule="auto"/>
              <w:ind w:left="105" w:leftChars="50" w:right="0" w:rightChars="0"/>
              <w:jc w:val="both"/>
              <w:textAlignment w:val="auto"/>
              <w:rPr>
                <w:rFonts w:hint="eastAsia" w:ascii="宋体" w:hAnsi="宋体" w:cs="宋体"/>
                <w:color w:val="auto"/>
                <w:sz w:val="20"/>
                <w:szCs w:val="20"/>
                <w:highlight w:val="none"/>
              </w:rPr>
            </w:pPr>
            <w:bookmarkStart w:id="13" w:name="_Toc11384"/>
            <w:bookmarkStart w:id="14" w:name="_Toc19208"/>
            <w:bookmarkStart w:id="15" w:name="_Toc2173"/>
            <w:bookmarkStart w:id="16" w:name="_Toc12376"/>
            <w:bookmarkStart w:id="17" w:name="_Toc22841"/>
            <w:bookmarkStart w:id="18" w:name="_Toc8254"/>
            <w:bookmarkStart w:id="19" w:name="_Toc6124"/>
            <w:r>
              <w:rPr>
                <w:rFonts w:hint="eastAsia" w:ascii="宋体" w:hAnsi="宋体" w:cs="宋体"/>
                <w:color w:val="auto"/>
                <w:sz w:val="20"/>
                <w:szCs w:val="20"/>
                <w:highlight w:val="none"/>
              </w:rPr>
              <w:t>7.</w:t>
            </w:r>
            <w:r>
              <w:rPr>
                <w:rFonts w:hint="eastAsia" w:ascii="宋体" w:hAnsi="宋体" w:cs="宋体"/>
                <w:color w:val="auto"/>
                <w:sz w:val="20"/>
                <w:szCs w:val="20"/>
                <w:highlight w:val="none"/>
                <w:lang w:val="en-US" w:eastAsia="zh-CN"/>
              </w:rPr>
              <w:t>4</w:t>
            </w:r>
            <w:r>
              <w:rPr>
                <w:rFonts w:hint="eastAsia" w:ascii="宋体" w:hAnsi="宋体" w:cs="宋体"/>
                <w:color w:val="auto"/>
                <w:sz w:val="20"/>
                <w:szCs w:val="20"/>
                <w:highlight w:val="none"/>
              </w:rPr>
              <w:t xml:space="preserve"> 定标</w:t>
            </w:r>
            <w:bookmarkEnd w:id="13"/>
            <w:bookmarkEnd w:id="14"/>
            <w:bookmarkEnd w:id="15"/>
            <w:bookmarkEnd w:id="16"/>
          </w:p>
          <w:bookmarkEnd w:id="17"/>
          <w:bookmarkEnd w:id="18"/>
          <w:bookmarkEnd w:id="19"/>
          <w:p w14:paraId="40091D4B">
            <w:pPr>
              <w:pageBreakBefore w:val="0"/>
              <w:overflowPunct/>
              <w:topLinePunct w:val="0"/>
              <w:bidi w:val="0"/>
              <w:spacing w:line="360" w:lineRule="auto"/>
              <w:ind w:left="105" w:leftChars="50" w:firstLine="400" w:firstLineChars="200"/>
              <w:rPr>
                <w:rFonts w:hint="eastAsia" w:ascii="宋体" w:hAnsi="宋体" w:eastAsia="宋体" w:cs="宋体"/>
                <w:b w:val="0"/>
                <w:bCs w:val="0"/>
                <w:color w:val="auto"/>
                <w:kern w:val="0"/>
                <w:sz w:val="20"/>
                <w:szCs w:val="16"/>
                <w:highlight w:val="none"/>
                <w:lang w:val="en-US" w:eastAsia="zh-CN"/>
              </w:rPr>
            </w:pPr>
            <w:r>
              <w:rPr>
                <w:rFonts w:hint="eastAsia" w:ascii="宋体" w:hAnsi="宋体" w:eastAsia="宋体" w:cs="宋体"/>
                <w:b w:val="0"/>
                <w:bCs w:val="0"/>
                <w:color w:val="auto"/>
                <w:kern w:val="0"/>
                <w:sz w:val="20"/>
                <w:szCs w:val="16"/>
                <w:highlight w:val="none"/>
                <w:lang w:val="en-US" w:eastAsia="zh-CN"/>
              </w:rPr>
              <w:t>按照投标人须知前附表的规定由招标人组建的定标委员会确定中标人的，执行以下条款：</w:t>
            </w:r>
          </w:p>
          <w:p w14:paraId="66C8BF21">
            <w:pPr>
              <w:pageBreakBefore w:val="0"/>
              <w:overflowPunct/>
              <w:topLinePunct w:val="0"/>
              <w:bidi w:val="0"/>
              <w:spacing w:line="360" w:lineRule="auto"/>
              <w:ind w:left="105" w:leftChars="50"/>
              <w:rPr>
                <w:rFonts w:hint="eastAsia" w:ascii="宋体" w:hAnsi="宋体" w:eastAsia="宋体" w:cs="宋体"/>
                <w:b/>
                <w:bCs/>
                <w:color w:val="auto"/>
                <w:kern w:val="0"/>
                <w:sz w:val="20"/>
                <w:szCs w:val="16"/>
                <w:highlight w:val="none"/>
                <w:lang w:val="en-US" w:eastAsia="zh-CN"/>
              </w:rPr>
            </w:pPr>
            <w:bookmarkStart w:id="20" w:name="_Toc10625"/>
            <w:bookmarkStart w:id="21" w:name="_Toc4072"/>
            <w:bookmarkStart w:id="22" w:name="_Toc21734"/>
            <w:r>
              <w:rPr>
                <w:rFonts w:hint="eastAsia" w:ascii="宋体" w:hAnsi="宋体" w:eastAsia="宋体" w:cs="宋体"/>
                <w:b/>
                <w:bCs/>
                <w:color w:val="auto"/>
                <w:kern w:val="0"/>
                <w:sz w:val="20"/>
                <w:szCs w:val="16"/>
                <w:highlight w:val="none"/>
                <w:lang w:val="en-US" w:eastAsia="zh-CN"/>
              </w:rPr>
              <w:t>7.4.1招标监督小组</w:t>
            </w:r>
            <w:bookmarkEnd w:id="20"/>
            <w:bookmarkEnd w:id="21"/>
            <w:bookmarkEnd w:id="22"/>
            <w:r>
              <w:rPr>
                <w:rFonts w:hint="eastAsia" w:ascii="宋体" w:hAnsi="宋体" w:eastAsia="宋体" w:cs="宋体"/>
                <w:b/>
                <w:bCs/>
                <w:color w:val="auto"/>
                <w:kern w:val="0"/>
                <w:sz w:val="20"/>
                <w:szCs w:val="16"/>
                <w:highlight w:val="none"/>
                <w:lang w:val="en-US" w:eastAsia="zh-CN"/>
              </w:rPr>
              <w:t>组建</w:t>
            </w:r>
          </w:p>
          <w:p w14:paraId="129C31B4">
            <w:pPr>
              <w:pageBreakBefore w:val="0"/>
              <w:overflowPunct/>
              <w:topLinePunct w:val="0"/>
              <w:bidi w:val="0"/>
              <w:spacing w:line="360" w:lineRule="auto"/>
              <w:ind w:left="105" w:leftChars="50" w:firstLine="400" w:firstLineChars="200"/>
              <w:rPr>
                <w:rFonts w:hint="eastAsia" w:ascii="宋体" w:hAnsi="宋体" w:eastAsia="宋体" w:cs="宋体"/>
                <w:b w:val="0"/>
                <w:bCs w:val="0"/>
                <w:color w:val="auto"/>
                <w:kern w:val="0"/>
                <w:sz w:val="20"/>
                <w:szCs w:val="16"/>
                <w:highlight w:val="none"/>
                <w:lang w:val="en-US" w:eastAsia="zh-CN"/>
              </w:rPr>
            </w:pPr>
            <w:r>
              <w:rPr>
                <w:rFonts w:hint="eastAsia" w:ascii="宋体" w:hAnsi="宋体" w:eastAsia="宋体" w:cs="宋体"/>
                <w:b w:val="0"/>
                <w:bCs w:val="0"/>
                <w:color w:val="auto"/>
                <w:kern w:val="0"/>
                <w:sz w:val="20"/>
                <w:szCs w:val="16"/>
                <w:highlight w:val="none"/>
                <w:lang w:val="en-US" w:eastAsia="zh-CN"/>
              </w:rPr>
              <w:t>招标人应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w:t>
            </w:r>
          </w:p>
          <w:p w14:paraId="14BBFBF8">
            <w:pPr>
              <w:pageBreakBefore w:val="0"/>
              <w:wordWrap w:val="0"/>
              <w:overflowPunct/>
              <w:topLinePunct w:val="0"/>
              <w:bidi w:val="0"/>
              <w:adjustRightInd w:val="0"/>
              <w:snapToGrid w:val="0"/>
              <w:spacing w:line="360" w:lineRule="auto"/>
              <w:ind w:left="105" w:leftChars="50" w:firstLine="480"/>
              <w:rPr>
                <w:rFonts w:hint="eastAsia" w:ascii="宋体" w:hAnsi="宋体" w:eastAsia="宋体" w:cs="宋体"/>
                <w:b w:val="0"/>
                <w:bCs w:val="0"/>
                <w:color w:val="auto"/>
                <w:kern w:val="0"/>
                <w:sz w:val="20"/>
                <w:szCs w:val="16"/>
                <w:highlight w:val="none"/>
                <w:lang w:val="en-US" w:eastAsia="zh-CN"/>
              </w:rPr>
            </w:pPr>
            <w:r>
              <w:rPr>
                <w:rFonts w:hint="eastAsia" w:ascii="宋体" w:hAnsi="宋体" w:eastAsia="宋体" w:cs="宋体"/>
                <w:snapToGrid w:val="0"/>
                <w:color w:val="auto"/>
                <w:kern w:val="0"/>
                <w:sz w:val="21"/>
                <w:szCs w:val="21"/>
                <w:highlight w:val="none"/>
                <w:lang w:val="en-US" w:eastAsia="zh-CN"/>
              </w:rPr>
              <w:t>招标监督小组成员与定标候选人存在利害关系的，应主动回避，并书面说明回避理由。回避的具体情形应当包括但不限于以下内容：（1）</w:t>
            </w:r>
            <w:r>
              <w:rPr>
                <w:rFonts w:hint="eastAsia" w:ascii="宋体" w:hAnsi="宋体" w:eastAsia="宋体" w:cs="宋体"/>
                <w:color w:val="auto"/>
                <w:kern w:val="0"/>
                <w:sz w:val="21"/>
                <w:szCs w:val="21"/>
                <w:highlight w:val="none"/>
                <w:lang w:val="en-US" w:eastAsia="zh-CN" w:bidi="ar"/>
              </w:rPr>
              <w:t>系</w:t>
            </w:r>
            <w:r>
              <w:rPr>
                <w:rFonts w:hint="eastAsia" w:ascii="宋体" w:hAnsi="宋体" w:eastAsia="宋体" w:cs="宋体"/>
                <w:snapToGrid w:val="0"/>
                <w:color w:val="auto"/>
                <w:kern w:val="0"/>
                <w:sz w:val="21"/>
                <w:szCs w:val="21"/>
                <w:highlight w:val="none"/>
                <w:lang w:val="en-US" w:eastAsia="zh-CN"/>
              </w:rPr>
              <w:t>定标候选人或者定标候选人主要负责人的近亲属；（2）与定标候选人有直接经济利益关系，可能影响定标公正性的；（3）曾在招标投标有关活动中从事违法行为而受过行政处罚或刑事处罚的。</w:t>
            </w:r>
          </w:p>
          <w:p w14:paraId="2B27DA3C">
            <w:pPr>
              <w:pageBreakBefore w:val="0"/>
              <w:overflowPunct/>
              <w:topLinePunct w:val="0"/>
              <w:bidi w:val="0"/>
              <w:spacing w:line="360" w:lineRule="auto"/>
              <w:ind w:left="105" w:leftChars="50" w:firstLine="400" w:firstLineChars="200"/>
              <w:rPr>
                <w:rFonts w:hint="eastAsia" w:ascii="宋体" w:hAnsi="宋体" w:eastAsia="宋体" w:cs="宋体"/>
                <w:b w:val="0"/>
                <w:bCs w:val="0"/>
                <w:color w:val="auto"/>
                <w:kern w:val="0"/>
                <w:sz w:val="20"/>
                <w:szCs w:val="16"/>
                <w:highlight w:val="none"/>
                <w:lang w:val="en-US" w:eastAsia="zh-CN"/>
              </w:rPr>
            </w:pPr>
            <w:r>
              <w:rPr>
                <w:rFonts w:hint="eastAsia" w:ascii="宋体" w:hAnsi="宋体" w:eastAsia="宋体" w:cs="宋体"/>
                <w:b w:val="0"/>
                <w:bCs w:val="0"/>
                <w:color w:val="auto"/>
                <w:kern w:val="0"/>
                <w:sz w:val="20"/>
                <w:szCs w:val="16"/>
                <w:highlight w:val="none"/>
                <w:lang w:val="en-US" w:eastAsia="zh-CN"/>
              </w:rPr>
              <w:t>招标监督小组的职责是对定标委员会的组建、定标过程及招标人在定标前的清标环节（如有）和对定标候选人的考察（如有）等进行全程监督，确保定标过程公正、公平。发现异常情况及时提醒、进行纠正，但不得就定标涉及的实质内容发表意见或者参与定标讨论。</w:t>
            </w:r>
          </w:p>
          <w:p w14:paraId="554E2F66">
            <w:pPr>
              <w:pageBreakBefore w:val="0"/>
              <w:overflowPunct/>
              <w:topLinePunct w:val="0"/>
              <w:bidi w:val="0"/>
              <w:spacing w:line="360" w:lineRule="auto"/>
              <w:ind w:left="105" w:leftChars="50"/>
              <w:rPr>
                <w:rStyle w:val="27"/>
                <w:rFonts w:hint="eastAsia" w:ascii="宋体" w:hAnsi="宋体" w:eastAsia="宋体" w:cs="宋体"/>
                <w:b/>
                <w:bCs/>
                <w:color w:val="auto"/>
                <w:kern w:val="0"/>
                <w:sz w:val="20"/>
                <w:szCs w:val="20"/>
                <w:highlight w:val="none"/>
                <w:lang w:eastAsia="zh-CN"/>
              </w:rPr>
            </w:pPr>
            <w:r>
              <w:rPr>
                <w:rFonts w:hint="eastAsia" w:ascii="宋体" w:hAnsi="宋体" w:eastAsia="宋体" w:cs="宋体"/>
                <w:b/>
                <w:bCs/>
                <w:color w:val="auto"/>
                <w:kern w:val="0"/>
                <w:sz w:val="20"/>
                <w:szCs w:val="16"/>
                <w:highlight w:val="none"/>
                <w:lang w:val="en-US" w:eastAsia="zh-CN"/>
              </w:rPr>
              <w:t>7.4.</w:t>
            </w:r>
            <w:r>
              <w:rPr>
                <w:rStyle w:val="27"/>
                <w:rFonts w:hint="eastAsia" w:ascii="宋体" w:hAnsi="宋体" w:eastAsia="宋体" w:cs="宋体"/>
                <w:b/>
                <w:bCs/>
                <w:color w:val="auto"/>
                <w:kern w:val="0"/>
                <w:sz w:val="20"/>
                <w:szCs w:val="20"/>
                <w:highlight w:val="none"/>
                <w:lang w:val="en-US" w:eastAsia="zh-CN"/>
              </w:rPr>
              <w:t>2</w:t>
            </w:r>
            <w:r>
              <w:rPr>
                <w:rStyle w:val="27"/>
                <w:rFonts w:hint="eastAsia" w:ascii="宋体" w:hAnsi="宋体" w:eastAsia="宋体" w:cs="宋体"/>
                <w:b/>
                <w:bCs/>
                <w:color w:val="auto"/>
                <w:kern w:val="0"/>
                <w:sz w:val="20"/>
                <w:szCs w:val="20"/>
                <w:highlight w:val="none"/>
                <w:lang w:eastAsia="zh-CN"/>
              </w:rPr>
              <w:t>定标委员会组建</w:t>
            </w:r>
          </w:p>
          <w:p w14:paraId="5E3D0E31">
            <w:pPr>
              <w:pageBreakBefore w:val="0"/>
              <w:overflowPunct/>
              <w:topLinePunct w:val="0"/>
              <w:bidi w:val="0"/>
              <w:spacing w:line="360" w:lineRule="auto"/>
              <w:ind w:left="105" w:leftChars="50" w:firstLine="400" w:firstLineChars="200"/>
              <w:rPr>
                <w:rStyle w:val="27"/>
                <w:rFonts w:hint="eastAsia" w:ascii="宋体" w:hAnsi="宋体" w:eastAsia="宋体" w:cs="宋体"/>
                <w:color w:val="auto"/>
                <w:kern w:val="0"/>
                <w:sz w:val="20"/>
                <w:szCs w:val="20"/>
                <w:highlight w:val="none"/>
                <w:lang w:val="en-US" w:eastAsia="zh-CN"/>
              </w:rPr>
            </w:pPr>
            <w:r>
              <w:rPr>
                <w:rStyle w:val="27"/>
                <w:rFonts w:hint="eastAsia" w:ascii="宋体" w:hAnsi="宋体" w:eastAsia="宋体" w:cs="宋体"/>
                <w:color w:val="auto"/>
                <w:kern w:val="0"/>
                <w:sz w:val="20"/>
                <w:szCs w:val="20"/>
                <w:highlight w:val="none"/>
                <w:lang w:val="en-US" w:eastAsia="zh-CN"/>
              </w:rPr>
              <w:t>招标人负责组建定标委员会，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定标委员会成员数量见</w:t>
            </w:r>
            <w:r>
              <w:rPr>
                <w:rFonts w:hint="eastAsia" w:ascii="宋体" w:hAnsi="宋体" w:eastAsia="宋体" w:cs="宋体"/>
                <w:b w:val="0"/>
                <w:bCs w:val="0"/>
                <w:color w:val="auto"/>
                <w:kern w:val="0"/>
                <w:sz w:val="20"/>
                <w:szCs w:val="16"/>
                <w:highlight w:val="none"/>
                <w:lang w:val="en-US" w:eastAsia="zh-CN"/>
              </w:rPr>
              <w:t>投标人须知前附表</w:t>
            </w:r>
            <w:r>
              <w:rPr>
                <w:rStyle w:val="27"/>
                <w:rFonts w:hint="eastAsia" w:ascii="宋体" w:hAnsi="宋体" w:eastAsia="宋体" w:cs="宋体"/>
                <w:color w:val="auto"/>
                <w:kern w:val="0"/>
                <w:sz w:val="20"/>
                <w:szCs w:val="20"/>
                <w:highlight w:val="none"/>
                <w:lang w:val="en-US" w:eastAsia="zh-CN"/>
              </w:rPr>
              <w:t>。</w:t>
            </w:r>
          </w:p>
          <w:p w14:paraId="248E4EE2">
            <w:pPr>
              <w:pageBreakBefore w:val="0"/>
              <w:overflowPunct/>
              <w:topLinePunct w:val="0"/>
              <w:bidi w:val="0"/>
              <w:spacing w:line="360" w:lineRule="auto"/>
              <w:ind w:left="105" w:leftChars="50" w:firstLine="420" w:firstLineChars="200"/>
              <w:rPr>
                <w:rStyle w:val="27"/>
                <w:rFonts w:hint="eastAsia" w:ascii="宋体" w:hAnsi="宋体" w:eastAsia="宋体" w:cs="宋体"/>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定标委员会成员与定标候选人存在利害关系的，应主动回避，并书面说明回避理由。回避的具体情形应当包括但不限于以下内容：（1）</w:t>
            </w:r>
            <w:r>
              <w:rPr>
                <w:rFonts w:hint="eastAsia" w:ascii="宋体" w:hAnsi="宋体" w:eastAsia="宋体" w:cs="宋体"/>
                <w:color w:val="auto"/>
                <w:kern w:val="0"/>
                <w:sz w:val="21"/>
                <w:szCs w:val="21"/>
                <w:highlight w:val="none"/>
                <w:lang w:val="en-US" w:eastAsia="zh-CN" w:bidi="ar"/>
              </w:rPr>
              <w:t>系</w:t>
            </w:r>
            <w:r>
              <w:rPr>
                <w:rFonts w:hint="eastAsia" w:ascii="宋体" w:hAnsi="宋体" w:eastAsia="宋体" w:cs="宋体"/>
                <w:snapToGrid w:val="0"/>
                <w:color w:val="auto"/>
                <w:kern w:val="0"/>
                <w:sz w:val="21"/>
                <w:szCs w:val="21"/>
                <w:highlight w:val="none"/>
                <w:lang w:val="en-US" w:eastAsia="zh-CN"/>
              </w:rPr>
              <w:t>定标候选人或者定标候选人主要负责人的近亲属；（2）与定标候选人有直接经济利益关系，可能影响定标公正性的；（3）曾在招标投标有关活动中从事违法行为而受过行政处罚或刑事处罚的。</w:t>
            </w:r>
          </w:p>
          <w:p w14:paraId="4BA5F3D3">
            <w:pPr>
              <w:pageBreakBefore w:val="0"/>
              <w:overflowPunct/>
              <w:topLinePunct w:val="0"/>
              <w:bidi w:val="0"/>
              <w:spacing w:line="360" w:lineRule="auto"/>
              <w:ind w:left="105" w:leftChars="50" w:firstLine="420" w:firstLineChars="200"/>
              <w:rPr>
                <w:rStyle w:val="27"/>
                <w:rFonts w:hint="eastAsia" w:ascii="宋体" w:hAnsi="宋体" w:eastAsia="宋体" w:cs="宋体"/>
                <w:color w:val="auto"/>
                <w:kern w:val="0"/>
                <w:sz w:val="21"/>
                <w:szCs w:val="21"/>
                <w:highlight w:val="none"/>
                <w:lang w:val="en-US" w:eastAsia="zh-CN"/>
              </w:rPr>
            </w:pPr>
            <w:r>
              <w:rPr>
                <w:rStyle w:val="27"/>
                <w:rFonts w:hint="eastAsia" w:ascii="宋体" w:hAnsi="宋体" w:eastAsia="宋体" w:cs="宋体"/>
                <w:color w:val="auto"/>
                <w:kern w:val="0"/>
                <w:sz w:val="21"/>
                <w:szCs w:val="21"/>
                <w:highlight w:val="none"/>
                <w:lang w:val="en-US" w:eastAsia="zh-CN"/>
              </w:rPr>
              <w:t>定标委员会应当推荐定标组长，招标人（不含代理机构）的法定代表人或者主要负责人参加定标委员会的，由其直接担任定标委员会组长。定标委员会名单在中标结果公告前应当保密。</w:t>
            </w:r>
          </w:p>
          <w:p w14:paraId="071B1C67">
            <w:pPr>
              <w:pageBreakBefore w:val="0"/>
              <w:overflowPunct/>
              <w:topLinePunct w:val="0"/>
              <w:bidi w:val="0"/>
              <w:spacing w:line="360" w:lineRule="auto"/>
              <w:ind w:left="105" w:leftChars="50" w:firstLine="420" w:firstLineChars="20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定标委员会全体成员需独立、客观、公正履行定标职责，严禁打探、揣测招标人中标意向，严禁接受利害关系人请托，严禁私下接触、约谈、沟通各定标候选人及其他项目利害关系人，杜绝一切影响定标公正性的行为；严格遵守招投标保密规定，在中标结果正式公示前，严禁泄露定标讨论过程、投票情况、初步结果等一切涉密信息，对本人作出的定标意见、投票结果承担个人责任。</w:t>
            </w:r>
          </w:p>
          <w:p w14:paraId="514AFEF8">
            <w:pPr>
              <w:pageBreakBefore w:val="0"/>
              <w:overflowPunct/>
              <w:topLinePunct w:val="0"/>
              <w:bidi w:val="0"/>
              <w:spacing w:line="360" w:lineRule="auto"/>
              <w:ind w:left="105" w:leftChars="50"/>
              <w:rPr>
                <w:rStyle w:val="27"/>
                <w:rFonts w:hint="eastAsia" w:ascii="宋体" w:hAnsi="宋体" w:eastAsia="宋体" w:cs="宋体"/>
                <w:b/>
                <w:bCs/>
                <w:color w:val="auto"/>
                <w:kern w:val="0"/>
                <w:sz w:val="20"/>
                <w:szCs w:val="20"/>
                <w:highlight w:val="none"/>
                <w:lang w:eastAsia="zh-CN"/>
              </w:rPr>
            </w:pPr>
            <w:r>
              <w:rPr>
                <w:rFonts w:hint="eastAsia" w:ascii="宋体" w:hAnsi="宋体" w:eastAsia="宋体" w:cs="宋体"/>
                <w:b/>
                <w:bCs/>
                <w:color w:val="auto"/>
                <w:kern w:val="0"/>
                <w:sz w:val="20"/>
                <w:szCs w:val="16"/>
                <w:highlight w:val="none"/>
                <w:lang w:val="en-US" w:eastAsia="zh-CN"/>
              </w:rPr>
              <w:t>7.4.</w:t>
            </w:r>
            <w:r>
              <w:rPr>
                <w:rStyle w:val="27"/>
                <w:rFonts w:hint="eastAsia" w:ascii="宋体" w:hAnsi="宋体" w:eastAsia="宋体" w:cs="宋体"/>
                <w:b/>
                <w:bCs/>
                <w:color w:val="auto"/>
                <w:kern w:val="0"/>
                <w:sz w:val="20"/>
                <w:szCs w:val="20"/>
                <w:highlight w:val="none"/>
                <w:lang w:val="en-US" w:eastAsia="zh-CN"/>
              </w:rPr>
              <w:t>3</w:t>
            </w:r>
            <w:r>
              <w:rPr>
                <w:rStyle w:val="27"/>
                <w:rFonts w:hint="eastAsia" w:ascii="宋体" w:hAnsi="宋体" w:eastAsia="宋体" w:cs="宋体"/>
                <w:b/>
                <w:bCs/>
                <w:color w:val="auto"/>
                <w:kern w:val="0"/>
                <w:sz w:val="20"/>
                <w:szCs w:val="20"/>
                <w:highlight w:val="none"/>
              </w:rPr>
              <w:t>定标</w:t>
            </w:r>
            <w:r>
              <w:rPr>
                <w:rStyle w:val="27"/>
                <w:rFonts w:hint="eastAsia" w:ascii="宋体" w:hAnsi="宋体" w:eastAsia="宋体" w:cs="宋体"/>
                <w:b/>
                <w:bCs/>
                <w:color w:val="auto"/>
                <w:kern w:val="0"/>
                <w:sz w:val="20"/>
                <w:szCs w:val="20"/>
                <w:highlight w:val="none"/>
                <w:lang w:eastAsia="zh-CN"/>
              </w:rPr>
              <w:t>会议</w:t>
            </w:r>
            <w:r>
              <w:rPr>
                <w:rStyle w:val="27"/>
                <w:rFonts w:hint="eastAsia" w:ascii="宋体" w:hAnsi="宋体" w:eastAsia="宋体" w:cs="宋体"/>
                <w:b/>
                <w:bCs/>
                <w:color w:val="auto"/>
                <w:kern w:val="0"/>
                <w:sz w:val="20"/>
                <w:szCs w:val="20"/>
                <w:highlight w:val="none"/>
              </w:rPr>
              <w:t>时间</w:t>
            </w:r>
            <w:r>
              <w:rPr>
                <w:rStyle w:val="27"/>
                <w:rFonts w:hint="eastAsia" w:ascii="宋体" w:hAnsi="宋体" w:eastAsia="宋体" w:cs="宋体"/>
                <w:b/>
                <w:bCs/>
                <w:color w:val="auto"/>
                <w:kern w:val="0"/>
                <w:sz w:val="20"/>
                <w:szCs w:val="20"/>
                <w:highlight w:val="none"/>
                <w:lang w:eastAsia="zh-CN"/>
              </w:rPr>
              <w:t>及地点</w:t>
            </w:r>
          </w:p>
          <w:p w14:paraId="26388B3C">
            <w:pPr>
              <w:pageBreakBefore w:val="0"/>
              <w:wordWrap w:val="0"/>
              <w:overflowPunct/>
              <w:topLinePunct w:val="0"/>
              <w:bidi w:val="0"/>
              <w:adjustRightInd w:val="0"/>
              <w:snapToGrid w:val="0"/>
              <w:spacing w:line="360" w:lineRule="auto"/>
              <w:ind w:left="105" w:leftChars="50" w:firstLine="48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招标人在定标候选人公示期满无异议、投诉办结后5个工作日内召开定标会议，定标会议地点安排在原评标所在的公共资源交易中心，定标会议全过程录音录像，全程留痕、可追溯。</w:t>
            </w:r>
          </w:p>
          <w:p w14:paraId="0A8CDB26">
            <w:pPr>
              <w:pageBreakBefore w:val="0"/>
              <w:overflowPunct/>
              <w:topLinePunct w:val="0"/>
              <w:bidi w:val="0"/>
              <w:spacing w:line="360" w:lineRule="auto"/>
              <w:ind w:left="105" w:leftChars="50" w:firstLine="420" w:firstLineChars="200"/>
              <w:rPr>
                <w:rStyle w:val="27"/>
                <w:rFonts w:hint="eastAsia" w:ascii="宋体" w:hAnsi="宋体" w:eastAsia="宋体" w:cs="宋体"/>
                <w:color w:val="auto"/>
                <w:kern w:val="0"/>
                <w:sz w:val="20"/>
                <w:szCs w:val="20"/>
                <w:highlight w:val="none"/>
              </w:rPr>
            </w:pPr>
            <w:r>
              <w:rPr>
                <w:rFonts w:hint="eastAsia" w:ascii="宋体" w:hAnsi="宋体" w:eastAsia="宋体" w:cs="宋体"/>
                <w:snapToGrid w:val="0"/>
                <w:color w:val="auto"/>
                <w:kern w:val="0"/>
                <w:sz w:val="21"/>
                <w:szCs w:val="21"/>
                <w:highlight w:val="none"/>
                <w:lang w:val="en-US" w:eastAsia="zh-CN"/>
              </w:rPr>
              <w:t>因特殊情况确需延期召开定标会议的，招标人须提前通过广东省招标投标监管网、公共资源交易平台发布延期公告，明确公示延期原因、原定标时间及最新定标时间。</w:t>
            </w:r>
          </w:p>
          <w:p w14:paraId="2E74B2B2">
            <w:pPr>
              <w:pageBreakBefore w:val="0"/>
              <w:overflowPunct/>
              <w:topLinePunct w:val="0"/>
              <w:bidi w:val="0"/>
              <w:spacing w:line="360" w:lineRule="auto"/>
              <w:ind w:left="105" w:leftChars="50"/>
              <w:jc w:val="left"/>
              <w:rPr>
                <w:rStyle w:val="27"/>
                <w:rFonts w:hint="eastAsia" w:ascii="宋体" w:hAnsi="宋体" w:eastAsia="宋体" w:cs="宋体"/>
                <w:b/>
                <w:bCs/>
                <w:color w:val="auto"/>
                <w:kern w:val="0"/>
                <w:sz w:val="20"/>
                <w:szCs w:val="20"/>
                <w:highlight w:val="none"/>
                <w:lang w:eastAsia="zh-CN"/>
              </w:rPr>
            </w:pPr>
            <w:r>
              <w:rPr>
                <w:rFonts w:hint="eastAsia" w:ascii="宋体" w:hAnsi="宋体" w:eastAsia="宋体" w:cs="宋体"/>
                <w:b/>
                <w:bCs/>
                <w:color w:val="auto"/>
                <w:kern w:val="0"/>
                <w:sz w:val="20"/>
                <w:szCs w:val="16"/>
                <w:highlight w:val="none"/>
                <w:lang w:val="en-US" w:eastAsia="zh-CN"/>
              </w:rPr>
              <w:t>7.4.</w:t>
            </w:r>
            <w:r>
              <w:rPr>
                <w:rStyle w:val="27"/>
                <w:rFonts w:hint="eastAsia" w:ascii="宋体" w:hAnsi="宋体" w:eastAsia="宋体" w:cs="宋体"/>
                <w:b/>
                <w:bCs/>
                <w:color w:val="auto"/>
                <w:kern w:val="0"/>
                <w:sz w:val="20"/>
                <w:szCs w:val="20"/>
                <w:highlight w:val="none"/>
                <w:lang w:val="en-US" w:eastAsia="zh-CN"/>
              </w:rPr>
              <w:t>4</w:t>
            </w:r>
            <w:r>
              <w:rPr>
                <w:rStyle w:val="27"/>
                <w:rFonts w:hint="eastAsia" w:ascii="宋体" w:hAnsi="宋体" w:eastAsia="宋体" w:cs="宋体"/>
                <w:b/>
                <w:bCs/>
                <w:color w:val="auto"/>
                <w:kern w:val="0"/>
                <w:sz w:val="20"/>
                <w:szCs w:val="20"/>
                <w:highlight w:val="none"/>
                <w:lang w:eastAsia="zh-CN"/>
              </w:rPr>
              <w:t>定标方法</w:t>
            </w:r>
          </w:p>
          <w:p w14:paraId="2AF954FF">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firstLine="400" w:firstLineChars="200"/>
              <w:jc w:val="both"/>
              <w:textAlignment w:val="auto"/>
              <w:outlineLvl w:val="9"/>
              <w:rPr>
                <w:rFonts w:hint="eastAsia" w:ascii="宋体" w:hAnsi="宋体" w:eastAsia="宋体" w:cs="宋体"/>
                <w:b w:val="0"/>
                <w:bCs w:val="0"/>
                <w:color w:val="auto"/>
                <w:sz w:val="20"/>
                <w:szCs w:val="20"/>
                <w:highlight w:val="none"/>
                <w:lang w:val="en-US" w:eastAsia="zh-CN"/>
              </w:rPr>
            </w:pPr>
            <w:bookmarkStart w:id="23" w:name="OLE_LINK3"/>
            <w:r>
              <w:rPr>
                <w:rFonts w:hint="eastAsia" w:ascii="宋体" w:hAnsi="宋体" w:eastAsia="宋体" w:cs="宋体"/>
                <w:b w:val="0"/>
                <w:bCs w:val="0"/>
                <w:color w:val="auto"/>
                <w:sz w:val="20"/>
                <w:szCs w:val="20"/>
                <w:highlight w:val="none"/>
                <w:lang w:val="en-US" w:eastAsia="zh-CN"/>
              </w:rPr>
              <w:t>本项目</w:t>
            </w:r>
            <w:bookmarkEnd w:id="23"/>
            <w:r>
              <w:rPr>
                <w:rStyle w:val="27"/>
                <w:rFonts w:hint="eastAsia" w:ascii="宋体" w:hAnsi="宋体" w:eastAsia="宋体" w:cs="宋体"/>
                <w:b w:val="0"/>
                <w:bCs w:val="0"/>
                <w:color w:val="auto"/>
                <w:kern w:val="0"/>
                <w:sz w:val="20"/>
                <w:szCs w:val="20"/>
                <w:highlight w:val="none"/>
                <w:lang w:val="en-US" w:eastAsia="zh-CN"/>
              </w:rPr>
              <w:t>定标方法按投标人须知前附表的规定确定为</w:t>
            </w:r>
            <w:r>
              <w:rPr>
                <w:rFonts w:hint="eastAsia" w:ascii="宋体" w:hAnsi="宋体" w:eastAsia="宋体" w:cs="宋体"/>
                <w:b w:val="0"/>
                <w:bCs w:val="0"/>
                <w:color w:val="auto"/>
                <w:sz w:val="20"/>
                <w:szCs w:val="20"/>
                <w:highlight w:val="none"/>
                <w:lang w:val="en-US" w:eastAsia="zh-CN"/>
              </w:rPr>
              <w:t>“票决数量法”定标。定标委员会依据以下定标程序、定标因素，独立评议、记名投票择优确定1名中标侯选人。</w:t>
            </w:r>
          </w:p>
          <w:p w14:paraId="689AAAB9">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jc w:val="both"/>
              <w:textAlignment w:val="auto"/>
              <w:outlineLvl w:val="9"/>
              <w:rPr>
                <w:rFonts w:hint="eastAsia" w:ascii="宋体" w:hAnsi="宋体" w:eastAsia="宋体" w:cs="宋体"/>
                <w:b/>
                <w:bCs/>
                <w:color w:val="auto"/>
                <w:spacing w:val="0"/>
                <w:position w:val="0"/>
                <w:sz w:val="20"/>
                <w:szCs w:val="20"/>
                <w:highlight w:val="none"/>
                <w:u w:val="none" w:color="auto"/>
                <w:lang w:eastAsia="zh-CN"/>
              </w:rPr>
            </w:pPr>
            <w:r>
              <w:rPr>
                <w:rFonts w:hint="eastAsia" w:ascii="宋体" w:hAnsi="宋体" w:eastAsia="宋体" w:cs="宋体"/>
                <w:b/>
                <w:bCs/>
                <w:color w:val="auto"/>
                <w:kern w:val="0"/>
                <w:sz w:val="20"/>
                <w:szCs w:val="16"/>
                <w:highlight w:val="none"/>
                <w:lang w:val="en-US" w:eastAsia="zh-CN"/>
              </w:rPr>
              <w:t>7.4.5</w:t>
            </w:r>
            <w:r>
              <w:rPr>
                <w:rFonts w:hint="eastAsia" w:ascii="宋体" w:hAnsi="宋体" w:eastAsia="宋体" w:cs="宋体"/>
                <w:b/>
                <w:bCs/>
                <w:color w:val="auto"/>
                <w:spacing w:val="0"/>
                <w:position w:val="0"/>
                <w:sz w:val="20"/>
                <w:szCs w:val="20"/>
                <w:highlight w:val="none"/>
                <w:u w:val="none" w:color="auto"/>
                <w:lang w:val="en-US" w:eastAsia="zh-CN"/>
              </w:rPr>
              <w:t>票决数量法程序</w:t>
            </w:r>
          </w:p>
          <w:p w14:paraId="6A49EA8A">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00" w:firstLineChars="200"/>
              <w:jc w:val="both"/>
              <w:textAlignment w:val="auto"/>
              <w:outlineLvl w:val="9"/>
              <w:rPr>
                <w:rFonts w:hint="eastAsia" w:ascii="宋体" w:hAnsi="宋体" w:eastAsia="宋体" w:cs="宋体"/>
                <w:b w:val="0"/>
                <w:i w:val="0"/>
                <w:snapToGrid/>
                <w:color w:val="auto"/>
                <w:sz w:val="20"/>
                <w:szCs w:val="20"/>
                <w:highlight w:val="none"/>
                <w:u w:val="none"/>
                <w:shd w:val="clear" w:color="auto" w:fill="FFFFFF"/>
                <w:lang w:eastAsia="zh-CN"/>
              </w:rPr>
            </w:pPr>
            <w:r>
              <w:rPr>
                <w:rFonts w:hint="eastAsia" w:ascii="宋体" w:hAnsi="宋体" w:eastAsia="宋体" w:cs="宋体"/>
                <w:b w:val="0"/>
                <w:i w:val="0"/>
                <w:snapToGrid/>
                <w:color w:val="auto"/>
                <w:sz w:val="20"/>
                <w:szCs w:val="20"/>
                <w:highlight w:val="none"/>
                <w:u w:val="none"/>
                <w:shd w:val="clear" w:color="auto" w:fill="FFFFFF"/>
                <w:lang w:eastAsia="zh-CN"/>
              </w:rPr>
              <w:t>定标委员会根据定标因素对定标候选人进行评审比较后，</w:t>
            </w:r>
            <w:r>
              <w:rPr>
                <w:rFonts w:hint="eastAsia" w:ascii="宋体" w:hAnsi="宋体" w:eastAsia="宋体" w:cs="宋体"/>
                <w:snapToGrid w:val="0"/>
                <w:color w:val="auto"/>
                <w:kern w:val="0"/>
                <w:sz w:val="21"/>
                <w:szCs w:val="21"/>
                <w:highlight w:val="none"/>
                <w:lang w:val="en-US" w:eastAsia="zh-CN" w:bidi="ar-SA"/>
              </w:rPr>
              <w:t>对定标候选人进行记名投票</w:t>
            </w:r>
            <w:r>
              <w:rPr>
                <w:rFonts w:hint="eastAsia" w:ascii="宋体" w:hAnsi="宋体" w:eastAsia="宋体" w:cs="宋体"/>
                <w:color w:val="auto"/>
                <w:sz w:val="21"/>
                <w:szCs w:val="21"/>
                <w:highlight w:val="none"/>
                <w:lang w:eastAsia="zh-CN"/>
              </w:rPr>
              <w:t>，</w:t>
            </w:r>
            <w:r>
              <w:rPr>
                <w:rFonts w:hint="eastAsia" w:ascii="宋体" w:hAnsi="宋体" w:eastAsia="宋体" w:cs="宋体"/>
                <w:snapToGrid w:val="0"/>
                <w:color w:val="auto"/>
                <w:kern w:val="0"/>
                <w:sz w:val="20"/>
                <w:szCs w:val="20"/>
                <w:highlight w:val="none"/>
                <w:lang w:val="en-US" w:eastAsia="zh-CN" w:bidi="ar-SA"/>
              </w:rPr>
              <w:t>每名定标委员会成员每轮有且仅有投出1票的权利，1票只能投1名定标候选人，得票最高的即为中标侯选人。当最高得票相同时，对得票最高的定标候选人再次进行记名投票，直至选出中标侯选人。</w:t>
            </w:r>
          </w:p>
          <w:p w14:paraId="65DC91D5">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2" w:firstLineChars="20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（1）项目情况介绍</w:t>
            </w:r>
          </w:p>
          <w:p w14:paraId="289770FB">
            <w:pPr>
              <w:keepNext w:val="0"/>
              <w:keepLines w:val="0"/>
              <w:pageBreakBefore w:val="0"/>
              <w:widowControl/>
              <w:suppressLineNumbers w:val="0"/>
              <w:kinsoku/>
              <w:wordWrap/>
              <w:overflowPunct/>
              <w:topLinePunct w:val="0"/>
              <w:autoSpaceDE/>
              <w:autoSpaceDN/>
              <w:bidi w:val="0"/>
              <w:adjustRightInd/>
              <w:snapToGrid/>
              <w:spacing w:line="360" w:lineRule="auto"/>
              <w:ind w:left="105" w:leftChars="50"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招标人代表介绍项目的概况及招标要求，以及定标方法与定标工作规则，不得发表任何倾向性、诱导性、排他性言论，不得干预定标成员独立判断。</w:t>
            </w:r>
          </w:p>
          <w:p w14:paraId="55402506">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2" w:firstLineChars="20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（2）审阅定标资料</w:t>
            </w:r>
          </w:p>
          <w:p w14:paraId="4418C545">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定标委员会成员对各定标候选人的投标文件进行审阅，审阅内容主要是定标工作规则所规定的定标因素，聚焦于项目需求与候选人能力的匹配度。</w:t>
            </w:r>
          </w:p>
          <w:p w14:paraId="2DD0F718">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2" w:firstLineChars="20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（3）投票和汇总</w:t>
            </w:r>
          </w:p>
          <w:p w14:paraId="45EBFC84">
            <w:pPr>
              <w:keepNext w:val="0"/>
              <w:keepLines w:val="0"/>
              <w:pageBreakBefore w:val="0"/>
              <w:widowControl/>
              <w:suppressLineNumbers w:val="0"/>
              <w:kinsoku/>
              <w:wordWrap/>
              <w:overflowPunct/>
              <w:topLinePunct w:val="0"/>
              <w:autoSpaceDE/>
              <w:autoSpaceDN/>
              <w:bidi w:val="0"/>
              <w:adjustRightInd/>
              <w:snapToGrid/>
              <w:spacing w:line="360" w:lineRule="auto"/>
              <w:ind w:left="105" w:leftChars="5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全体定标委员会成员秉持公平、公正、择优原则，独立完成记名投票。由现场工作人员统一收集、清点，当场汇总票数、核对投票结果，形成票决排名。</w:t>
            </w:r>
          </w:p>
          <w:p w14:paraId="439800A1">
            <w:pPr>
              <w:keepNext w:val="0"/>
              <w:keepLines w:val="0"/>
              <w:pageBreakBefore w:val="0"/>
              <w:widowControl/>
              <w:suppressLineNumbers w:val="0"/>
              <w:kinsoku/>
              <w:wordWrap/>
              <w:overflowPunct/>
              <w:topLinePunct w:val="0"/>
              <w:autoSpaceDE/>
              <w:autoSpaceDN/>
              <w:bidi w:val="0"/>
              <w:adjustRightInd/>
              <w:snapToGrid/>
              <w:spacing w:line="360" w:lineRule="auto"/>
              <w:ind w:left="105" w:leftChars="5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（4）结果确认及报告出具</w:t>
            </w:r>
          </w:p>
          <w:p w14:paraId="5134151A">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定标委员会确定</w:t>
            </w:r>
            <w:r>
              <w:rPr>
                <w:rFonts w:hint="eastAsia" w:ascii="宋体" w:hAnsi="宋体" w:eastAsia="宋体" w:cs="宋体"/>
                <w:snapToGrid w:val="0"/>
                <w:color w:val="auto"/>
                <w:kern w:val="0"/>
                <w:sz w:val="21"/>
                <w:szCs w:val="21"/>
                <w:highlight w:val="none"/>
                <w:lang w:val="en-US" w:eastAsia="zh-CN" w:bidi="ar-SA"/>
              </w:rPr>
              <w:t>得票最高的定标候选人为</w:t>
            </w:r>
            <w:r>
              <w:rPr>
                <w:rFonts w:hint="eastAsia" w:ascii="宋体" w:hAnsi="宋体" w:eastAsia="宋体" w:cs="宋体"/>
                <w:b w:val="0"/>
                <w:bCs w:val="0"/>
                <w:color w:val="auto"/>
                <w:sz w:val="21"/>
                <w:szCs w:val="21"/>
                <w:highlight w:val="none"/>
                <w:lang w:val="en-US" w:eastAsia="zh-CN"/>
              </w:rPr>
              <w:t>中标侯选人</w:t>
            </w:r>
            <w:r>
              <w:rPr>
                <w:rFonts w:hint="eastAsia" w:ascii="宋体" w:hAnsi="宋体" w:eastAsia="宋体" w:cs="宋体"/>
                <w:snapToGrid w:val="0"/>
                <w:color w:val="auto"/>
                <w:kern w:val="0"/>
                <w:sz w:val="21"/>
                <w:szCs w:val="21"/>
                <w:highlight w:val="none"/>
                <w:lang w:val="en-US" w:eastAsia="zh-CN" w:bidi="ar-SA"/>
              </w:rPr>
              <w:t>，并</w:t>
            </w:r>
            <w:r>
              <w:rPr>
                <w:rFonts w:hint="eastAsia" w:ascii="宋体" w:hAnsi="宋体" w:eastAsia="宋体" w:cs="宋体"/>
                <w:b w:val="0"/>
                <w:bCs w:val="0"/>
                <w:color w:val="auto"/>
                <w:sz w:val="21"/>
                <w:szCs w:val="21"/>
                <w:highlight w:val="none"/>
                <w:lang w:val="en-US" w:eastAsia="zh-CN"/>
              </w:rPr>
              <w:t>由定标委员会组长编制定标报告，定标报告应由定标委员会全体成员及招标监督小组全部成员签字确认，无正当理由不得拒签。</w:t>
            </w:r>
          </w:p>
          <w:p w14:paraId="756F9033">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2" w:firstLineChars="20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（5）全程监督</w:t>
            </w:r>
          </w:p>
          <w:p w14:paraId="222E29C4">
            <w:pPr>
              <w:pStyle w:val="6"/>
              <w:keepNext w:val="0"/>
              <w:keepLines w:val="0"/>
              <w:pageBreakBefore w:val="0"/>
              <w:kinsoku/>
              <w:wordWrap/>
              <w:overflowPunct/>
              <w:topLinePunct w:val="0"/>
              <w:autoSpaceDE/>
              <w:autoSpaceDN/>
              <w:bidi w:val="0"/>
              <w:adjustRightInd/>
              <w:snapToGrid/>
              <w:spacing w:beforeAutospacing="0" w:afterAutospacing="0" w:line="360" w:lineRule="auto"/>
              <w:ind w:left="105" w:leftChars="5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招标监督小组对集体议定的全过程进行监督，确保程序合规、讨论充分、记录完整，结论形成过程公正、透明。</w:t>
            </w:r>
          </w:p>
          <w:p w14:paraId="229733D4">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jc w:val="both"/>
              <w:textAlignment w:val="auto"/>
              <w:outlineLvl w:val="9"/>
              <w:rPr>
                <w:rFonts w:hint="eastAsia" w:ascii="宋体" w:hAnsi="宋体" w:eastAsia="宋体" w:cs="宋体"/>
                <w:b/>
                <w:bCs/>
                <w:color w:val="auto"/>
                <w:spacing w:val="0"/>
                <w:position w:val="0"/>
                <w:sz w:val="20"/>
                <w:szCs w:val="20"/>
                <w:highlight w:val="none"/>
                <w:u w:val="none" w:color="auto"/>
                <w:lang w:val="en-US" w:eastAsia="zh-CN"/>
              </w:rPr>
            </w:pPr>
            <w:r>
              <w:rPr>
                <w:rFonts w:hint="eastAsia" w:ascii="宋体" w:hAnsi="宋体" w:eastAsia="宋体" w:cs="宋体"/>
                <w:b/>
                <w:bCs/>
                <w:color w:val="auto"/>
                <w:kern w:val="0"/>
                <w:sz w:val="20"/>
                <w:szCs w:val="16"/>
                <w:highlight w:val="none"/>
                <w:lang w:val="en-US" w:eastAsia="zh-CN"/>
              </w:rPr>
              <w:t>7.4.6</w:t>
            </w:r>
            <w:r>
              <w:rPr>
                <w:rFonts w:hint="eastAsia" w:ascii="宋体" w:hAnsi="宋体" w:eastAsia="宋体" w:cs="宋体"/>
                <w:b/>
                <w:bCs/>
                <w:color w:val="auto"/>
                <w:spacing w:val="0"/>
                <w:position w:val="0"/>
                <w:sz w:val="20"/>
                <w:szCs w:val="20"/>
                <w:highlight w:val="none"/>
                <w:u w:val="none" w:color="auto"/>
                <w:lang w:val="en-US" w:eastAsia="zh-CN"/>
              </w:rPr>
              <w:t>定标因素</w:t>
            </w:r>
          </w:p>
          <w:p w14:paraId="7A6F1FD4">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firstLine="420" w:firstLineChars="200"/>
              <w:jc w:val="both"/>
              <w:textAlignment w:val="auto"/>
              <w:outlineLvl w:val="9"/>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在同等条件下，择优的定标因素和相对标准有以下几个方面：</w:t>
            </w:r>
          </w:p>
          <w:p w14:paraId="141B480A">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（1）拟派团队管理能力与水平（履约能力）</w:t>
            </w:r>
          </w:p>
          <w:p w14:paraId="5C77C8E4">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相对标准：拟派团队管理能力与水平（履约能力）强的定标候选人优于拟派团队管理能力与水平（履约能力）一般的定标候选人。</w:t>
            </w:r>
          </w:p>
          <w:p w14:paraId="36FD4669">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（2）企业实力</w:t>
            </w:r>
          </w:p>
          <w:p w14:paraId="489FE1D6">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相对标准：企业监理类似工程项目业绩及获奖多的定标候选人优于项目业绩及获奖一般的定标候选人。</w:t>
            </w:r>
          </w:p>
          <w:p w14:paraId="1A40F47D">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（3）企业信誉</w:t>
            </w:r>
          </w:p>
          <w:p w14:paraId="5AD98F93">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相对标准：企业信誉评价好的定标候选人优于企业信誉评价一般的定标候选人。</w:t>
            </w:r>
          </w:p>
          <w:p w14:paraId="2E58F33B">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（4）评标报告</w:t>
            </w:r>
          </w:p>
          <w:p w14:paraId="1D175B2E">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52B27B8C">
            <w:pPr>
              <w:pStyle w:val="20"/>
              <w:keepNext w:val="0"/>
              <w:keepLines w:val="0"/>
              <w:pageBreakBefore w:val="0"/>
              <w:wordWrap/>
              <w:overflowPunct/>
              <w:topLinePunct w:val="0"/>
              <w:bidi w:val="0"/>
              <w:spacing w:line="360" w:lineRule="auto"/>
              <w:ind w:left="105" w:leftChars="50" w:right="0" w:firstLine="429"/>
              <w:jc w:val="both"/>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（5）技术方案</w:t>
            </w:r>
          </w:p>
          <w:p w14:paraId="63E2D29C">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firstLine="420" w:firstLineChars="200"/>
              <w:jc w:val="both"/>
              <w:textAlignment w:val="auto"/>
              <w:outlineLvl w:val="9"/>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技术方案针对性强、内容科学合理且符合项目实际的定标候选人优于技术方案针对性不足、内容一般的定标候选人。</w:t>
            </w:r>
          </w:p>
          <w:p w14:paraId="68AB1CBA">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jc w:val="both"/>
              <w:textAlignment w:val="auto"/>
              <w:outlineLvl w:val="9"/>
              <w:rPr>
                <w:rFonts w:hint="eastAsia" w:ascii="宋体" w:hAnsi="宋体" w:eastAsia="宋体" w:cs="宋体"/>
                <w:b/>
                <w:bCs/>
                <w:color w:val="auto"/>
                <w:kern w:val="0"/>
                <w:sz w:val="20"/>
                <w:szCs w:val="20"/>
                <w:highlight w:val="none"/>
                <w:u w:val="none"/>
                <w:shd w:val="clear" w:color="auto" w:fill="FFFFFF"/>
                <w:lang w:val="en-US" w:eastAsia="zh-CN" w:bidi="ar-SA"/>
              </w:rPr>
            </w:pPr>
            <w:r>
              <w:rPr>
                <w:rFonts w:hint="eastAsia" w:ascii="宋体" w:hAnsi="宋体" w:eastAsia="宋体" w:cs="宋体"/>
                <w:b/>
                <w:bCs/>
                <w:color w:val="auto"/>
                <w:kern w:val="0"/>
                <w:sz w:val="20"/>
                <w:szCs w:val="16"/>
                <w:highlight w:val="none"/>
                <w:lang w:val="en-US" w:eastAsia="zh-CN"/>
              </w:rPr>
              <w:t>7.4.</w:t>
            </w:r>
            <w:r>
              <w:rPr>
                <w:rFonts w:hint="eastAsia" w:ascii="宋体" w:hAnsi="宋体" w:eastAsia="宋体" w:cs="宋体"/>
                <w:b/>
                <w:bCs/>
                <w:color w:val="auto"/>
                <w:kern w:val="0"/>
                <w:sz w:val="20"/>
                <w:szCs w:val="20"/>
                <w:highlight w:val="none"/>
                <w:u w:val="none"/>
                <w:shd w:val="clear" w:color="auto" w:fill="FFFFFF"/>
                <w:lang w:val="en-US" w:eastAsia="zh-CN" w:bidi="ar-SA"/>
              </w:rPr>
              <w:t>7定标结果公示</w:t>
            </w:r>
          </w:p>
          <w:p w14:paraId="31AC96F4">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firstLine="420" w:firstLineChars="200"/>
              <w:jc w:val="both"/>
              <w:textAlignment w:val="auto"/>
              <w:outlineLvl w:val="9"/>
              <w:rPr>
                <w:rStyle w:val="27"/>
                <w:rFonts w:hint="eastAsia" w:ascii="宋体" w:hAnsi="宋体" w:eastAsia="宋体" w:cs="宋体"/>
                <w:color w:val="auto"/>
                <w:kern w:val="0"/>
                <w:sz w:val="20"/>
                <w:szCs w:val="20"/>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定标委员会完成定标后，招标人应于定标会结束后3日内将中标候选人和定标情况在广东省招标投标监管网和全国公共资源交易平台（广东省·韶关市）上公示，公示时间不少于3日。公示主要内容包括：定标报告（定标成员信息除外）、中标候选人名称、中标候选人投标报价和拟投入本项目的项目负责人、技术负责人及各专业负责人（如有）等内容。</w:t>
            </w:r>
          </w:p>
          <w:p w14:paraId="770C99AC">
            <w:pPr>
              <w:keepNext w:val="0"/>
              <w:keepLines w:val="0"/>
              <w:pageBreakBefore w:val="0"/>
              <w:widowControl w:val="0"/>
              <w:kinsoku/>
              <w:wordWrap/>
              <w:overflowPunct/>
              <w:topLinePunct w:val="0"/>
              <w:autoSpaceDE/>
              <w:autoSpaceDN/>
              <w:bidi w:val="0"/>
              <w:adjustRightInd/>
              <w:snapToGrid/>
              <w:spacing w:line="360" w:lineRule="auto"/>
              <w:ind w:left="105" w:leftChars="50" w:right="0" w:rightChars="0"/>
              <w:jc w:val="both"/>
              <w:textAlignment w:val="auto"/>
              <w:outlineLvl w:val="9"/>
              <w:rPr>
                <w:rFonts w:hint="eastAsia" w:ascii="宋体" w:hAnsi="宋体" w:eastAsia="宋体" w:cs="宋体"/>
                <w:b/>
                <w:bCs/>
                <w:color w:val="auto"/>
                <w:kern w:val="0"/>
                <w:sz w:val="20"/>
                <w:szCs w:val="20"/>
                <w:highlight w:val="none"/>
                <w:u w:val="none"/>
                <w:shd w:val="clear" w:color="auto" w:fill="FFFFFF"/>
                <w:lang w:val="en-US" w:eastAsia="zh-CN" w:bidi="ar-SA"/>
              </w:rPr>
            </w:pPr>
            <w:r>
              <w:rPr>
                <w:rFonts w:hint="eastAsia" w:ascii="宋体" w:hAnsi="宋体" w:eastAsia="宋体" w:cs="宋体"/>
                <w:b/>
                <w:bCs/>
                <w:color w:val="auto"/>
                <w:kern w:val="0"/>
                <w:sz w:val="20"/>
                <w:szCs w:val="20"/>
                <w:highlight w:val="none"/>
                <w:u w:val="none"/>
                <w:shd w:val="clear" w:color="auto" w:fill="FFFFFF"/>
                <w:lang w:val="en-US" w:eastAsia="zh-CN" w:bidi="ar-SA"/>
              </w:rPr>
              <w:t>7.4.8定标结果异议</w:t>
            </w:r>
          </w:p>
          <w:p w14:paraId="54D5CA9F">
            <w:pPr>
              <w:pStyle w:val="4"/>
              <w:pageBreakBefore w:val="0"/>
              <w:wordWrap/>
              <w:overflowPunct/>
              <w:topLinePunct w:val="0"/>
              <w:bidi w:val="0"/>
              <w:adjustRightInd w:val="0"/>
              <w:snapToGrid w:val="0"/>
              <w:spacing w:before="0" w:line="360" w:lineRule="auto"/>
              <w:ind w:left="105" w:leftChars="50" w:right="0" w:rightChars="0" w:firstLine="400" w:firstLineChars="200"/>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0"/>
                <w:szCs w:val="20"/>
                <w:highlight w:val="none"/>
                <w:u w:val="none"/>
                <w:shd w:val="clear" w:color="auto" w:fill="FFFFFF"/>
                <w:lang w:val="en-US" w:eastAsia="zh-CN" w:bidi="ar-SA"/>
              </w:rPr>
              <w:t>投标人或其他利害关系人对依法必须进行招标的项目的定标结果有异议的，应在中标候选人公示期间提出。招标人将在收到异议之日起3日内作出答复；作出答复前，将暂停招标投标活动。提出异议与作出答复均应通过“电子交易平台”在“异议与答复”菜单以线上形式进行。</w:t>
            </w:r>
          </w:p>
          <w:p w14:paraId="53BDFF04">
            <w:pPr>
              <w:pStyle w:val="4"/>
              <w:pageBreakBefore w:val="0"/>
              <w:wordWrap/>
              <w:overflowPunct/>
              <w:topLinePunct w:val="0"/>
              <w:bidi w:val="0"/>
              <w:adjustRightInd w:val="0"/>
              <w:snapToGrid w:val="0"/>
              <w:spacing w:before="0" w:line="360" w:lineRule="auto"/>
              <w:ind w:left="105" w:leftChars="50" w:right="0" w:rightChars="0"/>
              <w:rPr>
                <w:rFonts w:hint="eastAsia" w:ascii="宋体" w:hAnsi="宋体" w:eastAsia="宋体" w:cs="宋体"/>
                <w:b/>
                <w:bCs/>
                <w:color w:val="auto"/>
                <w:spacing w:val="-9"/>
                <w:sz w:val="20"/>
                <w:szCs w:val="20"/>
                <w:highlight w:val="none"/>
                <w:lang w:val="en-US" w:eastAsia="zh-CN"/>
              </w:rPr>
            </w:pPr>
            <w:bookmarkStart w:id="24" w:name="_Toc27377"/>
            <w:r>
              <w:rPr>
                <w:rFonts w:hint="eastAsia" w:ascii="宋体" w:hAnsi="宋体" w:eastAsia="宋体" w:cs="宋体"/>
                <w:b/>
                <w:bCs/>
                <w:color w:val="auto"/>
                <w:spacing w:val="-9"/>
                <w:sz w:val="20"/>
                <w:szCs w:val="20"/>
                <w:highlight w:val="none"/>
                <w:lang w:val="en-US" w:eastAsia="zh-CN"/>
              </w:rPr>
              <w:t>7.4.9 中标人确定</w:t>
            </w:r>
            <w:bookmarkEnd w:id="24"/>
          </w:p>
          <w:p w14:paraId="775AE5DF">
            <w:pPr>
              <w:pStyle w:val="4"/>
              <w:pageBreakBefore w:val="0"/>
              <w:wordWrap/>
              <w:overflowPunct/>
              <w:topLinePunct w:val="0"/>
              <w:bidi w:val="0"/>
              <w:adjustRightInd w:val="0"/>
              <w:snapToGrid w:val="0"/>
              <w:spacing w:before="0" w:line="360" w:lineRule="auto"/>
              <w:ind w:left="105" w:leftChars="50" w:right="0" w:rightChars="0" w:firstLine="364" w:firstLineChars="200"/>
              <w:rPr>
                <w:rFonts w:hint="eastAsia" w:ascii="宋体" w:hAnsi="宋体" w:eastAsia="宋体" w:cs="宋体"/>
                <w:color w:val="auto"/>
                <w:sz w:val="20"/>
                <w:szCs w:val="20"/>
                <w:highlight w:val="none"/>
                <w:lang w:val="en-US" w:eastAsia="zh-CN"/>
              </w:rPr>
            </w:pPr>
            <w:r>
              <w:rPr>
                <w:rFonts w:hint="eastAsia" w:ascii="宋体" w:hAnsi="宋体" w:eastAsia="宋体" w:cs="宋体"/>
                <w:b w:val="0"/>
                <w:bCs w:val="0"/>
                <w:color w:val="auto"/>
                <w:spacing w:val="-9"/>
                <w:sz w:val="20"/>
                <w:szCs w:val="20"/>
                <w:highlight w:val="none"/>
                <w:lang w:val="en-US" w:eastAsia="zh-CN"/>
              </w:rPr>
              <w:t>定标结果公示期满无异议的，定标委员会确定的中标候选人即为中标人，中标候选人的投标报价即为中标价。</w:t>
            </w:r>
          </w:p>
        </w:tc>
      </w:tr>
      <w:tr w14:paraId="454C7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1013" w:type="dxa"/>
            <w:vAlign w:val="top"/>
          </w:tcPr>
          <w:p w14:paraId="1A711FE4">
            <w:pPr>
              <w:spacing w:line="257" w:lineRule="auto"/>
              <w:rPr>
                <w:rFonts w:ascii="Arial"/>
                <w:color w:val="auto"/>
                <w:sz w:val="21"/>
                <w:highlight w:val="none"/>
              </w:rPr>
            </w:pPr>
          </w:p>
          <w:p w14:paraId="07B0D769">
            <w:pPr>
              <w:spacing w:line="257" w:lineRule="auto"/>
              <w:rPr>
                <w:rFonts w:ascii="Arial"/>
                <w:color w:val="auto"/>
                <w:sz w:val="21"/>
                <w:highlight w:val="none"/>
              </w:rPr>
            </w:pPr>
          </w:p>
          <w:p w14:paraId="7C7B9FC7">
            <w:pPr>
              <w:spacing w:line="257" w:lineRule="auto"/>
              <w:rPr>
                <w:rFonts w:ascii="Arial"/>
                <w:color w:val="auto"/>
                <w:sz w:val="21"/>
                <w:highlight w:val="none"/>
              </w:rPr>
            </w:pPr>
          </w:p>
          <w:p w14:paraId="5A3CC895">
            <w:pPr>
              <w:spacing w:line="257" w:lineRule="auto"/>
              <w:rPr>
                <w:rFonts w:ascii="Arial"/>
                <w:color w:val="auto"/>
                <w:sz w:val="21"/>
                <w:highlight w:val="none"/>
              </w:rPr>
            </w:pPr>
          </w:p>
          <w:p w14:paraId="7751BFD8">
            <w:pPr>
              <w:spacing w:line="257" w:lineRule="auto"/>
              <w:rPr>
                <w:rFonts w:ascii="Arial"/>
                <w:color w:val="auto"/>
                <w:sz w:val="21"/>
                <w:highlight w:val="none"/>
              </w:rPr>
            </w:pPr>
          </w:p>
          <w:p w14:paraId="7FA2B0D4">
            <w:pPr>
              <w:spacing w:line="258" w:lineRule="auto"/>
              <w:rPr>
                <w:rFonts w:ascii="Arial"/>
                <w:color w:val="auto"/>
                <w:sz w:val="21"/>
                <w:highlight w:val="none"/>
              </w:rPr>
            </w:pPr>
          </w:p>
          <w:p w14:paraId="5EAE6B83">
            <w:pPr>
              <w:spacing w:line="258" w:lineRule="auto"/>
              <w:rPr>
                <w:rFonts w:ascii="Arial"/>
                <w:color w:val="auto"/>
                <w:sz w:val="21"/>
                <w:highlight w:val="none"/>
              </w:rPr>
            </w:pPr>
          </w:p>
          <w:p w14:paraId="153BD95C">
            <w:pPr>
              <w:spacing w:line="258" w:lineRule="auto"/>
              <w:rPr>
                <w:rFonts w:ascii="Arial"/>
                <w:color w:val="auto"/>
                <w:sz w:val="21"/>
                <w:highlight w:val="none"/>
              </w:rPr>
            </w:pPr>
          </w:p>
          <w:p w14:paraId="33DC6FE8">
            <w:pPr>
              <w:spacing w:line="258" w:lineRule="auto"/>
              <w:rPr>
                <w:rFonts w:ascii="Arial"/>
                <w:color w:val="auto"/>
                <w:sz w:val="21"/>
                <w:highlight w:val="none"/>
              </w:rPr>
            </w:pPr>
          </w:p>
          <w:p w14:paraId="4267DB18">
            <w:pPr>
              <w:spacing w:line="258" w:lineRule="auto"/>
              <w:rPr>
                <w:rFonts w:ascii="Arial"/>
                <w:color w:val="auto"/>
                <w:sz w:val="21"/>
                <w:highlight w:val="none"/>
              </w:rPr>
            </w:pPr>
          </w:p>
          <w:p w14:paraId="6C0D5BDA">
            <w:pPr>
              <w:pStyle w:val="20"/>
              <w:spacing w:before="65" w:line="268" w:lineRule="exact"/>
              <w:ind w:left="317"/>
              <w:rPr>
                <w:color w:val="auto"/>
                <w:highlight w:val="none"/>
              </w:rPr>
            </w:pPr>
            <w:r>
              <w:rPr>
                <w:color w:val="auto"/>
                <w:spacing w:val="-1"/>
                <w:position w:val="1"/>
                <w:highlight w:val="none"/>
              </w:rPr>
              <w:t>10.2</w:t>
            </w:r>
          </w:p>
        </w:tc>
        <w:tc>
          <w:tcPr>
            <w:tcW w:w="8688" w:type="dxa"/>
            <w:gridSpan w:val="3"/>
            <w:vAlign w:val="top"/>
          </w:tcPr>
          <w:p w14:paraId="6B0A8FAA">
            <w:pPr>
              <w:pStyle w:val="20"/>
              <w:spacing w:before="256" w:line="228" w:lineRule="auto"/>
              <w:ind w:left="113"/>
              <w:rPr>
                <w:color w:val="auto"/>
                <w:highlight w:val="none"/>
              </w:rPr>
            </w:pPr>
            <w:r>
              <w:rPr>
                <w:color w:val="auto"/>
                <w:spacing w:val="5"/>
                <w:highlight w:val="none"/>
              </w:rPr>
              <w:t>增加</w:t>
            </w:r>
            <w:r>
              <w:rPr>
                <w:color w:val="auto"/>
                <w:spacing w:val="-19"/>
                <w:highlight w:val="none"/>
              </w:rPr>
              <w:t xml:space="preserve"> </w:t>
            </w:r>
            <w:r>
              <w:rPr>
                <w:color w:val="auto"/>
                <w:spacing w:val="5"/>
                <w:highlight w:val="none"/>
              </w:rPr>
              <w:t>10.2、10.3、10.4、10.5、10.6、10.7、10.8</w:t>
            </w:r>
            <w:r>
              <w:rPr>
                <w:color w:val="auto"/>
                <w:spacing w:val="-37"/>
                <w:highlight w:val="none"/>
              </w:rPr>
              <w:t xml:space="preserve"> </w:t>
            </w:r>
            <w:r>
              <w:rPr>
                <w:color w:val="auto"/>
                <w:spacing w:val="5"/>
                <w:highlight w:val="none"/>
              </w:rPr>
              <w:t>款如下：</w:t>
            </w:r>
          </w:p>
          <w:p w14:paraId="6910E9FB">
            <w:pPr>
              <w:pStyle w:val="20"/>
              <w:spacing w:before="153" w:line="228" w:lineRule="auto"/>
              <w:ind w:left="127"/>
              <w:rPr>
                <w:color w:val="auto"/>
                <w:highlight w:val="none"/>
              </w:rPr>
            </w:pPr>
            <w:r>
              <w:rPr>
                <w:color w:val="auto"/>
                <w:spacing w:val="5"/>
                <w:highlight w:val="none"/>
              </w:rPr>
              <w:t>10.2  信用等级的确定原则：</w:t>
            </w:r>
          </w:p>
          <w:p w14:paraId="4294B8EC">
            <w:pPr>
              <w:pStyle w:val="20"/>
              <w:spacing w:before="149" w:line="370" w:lineRule="auto"/>
              <w:ind w:left="111" w:right="108" w:firstLine="16"/>
              <w:jc w:val="both"/>
              <w:rPr>
                <w:color w:val="auto"/>
                <w:highlight w:val="none"/>
              </w:rPr>
            </w:pPr>
            <w:r>
              <w:rPr>
                <w:color w:val="auto"/>
                <w:spacing w:val="11"/>
                <w:highlight w:val="none"/>
              </w:rPr>
              <w:t>10.2.1 招标文件中的信用等级指的是广东省交通运输厅最新年度发布的</w:t>
            </w:r>
            <w:r>
              <w:rPr>
                <w:color w:val="auto"/>
                <w:spacing w:val="10"/>
                <w:highlight w:val="none"/>
              </w:rPr>
              <w:t>公路工程</w:t>
            </w:r>
            <w:r>
              <w:rPr>
                <w:color w:val="auto"/>
                <w:spacing w:val="14"/>
                <w:highlight w:val="none"/>
              </w:rPr>
              <w:t>从业单位信用评价等级（监理单位）</w:t>
            </w:r>
            <w:r>
              <w:rPr>
                <w:color w:val="auto"/>
                <w:spacing w:val="-49"/>
                <w:highlight w:val="none"/>
              </w:rPr>
              <w:t xml:space="preserve"> </w:t>
            </w:r>
            <w:r>
              <w:rPr>
                <w:color w:val="auto"/>
                <w:spacing w:val="14"/>
                <w:highlight w:val="none"/>
              </w:rPr>
              <w:t>。如无广东省最新年度信用等级而有上</w:t>
            </w:r>
            <w:r>
              <w:rPr>
                <w:color w:val="auto"/>
                <w:spacing w:val="13"/>
                <w:highlight w:val="none"/>
              </w:rPr>
              <w:t>一年</w:t>
            </w:r>
            <w:r>
              <w:rPr>
                <w:color w:val="auto"/>
                <w:spacing w:val="15"/>
                <w:highlight w:val="none"/>
              </w:rPr>
              <w:t>度广东省信用等级的，则其原信用等级可延续一年，但在递交投标文件时信用等级的使用次数应按上一年度公布的信用评价结果顺延上一年度的使用次数。具体</w:t>
            </w:r>
            <w:r>
              <w:rPr>
                <w:color w:val="auto"/>
                <w:spacing w:val="8"/>
                <w:highlight w:val="none"/>
              </w:rPr>
              <w:t>使用次数有关规定如下：</w:t>
            </w:r>
          </w:p>
          <w:p w14:paraId="128B81E7">
            <w:pPr>
              <w:pStyle w:val="20"/>
              <w:spacing w:line="227" w:lineRule="auto"/>
              <w:ind w:left="127"/>
              <w:rPr>
                <w:color w:val="auto"/>
                <w:highlight w:val="none"/>
              </w:rPr>
            </w:pPr>
            <w:r>
              <w:rPr>
                <w:color w:val="auto"/>
                <w:spacing w:val="6"/>
                <w:highlight w:val="none"/>
              </w:rPr>
              <w:t>1.对于信用等级为</w:t>
            </w:r>
            <w:r>
              <w:rPr>
                <w:color w:val="auto"/>
                <w:spacing w:val="-34"/>
                <w:highlight w:val="none"/>
              </w:rPr>
              <w:t xml:space="preserve"> </w:t>
            </w:r>
            <w:r>
              <w:rPr>
                <w:color w:val="auto"/>
                <w:highlight w:val="none"/>
              </w:rPr>
              <w:t>AA</w:t>
            </w:r>
            <w:r>
              <w:rPr>
                <w:color w:val="auto"/>
                <w:spacing w:val="-35"/>
                <w:highlight w:val="none"/>
              </w:rPr>
              <w:t xml:space="preserve"> </w:t>
            </w:r>
            <w:r>
              <w:rPr>
                <w:color w:val="auto"/>
                <w:spacing w:val="6"/>
                <w:highlight w:val="none"/>
              </w:rPr>
              <w:t>级的从业单位</w:t>
            </w:r>
            <w:r>
              <w:rPr>
                <w:color w:val="auto"/>
                <w:spacing w:val="-58"/>
                <w:highlight w:val="none"/>
              </w:rPr>
              <w:t xml:space="preserve"> </w:t>
            </w:r>
            <w:r>
              <w:rPr>
                <w:color w:val="auto"/>
                <w:spacing w:val="6"/>
                <w:highlight w:val="none"/>
              </w:rPr>
              <w:t>:</w:t>
            </w:r>
          </w:p>
          <w:p w14:paraId="4FD54122">
            <w:pPr>
              <w:pStyle w:val="20"/>
              <w:spacing w:before="152" w:line="369" w:lineRule="auto"/>
              <w:ind w:left="112" w:right="108" w:firstLine="36"/>
              <w:rPr>
                <w:color w:val="auto"/>
                <w:spacing w:val="7"/>
                <w:highlight w:val="none"/>
              </w:rPr>
            </w:pPr>
            <w:r>
              <w:rPr>
                <w:color w:val="auto"/>
                <w:spacing w:val="14"/>
                <w:highlight w:val="none"/>
              </w:rPr>
              <w:t>(1)仅最新一年度信用等级为</w:t>
            </w:r>
            <w:r>
              <w:rPr>
                <w:color w:val="auto"/>
                <w:spacing w:val="-41"/>
                <w:highlight w:val="none"/>
              </w:rPr>
              <w:t xml:space="preserve"> </w:t>
            </w:r>
            <w:r>
              <w:rPr>
                <w:color w:val="auto"/>
                <w:highlight w:val="none"/>
              </w:rPr>
              <w:t>AA</w:t>
            </w:r>
            <w:r>
              <w:rPr>
                <w:color w:val="auto"/>
                <w:spacing w:val="-30"/>
                <w:highlight w:val="none"/>
              </w:rPr>
              <w:t xml:space="preserve"> </w:t>
            </w:r>
            <w:r>
              <w:rPr>
                <w:color w:val="auto"/>
                <w:spacing w:val="14"/>
                <w:highlight w:val="none"/>
              </w:rPr>
              <w:t>级的从业单位</w:t>
            </w:r>
            <w:r>
              <w:rPr>
                <w:color w:val="auto"/>
                <w:spacing w:val="13"/>
                <w:highlight w:val="none"/>
              </w:rPr>
              <w:t>在参加广东省公路工程建设项目投</w:t>
            </w:r>
            <w:r>
              <w:rPr>
                <w:color w:val="auto"/>
                <w:spacing w:val="12"/>
                <w:highlight w:val="none"/>
              </w:rPr>
              <w:t>标活动（以递交投标文件时间为准）时，可申请使用</w:t>
            </w:r>
            <w:r>
              <w:rPr>
                <w:color w:val="auto"/>
                <w:highlight w:val="none"/>
              </w:rPr>
              <w:t>AA</w:t>
            </w:r>
            <w:r>
              <w:rPr>
                <w:color w:val="auto"/>
                <w:spacing w:val="-33"/>
                <w:highlight w:val="none"/>
              </w:rPr>
              <w:t xml:space="preserve"> </w:t>
            </w:r>
            <w:r>
              <w:rPr>
                <w:color w:val="auto"/>
                <w:spacing w:val="12"/>
                <w:highlight w:val="none"/>
              </w:rPr>
              <w:t>级分值</w:t>
            </w:r>
            <w:r>
              <w:rPr>
                <w:color w:val="auto"/>
                <w:spacing w:val="-33"/>
                <w:highlight w:val="none"/>
              </w:rPr>
              <w:t xml:space="preserve"> </w:t>
            </w:r>
            <w:r>
              <w:rPr>
                <w:color w:val="auto"/>
                <w:spacing w:val="12"/>
                <w:highlight w:val="none"/>
              </w:rPr>
              <w:t>8</w:t>
            </w:r>
            <w:r>
              <w:rPr>
                <w:color w:val="auto"/>
                <w:spacing w:val="-33"/>
                <w:highlight w:val="none"/>
              </w:rPr>
              <w:t xml:space="preserve"> </w:t>
            </w:r>
            <w:r>
              <w:rPr>
                <w:color w:val="auto"/>
                <w:spacing w:val="12"/>
                <w:highlight w:val="none"/>
              </w:rPr>
              <w:t>次，</w:t>
            </w:r>
            <w:r>
              <w:rPr>
                <w:color w:val="auto"/>
                <w:spacing w:val="11"/>
                <w:highlight w:val="none"/>
              </w:rPr>
              <w:t>用完</w:t>
            </w:r>
            <w:r>
              <w:rPr>
                <w:color w:val="auto"/>
                <w:spacing w:val="-33"/>
                <w:highlight w:val="none"/>
              </w:rPr>
              <w:t xml:space="preserve"> </w:t>
            </w:r>
            <w:r>
              <w:rPr>
                <w:color w:val="auto"/>
                <w:spacing w:val="11"/>
                <w:highlight w:val="none"/>
              </w:rPr>
              <w:t>8</w:t>
            </w:r>
            <w:r>
              <w:rPr>
                <w:color w:val="auto"/>
                <w:spacing w:val="-30"/>
                <w:highlight w:val="none"/>
              </w:rPr>
              <w:t xml:space="preserve"> </w:t>
            </w:r>
            <w:r>
              <w:rPr>
                <w:color w:val="auto"/>
                <w:spacing w:val="11"/>
                <w:highlight w:val="none"/>
              </w:rPr>
              <w:t>次后</w:t>
            </w:r>
            <w:r>
              <w:rPr>
                <w:color w:val="auto"/>
                <w:spacing w:val="7"/>
                <w:highlight w:val="none"/>
              </w:rPr>
              <w:t>信用等级分值将按</w:t>
            </w:r>
            <w:r>
              <w:rPr>
                <w:color w:val="auto"/>
                <w:spacing w:val="-42"/>
                <w:highlight w:val="none"/>
              </w:rPr>
              <w:t xml:space="preserve"> </w:t>
            </w:r>
            <w:r>
              <w:rPr>
                <w:color w:val="auto"/>
                <w:spacing w:val="7"/>
                <w:highlight w:val="none"/>
              </w:rPr>
              <w:t>A</w:t>
            </w:r>
            <w:r>
              <w:rPr>
                <w:color w:val="auto"/>
                <w:spacing w:val="-35"/>
                <w:highlight w:val="none"/>
              </w:rPr>
              <w:t xml:space="preserve"> </w:t>
            </w:r>
            <w:r>
              <w:rPr>
                <w:color w:val="auto"/>
                <w:spacing w:val="7"/>
                <w:highlight w:val="none"/>
              </w:rPr>
              <w:t>级分值取定；</w:t>
            </w:r>
          </w:p>
          <w:p w14:paraId="1DBF0A53">
            <w:pPr>
              <w:pStyle w:val="20"/>
              <w:spacing w:before="152" w:line="369" w:lineRule="auto"/>
              <w:ind w:left="112" w:right="108" w:firstLine="36"/>
              <w:rPr>
                <w:color w:val="auto"/>
                <w:highlight w:val="none"/>
              </w:rPr>
            </w:pPr>
            <w:r>
              <w:rPr>
                <w:color w:val="auto"/>
                <w:spacing w:val="19"/>
                <w:highlight w:val="none"/>
              </w:rPr>
              <w:t>(2)连续最近两个年度信用等级为</w:t>
            </w:r>
            <w:r>
              <w:rPr>
                <w:color w:val="auto"/>
                <w:spacing w:val="-19"/>
                <w:highlight w:val="none"/>
              </w:rPr>
              <w:t xml:space="preserve"> </w:t>
            </w:r>
            <w:r>
              <w:rPr>
                <w:color w:val="auto"/>
                <w:highlight w:val="none"/>
              </w:rPr>
              <w:t>AA</w:t>
            </w:r>
            <w:r>
              <w:rPr>
                <w:color w:val="auto"/>
                <w:spacing w:val="-23"/>
                <w:highlight w:val="none"/>
              </w:rPr>
              <w:t xml:space="preserve"> </w:t>
            </w:r>
            <w:r>
              <w:rPr>
                <w:color w:val="auto"/>
                <w:spacing w:val="19"/>
                <w:highlight w:val="none"/>
              </w:rPr>
              <w:t>级的单位在参加广东省公路工程投标活动</w:t>
            </w:r>
            <w:r>
              <w:rPr>
                <w:color w:val="auto"/>
                <w:spacing w:val="10"/>
                <w:highlight w:val="none"/>
              </w:rPr>
              <w:t>（以递交投标文件时间为准）时，可申请使用</w:t>
            </w:r>
            <w:r>
              <w:rPr>
                <w:color w:val="auto"/>
                <w:highlight w:val="none"/>
              </w:rPr>
              <w:t>AA</w:t>
            </w:r>
            <w:r>
              <w:rPr>
                <w:color w:val="auto"/>
                <w:spacing w:val="-21"/>
                <w:highlight w:val="none"/>
              </w:rPr>
              <w:t xml:space="preserve"> </w:t>
            </w:r>
            <w:r>
              <w:rPr>
                <w:color w:val="auto"/>
                <w:spacing w:val="10"/>
                <w:highlight w:val="none"/>
              </w:rPr>
              <w:t>级分值</w:t>
            </w:r>
            <w:r>
              <w:rPr>
                <w:color w:val="auto"/>
                <w:spacing w:val="-17"/>
                <w:highlight w:val="none"/>
              </w:rPr>
              <w:t xml:space="preserve"> </w:t>
            </w:r>
            <w:r>
              <w:rPr>
                <w:color w:val="auto"/>
                <w:spacing w:val="10"/>
                <w:highlight w:val="none"/>
              </w:rPr>
              <w:t>12</w:t>
            </w:r>
            <w:r>
              <w:rPr>
                <w:color w:val="auto"/>
                <w:spacing w:val="-32"/>
                <w:highlight w:val="none"/>
              </w:rPr>
              <w:t xml:space="preserve"> </w:t>
            </w:r>
            <w:r>
              <w:rPr>
                <w:color w:val="auto"/>
                <w:spacing w:val="10"/>
                <w:highlight w:val="none"/>
              </w:rPr>
              <w:t>次，用完</w:t>
            </w:r>
            <w:r>
              <w:rPr>
                <w:color w:val="auto"/>
                <w:spacing w:val="-19"/>
                <w:highlight w:val="none"/>
              </w:rPr>
              <w:t xml:space="preserve"> </w:t>
            </w:r>
            <w:r>
              <w:rPr>
                <w:color w:val="auto"/>
                <w:spacing w:val="10"/>
                <w:highlight w:val="none"/>
              </w:rPr>
              <w:t>12</w:t>
            </w:r>
            <w:r>
              <w:rPr>
                <w:color w:val="auto"/>
                <w:spacing w:val="-30"/>
                <w:highlight w:val="none"/>
              </w:rPr>
              <w:t xml:space="preserve"> </w:t>
            </w:r>
            <w:r>
              <w:rPr>
                <w:color w:val="auto"/>
                <w:spacing w:val="10"/>
                <w:highlight w:val="none"/>
              </w:rPr>
              <w:t>次后信用</w:t>
            </w:r>
            <w:r>
              <w:rPr>
                <w:color w:val="auto"/>
                <w:spacing w:val="6"/>
                <w:highlight w:val="none"/>
              </w:rPr>
              <w:t>等级分值将按</w:t>
            </w:r>
            <w:r>
              <w:rPr>
                <w:color w:val="auto"/>
                <w:spacing w:val="-45"/>
                <w:highlight w:val="none"/>
              </w:rPr>
              <w:t xml:space="preserve"> </w:t>
            </w:r>
            <w:r>
              <w:rPr>
                <w:color w:val="auto"/>
                <w:spacing w:val="6"/>
                <w:highlight w:val="none"/>
              </w:rPr>
              <w:t>A</w:t>
            </w:r>
            <w:r>
              <w:rPr>
                <w:color w:val="auto"/>
                <w:spacing w:val="-35"/>
                <w:highlight w:val="none"/>
              </w:rPr>
              <w:t xml:space="preserve"> </w:t>
            </w:r>
            <w:r>
              <w:rPr>
                <w:color w:val="auto"/>
                <w:spacing w:val="6"/>
                <w:highlight w:val="none"/>
              </w:rPr>
              <w:t>级取定；</w:t>
            </w:r>
          </w:p>
          <w:p w14:paraId="22A0B911">
            <w:pPr>
              <w:pStyle w:val="20"/>
              <w:spacing w:before="152" w:line="369" w:lineRule="auto"/>
              <w:ind w:left="111" w:right="108" w:firstLine="3"/>
              <w:rPr>
                <w:color w:val="auto"/>
                <w:highlight w:val="none"/>
              </w:rPr>
            </w:pPr>
            <w:r>
              <w:rPr>
                <w:color w:val="auto"/>
                <w:spacing w:val="9"/>
                <w:highlight w:val="none"/>
              </w:rPr>
              <w:t>2.对于信用等级为</w:t>
            </w:r>
            <w:r>
              <w:rPr>
                <w:color w:val="auto"/>
                <w:spacing w:val="-31"/>
                <w:highlight w:val="none"/>
              </w:rPr>
              <w:t xml:space="preserve"> </w:t>
            </w:r>
            <w:r>
              <w:rPr>
                <w:color w:val="auto"/>
                <w:spacing w:val="9"/>
                <w:highlight w:val="none"/>
              </w:rPr>
              <w:t>A</w:t>
            </w:r>
            <w:r>
              <w:rPr>
                <w:color w:val="auto"/>
                <w:spacing w:val="-35"/>
                <w:highlight w:val="none"/>
              </w:rPr>
              <w:t xml:space="preserve"> </w:t>
            </w:r>
            <w:r>
              <w:rPr>
                <w:color w:val="auto"/>
                <w:spacing w:val="9"/>
                <w:highlight w:val="none"/>
              </w:rPr>
              <w:t>级的从业单位</w:t>
            </w:r>
            <w:r>
              <w:rPr>
                <w:color w:val="auto"/>
                <w:spacing w:val="-56"/>
                <w:highlight w:val="none"/>
              </w:rPr>
              <w:t xml:space="preserve"> </w:t>
            </w:r>
            <w:r>
              <w:rPr>
                <w:color w:val="auto"/>
                <w:spacing w:val="9"/>
                <w:highlight w:val="none"/>
              </w:rPr>
              <w:t>:当年度信用等级</w:t>
            </w:r>
            <w:r>
              <w:rPr>
                <w:color w:val="auto"/>
                <w:spacing w:val="-40"/>
                <w:highlight w:val="none"/>
              </w:rPr>
              <w:t xml:space="preserve"> </w:t>
            </w:r>
            <w:r>
              <w:rPr>
                <w:color w:val="auto"/>
                <w:spacing w:val="9"/>
                <w:highlight w:val="none"/>
              </w:rPr>
              <w:t>A</w:t>
            </w:r>
            <w:r>
              <w:rPr>
                <w:color w:val="auto"/>
                <w:spacing w:val="-33"/>
                <w:highlight w:val="none"/>
              </w:rPr>
              <w:t xml:space="preserve"> </w:t>
            </w:r>
            <w:r>
              <w:rPr>
                <w:color w:val="auto"/>
                <w:spacing w:val="9"/>
                <w:highlight w:val="none"/>
              </w:rPr>
              <w:t>级单位在参加广东省公路工</w:t>
            </w:r>
            <w:r>
              <w:rPr>
                <w:color w:val="auto"/>
                <w:spacing w:val="14"/>
                <w:highlight w:val="none"/>
              </w:rPr>
              <w:t>程建设项目招投标活动（以递交投标文件时间为</w:t>
            </w:r>
            <w:r>
              <w:rPr>
                <w:color w:val="auto"/>
                <w:spacing w:val="13"/>
                <w:highlight w:val="none"/>
              </w:rPr>
              <w:t>准）时，可申请使用A</w:t>
            </w:r>
            <w:r>
              <w:rPr>
                <w:color w:val="auto"/>
                <w:spacing w:val="-30"/>
                <w:highlight w:val="none"/>
              </w:rPr>
              <w:t xml:space="preserve"> </w:t>
            </w:r>
            <w:r>
              <w:rPr>
                <w:color w:val="auto"/>
                <w:spacing w:val="13"/>
                <w:highlight w:val="none"/>
              </w:rPr>
              <w:t>级分值</w:t>
            </w:r>
            <w:r>
              <w:rPr>
                <w:color w:val="auto"/>
                <w:spacing w:val="-19"/>
                <w:highlight w:val="none"/>
              </w:rPr>
              <w:t xml:space="preserve"> </w:t>
            </w:r>
            <w:r>
              <w:rPr>
                <w:color w:val="auto"/>
                <w:spacing w:val="13"/>
                <w:highlight w:val="none"/>
              </w:rPr>
              <w:t>12</w:t>
            </w:r>
            <w:r>
              <w:rPr>
                <w:color w:val="auto"/>
                <w:spacing w:val="6"/>
                <w:highlight w:val="none"/>
              </w:rPr>
              <w:t>次，用完</w:t>
            </w:r>
            <w:r>
              <w:rPr>
                <w:color w:val="auto"/>
                <w:spacing w:val="-24"/>
                <w:highlight w:val="none"/>
              </w:rPr>
              <w:t xml:space="preserve"> </w:t>
            </w:r>
            <w:r>
              <w:rPr>
                <w:color w:val="auto"/>
                <w:spacing w:val="6"/>
                <w:highlight w:val="none"/>
              </w:rPr>
              <w:t>12</w:t>
            </w:r>
            <w:r>
              <w:rPr>
                <w:color w:val="auto"/>
                <w:spacing w:val="-32"/>
                <w:highlight w:val="none"/>
              </w:rPr>
              <w:t xml:space="preserve"> </w:t>
            </w:r>
            <w:r>
              <w:rPr>
                <w:color w:val="auto"/>
                <w:spacing w:val="6"/>
                <w:highlight w:val="none"/>
              </w:rPr>
              <w:t>次后信用等级分值将按</w:t>
            </w:r>
            <w:r>
              <w:rPr>
                <w:color w:val="auto"/>
                <w:spacing w:val="-42"/>
                <w:highlight w:val="none"/>
              </w:rPr>
              <w:t xml:space="preserve"> </w:t>
            </w:r>
            <w:r>
              <w:rPr>
                <w:color w:val="auto"/>
                <w:spacing w:val="6"/>
                <w:highlight w:val="none"/>
              </w:rPr>
              <w:t>B</w:t>
            </w:r>
            <w:r>
              <w:rPr>
                <w:color w:val="auto"/>
                <w:spacing w:val="-34"/>
                <w:highlight w:val="none"/>
              </w:rPr>
              <w:t xml:space="preserve"> </w:t>
            </w:r>
            <w:r>
              <w:rPr>
                <w:color w:val="auto"/>
                <w:spacing w:val="6"/>
                <w:highlight w:val="none"/>
              </w:rPr>
              <w:t>级分值取定。</w:t>
            </w:r>
          </w:p>
          <w:p w14:paraId="05C54C44">
            <w:pPr>
              <w:pStyle w:val="20"/>
              <w:spacing w:before="2" w:line="369" w:lineRule="auto"/>
              <w:ind w:left="114" w:right="110" w:firstLine="2"/>
              <w:rPr>
                <w:color w:val="auto"/>
                <w:highlight w:val="none"/>
              </w:rPr>
            </w:pPr>
            <w:r>
              <w:rPr>
                <w:color w:val="auto"/>
                <w:spacing w:val="13"/>
                <w:highlight w:val="none"/>
              </w:rPr>
              <w:t>3.当年度信用等级为</w:t>
            </w:r>
            <w:r>
              <w:rPr>
                <w:color w:val="auto"/>
                <w:spacing w:val="-41"/>
                <w:highlight w:val="none"/>
              </w:rPr>
              <w:t xml:space="preserve"> </w:t>
            </w:r>
            <w:r>
              <w:rPr>
                <w:color w:val="auto"/>
                <w:highlight w:val="none"/>
              </w:rPr>
              <w:t>AA</w:t>
            </w:r>
            <w:r>
              <w:rPr>
                <w:color w:val="auto"/>
                <w:spacing w:val="13"/>
                <w:highlight w:val="none"/>
              </w:rPr>
              <w:t>、A</w:t>
            </w:r>
            <w:r>
              <w:rPr>
                <w:color w:val="auto"/>
                <w:spacing w:val="-32"/>
                <w:highlight w:val="none"/>
              </w:rPr>
              <w:t xml:space="preserve"> </w:t>
            </w:r>
            <w:r>
              <w:rPr>
                <w:color w:val="auto"/>
                <w:spacing w:val="13"/>
                <w:highlight w:val="none"/>
              </w:rPr>
              <w:t>级的从业单位未承诺使用的信用等级分值的，</w:t>
            </w:r>
            <w:r>
              <w:rPr>
                <w:color w:val="auto"/>
                <w:highlight w:val="none"/>
              </w:rPr>
              <w:t>AA</w:t>
            </w:r>
            <w:r>
              <w:rPr>
                <w:color w:val="auto"/>
                <w:spacing w:val="-33"/>
                <w:highlight w:val="none"/>
              </w:rPr>
              <w:t xml:space="preserve"> </w:t>
            </w:r>
            <w:r>
              <w:rPr>
                <w:color w:val="auto"/>
                <w:spacing w:val="12"/>
                <w:highlight w:val="none"/>
              </w:rPr>
              <w:t>级信</w:t>
            </w:r>
            <w:r>
              <w:rPr>
                <w:color w:val="auto"/>
                <w:spacing w:val="6"/>
                <w:highlight w:val="none"/>
              </w:rPr>
              <w:t>用等级企业按</w:t>
            </w:r>
            <w:r>
              <w:rPr>
                <w:color w:val="auto"/>
                <w:spacing w:val="-29"/>
                <w:highlight w:val="none"/>
              </w:rPr>
              <w:t xml:space="preserve"> </w:t>
            </w:r>
            <w:r>
              <w:rPr>
                <w:color w:val="auto"/>
                <w:spacing w:val="6"/>
                <w:highlight w:val="none"/>
              </w:rPr>
              <w:t>A</w:t>
            </w:r>
            <w:r>
              <w:rPr>
                <w:color w:val="auto"/>
                <w:spacing w:val="-34"/>
                <w:highlight w:val="none"/>
              </w:rPr>
              <w:t xml:space="preserve"> </w:t>
            </w:r>
            <w:r>
              <w:rPr>
                <w:color w:val="auto"/>
                <w:spacing w:val="6"/>
                <w:highlight w:val="none"/>
              </w:rPr>
              <w:t>级对待、A</w:t>
            </w:r>
            <w:r>
              <w:rPr>
                <w:color w:val="auto"/>
                <w:spacing w:val="-35"/>
                <w:highlight w:val="none"/>
              </w:rPr>
              <w:t xml:space="preserve"> </w:t>
            </w:r>
            <w:r>
              <w:rPr>
                <w:color w:val="auto"/>
                <w:spacing w:val="6"/>
                <w:highlight w:val="none"/>
              </w:rPr>
              <w:t>级信用等级企业按</w:t>
            </w:r>
            <w:r>
              <w:rPr>
                <w:color w:val="auto"/>
                <w:spacing w:val="-41"/>
                <w:highlight w:val="none"/>
              </w:rPr>
              <w:t xml:space="preserve"> </w:t>
            </w:r>
            <w:r>
              <w:rPr>
                <w:color w:val="auto"/>
                <w:spacing w:val="6"/>
                <w:highlight w:val="none"/>
              </w:rPr>
              <w:t>B</w:t>
            </w:r>
            <w:r>
              <w:rPr>
                <w:color w:val="auto"/>
                <w:spacing w:val="-37"/>
                <w:highlight w:val="none"/>
              </w:rPr>
              <w:t xml:space="preserve"> </w:t>
            </w:r>
            <w:r>
              <w:rPr>
                <w:color w:val="auto"/>
                <w:spacing w:val="6"/>
                <w:highlight w:val="none"/>
              </w:rPr>
              <w:t>级对待。</w:t>
            </w:r>
          </w:p>
          <w:p w14:paraId="506CEBBF">
            <w:pPr>
              <w:pStyle w:val="20"/>
              <w:spacing w:before="1" w:line="368" w:lineRule="auto"/>
              <w:ind w:left="117" w:right="110" w:hanging="6"/>
              <w:rPr>
                <w:color w:val="auto"/>
                <w:highlight w:val="none"/>
              </w:rPr>
            </w:pPr>
            <w:r>
              <w:rPr>
                <w:color w:val="auto"/>
                <w:spacing w:val="9"/>
                <w:highlight w:val="none"/>
              </w:rPr>
              <w:t>4.若从业企业在信用评价年度信用等级由</w:t>
            </w:r>
            <w:r>
              <w:rPr>
                <w:color w:val="auto"/>
                <w:spacing w:val="-33"/>
                <w:highlight w:val="none"/>
              </w:rPr>
              <w:t xml:space="preserve"> </w:t>
            </w:r>
            <w:r>
              <w:rPr>
                <w:color w:val="auto"/>
                <w:highlight w:val="none"/>
              </w:rPr>
              <w:t>AA</w:t>
            </w:r>
            <w:r>
              <w:rPr>
                <w:color w:val="auto"/>
                <w:spacing w:val="-21"/>
                <w:highlight w:val="none"/>
              </w:rPr>
              <w:t xml:space="preserve"> </w:t>
            </w:r>
            <w:r>
              <w:rPr>
                <w:color w:val="auto"/>
                <w:spacing w:val="9"/>
                <w:highlight w:val="none"/>
              </w:rPr>
              <w:t>降级为</w:t>
            </w:r>
            <w:r>
              <w:rPr>
                <w:color w:val="auto"/>
                <w:spacing w:val="-44"/>
                <w:highlight w:val="none"/>
              </w:rPr>
              <w:t xml:space="preserve"> </w:t>
            </w:r>
            <w:r>
              <w:rPr>
                <w:color w:val="auto"/>
                <w:spacing w:val="9"/>
                <w:highlight w:val="none"/>
              </w:rPr>
              <w:t>A</w:t>
            </w:r>
            <w:r>
              <w:rPr>
                <w:color w:val="auto"/>
                <w:spacing w:val="-34"/>
                <w:highlight w:val="none"/>
              </w:rPr>
              <w:t xml:space="preserve"> </w:t>
            </w:r>
            <w:r>
              <w:rPr>
                <w:color w:val="auto"/>
                <w:spacing w:val="9"/>
                <w:highlight w:val="none"/>
              </w:rPr>
              <w:t>级时，</w:t>
            </w:r>
            <w:r>
              <w:rPr>
                <w:color w:val="auto"/>
                <w:highlight w:val="none"/>
              </w:rPr>
              <w:t>AA</w:t>
            </w:r>
            <w:r>
              <w:rPr>
                <w:color w:val="auto"/>
                <w:spacing w:val="-35"/>
                <w:highlight w:val="none"/>
              </w:rPr>
              <w:t xml:space="preserve"> </w:t>
            </w:r>
            <w:r>
              <w:rPr>
                <w:color w:val="auto"/>
                <w:spacing w:val="9"/>
                <w:highlight w:val="none"/>
              </w:rPr>
              <w:t>级信用等级已使用</w:t>
            </w:r>
            <w:r>
              <w:rPr>
                <w:color w:val="auto"/>
                <w:spacing w:val="7"/>
                <w:highlight w:val="none"/>
              </w:rPr>
              <w:t>次数纳入</w:t>
            </w:r>
            <w:r>
              <w:rPr>
                <w:color w:val="auto"/>
                <w:spacing w:val="-36"/>
                <w:highlight w:val="none"/>
              </w:rPr>
              <w:t xml:space="preserve"> </w:t>
            </w:r>
            <w:r>
              <w:rPr>
                <w:color w:val="auto"/>
                <w:spacing w:val="7"/>
                <w:highlight w:val="none"/>
              </w:rPr>
              <w:t>A</w:t>
            </w:r>
            <w:r>
              <w:rPr>
                <w:color w:val="auto"/>
                <w:spacing w:val="-35"/>
                <w:highlight w:val="none"/>
              </w:rPr>
              <w:t xml:space="preserve"> </w:t>
            </w:r>
            <w:r>
              <w:rPr>
                <w:color w:val="auto"/>
                <w:spacing w:val="7"/>
                <w:highlight w:val="none"/>
              </w:rPr>
              <w:t>级信用等级使用次数合并累计。</w:t>
            </w:r>
          </w:p>
          <w:p w14:paraId="35C62B37">
            <w:pPr>
              <w:pStyle w:val="20"/>
              <w:spacing w:before="1" w:line="369" w:lineRule="auto"/>
              <w:ind w:left="112" w:right="108" w:firstLine="15"/>
              <w:rPr>
                <w:color w:val="auto"/>
                <w:highlight w:val="none"/>
              </w:rPr>
            </w:pPr>
            <w:r>
              <w:rPr>
                <w:color w:val="auto"/>
                <w:spacing w:val="11"/>
                <w:highlight w:val="none"/>
              </w:rPr>
              <w:t>10.2.2</w:t>
            </w:r>
            <w:r>
              <w:rPr>
                <w:color w:val="auto"/>
                <w:spacing w:val="-35"/>
                <w:highlight w:val="none"/>
              </w:rPr>
              <w:t xml:space="preserve"> </w:t>
            </w:r>
            <w:r>
              <w:rPr>
                <w:color w:val="auto"/>
                <w:spacing w:val="11"/>
                <w:highlight w:val="none"/>
              </w:rPr>
              <w:t>信用等级延续</w:t>
            </w:r>
            <w:r>
              <w:rPr>
                <w:color w:val="auto"/>
                <w:spacing w:val="-19"/>
                <w:highlight w:val="none"/>
              </w:rPr>
              <w:t xml:space="preserve"> </w:t>
            </w:r>
            <w:r>
              <w:rPr>
                <w:color w:val="auto"/>
                <w:spacing w:val="11"/>
                <w:highlight w:val="none"/>
              </w:rPr>
              <w:t>1</w:t>
            </w:r>
            <w:r>
              <w:rPr>
                <w:color w:val="auto"/>
                <w:spacing w:val="-33"/>
                <w:highlight w:val="none"/>
              </w:rPr>
              <w:t xml:space="preserve"> </w:t>
            </w:r>
            <w:r>
              <w:rPr>
                <w:color w:val="auto"/>
                <w:spacing w:val="11"/>
                <w:highlight w:val="none"/>
              </w:rPr>
              <w:t>年后仍无信用评价等级的，按照初次进入广</w:t>
            </w:r>
            <w:r>
              <w:rPr>
                <w:color w:val="auto"/>
                <w:spacing w:val="10"/>
                <w:highlight w:val="none"/>
              </w:rPr>
              <w:t>东省确定，原</w:t>
            </w:r>
            <w:r>
              <w:rPr>
                <w:color w:val="auto"/>
                <w:spacing w:val="14"/>
                <w:highlight w:val="none"/>
              </w:rPr>
              <w:t>则上按</w:t>
            </w:r>
            <w:r>
              <w:rPr>
                <w:color w:val="auto"/>
                <w:spacing w:val="-40"/>
                <w:highlight w:val="none"/>
              </w:rPr>
              <w:t xml:space="preserve"> </w:t>
            </w:r>
            <w:r>
              <w:rPr>
                <w:color w:val="auto"/>
                <w:spacing w:val="14"/>
                <w:highlight w:val="none"/>
              </w:rPr>
              <w:t>B</w:t>
            </w:r>
            <w:r>
              <w:rPr>
                <w:color w:val="auto"/>
                <w:spacing w:val="-30"/>
                <w:highlight w:val="none"/>
              </w:rPr>
              <w:t xml:space="preserve"> </w:t>
            </w:r>
            <w:r>
              <w:rPr>
                <w:color w:val="auto"/>
                <w:spacing w:val="14"/>
                <w:highlight w:val="none"/>
              </w:rPr>
              <w:t>级对待，但下列情况除外：最新年度的全国公路从业单位（监理单位）</w:t>
            </w:r>
            <w:r>
              <w:rPr>
                <w:color w:val="auto"/>
                <w:spacing w:val="13"/>
                <w:highlight w:val="none"/>
              </w:rPr>
              <w:t>信用评价结果为</w:t>
            </w:r>
            <w:r>
              <w:rPr>
                <w:color w:val="auto"/>
                <w:spacing w:val="-36"/>
                <w:highlight w:val="none"/>
              </w:rPr>
              <w:t xml:space="preserve"> </w:t>
            </w:r>
            <w:r>
              <w:rPr>
                <w:color w:val="auto"/>
                <w:spacing w:val="13"/>
                <w:highlight w:val="none"/>
              </w:rPr>
              <w:t>C</w:t>
            </w:r>
            <w:r>
              <w:rPr>
                <w:color w:val="auto"/>
                <w:spacing w:val="-30"/>
                <w:highlight w:val="none"/>
              </w:rPr>
              <w:t xml:space="preserve"> </w:t>
            </w:r>
            <w:r>
              <w:rPr>
                <w:color w:val="auto"/>
                <w:spacing w:val="13"/>
                <w:highlight w:val="none"/>
              </w:rPr>
              <w:t>级或</w:t>
            </w:r>
            <w:r>
              <w:rPr>
                <w:color w:val="auto"/>
                <w:spacing w:val="-36"/>
                <w:highlight w:val="none"/>
              </w:rPr>
              <w:t xml:space="preserve"> </w:t>
            </w:r>
            <w:r>
              <w:rPr>
                <w:color w:val="auto"/>
                <w:spacing w:val="13"/>
                <w:highlight w:val="none"/>
              </w:rPr>
              <w:t>D</w:t>
            </w:r>
            <w:r>
              <w:rPr>
                <w:color w:val="auto"/>
                <w:spacing w:val="-30"/>
                <w:highlight w:val="none"/>
              </w:rPr>
              <w:t xml:space="preserve"> </w:t>
            </w:r>
            <w:r>
              <w:rPr>
                <w:color w:val="auto"/>
                <w:spacing w:val="13"/>
                <w:highlight w:val="none"/>
              </w:rPr>
              <w:t>级的，则按最新年度的全国公路从业单位（监理</w:t>
            </w:r>
            <w:r>
              <w:rPr>
                <w:color w:val="auto"/>
                <w:spacing w:val="12"/>
                <w:highlight w:val="none"/>
              </w:rPr>
              <w:t>单位）</w:t>
            </w:r>
            <w:r>
              <w:rPr>
                <w:color w:val="auto"/>
                <w:spacing w:val="15"/>
                <w:highlight w:val="none"/>
              </w:rPr>
              <w:t>信用评价结果对待；或最新年度的全国公路从业单位（监理单位）信用评价结果</w:t>
            </w:r>
            <w:r>
              <w:rPr>
                <w:color w:val="auto"/>
                <w:spacing w:val="11"/>
                <w:highlight w:val="none"/>
              </w:rPr>
              <w:t>未被评为</w:t>
            </w:r>
            <w:r>
              <w:rPr>
                <w:color w:val="auto"/>
                <w:spacing w:val="-19"/>
                <w:highlight w:val="none"/>
              </w:rPr>
              <w:t xml:space="preserve"> </w:t>
            </w:r>
            <w:r>
              <w:rPr>
                <w:color w:val="auto"/>
                <w:spacing w:val="11"/>
                <w:highlight w:val="none"/>
              </w:rPr>
              <w:t>C</w:t>
            </w:r>
            <w:r>
              <w:rPr>
                <w:color w:val="auto"/>
                <w:spacing w:val="-30"/>
                <w:highlight w:val="none"/>
              </w:rPr>
              <w:t xml:space="preserve"> </w:t>
            </w:r>
            <w:r>
              <w:rPr>
                <w:color w:val="auto"/>
                <w:spacing w:val="11"/>
                <w:highlight w:val="none"/>
              </w:rPr>
              <w:t>级或</w:t>
            </w:r>
            <w:r>
              <w:rPr>
                <w:color w:val="auto"/>
                <w:spacing w:val="-36"/>
                <w:highlight w:val="none"/>
              </w:rPr>
              <w:t xml:space="preserve"> </w:t>
            </w:r>
            <w:r>
              <w:rPr>
                <w:color w:val="auto"/>
                <w:spacing w:val="11"/>
                <w:highlight w:val="none"/>
              </w:rPr>
              <w:t>D</w:t>
            </w:r>
            <w:r>
              <w:rPr>
                <w:color w:val="auto"/>
                <w:spacing w:val="-30"/>
                <w:highlight w:val="none"/>
              </w:rPr>
              <w:t xml:space="preserve"> </w:t>
            </w:r>
            <w:r>
              <w:rPr>
                <w:color w:val="auto"/>
                <w:spacing w:val="11"/>
                <w:highlight w:val="none"/>
              </w:rPr>
              <w:t>级的，但在广东省最近年度原评价等级为</w:t>
            </w:r>
            <w:r>
              <w:rPr>
                <w:color w:val="auto"/>
                <w:spacing w:val="-36"/>
                <w:highlight w:val="none"/>
              </w:rPr>
              <w:t xml:space="preserve"> </w:t>
            </w:r>
            <w:r>
              <w:rPr>
                <w:color w:val="auto"/>
                <w:spacing w:val="11"/>
                <w:highlight w:val="none"/>
              </w:rPr>
              <w:t>D</w:t>
            </w:r>
            <w:r>
              <w:rPr>
                <w:color w:val="auto"/>
                <w:spacing w:val="-30"/>
                <w:highlight w:val="none"/>
              </w:rPr>
              <w:t xml:space="preserve"> </w:t>
            </w:r>
            <w:r>
              <w:rPr>
                <w:color w:val="auto"/>
                <w:spacing w:val="11"/>
                <w:highlight w:val="none"/>
              </w:rPr>
              <w:t>级的，则按</w:t>
            </w:r>
            <w:r>
              <w:rPr>
                <w:color w:val="auto"/>
                <w:spacing w:val="-33"/>
                <w:highlight w:val="none"/>
              </w:rPr>
              <w:t xml:space="preserve"> </w:t>
            </w:r>
            <w:r>
              <w:rPr>
                <w:color w:val="auto"/>
                <w:spacing w:val="11"/>
                <w:highlight w:val="none"/>
              </w:rPr>
              <w:t>C</w:t>
            </w:r>
            <w:r>
              <w:rPr>
                <w:color w:val="auto"/>
                <w:spacing w:val="-30"/>
                <w:highlight w:val="none"/>
              </w:rPr>
              <w:t xml:space="preserve"> </w:t>
            </w:r>
            <w:r>
              <w:rPr>
                <w:color w:val="auto"/>
                <w:spacing w:val="11"/>
                <w:highlight w:val="none"/>
              </w:rPr>
              <w:t>级对</w:t>
            </w:r>
            <w:r>
              <w:rPr>
                <w:color w:val="auto"/>
                <w:highlight w:val="none"/>
              </w:rPr>
              <w:t>待。</w:t>
            </w:r>
          </w:p>
          <w:p w14:paraId="1643100F">
            <w:pPr>
              <w:pStyle w:val="20"/>
              <w:spacing w:line="369" w:lineRule="auto"/>
              <w:ind w:left="112" w:right="108" w:firstLine="15"/>
              <w:rPr>
                <w:color w:val="auto"/>
                <w:highlight w:val="none"/>
              </w:rPr>
            </w:pPr>
            <w:r>
              <w:rPr>
                <w:color w:val="auto"/>
                <w:spacing w:val="12"/>
                <w:highlight w:val="none"/>
              </w:rPr>
              <w:t xml:space="preserve">10.2.3 </w:t>
            </w:r>
            <w:r>
              <w:rPr>
                <w:color w:val="auto"/>
                <w:highlight w:val="none"/>
              </w:rPr>
              <w:t>AA</w:t>
            </w:r>
            <w:r>
              <w:rPr>
                <w:color w:val="auto"/>
                <w:spacing w:val="12"/>
                <w:highlight w:val="none"/>
              </w:rPr>
              <w:t>、A</w:t>
            </w:r>
            <w:r>
              <w:rPr>
                <w:color w:val="auto"/>
                <w:spacing w:val="-30"/>
                <w:highlight w:val="none"/>
              </w:rPr>
              <w:t xml:space="preserve"> </w:t>
            </w:r>
            <w:r>
              <w:rPr>
                <w:color w:val="auto"/>
                <w:spacing w:val="12"/>
                <w:highlight w:val="none"/>
              </w:rPr>
              <w:t>级单位是指使用广东省信用评价等级申请承诺书的单位。提</w:t>
            </w:r>
            <w:r>
              <w:rPr>
                <w:color w:val="auto"/>
                <w:spacing w:val="11"/>
                <w:highlight w:val="none"/>
              </w:rPr>
              <w:t>交申请</w:t>
            </w:r>
            <w:r>
              <w:rPr>
                <w:color w:val="auto"/>
                <w:spacing w:val="13"/>
                <w:highlight w:val="none"/>
              </w:rPr>
              <w:t>承诺书未使用</w:t>
            </w:r>
            <w:r>
              <w:rPr>
                <w:color w:val="auto"/>
                <w:spacing w:val="-37"/>
                <w:highlight w:val="none"/>
              </w:rPr>
              <w:t xml:space="preserve"> </w:t>
            </w:r>
            <w:r>
              <w:rPr>
                <w:color w:val="auto"/>
                <w:highlight w:val="none"/>
              </w:rPr>
              <w:t>AA</w:t>
            </w:r>
            <w:r>
              <w:rPr>
                <w:color w:val="auto"/>
                <w:spacing w:val="13"/>
                <w:highlight w:val="none"/>
              </w:rPr>
              <w:t>、A</w:t>
            </w:r>
            <w:r>
              <w:rPr>
                <w:color w:val="auto"/>
                <w:spacing w:val="-23"/>
                <w:highlight w:val="none"/>
              </w:rPr>
              <w:t xml:space="preserve"> </w:t>
            </w:r>
            <w:r>
              <w:rPr>
                <w:color w:val="auto"/>
                <w:spacing w:val="13"/>
                <w:highlight w:val="none"/>
              </w:rPr>
              <w:t>时，在评标过程中，</w:t>
            </w:r>
            <w:r>
              <w:rPr>
                <w:color w:val="auto"/>
                <w:highlight w:val="none"/>
              </w:rPr>
              <w:t>AA</w:t>
            </w:r>
            <w:r>
              <w:rPr>
                <w:color w:val="auto"/>
                <w:spacing w:val="-30"/>
                <w:highlight w:val="none"/>
              </w:rPr>
              <w:t xml:space="preserve"> </w:t>
            </w:r>
            <w:r>
              <w:rPr>
                <w:color w:val="auto"/>
                <w:spacing w:val="13"/>
                <w:highlight w:val="none"/>
              </w:rPr>
              <w:t>级信用等级企业按</w:t>
            </w:r>
            <w:r>
              <w:rPr>
                <w:color w:val="auto"/>
                <w:spacing w:val="-38"/>
                <w:highlight w:val="none"/>
              </w:rPr>
              <w:t xml:space="preserve"> </w:t>
            </w:r>
            <w:r>
              <w:rPr>
                <w:color w:val="auto"/>
                <w:spacing w:val="13"/>
                <w:highlight w:val="none"/>
              </w:rPr>
              <w:t>A</w:t>
            </w:r>
            <w:r>
              <w:rPr>
                <w:color w:val="auto"/>
                <w:spacing w:val="-30"/>
                <w:highlight w:val="none"/>
              </w:rPr>
              <w:t xml:space="preserve"> </w:t>
            </w:r>
            <w:r>
              <w:rPr>
                <w:color w:val="auto"/>
                <w:spacing w:val="13"/>
                <w:highlight w:val="none"/>
              </w:rPr>
              <w:t>级对待、A</w:t>
            </w:r>
            <w:r>
              <w:rPr>
                <w:color w:val="auto"/>
                <w:spacing w:val="-30"/>
                <w:highlight w:val="none"/>
              </w:rPr>
              <w:t xml:space="preserve"> </w:t>
            </w:r>
            <w:r>
              <w:rPr>
                <w:color w:val="auto"/>
                <w:spacing w:val="13"/>
                <w:highlight w:val="none"/>
              </w:rPr>
              <w:t>级信</w:t>
            </w:r>
            <w:r>
              <w:rPr>
                <w:color w:val="auto"/>
                <w:spacing w:val="6"/>
                <w:highlight w:val="none"/>
              </w:rPr>
              <w:t>用等级企业按</w:t>
            </w:r>
            <w:r>
              <w:rPr>
                <w:color w:val="auto"/>
                <w:spacing w:val="-43"/>
                <w:highlight w:val="none"/>
              </w:rPr>
              <w:t xml:space="preserve"> </w:t>
            </w:r>
            <w:r>
              <w:rPr>
                <w:color w:val="auto"/>
                <w:spacing w:val="6"/>
                <w:highlight w:val="none"/>
              </w:rPr>
              <w:t>B</w:t>
            </w:r>
            <w:r>
              <w:rPr>
                <w:color w:val="auto"/>
                <w:spacing w:val="-35"/>
                <w:highlight w:val="none"/>
              </w:rPr>
              <w:t xml:space="preserve"> </w:t>
            </w:r>
            <w:r>
              <w:rPr>
                <w:color w:val="auto"/>
                <w:spacing w:val="6"/>
                <w:highlight w:val="none"/>
              </w:rPr>
              <w:t>级对待。</w:t>
            </w:r>
          </w:p>
          <w:p w14:paraId="7159EB8F">
            <w:pPr>
              <w:pStyle w:val="20"/>
              <w:spacing w:before="2" w:line="369" w:lineRule="auto"/>
              <w:ind w:left="113" w:right="109" w:firstLine="14"/>
              <w:rPr>
                <w:color w:val="auto"/>
                <w:highlight w:val="none"/>
              </w:rPr>
            </w:pPr>
            <w:r>
              <w:rPr>
                <w:color w:val="auto"/>
                <w:spacing w:val="11"/>
                <w:highlight w:val="none"/>
              </w:rPr>
              <w:t>10.2.4 在招标评标中，信用评价等级采用按次、按标段或标类申请使</w:t>
            </w:r>
            <w:r>
              <w:rPr>
                <w:color w:val="auto"/>
                <w:spacing w:val="10"/>
                <w:highlight w:val="none"/>
              </w:rPr>
              <w:t>用的原则，</w:t>
            </w:r>
            <w:r>
              <w:rPr>
                <w:color w:val="auto"/>
                <w:spacing w:val="14"/>
                <w:highlight w:val="none"/>
              </w:rPr>
              <w:t>即在同一次招标中的多个标段的投标，可自愿对其中部分或全部标段申请使用</w:t>
            </w:r>
            <w:r>
              <w:rPr>
                <w:color w:val="auto"/>
                <w:spacing w:val="-37"/>
                <w:highlight w:val="none"/>
              </w:rPr>
              <w:t xml:space="preserve"> </w:t>
            </w:r>
            <w:r>
              <w:rPr>
                <w:color w:val="auto"/>
                <w:highlight w:val="none"/>
              </w:rPr>
              <w:t>AA</w:t>
            </w:r>
            <w:r>
              <w:rPr>
                <w:color w:val="auto"/>
                <w:spacing w:val="15"/>
                <w:highlight w:val="none"/>
              </w:rPr>
              <w:t>或</w:t>
            </w:r>
            <w:r>
              <w:rPr>
                <w:color w:val="auto"/>
                <w:spacing w:val="-41"/>
                <w:highlight w:val="none"/>
              </w:rPr>
              <w:t xml:space="preserve"> </w:t>
            </w:r>
            <w:r>
              <w:rPr>
                <w:color w:val="auto"/>
                <w:spacing w:val="15"/>
                <w:highlight w:val="none"/>
              </w:rPr>
              <w:t>A</w:t>
            </w:r>
            <w:r>
              <w:rPr>
                <w:color w:val="auto"/>
                <w:spacing w:val="-33"/>
                <w:highlight w:val="none"/>
              </w:rPr>
              <w:t xml:space="preserve"> </w:t>
            </w:r>
            <w:r>
              <w:rPr>
                <w:color w:val="auto"/>
                <w:spacing w:val="15"/>
                <w:highlight w:val="none"/>
              </w:rPr>
              <w:t>信用等级，无论中标与否，均应根据申请递交</w:t>
            </w:r>
            <w:r>
              <w:rPr>
                <w:color w:val="auto"/>
                <w:spacing w:val="14"/>
                <w:highlight w:val="none"/>
              </w:rPr>
              <w:t>投标（或申请）文件情况按标</w:t>
            </w:r>
            <w:r>
              <w:rPr>
                <w:color w:val="auto"/>
                <w:spacing w:val="9"/>
                <w:highlight w:val="none"/>
              </w:rPr>
              <w:t>段计算使用次数（非投标人原因导致招标失败的情</w:t>
            </w:r>
            <w:r>
              <w:rPr>
                <w:color w:val="auto"/>
                <w:spacing w:val="8"/>
                <w:highlight w:val="none"/>
              </w:rPr>
              <w:t>况除外）。</w:t>
            </w:r>
          </w:p>
          <w:p w14:paraId="379FC8ED">
            <w:pPr>
              <w:pStyle w:val="20"/>
              <w:spacing w:before="1" w:line="369" w:lineRule="auto"/>
              <w:ind w:left="112" w:right="108" w:firstLine="15"/>
              <w:rPr>
                <w:color w:val="auto"/>
                <w:highlight w:val="none"/>
              </w:rPr>
            </w:pPr>
            <w:r>
              <w:rPr>
                <w:color w:val="auto"/>
                <w:spacing w:val="12"/>
                <w:highlight w:val="none"/>
              </w:rPr>
              <w:t>10.2.5</w:t>
            </w:r>
            <w:r>
              <w:rPr>
                <w:color w:val="auto"/>
                <w:spacing w:val="-12"/>
                <w:highlight w:val="none"/>
              </w:rPr>
              <w:t xml:space="preserve"> </w:t>
            </w:r>
            <w:r>
              <w:rPr>
                <w:color w:val="auto"/>
                <w:spacing w:val="12"/>
                <w:highlight w:val="none"/>
              </w:rPr>
              <w:t>以联合体形式投标的，信用等</w:t>
            </w:r>
            <w:r>
              <w:rPr>
                <w:color w:val="auto"/>
                <w:spacing w:val="11"/>
                <w:highlight w:val="none"/>
              </w:rPr>
              <w:t>级以联合体中信用等级较低的为准。如联合</w:t>
            </w:r>
            <w:r>
              <w:rPr>
                <w:color w:val="auto"/>
                <w:spacing w:val="15"/>
                <w:highlight w:val="none"/>
              </w:rPr>
              <w:t>体成员中存在不属于广东省公路工程从业企业信用评价体系的参评范围的单位，</w:t>
            </w:r>
            <w:r>
              <w:rPr>
                <w:color w:val="auto"/>
                <w:spacing w:val="6"/>
                <w:highlight w:val="none"/>
              </w:rPr>
              <w:t>其信用评价等级视为</w:t>
            </w:r>
            <w:r>
              <w:rPr>
                <w:color w:val="auto"/>
                <w:spacing w:val="-38"/>
                <w:highlight w:val="none"/>
              </w:rPr>
              <w:t xml:space="preserve"> </w:t>
            </w:r>
            <w:r>
              <w:rPr>
                <w:color w:val="auto"/>
                <w:spacing w:val="6"/>
                <w:highlight w:val="none"/>
              </w:rPr>
              <w:t>B</w:t>
            </w:r>
            <w:r>
              <w:rPr>
                <w:color w:val="auto"/>
                <w:spacing w:val="-35"/>
                <w:highlight w:val="none"/>
              </w:rPr>
              <w:t xml:space="preserve"> </w:t>
            </w:r>
            <w:r>
              <w:rPr>
                <w:color w:val="auto"/>
                <w:spacing w:val="6"/>
                <w:highlight w:val="none"/>
              </w:rPr>
              <w:t>级。</w:t>
            </w:r>
          </w:p>
          <w:p w14:paraId="7E75DA28">
            <w:pPr>
              <w:pStyle w:val="20"/>
              <w:spacing w:before="4" w:line="368" w:lineRule="auto"/>
              <w:ind w:left="114" w:right="108" w:firstLine="12"/>
              <w:rPr>
                <w:color w:val="auto"/>
                <w:highlight w:val="none"/>
              </w:rPr>
            </w:pPr>
            <w:r>
              <w:rPr>
                <w:color w:val="auto"/>
                <w:spacing w:val="11"/>
                <w:highlight w:val="none"/>
              </w:rPr>
              <w:t>10.3 如果推荐的第一中标候选人放弃中标、因不可抗力提出不能履行合同或因被</w:t>
            </w:r>
            <w:r>
              <w:rPr>
                <w:color w:val="auto"/>
                <w:spacing w:val="15"/>
                <w:highlight w:val="none"/>
              </w:rPr>
              <w:t>投诉经查证属实取消中标资格的，或者招标文件规定应当提交履约保证金而在规</w:t>
            </w:r>
            <w:r>
              <w:rPr>
                <w:color w:val="auto"/>
                <w:spacing w:val="12"/>
                <w:highlight w:val="none"/>
              </w:rPr>
              <w:t>定的期限内未能提交的，招标人可以确定排名第二的中标候选人为中标人,或重新</w:t>
            </w:r>
            <w:r>
              <w:rPr>
                <w:color w:val="auto"/>
                <w:spacing w:val="7"/>
                <w:highlight w:val="none"/>
              </w:rPr>
              <w:t>组织招标，以此类推。</w:t>
            </w:r>
          </w:p>
          <w:p w14:paraId="308617FD">
            <w:pPr>
              <w:pStyle w:val="20"/>
              <w:spacing w:line="369" w:lineRule="auto"/>
              <w:ind w:left="114" w:right="108" w:firstLine="12"/>
              <w:rPr>
                <w:color w:val="auto"/>
                <w:highlight w:val="none"/>
              </w:rPr>
            </w:pPr>
            <w:r>
              <w:rPr>
                <w:color w:val="auto"/>
                <w:spacing w:val="9"/>
                <w:highlight w:val="none"/>
              </w:rPr>
              <w:t>10.4 如果开标后至中标通知书发出前</w:t>
            </w:r>
            <w:r>
              <w:rPr>
                <w:color w:val="auto"/>
                <w:spacing w:val="8"/>
                <w:highlight w:val="none"/>
              </w:rPr>
              <w:t>，中标候选人发生投标人须知</w:t>
            </w:r>
            <w:r>
              <w:rPr>
                <w:color w:val="auto"/>
                <w:spacing w:val="-22"/>
                <w:highlight w:val="none"/>
              </w:rPr>
              <w:t xml:space="preserve"> </w:t>
            </w:r>
            <w:r>
              <w:rPr>
                <w:color w:val="auto"/>
                <w:spacing w:val="8"/>
                <w:highlight w:val="none"/>
              </w:rPr>
              <w:t>1.4.4（1）至</w:t>
            </w:r>
            <w:r>
              <w:rPr>
                <w:color w:val="auto"/>
                <w:spacing w:val="10"/>
                <w:highlight w:val="none"/>
              </w:rPr>
              <w:t>（7）</w:t>
            </w:r>
            <w:r>
              <w:rPr>
                <w:color w:val="auto"/>
                <w:spacing w:val="-51"/>
                <w:highlight w:val="none"/>
              </w:rPr>
              <w:t xml:space="preserve"> </w:t>
            </w:r>
            <w:r>
              <w:rPr>
                <w:color w:val="auto"/>
                <w:spacing w:val="10"/>
                <w:highlight w:val="none"/>
              </w:rPr>
              <w:t>的情形及中标候选人信用等级被广东省交通运输厅直接降为</w:t>
            </w:r>
            <w:r>
              <w:rPr>
                <w:color w:val="auto"/>
                <w:spacing w:val="-38"/>
                <w:highlight w:val="none"/>
              </w:rPr>
              <w:t xml:space="preserve"> </w:t>
            </w:r>
            <w:r>
              <w:rPr>
                <w:color w:val="auto"/>
                <w:spacing w:val="10"/>
                <w:highlight w:val="none"/>
              </w:rPr>
              <w:t>D</w:t>
            </w:r>
            <w:r>
              <w:rPr>
                <w:color w:val="auto"/>
                <w:spacing w:val="-33"/>
                <w:highlight w:val="none"/>
              </w:rPr>
              <w:t xml:space="preserve"> </w:t>
            </w:r>
            <w:r>
              <w:rPr>
                <w:color w:val="auto"/>
                <w:spacing w:val="10"/>
                <w:highlight w:val="none"/>
              </w:rPr>
              <w:t>级的情形，则</w:t>
            </w:r>
            <w:r>
              <w:rPr>
                <w:color w:val="auto"/>
                <w:spacing w:val="8"/>
                <w:highlight w:val="none"/>
              </w:rPr>
              <w:t>取消其中标资格，按否决其投标处理；</w:t>
            </w:r>
          </w:p>
          <w:p w14:paraId="1642E90E">
            <w:pPr>
              <w:pStyle w:val="20"/>
              <w:spacing w:before="2" w:line="357" w:lineRule="auto"/>
              <w:ind w:left="122" w:right="108" w:firstLine="26"/>
              <w:rPr>
                <w:color w:val="auto"/>
                <w:spacing w:val="4"/>
                <w:highlight w:val="none"/>
              </w:rPr>
            </w:pPr>
            <w:r>
              <w:rPr>
                <w:color w:val="auto"/>
                <w:spacing w:val="15"/>
                <w:highlight w:val="none"/>
              </w:rPr>
              <w:t>发生以上情况时，招标人按推荐中标候选人排名顺序依次确定中标人，或重新组</w:t>
            </w:r>
            <w:r>
              <w:rPr>
                <w:color w:val="auto"/>
                <w:spacing w:val="4"/>
                <w:highlight w:val="none"/>
              </w:rPr>
              <w:t>织招标。</w:t>
            </w:r>
          </w:p>
          <w:p w14:paraId="5B6670BE">
            <w:pPr>
              <w:pStyle w:val="20"/>
              <w:spacing w:before="116" w:line="393" w:lineRule="auto"/>
              <w:ind w:left="118" w:right="109" w:firstLine="8"/>
              <w:rPr>
                <w:color w:val="auto"/>
                <w:sz w:val="10"/>
                <w:szCs w:val="10"/>
                <w:highlight w:val="none"/>
              </w:rPr>
            </w:pPr>
            <w:r>
              <w:rPr>
                <w:color w:val="auto"/>
                <w:spacing w:val="7"/>
                <w:highlight w:val="none"/>
              </w:rPr>
              <w:t>10.5本招标文件中所有 “类似工程</w:t>
            </w:r>
            <w:r>
              <w:rPr>
                <w:color w:val="auto"/>
                <w:spacing w:val="-58"/>
                <w:highlight w:val="none"/>
              </w:rPr>
              <w:t xml:space="preserve"> </w:t>
            </w:r>
            <w:r>
              <w:rPr>
                <w:color w:val="auto"/>
                <w:spacing w:val="7"/>
                <w:highlight w:val="none"/>
              </w:rPr>
              <w:t>”均</w:t>
            </w:r>
            <w:r>
              <w:rPr>
                <w:rFonts w:ascii="宋体" w:hAnsi="宋体" w:eastAsia="宋体" w:cs="宋体"/>
                <w:color w:val="auto"/>
                <w:spacing w:val="15"/>
                <w:highlight w:val="none"/>
              </w:rPr>
              <w:t>指</w:t>
            </w:r>
            <w:r>
              <w:rPr>
                <w:rFonts w:ascii="宋体" w:hAnsi="宋体" w:eastAsia="宋体" w:cs="宋体"/>
                <w:b/>
                <w:bCs/>
                <w:color w:val="auto"/>
                <w:spacing w:val="15"/>
                <w:highlight w:val="none"/>
                <w:u w:val="single"/>
              </w:rPr>
              <w:t>新建（或改、扩建）</w:t>
            </w:r>
            <w:r>
              <w:rPr>
                <w:rFonts w:hint="eastAsia" w:ascii="宋体" w:hAnsi="宋体" w:eastAsia="宋体" w:cs="宋体"/>
                <w:b/>
                <w:bCs/>
                <w:color w:val="auto"/>
                <w:spacing w:val="15"/>
                <w:highlight w:val="none"/>
                <w:u w:val="single"/>
                <w:lang w:val="en-US" w:eastAsia="zh-CN"/>
              </w:rPr>
              <w:t>二级（含二级）或以上</w:t>
            </w:r>
            <w:r>
              <w:rPr>
                <w:rFonts w:ascii="宋体" w:hAnsi="宋体" w:eastAsia="宋体" w:cs="宋体"/>
                <w:b/>
                <w:bCs/>
                <w:color w:val="auto"/>
                <w:spacing w:val="15"/>
                <w:highlight w:val="none"/>
                <w:u w:val="single"/>
              </w:rPr>
              <w:t>公路工程项目</w:t>
            </w:r>
            <w:r>
              <w:rPr>
                <w:rFonts w:ascii="宋体" w:hAnsi="宋体" w:eastAsia="宋体" w:cs="宋体"/>
                <w:color w:val="auto"/>
                <w:spacing w:val="15"/>
                <w:highlight w:val="none"/>
              </w:rPr>
              <w:t>。</w:t>
            </w:r>
            <w:r>
              <w:rPr>
                <w:color w:val="auto"/>
                <w:spacing w:val="15"/>
                <w:highlight w:val="none"/>
                <w:u w:val="single" w:color="auto"/>
              </w:rPr>
              <w:t>在采用新建的公路项目完工业绩时，对于同等公路等级改、扩建</w:t>
            </w:r>
            <w:r>
              <w:rPr>
                <w:color w:val="auto"/>
                <w:spacing w:val="9"/>
                <w:highlight w:val="none"/>
                <w:u w:val="single" w:color="auto"/>
              </w:rPr>
              <w:t>中的新建桥梁或隧道工程业绩也应认可</w:t>
            </w:r>
            <w:r>
              <w:rPr>
                <w:color w:val="auto"/>
                <w:spacing w:val="9"/>
                <w:highlight w:val="none"/>
              </w:rPr>
              <w:t>。</w:t>
            </w:r>
          </w:p>
          <w:p w14:paraId="13E53948">
            <w:pPr>
              <w:pStyle w:val="20"/>
              <w:spacing w:before="65" w:line="369" w:lineRule="auto"/>
              <w:ind w:left="127" w:right="5664"/>
              <w:rPr>
                <w:color w:val="auto"/>
                <w:highlight w:val="none"/>
              </w:rPr>
            </w:pPr>
            <w:r>
              <w:rPr>
                <w:color w:val="auto"/>
                <w:spacing w:val="5"/>
                <w:highlight w:val="none"/>
              </w:rPr>
              <w:t>10.6 有关业绩的说明</w:t>
            </w:r>
            <w:r>
              <w:rPr>
                <w:color w:val="auto"/>
                <w:spacing w:val="1"/>
                <w:highlight w:val="none"/>
              </w:rPr>
              <w:t>10.6.1</w:t>
            </w:r>
          </w:p>
          <w:p w14:paraId="453452E2">
            <w:pPr>
              <w:pStyle w:val="20"/>
              <w:spacing w:line="226" w:lineRule="auto"/>
              <w:ind w:left="113"/>
              <w:rPr>
                <w:color w:val="auto"/>
                <w:highlight w:val="none"/>
              </w:rPr>
            </w:pPr>
            <w:r>
              <w:rPr>
                <w:color w:val="auto"/>
                <w:spacing w:val="9"/>
                <w:highlight w:val="none"/>
              </w:rPr>
              <w:t>a、特大桥及大桥按国家最新颁布的标准进行</w:t>
            </w:r>
            <w:r>
              <w:rPr>
                <w:color w:val="auto"/>
                <w:spacing w:val="8"/>
                <w:highlight w:val="none"/>
              </w:rPr>
              <w:t>划分；</w:t>
            </w:r>
          </w:p>
          <w:p w14:paraId="0F1DD082">
            <w:pPr>
              <w:pStyle w:val="20"/>
              <w:spacing w:before="154" w:line="369" w:lineRule="auto"/>
              <w:ind w:left="113" w:right="110" w:hanging="4"/>
              <w:rPr>
                <w:color w:val="auto"/>
                <w:highlight w:val="none"/>
              </w:rPr>
            </w:pPr>
            <w:r>
              <w:rPr>
                <w:color w:val="auto"/>
                <w:spacing w:val="12"/>
                <w:highlight w:val="none"/>
              </w:rPr>
              <w:t>b、完成整座桥梁的半幅或整座桥梁其中的一部分工作内容达到特大桥或大桥对应</w:t>
            </w:r>
            <w:r>
              <w:rPr>
                <w:color w:val="auto"/>
                <w:spacing w:val="6"/>
                <w:highlight w:val="none"/>
              </w:rPr>
              <w:t>技术标准的，按相应标标准以</w:t>
            </w:r>
            <w:r>
              <w:rPr>
                <w:color w:val="auto"/>
                <w:spacing w:val="-13"/>
                <w:highlight w:val="none"/>
              </w:rPr>
              <w:t xml:space="preserve"> </w:t>
            </w:r>
            <w:r>
              <w:rPr>
                <w:color w:val="auto"/>
                <w:spacing w:val="6"/>
                <w:highlight w:val="none"/>
              </w:rPr>
              <w:t>1</w:t>
            </w:r>
            <w:r>
              <w:rPr>
                <w:color w:val="auto"/>
                <w:spacing w:val="-37"/>
                <w:highlight w:val="none"/>
              </w:rPr>
              <w:t xml:space="preserve"> </w:t>
            </w:r>
            <w:r>
              <w:rPr>
                <w:color w:val="auto"/>
                <w:spacing w:val="6"/>
                <w:highlight w:val="none"/>
              </w:rPr>
              <w:t>座计算；</w:t>
            </w:r>
          </w:p>
          <w:p w14:paraId="52319438">
            <w:pPr>
              <w:pStyle w:val="20"/>
              <w:spacing w:before="2" w:line="368" w:lineRule="auto"/>
              <w:ind w:left="111" w:right="110" w:firstLine="5"/>
              <w:rPr>
                <w:color w:val="auto"/>
                <w:highlight w:val="none"/>
              </w:rPr>
            </w:pPr>
            <w:r>
              <w:rPr>
                <w:color w:val="auto"/>
                <w:spacing w:val="12"/>
                <w:highlight w:val="none"/>
              </w:rPr>
              <w:t>c、同一投标人的单座桥梁仅能计一次，只完成整个工程部分分部工程不参与计算</w:t>
            </w:r>
            <w:r>
              <w:rPr>
                <w:color w:val="auto"/>
                <w:spacing w:val="3"/>
                <w:highlight w:val="none"/>
              </w:rPr>
              <w:t>业绩。</w:t>
            </w:r>
          </w:p>
          <w:p w14:paraId="7C112449">
            <w:pPr>
              <w:pStyle w:val="20"/>
              <w:spacing w:line="268" w:lineRule="exact"/>
              <w:ind w:left="127"/>
              <w:rPr>
                <w:color w:val="auto"/>
                <w:highlight w:val="none"/>
              </w:rPr>
            </w:pPr>
            <w:r>
              <w:rPr>
                <w:color w:val="auto"/>
                <w:spacing w:val="1"/>
                <w:position w:val="1"/>
                <w:highlight w:val="none"/>
              </w:rPr>
              <w:t>10.6.2</w:t>
            </w:r>
          </w:p>
          <w:p w14:paraId="1656E1ED">
            <w:pPr>
              <w:pStyle w:val="20"/>
              <w:spacing w:before="135" w:line="369" w:lineRule="auto"/>
              <w:ind w:left="111" w:right="108" w:firstLine="1"/>
              <w:rPr>
                <w:color w:val="auto"/>
                <w:highlight w:val="none"/>
              </w:rPr>
            </w:pPr>
            <w:r>
              <w:rPr>
                <w:color w:val="auto"/>
                <w:spacing w:val="10"/>
                <w:highlight w:val="none"/>
              </w:rPr>
              <w:t>a、特长隧道：单座隧道单洞（即左洞加右洞）总长大于</w:t>
            </w:r>
            <w:r>
              <w:rPr>
                <w:color w:val="auto"/>
                <w:spacing w:val="-22"/>
                <w:highlight w:val="none"/>
              </w:rPr>
              <w:t xml:space="preserve"> </w:t>
            </w:r>
            <w:r>
              <w:rPr>
                <w:color w:val="auto"/>
                <w:spacing w:val="10"/>
                <w:highlight w:val="none"/>
              </w:rPr>
              <w:t>6000m</w:t>
            </w:r>
            <w:r>
              <w:rPr>
                <w:color w:val="auto"/>
                <w:spacing w:val="-18"/>
                <w:highlight w:val="none"/>
              </w:rPr>
              <w:t xml:space="preserve"> </w:t>
            </w:r>
            <w:r>
              <w:rPr>
                <w:color w:val="auto"/>
                <w:spacing w:val="10"/>
                <w:highlight w:val="none"/>
              </w:rPr>
              <w:t>的，或完成单座隧</w:t>
            </w:r>
            <w:r>
              <w:rPr>
                <w:color w:val="auto"/>
                <w:spacing w:val="12"/>
                <w:highlight w:val="none"/>
              </w:rPr>
              <w:t>道的一部分且该部分的单洞累计长度大于</w:t>
            </w:r>
            <w:r>
              <w:rPr>
                <w:color w:val="auto"/>
                <w:spacing w:val="-31"/>
                <w:highlight w:val="none"/>
              </w:rPr>
              <w:t xml:space="preserve"> </w:t>
            </w:r>
            <w:r>
              <w:rPr>
                <w:color w:val="auto"/>
                <w:spacing w:val="12"/>
                <w:highlight w:val="none"/>
              </w:rPr>
              <w:t>6000m</w:t>
            </w:r>
            <w:r>
              <w:rPr>
                <w:color w:val="auto"/>
                <w:spacing w:val="-16"/>
                <w:highlight w:val="none"/>
              </w:rPr>
              <w:t xml:space="preserve"> </w:t>
            </w:r>
            <w:r>
              <w:rPr>
                <w:color w:val="auto"/>
                <w:spacing w:val="12"/>
                <w:highlight w:val="none"/>
              </w:rPr>
              <w:t>的，均按</w:t>
            </w:r>
            <w:r>
              <w:rPr>
                <w:color w:val="auto"/>
                <w:spacing w:val="-16"/>
                <w:highlight w:val="none"/>
              </w:rPr>
              <w:t xml:space="preserve"> </w:t>
            </w:r>
            <w:r>
              <w:rPr>
                <w:color w:val="auto"/>
                <w:spacing w:val="11"/>
                <w:highlight w:val="none"/>
              </w:rPr>
              <w:t>1</w:t>
            </w:r>
            <w:r>
              <w:rPr>
                <w:color w:val="auto"/>
                <w:spacing w:val="-29"/>
                <w:highlight w:val="none"/>
              </w:rPr>
              <w:t xml:space="preserve"> </w:t>
            </w:r>
            <w:r>
              <w:rPr>
                <w:color w:val="auto"/>
                <w:spacing w:val="11"/>
                <w:highlight w:val="none"/>
              </w:rPr>
              <w:t>座计；完成单座特长</w:t>
            </w:r>
            <w:r>
              <w:rPr>
                <w:color w:val="auto"/>
                <w:spacing w:val="12"/>
                <w:highlight w:val="none"/>
              </w:rPr>
              <w:t>隧道的一部分</w:t>
            </w:r>
            <w:r>
              <w:rPr>
                <w:color w:val="auto"/>
                <w:spacing w:val="-58"/>
                <w:highlight w:val="none"/>
              </w:rPr>
              <w:t xml:space="preserve"> </w:t>
            </w:r>
            <w:r>
              <w:rPr>
                <w:color w:val="auto"/>
                <w:spacing w:val="12"/>
                <w:highlight w:val="none"/>
              </w:rPr>
              <w:t>，该部分单洞累计长度大于</w:t>
            </w:r>
            <w:r>
              <w:rPr>
                <w:color w:val="auto"/>
                <w:spacing w:val="-20"/>
                <w:highlight w:val="none"/>
              </w:rPr>
              <w:t xml:space="preserve"> </w:t>
            </w:r>
            <w:r>
              <w:rPr>
                <w:color w:val="auto"/>
                <w:spacing w:val="12"/>
                <w:highlight w:val="none"/>
              </w:rPr>
              <w:t>3000m</w:t>
            </w:r>
            <w:r>
              <w:rPr>
                <w:color w:val="auto"/>
                <w:spacing w:val="-24"/>
                <w:highlight w:val="none"/>
              </w:rPr>
              <w:t xml:space="preserve"> </w:t>
            </w:r>
            <w:r>
              <w:rPr>
                <w:color w:val="auto"/>
                <w:spacing w:val="12"/>
                <w:highlight w:val="none"/>
              </w:rPr>
              <w:t>且不大于</w:t>
            </w:r>
            <w:r>
              <w:rPr>
                <w:color w:val="auto"/>
                <w:spacing w:val="-23"/>
                <w:highlight w:val="none"/>
              </w:rPr>
              <w:t xml:space="preserve"> </w:t>
            </w:r>
            <w:r>
              <w:rPr>
                <w:color w:val="auto"/>
                <w:spacing w:val="12"/>
                <w:highlight w:val="none"/>
              </w:rPr>
              <w:t>600</w:t>
            </w:r>
            <w:r>
              <w:rPr>
                <w:color w:val="auto"/>
                <w:spacing w:val="11"/>
                <w:highlight w:val="none"/>
              </w:rPr>
              <w:t>0m 的</w:t>
            </w:r>
            <w:r>
              <w:rPr>
                <w:color w:val="auto"/>
                <w:spacing w:val="-58"/>
                <w:highlight w:val="none"/>
              </w:rPr>
              <w:t xml:space="preserve"> </w:t>
            </w:r>
            <w:r>
              <w:rPr>
                <w:color w:val="auto"/>
                <w:spacing w:val="11"/>
                <w:highlight w:val="none"/>
              </w:rPr>
              <w:t>，按</w:t>
            </w:r>
            <w:r>
              <w:rPr>
                <w:color w:val="auto"/>
                <w:spacing w:val="-23"/>
                <w:highlight w:val="none"/>
              </w:rPr>
              <w:t xml:space="preserve"> </w:t>
            </w:r>
            <w:r>
              <w:rPr>
                <w:color w:val="auto"/>
                <w:spacing w:val="11"/>
                <w:highlight w:val="none"/>
              </w:rPr>
              <w:t>0.5</w:t>
            </w:r>
            <w:r>
              <w:rPr>
                <w:color w:val="auto"/>
                <w:spacing w:val="-22"/>
                <w:highlight w:val="none"/>
              </w:rPr>
              <w:t xml:space="preserve"> </w:t>
            </w:r>
            <w:r>
              <w:rPr>
                <w:color w:val="auto"/>
                <w:spacing w:val="11"/>
                <w:highlight w:val="none"/>
              </w:rPr>
              <w:t>座</w:t>
            </w:r>
            <w:r>
              <w:rPr>
                <w:color w:val="auto"/>
                <w:spacing w:val="9"/>
                <w:highlight w:val="none"/>
              </w:rPr>
              <w:t>计，完成</w:t>
            </w:r>
            <w:r>
              <w:rPr>
                <w:color w:val="auto"/>
                <w:spacing w:val="-44"/>
                <w:highlight w:val="none"/>
              </w:rPr>
              <w:t xml:space="preserve"> </w:t>
            </w:r>
            <w:r>
              <w:rPr>
                <w:color w:val="auto"/>
                <w:spacing w:val="9"/>
                <w:highlight w:val="none"/>
              </w:rPr>
              <w:t>N</w:t>
            </w:r>
            <w:r>
              <w:rPr>
                <w:color w:val="auto"/>
                <w:spacing w:val="-36"/>
                <w:highlight w:val="none"/>
              </w:rPr>
              <w:t xml:space="preserve"> </w:t>
            </w:r>
            <w:r>
              <w:rPr>
                <w:color w:val="auto"/>
                <w:spacing w:val="9"/>
                <w:highlight w:val="none"/>
              </w:rPr>
              <w:t>座该类隧道按N×0.5</w:t>
            </w:r>
            <w:r>
              <w:rPr>
                <w:color w:val="auto"/>
                <w:spacing w:val="-36"/>
                <w:highlight w:val="none"/>
              </w:rPr>
              <w:t xml:space="preserve"> </w:t>
            </w:r>
            <w:r>
              <w:rPr>
                <w:color w:val="auto"/>
                <w:spacing w:val="9"/>
                <w:highlight w:val="none"/>
              </w:rPr>
              <w:t>座计；</w:t>
            </w:r>
          </w:p>
          <w:p w14:paraId="6E0F1D56">
            <w:pPr>
              <w:pStyle w:val="20"/>
              <w:spacing w:line="369" w:lineRule="auto"/>
              <w:ind w:left="114" w:right="108" w:hanging="5"/>
              <w:rPr>
                <w:color w:val="auto"/>
                <w:highlight w:val="none"/>
              </w:rPr>
            </w:pPr>
            <w:r>
              <w:rPr>
                <w:color w:val="auto"/>
                <w:spacing w:val="13"/>
                <w:highlight w:val="none"/>
              </w:rPr>
              <w:t>b、长隧道：单座隧道单洞（即左洞加右洞）总长大于</w:t>
            </w:r>
            <w:r>
              <w:rPr>
                <w:color w:val="auto"/>
                <w:spacing w:val="-29"/>
                <w:highlight w:val="none"/>
              </w:rPr>
              <w:t xml:space="preserve"> </w:t>
            </w:r>
            <w:r>
              <w:rPr>
                <w:color w:val="auto"/>
                <w:spacing w:val="12"/>
                <w:highlight w:val="none"/>
              </w:rPr>
              <w:t>2000 米且不大于</w:t>
            </w:r>
            <w:r>
              <w:rPr>
                <w:color w:val="auto"/>
                <w:spacing w:val="-31"/>
                <w:highlight w:val="none"/>
              </w:rPr>
              <w:t xml:space="preserve"> </w:t>
            </w:r>
            <w:r>
              <w:rPr>
                <w:color w:val="auto"/>
                <w:spacing w:val="12"/>
                <w:highlight w:val="none"/>
              </w:rPr>
              <w:t>6000 米</w:t>
            </w:r>
            <w:r>
              <w:rPr>
                <w:color w:val="auto"/>
                <w:spacing w:val="20"/>
                <w:highlight w:val="none"/>
              </w:rPr>
              <w:t>的</w:t>
            </w:r>
            <w:r>
              <w:rPr>
                <w:color w:val="auto"/>
                <w:spacing w:val="-58"/>
                <w:highlight w:val="none"/>
              </w:rPr>
              <w:t xml:space="preserve"> </w:t>
            </w:r>
            <w:r>
              <w:rPr>
                <w:color w:val="auto"/>
                <w:spacing w:val="20"/>
                <w:highlight w:val="none"/>
              </w:rPr>
              <w:t>，或完成单座隧道的一部分且该部分的单洞累计长度大于</w:t>
            </w:r>
            <w:r>
              <w:rPr>
                <w:color w:val="auto"/>
                <w:spacing w:val="-20"/>
                <w:highlight w:val="none"/>
              </w:rPr>
              <w:t xml:space="preserve"> </w:t>
            </w:r>
            <w:r>
              <w:rPr>
                <w:color w:val="auto"/>
                <w:spacing w:val="20"/>
                <w:highlight w:val="none"/>
              </w:rPr>
              <w:t>2000 米且</w:t>
            </w:r>
            <w:r>
              <w:rPr>
                <w:color w:val="auto"/>
                <w:spacing w:val="19"/>
                <w:highlight w:val="none"/>
              </w:rPr>
              <w:t>不大于</w:t>
            </w:r>
            <w:r>
              <w:rPr>
                <w:color w:val="auto"/>
                <w:spacing w:val="3"/>
                <w:highlight w:val="none"/>
              </w:rPr>
              <w:t>6000 米的，均按</w:t>
            </w:r>
            <w:r>
              <w:rPr>
                <w:color w:val="auto"/>
                <w:spacing w:val="-14"/>
                <w:highlight w:val="none"/>
              </w:rPr>
              <w:t xml:space="preserve"> </w:t>
            </w:r>
            <w:r>
              <w:rPr>
                <w:color w:val="auto"/>
                <w:spacing w:val="3"/>
                <w:highlight w:val="none"/>
              </w:rPr>
              <w:t>1</w:t>
            </w:r>
            <w:r>
              <w:rPr>
                <w:color w:val="auto"/>
                <w:spacing w:val="-36"/>
                <w:highlight w:val="none"/>
              </w:rPr>
              <w:t xml:space="preserve"> </w:t>
            </w:r>
            <w:r>
              <w:rPr>
                <w:color w:val="auto"/>
                <w:spacing w:val="3"/>
                <w:highlight w:val="none"/>
              </w:rPr>
              <w:t>座计；</w:t>
            </w:r>
          </w:p>
          <w:p w14:paraId="483171D5">
            <w:pPr>
              <w:pStyle w:val="20"/>
              <w:spacing w:before="2" w:line="368" w:lineRule="auto"/>
              <w:ind w:left="122" w:right="110" w:hanging="6"/>
              <w:rPr>
                <w:color w:val="auto"/>
                <w:highlight w:val="none"/>
              </w:rPr>
            </w:pPr>
            <w:r>
              <w:rPr>
                <w:color w:val="auto"/>
                <w:spacing w:val="12"/>
                <w:highlight w:val="none"/>
              </w:rPr>
              <w:t>c、同一座隧道同时满足条件的，同一投标人只计算一次业绩；特长隧道可计为长</w:t>
            </w:r>
            <w:r>
              <w:rPr>
                <w:color w:val="auto"/>
                <w:spacing w:val="-1"/>
                <w:highlight w:val="none"/>
              </w:rPr>
              <w:t>隧道。</w:t>
            </w:r>
          </w:p>
          <w:p w14:paraId="4DFC638F">
            <w:pPr>
              <w:pStyle w:val="20"/>
              <w:spacing w:before="65" w:line="369" w:lineRule="auto"/>
              <w:ind w:left="114" w:right="107" w:firstLine="12"/>
              <w:rPr>
                <w:color w:val="auto"/>
                <w:highlight w:val="none"/>
              </w:rPr>
            </w:pPr>
            <w:r>
              <w:rPr>
                <w:color w:val="auto"/>
                <w:spacing w:val="7"/>
                <w:highlight w:val="none"/>
              </w:rPr>
              <w:t>10.6.3</w:t>
            </w:r>
            <w:r>
              <w:rPr>
                <w:color w:val="auto"/>
                <w:spacing w:val="-33"/>
                <w:highlight w:val="none"/>
              </w:rPr>
              <w:t xml:space="preserve"> </w:t>
            </w:r>
            <w:r>
              <w:rPr>
                <w:color w:val="auto"/>
                <w:spacing w:val="7"/>
                <w:highlight w:val="none"/>
              </w:rPr>
              <w:t>一般互通式立交和枢纽互通式立交按国家最新颁布的标准进行划分。</w:t>
            </w:r>
          </w:p>
          <w:p w14:paraId="5F98D42E">
            <w:pPr>
              <w:pStyle w:val="20"/>
              <w:spacing w:before="2" w:line="369" w:lineRule="auto"/>
              <w:ind w:left="111" w:right="110" w:firstLine="16"/>
              <w:rPr>
                <w:color w:val="auto"/>
                <w:highlight w:val="none"/>
              </w:rPr>
            </w:pPr>
            <w:r>
              <w:rPr>
                <w:color w:val="auto"/>
                <w:spacing w:val="11"/>
                <w:highlight w:val="none"/>
              </w:rPr>
              <w:t>10.7 招标文件中如无特别说明，土建工程路基、路面里程长度均不扣除桥隧等构</w:t>
            </w:r>
            <w:r>
              <w:rPr>
                <w:color w:val="auto"/>
                <w:spacing w:val="6"/>
                <w:highlight w:val="none"/>
              </w:rPr>
              <w:t>造物长度。</w:t>
            </w:r>
          </w:p>
          <w:p w14:paraId="4F31985E">
            <w:pPr>
              <w:pStyle w:val="20"/>
              <w:spacing w:before="2" w:line="357" w:lineRule="auto"/>
              <w:ind w:left="122" w:right="108" w:firstLine="26"/>
              <w:rPr>
                <w:color w:val="auto"/>
                <w:spacing w:val="4"/>
                <w:highlight w:val="none"/>
              </w:rPr>
            </w:pPr>
            <w:r>
              <w:rPr>
                <w:color w:val="auto"/>
                <w:spacing w:val="12"/>
                <w:highlight w:val="none"/>
              </w:rPr>
              <w:t>10.8</w:t>
            </w:r>
            <w:r>
              <w:rPr>
                <w:color w:val="auto"/>
                <w:spacing w:val="-13"/>
                <w:highlight w:val="none"/>
              </w:rPr>
              <w:t xml:space="preserve"> </w:t>
            </w:r>
            <w:r>
              <w:rPr>
                <w:color w:val="auto"/>
                <w:spacing w:val="12"/>
                <w:highlight w:val="none"/>
              </w:rPr>
              <w:t>同时对两个及两个以上标段进行投标的投标人，不能使用同一</w:t>
            </w:r>
            <w:r>
              <w:rPr>
                <w:color w:val="auto"/>
                <w:spacing w:val="11"/>
                <w:highlight w:val="none"/>
              </w:rPr>
              <w:t>套人员。（如</w:t>
            </w:r>
            <w:r>
              <w:rPr>
                <w:color w:val="auto"/>
                <w:spacing w:val="8"/>
                <w:highlight w:val="none"/>
              </w:rPr>
              <w:t>果最终只允许中一个标段，则允许使用同一套人员）。</w:t>
            </w:r>
          </w:p>
        </w:tc>
      </w:tr>
      <w:tr w14:paraId="20BEC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1013" w:type="dxa"/>
            <w:vAlign w:val="center"/>
          </w:tcPr>
          <w:p w14:paraId="44287086">
            <w:pPr>
              <w:pStyle w:val="20"/>
              <w:spacing w:before="65" w:line="268" w:lineRule="exact"/>
              <w:jc w:val="center"/>
              <w:rPr>
                <w:rFonts w:hint="default" w:eastAsia="宋体"/>
                <w:color w:val="auto"/>
                <w:spacing w:val="-1"/>
                <w:position w:val="1"/>
                <w:highlight w:val="none"/>
                <w:lang w:val="en-US" w:eastAsia="zh-CN"/>
              </w:rPr>
            </w:pPr>
            <w:r>
              <w:rPr>
                <w:rFonts w:hint="eastAsia"/>
                <w:color w:val="auto"/>
                <w:spacing w:val="-1"/>
                <w:position w:val="1"/>
                <w:highlight w:val="none"/>
                <w:lang w:val="en-US" w:eastAsia="zh-CN"/>
              </w:rPr>
              <w:t>10.2</w:t>
            </w:r>
          </w:p>
        </w:tc>
        <w:tc>
          <w:tcPr>
            <w:tcW w:w="8688" w:type="dxa"/>
            <w:gridSpan w:val="3"/>
            <w:vAlign w:val="top"/>
          </w:tcPr>
          <w:p w14:paraId="552D1F85">
            <w:pPr>
              <w:pStyle w:val="20"/>
              <w:spacing w:before="2" w:line="357" w:lineRule="auto"/>
              <w:ind w:left="122" w:right="108" w:firstLine="26"/>
              <w:rPr>
                <w:color w:val="auto"/>
                <w:spacing w:val="12"/>
                <w:highlight w:val="none"/>
              </w:rPr>
            </w:pPr>
            <w:r>
              <w:rPr>
                <w:rFonts w:hint="eastAsia" w:ascii="宋体" w:hAnsi="宋体" w:eastAsia="宋体" w:cs="宋体"/>
                <w:color w:val="auto"/>
                <w:sz w:val="20"/>
                <w:szCs w:val="20"/>
                <w:highlight w:val="none"/>
                <w:lang w:val="en-US" w:eastAsia="zh-CN"/>
              </w:rPr>
              <w:t>招</w:t>
            </w:r>
            <w:r>
              <w:rPr>
                <w:rFonts w:hint="eastAsia" w:ascii="宋体" w:hAnsi="宋体" w:eastAsia="宋体" w:cs="宋体"/>
                <w:color w:val="auto"/>
                <w:sz w:val="20"/>
                <w:szCs w:val="20"/>
                <w:highlight w:val="none"/>
              </w:rPr>
              <w:t>标代理服务费：本项目的招标代理费由中标人支付，招标代理费的金额按照招标人与招标代理</w:t>
            </w:r>
            <w:r>
              <w:rPr>
                <w:rFonts w:hint="eastAsia" w:ascii="宋体" w:hAnsi="宋体" w:eastAsia="宋体" w:cs="宋体"/>
                <w:color w:val="auto"/>
                <w:sz w:val="20"/>
                <w:szCs w:val="20"/>
                <w:highlight w:val="none"/>
                <w:lang w:val="en-US" w:eastAsia="zh-CN"/>
              </w:rPr>
              <w:t>机构</w:t>
            </w:r>
            <w:r>
              <w:rPr>
                <w:rFonts w:hint="eastAsia" w:ascii="宋体" w:hAnsi="宋体" w:eastAsia="宋体" w:cs="宋体"/>
                <w:color w:val="auto"/>
                <w:sz w:val="20"/>
                <w:szCs w:val="20"/>
                <w:highlight w:val="none"/>
              </w:rPr>
              <w:t>签订的招标代理合同的约定</w:t>
            </w:r>
            <w:r>
              <w:rPr>
                <w:rFonts w:hint="eastAsia" w:ascii="宋体" w:hAnsi="宋体" w:eastAsia="宋体" w:cs="宋体"/>
                <w:color w:val="auto"/>
                <w:sz w:val="20"/>
                <w:szCs w:val="20"/>
                <w:highlight w:val="none"/>
                <w:lang w:eastAsia="zh-CN"/>
              </w:rPr>
              <w:t>为：</w:t>
            </w:r>
            <w:r>
              <w:rPr>
                <w:rFonts w:hint="eastAsia" w:ascii="宋体" w:hAnsi="宋体" w:eastAsia="宋体" w:cs="宋体"/>
                <w:color w:val="auto"/>
                <w:sz w:val="20"/>
                <w:szCs w:val="20"/>
                <w:highlight w:val="none"/>
                <w:u w:val="single"/>
                <w:lang w:eastAsia="zh-CN"/>
              </w:rPr>
              <w:t>人民币肆万元整（￥</w:t>
            </w:r>
            <w:r>
              <w:rPr>
                <w:rFonts w:hint="eastAsia" w:ascii="宋体" w:hAnsi="宋体" w:eastAsia="宋体" w:cs="宋体"/>
                <w:color w:val="auto"/>
                <w:sz w:val="20"/>
                <w:szCs w:val="20"/>
                <w:highlight w:val="none"/>
                <w:u w:val="single"/>
                <w:lang w:val="en-US" w:eastAsia="zh-CN"/>
              </w:rPr>
              <w:t>40000.00元）</w:t>
            </w:r>
            <w:r>
              <w:rPr>
                <w:rFonts w:hint="eastAsia" w:ascii="宋体" w:hAnsi="宋体" w:eastAsia="宋体" w:cs="宋体"/>
                <w:color w:val="auto"/>
                <w:sz w:val="20"/>
                <w:szCs w:val="20"/>
                <w:highlight w:val="none"/>
              </w:rPr>
              <w:t>。投标人在投标时，必须综合考虑缴交招标代理费，并计入投标成本报价中，中标人须在中标公告公示期结束后，领取《中标通知书》前，向招标代理机构缴纳招标代理服务费。</w:t>
            </w:r>
          </w:p>
        </w:tc>
      </w:tr>
    </w:tbl>
    <w:p w14:paraId="16C55E85">
      <w:pPr>
        <w:rPr>
          <w:rFonts w:ascii="Arial"/>
          <w:color w:val="auto"/>
          <w:sz w:val="21"/>
          <w:highlight w:val="none"/>
        </w:rPr>
      </w:pPr>
    </w:p>
    <w:p w14:paraId="0B61EC61">
      <w:pPr>
        <w:rPr>
          <w:rFonts w:ascii="Arial" w:hAnsi="Arial" w:eastAsia="Arial" w:cs="Arial"/>
          <w:color w:val="auto"/>
          <w:sz w:val="21"/>
          <w:szCs w:val="21"/>
          <w:highlight w:val="none"/>
        </w:rPr>
        <w:sectPr>
          <w:footerReference r:id="rId10" w:type="default"/>
          <w:pgSz w:w="11905" w:h="16838"/>
          <w:pgMar w:top="1134" w:right="1134" w:bottom="1134" w:left="1134" w:header="0" w:footer="1066" w:gutter="0"/>
          <w:pgNumType w:fmt="decimal"/>
          <w:cols w:space="0" w:num="1"/>
          <w:rtlGutter w:val="0"/>
          <w:docGrid w:linePitch="0" w:charSpace="0"/>
        </w:sectPr>
      </w:pPr>
    </w:p>
    <w:p w14:paraId="420451BA">
      <w:pPr>
        <w:bidi w:val="0"/>
        <w:rPr>
          <w:color w:val="auto"/>
          <w:highlight w:val="none"/>
        </w:rPr>
      </w:pPr>
    </w:p>
    <w:p w14:paraId="607A4C94">
      <w:pPr>
        <w:pStyle w:val="3"/>
        <w:bidi w:val="0"/>
        <w:jc w:val="center"/>
        <w:rPr>
          <w:rFonts w:ascii="宋体" w:hAnsi="宋体" w:eastAsia="宋体" w:cs="宋体"/>
          <w:color w:val="auto"/>
          <w:sz w:val="28"/>
          <w:szCs w:val="28"/>
          <w:highlight w:val="none"/>
        </w:rPr>
      </w:pPr>
      <w:r>
        <w:rPr>
          <w:rFonts w:ascii="宋体" w:hAnsi="宋体" w:eastAsia="宋体" w:cs="宋体"/>
          <w:b/>
          <w:bCs/>
          <w:color w:val="auto"/>
          <w:spacing w:val="-6"/>
          <w:sz w:val="28"/>
          <w:szCs w:val="28"/>
          <w:highlight w:val="none"/>
        </w:rPr>
        <w:t>附录</w:t>
      </w:r>
      <w:r>
        <w:rPr>
          <w:rFonts w:ascii="宋体" w:hAnsi="宋体" w:eastAsia="宋体" w:cs="宋体"/>
          <w:color w:val="auto"/>
          <w:spacing w:val="-21"/>
          <w:sz w:val="28"/>
          <w:szCs w:val="28"/>
          <w:highlight w:val="none"/>
        </w:rPr>
        <w:t xml:space="preserve"> </w:t>
      </w:r>
      <w:r>
        <w:rPr>
          <w:rFonts w:ascii="宋体" w:hAnsi="宋体" w:eastAsia="宋体" w:cs="宋体"/>
          <w:b/>
          <w:bCs/>
          <w:color w:val="auto"/>
          <w:spacing w:val="-6"/>
          <w:sz w:val="28"/>
          <w:szCs w:val="28"/>
          <w:highlight w:val="none"/>
        </w:rPr>
        <w:t>1</w:t>
      </w:r>
      <w:r>
        <w:rPr>
          <w:rFonts w:ascii="宋体" w:hAnsi="宋体" w:eastAsia="宋体" w:cs="宋体"/>
          <w:color w:val="auto"/>
          <w:spacing w:val="-6"/>
          <w:sz w:val="28"/>
          <w:szCs w:val="28"/>
          <w:highlight w:val="none"/>
        </w:rPr>
        <w:t xml:space="preserve">  </w:t>
      </w:r>
      <w:r>
        <w:rPr>
          <w:rFonts w:ascii="宋体" w:hAnsi="宋体" w:eastAsia="宋体" w:cs="宋体"/>
          <w:b/>
          <w:bCs/>
          <w:color w:val="auto"/>
          <w:spacing w:val="-6"/>
          <w:sz w:val="28"/>
          <w:szCs w:val="28"/>
          <w:highlight w:val="none"/>
        </w:rPr>
        <w:t>资格审查条件（资质最低要求）</w:t>
      </w:r>
    </w:p>
    <w:p w14:paraId="61630E5E">
      <w:pPr>
        <w:spacing w:before="300" w:line="220" w:lineRule="auto"/>
        <w:ind w:left="12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标段：</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598879DB">
      <w:pPr>
        <w:spacing w:line="145" w:lineRule="exact"/>
        <w:rPr>
          <w:color w:val="auto"/>
          <w:highlight w:val="none"/>
        </w:rPr>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0"/>
        <w:gridCol w:w="7160"/>
      </w:tblGrid>
      <w:tr w14:paraId="58DFC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130" w:type="dxa"/>
            <w:vAlign w:val="top"/>
          </w:tcPr>
          <w:p w14:paraId="14B563E6">
            <w:pPr>
              <w:pStyle w:val="20"/>
              <w:spacing w:before="208" w:line="228" w:lineRule="auto"/>
              <w:ind w:left="649"/>
              <w:rPr>
                <w:color w:val="auto"/>
                <w:highlight w:val="none"/>
              </w:rPr>
            </w:pPr>
            <w:r>
              <w:rPr>
                <w:b/>
                <w:bCs/>
                <w:color w:val="auto"/>
                <w:spacing w:val="6"/>
                <w:highlight w:val="none"/>
              </w:rPr>
              <w:t>标段标类</w:t>
            </w:r>
          </w:p>
        </w:tc>
        <w:tc>
          <w:tcPr>
            <w:tcW w:w="7160" w:type="dxa"/>
            <w:vAlign w:val="top"/>
          </w:tcPr>
          <w:p w14:paraId="5FDC2C20">
            <w:pPr>
              <w:pStyle w:val="20"/>
              <w:spacing w:before="189" w:line="266" w:lineRule="exact"/>
              <w:ind w:left="2477"/>
              <w:rPr>
                <w:color w:val="auto"/>
                <w:sz w:val="10"/>
                <w:szCs w:val="10"/>
                <w:highlight w:val="none"/>
              </w:rPr>
            </w:pPr>
            <w:r>
              <w:rPr>
                <w:b/>
                <w:bCs/>
                <w:color w:val="auto"/>
                <w:spacing w:val="7"/>
                <w:highlight w:val="none"/>
              </w:rPr>
              <w:t>监理企业资质等级要求</w:t>
            </w:r>
          </w:p>
        </w:tc>
      </w:tr>
      <w:tr w14:paraId="1EB56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2130" w:type="dxa"/>
            <w:vAlign w:val="top"/>
          </w:tcPr>
          <w:p w14:paraId="12617169">
            <w:pPr>
              <w:pStyle w:val="20"/>
              <w:spacing w:before="160" w:line="228" w:lineRule="auto"/>
              <w:ind w:left="126"/>
              <w:rPr>
                <w:color w:val="auto"/>
                <w:highlight w:val="none"/>
              </w:rPr>
            </w:pPr>
            <w:r>
              <w:rPr>
                <w:color w:val="auto"/>
                <w:spacing w:val="8"/>
                <w:highlight w:val="none"/>
              </w:rPr>
              <w:t>土建监理含中心试验</w:t>
            </w:r>
          </w:p>
          <w:p w14:paraId="2B5124E8">
            <w:pPr>
              <w:pStyle w:val="20"/>
              <w:spacing w:before="153" w:line="236" w:lineRule="auto"/>
              <w:ind w:left="969"/>
              <w:rPr>
                <w:color w:val="auto"/>
                <w:highlight w:val="none"/>
              </w:rPr>
            </w:pPr>
            <w:r>
              <w:rPr>
                <w:color w:val="auto"/>
                <w:highlight w:val="none"/>
              </w:rPr>
              <w:t>室</w:t>
            </w:r>
          </w:p>
          <w:p w14:paraId="089A4B4A">
            <w:pPr>
              <w:pStyle w:val="20"/>
              <w:spacing w:before="145" w:line="217" w:lineRule="auto"/>
              <w:ind w:left="688"/>
              <w:rPr>
                <w:color w:val="auto"/>
                <w:highlight w:val="none"/>
              </w:rPr>
            </w:pPr>
            <w:r>
              <w:rPr>
                <w:color w:val="auto"/>
                <w:spacing w:val="-2"/>
                <w:highlight w:val="none"/>
              </w:rPr>
              <w:t>（D</w:t>
            </w:r>
            <w:r>
              <w:rPr>
                <w:color w:val="auto"/>
                <w:spacing w:val="-38"/>
                <w:highlight w:val="none"/>
              </w:rPr>
              <w:t xml:space="preserve"> </w:t>
            </w:r>
            <w:r>
              <w:rPr>
                <w:color w:val="auto"/>
                <w:spacing w:val="-2"/>
                <w:highlight w:val="none"/>
              </w:rPr>
              <w:t>类）</w:t>
            </w:r>
          </w:p>
        </w:tc>
        <w:tc>
          <w:tcPr>
            <w:tcW w:w="7160" w:type="dxa"/>
            <w:vAlign w:val="top"/>
          </w:tcPr>
          <w:p w14:paraId="41B649C9">
            <w:pPr>
              <w:spacing w:line="246" w:lineRule="auto"/>
              <w:rPr>
                <w:rFonts w:ascii="Arial"/>
                <w:color w:val="auto"/>
                <w:sz w:val="21"/>
                <w:highlight w:val="none"/>
              </w:rPr>
            </w:pPr>
          </w:p>
          <w:p w14:paraId="35EACAE6">
            <w:pPr>
              <w:spacing w:line="247" w:lineRule="auto"/>
              <w:rPr>
                <w:rFonts w:ascii="Arial"/>
                <w:color w:val="auto"/>
                <w:sz w:val="21"/>
                <w:highlight w:val="none"/>
              </w:rPr>
            </w:pPr>
          </w:p>
          <w:p w14:paraId="03DCF87A">
            <w:pPr>
              <w:pStyle w:val="20"/>
              <w:spacing w:before="65" w:line="228" w:lineRule="auto"/>
              <w:ind w:left="116"/>
              <w:rPr>
                <w:color w:val="auto"/>
                <w:highlight w:val="none"/>
              </w:rPr>
            </w:pPr>
            <w:r>
              <w:rPr>
                <w:color w:val="auto"/>
                <w:spacing w:val="9"/>
                <w:highlight w:val="none"/>
              </w:rPr>
              <w:t>具有交通运输主管部门核发的在有效期内的公路工程</w:t>
            </w:r>
            <w:r>
              <w:rPr>
                <w:rFonts w:hint="eastAsia"/>
                <w:color w:val="auto"/>
                <w:spacing w:val="9"/>
                <w:highlight w:val="none"/>
                <w:u w:val="single"/>
                <w:lang w:val="en-US" w:eastAsia="zh-CN"/>
              </w:rPr>
              <w:t xml:space="preserve"> </w:t>
            </w:r>
            <w:r>
              <w:rPr>
                <w:rFonts w:hint="eastAsia"/>
                <w:color w:val="auto"/>
                <w:spacing w:val="-97"/>
                <w:highlight w:val="none"/>
                <w:u w:val="single"/>
                <w:lang w:eastAsia="zh-CN"/>
              </w:rPr>
              <w:t>乙</w:t>
            </w:r>
            <w:r>
              <w:rPr>
                <w:rFonts w:hint="eastAsia"/>
                <w:color w:val="auto"/>
                <w:spacing w:val="-97"/>
                <w:highlight w:val="none"/>
                <w:u w:val="single"/>
                <w:lang w:val="en-US" w:eastAsia="zh-CN"/>
              </w:rPr>
              <w:t xml:space="preserve">                                                        </w:t>
            </w:r>
            <w:r>
              <w:rPr>
                <w:color w:val="auto"/>
                <w:spacing w:val="9"/>
                <w:highlight w:val="none"/>
              </w:rPr>
              <w:t>级</w:t>
            </w:r>
            <w:r>
              <w:rPr>
                <w:rFonts w:hint="eastAsia"/>
                <w:color w:val="auto"/>
                <w:spacing w:val="9"/>
                <w:highlight w:val="none"/>
              </w:rPr>
              <w:t>以上（含乙级）</w:t>
            </w:r>
            <w:r>
              <w:rPr>
                <w:color w:val="auto"/>
                <w:spacing w:val="8"/>
                <w:highlight w:val="none"/>
              </w:rPr>
              <w:t>监理企业资质。</w:t>
            </w:r>
          </w:p>
        </w:tc>
      </w:tr>
    </w:tbl>
    <w:p w14:paraId="6D091808">
      <w:pPr>
        <w:spacing w:before="271" w:line="379" w:lineRule="auto"/>
        <w:ind w:left="118" w:right="115"/>
        <w:jc w:val="both"/>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注：若联合体协议书约定同一专业分工由两个及以上单位共同承担的</w:t>
      </w:r>
      <w:r>
        <w:rPr>
          <w:rFonts w:ascii="宋体" w:hAnsi="宋体" w:eastAsia="宋体" w:cs="宋体"/>
          <w:color w:val="auto"/>
          <w:spacing w:val="10"/>
          <w:sz w:val="20"/>
          <w:szCs w:val="20"/>
          <w:highlight w:val="none"/>
        </w:rPr>
        <w:t>，按照就低不就高的原则确定</w:t>
      </w:r>
      <w:r>
        <w:rPr>
          <w:rFonts w:ascii="宋体" w:hAnsi="宋体" w:eastAsia="宋体" w:cs="宋体"/>
          <w:color w:val="auto"/>
          <w:spacing w:val="11"/>
          <w:sz w:val="20"/>
          <w:szCs w:val="20"/>
          <w:highlight w:val="none"/>
        </w:rPr>
        <w:t>联合体的资质；不同专业分工由不同单位分别承担的，按照各自的</w:t>
      </w:r>
      <w:r>
        <w:rPr>
          <w:rFonts w:ascii="宋体" w:hAnsi="宋体" w:eastAsia="宋体" w:cs="宋体"/>
          <w:color w:val="auto"/>
          <w:spacing w:val="10"/>
          <w:sz w:val="20"/>
          <w:szCs w:val="20"/>
          <w:highlight w:val="none"/>
        </w:rPr>
        <w:t>专业资质确定联合体的资质，下</w:t>
      </w:r>
      <w:r>
        <w:rPr>
          <w:rFonts w:ascii="宋体" w:hAnsi="宋体" w:eastAsia="宋体" w:cs="宋体"/>
          <w:color w:val="auto"/>
          <w:sz w:val="20"/>
          <w:szCs w:val="20"/>
          <w:highlight w:val="none"/>
        </w:rPr>
        <w:t>同。</w:t>
      </w:r>
    </w:p>
    <w:p w14:paraId="7D339782">
      <w:pPr>
        <w:spacing w:line="245" w:lineRule="auto"/>
        <w:rPr>
          <w:rFonts w:ascii="Arial"/>
          <w:color w:val="auto"/>
          <w:sz w:val="21"/>
          <w:highlight w:val="none"/>
        </w:rPr>
      </w:pPr>
    </w:p>
    <w:p w14:paraId="787F9FB1">
      <w:pPr>
        <w:spacing w:line="245" w:lineRule="auto"/>
        <w:rPr>
          <w:rFonts w:ascii="Arial"/>
          <w:color w:val="auto"/>
          <w:sz w:val="21"/>
          <w:highlight w:val="none"/>
        </w:rPr>
      </w:pPr>
    </w:p>
    <w:p w14:paraId="0B2C6537">
      <w:pPr>
        <w:spacing w:line="245" w:lineRule="auto"/>
        <w:rPr>
          <w:rFonts w:ascii="Arial"/>
          <w:color w:val="auto"/>
          <w:sz w:val="21"/>
          <w:highlight w:val="none"/>
        </w:rPr>
      </w:pPr>
    </w:p>
    <w:p w14:paraId="49B24AE9">
      <w:pPr>
        <w:spacing w:line="245" w:lineRule="auto"/>
        <w:rPr>
          <w:rFonts w:ascii="Arial"/>
          <w:color w:val="auto"/>
          <w:sz w:val="21"/>
          <w:highlight w:val="none"/>
        </w:rPr>
      </w:pPr>
    </w:p>
    <w:p w14:paraId="34771EFD">
      <w:pPr>
        <w:spacing w:line="245" w:lineRule="auto"/>
        <w:rPr>
          <w:rFonts w:ascii="Arial"/>
          <w:color w:val="auto"/>
          <w:sz w:val="21"/>
          <w:highlight w:val="none"/>
        </w:rPr>
      </w:pPr>
    </w:p>
    <w:p w14:paraId="1585A8DC">
      <w:pPr>
        <w:spacing w:line="245" w:lineRule="auto"/>
        <w:rPr>
          <w:rFonts w:ascii="Arial"/>
          <w:color w:val="auto"/>
          <w:sz w:val="21"/>
          <w:highlight w:val="none"/>
        </w:rPr>
      </w:pPr>
    </w:p>
    <w:p w14:paraId="140A325C">
      <w:pPr>
        <w:spacing w:line="245" w:lineRule="auto"/>
        <w:rPr>
          <w:rFonts w:ascii="Arial"/>
          <w:color w:val="auto"/>
          <w:sz w:val="21"/>
          <w:highlight w:val="none"/>
        </w:rPr>
      </w:pPr>
    </w:p>
    <w:p w14:paraId="7C65AE22">
      <w:pPr>
        <w:spacing w:line="245" w:lineRule="auto"/>
        <w:rPr>
          <w:rFonts w:ascii="Arial"/>
          <w:color w:val="auto"/>
          <w:sz w:val="21"/>
          <w:highlight w:val="none"/>
        </w:rPr>
      </w:pPr>
    </w:p>
    <w:p w14:paraId="565B97C0">
      <w:pPr>
        <w:spacing w:line="245" w:lineRule="auto"/>
        <w:rPr>
          <w:rFonts w:ascii="Arial"/>
          <w:color w:val="auto"/>
          <w:sz w:val="21"/>
          <w:highlight w:val="none"/>
        </w:rPr>
      </w:pPr>
    </w:p>
    <w:p w14:paraId="3BBF9605">
      <w:pPr>
        <w:spacing w:line="245" w:lineRule="auto"/>
        <w:rPr>
          <w:rFonts w:ascii="Arial"/>
          <w:color w:val="auto"/>
          <w:sz w:val="21"/>
          <w:highlight w:val="none"/>
        </w:rPr>
      </w:pPr>
    </w:p>
    <w:p w14:paraId="6BFF85D5">
      <w:pPr>
        <w:spacing w:line="245" w:lineRule="auto"/>
        <w:rPr>
          <w:rFonts w:ascii="Arial"/>
          <w:color w:val="auto"/>
          <w:sz w:val="21"/>
          <w:highlight w:val="none"/>
        </w:rPr>
      </w:pPr>
    </w:p>
    <w:p w14:paraId="5ED71B9A">
      <w:pPr>
        <w:spacing w:line="245" w:lineRule="auto"/>
        <w:rPr>
          <w:rFonts w:ascii="Arial"/>
          <w:color w:val="auto"/>
          <w:sz w:val="21"/>
          <w:highlight w:val="none"/>
        </w:rPr>
      </w:pPr>
    </w:p>
    <w:p w14:paraId="6ED8AF90">
      <w:pPr>
        <w:spacing w:line="245" w:lineRule="auto"/>
        <w:rPr>
          <w:rFonts w:ascii="Arial"/>
          <w:color w:val="auto"/>
          <w:sz w:val="21"/>
          <w:highlight w:val="none"/>
        </w:rPr>
      </w:pPr>
    </w:p>
    <w:p w14:paraId="342F493D">
      <w:pPr>
        <w:spacing w:line="245" w:lineRule="auto"/>
        <w:rPr>
          <w:rFonts w:ascii="Arial"/>
          <w:color w:val="auto"/>
          <w:sz w:val="21"/>
          <w:highlight w:val="none"/>
        </w:rPr>
      </w:pPr>
    </w:p>
    <w:p w14:paraId="7759D17D">
      <w:pPr>
        <w:spacing w:line="245" w:lineRule="auto"/>
        <w:rPr>
          <w:rFonts w:ascii="Arial"/>
          <w:color w:val="auto"/>
          <w:sz w:val="21"/>
          <w:highlight w:val="none"/>
        </w:rPr>
      </w:pPr>
    </w:p>
    <w:p w14:paraId="4C19FE93">
      <w:pPr>
        <w:spacing w:line="246" w:lineRule="auto"/>
        <w:rPr>
          <w:rFonts w:ascii="Arial"/>
          <w:color w:val="auto"/>
          <w:sz w:val="21"/>
          <w:highlight w:val="none"/>
        </w:rPr>
      </w:pPr>
    </w:p>
    <w:p w14:paraId="2B19B825">
      <w:pPr>
        <w:spacing w:line="246" w:lineRule="auto"/>
        <w:rPr>
          <w:rFonts w:ascii="Arial"/>
          <w:color w:val="auto"/>
          <w:sz w:val="21"/>
          <w:highlight w:val="none"/>
        </w:rPr>
      </w:pPr>
    </w:p>
    <w:p w14:paraId="0B9E47CD">
      <w:pPr>
        <w:spacing w:line="246" w:lineRule="auto"/>
        <w:rPr>
          <w:rFonts w:ascii="Arial"/>
          <w:color w:val="auto"/>
          <w:sz w:val="21"/>
          <w:highlight w:val="none"/>
        </w:rPr>
      </w:pPr>
    </w:p>
    <w:p w14:paraId="515B0C6F">
      <w:pPr>
        <w:spacing w:line="246" w:lineRule="auto"/>
        <w:rPr>
          <w:rFonts w:ascii="Arial"/>
          <w:color w:val="auto"/>
          <w:sz w:val="21"/>
          <w:highlight w:val="none"/>
        </w:rPr>
      </w:pPr>
    </w:p>
    <w:p w14:paraId="0A3028C2">
      <w:pPr>
        <w:spacing w:line="246" w:lineRule="auto"/>
        <w:rPr>
          <w:rFonts w:ascii="Arial"/>
          <w:color w:val="auto"/>
          <w:sz w:val="21"/>
          <w:highlight w:val="none"/>
        </w:rPr>
      </w:pPr>
    </w:p>
    <w:p w14:paraId="13F3F025">
      <w:pPr>
        <w:spacing w:line="246" w:lineRule="auto"/>
        <w:rPr>
          <w:rFonts w:ascii="Arial"/>
          <w:color w:val="auto"/>
          <w:sz w:val="21"/>
          <w:highlight w:val="none"/>
        </w:rPr>
      </w:pPr>
    </w:p>
    <w:p w14:paraId="3871A680">
      <w:pPr>
        <w:spacing w:line="246" w:lineRule="auto"/>
        <w:rPr>
          <w:rFonts w:ascii="Arial"/>
          <w:color w:val="auto"/>
          <w:sz w:val="21"/>
          <w:highlight w:val="none"/>
        </w:rPr>
      </w:pPr>
    </w:p>
    <w:p w14:paraId="1E4536EE">
      <w:pPr>
        <w:spacing w:line="246" w:lineRule="auto"/>
        <w:rPr>
          <w:rFonts w:ascii="Arial"/>
          <w:color w:val="auto"/>
          <w:sz w:val="21"/>
          <w:highlight w:val="none"/>
        </w:rPr>
      </w:pPr>
    </w:p>
    <w:p w14:paraId="4091F782">
      <w:pPr>
        <w:spacing w:line="246" w:lineRule="auto"/>
        <w:rPr>
          <w:rFonts w:ascii="Arial"/>
          <w:color w:val="auto"/>
          <w:sz w:val="21"/>
          <w:highlight w:val="none"/>
        </w:rPr>
      </w:pPr>
    </w:p>
    <w:p w14:paraId="30CA1837">
      <w:pPr>
        <w:spacing w:line="246" w:lineRule="auto"/>
        <w:rPr>
          <w:rFonts w:ascii="Arial"/>
          <w:color w:val="auto"/>
          <w:sz w:val="21"/>
          <w:highlight w:val="none"/>
        </w:rPr>
      </w:pPr>
    </w:p>
    <w:p w14:paraId="7EB78CF2">
      <w:pPr>
        <w:spacing w:line="246" w:lineRule="auto"/>
        <w:rPr>
          <w:rFonts w:ascii="Arial"/>
          <w:color w:val="auto"/>
          <w:sz w:val="21"/>
          <w:highlight w:val="none"/>
        </w:rPr>
      </w:pPr>
    </w:p>
    <w:p w14:paraId="4A2824B4">
      <w:pPr>
        <w:spacing w:line="246" w:lineRule="auto"/>
        <w:rPr>
          <w:rFonts w:ascii="Arial"/>
          <w:color w:val="auto"/>
          <w:sz w:val="21"/>
          <w:highlight w:val="none"/>
        </w:rPr>
      </w:pPr>
    </w:p>
    <w:p w14:paraId="00CC53BF">
      <w:pPr>
        <w:spacing w:line="246" w:lineRule="auto"/>
        <w:rPr>
          <w:rFonts w:ascii="Arial"/>
          <w:color w:val="auto"/>
          <w:sz w:val="21"/>
          <w:highlight w:val="none"/>
        </w:rPr>
      </w:pPr>
    </w:p>
    <w:p w14:paraId="70EA7338">
      <w:pPr>
        <w:spacing w:line="246" w:lineRule="auto"/>
        <w:rPr>
          <w:rFonts w:ascii="Arial"/>
          <w:color w:val="auto"/>
          <w:sz w:val="21"/>
          <w:highlight w:val="none"/>
        </w:rPr>
      </w:pPr>
    </w:p>
    <w:p w14:paraId="138C22B7">
      <w:pPr>
        <w:spacing w:line="246" w:lineRule="auto"/>
        <w:rPr>
          <w:rFonts w:ascii="Arial"/>
          <w:color w:val="auto"/>
          <w:sz w:val="21"/>
          <w:highlight w:val="none"/>
        </w:rPr>
      </w:pPr>
    </w:p>
    <w:p w14:paraId="362CBE5D">
      <w:pPr>
        <w:spacing w:line="246" w:lineRule="auto"/>
        <w:rPr>
          <w:rFonts w:ascii="Arial"/>
          <w:color w:val="auto"/>
          <w:sz w:val="21"/>
          <w:highlight w:val="none"/>
        </w:rPr>
      </w:pPr>
    </w:p>
    <w:p w14:paraId="3CE6F42B">
      <w:pPr>
        <w:spacing w:line="246" w:lineRule="auto"/>
        <w:rPr>
          <w:rFonts w:ascii="Arial"/>
          <w:color w:val="auto"/>
          <w:sz w:val="21"/>
          <w:highlight w:val="none"/>
        </w:rPr>
      </w:pPr>
    </w:p>
    <w:p w14:paraId="4201E7A2">
      <w:pPr>
        <w:spacing w:line="246" w:lineRule="auto"/>
        <w:rPr>
          <w:rFonts w:ascii="Arial"/>
          <w:color w:val="auto"/>
          <w:sz w:val="21"/>
          <w:highlight w:val="none"/>
        </w:rPr>
      </w:pPr>
    </w:p>
    <w:p w14:paraId="71B3E5F9">
      <w:pPr>
        <w:spacing w:line="246" w:lineRule="auto"/>
        <w:rPr>
          <w:rFonts w:ascii="Arial"/>
          <w:color w:val="auto"/>
          <w:sz w:val="21"/>
          <w:highlight w:val="none"/>
        </w:rPr>
      </w:pPr>
    </w:p>
    <w:p w14:paraId="0BEB8787">
      <w:pPr>
        <w:spacing w:line="246" w:lineRule="auto"/>
        <w:rPr>
          <w:rFonts w:ascii="Arial"/>
          <w:color w:val="auto"/>
          <w:sz w:val="21"/>
          <w:highlight w:val="none"/>
        </w:rPr>
      </w:pPr>
    </w:p>
    <w:p w14:paraId="754A737A">
      <w:pPr>
        <w:spacing w:line="246" w:lineRule="auto"/>
        <w:rPr>
          <w:rFonts w:ascii="Arial"/>
          <w:color w:val="auto"/>
          <w:sz w:val="21"/>
          <w:highlight w:val="none"/>
        </w:rPr>
      </w:pPr>
    </w:p>
    <w:p w14:paraId="54876E77">
      <w:pPr>
        <w:spacing w:line="246" w:lineRule="auto"/>
        <w:rPr>
          <w:rFonts w:ascii="Arial"/>
          <w:color w:val="auto"/>
          <w:sz w:val="21"/>
          <w:highlight w:val="none"/>
        </w:rPr>
      </w:pPr>
    </w:p>
    <w:p w14:paraId="57D44C66">
      <w:pPr>
        <w:spacing w:line="246" w:lineRule="auto"/>
        <w:rPr>
          <w:rFonts w:ascii="Arial"/>
          <w:color w:val="auto"/>
          <w:sz w:val="21"/>
          <w:highlight w:val="none"/>
        </w:rPr>
      </w:pPr>
    </w:p>
    <w:p w14:paraId="2E5BB490">
      <w:pPr>
        <w:spacing w:line="246" w:lineRule="auto"/>
        <w:rPr>
          <w:rFonts w:ascii="Arial"/>
          <w:color w:val="auto"/>
          <w:sz w:val="21"/>
          <w:highlight w:val="none"/>
        </w:rPr>
      </w:pPr>
    </w:p>
    <w:p w14:paraId="3DC99C11">
      <w:pPr>
        <w:spacing w:line="246" w:lineRule="auto"/>
        <w:rPr>
          <w:rFonts w:ascii="Arial"/>
          <w:color w:val="auto"/>
          <w:sz w:val="21"/>
          <w:highlight w:val="none"/>
        </w:rPr>
      </w:pPr>
    </w:p>
    <w:p w14:paraId="0E7F20DF">
      <w:pPr>
        <w:bidi w:val="0"/>
        <w:rPr>
          <w:color w:val="auto"/>
          <w:highlight w:val="none"/>
        </w:rPr>
      </w:pPr>
    </w:p>
    <w:p w14:paraId="7E58DCEF">
      <w:pPr>
        <w:pStyle w:val="3"/>
        <w:bidi w:val="0"/>
        <w:jc w:val="center"/>
        <w:rPr>
          <w:color w:val="auto"/>
          <w:highlight w:val="none"/>
        </w:rPr>
      </w:pPr>
      <w:r>
        <w:rPr>
          <w:color w:val="auto"/>
          <w:highlight w:val="none"/>
        </w:rPr>
        <w:t>附录</w:t>
      </w:r>
      <w:r>
        <w:rPr>
          <w:rFonts w:hint="eastAsia"/>
          <w:color w:val="auto"/>
          <w:highlight w:val="none"/>
          <w:lang w:val="en-US" w:eastAsia="zh-CN"/>
        </w:rPr>
        <w:t xml:space="preserve"> </w:t>
      </w:r>
      <w:r>
        <w:rPr>
          <w:color w:val="auto"/>
          <w:highlight w:val="none"/>
        </w:rPr>
        <w:t>2 资格审查条件（业绩最低要求）</w:t>
      </w:r>
    </w:p>
    <w:p w14:paraId="28B37667">
      <w:pPr>
        <w:spacing w:before="295" w:line="184"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标段：</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7AEB120B">
      <w:pPr>
        <w:spacing w:line="192" w:lineRule="exact"/>
        <w:rPr>
          <w:color w:val="auto"/>
          <w:highlight w:val="none"/>
        </w:rPr>
      </w:pPr>
    </w:p>
    <w:tbl>
      <w:tblPr>
        <w:tblStyle w:val="19"/>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1"/>
        <w:gridCol w:w="8157"/>
      </w:tblGrid>
      <w:tr w14:paraId="04DC7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31" w:type="dxa"/>
            <w:tcBorders>
              <w:top w:val="single" w:color="auto" w:sz="4" w:space="0"/>
              <w:left w:val="single" w:color="auto" w:sz="4" w:space="0"/>
              <w:bottom w:val="single" w:color="auto" w:sz="4" w:space="0"/>
              <w:right w:val="single" w:color="auto" w:sz="4" w:space="0"/>
            </w:tcBorders>
            <w:vAlign w:val="top"/>
          </w:tcPr>
          <w:p w14:paraId="4E36706E">
            <w:pPr>
              <w:pStyle w:val="20"/>
              <w:spacing w:before="64" w:line="228" w:lineRule="auto"/>
              <w:ind w:left="149"/>
              <w:rPr>
                <w:color w:val="auto"/>
                <w:highlight w:val="none"/>
              </w:rPr>
            </w:pPr>
            <w:r>
              <w:rPr>
                <w:b/>
                <w:bCs/>
                <w:color w:val="auto"/>
                <w:spacing w:val="6"/>
                <w:highlight w:val="none"/>
              </w:rPr>
              <w:t>标段类别</w:t>
            </w:r>
          </w:p>
        </w:tc>
        <w:tc>
          <w:tcPr>
            <w:tcW w:w="8157" w:type="dxa"/>
            <w:tcBorders>
              <w:top w:val="single" w:color="auto" w:sz="4" w:space="0"/>
              <w:left w:val="single" w:color="auto" w:sz="4" w:space="0"/>
              <w:bottom w:val="single" w:color="auto" w:sz="4" w:space="0"/>
              <w:right w:val="single" w:color="auto" w:sz="4" w:space="0"/>
            </w:tcBorders>
            <w:vAlign w:val="top"/>
          </w:tcPr>
          <w:p w14:paraId="3910ECEF">
            <w:pPr>
              <w:pStyle w:val="20"/>
              <w:spacing w:before="64" w:line="229" w:lineRule="auto"/>
              <w:ind w:left="3765"/>
              <w:rPr>
                <w:color w:val="auto"/>
                <w:highlight w:val="none"/>
              </w:rPr>
            </w:pPr>
            <w:r>
              <w:rPr>
                <w:b/>
                <w:bCs/>
                <w:color w:val="auto"/>
                <w:spacing w:val="-3"/>
                <w:highlight w:val="none"/>
              </w:rPr>
              <w:t>要</w:t>
            </w:r>
            <w:r>
              <w:rPr>
                <w:color w:val="auto"/>
                <w:spacing w:val="12"/>
                <w:highlight w:val="none"/>
              </w:rPr>
              <w:t xml:space="preserve">  </w:t>
            </w:r>
            <w:r>
              <w:rPr>
                <w:b/>
                <w:bCs/>
                <w:color w:val="auto"/>
                <w:spacing w:val="-3"/>
                <w:highlight w:val="none"/>
              </w:rPr>
              <w:t>求</w:t>
            </w:r>
          </w:p>
        </w:tc>
      </w:tr>
      <w:tr w14:paraId="6BCA2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8" w:hRule="atLeast"/>
        </w:trPr>
        <w:tc>
          <w:tcPr>
            <w:tcW w:w="1131" w:type="dxa"/>
            <w:vAlign w:val="top"/>
          </w:tcPr>
          <w:p w14:paraId="20C4FC76">
            <w:pPr>
              <w:spacing w:line="267" w:lineRule="auto"/>
              <w:rPr>
                <w:rFonts w:ascii="Arial"/>
                <w:color w:val="auto"/>
                <w:sz w:val="21"/>
                <w:highlight w:val="none"/>
              </w:rPr>
            </w:pPr>
          </w:p>
          <w:p w14:paraId="59E80116">
            <w:pPr>
              <w:spacing w:line="267" w:lineRule="auto"/>
              <w:rPr>
                <w:rFonts w:ascii="Arial"/>
                <w:color w:val="auto"/>
                <w:sz w:val="21"/>
                <w:highlight w:val="none"/>
              </w:rPr>
            </w:pPr>
          </w:p>
          <w:p w14:paraId="225957B6">
            <w:pPr>
              <w:spacing w:line="268" w:lineRule="auto"/>
              <w:rPr>
                <w:rFonts w:ascii="Arial"/>
                <w:color w:val="auto"/>
                <w:sz w:val="21"/>
                <w:highlight w:val="none"/>
              </w:rPr>
            </w:pPr>
          </w:p>
          <w:p w14:paraId="62BAEC09">
            <w:pPr>
              <w:spacing w:line="268" w:lineRule="auto"/>
              <w:rPr>
                <w:rFonts w:ascii="Arial"/>
                <w:color w:val="auto"/>
                <w:sz w:val="21"/>
                <w:highlight w:val="none"/>
              </w:rPr>
            </w:pPr>
          </w:p>
          <w:p w14:paraId="7C0B5875">
            <w:pPr>
              <w:spacing w:line="268" w:lineRule="auto"/>
              <w:rPr>
                <w:rFonts w:ascii="Arial"/>
                <w:color w:val="auto"/>
                <w:sz w:val="21"/>
                <w:highlight w:val="none"/>
              </w:rPr>
            </w:pPr>
          </w:p>
          <w:p w14:paraId="1A416D48">
            <w:pPr>
              <w:spacing w:line="268" w:lineRule="auto"/>
              <w:rPr>
                <w:rFonts w:ascii="Arial"/>
                <w:color w:val="auto"/>
                <w:sz w:val="21"/>
                <w:highlight w:val="none"/>
              </w:rPr>
            </w:pPr>
          </w:p>
          <w:p w14:paraId="6ACF23C3">
            <w:pPr>
              <w:spacing w:line="268" w:lineRule="auto"/>
              <w:rPr>
                <w:rFonts w:ascii="Arial"/>
                <w:color w:val="auto"/>
                <w:sz w:val="21"/>
                <w:highlight w:val="none"/>
              </w:rPr>
            </w:pPr>
          </w:p>
          <w:p w14:paraId="1061B2F7">
            <w:pPr>
              <w:spacing w:line="268" w:lineRule="auto"/>
              <w:rPr>
                <w:rFonts w:ascii="Arial"/>
                <w:color w:val="auto"/>
                <w:sz w:val="21"/>
                <w:highlight w:val="none"/>
              </w:rPr>
            </w:pPr>
          </w:p>
          <w:p w14:paraId="32E42F3D">
            <w:pPr>
              <w:pStyle w:val="20"/>
              <w:spacing w:before="65" w:line="229" w:lineRule="auto"/>
              <w:ind w:left="152"/>
              <w:rPr>
                <w:color w:val="auto"/>
                <w:highlight w:val="none"/>
              </w:rPr>
            </w:pPr>
            <w:r>
              <w:rPr>
                <w:color w:val="auto"/>
                <w:spacing w:val="7"/>
                <w:highlight w:val="none"/>
              </w:rPr>
              <w:t>土建监理</w:t>
            </w:r>
          </w:p>
          <w:p w14:paraId="48CAE87E">
            <w:pPr>
              <w:pStyle w:val="20"/>
              <w:spacing w:before="149" w:line="228" w:lineRule="auto"/>
              <w:ind w:left="151"/>
              <w:rPr>
                <w:color w:val="auto"/>
                <w:highlight w:val="none"/>
              </w:rPr>
            </w:pPr>
            <w:r>
              <w:rPr>
                <w:color w:val="auto"/>
                <w:spacing w:val="7"/>
                <w:highlight w:val="none"/>
              </w:rPr>
              <w:t>含中心试</w:t>
            </w:r>
          </w:p>
          <w:p w14:paraId="53ACE4D2">
            <w:pPr>
              <w:pStyle w:val="20"/>
              <w:spacing w:before="153" w:line="233" w:lineRule="auto"/>
              <w:ind w:left="359"/>
              <w:rPr>
                <w:color w:val="auto"/>
                <w:highlight w:val="none"/>
              </w:rPr>
            </w:pPr>
            <w:r>
              <w:rPr>
                <w:color w:val="auto"/>
                <w:spacing w:val="5"/>
                <w:highlight w:val="none"/>
              </w:rPr>
              <w:t>验室</w:t>
            </w:r>
          </w:p>
          <w:p w14:paraId="331F0D34">
            <w:pPr>
              <w:pStyle w:val="20"/>
              <w:spacing w:before="18" w:line="228" w:lineRule="auto"/>
              <w:ind w:left="187"/>
              <w:rPr>
                <w:color w:val="auto"/>
                <w:highlight w:val="none"/>
              </w:rPr>
            </w:pPr>
            <w:r>
              <w:rPr>
                <w:color w:val="auto"/>
                <w:spacing w:val="-2"/>
                <w:highlight w:val="none"/>
              </w:rPr>
              <w:t>（D</w:t>
            </w:r>
            <w:r>
              <w:rPr>
                <w:color w:val="auto"/>
                <w:spacing w:val="-36"/>
                <w:highlight w:val="none"/>
              </w:rPr>
              <w:t xml:space="preserve"> </w:t>
            </w:r>
            <w:r>
              <w:rPr>
                <w:color w:val="auto"/>
                <w:spacing w:val="-2"/>
                <w:highlight w:val="none"/>
              </w:rPr>
              <w:t>类）</w:t>
            </w:r>
          </w:p>
        </w:tc>
        <w:tc>
          <w:tcPr>
            <w:tcW w:w="8157" w:type="dxa"/>
            <w:vAlign w:val="top"/>
          </w:tcPr>
          <w:p w14:paraId="72057D9F">
            <w:pPr>
              <w:pStyle w:val="20"/>
              <w:spacing w:before="35" w:line="228" w:lineRule="auto"/>
              <w:ind w:left="111"/>
              <w:rPr>
                <w:color w:val="auto"/>
                <w:highlight w:val="none"/>
              </w:rPr>
            </w:pPr>
            <w:r>
              <w:rPr>
                <w:color w:val="auto"/>
                <w:spacing w:val="9"/>
                <w:highlight w:val="none"/>
              </w:rPr>
              <w:t>近五年，成功完成过以下业绩</w:t>
            </w:r>
          </w:p>
          <w:p w14:paraId="4C7918B1">
            <w:pPr>
              <w:pStyle w:val="20"/>
              <w:spacing w:before="160" w:line="377" w:lineRule="auto"/>
              <w:ind w:left="113" w:right="108" w:firstLine="14"/>
              <w:rPr>
                <w:color w:val="auto"/>
                <w:highlight w:val="none"/>
              </w:rPr>
            </w:pPr>
            <w:r>
              <w:rPr>
                <w:color w:val="auto"/>
                <w:spacing w:val="8"/>
                <w:highlight w:val="none"/>
              </w:rPr>
              <w:t>1、累计完成过不少于</w:t>
            </w:r>
            <w:r>
              <w:rPr>
                <w:color w:val="auto"/>
                <w:spacing w:val="-98"/>
                <w:highlight w:val="none"/>
              </w:rPr>
              <w:t xml:space="preserve"> </w:t>
            </w:r>
            <w:r>
              <w:rPr>
                <w:color w:val="auto"/>
                <w:spacing w:val="5"/>
                <w:highlight w:val="none"/>
                <w:u w:val="single" w:color="auto"/>
              </w:rPr>
              <w:t xml:space="preserve"> </w:t>
            </w:r>
            <w:r>
              <w:rPr>
                <w:rFonts w:hint="eastAsia"/>
                <w:color w:val="auto"/>
                <w:spacing w:val="5"/>
                <w:highlight w:val="none"/>
                <w:u w:val="single" w:color="auto"/>
                <w:lang w:val="en-US" w:eastAsia="zh-CN"/>
              </w:rPr>
              <w:t>10</w:t>
            </w:r>
            <w:r>
              <w:rPr>
                <w:color w:val="auto"/>
                <w:spacing w:val="5"/>
                <w:highlight w:val="none"/>
                <w:u w:val="single" w:color="auto"/>
              </w:rPr>
              <w:t xml:space="preserve"> </w:t>
            </w:r>
            <w:r>
              <w:rPr>
                <w:color w:val="auto"/>
                <w:highlight w:val="none"/>
              </w:rPr>
              <w:t>km</w:t>
            </w:r>
            <w:r>
              <w:rPr>
                <w:color w:val="auto"/>
                <w:spacing w:val="-23"/>
                <w:highlight w:val="none"/>
              </w:rPr>
              <w:t xml:space="preserve"> </w:t>
            </w:r>
            <w:r>
              <w:rPr>
                <w:color w:val="auto"/>
                <w:spacing w:val="8"/>
                <w:highlight w:val="none"/>
              </w:rPr>
              <w:t>的类似工程路基施工监理任务</w:t>
            </w:r>
            <w:r>
              <w:rPr>
                <w:color w:val="auto"/>
                <w:spacing w:val="7"/>
                <w:highlight w:val="none"/>
              </w:rPr>
              <w:t>，其中至少</w:t>
            </w:r>
            <w:r>
              <w:rPr>
                <w:color w:val="auto"/>
                <w:spacing w:val="-21"/>
                <w:highlight w:val="none"/>
              </w:rPr>
              <w:t xml:space="preserve"> </w:t>
            </w:r>
            <w:r>
              <w:rPr>
                <w:color w:val="auto"/>
                <w:spacing w:val="7"/>
                <w:highlight w:val="none"/>
              </w:rPr>
              <w:t>1</w:t>
            </w:r>
            <w:r>
              <w:rPr>
                <w:color w:val="auto"/>
                <w:spacing w:val="-41"/>
                <w:highlight w:val="none"/>
              </w:rPr>
              <w:t xml:space="preserve"> </w:t>
            </w:r>
            <w:r>
              <w:rPr>
                <w:color w:val="auto"/>
                <w:spacing w:val="7"/>
                <w:highlight w:val="none"/>
              </w:rPr>
              <w:t>个标段里程不</w:t>
            </w:r>
            <w:r>
              <w:rPr>
                <w:color w:val="auto"/>
                <w:spacing w:val="4"/>
                <w:highlight w:val="none"/>
              </w:rPr>
              <w:t>少于</w:t>
            </w:r>
            <w:r>
              <w:rPr>
                <w:color w:val="auto"/>
                <w:spacing w:val="-99"/>
                <w:highlight w:val="none"/>
              </w:rPr>
              <w:t xml:space="preserve"> </w:t>
            </w:r>
            <w:r>
              <w:rPr>
                <w:color w:val="auto"/>
                <w:spacing w:val="5"/>
                <w:highlight w:val="none"/>
                <w:u w:val="single" w:color="auto"/>
              </w:rPr>
              <w:t xml:space="preserve"> </w:t>
            </w:r>
            <w:r>
              <w:rPr>
                <w:rFonts w:hint="eastAsia"/>
                <w:color w:val="auto"/>
                <w:spacing w:val="5"/>
                <w:highlight w:val="none"/>
                <w:u w:val="single" w:color="auto"/>
                <w:lang w:val="en-US" w:eastAsia="zh-CN"/>
              </w:rPr>
              <w:t>5</w:t>
            </w:r>
            <w:r>
              <w:rPr>
                <w:color w:val="auto"/>
                <w:spacing w:val="5"/>
                <w:highlight w:val="none"/>
                <w:u w:val="single" w:color="auto"/>
              </w:rPr>
              <w:t xml:space="preserve"> </w:t>
            </w:r>
            <w:r>
              <w:rPr>
                <w:color w:val="auto"/>
                <w:spacing w:val="-93"/>
                <w:highlight w:val="none"/>
              </w:rPr>
              <w:t xml:space="preserve"> </w:t>
            </w:r>
            <w:r>
              <w:rPr>
                <w:color w:val="auto"/>
                <w:highlight w:val="none"/>
              </w:rPr>
              <w:t>km</w:t>
            </w:r>
            <w:r>
              <w:rPr>
                <w:color w:val="auto"/>
                <w:spacing w:val="4"/>
                <w:highlight w:val="none"/>
              </w:rPr>
              <w:t>。</w:t>
            </w:r>
          </w:p>
          <w:p w14:paraId="3B537D43">
            <w:pPr>
              <w:pStyle w:val="20"/>
              <w:spacing w:line="363" w:lineRule="auto"/>
              <w:ind w:left="113" w:right="159" w:firstLine="1"/>
              <w:rPr>
                <w:color w:val="auto"/>
                <w:highlight w:val="none"/>
              </w:rPr>
            </w:pPr>
            <w:r>
              <w:rPr>
                <w:color w:val="auto"/>
                <w:spacing w:val="10"/>
                <w:highlight w:val="none"/>
              </w:rPr>
              <w:t>2、累计完成过不少于</w:t>
            </w:r>
            <w:r>
              <w:rPr>
                <w:color w:val="auto"/>
                <w:spacing w:val="-92"/>
                <w:highlight w:val="none"/>
              </w:rPr>
              <w:t xml:space="preserve"> </w:t>
            </w:r>
            <w:r>
              <w:rPr>
                <w:color w:val="auto"/>
                <w:spacing w:val="8"/>
                <w:highlight w:val="none"/>
                <w:u w:val="single" w:color="auto"/>
              </w:rPr>
              <w:t xml:space="preserve"> </w:t>
            </w:r>
            <w:r>
              <w:rPr>
                <w:rFonts w:hint="eastAsia"/>
                <w:color w:val="auto"/>
                <w:spacing w:val="8"/>
                <w:highlight w:val="none"/>
                <w:u w:val="single" w:color="auto"/>
                <w:lang w:val="en-US" w:eastAsia="zh-CN"/>
              </w:rPr>
              <w:t>10</w:t>
            </w:r>
            <w:r>
              <w:rPr>
                <w:color w:val="auto"/>
                <w:spacing w:val="-93"/>
                <w:highlight w:val="none"/>
              </w:rPr>
              <w:t xml:space="preserve"> </w:t>
            </w:r>
            <w:r>
              <w:rPr>
                <w:color w:val="auto"/>
                <w:highlight w:val="none"/>
              </w:rPr>
              <w:t>km</w:t>
            </w:r>
            <w:r>
              <w:rPr>
                <w:color w:val="auto"/>
                <w:spacing w:val="-21"/>
                <w:highlight w:val="none"/>
              </w:rPr>
              <w:t xml:space="preserve"> </w:t>
            </w:r>
            <w:r>
              <w:rPr>
                <w:color w:val="auto"/>
                <w:spacing w:val="10"/>
                <w:highlight w:val="none"/>
              </w:rPr>
              <w:t>的类似工程</w:t>
            </w:r>
            <w:r>
              <w:rPr>
                <w:color w:val="auto"/>
                <w:spacing w:val="10"/>
                <w:highlight w:val="none"/>
                <w:u w:val="single" w:color="auto"/>
              </w:rPr>
              <w:t>沥青混凝土</w:t>
            </w:r>
            <w:r>
              <w:rPr>
                <w:color w:val="auto"/>
                <w:spacing w:val="10"/>
                <w:highlight w:val="none"/>
              </w:rPr>
              <w:t>路面施工监理任务，</w:t>
            </w:r>
            <w:r>
              <w:rPr>
                <w:color w:val="auto"/>
                <w:spacing w:val="5"/>
                <w:highlight w:val="none"/>
              </w:rPr>
              <w:t>其中至少</w:t>
            </w:r>
            <w:r>
              <w:rPr>
                <w:color w:val="auto"/>
                <w:spacing w:val="-10"/>
                <w:highlight w:val="none"/>
              </w:rPr>
              <w:t xml:space="preserve"> </w:t>
            </w:r>
            <w:r>
              <w:rPr>
                <w:color w:val="auto"/>
                <w:spacing w:val="5"/>
                <w:highlight w:val="none"/>
              </w:rPr>
              <w:t>1</w:t>
            </w:r>
            <w:r>
              <w:rPr>
                <w:color w:val="auto"/>
                <w:spacing w:val="-38"/>
                <w:highlight w:val="none"/>
              </w:rPr>
              <w:t xml:space="preserve"> </w:t>
            </w:r>
            <w:r>
              <w:rPr>
                <w:color w:val="auto"/>
                <w:spacing w:val="5"/>
                <w:highlight w:val="none"/>
              </w:rPr>
              <w:t>个标段里程不少于</w:t>
            </w:r>
            <w:r>
              <w:rPr>
                <w:color w:val="auto"/>
                <w:spacing w:val="5"/>
                <w:highlight w:val="none"/>
                <w:u w:val="single" w:color="auto"/>
              </w:rPr>
              <w:t xml:space="preserve"> </w:t>
            </w:r>
            <w:r>
              <w:rPr>
                <w:rFonts w:hint="eastAsia"/>
                <w:color w:val="auto"/>
                <w:spacing w:val="5"/>
                <w:highlight w:val="none"/>
                <w:u w:val="single" w:color="auto"/>
                <w:lang w:val="en-US" w:eastAsia="zh-CN"/>
              </w:rPr>
              <w:t>5</w:t>
            </w:r>
            <w:r>
              <w:rPr>
                <w:color w:val="auto"/>
                <w:spacing w:val="5"/>
                <w:highlight w:val="none"/>
                <w:u w:val="single" w:color="auto"/>
              </w:rPr>
              <w:t xml:space="preserve"> </w:t>
            </w:r>
            <w:r>
              <w:rPr>
                <w:color w:val="auto"/>
                <w:spacing w:val="-94"/>
                <w:highlight w:val="none"/>
              </w:rPr>
              <w:t xml:space="preserve"> </w:t>
            </w:r>
            <w:r>
              <w:rPr>
                <w:color w:val="auto"/>
                <w:highlight w:val="none"/>
              </w:rPr>
              <w:t>km</w:t>
            </w:r>
            <w:r>
              <w:rPr>
                <w:color w:val="auto"/>
                <w:spacing w:val="5"/>
                <w:highlight w:val="none"/>
              </w:rPr>
              <w:t>。</w:t>
            </w:r>
          </w:p>
          <w:p w14:paraId="55ABB2EB">
            <w:pPr>
              <w:pStyle w:val="20"/>
              <w:spacing w:line="331" w:lineRule="auto"/>
              <w:ind w:left="112" w:right="159" w:firstLine="4"/>
              <w:rPr>
                <w:color w:val="auto"/>
                <w:highlight w:val="none"/>
              </w:rPr>
            </w:pPr>
            <w:r>
              <w:rPr>
                <w:color w:val="auto"/>
                <w:spacing w:val="12"/>
                <w:highlight w:val="none"/>
              </w:rPr>
              <w:t>3、累计完成过不少于</w:t>
            </w:r>
            <w:r>
              <w:rPr>
                <w:color w:val="auto"/>
                <w:spacing w:val="-96"/>
                <w:highlight w:val="none"/>
              </w:rPr>
              <w:t xml:space="preserve"> </w:t>
            </w:r>
            <w:r>
              <w:rPr>
                <w:color w:val="auto"/>
                <w:spacing w:val="9"/>
                <w:highlight w:val="none"/>
                <w:u w:val="single" w:color="auto"/>
              </w:rPr>
              <w:t xml:space="preserve"> </w:t>
            </w:r>
            <w:r>
              <w:rPr>
                <w:rFonts w:hint="eastAsia"/>
                <w:color w:val="auto"/>
                <w:spacing w:val="9"/>
                <w:highlight w:val="none"/>
                <w:u w:val="single" w:color="auto"/>
                <w:lang w:val="en-US" w:eastAsia="zh-CN"/>
              </w:rPr>
              <w:t>1</w:t>
            </w:r>
            <w:r>
              <w:rPr>
                <w:color w:val="auto"/>
                <w:spacing w:val="9"/>
                <w:highlight w:val="none"/>
                <w:u w:val="single" w:color="auto"/>
              </w:rPr>
              <w:t xml:space="preserve"> </w:t>
            </w:r>
            <w:r>
              <w:rPr>
                <w:color w:val="auto"/>
                <w:spacing w:val="-89"/>
                <w:highlight w:val="none"/>
              </w:rPr>
              <w:t xml:space="preserve"> </w:t>
            </w:r>
            <w:r>
              <w:rPr>
                <w:color w:val="auto"/>
                <w:spacing w:val="12"/>
                <w:highlight w:val="none"/>
              </w:rPr>
              <w:t>座的类似工程</w:t>
            </w:r>
            <w:r>
              <w:rPr>
                <w:rFonts w:hint="eastAsia"/>
                <w:color w:val="auto"/>
                <w:spacing w:val="12"/>
                <w:highlight w:val="none"/>
                <w:u w:val="single" w:color="auto"/>
                <w:lang w:val="en-US" w:eastAsia="zh-CN"/>
              </w:rPr>
              <w:t xml:space="preserve"> </w:t>
            </w:r>
            <w:r>
              <w:rPr>
                <w:rFonts w:hint="eastAsia"/>
                <w:color w:val="auto"/>
                <w:spacing w:val="12"/>
                <w:highlight w:val="none"/>
                <w:u w:val="single" w:color="auto"/>
                <w:lang w:eastAsia="zh-CN"/>
              </w:rPr>
              <w:t>中</w:t>
            </w:r>
            <w:r>
              <w:rPr>
                <w:color w:val="auto"/>
                <w:spacing w:val="12"/>
                <w:highlight w:val="none"/>
                <w:u w:val="single" w:color="auto"/>
              </w:rPr>
              <w:t>桥</w:t>
            </w:r>
            <w:r>
              <w:rPr>
                <w:rFonts w:hint="eastAsia"/>
                <w:color w:val="auto"/>
                <w:spacing w:val="12"/>
                <w:highlight w:val="none"/>
                <w:u w:val="single" w:color="auto"/>
                <w:lang w:val="en-US" w:eastAsia="zh-CN"/>
              </w:rPr>
              <w:t xml:space="preserve"> </w:t>
            </w:r>
            <w:r>
              <w:rPr>
                <w:color w:val="auto"/>
                <w:spacing w:val="12"/>
                <w:highlight w:val="none"/>
              </w:rPr>
              <w:t>施工监理任务，</w:t>
            </w:r>
            <w:r>
              <w:rPr>
                <w:color w:val="auto"/>
                <w:spacing w:val="7"/>
                <w:highlight w:val="none"/>
              </w:rPr>
              <w:t>且至少有一座桥梁主孔跨径不小于</w:t>
            </w:r>
            <w:r>
              <w:rPr>
                <w:color w:val="auto"/>
                <w:spacing w:val="7"/>
                <w:highlight w:val="none"/>
                <w:u w:val="single" w:color="auto"/>
              </w:rPr>
              <w:t xml:space="preserve"> </w:t>
            </w:r>
            <w:r>
              <w:rPr>
                <w:rFonts w:hint="eastAsia"/>
                <w:color w:val="auto"/>
                <w:spacing w:val="7"/>
                <w:highlight w:val="none"/>
                <w:u w:val="single" w:color="auto"/>
                <w:lang w:val="en-US" w:eastAsia="zh-CN"/>
              </w:rPr>
              <w:t>20</w:t>
            </w:r>
            <w:r>
              <w:rPr>
                <w:color w:val="auto"/>
                <w:spacing w:val="7"/>
                <w:highlight w:val="none"/>
                <w:u w:val="single" w:color="auto"/>
              </w:rPr>
              <w:t xml:space="preserve"> </w:t>
            </w:r>
            <w:r>
              <w:rPr>
                <w:color w:val="auto"/>
                <w:spacing w:val="-85"/>
                <w:highlight w:val="none"/>
              </w:rPr>
              <w:t xml:space="preserve"> </w:t>
            </w:r>
            <w:r>
              <w:rPr>
                <w:color w:val="auto"/>
                <w:spacing w:val="7"/>
                <w:highlight w:val="none"/>
              </w:rPr>
              <w:t>m。</w:t>
            </w:r>
          </w:p>
          <w:p w14:paraId="1EAF8C79">
            <w:pPr>
              <w:pStyle w:val="20"/>
              <w:spacing w:before="100" w:line="332" w:lineRule="auto"/>
              <w:ind w:left="113" w:right="108" w:hanging="2"/>
              <w:rPr>
                <w:color w:val="auto"/>
                <w:highlight w:val="none"/>
              </w:rPr>
            </w:pPr>
            <w:r>
              <w:rPr>
                <w:color w:val="auto"/>
                <w:spacing w:val="14"/>
                <w:highlight w:val="none"/>
              </w:rPr>
              <w:t>4、累计完成过不少于</w:t>
            </w:r>
            <w:r>
              <w:rPr>
                <w:color w:val="auto"/>
                <w:spacing w:val="-94"/>
                <w:highlight w:val="none"/>
              </w:rPr>
              <w:t xml:space="preserve"> </w:t>
            </w:r>
            <w:r>
              <w:rPr>
                <w:color w:val="auto"/>
                <w:spacing w:val="9"/>
                <w:highlight w:val="none"/>
                <w:u w:val="single" w:color="auto"/>
              </w:rPr>
              <w:t xml:space="preserve"> </w:t>
            </w:r>
            <w:r>
              <w:rPr>
                <w:rFonts w:hint="eastAsia"/>
                <w:color w:val="auto"/>
                <w:spacing w:val="9"/>
                <w:highlight w:val="none"/>
                <w:u w:val="single" w:color="auto"/>
                <w:lang w:val="en-US" w:eastAsia="zh-CN"/>
              </w:rPr>
              <w:t>/</w:t>
            </w:r>
            <w:r>
              <w:rPr>
                <w:color w:val="auto"/>
                <w:spacing w:val="9"/>
                <w:highlight w:val="none"/>
                <w:u w:val="single" w:color="auto"/>
              </w:rPr>
              <w:t xml:space="preserve"> </w:t>
            </w:r>
            <w:r>
              <w:rPr>
                <w:color w:val="auto"/>
                <w:spacing w:val="-89"/>
                <w:highlight w:val="none"/>
              </w:rPr>
              <w:t xml:space="preserve"> </w:t>
            </w:r>
            <w:r>
              <w:rPr>
                <w:color w:val="auto"/>
                <w:spacing w:val="14"/>
                <w:highlight w:val="none"/>
              </w:rPr>
              <w:t>座类似工程</w:t>
            </w:r>
            <w:r>
              <w:rPr>
                <w:color w:val="auto"/>
                <w:spacing w:val="14"/>
                <w:highlight w:val="none"/>
                <w:u w:val="single" w:color="auto"/>
              </w:rPr>
              <w:t>（隧道规模</w:t>
            </w:r>
            <w:r>
              <w:rPr>
                <w:color w:val="auto"/>
                <w:spacing w:val="-10"/>
                <w:highlight w:val="none"/>
                <w:u w:val="single" w:color="auto"/>
              </w:rPr>
              <w:t>）</w:t>
            </w:r>
            <w:r>
              <w:rPr>
                <w:color w:val="auto"/>
                <w:spacing w:val="-74"/>
                <w:highlight w:val="none"/>
                <w:u w:val="single" w:color="auto"/>
              </w:rPr>
              <w:t xml:space="preserve"> </w:t>
            </w:r>
            <w:r>
              <w:rPr>
                <w:color w:val="auto"/>
                <w:spacing w:val="-10"/>
                <w:highlight w:val="none"/>
                <w:u w:val="single" w:color="auto"/>
              </w:rPr>
              <w:t>（</w:t>
            </w:r>
            <w:r>
              <w:rPr>
                <w:color w:val="auto"/>
                <w:spacing w:val="14"/>
                <w:highlight w:val="none"/>
                <w:u w:val="single" w:color="auto"/>
              </w:rPr>
              <w:t>隧道类型）</w:t>
            </w:r>
            <w:r>
              <w:rPr>
                <w:color w:val="auto"/>
                <w:spacing w:val="14"/>
                <w:highlight w:val="none"/>
              </w:rPr>
              <w:t>隧道工程施工监理任</w:t>
            </w:r>
            <w:r>
              <w:rPr>
                <w:color w:val="auto"/>
                <w:spacing w:val="9"/>
                <w:highlight w:val="none"/>
              </w:rPr>
              <w:t>务，且至少有一座隧道单洞累计（即左洞加右洞）长度不</w:t>
            </w:r>
            <w:r>
              <w:rPr>
                <w:color w:val="auto"/>
                <w:spacing w:val="8"/>
                <w:highlight w:val="none"/>
              </w:rPr>
              <w:t>少于</w:t>
            </w:r>
            <w:r>
              <w:rPr>
                <w:color w:val="auto"/>
                <w:spacing w:val="-98"/>
                <w:highlight w:val="none"/>
              </w:rPr>
              <w:t xml:space="preserve"> </w:t>
            </w:r>
            <w:r>
              <w:rPr>
                <w:color w:val="auto"/>
                <w:spacing w:val="5"/>
                <w:highlight w:val="none"/>
                <w:u w:val="single" w:color="auto"/>
              </w:rPr>
              <w:t xml:space="preserve"> </w:t>
            </w:r>
            <w:r>
              <w:rPr>
                <w:rFonts w:hint="eastAsia"/>
                <w:color w:val="auto"/>
                <w:spacing w:val="5"/>
                <w:highlight w:val="none"/>
                <w:u w:val="single" w:color="auto"/>
                <w:lang w:val="en-US" w:eastAsia="zh-CN"/>
              </w:rPr>
              <w:t>/</w:t>
            </w:r>
            <w:r>
              <w:rPr>
                <w:color w:val="auto"/>
                <w:spacing w:val="5"/>
                <w:highlight w:val="none"/>
                <w:u w:val="single" w:color="auto"/>
              </w:rPr>
              <w:t xml:space="preserve"> </w:t>
            </w:r>
            <w:r>
              <w:rPr>
                <w:color w:val="auto"/>
                <w:spacing w:val="-97"/>
                <w:highlight w:val="none"/>
              </w:rPr>
              <w:t xml:space="preserve"> </w:t>
            </w:r>
            <w:r>
              <w:rPr>
                <w:color w:val="auto"/>
                <w:spacing w:val="8"/>
                <w:highlight w:val="none"/>
              </w:rPr>
              <w:t>m。</w:t>
            </w:r>
          </w:p>
          <w:p w14:paraId="13A5F89E">
            <w:pPr>
              <w:pStyle w:val="20"/>
              <w:spacing w:before="128" w:line="377" w:lineRule="auto"/>
              <w:ind w:left="113" w:right="122" w:firstLine="3"/>
              <w:rPr>
                <w:color w:val="auto"/>
                <w:highlight w:val="none"/>
              </w:rPr>
            </w:pPr>
            <w:r>
              <w:rPr>
                <w:color w:val="auto"/>
                <w:spacing w:val="7"/>
                <w:highlight w:val="none"/>
              </w:rPr>
              <w:t>5、累计完成过不少于</w:t>
            </w:r>
            <w:r>
              <w:rPr>
                <w:color w:val="auto"/>
                <w:spacing w:val="7"/>
                <w:highlight w:val="none"/>
                <w:u w:val="single" w:color="auto"/>
              </w:rPr>
              <w:t xml:space="preserve"> </w:t>
            </w:r>
            <w:r>
              <w:rPr>
                <w:rFonts w:hint="eastAsia"/>
                <w:color w:val="auto"/>
                <w:spacing w:val="7"/>
                <w:highlight w:val="none"/>
                <w:u w:val="single" w:color="auto"/>
                <w:lang w:val="en-US" w:eastAsia="zh-CN"/>
              </w:rPr>
              <w:t>10</w:t>
            </w:r>
            <w:r>
              <w:rPr>
                <w:color w:val="auto"/>
                <w:spacing w:val="7"/>
                <w:highlight w:val="none"/>
                <w:u w:val="single" w:color="auto"/>
              </w:rPr>
              <w:t xml:space="preserve"> </w:t>
            </w:r>
            <w:r>
              <w:rPr>
                <w:color w:val="auto"/>
                <w:spacing w:val="-79"/>
                <w:highlight w:val="none"/>
              </w:rPr>
              <w:t xml:space="preserve"> </w:t>
            </w:r>
            <w:r>
              <w:rPr>
                <w:color w:val="auto"/>
                <w:highlight w:val="none"/>
              </w:rPr>
              <w:t>km</w:t>
            </w:r>
            <w:r>
              <w:rPr>
                <w:color w:val="auto"/>
                <w:spacing w:val="-24"/>
                <w:highlight w:val="none"/>
              </w:rPr>
              <w:t xml:space="preserve"> </w:t>
            </w:r>
            <w:r>
              <w:rPr>
                <w:color w:val="auto"/>
                <w:spacing w:val="7"/>
                <w:highlight w:val="none"/>
              </w:rPr>
              <w:t>的类似工程交通安全设施施工监理任务，其中至少</w:t>
            </w:r>
            <w:r>
              <w:rPr>
                <w:color w:val="auto"/>
                <w:spacing w:val="-21"/>
                <w:highlight w:val="none"/>
              </w:rPr>
              <w:t xml:space="preserve"> </w:t>
            </w:r>
            <w:r>
              <w:rPr>
                <w:color w:val="auto"/>
                <w:spacing w:val="7"/>
                <w:highlight w:val="none"/>
              </w:rPr>
              <w:t>1</w:t>
            </w:r>
            <w:r>
              <w:rPr>
                <w:color w:val="auto"/>
                <w:spacing w:val="-38"/>
                <w:highlight w:val="none"/>
              </w:rPr>
              <w:t xml:space="preserve"> </w:t>
            </w:r>
            <w:r>
              <w:rPr>
                <w:color w:val="auto"/>
                <w:spacing w:val="7"/>
                <w:highlight w:val="none"/>
              </w:rPr>
              <w:t>个标段里程不少于</w:t>
            </w:r>
            <w:r>
              <w:rPr>
                <w:color w:val="auto"/>
                <w:spacing w:val="-96"/>
                <w:highlight w:val="none"/>
              </w:rPr>
              <w:t xml:space="preserve"> </w:t>
            </w:r>
            <w:r>
              <w:rPr>
                <w:color w:val="auto"/>
                <w:spacing w:val="5"/>
                <w:highlight w:val="none"/>
                <w:u w:val="single" w:color="auto"/>
              </w:rPr>
              <w:t xml:space="preserve"> </w:t>
            </w:r>
            <w:r>
              <w:rPr>
                <w:rFonts w:hint="eastAsia"/>
                <w:color w:val="auto"/>
                <w:spacing w:val="5"/>
                <w:highlight w:val="none"/>
                <w:u w:val="single" w:color="auto"/>
                <w:lang w:val="en-US" w:eastAsia="zh-CN"/>
              </w:rPr>
              <w:t>5</w:t>
            </w:r>
            <w:r>
              <w:rPr>
                <w:color w:val="auto"/>
                <w:spacing w:val="5"/>
                <w:highlight w:val="none"/>
                <w:u w:val="single" w:color="auto"/>
              </w:rPr>
              <w:t xml:space="preserve"> </w:t>
            </w:r>
            <w:r>
              <w:rPr>
                <w:color w:val="auto"/>
                <w:spacing w:val="-93"/>
                <w:highlight w:val="none"/>
              </w:rPr>
              <w:t xml:space="preserve"> </w:t>
            </w:r>
            <w:r>
              <w:rPr>
                <w:color w:val="auto"/>
                <w:highlight w:val="none"/>
              </w:rPr>
              <w:t>km</w:t>
            </w:r>
            <w:r>
              <w:rPr>
                <w:color w:val="auto"/>
                <w:spacing w:val="7"/>
                <w:highlight w:val="none"/>
              </w:rPr>
              <w:t>。</w:t>
            </w:r>
          </w:p>
          <w:p w14:paraId="2E8CEDD9">
            <w:pPr>
              <w:pStyle w:val="20"/>
              <w:spacing w:before="2" w:line="362" w:lineRule="auto"/>
              <w:ind w:left="117" w:right="542" w:hanging="3"/>
              <w:rPr>
                <w:color w:val="auto"/>
                <w:highlight w:val="none"/>
              </w:rPr>
            </w:pPr>
            <w:r>
              <w:rPr>
                <w:color w:val="auto"/>
                <w:spacing w:val="8"/>
                <w:highlight w:val="none"/>
              </w:rPr>
              <w:t>6、累计完成过不少于</w:t>
            </w:r>
            <w:r>
              <w:rPr>
                <w:color w:val="auto"/>
                <w:spacing w:val="8"/>
                <w:highlight w:val="none"/>
                <w:u w:val="single" w:color="auto"/>
              </w:rPr>
              <w:t xml:space="preserve"> </w:t>
            </w:r>
            <w:r>
              <w:rPr>
                <w:rFonts w:hint="eastAsia"/>
                <w:color w:val="auto"/>
                <w:spacing w:val="8"/>
                <w:highlight w:val="none"/>
                <w:u w:val="single" w:color="auto"/>
                <w:lang w:val="en-US" w:eastAsia="zh-CN"/>
              </w:rPr>
              <w:t>/</w:t>
            </w:r>
            <w:r>
              <w:rPr>
                <w:color w:val="auto"/>
                <w:spacing w:val="8"/>
                <w:highlight w:val="none"/>
                <w:u w:val="single" w:color="auto"/>
              </w:rPr>
              <w:t xml:space="preserve"> </w:t>
            </w:r>
            <w:r>
              <w:rPr>
                <w:color w:val="auto"/>
                <w:spacing w:val="-79"/>
                <w:highlight w:val="none"/>
              </w:rPr>
              <w:t xml:space="preserve"> </w:t>
            </w:r>
            <w:r>
              <w:rPr>
                <w:color w:val="auto"/>
                <w:highlight w:val="none"/>
              </w:rPr>
              <w:t>km</w:t>
            </w:r>
            <w:r>
              <w:rPr>
                <w:color w:val="auto"/>
                <w:spacing w:val="-23"/>
                <w:highlight w:val="none"/>
              </w:rPr>
              <w:t xml:space="preserve"> </w:t>
            </w:r>
            <w:r>
              <w:rPr>
                <w:color w:val="auto"/>
                <w:spacing w:val="8"/>
                <w:highlight w:val="none"/>
              </w:rPr>
              <w:t>的类似工程机电三大系统</w:t>
            </w:r>
            <w:r>
              <w:rPr>
                <w:color w:val="auto"/>
                <w:spacing w:val="8"/>
                <w:highlight w:val="none"/>
                <w:u w:val="single" w:color="auto"/>
              </w:rPr>
              <w:t>（须含通信、监控、收费系</w:t>
            </w:r>
            <w:r>
              <w:rPr>
                <w:color w:val="auto"/>
                <w:spacing w:val="6"/>
                <w:highlight w:val="none"/>
                <w:u w:val="single" w:color="auto"/>
              </w:rPr>
              <w:t>统 ）</w:t>
            </w:r>
            <w:r>
              <w:rPr>
                <w:color w:val="auto"/>
                <w:spacing w:val="6"/>
                <w:highlight w:val="none"/>
              </w:rPr>
              <w:t>工程施工监理任务，其中至少</w:t>
            </w:r>
            <w:r>
              <w:rPr>
                <w:color w:val="auto"/>
                <w:spacing w:val="-16"/>
                <w:highlight w:val="none"/>
              </w:rPr>
              <w:t xml:space="preserve"> </w:t>
            </w:r>
            <w:r>
              <w:rPr>
                <w:color w:val="auto"/>
                <w:spacing w:val="6"/>
                <w:highlight w:val="none"/>
              </w:rPr>
              <w:t>1</w:t>
            </w:r>
            <w:r>
              <w:rPr>
                <w:color w:val="auto"/>
                <w:spacing w:val="-38"/>
                <w:highlight w:val="none"/>
              </w:rPr>
              <w:t xml:space="preserve"> </w:t>
            </w:r>
            <w:r>
              <w:rPr>
                <w:color w:val="auto"/>
                <w:spacing w:val="6"/>
                <w:highlight w:val="none"/>
              </w:rPr>
              <w:t>个标段里程不少于</w:t>
            </w:r>
            <w:r>
              <w:rPr>
                <w:color w:val="auto"/>
                <w:spacing w:val="-97"/>
                <w:highlight w:val="none"/>
              </w:rPr>
              <w:t xml:space="preserve"> </w:t>
            </w:r>
            <w:r>
              <w:rPr>
                <w:color w:val="auto"/>
                <w:spacing w:val="4"/>
                <w:highlight w:val="none"/>
                <w:u w:val="single" w:color="auto"/>
              </w:rPr>
              <w:t xml:space="preserve">  </w:t>
            </w:r>
            <w:r>
              <w:rPr>
                <w:rFonts w:hint="eastAsia"/>
                <w:color w:val="auto"/>
                <w:spacing w:val="4"/>
                <w:highlight w:val="none"/>
                <w:u w:val="single" w:color="auto"/>
                <w:lang w:val="en-US" w:eastAsia="zh-CN"/>
              </w:rPr>
              <w:t>/</w:t>
            </w:r>
            <w:r>
              <w:rPr>
                <w:color w:val="auto"/>
                <w:spacing w:val="4"/>
                <w:highlight w:val="none"/>
                <w:u w:val="single" w:color="auto"/>
              </w:rPr>
              <w:t xml:space="preserve">  </w:t>
            </w:r>
            <w:r>
              <w:rPr>
                <w:color w:val="auto"/>
                <w:spacing w:val="-91"/>
                <w:highlight w:val="none"/>
              </w:rPr>
              <w:t xml:space="preserve"> </w:t>
            </w:r>
            <w:r>
              <w:rPr>
                <w:color w:val="auto"/>
                <w:highlight w:val="none"/>
              </w:rPr>
              <w:t>km</w:t>
            </w:r>
            <w:r>
              <w:rPr>
                <w:color w:val="auto"/>
                <w:spacing w:val="-16"/>
                <w:highlight w:val="none"/>
              </w:rPr>
              <w:t xml:space="preserve"> </w:t>
            </w:r>
            <w:r>
              <w:rPr>
                <w:color w:val="auto"/>
                <w:spacing w:val="6"/>
                <w:highlight w:val="none"/>
              </w:rPr>
              <w:t>以上。</w:t>
            </w:r>
          </w:p>
          <w:p w14:paraId="0C423082">
            <w:pPr>
              <w:pStyle w:val="20"/>
              <w:spacing w:before="1" w:line="371" w:lineRule="auto"/>
              <w:ind w:left="117"/>
              <w:rPr>
                <w:color w:val="auto"/>
                <w:highlight w:val="none"/>
              </w:rPr>
            </w:pPr>
            <w:r>
              <w:rPr>
                <w:color w:val="auto"/>
                <w:spacing w:val="8"/>
                <w:highlight w:val="none"/>
              </w:rPr>
              <w:t>7、类似工程枢纽/一般互通式立交施工监理不少于</w:t>
            </w:r>
            <w:r>
              <w:rPr>
                <w:color w:val="auto"/>
                <w:spacing w:val="-98"/>
                <w:highlight w:val="none"/>
              </w:rPr>
              <w:t xml:space="preserve"> </w:t>
            </w:r>
            <w:r>
              <w:rPr>
                <w:color w:val="auto"/>
                <w:spacing w:val="5"/>
                <w:highlight w:val="none"/>
                <w:u w:val="single" w:color="auto"/>
              </w:rPr>
              <w:t xml:space="preserve"> </w:t>
            </w:r>
            <w:r>
              <w:rPr>
                <w:rFonts w:hint="eastAsia"/>
                <w:color w:val="auto"/>
                <w:spacing w:val="5"/>
                <w:highlight w:val="none"/>
                <w:u w:val="single" w:color="auto"/>
                <w:lang w:val="en-US" w:eastAsia="zh-CN"/>
              </w:rPr>
              <w:t>/</w:t>
            </w:r>
            <w:r>
              <w:rPr>
                <w:color w:val="auto"/>
                <w:spacing w:val="5"/>
                <w:highlight w:val="none"/>
                <w:u w:val="single" w:color="auto"/>
              </w:rPr>
              <w:t xml:space="preserve"> </w:t>
            </w:r>
            <w:r>
              <w:rPr>
                <w:color w:val="auto"/>
                <w:spacing w:val="-87"/>
                <w:highlight w:val="none"/>
              </w:rPr>
              <w:t xml:space="preserve"> </w:t>
            </w:r>
            <w:r>
              <w:rPr>
                <w:color w:val="auto"/>
                <w:spacing w:val="7"/>
                <w:highlight w:val="none"/>
              </w:rPr>
              <w:t>处。</w:t>
            </w:r>
          </w:p>
        </w:tc>
      </w:tr>
    </w:tbl>
    <w:p w14:paraId="424F4DB2">
      <w:pPr>
        <w:spacing w:before="31" w:line="232" w:lineRule="auto"/>
        <w:ind w:left="117"/>
        <w:rPr>
          <w:rFonts w:ascii="宋体" w:hAnsi="宋体" w:eastAsia="宋体" w:cs="宋体"/>
          <w:color w:val="auto"/>
          <w:sz w:val="20"/>
          <w:szCs w:val="20"/>
          <w:highlight w:val="none"/>
        </w:rPr>
      </w:pPr>
      <w:r>
        <w:rPr>
          <w:rFonts w:ascii="宋体" w:hAnsi="宋体" w:eastAsia="宋体" w:cs="宋体"/>
          <w:color w:val="auto"/>
          <w:sz w:val="20"/>
          <w:szCs w:val="20"/>
          <w:highlight w:val="none"/>
        </w:rPr>
        <w:t>注：</w:t>
      </w:r>
    </w:p>
    <w:p w14:paraId="349D7869">
      <w:pPr>
        <w:spacing w:before="156" w:line="227" w:lineRule="auto"/>
        <w:ind w:left="55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1、本附录所要求的业绩仅限中华人民共和国境内业绩。</w:t>
      </w:r>
    </w:p>
    <w:p w14:paraId="5820E388">
      <w:pPr>
        <w:spacing w:before="164" w:line="228" w:lineRule="auto"/>
        <w:ind w:left="54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2、同一工程项目同时满足</w:t>
      </w:r>
      <w:r>
        <w:rPr>
          <w:rFonts w:ascii="宋体" w:hAnsi="宋体" w:eastAsia="宋体" w:cs="宋体"/>
          <w:color w:val="auto"/>
          <w:spacing w:val="-34"/>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项或多项业绩要求条件的，可分别计；</w:t>
      </w:r>
    </w:p>
    <w:p w14:paraId="1675C0D2">
      <w:pPr>
        <w:spacing w:before="160" w:line="377" w:lineRule="auto"/>
        <w:ind w:left="117" w:right="111" w:firstLine="42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3、本表要求业绩指由投标人承接并完成的业绩,投标人上级单位（如总公司、集团公司等）的</w:t>
      </w:r>
      <w:r>
        <w:rPr>
          <w:rFonts w:ascii="宋体" w:hAnsi="宋体" w:eastAsia="宋体" w:cs="宋体"/>
          <w:color w:val="auto"/>
          <w:spacing w:val="9"/>
          <w:sz w:val="20"/>
          <w:szCs w:val="20"/>
          <w:highlight w:val="none"/>
        </w:rPr>
        <w:t>业绩和投标人具备独立法人资格的下属机构的业绩均不予认定。</w:t>
      </w:r>
    </w:p>
    <w:p w14:paraId="50107999">
      <w:pPr>
        <w:spacing w:before="1" w:line="376" w:lineRule="auto"/>
        <w:ind w:left="119" w:right="111" w:firstLine="417"/>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4、若投标人提供的业绩证明为联合体业绩，则按投标人须知</w:t>
      </w:r>
      <w:r>
        <w:rPr>
          <w:rFonts w:ascii="宋体" w:hAnsi="宋体" w:eastAsia="宋体" w:cs="宋体"/>
          <w:color w:val="auto"/>
          <w:spacing w:val="-33"/>
          <w:sz w:val="20"/>
          <w:szCs w:val="20"/>
          <w:highlight w:val="none"/>
        </w:rPr>
        <w:t xml:space="preserve"> </w:t>
      </w:r>
      <w:r>
        <w:rPr>
          <w:rFonts w:ascii="宋体" w:hAnsi="宋体" w:eastAsia="宋体" w:cs="宋体"/>
          <w:color w:val="auto"/>
          <w:spacing w:val="12"/>
          <w:sz w:val="20"/>
          <w:szCs w:val="20"/>
          <w:highlight w:val="none"/>
        </w:rPr>
        <w:t>3.5.2</w:t>
      </w:r>
      <w:r>
        <w:rPr>
          <w:rFonts w:ascii="宋体" w:hAnsi="宋体" w:eastAsia="宋体" w:cs="宋体"/>
          <w:color w:val="auto"/>
          <w:spacing w:val="-30"/>
          <w:sz w:val="20"/>
          <w:szCs w:val="20"/>
          <w:highlight w:val="none"/>
        </w:rPr>
        <w:t xml:space="preserve"> </w:t>
      </w:r>
      <w:r>
        <w:rPr>
          <w:rFonts w:ascii="宋体" w:hAnsi="宋体" w:eastAsia="宋体" w:cs="宋体"/>
          <w:color w:val="auto"/>
          <w:spacing w:val="12"/>
          <w:sz w:val="20"/>
          <w:szCs w:val="20"/>
          <w:highlight w:val="none"/>
        </w:rPr>
        <w:t>项</w:t>
      </w:r>
      <w:r>
        <w:rPr>
          <w:rFonts w:ascii="宋体" w:hAnsi="宋体" w:eastAsia="宋体" w:cs="宋体"/>
          <w:color w:val="auto"/>
          <w:spacing w:val="11"/>
          <w:sz w:val="20"/>
          <w:szCs w:val="20"/>
          <w:highlight w:val="none"/>
        </w:rPr>
        <w:t>要求的证明材料体现其</w:t>
      </w:r>
      <w:r>
        <w:rPr>
          <w:rFonts w:ascii="宋体" w:hAnsi="宋体" w:eastAsia="宋体" w:cs="宋体"/>
          <w:color w:val="auto"/>
          <w:spacing w:val="10"/>
          <w:sz w:val="20"/>
          <w:szCs w:val="20"/>
          <w:highlight w:val="none"/>
        </w:rPr>
        <w:t>完成的相关专项工程的工程量认定，无法界</w:t>
      </w:r>
      <w:r>
        <w:rPr>
          <w:rFonts w:ascii="宋体" w:hAnsi="宋体" w:eastAsia="宋体" w:cs="宋体"/>
          <w:color w:val="auto"/>
          <w:spacing w:val="9"/>
          <w:sz w:val="20"/>
          <w:szCs w:val="20"/>
          <w:highlight w:val="none"/>
        </w:rPr>
        <w:t>定其完成的相关专项工程的工程量，此业绩不予认定。</w:t>
      </w:r>
    </w:p>
    <w:p w14:paraId="72681118">
      <w:pPr>
        <w:bidi w:val="0"/>
        <w:ind w:firstLine="500" w:firstLineChars="200"/>
        <w:rPr>
          <w:rFonts w:ascii="宋体" w:hAnsi="宋体" w:eastAsia="宋体" w:cs="宋体"/>
          <w:color w:val="auto"/>
          <w:sz w:val="20"/>
          <w:szCs w:val="20"/>
          <w:highlight w:val="none"/>
        </w:rPr>
      </w:pPr>
      <w:r>
        <w:rPr>
          <w:rFonts w:ascii="宋体" w:hAnsi="宋体" w:eastAsia="宋体" w:cs="宋体"/>
          <w:color w:val="auto"/>
          <w:spacing w:val="25"/>
          <w:sz w:val="20"/>
          <w:szCs w:val="20"/>
          <w:highlight w:val="none"/>
        </w:rPr>
        <w:t>5、若为联合体投标</w:t>
      </w:r>
      <w:r>
        <w:rPr>
          <w:rFonts w:ascii="宋体" w:hAnsi="宋体" w:eastAsia="宋体" w:cs="宋体"/>
          <w:color w:val="auto"/>
          <w:spacing w:val="-35"/>
          <w:sz w:val="20"/>
          <w:szCs w:val="20"/>
          <w:highlight w:val="none"/>
        </w:rPr>
        <w:t xml:space="preserve"> </w:t>
      </w:r>
      <w:r>
        <w:rPr>
          <w:rFonts w:ascii="宋体" w:hAnsi="宋体" w:eastAsia="宋体" w:cs="宋体"/>
          <w:color w:val="auto"/>
          <w:spacing w:val="25"/>
          <w:sz w:val="20"/>
          <w:szCs w:val="20"/>
          <w:highlight w:val="none"/>
        </w:rPr>
        <w:t>，</w:t>
      </w:r>
      <w:r>
        <w:rPr>
          <w:rFonts w:ascii="宋体" w:hAnsi="宋体" w:eastAsia="宋体" w:cs="宋体"/>
          <w:color w:val="auto"/>
          <w:spacing w:val="-59"/>
          <w:sz w:val="20"/>
          <w:szCs w:val="20"/>
          <w:highlight w:val="none"/>
        </w:rPr>
        <w:t xml:space="preserve"> </w:t>
      </w:r>
      <w:r>
        <w:rPr>
          <w:rFonts w:ascii="宋体" w:hAnsi="宋体" w:eastAsia="宋体" w:cs="宋体"/>
          <w:color w:val="auto"/>
          <w:spacing w:val="25"/>
          <w:sz w:val="20"/>
          <w:szCs w:val="20"/>
          <w:highlight w:val="none"/>
        </w:rPr>
        <w:t>投标人业绩的资格审查条件和加分条件（如有）</w:t>
      </w:r>
      <w:r>
        <w:rPr>
          <w:rFonts w:ascii="宋体" w:hAnsi="宋体" w:eastAsia="宋体" w:cs="宋体"/>
          <w:color w:val="auto"/>
          <w:spacing w:val="-18"/>
          <w:sz w:val="20"/>
          <w:szCs w:val="20"/>
          <w:highlight w:val="none"/>
        </w:rPr>
        <w:t xml:space="preserve"> </w:t>
      </w:r>
      <w:r>
        <w:rPr>
          <w:rFonts w:ascii="宋体" w:hAnsi="宋体" w:eastAsia="宋体" w:cs="宋体"/>
          <w:color w:val="auto"/>
          <w:spacing w:val="25"/>
          <w:sz w:val="20"/>
          <w:szCs w:val="20"/>
          <w:highlight w:val="none"/>
        </w:rPr>
        <w:t>的认定原则如下</w:t>
      </w:r>
    </w:p>
    <w:p w14:paraId="5EF21610">
      <w:pPr>
        <w:spacing w:before="133" w:line="427" w:lineRule="auto"/>
        <w:ind w:left="113"/>
        <w:rPr>
          <w:rFonts w:ascii="宋体" w:hAnsi="宋体" w:eastAsia="宋体" w:cs="宋体"/>
          <w:color w:val="auto"/>
          <w:sz w:val="20"/>
          <w:szCs w:val="20"/>
          <w:highlight w:val="none"/>
        </w:rPr>
      </w:pPr>
      <w:r>
        <w:rPr>
          <w:rFonts w:ascii="宋体" w:hAnsi="宋体" w:eastAsia="宋体" w:cs="宋体"/>
          <w:color w:val="auto"/>
          <w:spacing w:val="-5"/>
          <w:position w:val="-2"/>
          <w:sz w:val="20"/>
          <w:szCs w:val="20"/>
          <w:highlight w:val="none"/>
        </w:rPr>
        <w:t>：</w:t>
      </w:r>
      <w:r>
        <w:rPr>
          <w:rFonts w:ascii="宋体" w:hAnsi="宋体" w:eastAsia="宋体" w:cs="宋体"/>
          <w:color w:val="auto"/>
          <w:spacing w:val="4"/>
          <w:position w:val="-2"/>
          <w:sz w:val="20"/>
          <w:szCs w:val="20"/>
          <w:highlight w:val="none"/>
          <w:u w:val="single" w:color="auto"/>
        </w:rPr>
        <w:t xml:space="preserve">    </w:t>
      </w:r>
      <w:r>
        <w:rPr>
          <w:rFonts w:hint="eastAsia" w:ascii="宋体" w:hAnsi="宋体" w:eastAsia="宋体" w:cs="宋体"/>
          <w:color w:val="auto"/>
          <w:spacing w:val="4"/>
          <w:position w:val="-2"/>
          <w:sz w:val="20"/>
          <w:szCs w:val="20"/>
          <w:highlight w:val="none"/>
          <w:u w:val="single" w:color="auto"/>
          <w:lang w:val="en-US" w:eastAsia="zh-CN"/>
        </w:rPr>
        <w:t>/</w:t>
      </w:r>
      <w:r>
        <w:rPr>
          <w:rFonts w:ascii="宋体" w:hAnsi="宋体" w:eastAsia="宋体" w:cs="宋体"/>
          <w:color w:val="auto"/>
          <w:spacing w:val="4"/>
          <w:position w:val="-2"/>
          <w:sz w:val="20"/>
          <w:szCs w:val="20"/>
          <w:highlight w:val="none"/>
          <w:u w:val="single" w:color="auto"/>
        </w:rPr>
        <w:t xml:space="preserve">   </w:t>
      </w:r>
      <w:r>
        <w:rPr>
          <w:rFonts w:ascii="宋体" w:hAnsi="宋体" w:eastAsia="宋体" w:cs="宋体"/>
          <w:color w:val="auto"/>
          <w:spacing w:val="-5"/>
          <w:position w:val="-2"/>
          <w:sz w:val="20"/>
          <w:szCs w:val="20"/>
          <w:highlight w:val="none"/>
        </w:rPr>
        <w:t>。</w:t>
      </w:r>
    </w:p>
    <w:p w14:paraId="72C741B0">
      <w:pPr>
        <w:spacing w:line="259" w:lineRule="auto"/>
        <w:rPr>
          <w:rFonts w:ascii="Arial"/>
          <w:color w:val="auto"/>
          <w:sz w:val="21"/>
          <w:highlight w:val="none"/>
        </w:rPr>
      </w:pPr>
    </w:p>
    <w:p w14:paraId="7035ABDC">
      <w:pPr>
        <w:spacing w:line="259" w:lineRule="auto"/>
        <w:rPr>
          <w:rFonts w:ascii="Arial"/>
          <w:color w:val="auto"/>
          <w:sz w:val="21"/>
          <w:highlight w:val="none"/>
        </w:rPr>
      </w:pPr>
    </w:p>
    <w:p w14:paraId="73017BF6">
      <w:pPr>
        <w:spacing w:line="259" w:lineRule="auto"/>
        <w:rPr>
          <w:rFonts w:ascii="Arial"/>
          <w:color w:val="auto"/>
          <w:sz w:val="21"/>
          <w:highlight w:val="none"/>
        </w:rPr>
      </w:pPr>
    </w:p>
    <w:p w14:paraId="1E595D1F">
      <w:pPr>
        <w:spacing w:line="241" w:lineRule="auto"/>
        <w:rPr>
          <w:rFonts w:ascii="宋体" w:hAnsi="宋体" w:eastAsia="宋体" w:cs="宋体"/>
          <w:color w:val="auto"/>
          <w:sz w:val="18"/>
          <w:szCs w:val="18"/>
          <w:highlight w:val="none"/>
        </w:rPr>
      </w:pPr>
    </w:p>
    <w:p w14:paraId="1BFBA4FE">
      <w:pPr>
        <w:spacing w:line="241" w:lineRule="auto"/>
        <w:rPr>
          <w:rFonts w:ascii="宋体" w:hAnsi="宋体" w:eastAsia="宋体" w:cs="宋体"/>
          <w:color w:val="auto"/>
          <w:sz w:val="18"/>
          <w:szCs w:val="18"/>
          <w:highlight w:val="none"/>
        </w:rPr>
      </w:pPr>
    </w:p>
    <w:p w14:paraId="4A442A56">
      <w:pPr>
        <w:spacing w:line="241" w:lineRule="auto"/>
        <w:rPr>
          <w:rFonts w:ascii="宋体" w:hAnsi="宋体" w:eastAsia="宋体" w:cs="宋体"/>
          <w:color w:val="auto"/>
          <w:sz w:val="18"/>
          <w:szCs w:val="18"/>
          <w:highlight w:val="none"/>
        </w:rPr>
      </w:pPr>
    </w:p>
    <w:p w14:paraId="524E97F4">
      <w:pPr>
        <w:spacing w:line="241" w:lineRule="auto"/>
        <w:rPr>
          <w:rFonts w:ascii="宋体" w:hAnsi="宋体" w:eastAsia="宋体" w:cs="宋体"/>
          <w:color w:val="auto"/>
          <w:sz w:val="18"/>
          <w:szCs w:val="18"/>
          <w:highlight w:val="none"/>
        </w:rPr>
      </w:pPr>
    </w:p>
    <w:p w14:paraId="495FC94D">
      <w:pPr>
        <w:spacing w:line="241" w:lineRule="auto"/>
        <w:rPr>
          <w:rFonts w:ascii="宋体" w:hAnsi="宋体" w:eastAsia="宋体" w:cs="宋体"/>
          <w:color w:val="auto"/>
          <w:sz w:val="18"/>
          <w:szCs w:val="18"/>
          <w:highlight w:val="none"/>
        </w:rPr>
      </w:pPr>
    </w:p>
    <w:p w14:paraId="00414508">
      <w:pPr>
        <w:spacing w:line="241" w:lineRule="auto"/>
        <w:rPr>
          <w:rFonts w:ascii="宋体" w:hAnsi="宋体" w:eastAsia="宋体" w:cs="宋体"/>
          <w:color w:val="auto"/>
          <w:sz w:val="18"/>
          <w:szCs w:val="18"/>
          <w:highlight w:val="none"/>
        </w:rPr>
      </w:pPr>
    </w:p>
    <w:p w14:paraId="1E47DDFD">
      <w:pPr>
        <w:spacing w:line="241" w:lineRule="auto"/>
        <w:rPr>
          <w:rFonts w:ascii="宋体" w:hAnsi="宋体" w:eastAsia="宋体" w:cs="宋体"/>
          <w:color w:val="auto"/>
          <w:sz w:val="18"/>
          <w:szCs w:val="18"/>
          <w:highlight w:val="none"/>
        </w:rPr>
      </w:pPr>
    </w:p>
    <w:p w14:paraId="45D01D60">
      <w:pPr>
        <w:spacing w:line="241" w:lineRule="auto"/>
        <w:rPr>
          <w:rFonts w:ascii="宋体" w:hAnsi="宋体" w:eastAsia="宋体" w:cs="宋体"/>
          <w:color w:val="auto"/>
          <w:sz w:val="18"/>
          <w:szCs w:val="18"/>
          <w:highlight w:val="none"/>
        </w:rPr>
      </w:pPr>
    </w:p>
    <w:p w14:paraId="4AF4187E">
      <w:pPr>
        <w:spacing w:line="241" w:lineRule="auto"/>
        <w:rPr>
          <w:rFonts w:ascii="宋体" w:hAnsi="宋体" w:eastAsia="宋体" w:cs="宋体"/>
          <w:color w:val="auto"/>
          <w:sz w:val="18"/>
          <w:szCs w:val="18"/>
          <w:highlight w:val="none"/>
        </w:rPr>
      </w:pPr>
    </w:p>
    <w:p w14:paraId="41E1153E">
      <w:pPr>
        <w:spacing w:line="241" w:lineRule="auto"/>
        <w:rPr>
          <w:rFonts w:ascii="宋体" w:hAnsi="宋体" w:eastAsia="宋体" w:cs="宋体"/>
          <w:color w:val="auto"/>
          <w:sz w:val="18"/>
          <w:szCs w:val="18"/>
          <w:highlight w:val="none"/>
        </w:rPr>
      </w:pPr>
    </w:p>
    <w:p w14:paraId="32E8363F">
      <w:pPr>
        <w:pStyle w:val="3"/>
        <w:bidi w:val="0"/>
        <w:jc w:val="center"/>
        <w:rPr>
          <w:color w:val="auto"/>
          <w:highlight w:val="none"/>
        </w:rPr>
      </w:pPr>
      <w:r>
        <w:rPr>
          <w:color w:val="auto"/>
          <w:highlight w:val="none"/>
        </w:rPr>
        <w:t>附录 3  资格审查条件（信誉最低要求）</w:t>
      </w:r>
    </w:p>
    <w:p w14:paraId="33346331">
      <w:pPr>
        <w:spacing w:before="295" w:line="184" w:lineRule="auto"/>
        <w:ind w:left="122"/>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标段：</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6B083CF3">
      <w:pPr>
        <w:spacing w:line="192" w:lineRule="exact"/>
        <w:rPr>
          <w:color w:val="auto"/>
          <w:highlight w:val="none"/>
        </w:rPr>
      </w:pPr>
    </w:p>
    <w:tbl>
      <w:tblPr>
        <w:tblStyle w:val="19"/>
        <w:tblW w:w="9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92"/>
      </w:tblGrid>
      <w:tr w14:paraId="036B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trPr>
        <w:tc>
          <w:tcPr>
            <w:tcW w:w="9292" w:type="dxa"/>
            <w:shd w:val="clear" w:color="auto" w:fill="auto"/>
            <w:vAlign w:val="center"/>
          </w:tcPr>
          <w:p w14:paraId="06DE7FCE">
            <w:pPr>
              <w:pStyle w:val="20"/>
              <w:tabs>
                <w:tab w:val="right" w:pos="5210"/>
              </w:tabs>
              <w:spacing w:before="65" w:line="227" w:lineRule="auto"/>
              <w:jc w:val="center"/>
              <w:rPr>
                <w:rFonts w:hint="eastAsia" w:eastAsia="宋体"/>
                <w:b/>
                <w:bCs/>
                <w:color w:val="auto"/>
                <w:spacing w:val="-2"/>
                <w:highlight w:val="none"/>
                <w:lang w:eastAsia="zh-CN"/>
              </w:rPr>
            </w:pPr>
            <w:bookmarkStart w:id="25" w:name="bookmark93"/>
            <w:bookmarkEnd w:id="25"/>
            <w:r>
              <w:rPr>
                <w:b/>
                <w:bCs/>
                <w:color w:val="auto"/>
                <w:spacing w:val="-2"/>
                <w:highlight w:val="none"/>
              </w:rPr>
              <w:t>信</w:t>
            </w:r>
            <w:r>
              <w:rPr>
                <w:color w:val="auto"/>
                <w:spacing w:val="13"/>
                <w:highlight w:val="none"/>
              </w:rPr>
              <w:t xml:space="preserve"> </w:t>
            </w:r>
            <w:r>
              <w:rPr>
                <w:b/>
                <w:bCs/>
                <w:color w:val="auto"/>
                <w:spacing w:val="-2"/>
                <w:highlight w:val="none"/>
              </w:rPr>
              <w:t>誉</w:t>
            </w:r>
            <w:r>
              <w:rPr>
                <w:color w:val="auto"/>
                <w:spacing w:val="17"/>
                <w:highlight w:val="none"/>
              </w:rPr>
              <w:t xml:space="preserve"> </w:t>
            </w:r>
            <w:r>
              <w:rPr>
                <w:b/>
                <w:bCs/>
                <w:color w:val="auto"/>
                <w:spacing w:val="-2"/>
                <w:highlight w:val="none"/>
              </w:rPr>
              <w:t>要</w:t>
            </w:r>
            <w:r>
              <w:rPr>
                <w:color w:val="auto"/>
                <w:spacing w:val="18"/>
                <w:highlight w:val="none"/>
              </w:rPr>
              <w:t xml:space="preserve"> </w:t>
            </w:r>
            <w:r>
              <w:rPr>
                <w:b/>
                <w:bCs/>
                <w:color w:val="auto"/>
                <w:spacing w:val="-2"/>
                <w:highlight w:val="none"/>
              </w:rPr>
              <w:t>求</w:t>
            </w:r>
          </w:p>
        </w:tc>
      </w:tr>
      <w:tr w14:paraId="01D3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7" w:hRule="atLeast"/>
        </w:trPr>
        <w:tc>
          <w:tcPr>
            <w:tcW w:w="9292" w:type="dxa"/>
            <w:vAlign w:val="center"/>
          </w:tcPr>
          <w:p w14:paraId="14F79A45">
            <w:pPr>
              <w:pStyle w:val="20"/>
              <w:spacing w:before="66" w:line="370" w:lineRule="auto"/>
              <w:ind w:right="108" w:firstLine="444" w:firstLineChars="200"/>
              <w:jc w:val="both"/>
              <w:rPr>
                <w:color w:val="auto"/>
                <w:highlight w:val="none"/>
              </w:rPr>
            </w:pPr>
            <w:r>
              <w:rPr>
                <w:color w:val="auto"/>
                <w:spacing w:val="11"/>
                <w:highlight w:val="none"/>
              </w:rPr>
              <w:t>最新年度（含无广东省最新年度信用等级而上一年度有广东省</w:t>
            </w:r>
            <w:r>
              <w:rPr>
                <w:color w:val="auto"/>
                <w:spacing w:val="10"/>
                <w:highlight w:val="none"/>
              </w:rPr>
              <w:t>信用等级的）在广东省公路工程</w:t>
            </w:r>
            <w:r>
              <w:rPr>
                <w:color w:val="auto"/>
                <w:spacing w:val="9"/>
                <w:highlight w:val="none"/>
              </w:rPr>
              <w:t>从业单位信用评价（监理单位）</w:t>
            </w:r>
            <w:r>
              <w:rPr>
                <w:color w:val="auto"/>
                <w:spacing w:val="-52"/>
                <w:highlight w:val="none"/>
              </w:rPr>
              <w:t xml:space="preserve"> </w:t>
            </w:r>
            <w:r>
              <w:rPr>
                <w:color w:val="auto"/>
                <w:spacing w:val="9"/>
                <w:highlight w:val="none"/>
              </w:rPr>
              <w:t>中，信用等级未被评为</w:t>
            </w:r>
            <w:r>
              <w:rPr>
                <w:color w:val="auto"/>
                <w:spacing w:val="-41"/>
                <w:highlight w:val="none"/>
              </w:rPr>
              <w:t xml:space="preserve"> </w:t>
            </w:r>
            <w:r>
              <w:rPr>
                <w:color w:val="auto"/>
                <w:spacing w:val="9"/>
                <w:highlight w:val="none"/>
              </w:rPr>
              <w:t>D</w:t>
            </w:r>
            <w:r>
              <w:rPr>
                <w:color w:val="auto"/>
                <w:spacing w:val="-34"/>
                <w:highlight w:val="none"/>
              </w:rPr>
              <w:t xml:space="preserve"> </w:t>
            </w:r>
            <w:r>
              <w:rPr>
                <w:color w:val="auto"/>
                <w:spacing w:val="9"/>
                <w:highlight w:val="none"/>
              </w:rPr>
              <w:t>级；初次进入广东省的投标人，在最新全</w:t>
            </w:r>
            <w:r>
              <w:rPr>
                <w:color w:val="auto"/>
                <w:spacing w:val="8"/>
                <w:highlight w:val="none"/>
              </w:rPr>
              <w:t>国公路从业单位（监理单位）信用评价结果中未被评为</w:t>
            </w:r>
            <w:r>
              <w:rPr>
                <w:color w:val="auto"/>
                <w:spacing w:val="-33"/>
                <w:highlight w:val="none"/>
              </w:rPr>
              <w:t xml:space="preserve"> </w:t>
            </w:r>
            <w:r>
              <w:rPr>
                <w:color w:val="auto"/>
                <w:spacing w:val="8"/>
                <w:highlight w:val="none"/>
              </w:rPr>
              <w:t>D</w:t>
            </w:r>
            <w:r>
              <w:rPr>
                <w:color w:val="auto"/>
                <w:spacing w:val="-35"/>
                <w:highlight w:val="none"/>
              </w:rPr>
              <w:t xml:space="preserve"> </w:t>
            </w:r>
            <w:r>
              <w:rPr>
                <w:color w:val="auto"/>
                <w:spacing w:val="8"/>
                <w:highlight w:val="none"/>
              </w:rPr>
              <w:t>级。</w:t>
            </w:r>
          </w:p>
        </w:tc>
      </w:tr>
    </w:tbl>
    <w:p w14:paraId="4CBEF043">
      <w:pPr>
        <w:bidi w:val="0"/>
        <w:rPr>
          <w:color w:val="auto"/>
          <w:highlight w:val="none"/>
        </w:rPr>
      </w:pPr>
    </w:p>
    <w:p w14:paraId="24C6916E">
      <w:pPr>
        <w:bidi w:val="0"/>
        <w:ind w:firstLine="400" w:firstLineChars="200"/>
        <w:rPr>
          <w:color w:val="auto"/>
          <w:sz w:val="20"/>
          <w:szCs w:val="20"/>
          <w:highlight w:val="none"/>
        </w:rPr>
      </w:pPr>
      <w:r>
        <w:rPr>
          <w:color w:val="auto"/>
          <w:sz w:val="20"/>
          <w:szCs w:val="20"/>
          <w:highlight w:val="none"/>
        </w:rPr>
        <w:t>注：信用等级的确定原则遵循投标人须知前附表第 10.2 款的规定。</w:t>
      </w:r>
    </w:p>
    <w:p w14:paraId="46E305C2">
      <w:pPr>
        <w:spacing w:line="251" w:lineRule="auto"/>
        <w:rPr>
          <w:rFonts w:ascii="Arial"/>
          <w:color w:val="auto"/>
          <w:sz w:val="21"/>
          <w:highlight w:val="none"/>
        </w:rPr>
      </w:pPr>
    </w:p>
    <w:p w14:paraId="2C58B652">
      <w:pPr>
        <w:spacing w:line="251" w:lineRule="auto"/>
        <w:rPr>
          <w:rFonts w:ascii="Arial"/>
          <w:color w:val="auto"/>
          <w:sz w:val="21"/>
          <w:highlight w:val="none"/>
        </w:rPr>
      </w:pPr>
    </w:p>
    <w:p w14:paraId="0B13DE32">
      <w:pPr>
        <w:spacing w:line="251" w:lineRule="auto"/>
        <w:rPr>
          <w:rFonts w:ascii="Arial"/>
          <w:color w:val="auto"/>
          <w:sz w:val="21"/>
          <w:highlight w:val="none"/>
        </w:rPr>
      </w:pPr>
    </w:p>
    <w:p w14:paraId="0F965CED">
      <w:pPr>
        <w:spacing w:line="251" w:lineRule="auto"/>
        <w:rPr>
          <w:rFonts w:ascii="Arial"/>
          <w:color w:val="auto"/>
          <w:sz w:val="21"/>
          <w:highlight w:val="none"/>
        </w:rPr>
      </w:pPr>
    </w:p>
    <w:p w14:paraId="794CB386">
      <w:pPr>
        <w:spacing w:line="251" w:lineRule="auto"/>
        <w:rPr>
          <w:rFonts w:ascii="Arial"/>
          <w:color w:val="auto"/>
          <w:sz w:val="21"/>
          <w:highlight w:val="none"/>
        </w:rPr>
      </w:pPr>
    </w:p>
    <w:p w14:paraId="77E7A7D8">
      <w:pPr>
        <w:spacing w:line="251" w:lineRule="auto"/>
        <w:rPr>
          <w:rFonts w:ascii="Arial"/>
          <w:color w:val="auto"/>
          <w:sz w:val="21"/>
          <w:highlight w:val="none"/>
        </w:rPr>
      </w:pPr>
    </w:p>
    <w:p w14:paraId="2E034ECF">
      <w:pPr>
        <w:spacing w:line="251" w:lineRule="auto"/>
        <w:rPr>
          <w:rFonts w:ascii="Arial"/>
          <w:color w:val="auto"/>
          <w:sz w:val="21"/>
          <w:highlight w:val="none"/>
        </w:rPr>
      </w:pPr>
    </w:p>
    <w:p w14:paraId="6A449910">
      <w:pPr>
        <w:spacing w:line="251" w:lineRule="auto"/>
        <w:rPr>
          <w:rFonts w:ascii="Arial"/>
          <w:color w:val="auto"/>
          <w:sz w:val="21"/>
          <w:highlight w:val="none"/>
        </w:rPr>
      </w:pPr>
    </w:p>
    <w:p w14:paraId="3F9C9132">
      <w:pPr>
        <w:spacing w:line="251" w:lineRule="auto"/>
        <w:rPr>
          <w:rFonts w:ascii="Arial"/>
          <w:color w:val="auto"/>
          <w:sz w:val="21"/>
          <w:highlight w:val="none"/>
        </w:rPr>
      </w:pPr>
    </w:p>
    <w:p w14:paraId="7873E47A">
      <w:pPr>
        <w:spacing w:line="251" w:lineRule="auto"/>
        <w:rPr>
          <w:rFonts w:ascii="Arial"/>
          <w:color w:val="auto"/>
          <w:sz w:val="21"/>
          <w:highlight w:val="none"/>
        </w:rPr>
      </w:pPr>
    </w:p>
    <w:p w14:paraId="6A93B30E">
      <w:pPr>
        <w:spacing w:line="251" w:lineRule="auto"/>
        <w:rPr>
          <w:rFonts w:ascii="Arial"/>
          <w:color w:val="auto"/>
          <w:sz w:val="21"/>
          <w:highlight w:val="none"/>
        </w:rPr>
      </w:pPr>
    </w:p>
    <w:p w14:paraId="24511898">
      <w:pPr>
        <w:spacing w:line="251" w:lineRule="auto"/>
        <w:rPr>
          <w:rFonts w:ascii="Arial"/>
          <w:color w:val="auto"/>
          <w:sz w:val="21"/>
          <w:highlight w:val="none"/>
        </w:rPr>
      </w:pPr>
    </w:p>
    <w:p w14:paraId="54DCD786">
      <w:pPr>
        <w:spacing w:line="251" w:lineRule="auto"/>
        <w:rPr>
          <w:rFonts w:ascii="Arial"/>
          <w:color w:val="auto"/>
          <w:sz w:val="21"/>
          <w:highlight w:val="none"/>
        </w:rPr>
      </w:pPr>
    </w:p>
    <w:p w14:paraId="1A84D692">
      <w:pPr>
        <w:spacing w:line="251" w:lineRule="auto"/>
        <w:rPr>
          <w:rFonts w:ascii="Arial"/>
          <w:color w:val="auto"/>
          <w:sz w:val="21"/>
          <w:highlight w:val="none"/>
        </w:rPr>
      </w:pPr>
    </w:p>
    <w:p w14:paraId="290A0E9B">
      <w:pPr>
        <w:spacing w:line="251" w:lineRule="auto"/>
        <w:rPr>
          <w:rFonts w:ascii="Arial"/>
          <w:color w:val="auto"/>
          <w:sz w:val="21"/>
          <w:highlight w:val="none"/>
        </w:rPr>
      </w:pPr>
    </w:p>
    <w:p w14:paraId="161854D2">
      <w:pPr>
        <w:spacing w:line="251" w:lineRule="auto"/>
        <w:rPr>
          <w:rFonts w:ascii="Arial"/>
          <w:color w:val="auto"/>
          <w:sz w:val="21"/>
          <w:highlight w:val="none"/>
        </w:rPr>
      </w:pPr>
    </w:p>
    <w:p w14:paraId="157EF33E">
      <w:pPr>
        <w:spacing w:line="251" w:lineRule="auto"/>
        <w:rPr>
          <w:rFonts w:ascii="Arial"/>
          <w:color w:val="auto"/>
          <w:sz w:val="21"/>
          <w:highlight w:val="none"/>
        </w:rPr>
      </w:pPr>
    </w:p>
    <w:p w14:paraId="3E6A64C2">
      <w:pPr>
        <w:spacing w:line="251" w:lineRule="auto"/>
        <w:rPr>
          <w:rFonts w:ascii="Arial"/>
          <w:color w:val="auto"/>
          <w:sz w:val="21"/>
          <w:highlight w:val="none"/>
        </w:rPr>
      </w:pPr>
    </w:p>
    <w:p w14:paraId="085751E8">
      <w:pPr>
        <w:spacing w:line="251" w:lineRule="auto"/>
        <w:rPr>
          <w:rFonts w:ascii="Arial"/>
          <w:color w:val="auto"/>
          <w:sz w:val="21"/>
          <w:highlight w:val="none"/>
        </w:rPr>
      </w:pPr>
    </w:p>
    <w:p w14:paraId="7A41C79C">
      <w:pPr>
        <w:spacing w:line="251" w:lineRule="auto"/>
        <w:rPr>
          <w:rFonts w:ascii="Arial"/>
          <w:color w:val="auto"/>
          <w:sz w:val="21"/>
          <w:highlight w:val="none"/>
        </w:rPr>
      </w:pPr>
    </w:p>
    <w:p w14:paraId="55CBE426">
      <w:pPr>
        <w:spacing w:line="251" w:lineRule="auto"/>
        <w:rPr>
          <w:rFonts w:ascii="Arial"/>
          <w:color w:val="auto"/>
          <w:sz w:val="21"/>
          <w:highlight w:val="none"/>
        </w:rPr>
      </w:pPr>
    </w:p>
    <w:p w14:paraId="39CD331B">
      <w:pPr>
        <w:spacing w:line="251" w:lineRule="auto"/>
        <w:rPr>
          <w:rFonts w:ascii="Arial"/>
          <w:color w:val="auto"/>
          <w:sz w:val="21"/>
          <w:highlight w:val="none"/>
        </w:rPr>
      </w:pPr>
    </w:p>
    <w:p w14:paraId="1BC94D10">
      <w:pPr>
        <w:spacing w:line="251" w:lineRule="auto"/>
        <w:rPr>
          <w:rFonts w:ascii="Arial"/>
          <w:color w:val="auto"/>
          <w:sz w:val="21"/>
          <w:highlight w:val="none"/>
        </w:rPr>
      </w:pPr>
    </w:p>
    <w:p w14:paraId="2B52ABF9">
      <w:pPr>
        <w:spacing w:line="251" w:lineRule="auto"/>
        <w:rPr>
          <w:rFonts w:ascii="Arial"/>
          <w:color w:val="auto"/>
          <w:sz w:val="21"/>
          <w:highlight w:val="none"/>
        </w:rPr>
      </w:pPr>
    </w:p>
    <w:p w14:paraId="79F34460">
      <w:pPr>
        <w:spacing w:line="251" w:lineRule="auto"/>
        <w:rPr>
          <w:rFonts w:ascii="Arial"/>
          <w:color w:val="auto"/>
          <w:sz w:val="21"/>
          <w:highlight w:val="none"/>
        </w:rPr>
      </w:pPr>
    </w:p>
    <w:p w14:paraId="7A384001">
      <w:pPr>
        <w:spacing w:line="251" w:lineRule="auto"/>
        <w:rPr>
          <w:rFonts w:ascii="Arial"/>
          <w:color w:val="auto"/>
          <w:sz w:val="21"/>
          <w:highlight w:val="none"/>
        </w:rPr>
      </w:pPr>
    </w:p>
    <w:p w14:paraId="6A324E66">
      <w:pPr>
        <w:spacing w:line="251" w:lineRule="auto"/>
        <w:rPr>
          <w:rFonts w:ascii="Arial"/>
          <w:color w:val="auto"/>
          <w:sz w:val="21"/>
          <w:highlight w:val="none"/>
        </w:rPr>
      </w:pPr>
    </w:p>
    <w:p w14:paraId="43CE1416">
      <w:pPr>
        <w:spacing w:line="251" w:lineRule="auto"/>
        <w:rPr>
          <w:rFonts w:ascii="Arial"/>
          <w:color w:val="auto"/>
          <w:sz w:val="21"/>
          <w:highlight w:val="none"/>
        </w:rPr>
      </w:pPr>
    </w:p>
    <w:p w14:paraId="48C15C4C">
      <w:pPr>
        <w:spacing w:line="251" w:lineRule="auto"/>
        <w:rPr>
          <w:rFonts w:ascii="Arial"/>
          <w:color w:val="auto"/>
          <w:sz w:val="21"/>
          <w:highlight w:val="none"/>
        </w:rPr>
      </w:pPr>
    </w:p>
    <w:p w14:paraId="6BE70D33">
      <w:pPr>
        <w:spacing w:line="251" w:lineRule="auto"/>
        <w:rPr>
          <w:rFonts w:ascii="Arial"/>
          <w:color w:val="auto"/>
          <w:sz w:val="21"/>
          <w:highlight w:val="none"/>
        </w:rPr>
      </w:pPr>
    </w:p>
    <w:p w14:paraId="10C86AFA">
      <w:pPr>
        <w:spacing w:line="251" w:lineRule="auto"/>
        <w:rPr>
          <w:rFonts w:ascii="Arial"/>
          <w:color w:val="auto"/>
          <w:sz w:val="21"/>
          <w:highlight w:val="none"/>
        </w:rPr>
      </w:pPr>
    </w:p>
    <w:p w14:paraId="236ABC73">
      <w:pPr>
        <w:spacing w:line="251" w:lineRule="auto"/>
        <w:rPr>
          <w:rFonts w:ascii="Arial"/>
          <w:color w:val="auto"/>
          <w:sz w:val="21"/>
          <w:highlight w:val="none"/>
        </w:rPr>
      </w:pPr>
    </w:p>
    <w:p w14:paraId="429216BB">
      <w:pPr>
        <w:spacing w:line="251" w:lineRule="auto"/>
        <w:rPr>
          <w:rFonts w:ascii="Arial"/>
          <w:color w:val="auto"/>
          <w:sz w:val="21"/>
          <w:highlight w:val="none"/>
        </w:rPr>
      </w:pPr>
    </w:p>
    <w:p w14:paraId="46219A72">
      <w:pPr>
        <w:spacing w:line="251" w:lineRule="auto"/>
        <w:rPr>
          <w:rFonts w:ascii="Arial"/>
          <w:color w:val="auto"/>
          <w:sz w:val="21"/>
          <w:highlight w:val="none"/>
        </w:rPr>
      </w:pPr>
    </w:p>
    <w:p w14:paraId="62508E3F">
      <w:pPr>
        <w:spacing w:line="251" w:lineRule="auto"/>
        <w:rPr>
          <w:rFonts w:ascii="Arial"/>
          <w:color w:val="auto"/>
          <w:sz w:val="21"/>
          <w:highlight w:val="none"/>
        </w:rPr>
      </w:pPr>
    </w:p>
    <w:p w14:paraId="32CFCC6F">
      <w:pPr>
        <w:spacing w:line="251" w:lineRule="auto"/>
        <w:rPr>
          <w:rFonts w:ascii="Arial"/>
          <w:color w:val="auto"/>
          <w:sz w:val="21"/>
          <w:highlight w:val="none"/>
        </w:rPr>
      </w:pPr>
    </w:p>
    <w:p w14:paraId="4924F588">
      <w:pPr>
        <w:spacing w:line="251" w:lineRule="auto"/>
        <w:rPr>
          <w:rFonts w:ascii="Arial"/>
          <w:color w:val="auto"/>
          <w:sz w:val="21"/>
          <w:highlight w:val="none"/>
        </w:rPr>
      </w:pPr>
    </w:p>
    <w:p w14:paraId="74E908C8">
      <w:pPr>
        <w:spacing w:line="251" w:lineRule="auto"/>
        <w:rPr>
          <w:rFonts w:ascii="Arial"/>
          <w:color w:val="auto"/>
          <w:sz w:val="21"/>
          <w:highlight w:val="none"/>
        </w:rPr>
      </w:pPr>
    </w:p>
    <w:p w14:paraId="57EC4DB9">
      <w:pPr>
        <w:spacing w:line="251" w:lineRule="auto"/>
        <w:rPr>
          <w:rFonts w:ascii="Arial"/>
          <w:color w:val="auto"/>
          <w:sz w:val="21"/>
          <w:highlight w:val="none"/>
        </w:rPr>
      </w:pPr>
    </w:p>
    <w:p w14:paraId="50BE2580">
      <w:pPr>
        <w:spacing w:line="251" w:lineRule="auto"/>
        <w:rPr>
          <w:rFonts w:ascii="Arial"/>
          <w:color w:val="auto"/>
          <w:sz w:val="21"/>
          <w:highlight w:val="none"/>
        </w:rPr>
      </w:pPr>
    </w:p>
    <w:p w14:paraId="530A1A49">
      <w:pPr>
        <w:spacing w:line="251" w:lineRule="auto"/>
        <w:rPr>
          <w:rFonts w:ascii="Arial"/>
          <w:color w:val="auto"/>
          <w:sz w:val="21"/>
          <w:highlight w:val="none"/>
        </w:rPr>
      </w:pPr>
    </w:p>
    <w:p w14:paraId="442BB054">
      <w:pPr>
        <w:pStyle w:val="3"/>
        <w:bidi w:val="0"/>
        <w:jc w:val="center"/>
        <w:rPr>
          <w:color w:val="auto"/>
          <w:highlight w:val="none"/>
        </w:rPr>
      </w:pPr>
      <w:r>
        <w:rPr>
          <w:color w:val="auto"/>
          <w:highlight w:val="none"/>
        </w:rPr>
        <w:t>附录</w:t>
      </w:r>
      <w:r>
        <w:rPr>
          <w:rFonts w:hint="eastAsia"/>
          <w:color w:val="auto"/>
          <w:highlight w:val="none"/>
          <w:lang w:val="en-US" w:eastAsia="zh-CN"/>
        </w:rPr>
        <w:t xml:space="preserve"> </w:t>
      </w:r>
      <w:r>
        <w:rPr>
          <w:color w:val="auto"/>
          <w:highlight w:val="none"/>
        </w:rPr>
        <w:t>4  资格审查条件（总监理工程师最低要求）</w:t>
      </w:r>
    </w:p>
    <w:p w14:paraId="4CE2F42B">
      <w:pPr>
        <w:spacing w:before="295" w:line="184"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标段：</w:t>
      </w:r>
      <w:r>
        <w:rPr>
          <w:rFonts w:ascii="宋体" w:hAnsi="宋体" w:eastAsia="宋体" w:cs="宋体"/>
          <w:color w:val="auto"/>
          <w:sz w:val="24"/>
          <w:szCs w:val="24"/>
          <w:highlight w:val="none"/>
          <w:u w:val="single" w:color="auto"/>
        </w:rPr>
        <w:t xml:space="preserve">    </w:t>
      </w:r>
      <w:r>
        <w:rPr>
          <w:rFonts w:hint="eastAsia" w:ascii="宋体" w:hAnsi="宋体" w:eastAsia="宋体" w:cs="宋体"/>
          <w:b w:val="0"/>
          <w:bCs w:val="0"/>
          <w:color w:val="auto"/>
          <w:sz w:val="24"/>
          <w:szCs w:val="24"/>
          <w:highlight w:val="none"/>
          <w:u w:val="single" w:color="auto"/>
          <w:lang w:val="en-US" w:eastAsia="zh-CN"/>
        </w:rPr>
        <w:t>/</w:t>
      </w:r>
      <w:r>
        <w:rPr>
          <w:rFonts w:ascii="宋体" w:hAnsi="宋体" w:eastAsia="宋体" w:cs="宋体"/>
          <w:b w:val="0"/>
          <w:bCs w:val="0"/>
          <w:color w:val="auto"/>
          <w:sz w:val="24"/>
          <w:szCs w:val="24"/>
          <w:highlight w:val="none"/>
          <w:u w:val="single" w:color="auto"/>
        </w:rPr>
        <w:t xml:space="preserve"> </w:t>
      </w:r>
      <w:r>
        <w:rPr>
          <w:rFonts w:ascii="宋体" w:hAnsi="宋体" w:eastAsia="宋体" w:cs="宋体"/>
          <w:color w:val="auto"/>
          <w:sz w:val="24"/>
          <w:szCs w:val="24"/>
          <w:highlight w:val="none"/>
          <w:u w:val="single" w:color="auto"/>
        </w:rPr>
        <w:t xml:space="preserve">   </w:t>
      </w:r>
    </w:p>
    <w:p w14:paraId="5A276141">
      <w:pPr>
        <w:spacing w:line="192" w:lineRule="exact"/>
        <w:rPr>
          <w:color w:val="auto"/>
          <w:highlight w:val="none"/>
        </w:rPr>
      </w:pPr>
    </w:p>
    <w:tbl>
      <w:tblPr>
        <w:tblStyle w:val="19"/>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6"/>
        <w:gridCol w:w="1452"/>
        <w:gridCol w:w="848"/>
        <w:gridCol w:w="3903"/>
        <w:gridCol w:w="1629"/>
      </w:tblGrid>
      <w:tr w14:paraId="1534F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1456" w:type="dxa"/>
            <w:tcBorders>
              <w:top w:val="single" w:color="000000" w:sz="4" w:space="0"/>
              <w:left w:val="single" w:color="000000" w:sz="4" w:space="0"/>
              <w:bottom w:val="single" w:color="000000" w:sz="4" w:space="0"/>
              <w:right w:val="single" w:color="000000" w:sz="4" w:space="0"/>
            </w:tcBorders>
            <w:vAlign w:val="top"/>
          </w:tcPr>
          <w:p w14:paraId="0CF06750">
            <w:pPr>
              <w:pStyle w:val="20"/>
              <w:spacing w:before="133" w:line="228" w:lineRule="auto"/>
              <w:ind w:left="315"/>
              <w:rPr>
                <w:b/>
                <w:bCs/>
                <w:color w:val="auto"/>
                <w:highlight w:val="none"/>
              </w:rPr>
            </w:pPr>
            <w:r>
              <w:rPr>
                <w:b/>
                <w:bCs/>
                <w:color w:val="auto"/>
                <w:spacing w:val="7"/>
                <w:highlight w:val="none"/>
              </w:rPr>
              <w:t>标段类别</w:t>
            </w:r>
          </w:p>
        </w:tc>
        <w:tc>
          <w:tcPr>
            <w:tcW w:w="1452" w:type="dxa"/>
            <w:tcBorders>
              <w:top w:val="single" w:color="000000" w:sz="4" w:space="0"/>
              <w:left w:val="single" w:color="000000" w:sz="4" w:space="0"/>
              <w:bottom w:val="single" w:color="000000" w:sz="4" w:space="0"/>
              <w:right w:val="single" w:color="000000" w:sz="4" w:space="0"/>
            </w:tcBorders>
            <w:vAlign w:val="top"/>
          </w:tcPr>
          <w:p w14:paraId="14F357C1">
            <w:pPr>
              <w:pStyle w:val="20"/>
              <w:spacing w:before="134" w:line="229" w:lineRule="auto"/>
              <w:ind w:left="521"/>
              <w:rPr>
                <w:b/>
                <w:bCs/>
                <w:color w:val="auto"/>
                <w:highlight w:val="none"/>
              </w:rPr>
            </w:pPr>
            <w:r>
              <w:rPr>
                <w:b/>
                <w:bCs/>
                <w:color w:val="auto"/>
                <w:spacing w:val="3"/>
                <w:highlight w:val="none"/>
              </w:rPr>
              <w:t>人员</w:t>
            </w:r>
          </w:p>
        </w:tc>
        <w:tc>
          <w:tcPr>
            <w:tcW w:w="848" w:type="dxa"/>
            <w:tcBorders>
              <w:top w:val="single" w:color="000000" w:sz="4" w:space="0"/>
              <w:left w:val="single" w:color="000000" w:sz="4" w:space="0"/>
              <w:bottom w:val="single" w:color="000000" w:sz="4" w:space="0"/>
              <w:right w:val="single" w:color="000000" w:sz="4" w:space="0"/>
            </w:tcBorders>
            <w:vAlign w:val="top"/>
          </w:tcPr>
          <w:p w14:paraId="0EF4298A">
            <w:pPr>
              <w:pStyle w:val="20"/>
              <w:spacing w:before="133" w:line="228" w:lineRule="auto"/>
              <w:ind w:left="221"/>
              <w:rPr>
                <w:b/>
                <w:bCs/>
                <w:color w:val="auto"/>
                <w:highlight w:val="none"/>
              </w:rPr>
            </w:pPr>
            <w:r>
              <w:rPr>
                <w:b/>
                <w:bCs/>
                <w:color w:val="auto"/>
                <w:spacing w:val="3"/>
                <w:highlight w:val="none"/>
              </w:rPr>
              <w:t>数量</w:t>
            </w:r>
          </w:p>
        </w:tc>
        <w:tc>
          <w:tcPr>
            <w:tcW w:w="3903" w:type="dxa"/>
            <w:tcBorders>
              <w:top w:val="single" w:color="000000" w:sz="4" w:space="0"/>
              <w:left w:val="single" w:color="000000" w:sz="4" w:space="0"/>
              <w:bottom w:val="single" w:color="000000" w:sz="4" w:space="0"/>
              <w:right w:val="single" w:color="000000" w:sz="4" w:space="0"/>
            </w:tcBorders>
            <w:vAlign w:val="top"/>
          </w:tcPr>
          <w:p w14:paraId="455CB066">
            <w:pPr>
              <w:pStyle w:val="20"/>
              <w:spacing w:before="133" w:line="228" w:lineRule="auto"/>
              <w:ind w:left="1389"/>
              <w:rPr>
                <w:b/>
                <w:bCs/>
                <w:color w:val="auto"/>
                <w:highlight w:val="none"/>
              </w:rPr>
            </w:pPr>
            <w:r>
              <w:rPr>
                <w:b/>
                <w:bCs/>
                <w:color w:val="auto"/>
                <w:spacing w:val="-2"/>
                <w:highlight w:val="none"/>
              </w:rPr>
              <w:t>资</w:t>
            </w:r>
            <w:r>
              <w:rPr>
                <w:b/>
                <w:bCs/>
                <w:color w:val="auto"/>
                <w:spacing w:val="15"/>
                <w:highlight w:val="none"/>
              </w:rPr>
              <w:t xml:space="preserve"> </w:t>
            </w:r>
            <w:r>
              <w:rPr>
                <w:b/>
                <w:bCs/>
                <w:color w:val="auto"/>
                <w:spacing w:val="-2"/>
                <w:highlight w:val="none"/>
              </w:rPr>
              <w:t>格</w:t>
            </w:r>
            <w:r>
              <w:rPr>
                <w:b/>
                <w:bCs/>
                <w:color w:val="auto"/>
                <w:spacing w:val="15"/>
                <w:highlight w:val="none"/>
              </w:rPr>
              <w:t xml:space="preserve"> </w:t>
            </w:r>
            <w:r>
              <w:rPr>
                <w:b/>
                <w:bCs/>
                <w:color w:val="auto"/>
                <w:spacing w:val="-2"/>
                <w:highlight w:val="none"/>
              </w:rPr>
              <w:t>要</w:t>
            </w:r>
            <w:r>
              <w:rPr>
                <w:b/>
                <w:bCs/>
                <w:color w:val="auto"/>
                <w:spacing w:val="15"/>
                <w:highlight w:val="none"/>
              </w:rPr>
              <w:t xml:space="preserve"> </w:t>
            </w:r>
            <w:r>
              <w:rPr>
                <w:b/>
                <w:bCs/>
                <w:color w:val="auto"/>
                <w:spacing w:val="-2"/>
                <w:highlight w:val="none"/>
              </w:rPr>
              <w:t>求</w:t>
            </w:r>
          </w:p>
        </w:tc>
        <w:tc>
          <w:tcPr>
            <w:tcW w:w="1629" w:type="dxa"/>
            <w:tcBorders>
              <w:top w:val="single" w:color="000000" w:sz="4" w:space="0"/>
              <w:left w:val="single" w:color="000000" w:sz="4" w:space="0"/>
              <w:bottom w:val="single" w:color="000000" w:sz="4" w:space="0"/>
              <w:right w:val="single" w:color="000000" w:sz="4" w:space="0"/>
            </w:tcBorders>
            <w:vAlign w:val="top"/>
          </w:tcPr>
          <w:p w14:paraId="19F76686">
            <w:pPr>
              <w:pStyle w:val="20"/>
              <w:spacing w:before="134" w:line="228" w:lineRule="auto"/>
              <w:ind w:left="399"/>
              <w:rPr>
                <w:b/>
                <w:bCs/>
                <w:color w:val="auto"/>
                <w:highlight w:val="none"/>
              </w:rPr>
            </w:pPr>
            <w:r>
              <w:rPr>
                <w:b/>
                <w:bCs/>
                <w:color w:val="auto"/>
                <w:spacing w:val="7"/>
                <w:highlight w:val="none"/>
              </w:rPr>
              <w:t>在岗要求</w:t>
            </w:r>
          </w:p>
        </w:tc>
      </w:tr>
      <w:tr w14:paraId="2D12C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1456" w:type="dxa"/>
            <w:vMerge w:val="restart"/>
            <w:tcBorders>
              <w:top w:val="single" w:color="000000" w:sz="4" w:space="0"/>
              <w:bottom w:val="nil"/>
            </w:tcBorders>
            <w:vAlign w:val="top"/>
          </w:tcPr>
          <w:p w14:paraId="057C5B18">
            <w:pPr>
              <w:spacing w:line="313" w:lineRule="auto"/>
              <w:rPr>
                <w:rFonts w:ascii="Arial"/>
                <w:color w:val="auto"/>
                <w:sz w:val="21"/>
                <w:highlight w:val="none"/>
              </w:rPr>
            </w:pPr>
          </w:p>
          <w:p w14:paraId="4B485A04">
            <w:pPr>
              <w:spacing w:line="313" w:lineRule="auto"/>
              <w:rPr>
                <w:rFonts w:ascii="Arial"/>
                <w:color w:val="auto"/>
                <w:sz w:val="21"/>
                <w:highlight w:val="none"/>
              </w:rPr>
            </w:pPr>
          </w:p>
          <w:p w14:paraId="4CFDC98C">
            <w:pPr>
              <w:pStyle w:val="20"/>
              <w:tabs>
                <w:tab w:val="left" w:pos="350"/>
              </w:tabs>
              <w:spacing w:before="65" w:line="351" w:lineRule="auto"/>
              <w:ind w:left="139" w:right="124" w:firstLine="69"/>
              <w:jc w:val="center"/>
              <w:rPr>
                <w:rFonts w:hint="eastAsia" w:ascii="宋体" w:hAnsi="宋体" w:eastAsia="宋体" w:cs="宋体"/>
                <w:color w:val="auto"/>
                <w:highlight w:val="none"/>
              </w:rPr>
            </w:pPr>
            <w:r>
              <w:rPr>
                <w:rFonts w:hint="eastAsia" w:ascii="宋体" w:hAnsi="宋体" w:eastAsia="宋体" w:cs="宋体"/>
                <w:color w:val="auto"/>
                <w:spacing w:val="4"/>
                <w:highlight w:val="none"/>
              </w:rPr>
              <w:t>土</w:t>
            </w:r>
            <w:r>
              <w:rPr>
                <w:rFonts w:hint="eastAsia" w:ascii="宋体" w:hAnsi="宋体" w:eastAsia="宋体" w:cs="宋体"/>
                <w:color w:val="auto"/>
                <w:spacing w:val="21"/>
                <w:highlight w:val="none"/>
              </w:rPr>
              <w:t>建监理含中</w:t>
            </w:r>
            <w:r>
              <w:rPr>
                <w:rFonts w:hint="eastAsia" w:ascii="宋体" w:hAnsi="宋体" w:eastAsia="宋体" w:cs="宋体"/>
                <w:color w:val="auto"/>
                <w:spacing w:val="7"/>
                <w:highlight w:val="none"/>
              </w:rPr>
              <w:t>心试验室</w:t>
            </w:r>
          </w:p>
          <w:p w14:paraId="4F3F8E9A">
            <w:pPr>
              <w:pStyle w:val="20"/>
              <w:tabs>
                <w:tab w:val="left" w:pos="350"/>
              </w:tabs>
              <w:spacing w:before="65" w:line="351" w:lineRule="auto"/>
              <w:ind w:left="139" w:right="124" w:firstLine="69"/>
              <w:jc w:val="center"/>
              <w:rPr>
                <w:color w:val="auto"/>
                <w:highlight w:val="none"/>
              </w:rPr>
            </w:pPr>
            <w:r>
              <w:rPr>
                <w:rFonts w:hint="eastAsia" w:ascii="宋体" w:hAnsi="宋体" w:eastAsia="宋体" w:cs="宋体"/>
                <w:color w:val="auto"/>
                <w:spacing w:val="-2"/>
                <w:highlight w:val="none"/>
              </w:rPr>
              <w:t>（D</w:t>
            </w:r>
            <w:r>
              <w:rPr>
                <w:rFonts w:hint="eastAsia" w:ascii="宋体" w:hAnsi="宋体" w:eastAsia="宋体" w:cs="宋体"/>
                <w:color w:val="auto"/>
                <w:spacing w:val="-38"/>
                <w:highlight w:val="none"/>
              </w:rPr>
              <w:t xml:space="preserve"> </w:t>
            </w:r>
            <w:r>
              <w:rPr>
                <w:rFonts w:hint="eastAsia" w:ascii="宋体" w:hAnsi="宋体" w:eastAsia="宋体" w:cs="宋体"/>
                <w:color w:val="auto"/>
                <w:spacing w:val="-2"/>
                <w:highlight w:val="none"/>
              </w:rPr>
              <w:t>类）</w:t>
            </w:r>
          </w:p>
        </w:tc>
        <w:tc>
          <w:tcPr>
            <w:tcW w:w="1452" w:type="dxa"/>
            <w:tcBorders>
              <w:top w:val="single" w:color="000000" w:sz="4" w:space="0"/>
            </w:tcBorders>
            <w:vAlign w:val="top"/>
          </w:tcPr>
          <w:p w14:paraId="3BD4998B">
            <w:pPr>
              <w:pStyle w:val="20"/>
              <w:spacing w:before="297" w:line="354" w:lineRule="auto"/>
              <w:ind w:left="627" w:right="201" w:hanging="417"/>
              <w:rPr>
                <w:color w:val="auto"/>
                <w:highlight w:val="none"/>
              </w:rPr>
            </w:pPr>
            <w:r>
              <w:rPr>
                <w:color w:val="auto"/>
                <w:spacing w:val="7"/>
                <w:highlight w:val="none"/>
              </w:rPr>
              <w:t>总监理工程</w:t>
            </w:r>
            <w:r>
              <w:rPr>
                <w:color w:val="auto"/>
                <w:highlight w:val="none"/>
              </w:rPr>
              <w:t>师</w:t>
            </w:r>
          </w:p>
        </w:tc>
        <w:tc>
          <w:tcPr>
            <w:tcW w:w="848" w:type="dxa"/>
            <w:tcBorders>
              <w:top w:val="single" w:color="000000" w:sz="4" w:space="0"/>
            </w:tcBorders>
            <w:vAlign w:val="top"/>
          </w:tcPr>
          <w:p w14:paraId="283E052D">
            <w:pPr>
              <w:spacing w:line="422" w:lineRule="auto"/>
              <w:rPr>
                <w:rFonts w:ascii="Arial"/>
                <w:color w:val="auto"/>
                <w:sz w:val="21"/>
                <w:highlight w:val="none"/>
              </w:rPr>
            </w:pPr>
          </w:p>
          <w:p w14:paraId="28D956A8">
            <w:pPr>
              <w:pStyle w:val="20"/>
              <w:spacing w:before="65" w:line="270" w:lineRule="exact"/>
              <w:ind w:left="393"/>
              <w:rPr>
                <w:color w:val="auto"/>
                <w:highlight w:val="none"/>
              </w:rPr>
            </w:pPr>
            <w:r>
              <w:rPr>
                <w:color w:val="auto"/>
                <w:position w:val="1"/>
                <w:highlight w:val="none"/>
              </w:rPr>
              <w:t>1</w:t>
            </w:r>
          </w:p>
        </w:tc>
        <w:tc>
          <w:tcPr>
            <w:tcW w:w="3903" w:type="dxa"/>
            <w:vMerge w:val="restart"/>
            <w:tcBorders>
              <w:top w:val="single" w:color="000000" w:sz="4" w:space="0"/>
              <w:bottom w:val="nil"/>
            </w:tcBorders>
            <w:vAlign w:val="top"/>
          </w:tcPr>
          <w:p w14:paraId="7644CBD2">
            <w:pPr>
              <w:pStyle w:val="20"/>
              <w:spacing w:before="120" w:line="336" w:lineRule="auto"/>
              <w:ind w:left="112" w:right="104" w:firstLine="2"/>
              <w:jc w:val="both"/>
              <w:rPr>
                <w:color w:val="auto"/>
                <w:highlight w:val="none"/>
              </w:rPr>
            </w:pPr>
            <w:r>
              <w:rPr>
                <w:color w:val="auto"/>
                <w:spacing w:val="16"/>
                <w:highlight w:val="none"/>
                <w:u w:val="single" w:color="auto"/>
              </w:rPr>
              <w:t>路桥</w:t>
            </w:r>
            <w:r>
              <w:rPr>
                <w:color w:val="auto"/>
                <w:spacing w:val="16"/>
                <w:highlight w:val="none"/>
              </w:rPr>
              <w:t>相关专业</w:t>
            </w:r>
            <w:r>
              <w:rPr>
                <w:color w:val="auto"/>
                <w:spacing w:val="16"/>
                <w:highlight w:val="none"/>
                <w:u w:val="single" w:color="auto"/>
              </w:rPr>
              <w:t>高级</w:t>
            </w:r>
            <w:r>
              <w:rPr>
                <w:color w:val="auto"/>
                <w:spacing w:val="16"/>
                <w:highlight w:val="none"/>
              </w:rPr>
              <w:t>工程师，至少担任过</w:t>
            </w:r>
            <w:r>
              <w:rPr>
                <w:rFonts w:hint="eastAsia"/>
                <w:color w:val="auto"/>
                <w:spacing w:val="16"/>
                <w:highlight w:val="none"/>
                <w:u w:val="single"/>
                <w:lang w:val="en-US" w:eastAsia="zh-CN"/>
              </w:rPr>
              <w:t>1</w:t>
            </w:r>
            <w:r>
              <w:rPr>
                <w:color w:val="auto"/>
                <w:spacing w:val="16"/>
                <w:highlight w:val="none"/>
                <w:u w:val="single"/>
              </w:rPr>
              <w:t>项</w:t>
            </w:r>
            <w:r>
              <w:rPr>
                <w:color w:val="auto"/>
                <w:spacing w:val="16"/>
                <w:highlight w:val="none"/>
              </w:rPr>
              <w:t>类似工程</w:t>
            </w:r>
            <w:r>
              <w:rPr>
                <w:color w:val="auto"/>
                <w:spacing w:val="16"/>
                <w:highlight w:val="none"/>
                <w:u w:val="single" w:color="auto"/>
              </w:rPr>
              <w:t>土建</w:t>
            </w:r>
            <w:r>
              <w:rPr>
                <w:color w:val="auto"/>
                <w:spacing w:val="16"/>
                <w:highlight w:val="none"/>
              </w:rPr>
              <w:t>工程施工监理的监理负责人，持有交通运输部与人力资源和社会保障部用印的交通运输工程（公路工程）专业监理工程师职业资格证书（或电子证书）或具有交通运输部核发的公</w:t>
            </w:r>
            <w:r>
              <w:rPr>
                <w:color w:val="auto"/>
                <w:spacing w:val="5"/>
                <w:highlight w:val="none"/>
              </w:rPr>
              <w:t>路工程监理工程师资格证书</w:t>
            </w:r>
            <w:r>
              <w:rPr>
                <w:color w:val="auto"/>
                <w:spacing w:val="-24"/>
                <w:position w:val="10"/>
                <w:sz w:val="10"/>
                <w:szCs w:val="10"/>
                <w:highlight w:val="none"/>
              </w:rPr>
              <w:t xml:space="preserve"> </w:t>
            </w:r>
            <w:r>
              <w:rPr>
                <w:color w:val="auto"/>
                <w:spacing w:val="5"/>
                <w:highlight w:val="none"/>
              </w:rPr>
              <w:t>,且已在投</w:t>
            </w:r>
            <w:r>
              <w:rPr>
                <w:color w:val="auto"/>
                <w:spacing w:val="8"/>
                <w:highlight w:val="none"/>
              </w:rPr>
              <w:t>标人处进行注册（或从业登记）。</w:t>
            </w:r>
          </w:p>
        </w:tc>
        <w:tc>
          <w:tcPr>
            <w:tcW w:w="1629" w:type="dxa"/>
            <w:vMerge w:val="restart"/>
            <w:tcBorders>
              <w:top w:val="single" w:color="000000" w:sz="4" w:space="0"/>
              <w:bottom w:val="nil"/>
            </w:tcBorders>
            <w:vAlign w:val="center"/>
          </w:tcPr>
          <w:p w14:paraId="3A6742A4">
            <w:pPr>
              <w:pStyle w:val="20"/>
              <w:spacing w:before="123" w:line="228" w:lineRule="auto"/>
              <w:ind w:left="116"/>
              <w:jc w:val="both"/>
              <w:rPr>
                <w:color w:val="auto"/>
                <w:highlight w:val="none"/>
              </w:rPr>
            </w:pPr>
            <w:r>
              <w:rPr>
                <w:color w:val="auto"/>
                <w:spacing w:val="-4"/>
                <w:highlight w:val="none"/>
              </w:rPr>
              <w:t>无在岗项目</w:t>
            </w:r>
            <w:r>
              <w:rPr>
                <w:color w:val="auto"/>
                <w:spacing w:val="4"/>
                <w:highlight w:val="none"/>
              </w:rPr>
              <w:t>（指目前未在</w:t>
            </w:r>
            <w:r>
              <w:rPr>
                <w:color w:val="auto"/>
                <w:spacing w:val="6"/>
                <w:highlight w:val="none"/>
              </w:rPr>
              <w:t>其他项目上任</w:t>
            </w:r>
            <w:r>
              <w:rPr>
                <w:color w:val="auto"/>
                <w:spacing w:val="15"/>
                <w:highlight w:val="none"/>
              </w:rPr>
              <w:t>职，或虽在其</w:t>
            </w:r>
            <w:r>
              <w:rPr>
                <w:color w:val="auto"/>
                <w:spacing w:val="6"/>
                <w:highlight w:val="none"/>
              </w:rPr>
              <w:t>他项目上任职</w:t>
            </w:r>
            <w:r>
              <w:rPr>
                <w:color w:val="auto"/>
                <w:spacing w:val="33"/>
                <w:highlight w:val="none"/>
              </w:rPr>
              <w:t>但本项目中标后能够从该项</w:t>
            </w:r>
            <w:r>
              <w:rPr>
                <w:color w:val="auto"/>
                <w:spacing w:val="-5"/>
                <w:highlight w:val="none"/>
              </w:rPr>
              <w:t>目撤离）</w:t>
            </w:r>
          </w:p>
        </w:tc>
      </w:tr>
      <w:tr w14:paraId="2D828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1" w:hRule="atLeast"/>
        </w:trPr>
        <w:tc>
          <w:tcPr>
            <w:tcW w:w="1456" w:type="dxa"/>
            <w:vMerge w:val="continue"/>
            <w:tcBorders>
              <w:top w:val="nil"/>
            </w:tcBorders>
            <w:vAlign w:val="top"/>
          </w:tcPr>
          <w:p w14:paraId="7B7A6FEB">
            <w:pPr>
              <w:rPr>
                <w:rFonts w:ascii="Arial"/>
                <w:color w:val="auto"/>
                <w:sz w:val="21"/>
                <w:highlight w:val="none"/>
              </w:rPr>
            </w:pPr>
          </w:p>
        </w:tc>
        <w:tc>
          <w:tcPr>
            <w:tcW w:w="1452" w:type="dxa"/>
            <w:vAlign w:val="top"/>
          </w:tcPr>
          <w:p w14:paraId="2E79BF68">
            <w:pPr>
              <w:spacing w:line="316" w:lineRule="auto"/>
              <w:rPr>
                <w:rFonts w:ascii="Arial"/>
                <w:color w:val="auto"/>
                <w:sz w:val="21"/>
                <w:highlight w:val="none"/>
              </w:rPr>
            </w:pPr>
          </w:p>
          <w:p w14:paraId="429B74C4">
            <w:pPr>
              <w:spacing w:line="317" w:lineRule="auto"/>
              <w:rPr>
                <w:rFonts w:ascii="Arial"/>
                <w:color w:val="auto"/>
                <w:sz w:val="21"/>
                <w:highlight w:val="none"/>
              </w:rPr>
            </w:pPr>
          </w:p>
          <w:p w14:paraId="5B7019FD">
            <w:pPr>
              <w:pStyle w:val="20"/>
              <w:spacing w:before="65" w:line="311" w:lineRule="auto"/>
              <w:ind w:left="155" w:right="145" w:firstLine="55"/>
              <w:rPr>
                <w:color w:val="auto"/>
                <w:sz w:val="10"/>
                <w:szCs w:val="10"/>
                <w:highlight w:val="none"/>
              </w:rPr>
            </w:pPr>
            <w:r>
              <w:rPr>
                <w:color w:val="auto"/>
                <w:spacing w:val="7"/>
                <w:highlight w:val="none"/>
              </w:rPr>
              <w:t>总监理工程师（备选）</w:t>
            </w:r>
          </w:p>
        </w:tc>
        <w:tc>
          <w:tcPr>
            <w:tcW w:w="848" w:type="dxa"/>
            <w:vAlign w:val="top"/>
          </w:tcPr>
          <w:p w14:paraId="364AB10C">
            <w:pPr>
              <w:spacing w:line="274" w:lineRule="auto"/>
              <w:rPr>
                <w:rFonts w:ascii="Arial"/>
                <w:color w:val="auto"/>
                <w:sz w:val="21"/>
                <w:highlight w:val="none"/>
              </w:rPr>
            </w:pPr>
          </w:p>
          <w:p w14:paraId="3D41DC95">
            <w:pPr>
              <w:spacing w:line="274" w:lineRule="auto"/>
              <w:rPr>
                <w:rFonts w:ascii="Arial"/>
                <w:color w:val="auto"/>
                <w:sz w:val="21"/>
                <w:highlight w:val="none"/>
              </w:rPr>
            </w:pPr>
          </w:p>
          <w:p w14:paraId="1C455934">
            <w:pPr>
              <w:spacing w:line="274" w:lineRule="auto"/>
              <w:rPr>
                <w:rFonts w:ascii="Arial"/>
                <w:color w:val="auto"/>
                <w:sz w:val="21"/>
                <w:highlight w:val="none"/>
              </w:rPr>
            </w:pPr>
          </w:p>
          <w:p w14:paraId="20D810AE">
            <w:pPr>
              <w:pStyle w:val="20"/>
              <w:spacing w:before="65" w:line="270" w:lineRule="exact"/>
              <w:ind w:left="393"/>
              <w:rPr>
                <w:rFonts w:hint="eastAsia" w:eastAsia="宋体"/>
                <w:color w:val="auto"/>
                <w:highlight w:val="none"/>
                <w:lang w:eastAsia="zh-CN"/>
              </w:rPr>
            </w:pPr>
            <w:r>
              <w:rPr>
                <w:rFonts w:hint="eastAsia"/>
                <w:color w:val="auto"/>
                <w:position w:val="1"/>
                <w:highlight w:val="none"/>
                <w:lang w:val="en-US" w:eastAsia="zh-CN"/>
              </w:rPr>
              <w:t>1</w:t>
            </w:r>
          </w:p>
        </w:tc>
        <w:tc>
          <w:tcPr>
            <w:tcW w:w="3903" w:type="dxa"/>
            <w:vMerge w:val="continue"/>
            <w:tcBorders>
              <w:top w:val="nil"/>
            </w:tcBorders>
            <w:vAlign w:val="top"/>
          </w:tcPr>
          <w:p w14:paraId="77A1677D">
            <w:pPr>
              <w:rPr>
                <w:rFonts w:ascii="Arial"/>
                <w:color w:val="auto"/>
                <w:sz w:val="21"/>
                <w:highlight w:val="none"/>
              </w:rPr>
            </w:pPr>
          </w:p>
        </w:tc>
        <w:tc>
          <w:tcPr>
            <w:tcW w:w="1629" w:type="dxa"/>
            <w:vMerge w:val="continue"/>
            <w:tcBorders>
              <w:top w:val="nil"/>
            </w:tcBorders>
            <w:vAlign w:val="top"/>
          </w:tcPr>
          <w:p w14:paraId="06C7E0FA">
            <w:pPr>
              <w:rPr>
                <w:rFonts w:ascii="Arial"/>
                <w:color w:val="auto"/>
                <w:sz w:val="21"/>
                <w:highlight w:val="none"/>
              </w:rPr>
            </w:pPr>
          </w:p>
        </w:tc>
      </w:tr>
    </w:tbl>
    <w:p w14:paraId="142D0981">
      <w:pPr>
        <w:spacing w:before="29" w:line="315" w:lineRule="auto"/>
        <w:ind w:left="119" w:right="111" w:hanging="2"/>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注：1、“担任过类似工程监理负责人</w:t>
      </w:r>
      <w:r>
        <w:rPr>
          <w:rFonts w:ascii="宋体" w:hAnsi="宋体" w:eastAsia="宋体" w:cs="宋体"/>
          <w:color w:val="auto"/>
          <w:spacing w:val="-54"/>
          <w:sz w:val="20"/>
          <w:szCs w:val="20"/>
          <w:highlight w:val="none"/>
        </w:rPr>
        <w:t xml:space="preserve"> </w:t>
      </w:r>
      <w:r>
        <w:rPr>
          <w:rFonts w:ascii="宋体" w:hAnsi="宋体" w:eastAsia="宋体" w:cs="宋体"/>
          <w:color w:val="auto"/>
          <w:spacing w:val="12"/>
          <w:sz w:val="20"/>
          <w:szCs w:val="20"/>
          <w:highlight w:val="none"/>
        </w:rPr>
        <w:t>”监理负责人可为总监理工程师或副总监理工程师或驻地监</w:t>
      </w:r>
      <w:bookmarkStart w:id="26" w:name="bookmark95"/>
      <w:bookmarkEnd w:id="26"/>
      <w:r>
        <w:rPr>
          <w:rFonts w:ascii="宋体" w:hAnsi="宋体" w:eastAsia="宋体" w:cs="宋体"/>
          <w:color w:val="auto"/>
          <w:spacing w:val="5"/>
          <w:sz w:val="20"/>
          <w:szCs w:val="20"/>
          <w:highlight w:val="none"/>
        </w:rPr>
        <w:t>理工程师。</w:t>
      </w:r>
    </w:p>
    <w:p w14:paraId="16759A59">
      <w:pPr>
        <w:spacing w:before="29" w:line="315" w:lineRule="auto"/>
        <w:ind w:left="321" w:leftChars="153" w:right="111" w:firstLine="221" w:firstLineChars="99"/>
        <w:rPr>
          <w:rFonts w:ascii="宋体" w:hAnsi="宋体" w:eastAsia="宋体" w:cs="宋体"/>
          <w:color w:val="auto"/>
          <w:spacing w:val="12"/>
          <w:sz w:val="20"/>
          <w:szCs w:val="20"/>
          <w:highlight w:val="none"/>
        </w:rPr>
      </w:pPr>
      <w:r>
        <w:rPr>
          <w:rFonts w:ascii="宋体" w:hAnsi="宋体" w:eastAsia="宋体" w:cs="宋体"/>
          <w:color w:val="auto"/>
          <w:spacing w:val="12"/>
          <w:sz w:val="20"/>
          <w:szCs w:val="20"/>
          <w:highlight w:val="none"/>
        </w:rPr>
        <w:t>2、联合体投标的，总监理工程师（含备选）需为联合体牵头人正式职员。</w:t>
      </w:r>
    </w:p>
    <w:p w14:paraId="055AADE8">
      <w:pPr>
        <w:spacing w:line="340" w:lineRule="auto"/>
        <w:rPr>
          <w:rFonts w:ascii="Arial"/>
          <w:color w:val="auto"/>
          <w:sz w:val="21"/>
          <w:highlight w:val="none"/>
        </w:rPr>
      </w:pPr>
    </w:p>
    <w:p w14:paraId="1E3D4E5B">
      <w:pPr>
        <w:spacing w:line="340" w:lineRule="auto"/>
        <w:rPr>
          <w:rFonts w:ascii="Arial"/>
          <w:color w:val="auto"/>
          <w:sz w:val="21"/>
          <w:highlight w:val="none"/>
        </w:rPr>
      </w:pPr>
    </w:p>
    <w:p w14:paraId="70F993C8">
      <w:pPr>
        <w:spacing w:line="340" w:lineRule="auto"/>
        <w:rPr>
          <w:rFonts w:ascii="Arial"/>
          <w:color w:val="auto"/>
          <w:sz w:val="21"/>
          <w:highlight w:val="none"/>
        </w:rPr>
      </w:pPr>
    </w:p>
    <w:p w14:paraId="4B2602A1">
      <w:pPr>
        <w:spacing w:line="340" w:lineRule="auto"/>
        <w:rPr>
          <w:rFonts w:ascii="Arial"/>
          <w:color w:val="auto"/>
          <w:sz w:val="21"/>
          <w:highlight w:val="none"/>
        </w:rPr>
      </w:pPr>
    </w:p>
    <w:p w14:paraId="08037B41">
      <w:pPr>
        <w:spacing w:line="340" w:lineRule="auto"/>
        <w:rPr>
          <w:rFonts w:ascii="Arial"/>
          <w:color w:val="auto"/>
          <w:sz w:val="21"/>
          <w:highlight w:val="none"/>
        </w:rPr>
      </w:pPr>
    </w:p>
    <w:p w14:paraId="5123FFC7">
      <w:pPr>
        <w:spacing w:line="340" w:lineRule="auto"/>
        <w:rPr>
          <w:rFonts w:ascii="Arial"/>
          <w:color w:val="auto"/>
          <w:sz w:val="21"/>
          <w:highlight w:val="none"/>
        </w:rPr>
      </w:pPr>
    </w:p>
    <w:p w14:paraId="73E4BEE8">
      <w:pPr>
        <w:spacing w:line="340" w:lineRule="auto"/>
        <w:rPr>
          <w:rFonts w:ascii="Arial"/>
          <w:color w:val="auto"/>
          <w:sz w:val="21"/>
          <w:highlight w:val="none"/>
        </w:rPr>
      </w:pPr>
    </w:p>
    <w:p w14:paraId="603D220A">
      <w:pPr>
        <w:spacing w:line="340" w:lineRule="auto"/>
        <w:rPr>
          <w:rFonts w:ascii="Arial"/>
          <w:color w:val="auto"/>
          <w:sz w:val="21"/>
          <w:highlight w:val="none"/>
        </w:rPr>
      </w:pPr>
    </w:p>
    <w:p w14:paraId="1169066A">
      <w:pPr>
        <w:spacing w:line="340" w:lineRule="auto"/>
        <w:rPr>
          <w:rFonts w:ascii="Arial"/>
          <w:color w:val="auto"/>
          <w:sz w:val="21"/>
          <w:highlight w:val="none"/>
        </w:rPr>
      </w:pPr>
    </w:p>
    <w:p w14:paraId="17325AFF">
      <w:pPr>
        <w:spacing w:line="340" w:lineRule="auto"/>
        <w:rPr>
          <w:rFonts w:ascii="Arial"/>
          <w:color w:val="auto"/>
          <w:sz w:val="21"/>
          <w:highlight w:val="none"/>
        </w:rPr>
      </w:pPr>
    </w:p>
    <w:p w14:paraId="201DC2B4">
      <w:pPr>
        <w:spacing w:line="340" w:lineRule="auto"/>
        <w:rPr>
          <w:rFonts w:ascii="Arial"/>
          <w:color w:val="auto"/>
          <w:sz w:val="21"/>
          <w:highlight w:val="none"/>
        </w:rPr>
      </w:pPr>
    </w:p>
    <w:p w14:paraId="39DEE816">
      <w:pPr>
        <w:spacing w:line="340" w:lineRule="auto"/>
        <w:rPr>
          <w:rFonts w:ascii="Arial"/>
          <w:color w:val="auto"/>
          <w:sz w:val="21"/>
          <w:highlight w:val="none"/>
        </w:rPr>
      </w:pPr>
    </w:p>
    <w:p w14:paraId="111DC4FA">
      <w:pPr>
        <w:spacing w:line="340" w:lineRule="auto"/>
        <w:rPr>
          <w:rFonts w:ascii="Arial"/>
          <w:color w:val="auto"/>
          <w:sz w:val="21"/>
          <w:highlight w:val="none"/>
        </w:rPr>
      </w:pPr>
    </w:p>
    <w:p w14:paraId="1080FB09">
      <w:pPr>
        <w:spacing w:line="340" w:lineRule="auto"/>
        <w:rPr>
          <w:rFonts w:ascii="Arial"/>
          <w:color w:val="auto"/>
          <w:sz w:val="21"/>
          <w:highlight w:val="none"/>
        </w:rPr>
      </w:pPr>
    </w:p>
    <w:p w14:paraId="114859AD">
      <w:pPr>
        <w:spacing w:line="340" w:lineRule="auto"/>
        <w:rPr>
          <w:rFonts w:ascii="Arial"/>
          <w:color w:val="auto"/>
          <w:sz w:val="21"/>
          <w:highlight w:val="none"/>
        </w:rPr>
      </w:pPr>
    </w:p>
    <w:p w14:paraId="63BC536F">
      <w:pPr>
        <w:spacing w:line="340" w:lineRule="auto"/>
        <w:rPr>
          <w:rFonts w:ascii="Arial"/>
          <w:color w:val="auto"/>
          <w:sz w:val="21"/>
          <w:highlight w:val="none"/>
        </w:rPr>
      </w:pPr>
    </w:p>
    <w:p w14:paraId="12F74AD9">
      <w:pPr>
        <w:spacing w:line="340" w:lineRule="auto"/>
        <w:rPr>
          <w:rFonts w:ascii="Arial"/>
          <w:color w:val="auto"/>
          <w:sz w:val="21"/>
          <w:highlight w:val="none"/>
        </w:rPr>
      </w:pPr>
    </w:p>
    <w:p w14:paraId="0F773D85">
      <w:pPr>
        <w:spacing w:line="340" w:lineRule="auto"/>
        <w:rPr>
          <w:rFonts w:ascii="Arial"/>
          <w:color w:val="auto"/>
          <w:sz w:val="21"/>
          <w:highlight w:val="none"/>
        </w:rPr>
      </w:pPr>
    </w:p>
    <w:p w14:paraId="6504D47E">
      <w:pPr>
        <w:spacing w:line="340" w:lineRule="auto"/>
        <w:rPr>
          <w:rFonts w:ascii="Arial"/>
          <w:color w:val="auto"/>
          <w:sz w:val="21"/>
          <w:highlight w:val="none"/>
        </w:rPr>
      </w:pPr>
    </w:p>
    <w:p w14:paraId="14E527CA">
      <w:pPr>
        <w:spacing w:line="340" w:lineRule="auto"/>
        <w:rPr>
          <w:rFonts w:ascii="Arial"/>
          <w:color w:val="auto"/>
          <w:sz w:val="21"/>
          <w:highlight w:val="none"/>
        </w:rPr>
      </w:pPr>
    </w:p>
    <w:p w14:paraId="4CE65025">
      <w:pPr>
        <w:spacing w:line="340" w:lineRule="auto"/>
        <w:rPr>
          <w:rFonts w:ascii="Arial"/>
          <w:color w:val="auto"/>
          <w:sz w:val="21"/>
          <w:highlight w:val="none"/>
        </w:rPr>
      </w:pPr>
    </w:p>
    <w:p w14:paraId="4256832B">
      <w:pPr>
        <w:spacing w:line="340" w:lineRule="auto"/>
        <w:rPr>
          <w:rFonts w:ascii="Arial"/>
          <w:color w:val="auto"/>
          <w:sz w:val="21"/>
          <w:highlight w:val="none"/>
        </w:rPr>
      </w:pPr>
    </w:p>
    <w:p w14:paraId="5F13F971">
      <w:pPr>
        <w:spacing w:line="340" w:lineRule="auto"/>
        <w:rPr>
          <w:rFonts w:ascii="Arial"/>
          <w:color w:val="auto"/>
          <w:sz w:val="21"/>
          <w:highlight w:val="none"/>
        </w:rPr>
      </w:pPr>
    </w:p>
    <w:p w14:paraId="77E8F4A8">
      <w:pPr>
        <w:pStyle w:val="3"/>
        <w:bidi w:val="0"/>
        <w:jc w:val="center"/>
        <w:rPr>
          <w:rFonts w:hint="default"/>
          <w:color w:val="auto"/>
          <w:highlight w:val="none"/>
          <w:lang w:val="en-US" w:eastAsia="zh-CN"/>
        </w:rPr>
      </w:pPr>
      <w:bookmarkStart w:id="27" w:name="bookmark96"/>
      <w:bookmarkEnd w:id="27"/>
      <w:bookmarkStart w:id="28" w:name="bookmark97"/>
      <w:bookmarkEnd w:id="28"/>
      <w:r>
        <w:rPr>
          <w:rFonts w:hint="eastAsia"/>
          <w:color w:val="auto"/>
          <w:highlight w:val="none"/>
          <w:lang w:eastAsia="zh-CN"/>
        </w:rPr>
        <w:t>附录</w:t>
      </w:r>
      <w:r>
        <w:rPr>
          <w:rFonts w:hint="eastAsia"/>
          <w:color w:val="auto"/>
          <w:highlight w:val="none"/>
          <w:lang w:val="en-US" w:eastAsia="zh-CN"/>
        </w:rPr>
        <w:t xml:space="preserve"> 5  资格审查条件（其他主要监理人员最低要求）</w:t>
      </w:r>
    </w:p>
    <w:p w14:paraId="4635E993">
      <w:pPr>
        <w:spacing w:before="295" w:line="184" w:lineRule="auto"/>
        <w:ind w:left="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标段：</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6D251071">
      <w:pPr>
        <w:spacing w:line="217" w:lineRule="auto"/>
        <w:rPr>
          <w:rFonts w:ascii="宋体" w:hAnsi="宋体" w:eastAsia="宋体" w:cs="宋体"/>
          <w:color w:val="auto"/>
          <w:sz w:val="18"/>
          <w:szCs w:val="18"/>
          <w:highlight w:val="none"/>
        </w:rPr>
      </w:pPr>
    </w:p>
    <w:tbl>
      <w:tblPr>
        <w:tblStyle w:val="19"/>
        <w:tblW w:w="0" w:type="auto"/>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146"/>
        <w:gridCol w:w="738"/>
        <w:gridCol w:w="7059"/>
      </w:tblGrid>
      <w:tr w14:paraId="68F36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781" w:type="dxa"/>
            <w:gridSpan w:val="2"/>
            <w:vAlign w:val="top"/>
          </w:tcPr>
          <w:p w14:paraId="08A8C059">
            <w:pPr>
              <w:pStyle w:val="20"/>
              <w:spacing w:before="206" w:line="229" w:lineRule="auto"/>
              <w:ind w:left="689"/>
              <w:rPr>
                <w:color w:val="auto"/>
                <w:highlight w:val="none"/>
              </w:rPr>
            </w:pPr>
            <w:r>
              <w:rPr>
                <w:color w:val="auto"/>
                <w:spacing w:val="3"/>
                <w:highlight w:val="none"/>
              </w:rPr>
              <w:t>人员</w:t>
            </w:r>
          </w:p>
        </w:tc>
        <w:tc>
          <w:tcPr>
            <w:tcW w:w="738" w:type="dxa"/>
            <w:vAlign w:val="top"/>
          </w:tcPr>
          <w:p w14:paraId="47BF74CE">
            <w:pPr>
              <w:pStyle w:val="20"/>
              <w:spacing w:before="207" w:line="227" w:lineRule="auto"/>
              <w:ind w:left="165"/>
              <w:rPr>
                <w:color w:val="auto"/>
                <w:highlight w:val="none"/>
              </w:rPr>
            </w:pPr>
            <w:r>
              <w:rPr>
                <w:color w:val="auto"/>
                <w:spacing w:val="3"/>
                <w:highlight w:val="none"/>
              </w:rPr>
              <w:t>数量</w:t>
            </w:r>
          </w:p>
        </w:tc>
        <w:tc>
          <w:tcPr>
            <w:tcW w:w="7059" w:type="dxa"/>
            <w:vAlign w:val="top"/>
          </w:tcPr>
          <w:p w14:paraId="1CD683F4">
            <w:pPr>
              <w:pStyle w:val="20"/>
              <w:spacing w:before="206" w:line="226" w:lineRule="auto"/>
              <w:ind w:left="3123"/>
              <w:rPr>
                <w:color w:val="auto"/>
                <w:highlight w:val="none"/>
              </w:rPr>
            </w:pPr>
            <w:r>
              <w:rPr>
                <w:color w:val="auto"/>
                <w:spacing w:val="5"/>
                <w:highlight w:val="none"/>
              </w:rPr>
              <w:t>资格要求</w:t>
            </w:r>
          </w:p>
        </w:tc>
      </w:tr>
      <w:tr w14:paraId="6C979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9" w:hRule="atLeast"/>
        </w:trPr>
        <w:tc>
          <w:tcPr>
            <w:tcW w:w="635" w:type="dxa"/>
            <w:vMerge w:val="restart"/>
            <w:textDirection w:val="tbRlV"/>
            <w:vAlign w:val="center"/>
          </w:tcPr>
          <w:p w14:paraId="2FC675D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8"/>
                <w:highlight w:val="none"/>
              </w:rPr>
              <w:t>专</w:t>
            </w:r>
            <w:r>
              <w:rPr>
                <w:color w:val="auto"/>
                <w:spacing w:val="54"/>
                <w:highlight w:val="none"/>
              </w:rPr>
              <w:t xml:space="preserve"> </w:t>
            </w:r>
            <w:r>
              <w:rPr>
                <w:color w:val="auto"/>
                <w:spacing w:val="8"/>
                <w:highlight w:val="none"/>
              </w:rPr>
              <w:t>业</w:t>
            </w:r>
            <w:r>
              <w:rPr>
                <w:color w:val="auto"/>
                <w:spacing w:val="51"/>
                <w:highlight w:val="none"/>
              </w:rPr>
              <w:t xml:space="preserve"> </w:t>
            </w:r>
            <w:r>
              <w:rPr>
                <w:color w:val="auto"/>
                <w:spacing w:val="8"/>
                <w:highlight w:val="none"/>
              </w:rPr>
              <w:t>监</w:t>
            </w:r>
            <w:r>
              <w:rPr>
                <w:color w:val="auto"/>
                <w:spacing w:val="51"/>
                <w:highlight w:val="none"/>
              </w:rPr>
              <w:t xml:space="preserve"> </w:t>
            </w:r>
            <w:r>
              <w:rPr>
                <w:color w:val="auto"/>
                <w:spacing w:val="8"/>
                <w:highlight w:val="none"/>
              </w:rPr>
              <w:t>理</w:t>
            </w:r>
            <w:r>
              <w:rPr>
                <w:color w:val="auto"/>
                <w:spacing w:val="51"/>
                <w:highlight w:val="none"/>
              </w:rPr>
              <w:t xml:space="preserve"> </w:t>
            </w:r>
            <w:r>
              <w:rPr>
                <w:color w:val="auto"/>
                <w:spacing w:val="8"/>
                <w:highlight w:val="none"/>
              </w:rPr>
              <w:t>工</w:t>
            </w:r>
            <w:r>
              <w:rPr>
                <w:color w:val="auto"/>
                <w:spacing w:val="51"/>
                <w:highlight w:val="none"/>
              </w:rPr>
              <w:t xml:space="preserve"> </w:t>
            </w:r>
            <w:r>
              <w:rPr>
                <w:color w:val="auto"/>
                <w:spacing w:val="8"/>
                <w:highlight w:val="none"/>
              </w:rPr>
              <w:t>程</w:t>
            </w:r>
            <w:r>
              <w:rPr>
                <w:color w:val="auto"/>
                <w:spacing w:val="51"/>
                <w:highlight w:val="none"/>
              </w:rPr>
              <w:t xml:space="preserve"> </w:t>
            </w:r>
            <w:r>
              <w:rPr>
                <w:color w:val="auto"/>
                <w:spacing w:val="8"/>
                <w:highlight w:val="none"/>
              </w:rPr>
              <w:t>师</w:t>
            </w:r>
          </w:p>
        </w:tc>
        <w:tc>
          <w:tcPr>
            <w:tcW w:w="1146" w:type="dxa"/>
            <w:vAlign w:val="center"/>
          </w:tcPr>
          <w:p w14:paraId="46FB571E">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路基工程</w:t>
            </w:r>
          </w:p>
        </w:tc>
        <w:tc>
          <w:tcPr>
            <w:tcW w:w="738" w:type="dxa"/>
            <w:vAlign w:val="center"/>
          </w:tcPr>
          <w:p w14:paraId="55D6CC61">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34738AA1">
            <w:pPr>
              <w:pStyle w:val="20"/>
              <w:spacing w:before="114" w:line="301"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上技术职称；从事公路路基工程监理工作</w:t>
            </w:r>
            <w:r>
              <w:rPr>
                <w:color w:val="auto"/>
                <w:spacing w:val="-33"/>
                <w:highlight w:val="none"/>
              </w:rPr>
              <w:t xml:space="preserve"> </w:t>
            </w:r>
            <w:r>
              <w:rPr>
                <w:color w:val="auto"/>
                <w:spacing w:val="8"/>
                <w:highlight w:val="none"/>
              </w:rPr>
              <w:t>5</w:t>
            </w:r>
            <w:r>
              <w:rPr>
                <w:color w:val="auto"/>
                <w:spacing w:val="-37"/>
                <w:highlight w:val="none"/>
              </w:rPr>
              <w:t xml:space="preserve"> </w:t>
            </w:r>
            <w:r>
              <w:rPr>
                <w:color w:val="auto"/>
                <w:spacing w:val="8"/>
                <w:highlight w:val="none"/>
              </w:rPr>
              <w:t>年</w:t>
            </w:r>
            <w:r>
              <w:rPr>
                <w:color w:val="auto"/>
                <w:spacing w:val="7"/>
                <w:highlight w:val="none"/>
              </w:rPr>
              <w:t>以上。</w:t>
            </w:r>
          </w:p>
        </w:tc>
      </w:tr>
      <w:tr w14:paraId="567D5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50567D6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454318D3">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路面工程</w:t>
            </w:r>
          </w:p>
        </w:tc>
        <w:tc>
          <w:tcPr>
            <w:tcW w:w="738" w:type="dxa"/>
            <w:vAlign w:val="center"/>
          </w:tcPr>
          <w:p w14:paraId="70D7E1B1">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37E57CE9">
            <w:pPr>
              <w:pStyle w:val="20"/>
              <w:spacing w:before="128" w:line="298"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上技术职称；从事公路路面工程监理工作</w:t>
            </w:r>
            <w:r>
              <w:rPr>
                <w:color w:val="auto"/>
                <w:spacing w:val="-33"/>
                <w:highlight w:val="none"/>
              </w:rPr>
              <w:t xml:space="preserve"> </w:t>
            </w:r>
            <w:r>
              <w:rPr>
                <w:color w:val="auto"/>
                <w:spacing w:val="8"/>
                <w:highlight w:val="none"/>
              </w:rPr>
              <w:t>5</w:t>
            </w:r>
            <w:r>
              <w:rPr>
                <w:color w:val="auto"/>
                <w:spacing w:val="-37"/>
                <w:highlight w:val="none"/>
              </w:rPr>
              <w:t xml:space="preserve"> </w:t>
            </w:r>
            <w:r>
              <w:rPr>
                <w:color w:val="auto"/>
                <w:spacing w:val="8"/>
                <w:highlight w:val="none"/>
              </w:rPr>
              <w:t>年</w:t>
            </w:r>
            <w:r>
              <w:rPr>
                <w:color w:val="auto"/>
                <w:spacing w:val="7"/>
                <w:highlight w:val="none"/>
              </w:rPr>
              <w:t>以上。</w:t>
            </w:r>
          </w:p>
        </w:tc>
      </w:tr>
      <w:tr w14:paraId="63806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3AE33D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361E3FCF">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桥梁工程</w:t>
            </w:r>
          </w:p>
        </w:tc>
        <w:tc>
          <w:tcPr>
            <w:tcW w:w="738" w:type="dxa"/>
            <w:vAlign w:val="center"/>
          </w:tcPr>
          <w:p w14:paraId="3143C1B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5D0B3055">
            <w:pPr>
              <w:pStyle w:val="20"/>
              <w:spacing w:before="141" w:line="295"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上技术职称；从事桥梁工程监理工作</w:t>
            </w:r>
            <w:r>
              <w:rPr>
                <w:color w:val="auto"/>
                <w:spacing w:val="-32"/>
                <w:highlight w:val="none"/>
              </w:rPr>
              <w:t xml:space="preserve"> </w:t>
            </w:r>
            <w:r>
              <w:rPr>
                <w:color w:val="auto"/>
                <w:spacing w:val="8"/>
                <w:highlight w:val="none"/>
              </w:rPr>
              <w:t>5 年以</w:t>
            </w:r>
            <w:r>
              <w:rPr>
                <w:color w:val="auto"/>
                <w:spacing w:val="7"/>
                <w:highlight w:val="none"/>
              </w:rPr>
              <w:t>上。</w:t>
            </w:r>
          </w:p>
        </w:tc>
      </w:tr>
      <w:tr w14:paraId="5866A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trPr>
        <w:tc>
          <w:tcPr>
            <w:tcW w:w="635" w:type="dxa"/>
            <w:vMerge w:val="continue"/>
            <w:textDirection w:val="tbRlV"/>
            <w:vAlign w:val="center"/>
          </w:tcPr>
          <w:p w14:paraId="1ADC2C9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2E40B493">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4"/>
                <w:highlight w:val="none"/>
              </w:rPr>
              <w:t>隧道工程</w:t>
            </w:r>
          </w:p>
        </w:tc>
        <w:tc>
          <w:tcPr>
            <w:tcW w:w="738" w:type="dxa"/>
            <w:vAlign w:val="center"/>
          </w:tcPr>
          <w:p w14:paraId="52DBA027">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65E14B81">
            <w:pPr>
              <w:pStyle w:val="20"/>
              <w:spacing w:before="155" w:line="295" w:lineRule="auto"/>
              <w:ind w:left="111" w:right="109" w:firstLine="5"/>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或具有交通运输部核发的公路工程隧道专业监理工程师资格证书；具有</w:t>
            </w:r>
            <w:r>
              <w:rPr>
                <w:color w:val="auto"/>
                <w:spacing w:val="13"/>
                <w:highlight w:val="none"/>
                <w:u w:val="single" w:color="auto"/>
              </w:rPr>
              <w:t>中级及以上</w:t>
            </w:r>
            <w:r>
              <w:rPr>
                <w:color w:val="auto"/>
                <w:spacing w:val="13"/>
                <w:highlight w:val="none"/>
              </w:rPr>
              <w:t>技术职称；</w:t>
            </w:r>
            <w:r>
              <w:rPr>
                <w:color w:val="auto"/>
                <w:spacing w:val="6"/>
                <w:highlight w:val="none"/>
              </w:rPr>
              <w:t>从事隧道工程监理工作</w:t>
            </w:r>
            <w:r>
              <w:rPr>
                <w:color w:val="auto"/>
                <w:spacing w:val="-22"/>
                <w:highlight w:val="none"/>
              </w:rPr>
              <w:t xml:space="preserve"> </w:t>
            </w:r>
            <w:r>
              <w:rPr>
                <w:color w:val="auto"/>
                <w:spacing w:val="6"/>
                <w:highlight w:val="none"/>
              </w:rPr>
              <w:t>5</w:t>
            </w:r>
            <w:r>
              <w:rPr>
                <w:color w:val="auto"/>
                <w:spacing w:val="-37"/>
                <w:highlight w:val="none"/>
              </w:rPr>
              <w:t xml:space="preserve"> </w:t>
            </w:r>
            <w:r>
              <w:rPr>
                <w:color w:val="auto"/>
                <w:spacing w:val="6"/>
                <w:highlight w:val="none"/>
              </w:rPr>
              <w:t>年以上。</w:t>
            </w:r>
          </w:p>
        </w:tc>
      </w:tr>
      <w:tr w14:paraId="0F211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635" w:type="dxa"/>
            <w:vMerge w:val="continue"/>
            <w:textDirection w:val="tbRlV"/>
            <w:vAlign w:val="center"/>
          </w:tcPr>
          <w:p w14:paraId="0E4B7C1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65981075">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color w:val="auto"/>
                <w:spacing w:val="7"/>
                <w:highlight w:val="none"/>
              </w:rPr>
              <w:t>合同管理</w:t>
            </w:r>
          </w:p>
        </w:tc>
        <w:tc>
          <w:tcPr>
            <w:tcW w:w="738" w:type="dxa"/>
            <w:vAlign w:val="center"/>
          </w:tcPr>
          <w:p w14:paraId="0866DE02">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1</w:t>
            </w:r>
          </w:p>
        </w:tc>
        <w:tc>
          <w:tcPr>
            <w:tcW w:w="7059" w:type="dxa"/>
            <w:vAlign w:val="top"/>
          </w:tcPr>
          <w:p w14:paraId="58169D56">
            <w:pPr>
              <w:pStyle w:val="20"/>
              <w:spacing w:before="154" w:line="282" w:lineRule="auto"/>
              <w:ind w:left="111" w:right="107" w:firstLine="5"/>
              <w:jc w:val="both"/>
              <w:rPr>
                <w:color w:val="auto"/>
                <w:highlight w:val="none"/>
              </w:rPr>
            </w:pPr>
            <w:r>
              <w:rPr>
                <w:color w:val="auto"/>
                <w:spacing w:val="12"/>
                <w:highlight w:val="none"/>
              </w:rPr>
              <w:t>具有</w:t>
            </w:r>
            <w:r>
              <w:rPr>
                <w:color w:val="auto"/>
                <w:spacing w:val="-80"/>
                <w:highlight w:val="none"/>
              </w:rPr>
              <w:t xml:space="preserve"> </w:t>
            </w:r>
            <w:r>
              <w:rPr>
                <w:color w:val="auto"/>
                <w:spacing w:val="8"/>
                <w:highlight w:val="none"/>
                <w:u w:val="single" w:color="auto"/>
              </w:rPr>
              <w:t xml:space="preserve"> </w:t>
            </w:r>
            <w:r>
              <w:rPr>
                <w:rFonts w:hint="eastAsia"/>
                <w:color w:val="auto"/>
                <w:spacing w:val="8"/>
                <w:highlight w:val="none"/>
                <w:u w:val="single" w:color="auto"/>
                <w:lang w:eastAsia="zh-CN"/>
              </w:rPr>
              <w:t>一</w:t>
            </w:r>
            <w:r>
              <w:rPr>
                <w:color w:val="auto"/>
                <w:spacing w:val="8"/>
                <w:highlight w:val="none"/>
                <w:u w:val="single" w:color="auto"/>
              </w:rPr>
              <w:t xml:space="preserve"> </w:t>
            </w:r>
            <w:r>
              <w:rPr>
                <w:color w:val="auto"/>
                <w:spacing w:val="-86"/>
                <w:highlight w:val="none"/>
              </w:rPr>
              <w:t xml:space="preserve"> </w:t>
            </w:r>
            <w:r>
              <w:rPr>
                <w:color w:val="auto"/>
                <w:spacing w:val="12"/>
                <w:highlight w:val="none"/>
              </w:rPr>
              <w:t>级造价工程师注册证（交通运输工程专业，类别为公路）或交通</w:t>
            </w:r>
            <w:r>
              <w:rPr>
                <w:color w:val="auto"/>
                <w:spacing w:val="17"/>
                <w:highlight w:val="none"/>
              </w:rPr>
              <w:t>运输主管部门颁发的</w:t>
            </w:r>
            <w:r>
              <w:rPr>
                <w:color w:val="auto"/>
                <w:spacing w:val="-76"/>
                <w:highlight w:val="none"/>
              </w:rPr>
              <w:t xml:space="preserve"> </w:t>
            </w:r>
            <w:r>
              <w:rPr>
                <w:color w:val="auto"/>
                <w:spacing w:val="15"/>
                <w:highlight w:val="none"/>
                <w:u w:val="single" w:color="auto"/>
              </w:rPr>
              <w:t xml:space="preserve"> </w:t>
            </w:r>
            <w:r>
              <w:rPr>
                <w:rFonts w:hint="eastAsia"/>
                <w:color w:val="auto"/>
                <w:spacing w:val="15"/>
                <w:highlight w:val="none"/>
                <w:u w:val="single" w:color="auto"/>
                <w:lang w:eastAsia="zh-CN"/>
              </w:rPr>
              <w:t>甲</w:t>
            </w:r>
            <w:r>
              <w:rPr>
                <w:color w:val="auto"/>
                <w:spacing w:val="15"/>
                <w:highlight w:val="none"/>
                <w:u w:val="single" w:color="auto"/>
              </w:rPr>
              <w:t xml:space="preserve"> </w:t>
            </w:r>
            <w:r>
              <w:rPr>
                <w:color w:val="auto"/>
                <w:spacing w:val="-88"/>
                <w:highlight w:val="none"/>
              </w:rPr>
              <w:t xml:space="preserve"> </w:t>
            </w:r>
            <w:r>
              <w:rPr>
                <w:color w:val="auto"/>
                <w:spacing w:val="17"/>
                <w:highlight w:val="none"/>
              </w:rPr>
              <w:t>级公路造价人员证书；</w:t>
            </w:r>
            <w:r>
              <w:rPr>
                <w:color w:val="auto"/>
                <w:spacing w:val="-55"/>
                <w:highlight w:val="none"/>
              </w:rPr>
              <w:t xml:space="preserve"> </w:t>
            </w:r>
            <w:r>
              <w:rPr>
                <w:color w:val="auto"/>
                <w:spacing w:val="17"/>
                <w:highlight w:val="none"/>
              </w:rPr>
              <w:t>具有</w:t>
            </w:r>
            <w:r>
              <w:rPr>
                <w:color w:val="auto"/>
                <w:spacing w:val="17"/>
                <w:highlight w:val="none"/>
                <w:u w:val="single" w:color="auto"/>
              </w:rPr>
              <w:t>中级及以上</w:t>
            </w:r>
            <w:r>
              <w:rPr>
                <w:color w:val="auto"/>
                <w:spacing w:val="17"/>
                <w:highlight w:val="none"/>
              </w:rPr>
              <w:t>技术职</w:t>
            </w:r>
            <w:r>
              <w:rPr>
                <w:color w:val="auto"/>
                <w:spacing w:val="5"/>
                <w:highlight w:val="none"/>
              </w:rPr>
              <w:t>称，至少</w:t>
            </w:r>
            <w:r>
              <w:rPr>
                <w:color w:val="auto"/>
                <w:spacing w:val="-27"/>
                <w:highlight w:val="none"/>
              </w:rPr>
              <w:t xml:space="preserve"> </w:t>
            </w:r>
            <w:r>
              <w:rPr>
                <w:color w:val="auto"/>
                <w:spacing w:val="5"/>
                <w:highlight w:val="none"/>
              </w:rPr>
              <w:t>5</w:t>
            </w:r>
            <w:r>
              <w:rPr>
                <w:color w:val="auto"/>
                <w:spacing w:val="-37"/>
                <w:highlight w:val="none"/>
              </w:rPr>
              <w:t xml:space="preserve"> </w:t>
            </w:r>
            <w:r>
              <w:rPr>
                <w:color w:val="auto"/>
                <w:spacing w:val="5"/>
                <w:highlight w:val="none"/>
              </w:rPr>
              <w:t>年工作经验。</w:t>
            </w:r>
          </w:p>
        </w:tc>
      </w:tr>
      <w:tr w14:paraId="4EBE5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6AD07B4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356D7625">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测量工程</w:t>
            </w:r>
          </w:p>
        </w:tc>
        <w:tc>
          <w:tcPr>
            <w:tcW w:w="738" w:type="dxa"/>
            <w:vAlign w:val="center"/>
          </w:tcPr>
          <w:p w14:paraId="00503E1C">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465A973C">
            <w:pPr>
              <w:pStyle w:val="20"/>
              <w:spacing w:before="159" w:line="291"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或具有交通运输部核发的公路工程专业监理工程师资格证书；具有路桥或测量相关专业</w:t>
            </w:r>
            <w:r>
              <w:rPr>
                <w:color w:val="auto"/>
                <w:spacing w:val="13"/>
                <w:highlight w:val="none"/>
                <w:u w:val="single" w:color="auto"/>
              </w:rPr>
              <w:t>中级及</w:t>
            </w:r>
            <w:r>
              <w:rPr>
                <w:color w:val="auto"/>
                <w:spacing w:val="7"/>
                <w:highlight w:val="none"/>
              </w:rPr>
              <w:t>以上技术职称；从事监理工作</w:t>
            </w:r>
            <w:r>
              <w:rPr>
                <w:color w:val="auto"/>
                <w:spacing w:val="-29"/>
                <w:highlight w:val="none"/>
              </w:rPr>
              <w:t xml:space="preserve"> </w:t>
            </w:r>
            <w:r>
              <w:rPr>
                <w:color w:val="auto"/>
                <w:spacing w:val="7"/>
                <w:highlight w:val="none"/>
              </w:rPr>
              <w:t>5</w:t>
            </w:r>
            <w:r>
              <w:rPr>
                <w:color w:val="auto"/>
                <w:spacing w:val="-37"/>
                <w:highlight w:val="none"/>
              </w:rPr>
              <w:t xml:space="preserve"> </w:t>
            </w:r>
            <w:r>
              <w:rPr>
                <w:color w:val="auto"/>
                <w:spacing w:val="7"/>
                <w:highlight w:val="none"/>
              </w:rPr>
              <w:t>年以上。</w:t>
            </w:r>
          </w:p>
        </w:tc>
      </w:tr>
      <w:tr w14:paraId="4229B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635" w:type="dxa"/>
            <w:vMerge w:val="continue"/>
            <w:textDirection w:val="tbRlV"/>
            <w:vAlign w:val="center"/>
          </w:tcPr>
          <w:p w14:paraId="77F42D2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54FBC072">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试验检测</w:t>
            </w:r>
          </w:p>
        </w:tc>
        <w:tc>
          <w:tcPr>
            <w:tcW w:w="738" w:type="dxa"/>
            <w:vAlign w:val="center"/>
          </w:tcPr>
          <w:p w14:paraId="70925041">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2BA5628B">
            <w:pPr>
              <w:pStyle w:val="20"/>
              <w:spacing w:before="171" w:line="293" w:lineRule="auto"/>
              <w:ind w:left="112" w:right="109" w:firstLine="4"/>
              <w:jc w:val="both"/>
              <w:rPr>
                <w:color w:val="auto"/>
                <w:highlight w:val="none"/>
              </w:rPr>
            </w:pPr>
            <w:r>
              <w:rPr>
                <w:color w:val="auto"/>
                <w:spacing w:val="13"/>
                <w:highlight w:val="none"/>
              </w:rPr>
              <w:t>具有行政主管部门核发的公路水运试验检测师资格证书或试验检测工程师</w:t>
            </w:r>
            <w:r>
              <w:rPr>
                <w:color w:val="auto"/>
                <w:spacing w:val="12"/>
                <w:highlight w:val="none"/>
              </w:rPr>
              <w:t>证书；具有路桥相关专业</w:t>
            </w:r>
            <w:r>
              <w:rPr>
                <w:color w:val="auto"/>
                <w:spacing w:val="12"/>
                <w:highlight w:val="none"/>
                <w:u w:val="single" w:color="auto"/>
              </w:rPr>
              <w:t>中级及以上</w:t>
            </w:r>
            <w:r>
              <w:rPr>
                <w:color w:val="auto"/>
                <w:spacing w:val="12"/>
                <w:highlight w:val="none"/>
              </w:rPr>
              <w:t>技术职称；从事试验检测工作</w:t>
            </w:r>
            <w:r>
              <w:rPr>
                <w:color w:val="auto"/>
                <w:spacing w:val="-19"/>
                <w:highlight w:val="none"/>
              </w:rPr>
              <w:t xml:space="preserve"> </w:t>
            </w:r>
            <w:r>
              <w:rPr>
                <w:color w:val="auto"/>
                <w:spacing w:val="12"/>
                <w:highlight w:val="none"/>
                <w:u w:val="single" w:color="auto"/>
              </w:rPr>
              <w:t>5</w:t>
            </w:r>
            <w:r>
              <w:rPr>
                <w:color w:val="auto"/>
                <w:spacing w:val="-34"/>
                <w:highlight w:val="none"/>
                <w:u w:val="single" w:color="auto"/>
              </w:rPr>
              <w:t xml:space="preserve"> </w:t>
            </w:r>
            <w:r>
              <w:rPr>
                <w:color w:val="auto"/>
                <w:spacing w:val="12"/>
                <w:highlight w:val="none"/>
              </w:rPr>
              <w:t>年以</w:t>
            </w:r>
            <w:r>
              <w:rPr>
                <w:color w:val="auto"/>
                <w:highlight w:val="none"/>
              </w:rPr>
              <w:t>上。</w:t>
            </w:r>
          </w:p>
        </w:tc>
      </w:tr>
      <w:tr w14:paraId="70AAD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635" w:type="dxa"/>
            <w:vMerge w:val="continue"/>
            <w:vAlign w:val="center"/>
          </w:tcPr>
          <w:p w14:paraId="5804016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0C5D9ED">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安全环保</w:t>
            </w:r>
          </w:p>
        </w:tc>
        <w:tc>
          <w:tcPr>
            <w:tcW w:w="738" w:type="dxa"/>
            <w:vAlign w:val="center"/>
          </w:tcPr>
          <w:p w14:paraId="7A3A4A0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34727EDA">
            <w:pPr>
              <w:pStyle w:val="20"/>
              <w:spacing w:before="120" w:line="309" w:lineRule="auto"/>
              <w:ind w:left="111" w:right="107"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或具有交通运输部核发的公路工程专业监理工程师资格证书；相关专业</w:t>
            </w:r>
            <w:r>
              <w:rPr>
                <w:color w:val="auto"/>
                <w:spacing w:val="13"/>
                <w:highlight w:val="none"/>
                <w:u w:val="single" w:color="auto"/>
              </w:rPr>
              <w:t>中级及以上</w:t>
            </w:r>
            <w:r>
              <w:rPr>
                <w:color w:val="auto"/>
                <w:spacing w:val="13"/>
                <w:highlight w:val="none"/>
              </w:rPr>
              <w:t>技术职称或应急管理部（原国家安全生产监督管理总局）核发的中级及以上注册安全</w:t>
            </w:r>
            <w:r>
              <w:rPr>
                <w:color w:val="auto"/>
                <w:spacing w:val="7"/>
                <w:highlight w:val="none"/>
              </w:rPr>
              <w:t>工程师证书；从事监理工作</w:t>
            </w:r>
            <w:r>
              <w:rPr>
                <w:color w:val="auto"/>
                <w:spacing w:val="-31"/>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1E10A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635" w:type="dxa"/>
            <w:vMerge w:val="continue"/>
            <w:vAlign w:val="center"/>
          </w:tcPr>
          <w:p w14:paraId="7D69B6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1915D1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p w14:paraId="59960CA5">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交通安全</w:t>
            </w:r>
            <w:r>
              <w:rPr>
                <w:color w:val="auto"/>
                <w:spacing w:val="3"/>
                <w:highlight w:val="none"/>
              </w:rPr>
              <w:t>设施</w:t>
            </w:r>
          </w:p>
        </w:tc>
        <w:tc>
          <w:tcPr>
            <w:tcW w:w="738" w:type="dxa"/>
            <w:vAlign w:val="center"/>
          </w:tcPr>
          <w:p w14:paraId="21DEE7B1">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4EA9E665">
            <w:pPr>
              <w:pStyle w:val="20"/>
              <w:spacing w:before="120" w:line="332" w:lineRule="auto"/>
              <w:ind w:left="111" w:right="109" w:firstLine="5"/>
              <w:rPr>
                <w:color w:val="auto"/>
                <w:highlight w:val="none"/>
              </w:rPr>
            </w:pPr>
            <w:r>
              <w:rPr>
                <w:color w:val="auto"/>
                <w:spacing w:val="20"/>
                <w:highlight w:val="none"/>
              </w:rPr>
              <w:t>具有交通运输部和人力资源和社会保障部用印的交通运输工程（公路工</w:t>
            </w:r>
            <w:r>
              <w:rPr>
                <w:color w:val="auto"/>
                <w:spacing w:val="13"/>
                <w:highlight w:val="none"/>
              </w:rPr>
              <w:t>程）专业监理工程师职业资格证书（或电子证书）或具有交通运输部核发</w:t>
            </w:r>
          </w:p>
          <w:p w14:paraId="1C933855">
            <w:pPr>
              <w:pStyle w:val="20"/>
              <w:spacing w:line="274" w:lineRule="auto"/>
              <w:ind w:left="112" w:right="109" w:firstLine="17"/>
              <w:rPr>
                <w:color w:val="auto"/>
                <w:highlight w:val="none"/>
              </w:rPr>
            </w:pPr>
            <w:r>
              <w:rPr>
                <w:color w:val="auto"/>
                <w:spacing w:val="13"/>
                <w:highlight w:val="none"/>
              </w:rPr>
              <w:t>的专业监理工程师资格证书；具有路桥相关专业</w:t>
            </w:r>
            <w:r>
              <w:rPr>
                <w:color w:val="auto"/>
                <w:spacing w:val="13"/>
                <w:highlight w:val="none"/>
                <w:u w:val="single" w:color="auto"/>
              </w:rPr>
              <w:t>中级及以上</w:t>
            </w:r>
            <w:r>
              <w:rPr>
                <w:color w:val="auto"/>
                <w:spacing w:val="13"/>
                <w:highlight w:val="none"/>
              </w:rPr>
              <w:t>技术职</w:t>
            </w:r>
            <w:r>
              <w:rPr>
                <w:color w:val="auto"/>
                <w:spacing w:val="12"/>
                <w:highlight w:val="none"/>
              </w:rPr>
              <w:t>称；从</w:t>
            </w:r>
            <w:r>
              <w:rPr>
                <w:color w:val="auto"/>
                <w:spacing w:val="7"/>
                <w:highlight w:val="none"/>
              </w:rPr>
              <w:t>事交通安全设施监理工作</w:t>
            </w:r>
            <w:r>
              <w:rPr>
                <w:color w:val="auto"/>
                <w:spacing w:val="-36"/>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466EC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35" w:type="dxa"/>
            <w:vMerge w:val="continue"/>
            <w:vAlign w:val="center"/>
          </w:tcPr>
          <w:p w14:paraId="4CFCF1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28DEC56">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通信系统</w:t>
            </w:r>
          </w:p>
        </w:tc>
        <w:tc>
          <w:tcPr>
            <w:tcW w:w="738" w:type="dxa"/>
            <w:vMerge w:val="restart"/>
            <w:tcBorders>
              <w:bottom w:val="nil"/>
            </w:tcBorders>
            <w:vAlign w:val="center"/>
          </w:tcPr>
          <w:p w14:paraId="3AE20E3A">
            <w:pPr>
              <w:jc w:val="center"/>
              <w:rPr>
                <w:rFonts w:ascii="Arial"/>
                <w:color w:val="auto"/>
                <w:sz w:val="21"/>
                <w:highlight w:val="none"/>
              </w:rPr>
            </w:pPr>
            <w:r>
              <w:rPr>
                <w:rFonts w:hint="eastAsia" w:eastAsia="宋体"/>
                <w:color w:val="auto"/>
                <w:sz w:val="21"/>
                <w:highlight w:val="none"/>
                <w:lang w:val="en-US" w:eastAsia="zh-CN"/>
              </w:rPr>
              <w:t>1</w:t>
            </w:r>
          </w:p>
        </w:tc>
        <w:tc>
          <w:tcPr>
            <w:tcW w:w="7059" w:type="dxa"/>
            <w:vMerge w:val="restart"/>
            <w:tcBorders>
              <w:bottom w:val="nil"/>
            </w:tcBorders>
            <w:vAlign w:val="top"/>
          </w:tcPr>
          <w:p w14:paraId="7D789938">
            <w:pPr>
              <w:spacing w:line="250" w:lineRule="auto"/>
              <w:rPr>
                <w:rFonts w:ascii="Arial"/>
                <w:color w:val="auto"/>
                <w:sz w:val="21"/>
                <w:highlight w:val="none"/>
              </w:rPr>
            </w:pPr>
          </w:p>
          <w:p w14:paraId="74C110D0">
            <w:pPr>
              <w:pStyle w:val="20"/>
              <w:spacing w:before="65" w:line="333"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或具有交通运输部核发的公路工程机电专业监理工程师资格证书或工业；具有</w:t>
            </w:r>
            <w:r>
              <w:rPr>
                <w:color w:val="auto"/>
                <w:spacing w:val="13"/>
                <w:highlight w:val="none"/>
                <w:u w:val="single" w:color="auto"/>
              </w:rPr>
              <w:t>中级及以上</w:t>
            </w:r>
            <w:r>
              <w:rPr>
                <w:color w:val="auto"/>
                <w:spacing w:val="13"/>
                <w:highlight w:val="none"/>
              </w:rPr>
              <w:t>技术</w:t>
            </w:r>
            <w:r>
              <w:rPr>
                <w:color w:val="auto"/>
                <w:spacing w:val="7"/>
                <w:highlight w:val="none"/>
              </w:rPr>
              <w:t>职称；从事各自专业监理工作</w:t>
            </w:r>
            <w:r>
              <w:rPr>
                <w:color w:val="auto"/>
                <w:spacing w:val="-29"/>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3FC09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35" w:type="dxa"/>
            <w:vMerge w:val="continue"/>
            <w:vAlign w:val="center"/>
          </w:tcPr>
          <w:p w14:paraId="64E744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4F2DC13B">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监控系统</w:t>
            </w:r>
          </w:p>
        </w:tc>
        <w:tc>
          <w:tcPr>
            <w:tcW w:w="738" w:type="dxa"/>
            <w:vMerge w:val="continue"/>
            <w:tcBorders>
              <w:top w:val="nil"/>
              <w:bottom w:val="nil"/>
            </w:tcBorders>
            <w:vAlign w:val="top"/>
          </w:tcPr>
          <w:p w14:paraId="6E9E1389">
            <w:pPr>
              <w:rPr>
                <w:rFonts w:ascii="Arial"/>
                <w:color w:val="auto"/>
                <w:sz w:val="21"/>
                <w:highlight w:val="none"/>
              </w:rPr>
            </w:pPr>
          </w:p>
        </w:tc>
        <w:tc>
          <w:tcPr>
            <w:tcW w:w="7059" w:type="dxa"/>
            <w:vMerge w:val="continue"/>
            <w:tcBorders>
              <w:top w:val="nil"/>
              <w:bottom w:val="nil"/>
            </w:tcBorders>
            <w:vAlign w:val="top"/>
          </w:tcPr>
          <w:p w14:paraId="1486C0CB">
            <w:pPr>
              <w:rPr>
                <w:rFonts w:ascii="Arial"/>
                <w:color w:val="auto"/>
                <w:sz w:val="21"/>
                <w:highlight w:val="none"/>
              </w:rPr>
            </w:pPr>
          </w:p>
        </w:tc>
      </w:tr>
      <w:tr w14:paraId="5E19B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35" w:type="dxa"/>
            <w:vMerge w:val="continue"/>
            <w:vAlign w:val="center"/>
          </w:tcPr>
          <w:p w14:paraId="560A64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DD3766C">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5"/>
                <w:highlight w:val="none"/>
              </w:rPr>
              <w:t>收费系统</w:t>
            </w:r>
          </w:p>
        </w:tc>
        <w:tc>
          <w:tcPr>
            <w:tcW w:w="738" w:type="dxa"/>
            <w:vMerge w:val="continue"/>
            <w:tcBorders>
              <w:top w:val="nil"/>
              <w:bottom w:val="nil"/>
            </w:tcBorders>
            <w:vAlign w:val="top"/>
          </w:tcPr>
          <w:p w14:paraId="0E30AF83">
            <w:pPr>
              <w:rPr>
                <w:rFonts w:ascii="Arial"/>
                <w:color w:val="auto"/>
                <w:sz w:val="21"/>
                <w:highlight w:val="none"/>
              </w:rPr>
            </w:pPr>
          </w:p>
        </w:tc>
        <w:tc>
          <w:tcPr>
            <w:tcW w:w="7059" w:type="dxa"/>
            <w:vMerge w:val="continue"/>
            <w:tcBorders>
              <w:top w:val="nil"/>
              <w:bottom w:val="nil"/>
            </w:tcBorders>
            <w:vAlign w:val="top"/>
          </w:tcPr>
          <w:p w14:paraId="44C769AF">
            <w:pPr>
              <w:rPr>
                <w:rFonts w:ascii="Arial"/>
                <w:color w:val="auto"/>
                <w:sz w:val="21"/>
                <w:highlight w:val="none"/>
              </w:rPr>
            </w:pPr>
          </w:p>
        </w:tc>
      </w:tr>
      <w:tr w14:paraId="4E779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35" w:type="dxa"/>
            <w:vMerge w:val="continue"/>
            <w:vAlign w:val="center"/>
          </w:tcPr>
          <w:p w14:paraId="05E6E5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1DEC510E">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供配电系</w:t>
            </w:r>
            <w:r>
              <w:rPr>
                <w:color w:val="auto"/>
                <w:highlight w:val="none"/>
              </w:rPr>
              <w:t>统</w:t>
            </w:r>
          </w:p>
        </w:tc>
        <w:tc>
          <w:tcPr>
            <w:tcW w:w="738" w:type="dxa"/>
            <w:vMerge w:val="continue"/>
            <w:tcBorders>
              <w:top w:val="nil"/>
            </w:tcBorders>
            <w:vAlign w:val="top"/>
          </w:tcPr>
          <w:p w14:paraId="24D241C5">
            <w:pPr>
              <w:rPr>
                <w:rFonts w:ascii="Arial"/>
                <w:color w:val="auto"/>
                <w:sz w:val="21"/>
                <w:highlight w:val="none"/>
              </w:rPr>
            </w:pPr>
          </w:p>
        </w:tc>
        <w:tc>
          <w:tcPr>
            <w:tcW w:w="7059" w:type="dxa"/>
            <w:vMerge w:val="continue"/>
            <w:tcBorders>
              <w:top w:val="nil"/>
            </w:tcBorders>
            <w:vAlign w:val="top"/>
          </w:tcPr>
          <w:p w14:paraId="6AEC57D9">
            <w:pPr>
              <w:rPr>
                <w:rFonts w:ascii="Arial"/>
                <w:color w:val="auto"/>
                <w:sz w:val="21"/>
                <w:highlight w:val="none"/>
              </w:rPr>
            </w:pPr>
          </w:p>
        </w:tc>
      </w:tr>
      <w:tr w14:paraId="7DF2B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635" w:type="dxa"/>
            <w:vMerge w:val="continue"/>
            <w:vAlign w:val="center"/>
          </w:tcPr>
          <w:p w14:paraId="30D0FC7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601E828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房建工程</w:t>
            </w:r>
          </w:p>
        </w:tc>
        <w:tc>
          <w:tcPr>
            <w:tcW w:w="738" w:type="dxa"/>
            <w:vAlign w:val="center"/>
          </w:tcPr>
          <w:p w14:paraId="1653C4BC">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3FDFF12A">
            <w:pPr>
              <w:pStyle w:val="20"/>
              <w:spacing w:before="121" w:line="293" w:lineRule="auto"/>
              <w:ind w:left="116" w:right="109"/>
              <w:jc w:val="both"/>
              <w:rPr>
                <w:color w:val="auto"/>
                <w:highlight w:val="none"/>
              </w:rPr>
            </w:pPr>
            <w:r>
              <w:rPr>
                <w:color w:val="auto"/>
                <w:spacing w:val="13"/>
                <w:highlight w:val="none"/>
              </w:rPr>
              <w:t>具有住房和城乡建设部核发的监理工程师证书（注册专业为房屋建筑）或具有住房和城乡建设部门核发的监理培训证书；具有建筑相关专业</w:t>
            </w:r>
            <w:r>
              <w:rPr>
                <w:color w:val="auto"/>
                <w:spacing w:val="13"/>
                <w:highlight w:val="none"/>
                <w:u w:val="single" w:color="auto"/>
              </w:rPr>
              <w:t>中级及</w:t>
            </w:r>
            <w:r>
              <w:rPr>
                <w:color w:val="auto"/>
                <w:spacing w:val="7"/>
                <w:highlight w:val="none"/>
                <w:u w:val="single" w:color="auto"/>
              </w:rPr>
              <w:t>以上</w:t>
            </w:r>
            <w:r>
              <w:rPr>
                <w:color w:val="auto"/>
                <w:spacing w:val="7"/>
                <w:highlight w:val="none"/>
              </w:rPr>
              <w:t>技术职称；从事房建工程监理工作</w:t>
            </w:r>
            <w:r>
              <w:rPr>
                <w:color w:val="auto"/>
                <w:spacing w:val="-22"/>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1A4B3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635" w:type="dxa"/>
            <w:vMerge w:val="continue"/>
            <w:vAlign w:val="center"/>
          </w:tcPr>
          <w:p w14:paraId="0859644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EB8EB5A">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地质工程</w:t>
            </w:r>
          </w:p>
        </w:tc>
        <w:tc>
          <w:tcPr>
            <w:tcW w:w="738" w:type="dxa"/>
            <w:vAlign w:val="center"/>
          </w:tcPr>
          <w:p w14:paraId="7F22CE29">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065FB4D2">
            <w:pPr>
              <w:pStyle w:val="20"/>
              <w:spacing w:before="123" w:line="332" w:lineRule="auto"/>
              <w:ind w:left="111" w:right="109" w:firstLine="5"/>
              <w:jc w:val="both"/>
              <w:rPr>
                <w:color w:val="auto"/>
                <w:highlight w:val="none"/>
              </w:rPr>
            </w:pPr>
            <w:r>
              <w:rPr>
                <w:color w:val="auto"/>
                <w:spacing w:val="20"/>
                <w:highlight w:val="none"/>
              </w:rPr>
              <w:t>具有交通运输部和人力资源和社会保障部用印的交通运输工程（公路工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或具有交通运输部核发的专业监理工程师资格证书；具有路桥或地质或岩土相关专业</w:t>
            </w:r>
            <w:r>
              <w:rPr>
                <w:color w:val="auto"/>
                <w:spacing w:val="13"/>
                <w:highlight w:val="none"/>
                <w:u w:val="single" w:color="auto"/>
              </w:rPr>
              <w:t>中级及以</w:t>
            </w:r>
          </w:p>
          <w:p w14:paraId="71062BCE">
            <w:pPr>
              <w:pStyle w:val="20"/>
              <w:spacing w:line="213" w:lineRule="auto"/>
              <w:ind w:left="114"/>
              <w:rPr>
                <w:color w:val="auto"/>
                <w:highlight w:val="none"/>
              </w:rPr>
            </w:pPr>
            <w:r>
              <w:rPr>
                <w:color w:val="auto"/>
                <w:spacing w:val="7"/>
                <w:highlight w:val="none"/>
                <w:u w:val="single" w:color="auto"/>
              </w:rPr>
              <w:t>上</w:t>
            </w:r>
            <w:r>
              <w:rPr>
                <w:color w:val="auto"/>
                <w:spacing w:val="7"/>
                <w:highlight w:val="none"/>
              </w:rPr>
              <w:t>技术职称；从事监理工作</w:t>
            </w:r>
            <w:r>
              <w:rPr>
                <w:color w:val="auto"/>
                <w:spacing w:val="-33"/>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35A40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35" w:type="dxa"/>
            <w:vAlign w:val="center"/>
          </w:tcPr>
          <w:p w14:paraId="7E336ED0">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专</w:t>
            </w:r>
          </w:p>
          <w:p w14:paraId="38D446D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1"/>
                <w:highlight w:val="none"/>
              </w:rPr>
              <w:t>业</w:t>
            </w:r>
          </w:p>
          <w:p w14:paraId="1F68391C">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监</w:t>
            </w:r>
          </w:p>
          <w:p w14:paraId="74FD7ED7">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理</w:t>
            </w:r>
          </w:p>
          <w:p w14:paraId="6B3177C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position w:val="1"/>
                <w:highlight w:val="none"/>
              </w:rPr>
              <w:t>工</w:t>
            </w:r>
          </w:p>
          <w:p w14:paraId="5AD8B446">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color w:val="auto"/>
                <w:spacing w:val="1"/>
                <w:highlight w:val="none"/>
              </w:rPr>
              <w:t>程</w:t>
            </w:r>
            <w:r>
              <w:rPr>
                <w:color w:val="auto"/>
                <w:spacing w:val="1"/>
                <w:position w:val="-2"/>
                <w:highlight w:val="none"/>
              </w:rPr>
              <w:t>师</w:t>
            </w:r>
          </w:p>
        </w:tc>
        <w:tc>
          <w:tcPr>
            <w:tcW w:w="1146" w:type="dxa"/>
            <w:vAlign w:val="center"/>
          </w:tcPr>
          <w:p w14:paraId="375A061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专业工</w:t>
            </w:r>
            <w:r>
              <w:rPr>
                <w:color w:val="auto"/>
                <w:spacing w:val="5"/>
                <w:highlight w:val="none"/>
              </w:rPr>
              <w:t>程师</w:t>
            </w:r>
          </w:p>
        </w:tc>
        <w:tc>
          <w:tcPr>
            <w:tcW w:w="738" w:type="dxa"/>
            <w:vAlign w:val="center"/>
          </w:tcPr>
          <w:p w14:paraId="42B2F12A">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center"/>
          </w:tcPr>
          <w:p w14:paraId="5F56F603">
            <w:pPr>
              <w:pStyle w:val="20"/>
              <w:spacing w:before="65" w:line="334" w:lineRule="auto"/>
              <w:ind w:left="111" w:right="109" w:firstLine="5"/>
              <w:jc w:val="both"/>
              <w:rPr>
                <w:color w:val="auto"/>
                <w:highlight w:val="none"/>
              </w:rPr>
            </w:pPr>
            <w:r>
              <w:rPr>
                <w:color w:val="auto"/>
                <w:spacing w:val="14"/>
                <w:highlight w:val="none"/>
              </w:rPr>
              <w:t>具有工程类注册执业资格或具有</w:t>
            </w:r>
            <w:r>
              <w:rPr>
                <w:color w:val="auto"/>
                <w:spacing w:val="14"/>
                <w:highlight w:val="none"/>
                <w:u w:val="single" w:color="auto"/>
              </w:rPr>
              <w:t>中级及以上</w:t>
            </w:r>
            <w:r>
              <w:rPr>
                <w:color w:val="auto"/>
                <w:spacing w:val="14"/>
                <w:highlight w:val="none"/>
              </w:rPr>
              <w:t>专业技术职称；</w:t>
            </w:r>
            <w:r>
              <w:rPr>
                <w:color w:val="auto"/>
                <w:spacing w:val="14"/>
                <w:highlight w:val="none"/>
                <w:u w:val="single" w:color="auto"/>
              </w:rPr>
              <w:t>3</w:t>
            </w:r>
            <w:r>
              <w:rPr>
                <w:color w:val="auto"/>
                <w:spacing w:val="-22"/>
                <w:highlight w:val="none"/>
                <w:u w:val="single" w:color="auto"/>
              </w:rPr>
              <w:t xml:space="preserve"> </w:t>
            </w:r>
            <w:r>
              <w:rPr>
                <w:color w:val="auto"/>
                <w:spacing w:val="14"/>
                <w:highlight w:val="none"/>
              </w:rPr>
              <w:t>年及以上工</w:t>
            </w:r>
            <w:r>
              <w:rPr>
                <w:color w:val="auto"/>
                <w:spacing w:val="9"/>
                <w:highlight w:val="none"/>
              </w:rPr>
              <w:t>程实践经验；经过监理业务培训并经建设单位考核合格的监理人员。</w:t>
            </w:r>
          </w:p>
        </w:tc>
      </w:tr>
      <w:tr w14:paraId="3B918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781" w:type="dxa"/>
            <w:gridSpan w:val="2"/>
            <w:vAlign w:val="center"/>
          </w:tcPr>
          <w:p w14:paraId="06E1D770">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8"/>
                <w:highlight w:val="none"/>
              </w:rPr>
              <w:t>档案及竣工资料</w:t>
            </w:r>
            <w:r>
              <w:rPr>
                <w:color w:val="auto"/>
                <w:spacing w:val="4"/>
                <w:highlight w:val="none"/>
              </w:rPr>
              <w:t>负责人</w:t>
            </w:r>
          </w:p>
        </w:tc>
        <w:tc>
          <w:tcPr>
            <w:tcW w:w="738" w:type="dxa"/>
            <w:vAlign w:val="center"/>
          </w:tcPr>
          <w:p w14:paraId="23E7D8BA">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0D3B36EB">
            <w:pPr>
              <w:pStyle w:val="20"/>
              <w:spacing w:before="123" w:line="273" w:lineRule="auto"/>
              <w:ind w:left="111" w:right="109" w:firstLine="5"/>
              <w:rPr>
                <w:color w:val="auto"/>
                <w:highlight w:val="none"/>
              </w:rPr>
            </w:pPr>
            <w:r>
              <w:rPr>
                <w:color w:val="auto"/>
                <w:spacing w:val="13"/>
                <w:highlight w:val="none"/>
              </w:rPr>
              <w:t>具有路桥或土建相关专业</w:t>
            </w:r>
            <w:r>
              <w:rPr>
                <w:color w:val="auto"/>
                <w:spacing w:val="13"/>
                <w:highlight w:val="none"/>
                <w:u w:val="single" w:color="auto"/>
              </w:rPr>
              <w:t>初级及以上</w:t>
            </w:r>
            <w:r>
              <w:rPr>
                <w:color w:val="auto"/>
                <w:spacing w:val="13"/>
                <w:highlight w:val="none"/>
              </w:rPr>
              <w:t>技术职称，至少具有一个公路工</w:t>
            </w:r>
            <w:r>
              <w:rPr>
                <w:color w:val="auto"/>
                <w:spacing w:val="9"/>
                <w:highlight w:val="none"/>
              </w:rPr>
              <w:t>程项目竣工档案全过程编制和管理工作经验,熟悉计算机办公软件操作。</w:t>
            </w:r>
          </w:p>
        </w:tc>
      </w:tr>
      <w:tr w14:paraId="29558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781" w:type="dxa"/>
            <w:gridSpan w:val="2"/>
            <w:vAlign w:val="center"/>
          </w:tcPr>
          <w:p w14:paraId="26B95203">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1"/>
                <w:highlight w:val="none"/>
              </w:rPr>
              <w:t>监理员</w:t>
            </w:r>
          </w:p>
        </w:tc>
        <w:tc>
          <w:tcPr>
            <w:tcW w:w="738" w:type="dxa"/>
            <w:vAlign w:val="center"/>
          </w:tcPr>
          <w:p w14:paraId="33E83FC1">
            <w:pPr>
              <w:jc w:val="center"/>
              <w:rPr>
                <w:rFonts w:ascii="Arial"/>
                <w:color w:val="auto"/>
                <w:sz w:val="21"/>
                <w:highlight w:val="none"/>
              </w:rPr>
            </w:pPr>
            <w:r>
              <w:rPr>
                <w:rFonts w:hint="eastAsia" w:eastAsia="宋体"/>
                <w:color w:val="auto"/>
                <w:sz w:val="21"/>
                <w:highlight w:val="none"/>
                <w:lang w:val="en-US" w:eastAsia="zh-CN"/>
              </w:rPr>
              <w:t>3</w:t>
            </w:r>
          </w:p>
        </w:tc>
        <w:tc>
          <w:tcPr>
            <w:tcW w:w="7059" w:type="dxa"/>
            <w:vAlign w:val="top"/>
          </w:tcPr>
          <w:p w14:paraId="46751AC6">
            <w:pPr>
              <w:pStyle w:val="20"/>
              <w:spacing w:before="123" w:line="275" w:lineRule="auto"/>
              <w:ind w:left="113" w:right="109" w:firstLine="3"/>
              <w:rPr>
                <w:color w:val="auto"/>
                <w:highlight w:val="none"/>
              </w:rPr>
            </w:pPr>
            <w:r>
              <w:rPr>
                <w:color w:val="auto"/>
                <w:spacing w:val="13"/>
                <w:highlight w:val="none"/>
              </w:rPr>
              <w:t>具有监理人员培训证书，路桥相关专业</w:t>
            </w:r>
            <w:r>
              <w:rPr>
                <w:color w:val="auto"/>
                <w:spacing w:val="13"/>
                <w:highlight w:val="none"/>
                <w:u w:val="single" w:color="auto"/>
              </w:rPr>
              <w:t>初级及以上</w:t>
            </w:r>
            <w:r>
              <w:rPr>
                <w:color w:val="auto"/>
                <w:spacing w:val="13"/>
                <w:highlight w:val="none"/>
              </w:rPr>
              <w:t>技术职称，从事监理工</w:t>
            </w:r>
            <w:r>
              <w:rPr>
                <w:color w:val="auto"/>
                <w:spacing w:val="2"/>
                <w:highlight w:val="none"/>
              </w:rPr>
              <w:t>作</w:t>
            </w:r>
            <w:r>
              <w:rPr>
                <w:color w:val="auto"/>
                <w:spacing w:val="16"/>
                <w:highlight w:val="none"/>
              </w:rPr>
              <w:t xml:space="preserve"> </w:t>
            </w:r>
            <w:r>
              <w:rPr>
                <w:color w:val="auto"/>
                <w:spacing w:val="2"/>
                <w:highlight w:val="none"/>
                <w:u w:val="single" w:color="auto"/>
              </w:rPr>
              <w:t>2</w:t>
            </w:r>
            <w:r>
              <w:rPr>
                <w:color w:val="auto"/>
                <w:spacing w:val="-37"/>
                <w:highlight w:val="none"/>
                <w:u w:val="single" w:color="auto"/>
              </w:rPr>
              <w:t xml:space="preserve"> </w:t>
            </w:r>
            <w:r>
              <w:rPr>
                <w:color w:val="auto"/>
                <w:spacing w:val="2"/>
                <w:highlight w:val="none"/>
              </w:rPr>
              <w:t>年以上。</w:t>
            </w:r>
          </w:p>
        </w:tc>
      </w:tr>
    </w:tbl>
    <w:p w14:paraId="3F28A5E9">
      <w:pPr>
        <w:bidi w:val="0"/>
        <w:rPr>
          <w:color w:val="auto"/>
          <w:highlight w:val="none"/>
        </w:rPr>
      </w:pPr>
    </w:p>
    <w:p w14:paraId="7E095990">
      <w:pPr>
        <w:keepNext w:val="0"/>
        <w:keepLines w:val="0"/>
        <w:pageBreakBefore w:val="0"/>
        <w:widowControl w:val="0"/>
        <w:kinsoku w:val="0"/>
        <w:wordWrap/>
        <w:overflowPunct w:val="0"/>
        <w:topLinePunct w:val="0"/>
        <w:autoSpaceDE w:val="0"/>
        <w:autoSpaceDN w:val="0"/>
        <w:bidi w:val="0"/>
        <w:adjustRightInd w:val="0"/>
        <w:snapToGrid w:val="0"/>
        <w:spacing w:line="456" w:lineRule="auto"/>
        <w:ind w:right="0"/>
        <w:textAlignment w:val="baseline"/>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注：附录</w:t>
      </w:r>
      <w:r>
        <w:rPr>
          <w:rFonts w:ascii="宋体" w:hAnsi="宋体" w:eastAsia="宋体" w:cs="宋体"/>
          <w:color w:val="auto"/>
          <w:spacing w:val="-30"/>
          <w:sz w:val="20"/>
          <w:szCs w:val="20"/>
          <w:highlight w:val="none"/>
        </w:rPr>
        <w:t xml:space="preserve"> </w:t>
      </w:r>
      <w:r>
        <w:rPr>
          <w:rFonts w:ascii="宋体" w:hAnsi="宋体" w:eastAsia="宋体" w:cs="宋体"/>
          <w:color w:val="auto"/>
          <w:spacing w:val="9"/>
          <w:sz w:val="20"/>
          <w:szCs w:val="20"/>
          <w:highlight w:val="none"/>
        </w:rPr>
        <w:t>5</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所要求人员须按投标文件投标函的格式承诺，中标人在进场前向招标人提交实际投入的</w:t>
      </w:r>
      <w:bookmarkStart w:id="29" w:name="bookmark103"/>
      <w:bookmarkEnd w:id="29"/>
      <w:r>
        <w:rPr>
          <w:rFonts w:ascii="宋体" w:hAnsi="宋体" w:eastAsia="宋体" w:cs="宋体"/>
          <w:color w:val="auto"/>
          <w:spacing w:val="4"/>
          <w:position w:val="-1"/>
          <w:sz w:val="20"/>
          <w:szCs w:val="20"/>
          <w:highlight w:val="none"/>
        </w:rPr>
        <w:t>人员。</w:t>
      </w:r>
    </w:p>
    <w:p w14:paraId="25CEAB9C">
      <w:pPr>
        <w:spacing w:line="219" w:lineRule="auto"/>
        <w:rPr>
          <w:rFonts w:ascii="宋体" w:hAnsi="宋体" w:eastAsia="宋体" w:cs="宋体"/>
          <w:color w:val="auto"/>
          <w:sz w:val="18"/>
          <w:szCs w:val="18"/>
          <w:highlight w:val="none"/>
        </w:rPr>
        <w:sectPr>
          <w:headerReference r:id="rId11" w:type="default"/>
          <w:footerReference r:id="rId12" w:type="default"/>
          <w:pgSz w:w="11905" w:h="16838"/>
          <w:pgMar w:top="1134" w:right="1134" w:bottom="1134" w:left="1134" w:header="0" w:footer="1066" w:gutter="0"/>
          <w:pgNumType w:fmt="decimal"/>
          <w:cols w:space="0" w:num="1"/>
          <w:rtlGutter w:val="0"/>
          <w:docGrid w:linePitch="0" w:charSpace="0"/>
        </w:sectPr>
      </w:pPr>
    </w:p>
    <w:p w14:paraId="5CEA0FB3">
      <w:pPr>
        <w:spacing w:line="241" w:lineRule="auto"/>
        <w:rPr>
          <w:rFonts w:ascii="Arial"/>
          <w:color w:val="auto"/>
          <w:sz w:val="21"/>
          <w:highlight w:val="none"/>
        </w:rPr>
      </w:pPr>
    </w:p>
    <w:p w14:paraId="11F730E0">
      <w:pPr>
        <w:spacing w:line="241" w:lineRule="auto"/>
        <w:rPr>
          <w:rFonts w:ascii="Arial"/>
          <w:color w:val="auto"/>
          <w:sz w:val="21"/>
          <w:highlight w:val="none"/>
        </w:rPr>
      </w:pPr>
    </w:p>
    <w:p w14:paraId="43EFDCD6">
      <w:pPr>
        <w:spacing w:before="91" w:line="219" w:lineRule="auto"/>
        <w:ind w:left="2641"/>
        <w:rPr>
          <w:rFonts w:ascii="宋体" w:hAnsi="宋体" w:eastAsia="宋体" w:cs="宋体"/>
          <w:color w:val="auto"/>
          <w:sz w:val="28"/>
          <w:szCs w:val="28"/>
          <w:highlight w:val="none"/>
        </w:rPr>
      </w:pPr>
      <w:r>
        <w:rPr>
          <w:rFonts w:ascii="宋体" w:hAnsi="宋体" w:eastAsia="宋体" w:cs="宋体"/>
          <w:b/>
          <w:bCs/>
          <w:color w:val="auto"/>
          <w:spacing w:val="-3"/>
          <w:sz w:val="28"/>
          <w:szCs w:val="28"/>
          <w:highlight w:val="none"/>
        </w:rPr>
        <w:t>第二章</w:t>
      </w:r>
      <w:r>
        <w:rPr>
          <w:rFonts w:ascii="宋体" w:hAnsi="宋体" w:eastAsia="宋体" w:cs="宋体"/>
          <w:color w:val="auto"/>
          <w:spacing w:val="-3"/>
          <w:sz w:val="28"/>
          <w:szCs w:val="28"/>
          <w:highlight w:val="none"/>
        </w:rPr>
        <w:t xml:space="preserve"> </w:t>
      </w:r>
      <w:r>
        <w:rPr>
          <w:rFonts w:ascii="宋体" w:hAnsi="宋体" w:eastAsia="宋体" w:cs="宋体"/>
          <w:b/>
          <w:bCs/>
          <w:color w:val="auto"/>
          <w:spacing w:val="-3"/>
          <w:sz w:val="28"/>
          <w:szCs w:val="28"/>
          <w:highlight w:val="none"/>
        </w:rPr>
        <w:t>投标人须知正文及附件</w:t>
      </w:r>
    </w:p>
    <w:p w14:paraId="29A4202C">
      <w:pPr>
        <w:spacing w:line="262" w:lineRule="auto"/>
        <w:rPr>
          <w:rFonts w:ascii="Arial"/>
          <w:color w:val="auto"/>
          <w:sz w:val="21"/>
          <w:highlight w:val="none"/>
        </w:rPr>
      </w:pPr>
    </w:p>
    <w:p w14:paraId="41CBAFEB">
      <w:pPr>
        <w:spacing w:line="263" w:lineRule="auto"/>
        <w:rPr>
          <w:rFonts w:ascii="Arial"/>
          <w:color w:val="auto"/>
          <w:sz w:val="21"/>
          <w:highlight w:val="none"/>
        </w:rPr>
      </w:pPr>
    </w:p>
    <w:p w14:paraId="47FE21AB">
      <w:pPr>
        <w:pStyle w:val="3"/>
        <w:bidi w:val="0"/>
        <w:rPr>
          <w:rFonts w:ascii="宋体" w:hAnsi="宋体" w:eastAsia="宋体" w:cs="宋体"/>
          <w:color w:val="auto"/>
          <w:sz w:val="28"/>
          <w:szCs w:val="28"/>
          <w:highlight w:val="none"/>
        </w:rPr>
      </w:pPr>
      <w:r>
        <w:rPr>
          <w:rFonts w:ascii="宋体" w:hAnsi="宋体" w:eastAsia="宋体" w:cs="宋体"/>
          <w:b/>
          <w:bCs/>
          <w:color w:val="auto"/>
          <w:spacing w:val="-15"/>
          <w:sz w:val="28"/>
          <w:szCs w:val="28"/>
          <w:highlight w:val="none"/>
        </w:rPr>
        <w:t>1.</w:t>
      </w:r>
      <w:r>
        <w:rPr>
          <w:rFonts w:ascii="宋体" w:hAnsi="宋体" w:eastAsia="宋体" w:cs="宋体"/>
          <w:color w:val="auto"/>
          <w:spacing w:val="19"/>
          <w:sz w:val="28"/>
          <w:szCs w:val="28"/>
          <w:highlight w:val="none"/>
        </w:rPr>
        <w:t xml:space="preserve"> </w:t>
      </w:r>
      <w:r>
        <w:rPr>
          <w:rFonts w:ascii="宋体" w:hAnsi="宋体" w:eastAsia="宋体" w:cs="宋体"/>
          <w:b/>
          <w:bCs/>
          <w:color w:val="auto"/>
          <w:spacing w:val="-15"/>
          <w:sz w:val="28"/>
          <w:szCs w:val="28"/>
          <w:highlight w:val="none"/>
        </w:rPr>
        <w:t>总则</w:t>
      </w:r>
    </w:p>
    <w:p w14:paraId="0F11A6B7">
      <w:pPr>
        <w:pStyle w:val="4"/>
        <w:bidi w:val="0"/>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1.1</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8"/>
          <w:sz w:val="24"/>
          <w:szCs w:val="24"/>
          <w:highlight w:val="none"/>
        </w:rPr>
        <w:t>项目概况</w:t>
      </w:r>
    </w:p>
    <w:p w14:paraId="554247B4">
      <w:pPr>
        <w:spacing w:before="180" w:line="359" w:lineRule="auto"/>
        <w:ind w:firstLine="497"/>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1.1.1 根据《中华人民共和国招标投标法》《中华人民共和国招标投标法实施条</w:t>
      </w:r>
      <w:r>
        <w:rPr>
          <w:rFonts w:ascii="宋体" w:hAnsi="宋体" w:eastAsia="宋体" w:cs="宋体"/>
          <w:color w:val="auto"/>
          <w:spacing w:val="5"/>
          <w:sz w:val="24"/>
          <w:szCs w:val="24"/>
          <w:highlight w:val="none"/>
        </w:rPr>
        <w:t>例》《广东省实施&lt;中华人民共和国招标投标法&gt;办法》《公路工</w:t>
      </w:r>
      <w:r>
        <w:rPr>
          <w:rFonts w:ascii="宋体" w:hAnsi="宋体" w:eastAsia="宋体" w:cs="宋体"/>
          <w:color w:val="auto"/>
          <w:spacing w:val="4"/>
          <w:sz w:val="24"/>
          <w:szCs w:val="24"/>
          <w:highlight w:val="none"/>
        </w:rPr>
        <w:t>程建设项目招标投标</w:t>
      </w:r>
      <w:r>
        <w:rPr>
          <w:rFonts w:ascii="宋体" w:hAnsi="宋体" w:eastAsia="宋体" w:cs="宋体"/>
          <w:color w:val="auto"/>
          <w:spacing w:val="5"/>
          <w:sz w:val="24"/>
          <w:szCs w:val="24"/>
          <w:highlight w:val="none"/>
        </w:rPr>
        <w:t>管理办法》等有关法律、法规和规章的规定，本招标项目已具备招标条件，</w:t>
      </w:r>
      <w:r>
        <w:rPr>
          <w:rFonts w:ascii="宋体" w:hAnsi="宋体" w:eastAsia="宋体" w:cs="宋体"/>
          <w:color w:val="auto"/>
          <w:spacing w:val="4"/>
          <w:sz w:val="24"/>
          <w:szCs w:val="24"/>
          <w:highlight w:val="none"/>
        </w:rPr>
        <w:t>现对本标</w:t>
      </w:r>
      <w:r>
        <w:rPr>
          <w:rFonts w:ascii="宋体" w:hAnsi="宋体" w:eastAsia="宋体" w:cs="宋体"/>
          <w:color w:val="auto"/>
          <w:spacing w:val="-1"/>
          <w:sz w:val="24"/>
          <w:szCs w:val="24"/>
          <w:highlight w:val="none"/>
        </w:rPr>
        <w:t>段施工监理进行招标。</w:t>
      </w:r>
    </w:p>
    <w:p w14:paraId="0ECB18C2">
      <w:pPr>
        <w:spacing w:before="1" w:line="218"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 本招标项目招标人：见投标人须知</w:t>
      </w:r>
      <w:r>
        <w:rPr>
          <w:rFonts w:ascii="宋体" w:hAnsi="宋体" w:eastAsia="宋体" w:cs="宋体"/>
          <w:color w:val="auto"/>
          <w:spacing w:val="-2"/>
          <w:sz w:val="24"/>
          <w:szCs w:val="24"/>
          <w:highlight w:val="none"/>
        </w:rPr>
        <w:t>前附表。</w:t>
      </w:r>
    </w:p>
    <w:p w14:paraId="740B0425">
      <w:pPr>
        <w:spacing w:before="183"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1.1.3 本标段招标代理机构：见投标人须知前</w:t>
      </w:r>
      <w:r>
        <w:rPr>
          <w:rFonts w:ascii="宋体" w:hAnsi="宋体" w:eastAsia="宋体" w:cs="宋体"/>
          <w:color w:val="auto"/>
          <w:spacing w:val="-2"/>
          <w:sz w:val="24"/>
          <w:szCs w:val="24"/>
          <w:highlight w:val="none"/>
        </w:rPr>
        <w:t>附表。</w:t>
      </w:r>
    </w:p>
    <w:p w14:paraId="012B7B6B">
      <w:pPr>
        <w:spacing w:before="184"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1.1.4 本招标项目名称：见投标人须</w:t>
      </w:r>
      <w:r>
        <w:rPr>
          <w:rFonts w:ascii="宋体" w:hAnsi="宋体" w:eastAsia="宋体" w:cs="宋体"/>
          <w:color w:val="auto"/>
          <w:spacing w:val="-2"/>
          <w:sz w:val="24"/>
          <w:szCs w:val="24"/>
          <w:highlight w:val="none"/>
        </w:rPr>
        <w:t>知前附表。</w:t>
      </w:r>
    </w:p>
    <w:p w14:paraId="1B9B9885">
      <w:pPr>
        <w:spacing w:before="180"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1.1.5 本标段建设地点：见投标人须</w:t>
      </w:r>
      <w:r>
        <w:rPr>
          <w:rFonts w:ascii="宋体" w:hAnsi="宋体" w:eastAsia="宋体" w:cs="宋体"/>
          <w:color w:val="auto"/>
          <w:spacing w:val="-2"/>
          <w:sz w:val="24"/>
          <w:szCs w:val="24"/>
          <w:highlight w:val="none"/>
        </w:rPr>
        <w:t>知前附表。</w:t>
      </w:r>
    </w:p>
    <w:p w14:paraId="2E0792E4">
      <w:pPr>
        <w:spacing w:before="181"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1.1.6 本标段建设规模：见投标人须</w:t>
      </w:r>
      <w:r>
        <w:rPr>
          <w:rFonts w:ascii="宋体" w:hAnsi="宋体" w:eastAsia="宋体" w:cs="宋体"/>
          <w:color w:val="auto"/>
          <w:spacing w:val="-2"/>
          <w:sz w:val="24"/>
          <w:szCs w:val="24"/>
          <w:highlight w:val="none"/>
        </w:rPr>
        <w:t>知前附表。</w:t>
      </w:r>
    </w:p>
    <w:p w14:paraId="0BF88D61">
      <w:pPr>
        <w:spacing w:before="184"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1.1.7 招标项目施工预计开工日期和建设周期：见投标人须知前附表。</w:t>
      </w:r>
    </w:p>
    <w:p w14:paraId="2C4E6A22">
      <w:pPr>
        <w:spacing w:before="183"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1.1.8 建筑安装工程费/工程概算投资额：见投标人须知前附表。</w:t>
      </w:r>
    </w:p>
    <w:p w14:paraId="7C49EDC2">
      <w:pPr>
        <w:pStyle w:val="4"/>
        <w:bidi w:val="0"/>
        <w:rPr>
          <w:color w:val="auto"/>
          <w:highlight w:val="none"/>
        </w:rPr>
      </w:pPr>
      <w:r>
        <w:rPr>
          <w:color w:val="auto"/>
          <w:highlight w:val="none"/>
        </w:rPr>
        <w:t>1.2 招标项目的资金来源和落实情况</w:t>
      </w:r>
    </w:p>
    <w:p w14:paraId="696D9795">
      <w:pPr>
        <w:spacing w:before="182"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1.2.1 资金来源及比例：见投标人须</w:t>
      </w:r>
      <w:r>
        <w:rPr>
          <w:rFonts w:ascii="宋体" w:hAnsi="宋体" w:eastAsia="宋体" w:cs="宋体"/>
          <w:color w:val="auto"/>
          <w:spacing w:val="-2"/>
          <w:sz w:val="24"/>
          <w:szCs w:val="24"/>
          <w:highlight w:val="none"/>
        </w:rPr>
        <w:t>知前附表。</w:t>
      </w:r>
    </w:p>
    <w:p w14:paraId="7B2A12F5">
      <w:pPr>
        <w:spacing w:before="181" w:line="219" w:lineRule="auto"/>
        <w:ind w:left="49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1.2.2 资金落实情况：见投标人须知前附表。</w:t>
      </w:r>
    </w:p>
    <w:p w14:paraId="37E4A8E0">
      <w:pPr>
        <w:pStyle w:val="4"/>
        <w:bidi w:val="0"/>
        <w:rPr>
          <w:color w:val="auto"/>
          <w:highlight w:val="none"/>
        </w:rPr>
      </w:pPr>
      <w:r>
        <w:rPr>
          <w:color w:val="auto"/>
          <w:highlight w:val="none"/>
        </w:rPr>
        <w:t>1.3 招标范围、监理服务期限、质量要求和安全目标</w:t>
      </w:r>
    </w:p>
    <w:p w14:paraId="6B94CC02">
      <w:pPr>
        <w:spacing w:before="180" w:line="219" w:lineRule="auto"/>
        <w:ind w:left="49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1.3.1 招标范围：见投标人须知前附表。</w:t>
      </w:r>
    </w:p>
    <w:p w14:paraId="69374C61">
      <w:pPr>
        <w:spacing w:before="184"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1.3.2 本标段的监理服务期限：见投标人须知前附</w:t>
      </w:r>
      <w:r>
        <w:rPr>
          <w:rFonts w:ascii="宋体" w:hAnsi="宋体" w:eastAsia="宋体" w:cs="宋体"/>
          <w:color w:val="auto"/>
          <w:spacing w:val="-2"/>
          <w:sz w:val="24"/>
          <w:szCs w:val="24"/>
          <w:highlight w:val="none"/>
        </w:rPr>
        <w:t>表。</w:t>
      </w:r>
    </w:p>
    <w:p w14:paraId="1C792982">
      <w:pPr>
        <w:spacing w:before="180"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1.3.3 本标段的质量要求：见投标人须知</w:t>
      </w:r>
      <w:r>
        <w:rPr>
          <w:rFonts w:ascii="宋体" w:hAnsi="宋体" w:eastAsia="宋体" w:cs="宋体"/>
          <w:color w:val="auto"/>
          <w:spacing w:val="-2"/>
          <w:sz w:val="24"/>
          <w:szCs w:val="24"/>
          <w:highlight w:val="none"/>
        </w:rPr>
        <w:t>前附表。</w:t>
      </w:r>
    </w:p>
    <w:p w14:paraId="38219632">
      <w:pPr>
        <w:spacing w:before="184"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1.3.4 本标段的安全目标：见投标人须知</w:t>
      </w:r>
      <w:r>
        <w:rPr>
          <w:rFonts w:ascii="宋体" w:hAnsi="宋体" w:eastAsia="宋体" w:cs="宋体"/>
          <w:color w:val="auto"/>
          <w:spacing w:val="-2"/>
          <w:sz w:val="24"/>
          <w:szCs w:val="24"/>
          <w:highlight w:val="none"/>
        </w:rPr>
        <w:t>前附表。</w:t>
      </w:r>
    </w:p>
    <w:p w14:paraId="0CF35E57">
      <w:pPr>
        <w:pStyle w:val="4"/>
        <w:bidi w:val="0"/>
        <w:rPr>
          <w:color w:val="auto"/>
          <w:highlight w:val="none"/>
        </w:rPr>
      </w:pPr>
      <w:r>
        <w:rPr>
          <w:color w:val="auto"/>
          <w:highlight w:val="none"/>
        </w:rPr>
        <w:t>1.4 投标人资格要求</w:t>
      </w:r>
    </w:p>
    <w:p w14:paraId="72E8F329">
      <w:pPr>
        <w:spacing w:before="182"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1.4.1 投标人应具备承担本标段施工监理的资质条件、能力和信誉。</w:t>
      </w:r>
    </w:p>
    <w:p w14:paraId="16CF3270">
      <w:pPr>
        <w:spacing w:before="183"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（1）资质要求：见投标人须知前附表；</w:t>
      </w:r>
    </w:p>
    <w:p w14:paraId="5668A6B7">
      <w:pPr>
        <w:spacing w:before="181"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（2）业绩要求：见投标人须知前附表；</w:t>
      </w:r>
    </w:p>
    <w:p w14:paraId="1FDFC1DD">
      <w:pPr>
        <w:spacing w:before="181"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（3）信誉要求：见投标人须知前附表；</w:t>
      </w:r>
    </w:p>
    <w:p w14:paraId="68294AB5">
      <w:pPr>
        <w:spacing w:before="183" w:line="219"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（4）总监理工程师或驻地监理工程师资格：见投标人须知前附表；</w:t>
      </w:r>
    </w:p>
    <w:p w14:paraId="16FD2564">
      <w:pPr>
        <w:spacing w:before="181" w:line="219" w:lineRule="auto"/>
        <w:ind w:left="491"/>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（5）其他要求：见投标人须知前附表。</w:t>
      </w:r>
    </w:p>
    <w:p w14:paraId="70CC563D">
      <w:pPr>
        <w:spacing w:before="181"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需要提交的相关证明材料见本章第</w:t>
      </w:r>
      <w:r>
        <w:rPr>
          <w:rFonts w:ascii="宋体" w:hAnsi="宋体" w:eastAsia="宋体" w:cs="宋体"/>
          <w:color w:val="auto"/>
          <w:spacing w:val="-45"/>
          <w:sz w:val="24"/>
          <w:szCs w:val="24"/>
          <w:highlight w:val="none"/>
        </w:rPr>
        <w:t xml:space="preserve"> </w:t>
      </w:r>
      <w:r>
        <w:rPr>
          <w:rFonts w:ascii="宋体" w:hAnsi="宋体" w:eastAsia="宋体" w:cs="宋体"/>
          <w:color w:val="auto"/>
          <w:spacing w:val="-2"/>
          <w:sz w:val="24"/>
          <w:szCs w:val="24"/>
          <w:highlight w:val="none"/>
        </w:rPr>
        <w:t>3.5</w:t>
      </w:r>
      <w:r>
        <w:rPr>
          <w:rFonts w:ascii="宋体" w:hAnsi="宋体" w:eastAsia="宋体" w:cs="宋体"/>
          <w:color w:val="auto"/>
          <w:spacing w:val="-50"/>
          <w:sz w:val="24"/>
          <w:szCs w:val="24"/>
          <w:highlight w:val="none"/>
        </w:rPr>
        <w:t xml:space="preserve"> </w:t>
      </w:r>
      <w:r>
        <w:rPr>
          <w:rFonts w:ascii="宋体" w:hAnsi="宋体" w:eastAsia="宋体" w:cs="宋体"/>
          <w:color w:val="auto"/>
          <w:spacing w:val="-2"/>
          <w:sz w:val="24"/>
          <w:szCs w:val="24"/>
          <w:highlight w:val="none"/>
        </w:rPr>
        <w:t>款的</w:t>
      </w:r>
      <w:r>
        <w:rPr>
          <w:rFonts w:ascii="宋体" w:hAnsi="宋体" w:eastAsia="宋体" w:cs="宋体"/>
          <w:color w:val="auto"/>
          <w:spacing w:val="-3"/>
          <w:sz w:val="24"/>
          <w:szCs w:val="24"/>
          <w:highlight w:val="none"/>
        </w:rPr>
        <w:t>规定。</w:t>
      </w:r>
    </w:p>
    <w:p w14:paraId="46B54EC6">
      <w:pPr>
        <w:spacing w:before="181" w:line="359" w:lineRule="auto"/>
        <w:ind w:left="4" w:firstLine="49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1.4.2 投标人须知前附表规定接受联合体投标的，联合体除</w:t>
      </w:r>
      <w:r>
        <w:rPr>
          <w:rFonts w:ascii="宋体" w:hAnsi="宋体" w:eastAsia="宋体" w:cs="宋体"/>
          <w:color w:val="auto"/>
          <w:spacing w:val="4"/>
          <w:sz w:val="24"/>
          <w:szCs w:val="24"/>
          <w:highlight w:val="none"/>
        </w:rPr>
        <w:t>应符合本章第</w:t>
      </w:r>
      <w:r>
        <w:rPr>
          <w:rFonts w:ascii="宋体" w:hAnsi="宋体" w:eastAsia="宋体" w:cs="宋体"/>
          <w:color w:val="auto"/>
          <w:spacing w:val="-26"/>
          <w:sz w:val="24"/>
          <w:szCs w:val="24"/>
          <w:highlight w:val="none"/>
        </w:rPr>
        <w:t xml:space="preserve"> </w:t>
      </w:r>
      <w:r>
        <w:rPr>
          <w:rFonts w:ascii="宋体" w:hAnsi="宋体" w:eastAsia="宋体" w:cs="宋体"/>
          <w:color w:val="auto"/>
          <w:spacing w:val="4"/>
          <w:sz w:val="24"/>
          <w:szCs w:val="24"/>
          <w:highlight w:val="none"/>
        </w:rPr>
        <w:t>1.4.1</w:t>
      </w:r>
      <w:r>
        <w:rPr>
          <w:rFonts w:ascii="宋体" w:hAnsi="宋体" w:eastAsia="宋体" w:cs="宋体"/>
          <w:color w:val="auto"/>
          <w:spacing w:val="-1"/>
          <w:sz w:val="24"/>
          <w:szCs w:val="24"/>
          <w:highlight w:val="none"/>
        </w:rPr>
        <w:t>项和投标人须知前附表的要求外，还应遵守以下规定：</w:t>
      </w:r>
    </w:p>
    <w:p w14:paraId="055CCC89">
      <w:pPr>
        <w:spacing w:line="359" w:lineRule="auto"/>
        <w:ind w:left="1" w:firstLine="49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（1）联合体各方应按招标文件提供的格式签订联合体协议书，明确联合体牵头人</w:t>
      </w:r>
      <w:r>
        <w:rPr>
          <w:rFonts w:ascii="宋体" w:hAnsi="宋体" w:eastAsia="宋体" w:cs="宋体"/>
          <w:color w:val="auto"/>
          <w:spacing w:val="-1"/>
          <w:sz w:val="24"/>
          <w:szCs w:val="24"/>
          <w:highlight w:val="none"/>
        </w:rPr>
        <w:t>和各方权利义务，并承诺就中标项目向招标人承担连带责任；</w:t>
      </w:r>
    </w:p>
    <w:p w14:paraId="60CEE72E">
      <w:pPr>
        <w:spacing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（2）由同一专业的单位组成的联合体，按照资质等级较低的单位确定资质等级；</w:t>
      </w:r>
    </w:p>
    <w:p w14:paraId="45494014">
      <w:pPr>
        <w:spacing w:before="18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（3）联合体各方不得再以自己名义单独或参加其他联合体在同一标段中投标；</w:t>
      </w:r>
    </w:p>
    <w:p w14:paraId="18DF895C">
      <w:pPr>
        <w:spacing w:before="182" w:line="359" w:lineRule="auto"/>
        <w:ind w:firstLine="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（4）联合体各方应分别按照本招标文件的要求，填写投标文件中的相应表格，并</w:t>
      </w:r>
      <w:r>
        <w:rPr>
          <w:rFonts w:ascii="宋体" w:hAnsi="宋体" w:eastAsia="宋体" w:cs="宋体"/>
          <w:color w:val="auto"/>
          <w:spacing w:val="5"/>
          <w:sz w:val="24"/>
          <w:szCs w:val="24"/>
          <w:highlight w:val="none"/>
        </w:rPr>
        <w:t>由联合体牵头人负责对联合体各成员的资料进行统一汇总后一并提交给招标</w:t>
      </w:r>
      <w:r>
        <w:rPr>
          <w:rFonts w:ascii="宋体" w:hAnsi="宋体" w:eastAsia="宋体" w:cs="宋体"/>
          <w:color w:val="auto"/>
          <w:spacing w:val="4"/>
          <w:sz w:val="24"/>
          <w:szCs w:val="24"/>
          <w:highlight w:val="none"/>
        </w:rPr>
        <w:t>人；联合</w:t>
      </w:r>
      <w:r>
        <w:rPr>
          <w:rFonts w:ascii="宋体" w:hAnsi="宋体" w:eastAsia="宋体" w:cs="宋体"/>
          <w:color w:val="auto"/>
          <w:sz w:val="24"/>
          <w:szCs w:val="24"/>
          <w:highlight w:val="none"/>
        </w:rPr>
        <w:t>体牵头人所提交的投标文件应认为已代表了联</w:t>
      </w:r>
      <w:r>
        <w:rPr>
          <w:rFonts w:ascii="宋体" w:hAnsi="宋体" w:eastAsia="宋体" w:cs="宋体"/>
          <w:color w:val="auto"/>
          <w:spacing w:val="-1"/>
          <w:sz w:val="24"/>
          <w:szCs w:val="24"/>
          <w:highlight w:val="none"/>
        </w:rPr>
        <w:t>合体各成员的真实情况；</w:t>
      </w:r>
    </w:p>
    <w:p w14:paraId="27293A7C">
      <w:pPr>
        <w:spacing w:line="359" w:lineRule="auto"/>
        <w:ind w:firstLine="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（5）尽管委任了联合体牵头人，但联合体各成员在投标、签订合同与履行合同过</w:t>
      </w:r>
      <w:r>
        <w:rPr>
          <w:rFonts w:ascii="宋体" w:hAnsi="宋体" w:eastAsia="宋体" w:cs="宋体"/>
          <w:color w:val="auto"/>
          <w:spacing w:val="-1"/>
          <w:sz w:val="24"/>
          <w:szCs w:val="24"/>
          <w:highlight w:val="none"/>
        </w:rPr>
        <w:t>程中，仍负有连带的和各自的法律责任。</w:t>
      </w:r>
    </w:p>
    <w:p w14:paraId="241B9E36">
      <w:pPr>
        <w:spacing w:before="1" w:line="218" w:lineRule="auto"/>
        <w:ind w:left="49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1.4.3 投标人（包括联合体各成员）不得与本标段相关单位存在下列关联关系：</w:t>
      </w:r>
    </w:p>
    <w:p w14:paraId="1EECA766">
      <w:pPr>
        <w:spacing w:before="18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（1）为招标人不具有独立法人资格的附属机构（单位</w:t>
      </w:r>
      <w:r>
        <w:rPr>
          <w:rFonts w:ascii="宋体" w:hAnsi="宋体" w:eastAsia="宋体" w:cs="宋体"/>
          <w:color w:val="auto"/>
          <w:spacing w:val="1"/>
          <w:sz w:val="24"/>
          <w:szCs w:val="24"/>
          <w:highlight w:val="none"/>
        </w:rPr>
        <w:t>）；</w:t>
      </w:r>
    </w:p>
    <w:p w14:paraId="67B67E43">
      <w:pPr>
        <w:spacing w:before="182"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（2）与招标人存在利害关系且可能影响招标公正性；</w:t>
      </w:r>
    </w:p>
    <w:p w14:paraId="6F51BA79">
      <w:pPr>
        <w:spacing w:before="182"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（3）与本标段的其他投标人同为一个单位负责人；</w:t>
      </w:r>
    </w:p>
    <w:p w14:paraId="6C257849">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（4）与本标段的其他投标人存在控股、管理关系；</w:t>
      </w:r>
    </w:p>
    <w:p w14:paraId="69B707C2">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（5）为本标段的代建人；</w:t>
      </w:r>
    </w:p>
    <w:p w14:paraId="188F653C">
      <w:pPr>
        <w:spacing w:before="183"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（6）为本标段的招标代理机构；</w:t>
      </w:r>
    </w:p>
    <w:p w14:paraId="2F39BAC9">
      <w:pPr>
        <w:spacing w:before="184"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（7）与本标段的代建人或招标代理机构同为一个法定代表人；</w:t>
      </w:r>
    </w:p>
    <w:p w14:paraId="11229DA5">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（8）与本标段的代建人或招标代理机构存在控股或参股关系；</w:t>
      </w:r>
    </w:p>
    <w:p w14:paraId="467D4D14">
      <w:pPr>
        <w:spacing w:before="184" w:line="359" w:lineRule="auto"/>
        <w:ind w:left="4" w:firstLine="4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（9）与本标段对应工程的施工承包人以及建筑材料、建筑构配件和设备供应商有</w:t>
      </w:r>
      <w:r>
        <w:rPr>
          <w:rFonts w:ascii="宋体" w:hAnsi="宋体" w:eastAsia="宋体" w:cs="宋体"/>
          <w:color w:val="auto"/>
          <w:spacing w:val="-2"/>
          <w:sz w:val="24"/>
          <w:szCs w:val="24"/>
          <w:highlight w:val="none"/>
        </w:rPr>
        <w:t>隶属关系或其他利害关系；</w:t>
      </w:r>
    </w:p>
    <w:p w14:paraId="17E707BF">
      <w:pPr>
        <w:spacing w:line="218"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（10）法律法规或投标人须知前附表规定的其他情形。</w:t>
      </w:r>
    </w:p>
    <w:p w14:paraId="1D7BD0CF">
      <w:pPr>
        <w:spacing w:before="185" w:line="219" w:lineRule="auto"/>
        <w:ind w:left="49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1.4.4 投标人（包括联合体各成员）不得存在下列不良状况或不良信用记录：</w:t>
      </w:r>
    </w:p>
    <w:p w14:paraId="035DAE7C">
      <w:pPr>
        <w:spacing w:before="180" w:line="359" w:lineRule="auto"/>
        <w:ind w:left="3" w:firstLine="48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（1）被省级及以上交通运输主管部门取消招标项目所在地的投标资格且处于有效</w:t>
      </w:r>
      <w:r>
        <w:rPr>
          <w:rFonts w:ascii="宋体" w:hAnsi="宋体" w:eastAsia="宋体" w:cs="宋体"/>
          <w:color w:val="auto"/>
          <w:spacing w:val="-5"/>
          <w:sz w:val="24"/>
          <w:szCs w:val="24"/>
          <w:highlight w:val="none"/>
        </w:rPr>
        <w:t>期内；</w:t>
      </w:r>
    </w:p>
    <w:p w14:paraId="031A0994">
      <w:pPr>
        <w:spacing w:before="1" w:line="218"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（2）被责令停业，暂扣或吊销执照，或吊销资质证书；</w:t>
      </w:r>
    </w:p>
    <w:p w14:paraId="7F7F2D7D">
      <w:pPr>
        <w:spacing w:before="181" w:line="218"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（3）进入清算程序，或被宣告破产，或其他丧失履约能力的情形；</w:t>
      </w:r>
    </w:p>
    <w:p w14:paraId="5B6F290E">
      <w:pPr>
        <w:spacing w:before="186" w:line="219" w:lineRule="auto"/>
        <w:ind w:left="492"/>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（4）在国家企业信用信息公示系统中被列入严重违法失信企业名单；</w:t>
      </w:r>
    </w:p>
    <w:p w14:paraId="4B13D27A">
      <w:pPr>
        <w:spacing w:before="186"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（5）在“信用中国</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”网站中被列入失信被执行</w:t>
      </w:r>
      <w:r>
        <w:rPr>
          <w:rFonts w:ascii="宋体" w:hAnsi="宋体" w:eastAsia="宋体" w:cs="宋体"/>
          <w:color w:val="auto"/>
          <w:spacing w:val="-3"/>
          <w:sz w:val="24"/>
          <w:szCs w:val="24"/>
          <w:highlight w:val="none"/>
        </w:rPr>
        <w:t>人名单；</w:t>
      </w:r>
    </w:p>
    <w:p w14:paraId="55844F2B">
      <w:pPr>
        <w:spacing w:before="145" w:line="372" w:lineRule="auto"/>
        <w:ind w:left="9" w:firstLine="490"/>
        <w:rPr>
          <w:rFonts w:ascii="宋体" w:hAnsi="宋体" w:eastAsia="宋体" w:cs="宋体"/>
          <w:color w:val="auto"/>
          <w:sz w:val="28"/>
          <w:szCs w:val="28"/>
          <w:highlight w:val="none"/>
        </w:rPr>
      </w:pPr>
      <w:r>
        <w:rPr>
          <w:rFonts w:ascii="宋体" w:hAnsi="宋体" w:eastAsia="宋体" w:cs="宋体"/>
          <w:color w:val="auto"/>
          <w:spacing w:val="5"/>
          <w:sz w:val="24"/>
          <w:szCs w:val="24"/>
          <w:highlight w:val="none"/>
        </w:rPr>
        <w:t>（6）投标人及其法定代表人、拟委任的总监理工程师（含备选</w:t>
      </w:r>
      <w:r>
        <w:rPr>
          <w:rFonts w:ascii="宋体" w:hAnsi="宋体" w:eastAsia="宋体" w:cs="宋体"/>
          <w:color w:val="auto"/>
          <w:spacing w:val="4"/>
          <w:sz w:val="24"/>
          <w:szCs w:val="24"/>
          <w:highlight w:val="none"/>
        </w:rPr>
        <w:t>，如有）或驻地</w:t>
      </w:r>
      <w:r>
        <w:rPr>
          <w:rFonts w:ascii="宋体" w:hAnsi="宋体" w:eastAsia="宋体" w:cs="宋体"/>
          <w:color w:val="auto"/>
          <w:spacing w:val="-1"/>
          <w:sz w:val="24"/>
          <w:szCs w:val="24"/>
          <w:highlight w:val="none"/>
        </w:rPr>
        <w:t>监理工程师（含备选，如有）在近三年内有行贿犯罪行为</w:t>
      </w:r>
      <w:r>
        <w:rPr>
          <w:rFonts w:ascii="宋体" w:hAnsi="宋体" w:eastAsia="宋体" w:cs="宋体"/>
          <w:color w:val="auto"/>
          <w:spacing w:val="-1"/>
          <w:sz w:val="28"/>
          <w:szCs w:val="28"/>
          <w:highlight w:val="none"/>
        </w:rPr>
        <w:t>；</w:t>
      </w:r>
    </w:p>
    <w:p w14:paraId="31C81C95">
      <w:pPr>
        <w:spacing w:line="218"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（7）法律法规或投标人须知前附表规定的其他情形。</w:t>
      </w:r>
    </w:p>
    <w:p w14:paraId="0BA1A12B">
      <w:pPr>
        <w:spacing w:before="182" w:line="359" w:lineRule="auto"/>
        <w:ind w:left="14" w:right="2" w:firstLine="492"/>
        <w:jc w:val="both"/>
        <w:rPr>
          <w:rFonts w:ascii="宋体" w:hAnsi="宋体" w:eastAsia="宋体" w:cs="宋体"/>
          <w:color w:val="auto"/>
          <w:sz w:val="12"/>
          <w:szCs w:val="12"/>
          <w:highlight w:val="none"/>
        </w:rPr>
      </w:pPr>
      <w:r>
        <w:rPr>
          <w:rFonts w:ascii="宋体" w:hAnsi="宋体" w:eastAsia="宋体" w:cs="宋体"/>
          <w:color w:val="auto"/>
          <w:spacing w:val="4"/>
          <w:sz w:val="24"/>
          <w:szCs w:val="24"/>
          <w:highlight w:val="none"/>
        </w:rPr>
        <w:t>1.4.5 投标人（包括联合体各成员）应进入交通运输部“全国公路建设市场监督</w:t>
      </w:r>
      <w:r>
        <w:rPr>
          <w:rFonts w:ascii="宋体" w:hAnsi="宋体" w:eastAsia="宋体" w:cs="宋体"/>
          <w:color w:val="auto"/>
          <w:spacing w:val="3"/>
          <w:sz w:val="24"/>
          <w:szCs w:val="24"/>
          <w:highlight w:val="none"/>
        </w:rPr>
        <w:t>管理系统</w:t>
      </w:r>
      <w:r>
        <w:rPr>
          <w:rFonts w:ascii="宋体" w:hAnsi="宋体" w:eastAsia="宋体" w:cs="宋体"/>
          <w:color w:val="auto"/>
          <w:spacing w:val="-83"/>
          <w:sz w:val="24"/>
          <w:szCs w:val="24"/>
          <w:highlight w:val="none"/>
        </w:rPr>
        <w:t xml:space="preserve"> </w:t>
      </w:r>
      <w:r>
        <w:rPr>
          <w:rFonts w:ascii="宋体" w:hAnsi="宋体" w:eastAsia="宋体" w:cs="宋体"/>
          <w:color w:val="auto"/>
          <w:spacing w:val="3"/>
          <w:sz w:val="24"/>
          <w:szCs w:val="24"/>
          <w:highlight w:val="none"/>
        </w:rPr>
        <w:t>””</w:t>
      </w:r>
      <w:r>
        <w:rPr>
          <w:rFonts w:ascii="宋体" w:hAnsi="宋体" w:eastAsia="宋体" w:cs="宋体"/>
          <w:color w:val="auto"/>
          <w:spacing w:val="-84"/>
          <w:sz w:val="24"/>
          <w:szCs w:val="24"/>
          <w:highlight w:val="none"/>
        </w:rPr>
        <w:t xml:space="preserve"> </w:t>
      </w:r>
      <w:r>
        <w:rPr>
          <w:rFonts w:ascii="宋体" w:hAnsi="宋体" w:eastAsia="宋体" w:cs="宋体"/>
          <w:color w:val="auto"/>
          <w:spacing w:val="3"/>
          <w:sz w:val="24"/>
          <w:szCs w:val="24"/>
          <w:highlight w:val="none"/>
        </w:rPr>
        <w:t>中的公路工程施工监理资质企业名录，且投标人名</w:t>
      </w:r>
      <w:r>
        <w:rPr>
          <w:rFonts w:ascii="宋体" w:hAnsi="宋体" w:eastAsia="宋体" w:cs="宋体"/>
          <w:color w:val="auto"/>
          <w:spacing w:val="2"/>
          <w:sz w:val="24"/>
          <w:szCs w:val="24"/>
          <w:highlight w:val="none"/>
        </w:rPr>
        <w:t>称和资质与该名录中</w:t>
      </w:r>
      <w:r>
        <w:rPr>
          <w:rFonts w:ascii="宋体" w:hAnsi="宋体" w:eastAsia="宋体" w:cs="宋体"/>
          <w:color w:val="auto"/>
          <w:sz w:val="24"/>
          <w:szCs w:val="24"/>
          <w:highlight w:val="none"/>
        </w:rPr>
        <w:t>的相应企业名称和资质完全一致。投标人不满足</w:t>
      </w:r>
      <w:r>
        <w:rPr>
          <w:rFonts w:ascii="宋体" w:hAnsi="宋体" w:eastAsia="宋体" w:cs="宋体"/>
          <w:color w:val="auto"/>
          <w:spacing w:val="-1"/>
          <w:sz w:val="24"/>
          <w:szCs w:val="24"/>
          <w:highlight w:val="none"/>
        </w:rPr>
        <w:t>本项规定条件的，将被否决投标。</w:t>
      </w:r>
    </w:p>
    <w:p w14:paraId="2EBC474D">
      <w:pPr>
        <w:pStyle w:val="4"/>
        <w:bidi w:val="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1.5</w:t>
      </w:r>
      <w:r>
        <w:rPr>
          <w:rFonts w:ascii="宋体" w:hAnsi="宋体" w:eastAsia="宋体" w:cs="宋体"/>
          <w:color w:val="auto"/>
          <w:spacing w:val="24"/>
          <w:sz w:val="24"/>
          <w:szCs w:val="24"/>
          <w:highlight w:val="none"/>
        </w:rPr>
        <w:t xml:space="preserve"> </w:t>
      </w:r>
      <w:r>
        <w:rPr>
          <w:rFonts w:ascii="宋体" w:hAnsi="宋体" w:eastAsia="宋体" w:cs="宋体"/>
          <w:b/>
          <w:bCs/>
          <w:color w:val="auto"/>
          <w:spacing w:val="-9"/>
          <w:sz w:val="24"/>
          <w:szCs w:val="24"/>
          <w:highlight w:val="none"/>
        </w:rPr>
        <w:t>费用承担</w:t>
      </w:r>
    </w:p>
    <w:p w14:paraId="4AEE15BD">
      <w:pPr>
        <w:spacing w:before="180" w:line="220"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投标人准备和参加投标活动发生的费用自理。</w:t>
      </w:r>
    </w:p>
    <w:p w14:paraId="7AD6FB06">
      <w:pPr>
        <w:pStyle w:val="4"/>
        <w:bidi w:val="0"/>
        <w:rPr>
          <w:rFonts w:ascii="宋体" w:hAnsi="宋体" w:eastAsia="宋体" w:cs="宋体"/>
          <w:color w:val="auto"/>
          <w:sz w:val="24"/>
          <w:szCs w:val="24"/>
          <w:highlight w:val="none"/>
        </w:rPr>
      </w:pPr>
      <w:r>
        <w:rPr>
          <w:rFonts w:ascii="宋体" w:hAnsi="宋体" w:eastAsia="宋体" w:cs="宋体"/>
          <w:b/>
          <w:bCs/>
          <w:color w:val="auto"/>
          <w:spacing w:val="-10"/>
          <w:sz w:val="24"/>
          <w:szCs w:val="24"/>
          <w:highlight w:val="none"/>
        </w:rPr>
        <w:t>1.6</w:t>
      </w:r>
      <w:r>
        <w:rPr>
          <w:rFonts w:ascii="宋体" w:hAnsi="宋体" w:eastAsia="宋体" w:cs="宋体"/>
          <w:color w:val="auto"/>
          <w:spacing w:val="14"/>
          <w:sz w:val="24"/>
          <w:szCs w:val="24"/>
          <w:highlight w:val="none"/>
        </w:rPr>
        <w:t xml:space="preserve"> </w:t>
      </w:r>
      <w:r>
        <w:rPr>
          <w:rFonts w:ascii="宋体" w:hAnsi="宋体" w:eastAsia="宋体" w:cs="宋体"/>
          <w:b/>
          <w:bCs/>
          <w:color w:val="auto"/>
          <w:spacing w:val="-10"/>
          <w:sz w:val="24"/>
          <w:szCs w:val="24"/>
          <w:highlight w:val="none"/>
        </w:rPr>
        <w:t>保密</w:t>
      </w:r>
    </w:p>
    <w:p w14:paraId="5EF3E353">
      <w:pPr>
        <w:spacing w:before="180" w:line="359" w:lineRule="auto"/>
        <w:ind w:left="15" w:right="61" w:firstLine="47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参与招标投标活动的各方应对招标文件和投标文件中的商业和技术等秘密保密，</w:t>
      </w:r>
      <w:r>
        <w:rPr>
          <w:rFonts w:ascii="宋体" w:hAnsi="宋体" w:eastAsia="宋体" w:cs="宋体"/>
          <w:color w:val="auto"/>
          <w:spacing w:val="-2"/>
          <w:sz w:val="24"/>
          <w:szCs w:val="24"/>
          <w:highlight w:val="none"/>
        </w:rPr>
        <w:t>否则应承担相应的法律责任。</w:t>
      </w:r>
    </w:p>
    <w:p w14:paraId="6C09DE4D">
      <w:pPr>
        <w:pStyle w:val="4"/>
        <w:bidi w:val="0"/>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1.7</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8"/>
          <w:sz w:val="24"/>
          <w:szCs w:val="24"/>
          <w:highlight w:val="none"/>
        </w:rPr>
        <w:t>语言文字</w:t>
      </w:r>
    </w:p>
    <w:p w14:paraId="3EE8A088">
      <w:pPr>
        <w:spacing w:before="182" w:line="219" w:lineRule="auto"/>
        <w:ind w:left="489"/>
        <w:rPr>
          <w:rFonts w:ascii="宋体" w:hAnsi="宋体" w:eastAsia="宋体" w:cs="宋体"/>
          <w:color w:val="auto"/>
          <w:sz w:val="24"/>
          <w:szCs w:val="24"/>
          <w:highlight w:val="none"/>
        </w:rPr>
      </w:pPr>
      <w:r>
        <w:rPr>
          <w:rFonts w:ascii="宋体" w:hAnsi="宋体" w:eastAsia="宋体" w:cs="宋体"/>
          <w:color w:val="auto"/>
          <w:sz w:val="24"/>
          <w:szCs w:val="24"/>
          <w:highlight w:val="none"/>
        </w:rPr>
        <w:t>招标投标文件使用的语言文字为中文。专用术语使用</w:t>
      </w:r>
      <w:r>
        <w:rPr>
          <w:rFonts w:ascii="宋体" w:hAnsi="宋体" w:eastAsia="宋体" w:cs="宋体"/>
          <w:color w:val="auto"/>
          <w:spacing w:val="-1"/>
          <w:sz w:val="24"/>
          <w:szCs w:val="24"/>
          <w:highlight w:val="none"/>
        </w:rPr>
        <w:t>外文的，应附有中文注释。</w:t>
      </w:r>
    </w:p>
    <w:p w14:paraId="74339B84">
      <w:pPr>
        <w:pStyle w:val="4"/>
        <w:bidi w:val="0"/>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1.8</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8"/>
          <w:sz w:val="24"/>
          <w:szCs w:val="24"/>
          <w:highlight w:val="none"/>
        </w:rPr>
        <w:t>计量单位</w:t>
      </w:r>
    </w:p>
    <w:p w14:paraId="58D5B47B">
      <w:pPr>
        <w:spacing w:before="179" w:line="219" w:lineRule="auto"/>
        <w:ind w:left="48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所有计量均采用中华人民共和国法定计量单位。</w:t>
      </w:r>
    </w:p>
    <w:p w14:paraId="04D3A488">
      <w:pPr>
        <w:pStyle w:val="4"/>
        <w:bidi w:val="0"/>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1.9</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8"/>
          <w:sz w:val="24"/>
          <w:szCs w:val="24"/>
          <w:highlight w:val="none"/>
        </w:rPr>
        <w:t>踏勘现场</w:t>
      </w:r>
    </w:p>
    <w:p w14:paraId="3B4E3285">
      <w:pPr>
        <w:spacing w:before="184" w:line="359" w:lineRule="auto"/>
        <w:ind w:left="14" w:right="2" w:firstLine="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1.9.1 第一章“招标公告</w:t>
      </w:r>
      <w:r>
        <w:rPr>
          <w:rFonts w:ascii="宋体" w:hAnsi="宋体" w:eastAsia="宋体" w:cs="宋体"/>
          <w:color w:val="auto"/>
          <w:spacing w:val="-72"/>
          <w:sz w:val="24"/>
          <w:szCs w:val="24"/>
          <w:highlight w:val="none"/>
        </w:rPr>
        <w:t xml:space="preserve"> </w:t>
      </w:r>
      <w:r>
        <w:rPr>
          <w:rFonts w:ascii="宋体" w:hAnsi="宋体" w:eastAsia="宋体" w:cs="宋体"/>
          <w:color w:val="auto"/>
          <w:spacing w:val="2"/>
          <w:sz w:val="24"/>
          <w:szCs w:val="24"/>
          <w:highlight w:val="none"/>
        </w:rPr>
        <w:t>”或“投标邀请书</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”规定组织踏勘现场的，招标人按规</w:t>
      </w:r>
      <w:r>
        <w:rPr>
          <w:rFonts w:ascii="宋体" w:hAnsi="宋体" w:eastAsia="宋体" w:cs="宋体"/>
          <w:color w:val="auto"/>
          <w:spacing w:val="5"/>
          <w:sz w:val="24"/>
          <w:szCs w:val="24"/>
          <w:highlight w:val="none"/>
        </w:rPr>
        <w:t>定的时间、地点组织投标人踏勘项目现场。部分投标人未按时</w:t>
      </w:r>
      <w:r>
        <w:rPr>
          <w:rFonts w:ascii="宋体" w:hAnsi="宋体" w:eastAsia="宋体" w:cs="宋体"/>
          <w:color w:val="auto"/>
          <w:spacing w:val="4"/>
          <w:sz w:val="24"/>
          <w:szCs w:val="24"/>
          <w:highlight w:val="none"/>
        </w:rPr>
        <w:t>参加踏勘现场的，不影</w:t>
      </w:r>
      <w:r>
        <w:rPr>
          <w:rFonts w:ascii="宋体" w:hAnsi="宋体" w:eastAsia="宋体" w:cs="宋体"/>
          <w:color w:val="auto"/>
          <w:spacing w:val="-1"/>
          <w:sz w:val="24"/>
          <w:szCs w:val="24"/>
          <w:highlight w:val="none"/>
        </w:rPr>
        <w:t>响踏勘现场的正常进行。招标人不得组织单个或部分投标人踏勘项目现场。</w:t>
      </w:r>
    </w:p>
    <w:p w14:paraId="408B0CC0">
      <w:pPr>
        <w:spacing w:line="219" w:lineRule="auto"/>
        <w:ind w:left="50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1.9.2 投标人踏勘现场发生的费用自理。</w:t>
      </w:r>
    </w:p>
    <w:p w14:paraId="4664F1DD">
      <w:pPr>
        <w:spacing w:before="181" w:line="359" w:lineRule="auto"/>
        <w:ind w:left="8" w:right="2" w:firstLine="497"/>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1.9.3 除招标人的原因外，投标人自行负责在踏勘现场中所发生的人员伤亡和财</w:t>
      </w:r>
      <w:r>
        <w:rPr>
          <w:rFonts w:ascii="宋体" w:hAnsi="宋体" w:eastAsia="宋体" w:cs="宋体"/>
          <w:color w:val="auto"/>
          <w:spacing w:val="-3"/>
          <w:sz w:val="24"/>
          <w:szCs w:val="24"/>
          <w:highlight w:val="none"/>
        </w:rPr>
        <w:t>产损失。</w:t>
      </w:r>
    </w:p>
    <w:p w14:paraId="2F5E7011">
      <w:pPr>
        <w:spacing w:line="359" w:lineRule="auto"/>
        <w:ind w:left="10" w:right="2" w:firstLine="495"/>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1.9.4 招标人在踏勘现场中介绍的工程场地和相关的周边环境情况，供投标人在</w:t>
      </w:r>
      <w:r>
        <w:rPr>
          <w:rFonts w:ascii="宋体" w:hAnsi="宋体" w:eastAsia="宋体" w:cs="宋体"/>
          <w:color w:val="auto"/>
          <w:spacing w:val="-1"/>
          <w:sz w:val="24"/>
          <w:szCs w:val="24"/>
          <w:highlight w:val="none"/>
        </w:rPr>
        <w:t>编制投标文件时参考，招标人不对投标人据此作出的判断和决策负责。</w:t>
      </w:r>
    </w:p>
    <w:p w14:paraId="52F8E274">
      <w:pPr>
        <w:pStyle w:val="4"/>
        <w:bidi w:val="0"/>
        <w:rPr>
          <w:rFonts w:ascii="宋体" w:hAnsi="宋体" w:eastAsia="宋体" w:cs="宋体"/>
          <w:color w:val="auto"/>
          <w:sz w:val="24"/>
          <w:szCs w:val="24"/>
          <w:highlight w:val="none"/>
        </w:rPr>
      </w:pPr>
      <w:bookmarkStart w:id="30" w:name="bookmark106"/>
      <w:bookmarkEnd w:id="30"/>
      <w:bookmarkStart w:id="31" w:name="bookmark107"/>
      <w:bookmarkEnd w:id="31"/>
      <w:bookmarkStart w:id="32" w:name="bookmark105"/>
      <w:bookmarkEnd w:id="32"/>
      <w:r>
        <w:rPr>
          <w:rFonts w:ascii="宋体" w:hAnsi="宋体" w:eastAsia="宋体" w:cs="宋体"/>
          <w:b/>
          <w:bCs/>
          <w:color w:val="auto"/>
          <w:spacing w:val="-5"/>
          <w:sz w:val="24"/>
          <w:szCs w:val="24"/>
          <w:highlight w:val="none"/>
        </w:rPr>
        <w:t>1.10</w:t>
      </w:r>
      <w:r>
        <w:rPr>
          <w:rFonts w:ascii="宋体" w:hAnsi="宋体" w:eastAsia="宋体" w:cs="宋体"/>
          <w:color w:val="auto"/>
          <w:spacing w:val="-5"/>
          <w:sz w:val="24"/>
          <w:szCs w:val="24"/>
          <w:highlight w:val="none"/>
        </w:rPr>
        <w:t xml:space="preserve"> </w:t>
      </w:r>
      <w:r>
        <w:rPr>
          <w:rFonts w:ascii="宋体" w:hAnsi="宋体" w:eastAsia="宋体" w:cs="宋体"/>
          <w:b/>
          <w:bCs/>
          <w:color w:val="auto"/>
          <w:spacing w:val="-5"/>
          <w:sz w:val="24"/>
          <w:szCs w:val="24"/>
          <w:highlight w:val="none"/>
        </w:rPr>
        <w:t>投标预备会</w:t>
      </w:r>
    </w:p>
    <w:p w14:paraId="393D1607">
      <w:pPr>
        <w:spacing w:before="184" w:line="218" w:lineRule="auto"/>
        <w:ind w:right="2"/>
        <w:jc w:val="center"/>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1.10.1 第一章“招标公告</w:t>
      </w:r>
      <w:r>
        <w:rPr>
          <w:rFonts w:ascii="宋体" w:hAnsi="宋体" w:eastAsia="宋体" w:cs="宋体"/>
          <w:color w:val="auto"/>
          <w:spacing w:val="-70"/>
          <w:sz w:val="24"/>
          <w:szCs w:val="24"/>
          <w:highlight w:val="none"/>
        </w:rPr>
        <w:t xml:space="preserve"> </w:t>
      </w:r>
      <w:r>
        <w:rPr>
          <w:rFonts w:ascii="宋体" w:hAnsi="宋体" w:eastAsia="宋体" w:cs="宋体"/>
          <w:color w:val="auto"/>
          <w:spacing w:val="-1"/>
          <w:sz w:val="24"/>
          <w:szCs w:val="24"/>
          <w:highlight w:val="none"/>
        </w:rPr>
        <w:t>”或“投标邀请书</w:t>
      </w:r>
      <w:r>
        <w:rPr>
          <w:rFonts w:ascii="宋体" w:hAnsi="宋体" w:eastAsia="宋体" w:cs="宋体"/>
          <w:color w:val="auto"/>
          <w:spacing w:val="-88"/>
          <w:sz w:val="24"/>
          <w:szCs w:val="24"/>
          <w:highlight w:val="none"/>
        </w:rPr>
        <w:t xml:space="preserve"> </w:t>
      </w:r>
      <w:r>
        <w:rPr>
          <w:rFonts w:ascii="宋体" w:hAnsi="宋体" w:eastAsia="宋体" w:cs="宋体"/>
          <w:color w:val="auto"/>
          <w:spacing w:val="-1"/>
          <w:sz w:val="24"/>
          <w:szCs w:val="24"/>
          <w:highlight w:val="none"/>
        </w:rPr>
        <w:t>”规定召开投标预备会的，招标人按</w:t>
      </w:r>
    </w:p>
    <w:p w14:paraId="340827AC">
      <w:pPr>
        <w:rPr>
          <w:rFonts w:ascii="宋体" w:hAnsi="宋体" w:eastAsia="宋体" w:cs="宋体"/>
          <w:color w:val="auto"/>
          <w:sz w:val="18"/>
          <w:szCs w:val="18"/>
          <w:highlight w:val="none"/>
        </w:rPr>
        <w:sectPr>
          <w:footerReference r:id="rId13" w:type="default"/>
          <w:pgSz w:w="11905" w:h="16838"/>
          <w:pgMar w:top="1134" w:right="1134" w:bottom="1134" w:left="1134" w:header="0" w:footer="1066" w:gutter="0"/>
          <w:pgNumType w:fmt="decimal"/>
          <w:cols w:space="0" w:num="1"/>
          <w:rtlGutter w:val="0"/>
          <w:docGrid w:linePitch="0" w:charSpace="0"/>
        </w:sectPr>
      </w:pPr>
    </w:p>
    <w:p w14:paraId="6B8059E5">
      <w:pPr>
        <w:spacing w:line="242" w:lineRule="auto"/>
        <w:rPr>
          <w:rFonts w:ascii="Arial"/>
          <w:color w:val="auto"/>
          <w:sz w:val="21"/>
          <w:highlight w:val="none"/>
        </w:rPr>
      </w:pPr>
    </w:p>
    <w:p w14:paraId="1550943F">
      <w:pPr>
        <w:spacing w:line="242" w:lineRule="auto"/>
        <w:rPr>
          <w:rFonts w:ascii="Arial"/>
          <w:color w:val="auto"/>
          <w:sz w:val="21"/>
          <w:highlight w:val="none"/>
        </w:rPr>
      </w:pPr>
    </w:p>
    <w:p w14:paraId="5E012604">
      <w:pPr>
        <w:spacing w:line="242" w:lineRule="auto"/>
        <w:rPr>
          <w:rFonts w:ascii="Arial"/>
          <w:color w:val="auto"/>
          <w:sz w:val="21"/>
          <w:highlight w:val="none"/>
        </w:rPr>
      </w:pPr>
    </w:p>
    <w:p w14:paraId="26D76D34">
      <w:pPr>
        <w:spacing w:line="242" w:lineRule="auto"/>
        <w:rPr>
          <w:rFonts w:ascii="Arial"/>
          <w:color w:val="auto"/>
          <w:sz w:val="21"/>
          <w:highlight w:val="none"/>
        </w:rPr>
      </w:pPr>
    </w:p>
    <w:p w14:paraId="671F3AF4">
      <w:pPr>
        <w:spacing w:before="78" w:line="219" w:lineRule="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规定的时间和地点召开投标预备会，澄清投标人提出的问题。</w:t>
      </w:r>
    </w:p>
    <w:p w14:paraId="65CECCC5">
      <w:pPr>
        <w:spacing w:before="181" w:line="359" w:lineRule="auto"/>
        <w:ind w:left="27" w:firstLine="47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1.10.2 投标人应按投标人须知前附表规定的时间和形式将提出的问</w:t>
      </w:r>
      <w:r>
        <w:rPr>
          <w:rFonts w:ascii="宋体" w:hAnsi="宋体" w:eastAsia="宋体" w:cs="宋体"/>
          <w:color w:val="auto"/>
          <w:spacing w:val="-3"/>
          <w:sz w:val="24"/>
          <w:szCs w:val="24"/>
          <w:highlight w:val="none"/>
        </w:rPr>
        <w:t>题送达招标人，以便招标人在会议期间澄清。</w:t>
      </w:r>
    </w:p>
    <w:p w14:paraId="5F690C24">
      <w:pPr>
        <w:spacing w:line="359" w:lineRule="auto"/>
        <w:ind w:right="109" w:firstLine="49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1.10.3 投标预备会后，招标人将对投标人所提问题的澄清，以投标人须知前附表</w:t>
      </w:r>
      <w:r>
        <w:rPr>
          <w:rFonts w:ascii="宋体" w:hAnsi="宋体" w:eastAsia="宋体" w:cs="宋体"/>
          <w:color w:val="auto"/>
          <w:spacing w:val="-1"/>
          <w:sz w:val="24"/>
          <w:szCs w:val="24"/>
          <w:highlight w:val="none"/>
        </w:rPr>
        <w:t>规定的形式通知投标人。该澄清内容为招标文件的组成部分。</w:t>
      </w:r>
    </w:p>
    <w:p w14:paraId="205CB5A3">
      <w:pPr>
        <w:pStyle w:val="4"/>
        <w:bidi w:val="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1.11</w:t>
      </w:r>
      <w:r>
        <w:rPr>
          <w:rFonts w:ascii="宋体" w:hAnsi="宋体" w:eastAsia="宋体" w:cs="宋体"/>
          <w:color w:val="auto"/>
          <w:spacing w:val="15"/>
          <w:sz w:val="24"/>
          <w:szCs w:val="24"/>
          <w:highlight w:val="none"/>
        </w:rPr>
        <w:t xml:space="preserve"> </w:t>
      </w:r>
      <w:r>
        <w:rPr>
          <w:rFonts w:ascii="宋体" w:hAnsi="宋体" w:eastAsia="宋体" w:cs="宋体"/>
          <w:b/>
          <w:bCs/>
          <w:color w:val="auto"/>
          <w:spacing w:val="-9"/>
          <w:sz w:val="24"/>
          <w:szCs w:val="24"/>
          <w:highlight w:val="none"/>
        </w:rPr>
        <w:t>分包</w:t>
      </w:r>
    </w:p>
    <w:p w14:paraId="725F21CC">
      <w:pPr>
        <w:spacing w:before="181" w:line="219" w:lineRule="auto"/>
        <w:ind w:left="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本项目严禁分包。</w:t>
      </w:r>
    </w:p>
    <w:p w14:paraId="4C56BCDD">
      <w:pPr>
        <w:pStyle w:val="4"/>
        <w:bidi w:val="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1.12</w:t>
      </w:r>
      <w:r>
        <w:rPr>
          <w:rFonts w:ascii="宋体" w:hAnsi="宋体" w:eastAsia="宋体" w:cs="宋体"/>
          <w:color w:val="auto"/>
          <w:spacing w:val="21"/>
          <w:sz w:val="24"/>
          <w:szCs w:val="24"/>
          <w:highlight w:val="none"/>
        </w:rPr>
        <w:t xml:space="preserve"> </w:t>
      </w:r>
      <w:r>
        <w:rPr>
          <w:rFonts w:ascii="宋体" w:hAnsi="宋体" w:eastAsia="宋体" w:cs="宋体"/>
          <w:b/>
          <w:bCs/>
          <w:color w:val="auto"/>
          <w:spacing w:val="-7"/>
          <w:sz w:val="24"/>
          <w:szCs w:val="24"/>
          <w:highlight w:val="none"/>
        </w:rPr>
        <w:t>响应和偏差</w:t>
      </w:r>
    </w:p>
    <w:p w14:paraId="48BC82A9">
      <w:pPr>
        <w:spacing w:before="183" w:line="359" w:lineRule="auto"/>
        <w:ind w:right="109" w:firstLine="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1.12.1 投标文件偏离招标文件某些要求，视为投标文件存在偏差。偏差包括重大</w:t>
      </w:r>
      <w:r>
        <w:rPr>
          <w:rFonts w:ascii="宋体" w:hAnsi="宋体" w:eastAsia="宋体" w:cs="宋体"/>
          <w:color w:val="auto"/>
          <w:spacing w:val="-2"/>
          <w:sz w:val="24"/>
          <w:szCs w:val="24"/>
          <w:highlight w:val="none"/>
        </w:rPr>
        <w:t>偏差和细微偏差。</w:t>
      </w:r>
    </w:p>
    <w:p w14:paraId="57A912C7">
      <w:pPr>
        <w:spacing w:before="1" w:line="359" w:lineRule="auto"/>
        <w:ind w:left="19" w:right="109" w:firstLine="47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1.12.2 投标文件应对招标文件的实质性要求和条件作出满足性或更有利于招标人</w:t>
      </w:r>
      <w:r>
        <w:rPr>
          <w:rFonts w:ascii="宋体" w:hAnsi="宋体" w:eastAsia="宋体" w:cs="宋体"/>
          <w:color w:val="auto"/>
          <w:spacing w:val="-1"/>
          <w:sz w:val="24"/>
          <w:szCs w:val="24"/>
          <w:highlight w:val="none"/>
        </w:rPr>
        <w:t>的响应，否则，视为投标文件存在重大偏差，投标人的投标将被否决。</w:t>
      </w:r>
    </w:p>
    <w:p w14:paraId="54F38F36">
      <w:pPr>
        <w:spacing w:line="359" w:lineRule="auto"/>
        <w:ind w:right="109" w:firstLine="482"/>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投标文件存在第三章“评标办法</w:t>
      </w:r>
      <w:r>
        <w:rPr>
          <w:rFonts w:ascii="宋体" w:hAnsi="宋体" w:eastAsia="宋体" w:cs="宋体"/>
          <w:color w:val="auto"/>
          <w:spacing w:val="-82"/>
          <w:sz w:val="24"/>
          <w:szCs w:val="24"/>
          <w:highlight w:val="none"/>
        </w:rPr>
        <w:t xml:space="preserve"> </w:t>
      </w:r>
      <w:r>
        <w:rPr>
          <w:rFonts w:ascii="宋体" w:hAnsi="宋体" w:eastAsia="宋体" w:cs="宋体"/>
          <w:color w:val="auto"/>
          <w:spacing w:val="4"/>
          <w:sz w:val="24"/>
          <w:szCs w:val="24"/>
          <w:highlight w:val="none"/>
        </w:rPr>
        <w:t>”中所列任一否决投标情形的，均属于存在重大</w:t>
      </w:r>
      <w:r>
        <w:rPr>
          <w:rFonts w:ascii="宋体" w:hAnsi="宋体" w:eastAsia="宋体" w:cs="宋体"/>
          <w:color w:val="auto"/>
          <w:spacing w:val="-4"/>
          <w:sz w:val="24"/>
          <w:szCs w:val="24"/>
          <w:highlight w:val="none"/>
        </w:rPr>
        <w:t>偏差。</w:t>
      </w:r>
    </w:p>
    <w:p w14:paraId="451C27A3">
      <w:pPr>
        <w:spacing w:line="219" w:lineRule="auto"/>
        <w:ind w:left="49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1.12.3 投标文件中的下列偏差为细微偏差：</w:t>
      </w:r>
    </w:p>
    <w:p w14:paraId="559958EA">
      <w:pPr>
        <w:keepNext w:val="0"/>
        <w:keepLines w:val="0"/>
        <w:pageBreakBefore w:val="0"/>
        <w:widowControl/>
        <w:kinsoku/>
        <w:wordWrap w:val="0"/>
        <w:overflowPunct/>
        <w:topLinePunct/>
        <w:autoSpaceDE/>
        <w:autoSpaceDN/>
        <w:bidi w:val="0"/>
        <w:adjustRightInd w:val="0"/>
        <w:snapToGrid w:val="0"/>
        <w:spacing w:before="182" w:line="360" w:lineRule="auto"/>
        <w:ind w:right="108" w:firstLine="480" w:firstLineChars="200"/>
        <w:textAlignment w:val="baseline"/>
        <w:rPr>
          <w:rFonts w:hint="eastAsia" w:ascii="宋体" w:hAnsi="宋体" w:eastAsia="宋体" w:cs="宋体"/>
          <w:color w:val="auto"/>
          <w:spacing w:val="-3"/>
          <w:sz w:val="24"/>
          <w:szCs w:val="24"/>
          <w:highlight w:val="none"/>
          <w:lang w:eastAsia="zh-CN"/>
        </w:rPr>
      </w:pPr>
      <w:r>
        <w:rPr>
          <w:rFonts w:ascii="宋体" w:hAnsi="宋体" w:eastAsia="宋体" w:cs="宋体"/>
          <w:color w:val="auto"/>
          <w:sz w:val="24"/>
          <w:szCs w:val="24"/>
          <w:highlight w:val="none"/>
        </w:rPr>
        <w:t>（1）在按照第三章“评标办法</w:t>
      </w:r>
      <w:r>
        <w:rPr>
          <w:rFonts w:ascii="宋体" w:hAnsi="宋体" w:eastAsia="宋体" w:cs="宋体"/>
          <w:color w:val="auto"/>
          <w:spacing w:val="-71"/>
          <w:sz w:val="24"/>
          <w:szCs w:val="24"/>
          <w:highlight w:val="none"/>
        </w:rPr>
        <w:t xml:space="preserve"> </w:t>
      </w:r>
      <w:r>
        <w:rPr>
          <w:rFonts w:ascii="宋体" w:hAnsi="宋体" w:eastAsia="宋体" w:cs="宋体"/>
          <w:color w:val="auto"/>
          <w:sz w:val="24"/>
          <w:szCs w:val="24"/>
          <w:highlight w:val="none"/>
        </w:rPr>
        <w:t>”的规定对投标价进行算术性错误修正后，最终投</w:t>
      </w:r>
      <w:r>
        <w:rPr>
          <w:rFonts w:ascii="宋体" w:hAnsi="宋体" w:eastAsia="宋体" w:cs="宋体"/>
          <w:color w:val="auto"/>
          <w:spacing w:val="4"/>
          <w:sz w:val="24"/>
          <w:szCs w:val="24"/>
          <w:highlight w:val="none"/>
        </w:rPr>
        <w:t>标报价未超过最高投标限价（如有）的情况下，出现第三章“评标办法</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3"/>
          <w:sz w:val="24"/>
          <w:szCs w:val="24"/>
          <w:highlight w:val="none"/>
        </w:rPr>
        <w:t>规定的算术</w:t>
      </w:r>
      <w:r>
        <w:rPr>
          <w:rFonts w:ascii="宋体" w:hAnsi="宋体" w:eastAsia="宋体" w:cs="宋体"/>
          <w:color w:val="auto"/>
          <w:spacing w:val="-3"/>
          <w:sz w:val="24"/>
          <w:szCs w:val="24"/>
          <w:highlight w:val="none"/>
        </w:rPr>
        <w:t>性错误</w:t>
      </w:r>
      <w:r>
        <w:rPr>
          <w:rFonts w:hint="eastAsia" w:ascii="宋体" w:hAnsi="宋体" w:eastAsia="宋体" w:cs="宋体"/>
          <w:color w:val="auto"/>
          <w:spacing w:val="-3"/>
          <w:sz w:val="24"/>
          <w:szCs w:val="24"/>
          <w:highlight w:val="none"/>
          <w:lang w:eastAsia="zh-CN"/>
        </w:rPr>
        <w:t>；</w:t>
      </w:r>
    </w:p>
    <w:p w14:paraId="2CFE6E51">
      <w:pPr>
        <w:keepNext w:val="0"/>
        <w:keepLines w:val="0"/>
        <w:pageBreakBefore w:val="0"/>
        <w:widowControl/>
        <w:kinsoku/>
        <w:wordWrap w:val="0"/>
        <w:overflowPunct/>
        <w:topLinePunct/>
        <w:autoSpaceDE/>
        <w:autoSpaceDN/>
        <w:bidi w:val="0"/>
        <w:adjustRightInd w:val="0"/>
        <w:snapToGrid w:val="0"/>
        <w:spacing w:before="182" w:line="360" w:lineRule="auto"/>
        <w:ind w:right="108" w:firstLine="472" w:firstLineChars="200"/>
        <w:textAlignment w:val="baseline"/>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（2）技术建议书不够完善；</w:t>
      </w:r>
    </w:p>
    <w:p w14:paraId="58E2258A">
      <w:pPr>
        <w:keepNext w:val="0"/>
        <w:keepLines w:val="0"/>
        <w:pageBreakBefore w:val="0"/>
        <w:widowControl/>
        <w:kinsoku/>
        <w:wordWrap w:val="0"/>
        <w:overflowPunct/>
        <w:topLinePunct/>
        <w:autoSpaceDE/>
        <w:autoSpaceDN/>
        <w:bidi w:val="0"/>
        <w:adjustRightInd w:val="0"/>
        <w:snapToGrid w:val="0"/>
        <w:spacing w:before="182" w:line="360" w:lineRule="auto"/>
        <w:ind w:right="108" w:firstLine="484" w:firstLineChars="20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（3）投标文件页码不连续、个别文字有遗漏错误等不影响投标文件实质性内容的</w:t>
      </w:r>
      <w:r>
        <w:rPr>
          <w:rFonts w:ascii="宋体" w:hAnsi="宋体" w:eastAsia="宋体" w:cs="宋体"/>
          <w:color w:val="auto"/>
          <w:spacing w:val="-4"/>
          <w:sz w:val="24"/>
          <w:szCs w:val="24"/>
          <w:highlight w:val="none"/>
        </w:rPr>
        <w:t>偏差。</w:t>
      </w:r>
    </w:p>
    <w:p w14:paraId="52A63D80">
      <w:pPr>
        <w:spacing w:before="1" w:line="218"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1.12.4 评标委员会对投标文件中的细微偏差按如下规定处理：</w:t>
      </w:r>
    </w:p>
    <w:p w14:paraId="46249A28">
      <w:pPr>
        <w:spacing w:before="181" w:line="360" w:lineRule="auto"/>
        <w:ind w:right="109" w:firstLine="472" w:firstLineChars="20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（1）对于本章第</w:t>
      </w:r>
      <w:r>
        <w:rPr>
          <w:rFonts w:ascii="宋体" w:hAnsi="宋体" w:eastAsia="宋体" w:cs="宋体"/>
          <w:color w:val="auto"/>
          <w:spacing w:val="-33"/>
          <w:sz w:val="24"/>
          <w:szCs w:val="24"/>
          <w:highlight w:val="none"/>
        </w:rPr>
        <w:t xml:space="preserve"> </w:t>
      </w:r>
      <w:r>
        <w:rPr>
          <w:rFonts w:ascii="宋体" w:hAnsi="宋体" w:eastAsia="宋体" w:cs="宋体"/>
          <w:color w:val="auto"/>
          <w:spacing w:val="-2"/>
          <w:sz w:val="24"/>
          <w:szCs w:val="24"/>
          <w:highlight w:val="none"/>
        </w:rPr>
        <w:t>1.12.3</w:t>
      </w:r>
      <w:r>
        <w:rPr>
          <w:rFonts w:ascii="宋体" w:hAnsi="宋体" w:eastAsia="宋体" w:cs="宋体"/>
          <w:color w:val="auto"/>
          <w:spacing w:val="-44"/>
          <w:sz w:val="24"/>
          <w:szCs w:val="24"/>
          <w:highlight w:val="none"/>
        </w:rPr>
        <w:t xml:space="preserve"> </w:t>
      </w:r>
      <w:r>
        <w:rPr>
          <w:rFonts w:ascii="宋体" w:hAnsi="宋体" w:eastAsia="宋体" w:cs="宋体"/>
          <w:color w:val="auto"/>
          <w:spacing w:val="-2"/>
          <w:sz w:val="24"/>
          <w:szCs w:val="24"/>
          <w:highlight w:val="none"/>
        </w:rPr>
        <w:t>项（1）</w:t>
      </w:r>
      <w:r>
        <w:rPr>
          <w:rFonts w:ascii="宋体" w:hAnsi="宋体" w:eastAsia="宋体" w:cs="宋体"/>
          <w:color w:val="auto"/>
          <w:spacing w:val="-60"/>
          <w:sz w:val="24"/>
          <w:szCs w:val="24"/>
          <w:highlight w:val="none"/>
        </w:rPr>
        <w:t xml:space="preserve"> </w:t>
      </w:r>
      <w:r>
        <w:rPr>
          <w:rFonts w:ascii="宋体" w:hAnsi="宋体" w:eastAsia="宋体" w:cs="宋体"/>
          <w:color w:val="auto"/>
          <w:spacing w:val="-2"/>
          <w:sz w:val="24"/>
          <w:szCs w:val="24"/>
          <w:highlight w:val="none"/>
        </w:rPr>
        <w:t>目所述的细微偏差，按照第三章</w:t>
      </w:r>
      <w:r>
        <w:rPr>
          <w:rFonts w:ascii="宋体" w:hAnsi="宋体" w:eastAsia="宋体" w:cs="宋体"/>
          <w:color w:val="auto"/>
          <w:spacing w:val="-3"/>
          <w:sz w:val="24"/>
          <w:szCs w:val="24"/>
          <w:highlight w:val="none"/>
        </w:rPr>
        <w:t>“评标办法</w:t>
      </w:r>
      <w:r>
        <w:rPr>
          <w:rFonts w:ascii="宋体" w:hAnsi="宋体" w:eastAsia="宋体" w:cs="宋体"/>
          <w:color w:val="auto"/>
          <w:spacing w:val="-88"/>
          <w:sz w:val="24"/>
          <w:szCs w:val="24"/>
          <w:highlight w:val="none"/>
        </w:rPr>
        <w:t xml:space="preserve"> </w:t>
      </w:r>
      <w:r>
        <w:rPr>
          <w:rFonts w:ascii="宋体" w:hAnsi="宋体" w:eastAsia="宋体" w:cs="宋体"/>
          <w:color w:val="auto"/>
          <w:spacing w:val="-3"/>
          <w:sz w:val="24"/>
          <w:szCs w:val="24"/>
          <w:highlight w:val="none"/>
        </w:rPr>
        <w:t>”的</w:t>
      </w:r>
      <w:r>
        <w:rPr>
          <w:rFonts w:ascii="宋体" w:hAnsi="宋体" w:eastAsia="宋体" w:cs="宋体"/>
          <w:color w:val="auto"/>
          <w:spacing w:val="-1"/>
          <w:sz w:val="24"/>
          <w:szCs w:val="24"/>
          <w:highlight w:val="none"/>
        </w:rPr>
        <w:t>规定予以修正并要求投标人进行澄清；</w:t>
      </w:r>
    </w:p>
    <w:p w14:paraId="161ADF2A">
      <w:pPr>
        <w:spacing w:before="1" w:line="358" w:lineRule="auto"/>
        <w:ind w:left="19" w:right="109" w:firstLine="47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（2）对于本章第</w:t>
      </w:r>
      <w:r>
        <w:rPr>
          <w:rFonts w:ascii="宋体" w:hAnsi="宋体" w:eastAsia="宋体" w:cs="宋体"/>
          <w:color w:val="auto"/>
          <w:spacing w:val="-12"/>
          <w:sz w:val="24"/>
          <w:szCs w:val="24"/>
          <w:highlight w:val="none"/>
        </w:rPr>
        <w:t xml:space="preserve"> </w:t>
      </w:r>
      <w:r>
        <w:rPr>
          <w:rFonts w:ascii="宋体" w:hAnsi="宋体" w:eastAsia="宋体" w:cs="宋体"/>
          <w:color w:val="auto"/>
          <w:spacing w:val="1"/>
          <w:sz w:val="24"/>
          <w:szCs w:val="24"/>
          <w:highlight w:val="none"/>
        </w:rPr>
        <w:t>1.12.3</w:t>
      </w:r>
      <w:r>
        <w:rPr>
          <w:rFonts w:ascii="宋体" w:hAnsi="宋体" w:eastAsia="宋体" w:cs="宋体"/>
          <w:color w:val="auto"/>
          <w:spacing w:val="-42"/>
          <w:sz w:val="24"/>
          <w:szCs w:val="24"/>
          <w:highlight w:val="none"/>
        </w:rPr>
        <w:t xml:space="preserve"> </w:t>
      </w:r>
      <w:r>
        <w:rPr>
          <w:rFonts w:ascii="宋体" w:hAnsi="宋体" w:eastAsia="宋体" w:cs="宋体"/>
          <w:color w:val="auto"/>
          <w:spacing w:val="1"/>
          <w:sz w:val="24"/>
          <w:szCs w:val="24"/>
          <w:highlight w:val="none"/>
        </w:rPr>
        <w:t>项（2）、（3）目所述的细微偏差，可在相关评分因素</w:t>
      </w:r>
      <w:r>
        <w:rPr>
          <w:rFonts w:ascii="宋体" w:hAnsi="宋体" w:eastAsia="宋体" w:cs="宋体"/>
          <w:color w:val="auto"/>
          <w:spacing w:val="-4"/>
          <w:sz w:val="24"/>
          <w:szCs w:val="24"/>
          <w:highlight w:val="none"/>
        </w:rPr>
        <w:t>的评分中酌情扣分。</w:t>
      </w:r>
    </w:p>
    <w:p w14:paraId="766B4EEB">
      <w:pPr>
        <w:spacing w:line="363" w:lineRule="auto"/>
        <w:ind w:right="109" w:firstLine="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1.12.5 投标人应根据招标文件的要求提供技术建议书等内容以对招标文件作出响</w:t>
      </w:r>
      <w:r>
        <w:rPr>
          <w:rFonts w:ascii="宋体" w:hAnsi="宋体" w:eastAsia="宋体" w:cs="宋体"/>
          <w:color w:val="auto"/>
          <w:spacing w:val="-5"/>
          <w:sz w:val="24"/>
          <w:szCs w:val="24"/>
          <w:highlight w:val="none"/>
        </w:rPr>
        <w:t>应。</w:t>
      </w:r>
    </w:p>
    <w:p w14:paraId="7F8C5C75">
      <w:pPr>
        <w:spacing w:line="363" w:lineRule="auto"/>
        <w:rPr>
          <w:rFonts w:ascii="宋体" w:hAnsi="宋体" w:eastAsia="宋体" w:cs="宋体"/>
          <w:color w:val="auto"/>
          <w:sz w:val="24"/>
          <w:szCs w:val="24"/>
          <w:highlight w:val="none"/>
        </w:rPr>
        <w:sectPr>
          <w:footerReference r:id="rId14" w:type="default"/>
          <w:pgSz w:w="11905" w:h="16838"/>
          <w:pgMar w:top="1134" w:right="1134" w:bottom="1134" w:left="1134" w:header="0" w:footer="1066" w:gutter="0"/>
          <w:pgNumType w:fmt="decimal"/>
          <w:cols w:space="0" w:num="1"/>
          <w:rtlGutter w:val="0"/>
          <w:docGrid w:linePitch="0" w:charSpace="0"/>
        </w:sectPr>
      </w:pPr>
    </w:p>
    <w:p w14:paraId="28CA12EB">
      <w:pPr>
        <w:pStyle w:val="3"/>
        <w:bidi w:val="0"/>
        <w:rPr>
          <w:rFonts w:ascii="宋体" w:hAnsi="宋体" w:eastAsia="宋体" w:cs="宋体"/>
          <w:color w:val="auto"/>
          <w:sz w:val="28"/>
          <w:szCs w:val="28"/>
          <w:highlight w:val="none"/>
        </w:rPr>
      </w:pPr>
      <w:r>
        <w:rPr>
          <w:rFonts w:ascii="宋体" w:hAnsi="宋体" w:eastAsia="宋体" w:cs="宋体"/>
          <w:b/>
          <w:bCs/>
          <w:color w:val="auto"/>
          <w:spacing w:val="-7"/>
          <w:sz w:val="28"/>
          <w:szCs w:val="28"/>
          <w:highlight w:val="none"/>
        </w:rPr>
        <w:t>2.</w:t>
      </w:r>
      <w:r>
        <w:rPr>
          <w:rFonts w:ascii="宋体" w:hAnsi="宋体" w:eastAsia="宋体" w:cs="宋体"/>
          <w:color w:val="auto"/>
          <w:spacing w:val="14"/>
          <w:sz w:val="28"/>
          <w:szCs w:val="28"/>
          <w:highlight w:val="none"/>
        </w:rPr>
        <w:t xml:space="preserve"> </w:t>
      </w:r>
      <w:r>
        <w:rPr>
          <w:rFonts w:ascii="宋体" w:hAnsi="宋体" w:eastAsia="宋体" w:cs="宋体"/>
          <w:b/>
          <w:bCs/>
          <w:color w:val="auto"/>
          <w:spacing w:val="-7"/>
          <w:sz w:val="28"/>
          <w:szCs w:val="28"/>
          <w:highlight w:val="none"/>
        </w:rPr>
        <w:t>招标文件</w:t>
      </w:r>
    </w:p>
    <w:p w14:paraId="2541EE43">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2.1</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招标文件的组成</w:t>
      </w:r>
    </w:p>
    <w:p w14:paraId="7531D276">
      <w:pPr>
        <w:spacing w:before="182" w:line="219" w:lineRule="auto"/>
        <w:ind w:left="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本招标文件包括：</w:t>
      </w:r>
    </w:p>
    <w:p w14:paraId="37037268">
      <w:pPr>
        <w:spacing w:before="183" w:line="218"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（1）招标公告（或投标邀请书</w:t>
      </w:r>
      <w:r>
        <w:rPr>
          <w:rFonts w:ascii="宋体" w:hAnsi="宋体" w:eastAsia="宋体" w:cs="宋体"/>
          <w:color w:val="auto"/>
          <w:spacing w:val="3"/>
          <w:sz w:val="24"/>
          <w:szCs w:val="24"/>
          <w:highlight w:val="none"/>
        </w:rPr>
        <w:t>）；</w:t>
      </w:r>
    </w:p>
    <w:p w14:paraId="4B8E1C77">
      <w:pPr>
        <w:spacing w:before="182" w:line="220"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（2）投标人须知；</w:t>
      </w:r>
    </w:p>
    <w:p w14:paraId="2ECDF9BC">
      <w:pPr>
        <w:spacing w:before="183" w:line="219"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（3）评标办法；</w:t>
      </w:r>
    </w:p>
    <w:p w14:paraId="032CFB44">
      <w:pPr>
        <w:spacing w:before="181" w:line="219"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（4）合同条款及格式；</w:t>
      </w:r>
    </w:p>
    <w:p w14:paraId="1A7AAD73">
      <w:pPr>
        <w:spacing w:before="182" w:line="221"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（5）委托人要求；</w:t>
      </w:r>
    </w:p>
    <w:p w14:paraId="498395CD">
      <w:pPr>
        <w:spacing w:before="179" w:line="220"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（6）图纸和资料；</w:t>
      </w:r>
    </w:p>
    <w:p w14:paraId="516B37B9">
      <w:pPr>
        <w:spacing w:before="182" w:line="219"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（7）投标文件格式；</w:t>
      </w:r>
    </w:p>
    <w:p w14:paraId="309B9DAA">
      <w:pPr>
        <w:spacing w:before="180" w:line="219"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（8）投标人须知前附表规定的其他资料。</w:t>
      </w:r>
    </w:p>
    <w:p w14:paraId="504BD5C7">
      <w:pPr>
        <w:spacing w:before="184" w:line="359" w:lineRule="auto"/>
        <w:ind w:left="2" w:right="2" w:firstLine="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根据本章第</w:t>
      </w:r>
      <w:r>
        <w:rPr>
          <w:rFonts w:ascii="宋体" w:hAnsi="宋体" w:eastAsia="宋体" w:cs="宋体"/>
          <w:color w:val="auto"/>
          <w:spacing w:val="-27"/>
          <w:sz w:val="24"/>
          <w:szCs w:val="24"/>
          <w:highlight w:val="none"/>
        </w:rPr>
        <w:t xml:space="preserve"> </w:t>
      </w:r>
      <w:r>
        <w:rPr>
          <w:rFonts w:ascii="宋体" w:hAnsi="宋体" w:eastAsia="宋体" w:cs="宋体"/>
          <w:color w:val="auto"/>
          <w:spacing w:val="-1"/>
          <w:sz w:val="24"/>
          <w:szCs w:val="24"/>
          <w:highlight w:val="none"/>
        </w:rPr>
        <w:t>1.10</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款、第</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2.2</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款和第</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2.3</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款对招标文件所作的澄清、修改，构成招</w:t>
      </w:r>
      <w:r>
        <w:rPr>
          <w:rFonts w:ascii="宋体" w:hAnsi="宋体" w:eastAsia="宋体" w:cs="宋体"/>
          <w:color w:val="auto"/>
          <w:spacing w:val="-2"/>
          <w:sz w:val="24"/>
          <w:szCs w:val="24"/>
          <w:highlight w:val="none"/>
        </w:rPr>
        <w:t>标文件的组成部分。</w:t>
      </w:r>
    </w:p>
    <w:p w14:paraId="16645C2C">
      <w:pPr>
        <w:spacing w:line="359" w:lineRule="auto"/>
        <w:ind w:left="22" w:right="2" w:firstLine="47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当招标文件、招标文件的澄清或修改等在同一内容的表述上</w:t>
      </w:r>
      <w:r>
        <w:rPr>
          <w:rFonts w:ascii="宋体" w:hAnsi="宋体" w:eastAsia="宋体" w:cs="宋体"/>
          <w:color w:val="auto"/>
          <w:spacing w:val="4"/>
          <w:sz w:val="24"/>
          <w:szCs w:val="24"/>
          <w:highlight w:val="none"/>
        </w:rPr>
        <w:t>不一致时，以最后发</w:t>
      </w:r>
      <w:r>
        <w:rPr>
          <w:rFonts w:ascii="宋体" w:hAnsi="宋体" w:eastAsia="宋体" w:cs="宋体"/>
          <w:color w:val="auto"/>
          <w:spacing w:val="-4"/>
          <w:sz w:val="24"/>
          <w:szCs w:val="24"/>
          <w:highlight w:val="none"/>
        </w:rPr>
        <w:t>出的书面文件为准。</w:t>
      </w:r>
    </w:p>
    <w:p w14:paraId="21BB27F3">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2.2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招标文件的澄清</w:t>
      </w:r>
    </w:p>
    <w:p w14:paraId="587FA96C">
      <w:pPr>
        <w:spacing w:before="182" w:line="359" w:lineRule="auto"/>
        <w:ind w:left="1" w:right="2" w:firstLine="482"/>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2.2.1 投标人应仔细阅读和检查招标文件的全部内容</w:t>
      </w:r>
      <w:r>
        <w:rPr>
          <w:rFonts w:ascii="宋体" w:hAnsi="宋体" w:eastAsia="宋体" w:cs="宋体"/>
          <w:color w:val="auto"/>
          <w:spacing w:val="4"/>
          <w:sz w:val="24"/>
          <w:szCs w:val="24"/>
          <w:highlight w:val="none"/>
        </w:rPr>
        <w:t>。如发现缺页或附件不全，</w:t>
      </w:r>
      <w:r>
        <w:rPr>
          <w:rFonts w:ascii="宋体" w:hAnsi="宋体" w:eastAsia="宋体" w:cs="宋体"/>
          <w:color w:val="auto"/>
          <w:spacing w:val="5"/>
          <w:sz w:val="24"/>
          <w:szCs w:val="24"/>
          <w:highlight w:val="none"/>
        </w:rPr>
        <w:t>应及时向招标人提出，以便补齐。如有疑问，应按投标人须知前附表规定的</w:t>
      </w:r>
      <w:r>
        <w:rPr>
          <w:rFonts w:ascii="宋体" w:hAnsi="宋体" w:eastAsia="宋体" w:cs="宋体"/>
          <w:color w:val="auto"/>
          <w:spacing w:val="4"/>
          <w:sz w:val="24"/>
          <w:szCs w:val="24"/>
          <w:highlight w:val="none"/>
        </w:rPr>
        <w:t>时间和形</w:t>
      </w:r>
      <w:r>
        <w:rPr>
          <w:rFonts w:ascii="宋体" w:hAnsi="宋体" w:eastAsia="宋体" w:cs="宋体"/>
          <w:color w:val="auto"/>
          <w:spacing w:val="-1"/>
          <w:sz w:val="24"/>
          <w:szCs w:val="24"/>
          <w:highlight w:val="none"/>
        </w:rPr>
        <w:t>式将提出的问题送达招标人，要求招标人对招标文件予以澄清。</w:t>
      </w:r>
    </w:p>
    <w:p w14:paraId="2940C90F">
      <w:pPr>
        <w:spacing w:before="1" w:line="359" w:lineRule="auto"/>
        <w:ind w:firstLine="48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2.2.2 招标文件的澄清以投标人须知前附表规定的形式发给</w:t>
      </w:r>
      <w:r>
        <w:rPr>
          <w:rFonts w:ascii="宋体" w:hAnsi="宋体" w:eastAsia="宋体" w:cs="宋体"/>
          <w:color w:val="auto"/>
          <w:spacing w:val="4"/>
          <w:sz w:val="24"/>
          <w:szCs w:val="24"/>
          <w:highlight w:val="none"/>
        </w:rPr>
        <w:t>所有登记的投标人，但不指明澄清问题的来源。澄清发出的时间距本章第</w:t>
      </w:r>
      <w:r>
        <w:rPr>
          <w:rFonts w:ascii="宋体" w:hAnsi="宋体" w:eastAsia="宋体" w:cs="宋体"/>
          <w:color w:val="auto"/>
          <w:spacing w:val="-47"/>
          <w:sz w:val="24"/>
          <w:szCs w:val="24"/>
          <w:highlight w:val="none"/>
        </w:rPr>
        <w:t xml:space="preserve"> </w:t>
      </w:r>
      <w:r>
        <w:rPr>
          <w:rFonts w:ascii="宋体" w:hAnsi="宋体" w:eastAsia="宋体" w:cs="宋体"/>
          <w:color w:val="auto"/>
          <w:spacing w:val="4"/>
          <w:sz w:val="24"/>
          <w:szCs w:val="24"/>
          <w:highlight w:val="none"/>
        </w:rPr>
        <w:t>4.2.1</w:t>
      </w:r>
      <w:r>
        <w:rPr>
          <w:rFonts w:ascii="宋体" w:hAnsi="宋体" w:eastAsia="宋体" w:cs="宋体"/>
          <w:color w:val="auto"/>
          <w:spacing w:val="-40"/>
          <w:sz w:val="24"/>
          <w:szCs w:val="24"/>
          <w:highlight w:val="none"/>
        </w:rPr>
        <w:t xml:space="preserve"> </w:t>
      </w:r>
      <w:r>
        <w:rPr>
          <w:rFonts w:ascii="宋体" w:hAnsi="宋体" w:eastAsia="宋体" w:cs="宋体"/>
          <w:color w:val="auto"/>
          <w:spacing w:val="4"/>
          <w:sz w:val="24"/>
          <w:szCs w:val="24"/>
          <w:highlight w:val="none"/>
        </w:rPr>
        <w:t>项规定的投标截</w:t>
      </w:r>
      <w:r>
        <w:rPr>
          <w:rFonts w:ascii="宋体" w:hAnsi="宋体" w:eastAsia="宋体" w:cs="宋体"/>
          <w:color w:val="auto"/>
          <w:spacing w:val="3"/>
          <w:sz w:val="24"/>
          <w:szCs w:val="24"/>
          <w:highlight w:val="none"/>
        </w:rPr>
        <w:t>止时间不</w:t>
      </w:r>
      <w:r>
        <w:rPr>
          <w:rFonts w:ascii="宋体" w:hAnsi="宋体" w:eastAsia="宋体" w:cs="宋体"/>
          <w:color w:val="auto"/>
          <w:spacing w:val="-3"/>
          <w:sz w:val="24"/>
          <w:szCs w:val="24"/>
          <w:highlight w:val="none"/>
        </w:rPr>
        <w:t>足</w:t>
      </w:r>
      <w:r>
        <w:rPr>
          <w:rFonts w:ascii="宋体" w:hAnsi="宋体" w:eastAsia="宋体" w:cs="宋体"/>
          <w:color w:val="auto"/>
          <w:spacing w:val="-24"/>
          <w:sz w:val="24"/>
          <w:szCs w:val="24"/>
          <w:highlight w:val="none"/>
        </w:rPr>
        <w:t xml:space="preserve"> </w:t>
      </w:r>
      <w:r>
        <w:rPr>
          <w:rFonts w:ascii="宋体" w:hAnsi="宋体" w:eastAsia="宋体" w:cs="宋体"/>
          <w:color w:val="auto"/>
          <w:spacing w:val="-3"/>
          <w:sz w:val="24"/>
          <w:szCs w:val="24"/>
          <w:highlight w:val="none"/>
        </w:rPr>
        <w:t>15 日，且澄清内容可能影响投标文件编制的，将相应延长投标截止时间。</w:t>
      </w:r>
    </w:p>
    <w:p w14:paraId="099E5604">
      <w:pPr>
        <w:spacing w:before="1" w:line="359" w:lineRule="auto"/>
        <w:ind w:left="1" w:right="2" w:firstLine="482"/>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2.2.3 投标人应注意及时浏览网上发出的澄清，因投</w:t>
      </w:r>
      <w:r>
        <w:rPr>
          <w:rFonts w:ascii="宋体" w:hAnsi="宋体" w:eastAsia="宋体" w:cs="宋体"/>
          <w:color w:val="auto"/>
          <w:spacing w:val="4"/>
          <w:sz w:val="24"/>
          <w:szCs w:val="24"/>
          <w:highlight w:val="none"/>
        </w:rPr>
        <w:t>标人自身原因未及时获知澄</w:t>
      </w:r>
      <w:r>
        <w:rPr>
          <w:rFonts w:ascii="宋体" w:hAnsi="宋体" w:eastAsia="宋体" w:cs="宋体"/>
          <w:color w:val="auto"/>
          <w:spacing w:val="-1"/>
          <w:sz w:val="24"/>
          <w:szCs w:val="24"/>
          <w:highlight w:val="none"/>
        </w:rPr>
        <w:t>清内容而导致的任何后果将由投标人自行承担。</w:t>
      </w:r>
    </w:p>
    <w:p w14:paraId="5A0714BC">
      <w:pPr>
        <w:spacing w:line="359" w:lineRule="auto"/>
        <w:ind w:left="1" w:right="2" w:firstLine="482"/>
        <w:rPr>
          <w:rFonts w:ascii="宋体" w:hAnsi="宋体" w:eastAsia="宋体" w:cs="宋体"/>
          <w:color w:val="auto"/>
          <w:spacing w:val="-2"/>
          <w:sz w:val="24"/>
          <w:szCs w:val="24"/>
          <w:highlight w:val="none"/>
        </w:rPr>
      </w:pPr>
      <w:r>
        <w:rPr>
          <w:rFonts w:ascii="宋体" w:hAnsi="宋体" w:eastAsia="宋体" w:cs="宋体"/>
          <w:color w:val="auto"/>
          <w:spacing w:val="5"/>
          <w:sz w:val="24"/>
          <w:szCs w:val="24"/>
          <w:highlight w:val="none"/>
        </w:rPr>
        <w:t>2.2.4 除非招标人认为确有必要答复，否则，招标人</w:t>
      </w:r>
      <w:r>
        <w:rPr>
          <w:rFonts w:ascii="宋体" w:hAnsi="宋体" w:eastAsia="宋体" w:cs="宋体"/>
          <w:color w:val="auto"/>
          <w:spacing w:val="4"/>
          <w:sz w:val="24"/>
          <w:szCs w:val="24"/>
          <w:highlight w:val="none"/>
        </w:rPr>
        <w:t>有权拒绝回复投标人在本章</w:t>
      </w:r>
      <w:r>
        <w:rPr>
          <w:rFonts w:ascii="宋体" w:hAnsi="宋体" w:eastAsia="宋体" w:cs="宋体"/>
          <w:color w:val="auto"/>
          <w:spacing w:val="-2"/>
          <w:sz w:val="24"/>
          <w:szCs w:val="24"/>
          <w:highlight w:val="none"/>
        </w:rPr>
        <w:t>第2.2.1</w:t>
      </w:r>
      <w:r>
        <w:rPr>
          <w:rFonts w:ascii="宋体" w:hAnsi="宋体" w:eastAsia="宋体" w:cs="宋体"/>
          <w:color w:val="auto"/>
          <w:spacing w:val="-47"/>
          <w:sz w:val="24"/>
          <w:szCs w:val="24"/>
          <w:highlight w:val="none"/>
        </w:rPr>
        <w:t xml:space="preserve"> </w:t>
      </w:r>
      <w:r>
        <w:rPr>
          <w:rFonts w:ascii="宋体" w:hAnsi="宋体" w:eastAsia="宋体" w:cs="宋体"/>
          <w:color w:val="auto"/>
          <w:spacing w:val="-2"/>
          <w:sz w:val="24"/>
          <w:szCs w:val="24"/>
          <w:highlight w:val="none"/>
        </w:rPr>
        <w:t>项规定的时间后的任何澄清要求。</w:t>
      </w:r>
    </w:p>
    <w:p w14:paraId="3F90CC8A">
      <w:pPr>
        <w:spacing w:line="359" w:lineRule="auto"/>
        <w:ind w:left="1" w:right="2" w:firstLine="482"/>
        <w:rPr>
          <w:rFonts w:ascii="宋体" w:hAnsi="宋体" w:eastAsia="宋体" w:cs="宋体"/>
          <w:color w:val="auto"/>
          <w:spacing w:val="-2"/>
          <w:sz w:val="24"/>
          <w:szCs w:val="24"/>
          <w:highlight w:val="none"/>
        </w:rPr>
      </w:pPr>
    </w:p>
    <w:p w14:paraId="26383ABA">
      <w:pPr>
        <w:spacing w:line="359" w:lineRule="auto"/>
        <w:ind w:left="1" w:right="2" w:firstLine="482"/>
        <w:rPr>
          <w:rFonts w:ascii="宋体" w:hAnsi="宋体" w:eastAsia="宋体" w:cs="宋体"/>
          <w:color w:val="auto"/>
          <w:spacing w:val="-2"/>
          <w:sz w:val="24"/>
          <w:szCs w:val="24"/>
          <w:highlight w:val="none"/>
        </w:rPr>
      </w:pPr>
    </w:p>
    <w:p w14:paraId="30625A74">
      <w:pPr>
        <w:spacing w:line="359" w:lineRule="auto"/>
        <w:ind w:left="1" w:right="2" w:firstLine="482"/>
        <w:rPr>
          <w:rFonts w:ascii="宋体" w:hAnsi="宋体" w:eastAsia="宋体" w:cs="宋体"/>
          <w:color w:val="auto"/>
          <w:spacing w:val="-2"/>
          <w:sz w:val="24"/>
          <w:szCs w:val="24"/>
          <w:highlight w:val="none"/>
        </w:rPr>
      </w:pPr>
    </w:p>
    <w:p w14:paraId="76FC2C94">
      <w:pPr>
        <w:spacing w:line="359" w:lineRule="auto"/>
        <w:ind w:right="2"/>
        <w:rPr>
          <w:rFonts w:ascii="宋体" w:hAnsi="宋体" w:eastAsia="宋体" w:cs="宋体"/>
          <w:b/>
          <w:bCs/>
          <w:color w:val="auto"/>
          <w:spacing w:val="-3"/>
          <w:sz w:val="24"/>
          <w:szCs w:val="24"/>
          <w:highlight w:val="none"/>
        </w:rPr>
      </w:pPr>
      <w:r>
        <w:rPr>
          <w:rFonts w:ascii="宋体" w:hAnsi="宋体" w:eastAsia="宋体" w:cs="宋体"/>
          <w:b/>
          <w:bCs/>
          <w:color w:val="auto"/>
          <w:spacing w:val="-3"/>
          <w:sz w:val="24"/>
          <w:szCs w:val="24"/>
          <w:highlight w:val="none"/>
        </w:rPr>
        <w:t>2.3</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招标文件的修改</w:t>
      </w:r>
    </w:p>
    <w:p w14:paraId="440EDFA0">
      <w:pPr>
        <w:spacing w:line="359" w:lineRule="auto"/>
        <w:ind w:left="1" w:right="2" w:firstLine="482"/>
        <w:rPr>
          <w:rFonts w:ascii="Arial"/>
          <w:color w:val="auto"/>
          <w:sz w:val="21"/>
          <w:highlight w:val="none"/>
        </w:rPr>
      </w:pPr>
      <w:r>
        <w:rPr>
          <w:rFonts w:ascii="宋体" w:hAnsi="宋体" w:eastAsia="宋体" w:cs="宋体"/>
          <w:color w:val="auto"/>
          <w:spacing w:val="5"/>
          <w:sz w:val="24"/>
          <w:szCs w:val="24"/>
          <w:highlight w:val="none"/>
        </w:rPr>
        <w:t>2.3.1 招标人以投标人须知前附表规定的形式修改招</w:t>
      </w:r>
      <w:r>
        <w:rPr>
          <w:rFonts w:ascii="宋体" w:hAnsi="宋体" w:eastAsia="宋体" w:cs="宋体"/>
          <w:color w:val="auto"/>
          <w:spacing w:val="4"/>
          <w:sz w:val="24"/>
          <w:szCs w:val="24"/>
          <w:highlight w:val="none"/>
        </w:rPr>
        <w:t>标文件，并通知所有已登记</w:t>
      </w:r>
      <w:r>
        <w:rPr>
          <w:rFonts w:ascii="宋体" w:hAnsi="宋体" w:eastAsia="宋体" w:cs="宋体"/>
          <w:color w:val="auto"/>
          <w:sz w:val="24"/>
          <w:szCs w:val="24"/>
          <w:highlight w:val="none"/>
        </w:rPr>
        <w:t>的投标人。修改招标文件的时间距本章第4.2.1</w:t>
      </w:r>
      <w:r>
        <w:rPr>
          <w:rFonts w:ascii="宋体" w:hAnsi="宋体" w:eastAsia="宋体" w:cs="宋体"/>
          <w:color w:val="auto"/>
          <w:spacing w:val="-26"/>
          <w:sz w:val="24"/>
          <w:szCs w:val="24"/>
          <w:highlight w:val="none"/>
        </w:rPr>
        <w:t xml:space="preserve"> </w:t>
      </w:r>
      <w:r>
        <w:rPr>
          <w:rFonts w:ascii="宋体" w:hAnsi="宋体" w:eastAsia="宋体" w:cs="宋体"/>
          <w:color w:val="auto"/>
          <w:sz w:val="24"/>
          <w:szCs w:val="24"/>
          <w:highlight w:val="none"/>
        </w:rPr>
        <w:t>项规定的投标截止时间不足</w:t>
      </w:r>
      <w:r>
        <w:rPr>
          <w:rFonts w:ascii="宋体" w:hAnsi="宋体" w:eastAsia="宋体" w:cs="宋体"/>
          <w:color w:val="auto"/>
          <w:spacing w:val="-33"/>
          <w:sz w:val="24"/>
          <w:szCs w:val="24"/>
          <w:highlight w:val="none"/>
        </w:rPr>
        <w:t xml:space="preserve"> </w:t>
      </w:r>
      <w:r>
        <w:rPr>
          <w:rFonts w:ascii="宋体" w:hAnsi="宋体" w:eastAsia="宋体" w:cs="宋体"/>
          <w:color w:val="auto"/>
          <w:sz w:val="24"/>
          <w:szCs w:val="24"/>
          <w:highlight w:val="none"/>
        </w:rPr>
        <w:t>15 日，且</w:t>
      </w:r>
      <w:r>
        <w:rPr>
          <w:rFonts w:ascii="宋体" w:hAnsi="宋体" w:eastAsia="宋体" w:cs="宋体"/>
          <w:color w:val="auto"/>
          <w:spacing w:val="-1"/>
          <w:sz w:val="24"/>
          <w:szCs w:val="24"/>
          <w:highlight w:val="none"/>
        </w:rPr>
        <w:t>修改内容可能影响投标文件编制的，将相应延长投标截止时间。</w:t>
      </w:r>
    </w:p>
    <w:p w14:paraId="727D820A">
      <w:pPr>
        <w:spacing w:before="78" w:line="359" w:lineRule="auto"/>
        <w:ind w:left="7" w:firstLine="47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2.3.2 投标人应注意及时浏览网上发出的修改，因投</w:t>
      </w:r>
      <w:r>
        <w:rPr>
          <w:rFonts w:ascii="宋体" w:hAnsi="宋体" w:eastAsia="宋体" w:cs="宋体"/>
          <w:color w:val="auto"/>
          <w:spacing w:val="4"/>
          <w:sz w:val="24"/>
          <w:szCs w:val="24"/>
          <w:highlight w:val="none"/>
        </w:rPr>
        <w:t>标人自身原因未及时获知修</w:t>
      </w:r>
      <w:r>
        <w:rPr>
          <w:rFonts w:ascii="宋体" w:hAnsi="宋体" w:eastAsia="宋体" w:cs="宋体"/>
          <w:color w:val="auto"/>
          <w:spacing w:val="-1"/>
          <w:sz w:val="24"/>
          <w:szCs w:val="24"/>
          <w:highlight w:val="none"/>
        </w:rPr>
        <w:t>改内容而导致的任何后果将由投标人自行承担。</w:t>
      </w:r>
    </w:p>
    <w:p w14:paraId="2B55BC23">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2.4</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招标文件的异议</w:t>
      </w:r>
    </w:p>
    <w:p w14:paraId="60394368">
      <w:pPr>
        <w:keepNext w:val="0"/>
        <w:keepLines w:val="0"/>
        <w:pageBreakBefore w:val="0"/>
        <w:widowControl/>
        <w:kinsoku/>
        <w:wordWrap w:val="0"/>
        <w:overflowPunct/>
        <w:topLinePunct/>
        <w:autoSpaceDE/>
        <w:autoSpaceDN/>
        <w:bidi w:val="0"/>
        <w:adjustRightInd w:val="0"/>
        <w:snapToGrid w:val="0"/>
        <w:spacing w:before="179" w:line="360" w:lineRule="auto"/>
        <w:ind w:firstLine="482"/>
        <w:jc w:val="both"/>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投标人或其他利害关系人对招标文件有异议的，应当在投标截止时间</w:t>
      </w:r>
      <w:r>
        <w:rPr>
          <w:rFonts w:ascii="宋体" w:hAnsi="宋体" w:eastAsia="宋体" w:cs="宋体"/>
          <w:color w:val="auto"/>
          <w:spacing w:val="-25"/>
          <w:sz w:val="24"/>
          <w:szCs w:val="24"/>
          <w:highlight w:val="none"/>
        </w:rPr>
        <w:t xml:space="preserve"> </w:t>
      </w:r>
      <w:r>
        <w:rPr>
          <w:rFonts w:ascii="宋体" w:hAnsi="宋体" w:eastAsia="宋体" w:cs="宋体"/>
          <w:color w:val="auto"/>
          <w:spacing w:val="-1"/>
          <w:sz w:val="24"/>
          <w:szCs w:val="24"/>
          <w:highlight w:val="none"/>
        </w:rPr>
        <w:t>10 日前以书</w:t>
      </w:r>
      <w:r>
        <w:rPr>
          <w:rFonts w:ascii="宋体" w:hAnsi="宋体" w:eastAsia="宋体" w:cs="宋体"/>
          <w:color w:val="auto"/>
          <w:spacing w:val="3"/>
          <w:sz w:val="24"/>
          <w:szCs w:val="24"/>
          <w:highlight w:val="none"/>
        </w:rPr>
        <w:t>面形式提出。招标人将在收到异议之日起</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3 日内作出答</w:t>
      </w:r>
      <w:r>
        <w:rPr>
          <w:rFonts w:ascii="宋体" w:hAnsi="宋体" w:eastAsia="宋体" w:cs="宋体"/>
          <w:color w:val="auto"/>
          <w:spacing w:val="2"/>
          <w:sz w:val="24"/>
          <w:szCs w:val="24"/>
          <w:highlight w:val="none"/>
        </w:rPr>
        <w:t>复；作出答复前，将暂停招标</w:t>
      </w:r>
      <w:r>
        <w:rPr>
          <w:rFonts w:ascii="宋体" w:hAnsi="宋体" w:eastAsia="宋体" w:cs="宋体"/>
          <w:color w:val="auto"/>
          <w:spacing w:val="-3"/>
          <w:sz w:val="24"/>
          <w:szCs w:val="24"/>
          <w:highlight w:val="none"/>
        </w:rPr>
        <w:t>投标活动。</w:t>
      </w:r>
    </w:p>
    <w:p w14:paraId="41E34577">
      <w:pPr>
        <w:pStyle w:val="3"/>
        <w:bidi w:val="0"/>
        <w:rPr>
          <w:rFonts w:ascii="宋体" w:hAnsi="宋体" w:eastAsia="宋体" w:cs="宋体"/>
          <w:color w:val="auto"/>
          <w:sz w:val="28"/>
          <w:szCs w:val="28"/>
          <w:highlight w:val="none"/>
        </w:rPr>
      </w:pPr>
      <w:r>
        <w:rPr>
          <w:rFonts w:ascii="宋体" w:hAnsi="宋体" w:eastAsia="宋体" w:cs="宋体"/>
          <w:b/>
          <w:bCs/>
          <w:color w:val="auto"/>
          <w:spacing w:val="-8"/>
          <w:sz w:val="28"/>
          <w:szCs w:val="28"/>
          <w:highlight w:val="none"/>
        </w:rPr>
        <w:t>3.</w:t>
      </w:r>
      <w:r>
        <w:rPr>
          <w:rFonts w:ascii="宋体" w:hAnsi="宋体" w:eastAsia="宋体" w:cs="宋体"/>
          <w:color w:val="auto"/>
          <w:spacing w:val="18"/>
          <w:sz w:val="28"/>
          <w:szCs w:val="28"/>
          <w:highlight w:val="none"/>
        </w:rPr>
        <w:t xml:space="preserve"> </w:t>
      </w:r>
      <w:r>
        <w:rPr>
          <w:rFonts w:ascii="宋体" w:hAnsi="宋体" w:eastAsia="宋体" w:cs="宋体"/>
          <w:b/>
          <w:bCs/>
          <w:color w:val="auto"/>
          <w:spacing w:val="-8"/>
          <w:sz w:val="28"/>
          <w:szCs w:val="28"/>
          <w:highlight w:val="none"/>
        </w:rPr>
        <w:t>投标文件</w:t>
      </w:r>
    </w:p>
    <w:p w14:paraId="69F81E9C">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3.1</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投标文件的组成</w:t>
      </w:r>
    </w:p>
    <w:p w14:paraId="39F3FD96">
      <w:pPr>
        <w:spacing w:before="180" w:line="219" w:lineRule="auto"/>
        <w:ind w:left="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3.1.1 投标文件应采用双信封形式，包括下列内容：</w:t>
      </w:r>
    </w:p>
    <w:p w14:paraId="4DA19F1F">
      <w:pPr>
        <w:spacing w:before="184" w:line="219" w:lineRule="auto"/>
        <w:ind w:left="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第一个信封（商务及技术文件</w:t>
      </w:r>
      <w:r>
        <w:rPr>
          <w:rFonts w:ascii="宋体" w:hAnsi="宋体" w:eastAsia="宋体" w:cs="宋体"/>
          <w:color w:val="auto"/>
          <w:spacing w:val="1"/>
          <w:sz w:val="24"/>
          <w:szCs w:val="24"/>
          <w:highlight w:val="none"/>
        </w:rPr>
        <w:t>）：</w:t>
      </w:r>
    </w:p>
    <w:p w14:paraId="7453A7CE">
      <w:pPr>
        <w:spacing w:before="181" w:line="220"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（1）投标函；</w:t>
      </w:r>
    </w:p>
    <w:p w14:paraId="61A2347F">
      <w:pPr>
        <w:spacing w:before="181" w:line="219" w:lineRule="auto"/>
        <w:ind w:left="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（2）授权委托书或法定代表人身份证明；</w:t>
      </w:r>
    </w:p>
    <w:p w14:paraId="056001F2">
      <w:pPr>
        <w:spacing w:before="181" w:line="219"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（3）联合体协议书；</w:t>
      </w:r>
    </w:p>
    <w:p w14:paraId="156910D4">
      <w:pPr>
        <w:spacing w:before="184" w:line="220"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（4）投标保证金；</w:t>
      </w:r>
    </w:p>
    <w:p w14:paraId="6F9E5EC6">
      <w:pPr>
        <w:spacing w:before="182" w:line="219"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（5）资格审查资料；</w:t>
      </w:r>
    </w:p>
    <w:p w14:paraId="70C7A478">
      <w:pPr>
        <w:spacing w:before="180" w:line="219" w:lineRule="auto"/>
        <w:ind w:left="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（6）投标人须知前附表规定的其他资料；</w:t>
      </w:r>
    </w:p>
    <w:p w14:paraId="7FC21B6C">
      <w:pPr>
        <w:spacing w:before="181" w:line="219"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（7）技术建议书。</w:t>
      </w:r>
    </w:p>
    <w:p w14:paraId="263D1E73">
      <w:pPr>
        <w:spacing w:before="184" w:line="218" w:lineRule="auto"/>
        <w:ind w:left="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第二个信封（报价文件</w:t>
      </w:r>
      <w:r>
        <w:rPr>
          <w:rFonts w:ascii="宋体" w:hAnsi="宋体" w:eastAsia="宋体" w:cs="宋体"/>
          <w:color w:val="auto"/>
          <w:sz w:val="24"/>
          <w:szCs w:val="24"/>
          <w:highlight w:val="none"/>
        </w:rPr>
        <w:t>）：</w:t>
      </w:r>
    </w:p>
    <w:p w14:paraId="0E7C0B98">
      <w:pPr>
        <w:spacing w:before="185" w:line="220" w:lineRule="auto"/>
        <w:ind w:left="49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（1）投标函；</w:t>
      </w:r>
    </w:p>
    <w:p w14:paraId="5006924A">
      <w:pPr>
        <w:spacing w:before="180" w:line="219" w:lineRule="auto"/>
        <w:ind w:left="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（2）监理服务费用清单。</w:t>
      </w:r>
    </w:p>
    <w:p w14:paraId="3A8726FC">
      <w:pPr>
        <w:spacing w:before="183" w:line="359" w:lineRule="auto"/>
        <w:ind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投标人在评标过程中作出的符合法律法规和招标文件规定的澄清确认，构成投标</w:t>
      </w:r>
      <w:r>
        <w:rPr>
          <w:rFonts w:ascii="宋体" w:hAnsi="宋体" w:eastAsia="宋体" w:cs="宋体"/>
          <w:color w:val="auto"/>
          <w:spacing w:val="-2"/>
          <w:sz w:val="24"/>
          <w:szCs w:val="24"/>
          <w:highlight w:val="none"/>
        </w:rPr>
        <w:t>文件的组成部分。</w:t>
      </w:r>
    </w:p>
    <w:p w14:paraId="50103934">
      <w:pPr>
        <w:spacing w:line="359" w:lineRule="auto"/>
        <w:ind w:left="1" w:right="10"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3.1.2 投标人须知前附表规定不接受联合体投标的，或投标人没有组成联合体的，</w:t>
      </w:r>
      <w:r>
        <w:rPr>
          <w:rFonts w:ascii="宋体" w:hAnsi="宋体" w:eastAsia="宋体" w:cs="宋体"/>
          <w:color w:val="auto"/>
          <w:spacing w:val="-3"/>
          <w:sz w:val="24"/>
          <w:szCs w:val="24"/>
          <w:highlight w:val="none"/>
        </w:rPr>
        <w:t>投标文件不包括本章第</w:t>
      </w:r>
      <w:r>
        <w:rPr>
          <w:rFonts w:ascii="宋体" w:hAnsi="宋体" w:eastAsia="宋体" w:cs="宋体"/>
          <w:color w:val="auto"/>
          <w:spacing w:val="-42"/>
          <w:sz w:val="24"/>
          <w:szCs w:val="24"/>
          <w:highlight w:val="none"/>
        </w:rPr>
        <w:t xml:space="preserve"> </w:t>
      </w:r>
      <w:r>
        <w:rPr>
          <w:rFonts w:ascii="宋体" w:hAnsi="宋体" w:eastAsia="宋体" w:cs="宋体"/>
          <w:color w:val="auto"/>
          <w:spacing w:val="-3"/>
          <w:sz w:val="24"/>
          <w:szCs w:val="24"/>
          <w:highlight w:val="none"/>
        </w:rPr>
        <w:t>3.1.1（3）</w:t>
      </w:r>
      <w:r>
        <w:rPr>
          <w:rFonts w:ascii="宋体" w:hAnsi="宋体" w:eastAsia="宋体" w:cs="宋体"/>
          <w:color w:val="auto"/>
          <w:spacing w:val="-65"/>
          <w:sz w:val="24"/>
          <w:szCs w:val="24"/>
          <w:highlight w:val="none"/>
        </w:rPr>
        <w:t xml:space="preserve"> </w:t>
      </w:r>
      <w:r>
        <w:rPr>
          <w:rFonts w:ascii="宋体" w:hAnsi="宋体" w:eastAsia="宋体" w:cs="宋体"/>
          <w:color w:val="auto"/>
          <w:spacing w:val="-3"/>
          <w:sz w:val="24"/>
          <w:szCs w:val="24"/>
          <w:highlight w:val="none"/>
        </w:rPr>
        <w:t>目所指的联合体协议书。</w:t>
      </w:r>
    </w:p>
    <w:p w14:paraId="63696611">
      <w:pPr>
        <w:spacing w:line="359" w:lineRule="auto"/>
        <w:ind w:left="10" w:firstLine="473"/>
        <w:rPr>
          <w:rFonts w:ascii="宋体" w:hAnsi="宋体" w:eastAsia="宋体" w:cs="宋体"/>
          <w:color w:val="auto"/>
          <w:sz w:val="24"/>
          <w:szCs w:val="24"/>
          <w:highlight w:val="none"/>
        </w:rPr>
      </w:pPr>
      <w:r>
        <w:rPr>
          <w:rFonts w:ascii="宋体" w:hAnsi="宋体" w:eastAsia="宋体" w:cs="宋体"/>
          <w:color w:val="auto"/>
          <w:sz w:val="24"/>
          <w:szCs w:val="24"/>
          <w:highlight w:val="none"/>
        </w:rPr>
        <w:t>3.1.3 投标人须知前附表未要求提交投标保证</w:t>
      </w:r>
      <w:r>
        <w:rPr>
          <w:rFonts w:ascii="宋体" w:hAnsi="宋体" w:eastAsia="宋体" w:cs="宋体"/>
          <w:color w:val="auto"/>
          <w:spacing w:val="-1"/>
          <w:sz w:val="24"/>
          <w:szCs w:val="24"/>
          <w:highlight w:val="none"/>
        </w:rPr>
        <w:t>金的，投标文件不包括本章第</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3.1.1</w:t>
      </w:r>
      <w:r>
        <w:rPr>
          <w:rFonts w:ascii="宋体" w:hAnsi="宋体" w:eastAsia="宋体" w:cs="宋体"/>
          <w:color w:val="auto"/>
          <w:sz w:val="24"/>
          <w:szCs w:val="24"/>
          <w:highlight w:val="none"/>
        </w:rPr>
        <w:t xml:space="preserve"> </w:t>
      </w:r>
      <w:r>
        <w:rPr>
          <w:rFonts w:ascii="宋体" w:hAnsi="宋体" w:eastAsia="宋体" w:cs="宋体"/>
          <w:color w:val="auto"/>
          <w:spacing w:val="-6"/>
          <w:sz w:val="24"/>
          <w:szCs w:val="24"/>
          <w:highlight w:val="none"/>
        </w:rPr>
        <w:t>（4）</w:t>
      </w:r>
      <w:r>
        <w:rPr>
          <w:rFonts w:ascii="宋体" w:hAnsi="宋体" w:eastAsia="宋体" w:cs="宋体"/>
          <w:color w:val="auto"/>
          <w:spacing w:val="-64"/>
          <w:sz w:val="24"/>
          <w:szCs w:val="24"/>
          <w:highlight w:val="none"/>
        </w:rPr>
        <w:t xml:space="preserve"> </w:t>
      </w:r>
      <w:r>
        <w:rPr>
          <w:rFonts w:ascii="宋体" w:hAnsi="宋体" w:eastAsia="宋体" w:cs="宋体"/>
          <w:color w:val="auto"/>
          <w:spacing w:val="-6"/>
          <w:sz w:val="24"/>
          <w:szCs w:val="24"/>
          <w:highlight w:val="none"/>
        </w:rPr>
        <w:t>目所指的投标保证金。</w:t>
      </w:r>
    </w:p>
    <w:p w14:paraId="3ACA625B">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3.2</w:t>
      </w:r>
      <w:r>
        <w:rPr>
          <w:rFonts w:ascii="宋体" w:hAnsi="宋体" w:eastAsia="宋体" w:cs="宋体"/>
          <w:color w:val="auto"/>
          <w:spacing w:val="16"/>
          <w:sz w:val="24"/>
          <w:szCs w:val="24"/>
          <w:highlight w:val="none"/>
        </w:rPr>
        <w:t xml:space="preserve"> </w:t>
      </w:r>
      <w:r>
        <w:rPr>
          <w:rFonts w:ascii="宋体" w:hAnsi="宋体" w:eastAsia="宋体" w:cs="宋体"/>
          <w:b/>
          <w:bCs/>
          <w:color w:val="auto"/>
          <w:spacing w:val="-6"/>
          <w:sz w:val="24"/>
          <w:szCs w:val="24"/>
          <w:highlight w:val="none"/>
        </w:rPr>
        <w:t>投标报价</w:t>
      </w:r>
    </w:p>
    <w:p w14:paraId="1FE23764">
      <w:pPr>
        <w:spacing w:before="183" w:line="358" w:lineRule="auto"/>
        <w:ind w:firstLine="483"/>
        <w:jc w:val="both"/>
        <w:rPr>
          <w:rFonts w:ascii="宋体" w:hAnsi="宋体" w:eastAsia="宋体" w:cs="宋体"/>
          <w:color w:val="auto"/>
          <w:spacing w:val="-1"/>
          <w:sz w:val="24"/>
          <w:szCs w:val="24"/>
          <w:highlight w:val="none"/>
        </w:rPr>
      </w:pPr>
      <w:r>
        <w:rPr>
          <w:rFonts w:ascii="宋体" w:hAnsi="宋体" w:eastAsia="宋体" w:cs="宋体"/>
          <w:color w:val="auto"/>
          <w:spacing w:val="-2"/>
          <w:sz w:val="24"/>
          <w:szCs w:val="24"/>
          <w:highlight w:val="none"/>
        </w:rPr>
        <w:t>3.2.1 投标报价应包括国家规定的增值税税金，除投标人须知前附表另有规定外，</w:t>
      </w:r>
      <w:r>
        <w:rPr>
          <w:rFonts w:ascii="宋体" w:hAnsi="宋体" w:eastAsia="宋体" w:cs="宋体"/>
          <w:color w:val="auto"/>
          <w:spacing w:val="4"/>
          <w:sz w:val="24"/>
          <w:szCs w:val="24"/>
          <w:highlight w:val="none"/>
        </w:rPr>
        <w:t>增值税税金按一般计税方法计算。投标人应按第七章“投标文件格式</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”的</w:t>
      </w:r>
      <w:r>
        <w:rPr>
          <w:rFonts w:ascii="宋体" w:hAnsi="宋体" w:eastAsia="宋体" w:cs="宋体"/>
          <w:color w:val="auto"/>
          <w:spacing w:val="3"/>
          <w:sz w:val="24"/>
          <w:szCs w:val="24"/>
          <w:highlight w:val="none"/>
        </w:rPr>
        <w:t>要求在投标</w:t>
      </w:r>
      <w:r>
        <w:rPr>
          <w:rFonts w:ascii="宋体" w:hAnsi="宋体" w:eastAsia="宋体" w:cs="宋体"/>
          <w:color w:val="auto"/>
          <w:spacing w:val="-1"/>
          <w:sz w:val="24"/>
          <w:szCs w:val="24"/>
          <w:highlight w:val="none"/>
        </w:rPr>
        <w:t>函中进行报价并填写监理服务费用清单相应表格。</w:t>
      </w:r>
    </w:p>
    <w:p w14:paraId="7B393F87">
      <w:pPr>
        <w:spacing w:before="78" w:line="359" w:lineRule="auto"/>
        <w:ind w:left="1" w:right="8" w:firstLine="484"/>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3.2.2 投标人应充分了解本项目的总体情况以及</w:t>
      </w:r>
      <w:r>
        <w:rPr>
          <w:rFonts w:ascii="宋体" w:hAnsi="宋体" w:eastAsia="宋体" w:cs="宋体"/>
          <w:color w:val="auto"/>
          <w:spacing w:val="4"/>
          <w:sz w:val="24"/>
          <w:szCs w:val="24"/>
          <w:highlight w:val="none"/>
        </w:rPr>
        <w:t>影响投标报价的其他要素，按照</w:t>
      </w:r>
      <w:r>
        <w:rPr>
          <w:rFonts w:ascii="宋体" w:hAnsi="宋体" w:eastAsia="宋体" w:cs="宋体"/>
          <w:color w:val="auto"/>
          <w:spacing w:val="3"/>
          <w:sz w:val="24"/>
          <w:szCs w:val="24"/>
          <w:highlight w:val="none"/>
        </w:rPr>
        <w:t>招标文件规定的施工监理工作内容和计划工作量，</w:t>
      </w:r>
      <w:r>
        <w:rPr>
          <w:rFonts w:ascii="宋体" w:hAnsi="宋体" w:eastAsia="宋体" w:cs="宋体"/>
          <w:color w:val="auto"/>
          <w:spacing w:val="-50"/>
          <w:sz w:val="24"/>
          <w:szCs w:val="24"/>
          <w:highlight w:val="none"/>
        </w:rPr>
        <w:t xml:space="preserve"> </w:t>
      </w:r>
      <w:r>
        <w:rPr>
          <w:rFonts w:ascii="宋体" w:hAnsi="宋体" w:eastAsia="宋体" w:cs="宋体"/>
          <w:color w:val="auto"/>
          <w:spacing w:val="3"/>
          <w:sz w:val="24"/>
          <w:szCs w:val="24"/>
          <w:highlight w:val="none"/>
        </w:rPr>
        <w:t>自行测算监理服务费用。投标报价</w:t>
      </w:r>
      <w:r>
        <w:rPr>
          <w:rFonts w:ascii="宋体" w:hAnsi="宋体" w:eastAsia="宋体" w:cs="宋体"/>
          <w:color w:val="auto"/>
          <w:spacing w:val="5"/>
          <w:sz w:val="24"/>
          <w:szCs w:val="24"/>
          <w:highlight w:val="none"/>
        </w:rPr>
        <w:t>应涵盖投标人完成施工准备阶段、施工阶段、验收与缺陷责任期阶段监理工</w:t>
      </w:r>
      <w:r>
        <w:rPr>
          <w:rFonts w:ascii="宋体" w:hAnsi="宋体" w:eastAsia="宋体" w:cs="宋体"/>
          <w:color w:val="auto"/>
          <w:spacing w:val="4"/>
          <w:sz w:val="24"/>
          <w:szCs w:val="24"/>
          <w:highlight w:val="none"/>
        </w:rPr>
        <w:t>作所需的</w:t>
      </w:r>
      <w:r>
        <w:rPr>
          <w:rFonts w:ascii="宋体" w:hAnsi="宋体" w:eastAsia="宋体" w:cs="宋体"/>
          <w:color w:val="auto"/>
          <w:spacing w:val="-2"/>
          <w:sz w:val="24"/>
          <w:szCs w:val="24"/>
          <w:highlight w:val="none"/>
        </w:rPr>
        <w:t>全部费用。</w:t>
      </w:r>
    </w:p>
    <w:p w14:paraId="0A402286">
      <w:pPr>
        <w:spacing w:before="2" w:line="358" w:lineRule="auto"/>
        <w:ind w:firstLine="484"/>
        <w:jc w:val="both"/>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投标人应按照“投标文件格式</w:t>
      </w:r>
      <w:r>
        <w:rPr>
          <w:rFonts w:ascii="宋体" w:hAnsi="宋体" w:eastAsia="宋体" w:cs="宋体"/>
          <w:color w:val="auto"/>
          <w:spacing w:val="-88"/>
          <w:sz w:val="24"/>
          <w:szCs w:val="24"/>
          <w:highlight w:val="none"/>
        </w:rPr>
        <w:t xml:space="preserve"> </w:t>
      </w:r>
      <w:r>
        <w:rPr>
          <w:rFonts w:ascii="宋体" w:hAnsi="宋体" w:eastAsia="宋体" w:cs="宋体"/>
          <w:color w:val="auto"/>
          <w:spacing w:val="-3"/>
          <w:sz w:val="24"/>
          <w:szCs w:val="24"/>
          <w:highlight w:val="none"/>
        </w:rPr>
        <w:t>”中“监理服务费用清单</w:t>
      </w:r>
      <w:r>
        <w:rPr>
          <w:rFonts w:ascii="宋体" w:hAnsi="宋体" w:eastAsia="宋体" w:cs="宋体"/>
          <w:color w:val="auto"/>
          <w:spacing w:val="-89"/>
          <w:sz w:val="24"/>
          <w:szCs w:val="24"/>
          <w:highlight w:val="none"/>
        </w:rPr>
        <w:t xml:space="preserve"> </w:t>
      </w:r>
      <w:r>
        <w:rPr>
          <w:rFonts w:ascii="宋体" w:hAnsi="宋体" w:eastAsia="宋体" w:cs="宋体"/>
          <w:color w:val="auto"/>
          <w:spacing w:val="-3"/>
          <w:sz w:val="24"/>
          <w:szCs w:val="24"/>
          <w:highlight w:val="none"/>
        </w:rPr>
        <w:t>”的要</w:t>
      </w:r>
      <w:r>
        <w:rPr>
          <w:rFonts w:ascii="宋体" w:hAnsi="宋体" w:eastAsia="宋体" w:cs="宋体"/>
          <w:color w:val="auto"/>
          <w:spacing w:val="-4"/>
          <w:sz w:val="24"/>
          <w:szCs w:val="24"/>
          <w:highlight w:val="none"/>
        </w:rPr>
        <w:t>求填报监理服务费。</w:t>
      </w:r>
      <w:r>
        <w:rPr>
          <w:rFonts w:ascii="宋体" w:hAnsi="宋体" w:eastAsia="宋体" w:cs="宋体"/>
          <w:color w:val="auto"/>
          <w:spacing w:val="5"/>
          <w:sz w:val="24"/>
          <w:szCs w:val="24"/>
          <w:highlight w:val="none"/>
        </w:rPr>
        <w:t>投标人未填报的部分，在工程实施时委托人将不予支付，并认为该部分费用已包</w:t>
      </w:r>
      <w:r>
        <w:rPr>
          <w:rFonts w:ascii="宋体" w:hAnsi="宋体" w:eastAsia="宋体" w:cs="宋体"/>
          <w:color w:val="auto"/>
          <w:spacing w:val="4"/>
          <w:sz w:val="24"/>
          <w:szCs w:val="24"/>
          <w:highlight w:val="none"/>
        </w:rPr>
        <w:t>含在</w:t>
      </w:r>
      <w:r>
        <w:rPr>
          <w:rFonts w:ascii="宋体" w:hAnsi="宋体" w:eastAsia="宋体" w:cs="宋体"/>
          <w:color w:val="auto"/>
          <w:spacing w:val="-2"/>
          <w:sz w:val="24"/>
          <w:szCs w:val="24"/>
          <w:highlight w:val="none"/>
        </w:rPr>
        <w:t>报价中。</w:t>
      </w:r>
    </w:p>
    <w:p w14:paraId="6F38EBC7">
      <w:pPr>
        <w:spacing w:before="1" w:line="359" w:lineRule="auto"/>
        <w:ind w:left="2" w:right="8"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3.2.3 本项目的报价方式见投标人须知前附表。</w:t>
      </w:r>
      <w:r>
        <w:rPr>
          <w:rFonts w:ascii="宋体" w:hAnsi="宋体" w:eastAsia="宋体" w:cs="宋体"/>
          <w:color w:val="auto"/>
          <w:spacing w:val="4"/>
          <w:sz w:val="24"/>
          <w:szCs w:val="24"/>
          <w:highlight w:val="none"/>
        </w:rPr>
        <w:t>投标人在投标截止时间前修改投标函中的投标报价总额，应同时修改投标文件“监理服务费用清单</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”中的</w:t>
      </w:r>
      <w:r>
        <w:rPr>
          <w:rFonts w:ascii="宋体" w:hAnsi="宋体" w:eastAsia="宋体" w:cs="宋体"/>
          <w:color w:val="auto"/>
          <w:spacing w:val="3"/>
          <w:sz w:val="24"/>
          <w:szCs w:val="24"/>
          <w:highlight w:val="none"/>
        </w:rPr>
        <w:t>相应报价。</w:t>
      </w:r>
      <w:r>
        <w:rPr>
          <w:rFonts w:ascii="宋体" w:hAnsi="宋体" w:eastAsia="宋体" w:cs="宋体"/>
          <w:color w:val="auto"/>
          <w:spacing w:val="2"/>
          <w:sz w:val="24"/>
          <w:szCs w:val="24"/>
          <w:highlight w:val="none"/>
        </w:rPr>
        <w:t>此修改须符合本章第4.3</w:t>
      </w:r>
      <w:r>
        <w:rPr>
          <w:rFonts w:ascii="宋体" w:hAnsi="宋体" w:eastAsia="宋体" w:cs="宋体"/>
          <w:color w:val="auto"/>
          <w:spacing w:val="-50"/>
          <w:sz w:val="24"/>
          <w:szCs w:val="24"/>
          <w:highlight w:val="none"/>
        </w:rPr>
        <w:t xml:space="preserve"> </w:t>
      </w:r>
      <w:r>
        <w:rPr>
          <w:rFonts w:ascii="宋体" w:hAnsi="宋体" w:eastAsia="宋体" w:cs="宋体"/>
          <w:color w:val="auto"/>
          <w:spacing w:val="2"/>
          <w:sz w:val="24"/>
          <w:szCs w:val="24"/>
          <w:highlight w:val="none"/>
        </w:rPr>
        <w:t>款的有关要求。</w:t>
      </w:r>
    </w:p>
    <w:p w14:paraId="1566A121">
      <w:pPr>
        <w:spacing w:line="359" w:lineRule="auto"/>
        <w:ind w:left="4" w:right="66" w:firstLine="48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3.2.4 招标人设有最高投标限价的，投标人的投标报价不得超过最高投标限价，</w:t>
      </w:r>
      <w:r>
        <w:rPr>
          <w:rFonts w:ascii="宋体" w:hAnsi="宋体" w:eastAsia="宋体" w:cs="宋体"/>
          <w:color w:val="auto"/>
          <w:spacing w:val="-1"/>
          <w:sz w:val="24"/>
          <w:szCs w:val="24"/>
          <w:highlight w:val="none"/>
        </w:rPr>
        <w:t>最高投标限价在投标人须知前附表中载明。</w:t>
      </w:r>
    </w:p>
    <w:p w14:paraId="5F608E7B">
      <w:pPr>
        <w:spacing w:before="1" w:line="217"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3.2.5 投标报价的其他要求见投标人须知前附表。</w:t>
      </w:r>
    </w:p>
    <w:p w14:paraId="67AEE76F">
      <w:pPr>
        <w:pStyle w:val="4"/>
        <w:bidi w:val="0"/>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3.3</w:t>
      </w:r>
      <w:r>
        <w:rPr>
          <w:rFonts w:ascii="宋体" w:hAnsi="宋体" w:eastAsia="宋体" w:cs="宋体"/>
          <w:color w:val="auto"/>
          <w:spacing w:val="14"/>
          <w:sz w:val="24"/>
          <w:szCs w:val="24"/>
          <w:highlight w:val="none"/>
        </w:rPr>
        <w:t xml:space="preserve"> </w:t>
      </w:r>
      <w:r>
        <w:rPr>
          <w:rFonts w:ascii="宋体" w:hAnsi="宋体" w:eastAsia="宋体" w:cs="宋体"/>
          <w:b/>
          <w:bCs/>
          <w:color w:val="auto"/>
          <w:spacing w:val="-5"/>
          <w:sz w:val="24"/>
          <w:szCs w:val="24"/>
          <w:highlight w:val="none"/>
        </w:rPr>
        <w:t>投标有效期</w:t>
      </w:r>
    </w:p>
    <w:p w14:paraId="76E2EB50">
      <w:pPr>
        <w:keepNext w:val="0"/>
        <w:keepLines w:val="0"/>
        <w:pageBreakBefore w:val="0"/>
        <w:widowControl/>
        <w:kinsoku/>
        <w:wordWrap w:val="0"/>
        <w:overflowPunct/>
        <w:topLinePunct w:val="0"/>
        <w:autoSpaceDE w:val="0"/>
        <w:autoSpaceDN w:val="0"/>
        <w:bidi w:val="0"/>
        <w:adjustRightInd w:val="0"/>
        <w:snapToGrid w:val="0"/>
        <w:spacing w:before="179" w:line="219" w:lineRule="auto"/>
        <w:ind w:left="486"/>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3.3.1 除投标人须知前附表另有规定外，投标有效期为90</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天。</w:t>
      </w:r>
    </w:p>
    <w:p w14:paraId="4E915D99">
      <w:pPr>
        <w:keepNext w:val="0"/>
        <w:keepLines w:val="0"/>
        <w:pageBreakBefore w:val="0"/>
        <w:widowControl/>
        <w:kinsoku/>
        <w:wordWrap w:val="0"/>
        <w:overflowPunct/>
        <w:topLinePunct w:val="0"/>
        <w:autoSpaceDE w:val="0"/>
        <w:autoSpaceDN w:val="0"/>
        <w:bidi w:val="0"/>
        <w:adjustRightInd w:val="0"/>
        <w:snapToGrid w:val="0"/>
        <w:spacing w:before="184" w:line="358" w:lineRule="auto"/>
        <w:ind w:left="10" w:right="8" w:firstLine="476"/>
        <w:textAlignment w:val="baseline"/>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3.3.2 在投标有效期内，投标人撤销投标文件的</w:t>
      </w:r>
      <w:r>
        <w:rPr>
          <w:rFonts w:ascii="宋体" w:hAnsi="宋体" w:eastAsia="宋体" w:cs="宋体"/>
          <w:color w:val="auto"/>
          <w:spacing w:val="4"/>
          <w:sz w:val="24"/>
          <w:szCs w:val="24"/>
          <w:highlight w:val="none"/>
        </w:rPr>
        <w:t>，应承担招标文件和法律规定的</w:t>
      </w:r>
      <w:r>
        <w:rPr>
          <w:rFonts w:ascii="宋体" w:hAnsi="宋体" w:eastAsia="宋体" w:cs="宋体"/>
          <w:color w:val="auto"/>
          <w:spacing w:val="-6"/>
          <w:sz w:val="24"/>
          <w:szCs w:val="24"/>
          <w:highlight w:val="none"/>
        </w:rPr>
        <w:t>责任。</w:t>
      </w:r>
    </w:p>
    <w:p w14:paraId="2A775E23">
      <w:pPr>
        <w:keepNext w:val="0"/>
        <w:keepLines w:val="0"/>
        <w:pageBreakBefore w:val="0"/>
        <w:widowControl/>
        <w:kinsoku/>
        <w:wordWrap w:val="0"/>
        <w:overflowPunct/>
        <w:topLinePunct w:val="0"/>
        <w:autoSpaceDE w:val="0"/>
        <w:autoSpaceDN w:val="0"/>
        <w:bidi w:val="0"/>
        <w:adjustRightInd w:val="0"/>
        <w:snapToGrid w:val="0"/>
        <w:spacing w:before="2" w:line="359" w:lineRule="auto"/>
        <w:ind w:left="2" w:right="8" w:firstLine="483"/>
        <w:textAlignment w:val="baseline"/>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3.3.3</w:t>
      </w:r>
      <w:r>
        <w:rPr>
          <w:rFonts w:ascii="宋体" w:hAnsi="宋体" w:eastAsia="宋体" w:cs="宋体"/>
          <w:color w:val="auto"/>
          <w:spacing w:val="37"/>
          <w:sz w:val="24"/>
          <w:szCs w:val="24"/>
          <w:highlight w:val="none"/>
        </w:rPr>
        <w:t xml:space="preserve"> </w:t>
      </w:r>
      <w:r>
        <w:rPr>
          <w:rFonts w:ascii="宋体" w:hAnsi="宋体" w:eastAsia="宋体" w:cs="宋体"/>
          <w:color w:val="auto"/>
          <w:spacing w:val="4"/>
          <w:sz w:val="24"/>
          <w:szCs w:val="24"/>
          <w:highlight w:val="none"/>
        </w:rPr>
        <w:t>出现特殊情况需要延长投标有效期的，招标人以书面</w:t>
      </w:r>
      <w:r>
        <w:rPr>
          <w:rFonts w:ascii="宋体" w:hAnsi="宋体" w:eastAsia="宋体" w:cs="宋体"/>
          <w:color w:val="auto"/>
          <w:spacing w:val="3"/>
          <w:sz w:val="24"/>
          <w:szCs w:val="24"/>
          <w:highlight w:val="none"/>
        </w:rPr>
        <w:t>形式通知所有投标人</w:t>
      </w:r>
      <w:r>
        <w:rPr>
          <w:rFonts w:ascii="宋体" w:hAnsi="宋体" w:eastAsia="宋体" w:cs="宋体"/>
          <w:color w:val="auto"/>
          <w:spacing w:val="5"/>
          <w:sz w:val="24"/>
          <w:szCs w:val="24"/>
          <w:highlight w:val="none"/>
        </w:rPr>
        <w:t>延长投标有效期。投标人应予以书面答复，同意延长的，应相应延长其投</w:t>
      </w:r>
      <w:r>
        <w:rPr>
          <w:rFonts w:ascii="宋体" w:hAnsi="宋体" w:eastAsia="宋体" w:cs="宋体"/>
          <w:color w:val="auto"/>
          <w:spacing w:val="4"/>
          <w:sz w:val="24"/>
          <w:szCs w:val="24"/>
          <w:highlight w:val="none"/>
        </w:rPr>
        <w:t>标保证金的</w:t>
      </w:r>
      <w:r>
        <w:rPr>
          <w:rFonts w:ascii="宋体" w:hAnsi="宋体" w:eastAsia="宋体" w:cs="宋体"/>
          <w:color w:val="auto"/>
          <w:spacing w:val="5"/>
          <w:sz w:val="24"/>
          <w:szCs w:val="24"/>
          <w:highlight w:val="none"/>
        </w:rPr>
        <w:t>有效期，但不得要求或被允许修改其投标文件；投标人拒绝延长的，其投</w:t>
      </w:r>
      <w:r>
        <w:rPr>
          <w:rFonts w:ascii="宋体" w:hAnsi="宋体" w:eastAsia="宋体" w:cs="宋体"/>
          <w:color w:val="auto"/>
          <w:spacing w:val="4"/>
          <w:sz w:val="24"/>
          <w:szCs w:val="24"/>
          <w:highlight w:val="none"/>
        </w:rPr>
        <w:t>标失效，但</w:t>
      </w:r>
      <w:r>
        <w:rPr>
          <w:rFonts w:ascii="宋体" w:hAnsi="宋体" w:eastAsia="宋体" w:cs="宋体"/>
          <w:color w:val="auto"/>
          <w:spacing w:val="5"/>
          <w:sz w:val="24"/>
          <w:szCs w:val="24"/>
          <w:highlight w:val="none"/>
        </w:rPr>
        <w:t>投标人有权收回其投标保证金及以现金或支票形式递交的投标保证金的银</w:t>
      </w:r>
      <w:r>
        <w:rPr>
          <w:rFonts w:ascii="宋体" w:hAnsi="宋体" w:eastAsia="宋体" w:cs="宋体"/>
          <w:color w:val="auto"/>
          <w:spacing w:val="4"/>
          <w:sz w:val="24"/>
          <w:szCs w:val="24"/>
          <w:highlight w:val="none"/>
        </w:rPr>
        <w:t>行同期存款</w:t>
      </w:r>
      <w:r>
        <w:rPr>
          <w:rFonts w:ascii="宋体" w:hAnsi="宋体" w:eastAsia="宋体" w:cs="宋体"/>
          <w:color w:val="auto"/>
          <w:spacing w:val="-4"/>
          <w:sz w:val="24"/>
          <w:szCs w:val="24"/>
          <w:highlight w:val="none"/>
        </w:rPr>
        <w:t>利息。</w:t>
      </w:r>
    </w:p>
    <w:p w14:paraId="531B9A5F">
      <w:pPr>
        <w:pStyle w:val="4"/>
        <w:bidi w:val="0"/>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3.4</w:t>
      </w:r>
      <w:r>
        <w:rPr>
          <w:rFonts w:ascii="宋体" w:hAnsi="宋体" w:eastAsia="宋体" w:cs="宋体"/>
          <w:color w:val="auto"/>
          <w:spacing w:val="14"/>
          <w:sz w:val="24"/>
          <w:szCs w:val="24"/>
          <w:highlight w:val="none"/>
        </w:rPr>
        <w:t xml:space="preserve"> </w:t>
      </w:r>
      <w:r>
        <w:rPr>
          <w:rFonts w:ascii="宋体" w:hAnsi="宋体" w:eastAsia="宋体" w:cs="宋体"/>
          <w:b/>
          <w:bCs/>
          <w:color w:val="auto"/>
          <w:spacing w:val="-5"/>
          <w:sz w:val="24"/>
          <w:szCs w:val="24"/>
          <w:highlight w:val="none"/>
        </w:rPr>
        <w:t>投标保证金</w:t>
      </w:r>
    </w:p>
    <w:p w14:paraId="68209D13">
      <w:pPr>
        <w:spacing w:before="182" w:line="359" w:lineRule="auto"/>
        <w:ind w:left="2" w:right="8" w:firstLine="483"/>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3.4.1 投标人在递交投标文件的同时，应按投标</w:t>
      </w:r>
      <w:r>
        <w:rPr>
          <w:rFonts w:ascii="宋体" w:hAnsi="宋体" w:eastAsia="宋体" w:cs="宋体"/>
          <w:color w:val="auto"/>
          <w:spacing w:val="4"/>
          <w:sz w:val="24"/>
          <w:szCs w:val="24"/>
          <w:highlight w:val="none"/>
        </w:rPr>
        <w:t>人须知前附表规定的金额和第七章“投标文件格式</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”规定的投标保证金格式递交投标保证金，并作为其投</w:t>
      </w:r>
      <w:r>
        <w:rPr>
          <w:rFonts w:ascii="宋体" w:hAnsi="宋体" w:eastAsia="宋体" w:cs="宋体"/>
          <w:color w:val="auto"/>
          <w:spacing w:val="3"/>
          <w:sz w:val="24"/>
          <w:szCs w:val="24"/>
          <w:highlight w:val="none"/>
        </w:rPr>
        <w:t>标文件的组</w:t>
      </w:r>
      <w:r>
        <w:rPr>
          <w:rFonts w:ascii="宋体" w:hAnsi="宋体" w:eastAsia="宋体" w:cs="宋体"/>
          <w:color w:val="auto"/>
          <w:spacing w:val="5"/>
          <w:sz w:val="24"/>
          <w:szCs w:val="24"/>
          <w:highlight w:val="none"/>
        </w:rPr>
        <w:t>成部分。联合体投标的，其投标保证金由牵头人递交，并应符合投标人须</w:t>
      </w:r>
      <w:r>
        <w:rPr>
          <w:rFonts w:ascii="宋体" w:hAnsi="宋体" w:eastAsia="宋体" w:cs="宋体"/>
          <w:color w:val="auto"/>
          <w:spacing w:val="4"/>
          <w:sz w:val="24"/>
          <w:szCs w:val="24"/>
          <w:highlight w:val="none"/>
        </w:rPr>
        <w:t>知前附表的</w:t>
      </w:r>
      <w:r>
        <w:rPr>
          <w:rFonts w:ascii="宋体" w:hAnsi="宋体" w:eastAsia="宋体" w:cs="宋体"/>
          <w:color w:val="auto"/>
          <w:spacing w:val="-4"/>
          <w:sz w:val="24"/>
          <w:szCs w:val="24"/>
          <w:highlight w:val="none"/>
        </w:rPr>
        <w:t>规定。</w:t>
      </w:r>
    </w:p>
    <w:p w14:paraId="18ACDBB6">
      <w:pPr>
        <w:spacing w:line="359" w:lineRule="auto"/>
        <w:ind w:left="1" w:right="8" w:firstLine="482"/>
        <w:rPr>
          <w:rFonts w:ascii="宋体" w:hAnsi="宋体" w:eastAsia="宋体" w:cs="宋体"/>
          <w:color w:val="auto"/>
          <w:spacing w:val="-3"/>
          <w:sz w:val="24"/>
          <w:szCs w:val="24"/>
          <w:highlight w:val="none"/>
        </w:rPr>
      </w:pPr>
      <w:r>
        <w:rPr>
          <w:rFonts w:ascii="宋体" w:hAnsi="宋体" w:eastAsia="宋体" w:cs="宋体"/>
          <w:color w:val="auto"/>
          <w:spacing w:val="5"/>
          <w:sz w:val="24"/>
          <w:szCs w:val="24"/>
          <w:highlight w:val="none"/>
        </w:rPr>
        <w:t>投标保证金应采用现金、支票、银行保函或招标人在投标人须知前附表规定的其</w:t>
      </w:r>
      <w:r>
        <w:rPr>
          <w:rFonts w:ascii="宋体" w:hAnsi="宋体" w:eastAsia="宋体" w:cs="宋体"/>
          <w:color w:val="auto"/>
          <w:spacing w:val="-3"/>
          <w:sz w:val="24"/>
          <w:szCs w:val="24"/>
          <w:highlight w:val="none"/>
        </w:rPr>
        <w:t>他形式。</w:t>
      </w:r>
    </w:p>
    <w:p w14:paraId="7AE29AB7">
      <w:pPr>
        <w:spacing w:line="359" w:lineRule="auto"/>
        <w:ind w:left="1" w:right="8" w:firstLine="482"/>
        <w:rPr>
          <w:rFonts w:ascii="宋体" w:hAnsi="宋体" w:eastAsia="宋体" w:cs="宋体"/>
          <w:color w:val="auto"/>
          <w:sz w:val="24"/>
          <w:szCs w:val="24"/>
          <w:highlight w:val="none"/>
        </w:rPr>
      </w:pPr>
      <w:r>
        <w:rPr>
          <w:rFonts w:ascii="宋体" w:hAnsi="宋体" w:eastAsia="宋体" w:cs="宋体"/>
          <w:snapToGrid w:val="0"/>
          <w:color w:val="auto"/>
          <w:kern w:val="0"/>
          <w:sz w:val="24"/>
          <w:szCs w:val="24"/>
          <w:highlight w:val="none"/>
          <w:lang w:val="en-US" w:eastAsia="en-US" w:bidi="ar-SA"/>
        </w:rPr>
        <w:t>（1）</w:t>
      </w:r>
      <w:r>
        <w:rPr>
          <w:rFonts w:ascii="宋体" w:hAnsi="宋体" w:eastAsia="宋体" w:cs="宋体"/>
          <w:color w:val="auto"/>
          <w:spacing w:val="1"/>
          <w:sz w:val="24"/>
          <w:szCs w:val="24"/>
          <w:highlight w:val="none"/>
        </w:rPr>
        <w:t>若采用现金或支票，投标人应在递交投标文件截止时间之前，将投标保证金</w:t>
      </w:r>
      <w:r>
        <w:rPr>
          <w:rFonts w:ascii="宋体" w:hAnsi="宋体" w:eastAsia="宋体" w:cs="宋体"/>
          <w:color w:val="auto"/>
          <w:spacing w:val="4"/>
          <w:sz w:val="24"/>
          <w:szCs w:val="24"/>
          <w:highlight w:val="none"/>
        </w:rPr>
        <w:t>由投标人的基本账户转入招标人指定账户，否则视为投标保证金无效。招标人指定的</w:t>
      </w:r>
      <w:r>
        <w:rPr>
          <w:rFonts w:ascii="宋体" w:hAnsi="宋体" w:eastAsia="宋体" w:cs="宋体"/>
          <w:color w:val="auto"/>
          <w:spacing w:val="-1"/>
          <w:sz w:val="24"/>
          <w:szCs w:val="24"/>
          <w:highlight w:val="none"/>
        </w:rPr>
        <w:t>开户银行及账号见投标人须知前附表。</w:t>
      </w:r>
    </w:p>
    <w:p w14:paraId="450181F1">
      <w:pPr>
        <w:spacing w:line="359" w:lineRule="auto"/>
        <w:ind w:left="10" w:right="8" w:firstLine="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（2）若采用银行保函，则应由符合投标人须知前附表规定级别的银行开具，并采</w:t>
      </w:r>
      <w:r>
        <w:rPr>
          <w:rFonts w:ascii="宋体" w:hAnsi="宋体" w:eastAsia="宋体" w:cs="宋体"/>
          <w:color w:val="auto"/>
          <w:spacing w:val="-1"/>
          <w:sz w:val="24"/>
          <w:szCs w:val="24"/>
          <w:highlight w:val="none"/>
        </w:rPr>
        <w:t>用招标文件提供的格式。银行保函扫描件装订在投标文件内。</w:t>
      </w:r>
    </w:p>
    <w:p w14:paraId="7CD4443B">
      <w:pPr>
        <w:spacing w:before="2" w:line="358" w:lineRule="auto"/>
        <w:ind w:left="9" w:right="8"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无论采取何种形式的投标保证金，投标保证金有效期均应与投标有效期一致。招</w:t>
      </w:r>
      <w:r>
        <w:rPr>
          <w:rFonts w:ascii="宋体" w:hAnsi="宋体" w:eastAsia="宋体" w:cs="宋体"/>
          <w:color w:val="auto"/>
          <w:spacing w:val="4"/>
          <w:sz w:val="24"/>
          <w:szCs w:val="24"/>
          <w:highlight w:val="none"/>
        </w:rPr>
        <w:t>标人如果按本章第</w:t>
      </w:r>
      <w:r>
        <w:rPr>
          <w:rFonts w:ascii="宋体" w:hAnsi="宋体" w:eastAsia="宋体" w:cs="宋体"/>
          <w:color w:val="auto"/>
          <w:spacing w:val="-39"/>
          <w:sz w:val="24"/>
          <w:szCs w:val="24"/>
          <w:highlight w:val="none"/>
        </w:rPr>
        <w:t xml:space="preserve"> </w:t>
      </w:r>
      <w:r>
        <w:rPr>
          <w:rFonts w:ascii="宋体" w:hAnsi="宋体" w:eastAsia="宋体" w:cs="宋体"/>
          <w:color w:val="auto"/>
          <w:spacing w:val="4"/>
          <w:sz w:val="24"/>
          <w:szCs w:val="24"/>
          <w:highlight w:val="none"/>
        </w:rPr>
        <w:t>3.3.3</w:t>
      </w:r>
      <w:r>
        <w:rPr>
          <w:rFonts w:ascii="宋体" w:hAnsi="宋体" w:eastAsia="宋体" w:cs="宋体"/>
          <w:color w:val="auto"/>
          <w:spacing w:val="-42"/>
          <w:sz w:val="24"/>
          <w:szCs w:val="24"/>
          <w:highlight w:val="none"/>
        </w:rPr>
        <w:t xml:space="preserve"> </w:t>
      </w:r>
      <w:r>
        <w:rPr>
          <w:rFonts w:ascii="宋体" w:hAnsi="宋体" w:eastAsia="宋体" w:cs="宋体"/>
          <w:color w:val="auto"/>
          <w:spacing w:val="4"/>
          <w:sz w:val="24"/>
          <w:szCs w:val="24"/>
          <w:highlight w:val="none"/>
        </w:rPr>
        <w:t>项的规定延长了投标有效</w:t>
      </w:r>
      <w:r>
        <w:rPr>
          <w:rFonts w:ascii="宋体" w:hAnsi="宋体" w:eastAsia="宋体" w:cs="宋体"/>
          <w:color w:val="auto"/>
          <w:spacing w:val="3"/>
          <w:sz w:val="24"/>
          <w:szCs w:val="24"/>
          <w:highlight w:val="none"/>
        </w:rPr>
        <w:t>期，则投标保证金的有效期也相应</w:t>
      </w:r>
      <w:r>
        <w:rPr>
          <w:rFonts w:ascii="宋体" w:hAnsi="宋体" w:eastAsia="宋体" w:cs="宋体"/>
          <w:color w:val="auto"/>
          <w:spacing w:val="-4"/>
          <w:sz w:val="24"/>
          <w:szCs w:val="24"/>
          <w:highlight w:val="none"/>
        </w:rPr>
        <w:t>延长。</w:t>
      </w:r>
    </w:p>
    <w:p w14:paraId="6B2F8946">
      <w:pPr>
        <w:spacing w:line="359" w:lineRule="auto"/>
        <w:ind w:left="11" w:right="8" w:firstLine="48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3.4.2 投标人不按本章第</w:t>
      </w:r>
      <w:r>
        <w:rPr>
          <w:rFonts w:ascii="宋体" w:hAnsi="宋体" w:eastAsia="宋体" w:cs="宋体"/>
          <w:color w:val="auto"/>
          <w:spacing w:val="-24"/>
          <w:sz w:val="24"/>
          <w:szCs w:val="24"/>
          <w:highlight w:val="none"/>
        </w:rPr>
        <w:t xml:space="preserve"> </w:t>
      </w:r>
      <w:r>
        <w:rPr>
          <w:rFonts w:ascii="宋体" w:hAnsi="宋体" w:eastAsia="宋体" w:cs="宋体"/>
          <w:color w:val="auto"/>
          <w:spacing w:val="3"/>
          <w:sz w:val="24"/>
          <w:szCs w:val="24"/>
          <w:highlight w:val="none"/>
        </w:rPr>
        <w:t>3.4.1</w:t>
      </w:r>
      <w:r>
        <w:rPr>
          <w:rFonts w:ascii="宋体" w:hAnsi="宋体" w:eastAsia="宋体" w:cs="宋体"/>
          <w:color w:val="auto"/>
          <w:spacing w:val="-40"/>
          <w:sz w:val="24"/>
          <w:szCs w:val="24"/>
          <w:highlight w:val="none"/>
        </w:rPr>
        <w:t xml:space="preserve"> </w:t>
      </w:r>
      <w:r>
        <w:rPr>
          <w:rFonts w:ascii="宋体" w:hAnsi="宋体" w:eastAsia="宋体" w:cs="宋体"/>
          <w:color w:val="auto"/>
          <w:spacing w:val="3"/>
          <w:sz w:val="24"/>
          <w:szCs w:val="24"/>
          <w:highlight w:val="none"/>
        </w:rPr>
        <w:t>项要求提交投标保证金的，评标委员会将否决其</w:t>
      </w:r>
      <w:r>
        <w:rPr>
          <w:rFonts w:ascii="宋体" w:hAnsi="宋体" w:eastAsia="宋体" w:cs="宋体"/>
          <w:color w:val="auto"/>
          <w:spacing w:val="-5"/>
          <w:sz w:val="24"/>
          <w:szCs w:val="24"/>
          <w:highlight w:val="none"/>
        </w:rPr>
        <w:t>投标。</w:t>
      </w:r>
    </w:p>
    <w:p w14:paraId="29C61953">
      <w:pPr>
        <w:spacing w:before="3" w:line="359" w:lineRule="auto"/>
        <w:ind w:left="9"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3.4.3 根据《广东省实施&lt;中华人民共和国招标投标法&gt;办</w:t>
      </w:r>
      <w:r>
        <w:rPr>
          <w:rFonts w:ascii="宋体" w:hAnsi="宋体" w:eastAsia="宋体" w:cs="宋体"/>
          <w:color w:val="auto"/>
          <w:spacing w:val="4"/>
          <w:sz w:val="24"/>
          <w:szCs w:val="24"/>
          <w:highlight w:val="none"/>
        </w:rPr>
        <w:t>法》第二十五条规定，</w:t>
      </w:r>
      <w:r>
        <w:rPr>
          <w:rFonts w:ascii="宋体" w:hAnsi="宋体" w:eastAsia="宋体" w:cs="宋体"/>
          <w:color w:val="auto"/>
          <w:spacing w:val="5"/>
          <w:sz w:val="24"/>
          <w:szCs w:val="24"/>
          <w:highlight w:val="none"/>
        </w:rPr>
        <w:t>招标人应当在中标通知书发出之日起五日内将投标保证金退回中标候选人</w:t>
      </w:r>
      <w:r>
        <w:rPr>
          <w:rFonts w:ascii="宋体" w:hAnsi="宋体" w:eastAsia="宋体" w:cs="宋体"/>
          <w:color w:val="auto"/>
          <w:spacing w:val="4"/>
          <w:sz w:val="24"/>
          <w:szCs w:val="24"/>
          <w:highlight w:val="none"/>
        </w:rPr>
        <w:t>以外的投标</w:t>
      </w:r>
      <w:r>
        <w:rPr>
          <w:rFonts w:ascii="宋体" w:hAnsi="宋体" w:eastAsia="宋体" w:cs="宋体"/>
          <w:color w:val="auto"/>
          <w:spacing w:val="-1"/>
          <w:sz w:val="24"/>
          <w:szCs w:val="24"/>
          <w:highlight w:val="none"/>
        </w:rPr>
        <w:t>人，在书面合同订立之日起五日内将投标保证金退回中</w:t>
      </w:r>
      <w:r>
        <w:rPr>
          <w:rFonts w:ascii="宋体" w:hAnsi="宋体" w:eastAsia="宋体" w:cs="宋体"/>
          <w:color w:val="auto"/>
          <w:spacing w:val="-2"/>
          <w:sz w:val="24"/>
          <w:szCs w:val="24"/>
          <w:highlight w:val="none"/>
        </w:rPr>
        <w:t>标人和其他中标候选人。法律、</w:t>
      </w:r>
      <w:r>
        <w:rPr>
          <w:rFonts w:ascii="宋体" w:hAnsi="宋体" w:eastAsia="宋体" w:cs="宋体"/>
          <w:color w:val="auto"/>
          <w:spacing w:val="5"/>
          <w:sz w:val="24"/>
          <w:szCs w:val="24"/>
          <w:highlight w:val="none"/>
        </w:rPr>
        <w:t>行政法规规定不予退还或者可以不退还投标保证金的，从其规定。投标保</w:t>
      </w:r>
      <w:r>
        <w:rPr>
          <w:rFonts w:ascii="宋体" w:hAnsi="宋体" w:eastAsia="宋体" w:cs="宋体"/>
          <w:color w:val="auto"/>
          <w:spacing w:val="4"/>
          <w:sz w:val="24"/>
          <w:szCs w:val="24"/>
          <w:highlight w:val="none"/>
        </w:rPr>
        <w:t>证金以现金</w:t>
      </w:r>
      <w:r>
        <w:rPr>
          <w:rFonts w:ascii="宋体" w:hAnsi="宋体" w:eastAsia="宋体" w:cs="宋体"/>
          <w:color w:val="auto"/>
          <w:spacing w:val="5"/>
          <w:sz w:val="24"/>
          <w:szCs w:val="24"/>
          <w:highlight w:val="none"/>
        </w:rPr>
        <w:t>或支票形式递交的，招标人应同时退还投标保证金的银行同期活期存款利</w:t>
      </w:r>
      <w:r>
        <w:rPr>
          <w:rFonts w:ascii="宋体" w:hAnsi="宋体" w:eastAsia="宋体" w:cs="宋体"/>
          <w:color w:val="auto"/>
          <w:spacing w:val="4"/>
          <w:sz w:val="24"/>
          <w:szCs w:val="24"/>
          <w:highlight w:val="none"/>
        </w:rPr>
        <w:t>息，且退还</w:t>
      </w:r>
      <w:r>
        <w:rPr>
          <w:rFonts w:ascii="宋体" w:hAnsi="宋体" w:eastAsia="宋体" w:cs="宋体"/>
          <w:color w:val="auto"/>
          <w:spacing w:val="-2"/>
          <w:sz w:val="24"/>
          <w:szCs w:val="24"/>
          <w:highlight w:val="none"/>
        </w:rPr>
        <w:t>至投标人的基本账户。</w:t>
      </w:r>
    </w:p>
    <w:p w14:paraId="120DBDF8">
      <w:pPr>
        <w:spacing w:line="218" w:lineRule="auto"/>
        <w:ind w:left="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利息计算原则见投标人须知前附表。</w:t>
      </w:r>
    </w:p>
    <w:p w14:paraId="5670A706">
      <w:pPr>
        <w:spacing w:before="182"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3.4.4 有下列情形之一的，投标保证金将不予退还：</w:t>
      </w:r>
    </w:p>
    <w:p w14:paraId="67500EC6">
      <w:pPr>
        <w:spacing w:before="181" w:line="219" w:lineRule="auto"/>
        <w:ind w:left="4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（1）投标人在投标有效期内撤销投标文件；</w:t>
      </w:r>
    </w:p>
    <w:p w14:paraId="74608D69">
      <w:pPr>
        <w:spacing w:before="183" w:line="359" w:lineRule="auto"/>
        <w:ind w:left="19" w:right="8" w:firstLine="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（2）中标人在收到中标通知书后，无正当理由不与招标人订立合同，在签订合同</w:t>
      </w:r>
      <w:r>
        <w:rPr>
          <w:rFonts w:ascii="宋体" w:hAnsi="宋体" w:eastAsia="宋体" w:cs="宋体"/>
          <w:color w:val="auto"/>
          <w:spacing w:val="-1"/>
          <w:sz w:val="24"/>
          <w:szCs w:val="24"/>
          <w:highlight w:val="none"/>
        </w:rPr>
        <w:t>时向招标人提出附加条件，或不按照招标文件要求提交履约保证金；</w:t>
      </w:r>
    </w:p>
    <w:p w14:paraId="4DDDF575">
      <w:pPr>
        <w:spacing w:before="1" w:line="218"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（3）发生投标人须知前附表规定的其他可以不予退还投标保证金的情形。</w:t>
      </w:r>
    </w:p>
    <w:p w14:paraId="534E595D">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3.5</w:t>
      </w:r>
      <w:r>
        <w:rPr>
          <w:rFonts w:ascii="宋体" w:hAnsi="宋体" w:eastAsia="宋体" w:cs="宋体"/>
          <w:color w:val="auto"/>
          <w:spacing w:val="25"/>
          <w:sz w:val="24"/>
          <w:szCs w:val="24"/>
          <w:highlight w:val="none"/>
        </w:rPr>
        <w:t xml:space="preserve"> </w:t>
      </w:r>
      <w:r>
        <w:rPr>
          <w:rFonts w:ascii="宋体" w:hAnsi="宋体" w:eastAsia="宋体" w:cs="宋体"/>
          <w:b/>
          <w:bCs/>
          <w:color w:val="auto"/>
          <w:spacing w:val="-6"/>
          <w:sz w:val="24"/>
          <w:szCs w:val="24"/>
          <w:highlight w:val="none"/>
        </w:rPr>
        <w:t>资格审查资料</w:t>
      </w:r>
    </w:p>
    <w:p w14:paraId="5CC04ED3">
      <w:pPr>
        <w:spacing w:before="180" w:line="360" w:lineRule="auto"/>
        <w:ind w:left="30" w:right="8" w:firstLine="47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除投标人须知前附表另有规定外，投标人应按下列规定提供资</w:t>
      </w:r>
      <w:r>
        <w:rPr>
          <w:rFonts w:ascii="宋体" w:hAnsi="宋体" w:eastAsia="宋体" w:cs="宋体"/>
          <w:color w:val="auto"/>
          <w:spacing w:val="4"/>
          <w:sz w:val="24"/>
          <w:szCs w:val="24"/>
          <w:highlight w:val="none"/>
        </w:rPr>
        <w:t>格审查资料，以证</w:t>
      </w:r>
      <w:r>
        <w:rPr>
          <w:rFonts w:ascii="宋体" w:hAnsi="宋体" w:eastAsia="宋体" w:cs="宋体"/>
          <w:color w:val="auto"/>
          <w:spacing w:val="-3"/>
          <w:sz w:val="24"/>
          <w:szCs w:val="24"/>
          <w:highlight w:val="none"/>
        </w:rPr>
        <w:t>明其满足本章第</w:t>
      </w:r>
      <w:r>
        <w:rPr>
          <w:rFonts w:ascii="宋体" w:hAnsi="宋体" w:eastAsia="宋体" w:cs="宋体"/>
          <w:color w:val="auto"/>
          <w:spacing w:val="-26"/>
          <w:sz w:val="24"/>
          <w:szCs w:val="24"/>
          <w:highlight w:val="none"/>
        </w:rPr>
        <w:t xml:space="preserve"> </w:t>
      </w:r>
      <w:r>
        <w:rPr>
          <w:rFonts w:ascii="宋体" w:hAnsi="宋体" w:eastAsia="宋体" w:cs="宋体"/>
          <w:color w:val="auto"/>
          <w:spacing w:val="-3"/>
          <w:sz w:val="24"/>
          <w:szCs w:val="24"/>
          <w:highlight w:val="none"/>
        </w:rPr>
        <w:t>1.4</w:t>
      </w:r>
      <w:r>
        <w:rPr>
          <w:rFonts w:ascii="宋体" w:hAnsi="宋体" w:eastAsia="宋体" w:cs="宋体"/>
          <w:color w:val="auto"/>
          <w:spacing w:val="-49"/>
          <w:sz w:val="24"/>
          <w:szCs w:val="24"/>
          <w:highlight w:val="none"/>
        </w:rPr>
        <w:t xml:space="preserve"> </w:t>
      </w:r>
      <w:r>
        <w:rPr>
          <w:rFonts w:ascii="宋体" w:hAnsi="宋体" w:eastAsia="宋体" w:cs="宋体"/>
          <w:color w:val="auto"/>
          <w:spacing w:val="-3"/>
          <w:sz w:val="24"/>
          <w:szCs w:val="24"/>
          <w:highlight w:val="none"/>
        </w:rPr>
        <w:t>款规定的资质、业绩、信誉等要求。</w:t>
      </w:r>
    </w:p>
    <w:p w14:paraId="1C09F3FC">
      <w:pPr>
        <w:spacing w:before="1" w:line="413" w:lineRule="auto"/>
        <w:ind w:left="8" w:right="8" w:firstLine="484"/>
        <w:jc w:val="both"/>
        <w:rPr>
          <w:rFonts w:ascii="宋体" w:hAnsi="宋体" w:eastAsia="宋体" w:cs="宋体"/>
          <w:color w:val="auto"/>
          <w:spacing w:val="-1"/>
          <w:sz w:val="24"/>
          <w:szCs w:val="24"/>
          <w:highlight w:val="none"/>
        </w:rPr>
      </w:pPr>
      <w:r>
        <w:rPr>
          <w:rFonts w:ascii="宋体" w:hAnsi="宋体" w:eastAsia="宋体" w:cs="宋体"/>
          <w:color w:val="auto"/>
          <w:spacing w:val="4"/>
          <w:sz w:val="24"/>
          <w:szCs w:val="24"/>
          <w:highlight w:val="none"/>
        </w:rPr>
        <w:t>3.5.1 “投标人基本情况表</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”应附企业法人营</w:t>
      </w:r>
      <w:r>
        <w:rPr>
          <w:rFonts w:ascii="宋体" w:hAnsi="宋体" w:eastAsia="宋体" w:cs="宋体"/>
          <w:color w:val="auto"/>
          <w:spacing w:val="3"/>
          <w:sz w:val="24"/>
          <w:szCs w:val="24"/>
          <w:highlight w:val="none"/>
        </w:rPr>
        <w:t>业执照副本、监理资质证书副本、</w:t>
      </w:r>
      <w:r>
        <w:rPr>
          <w:rFonts w:ascii="宋体" w:hAnsi="宋体" w:eastAsia="宋体" w:cs="宋体"/>
          <w:color w:val="auto"/>
          <w:spacing w:val="5"/>
          <w:sz w:val="24"/>
          <w:szCs w:val="24"/>
          <w:highlight w:val="none"/>
        </w:rPr>
        <w:t>基本账户开户许可证（如企业所在地已取消企业银行账户许可而无法提供开</w:t>
      </w:r>
      <w:r>
        <w:rPr>
          <w:rFonts w:ascii="宋体" w:hAnsi="宋体" w:eastAsia="宋体" w:cs="宋体"/>
          <w:color w:val="auto"/>
          <w:spacing w:val="4"/>
          <w:sz w:val="24"/>
          <w:szCs w:val="24"/>
          <w:highlight w:val="none"/>
        </w:rPr>
        <w:t>户许可证的，则需附上开户银行出具的“基本存款账户信息</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”或“人民银行账户管理</w:t>
      </w:r>
      <w:r>
        <w:rPr>
          <w:rFonts w:ascii="宋体" w:hAnsi="宋体" w:eastAsia="宋体" w:cs="宋体"/>
          <w:color w:val="auto"/>
          <w:spacing w:val="3"/>
          <w:sz w:val="24"/>
          <w:szCs w:val="24"/>
          <w:highlight w:val="none"/>
        </w:rPr>
        <w:t>系统查询</w:t>
      </w:r>
      <w:bookmarkStart w:id="33" w:name="bookmark111"/>
      <w:bookmarkEnd w:id="33"/>
      <w:r>
        <w:rPr>
          <w:rFonts w:ascii="宋体" w:hAnsi="宋体" w:eastAsia="宋体" w:cs="宋体"/>
          <w:color w:val="auto"/>
          <w:spacing w:val="-2"/>
          <w:sz w:val="24"/>
          <w:szCs w:val="24"/>
          <w:highlight w:val="none"/>
        </w:rPr>
        <w:t>的基本账户信息截图</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”）的扫描件</w:t>
      </w:r>
      <w:r>
        <w:rPr>
          <w:rFonts w:ascii="宋体" w:hAnsi="宋体" w:eastAsia="宋体" w:cs="宋体"/>
          <w:color w:val="auto"/>
          <w:spacing w:val="-28"/>
          <w:position w:val="12"/>
          <w:sz w:val="12"/>
          <w:szCs w:val="12"/>
          <w:highlight w:val="none"/>
        </w:rPr>
        <w:t xml:space="preserve"> </w:t>
      </w:r>
      <w:r>
        <w:rPr>
          <w:rFonts w:ascii="宋体" w:hAnsi="宋体" w:eastAsia="宋体" w:cs="宋体"/>
          <w:color w:val="auto"/>
          <w:spacing w:val="-2"/>
          <w:sz w:val="24"/>
          <w:szCs w:val="24"/>
          <w:highlight w:val="none"/>
        </w:rPr>
        <w:t>,</w:t>
      </w:r>
      <w:r>
        <w:rPr>
          <w:rFonts w:ascii="宋体" w:hAnsi="宋体" w:eastAsia="宋体" w:cs="宋体"/>
          <w:color w:val="auto"/>
          <w:spacing w:val="68"/>
          <w:sz w:val="24"/>
          <w:szCs w:val="24"/>
          <w:highlight w:val="none"/>
        </w:rPr>
        <w:t xml:space="preserve"> </w:t>
      </w:r>
      <w:r>
        <w:rPr>
          <w:rFonts w:ascii="宋体" w:hAnsi="宋体" w:eastAsia="宋体" w:cs="宋体"/>
          <w:color w:val="auto"/>
          <w:spacing w:val="-2"/>
          <w:sz w:val="24"/>
          <w:szCs w:val="24"/>
          <w:highlight w:val="none"/>
        </w:rPr>
        <w:t>投标人在交通运输部“全国公路建设市场监督管</w:t>
      </w:r>
      <w:bookmarkStart w:id="34" w:name="bookmark112"/>
      <w:bookmarkEnd w:id="34"/>
      <w:r>
        <w:rPr>
          <w:rFonts w:ascii="宋体" w:hAnsi="宋体" w:eastAsia="宋体" w:cs="宋体"/>
          <w:color w:val="auto"/>
          <w:spacing w:val="-3"/>
          <w:sz w:val="24"/>
          <w:szCs w:val="24"/>
          <w:highlight w:val="none"/>
        </w:rPr>
        <w:t>理系统</w:t>
      </w:r>
      <w:r>
        <w:rPr>
          <w:rFonts w:ascii="宋体" w:hAnsi="宋体" w:eastAsia="宋体" w:cs="宋体"/>
          <w:color w:val="auto"/>
          <w:spacing w:val="-72"/>
          <w:sz w:val="24"/>
          <w:szCs w:val="24"/>
          <w:highlight w:val="none"/>
        </w:rPr>
        <w:t xml:space="preserve"> </w:t>
      </w:r>
      <w:r>
        <w:rPr>
          <w:rFonts w:ascii="宋体" w:hAnsi="宋体" w:eastAsia="宋体" w:cs="宋体"/>
          <w:color w:val="auto"/>
          <w:spacing w:val="-3"/>
          <w:sz w:val="24"/>
          <w:szCs w:val="24"/>
          <w:highlight w:val="none"/>
        </w:rPr>
        <w:t>”公路工程施工监理资质企业名录中的网页截图扫描件</w:t>
      </w:r>
      <w:r>
        <w:rPr>
          <w:rFonts w:ascii="宋体" w:hAnsi="宋体" w:eastAsia="宋体" w:cs="宋体"/>
          <w:color w:val="auto"/>
          <w:spacing w:val="-28"/>
          <w:position w:val="12"/>
          <w:sz w:val="12"/>
          <w:szCs w:val="12"/>
          <w:highlight w:val="none"/>
        </w:rPr>
        <w:t xml:space="preserve"> </w:t>
      </w:r>
      <w:r>
        <w:rPr>
          <w:rFonts w:ascii="宋体" w:hAnsi="宋体" w:eastAsia="宋体" w:cs="宋体"/>
          <w:color w:val="auto"/>
          <w:spacing w:val="-3"/>
          <w:sz w:val="24"/>
          <w:szCs w:val="24"/>
          <w:highlight w:val="none"/>
        </w:rPr>
        <w:t>,</w:t>
      </w:r>
      <w:r>
        <w:rPr>
          <w:rFonts w:ascii="宋体" w:hAnsi="宋体" w:eastAsia="宋体" w:cs="宋体"/>
          <w:color w:val="auto"/>
          <w:spacing w:val="92"/>
          <w:sz w:val="24"/>
          <w:szCs w:val="24"/>
          <w:highlight w:val="none"/>
        </w:rPr>
        <w:t xml:space="preserve"> </w:t>
      </w:r>
      <w:r>
        <w:rPr>
          <w:rFonts w:ascii="宋体" w:hAnsi="宋体" w:eastAsia="宋体" w:cs="宋体"/>
          <w:color w:val="auto"/>
          <w:spacing w:val="-3"/>
          <w:sz w:val="24"/>
          <w:szCs w:val="24"/>
          <w:highlight w:val="none"/>
        </w:rPr>
        <w:t>以及投标人在国家企</w:t>
      </w:r>
      <w:r>
        <w:rPr>
          <w:rFonts w:ascii="宋体" w:hAnsi="宋体" w:eastAsia="宋体" w:cs="宋体"/>
          <w:color w:val="auto"/>
          <w:sz w:val="24"/>
          <w:szCs w:val="24"/>
          <w:highlight w:val="none"/>
        </w:rPr>
        <w:t>业信用信息公示系统中基础信息（体现股东及出资详</w:t>
      </w:r>
      <w:r>
        <w:rPr>
          <w:rFonts w:ascii="宋体" w:hAnsi="宋体" w:eastAsia="宋体" w:cs="宋体"/>
          <w:color w:val="auto"/>
          <w:spacing w:val="-1"/>
          <w:sz w:val="24"/>
          <w:szCs w:val="24"/>
          <w:highlight w:val="none"/>
        </w:rPr>
        <w:t>细信息）的网页截图。</w:t>
      </w:r>
    </w:p>
    <w:p w14:paraId="07577C0A">
      <w:pPr>
        <w:spacing w:before="1" w:line="413" w:lineRule="auto"/>
        <w:ind w:left="8" w:right="8" w:firstLine="484"/>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企业法人营业执照副本、监理资质证书副本、基本账户开户许可证（如企业所在地已取消企业银行账户许可而无法提供开户许可证的，则需附上开户银行出</w:t>
      </w:r>
      <w:r>
        <w:rPr>
          <w:rFonts w:ascii="宋体" w:hAnsi="宋体" w:eastAsia="宋体" w:cs="宋体"/>
          <w:color w:val="auto"/>
          <w:spacing w:val="4"/>
          <w:sz w:val="24"/>
          <w:szCs w:val="24"/>
          <w:highlight w:val="none"/>
        </w:rPr>
        <w:t>具的“基</w:t>
      </w:r>
      <w:r>
        <w:rPr>
          <w:rFonts w:ascii="宋体" w:hAnsi="宋体" w:eastAsia="宋体" w:cs="宋体"/>
          <w:color w:val="auto"/>
          <w:spacing w:val="3"/>
          <w:sz w:val="24"/>
          <w:szCs w:val="24"/>
          <w:highlight w:val="none"/>
        </w:rPr>
        <w:t>本存款账户信息</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”或“人民银行账户管理系统查询的基本账户信息</w:t>
      </w:r>
      <w:r>
        <w:rPr>
          <w:rFonts w:ascii="宋体" w:hAnsi="宋体" w:eastAsia="宋体" w:cs="宋体"/>
          <w:color w:val="auto"/>
          <w:spacing w:val="2"/>
          <w:sz w:val="24"/>
          <w:szCs w:val="24"/>
          <w:highlight w:val="none"/>
        </w:rPr>
        <w:t>截图</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”）的扫描件</w:t>
      </w:r>
      <w:r>
        <w:rPr>
          <w:rFonts w:ascii="宋体" w:hAnsi="宋体" w:eastAsia="宋体" w:cs="宋体"/>
          <w:color w:val="auto"/>
          <w:spacing w:val="4"/>
          <w:sz w:val="24"/>
          <w:szCs w:val="24"/>
          <w:highlight w:val="none"/>
        </w:rPr>
        <w:t>应提供全本（证书封面、封底、空白页除外</w:t>
      </w:r>
      <w:r>
        <w:rPr>
          <w:rFonts w:ascii="宋体" w:hAnsi="宋体" w:eastAsia="宋体" w:cs="宋体"/>
          <w:color w:val="auto"/>
          <w:spacing w:val="20"/>
          <w:sz w:val="24"/>
          <w:szCs w:val="24"/>
          <w:highlight w:val="none"/>
        </w:rPr>
        <w:t>），</w:t>
      </w:r>
      <w:r>
        <w:rPr>
          <w:rFonts w:ascii="宋体" w:hAnsi="宋体" w:eastAsia="宋体" w:cs="宋体"/>
          <w:color w:val="auto"/>
          <w:spacing w:val="4"/>
          <w:sz w:val="24"/>
          <w:szCs w:val="24"/>
          <w:highlight w:val="none"/>
        </w:rPr>
        <w:t>应包括投标人名称、投标人其他相关</w:t>
      </w:r>
      <w:r>
        <w:rPr>
          <w:rFonts w:ascii="宋体" w:hAnsi="宋体" w:eastAsia="宋体" w:cs="宋体"/>
          <w:color w:val="auto"/>
          <w:spacing w:val="-1"/>
          <w:sz w:val="24"/>
          <w:szCs w:val="24"/>
          <w:highlight w:val="none"/>
        </w:rPr>
        <w:t>信息、颁发机构名称、投标人信息变更情况等关键页在内。</w:t>
      </w:r>
    </w:p>
    <w:p w14:paraId="5B179C16">
      <w:pPr>
        <w:spacing w:before="1" w:line="364" w:lineRule="auto"/>
        <w:ind w:left="13" w:right="163" w:firstLine="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3.5.2(A)“近年完成的类似项目</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”应是</w:t>
      </w:r>
      <w:r>
        <w:rPr>
          <w:rFonts w:ascii="宋体" w:hAnsi="宋体" w:eastAsia="宋体" w:cs="宋体"/>
          <w:color w:val="auto"/>
          <w:sz w:val="24"/>
          <w:szCs w:val="24"/>
          <w:highlight w:val="none"/>
        </w:rPr>
        <w:t>已列入交通运输部“全国公路建设市场监</w:t>
      </w:r>
      <w:r>
        <w:rPr>
          <w:rFonts w:ascii="宋体" w:hAnsi="宋体" w:eastAsia="宋体" w:cs="宋体"/>
          <w:color w:val="auto"/>
          <w:spacing w:val="-2"/>
          <w:sz w:val="24"/>
          <w:szCs w:val="24"/>
          <w:highlight w:val="none"/>
        </w:rPr>
        <w:t>督管理系统</w:t>
      </w:r>
      <w:r>
        <w:rPr>
          <w:rFonts w:ascii="宋体" w:hAnsi="宋体" w:eastAsia="宋体" w:cs="宋体"/>
          <w:color w:val="auto"/>
          <w:spacing w:val="-74"/>
          <w:sz w:val="24"/>
          <w:szCs w:val="24"/>
          <w:highlight w:val="none"/>
        </w:rPr>
        <w:t xml:space="preserve"> </w:t>
      </w:r>
      <w:r>
        <w:rPr>
          <w:rFonts w:ascii="宋体" w:hAnsi="宋体" w:eastAsia="宋体" w:cs="宋体"/>
          <w:color w:val="auto"/>
          <w:spacing w:val="-2"/>
          <w:sz w:val="24"/>
          <w:szCs w:val="24"/>
          <w:highlight w:val="none"/>
        </w:rPr>
        <w:t>”并公开的已建业绩，具体时间要求见投标人须知前附表。</w:t>
      </w:r>
    </w:p>
    <w:p w14:paraId="22166199">
      <w:pPr>
        <w:spacing w:before="4" w:line="359" w:lineRule="auto"/>
        <w:ind w:left="8" w:right="160" w:firstLine="468"/>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“近年完成的类似项目情况表</w:t>
      </w:r>
      <w:r>
        <w:rPr>
          <w:rFonts w:ascii="宋体" w:hAnsi="宋体" w:eastAsia="宋体" w:cs="宋体"/>
          <w:color w:val="auto"/>
          <w:spacing w:val="-67"/>
          <w:sz w:val="24"/>
          <w:szCs w:val="24"/>
          <w:highlight w:val="none"/>
        </w:rPr>
        <w:t xml:space="preserve"> </w:t>
      </w:r>
      <w:r>
        <w:rPr>
          <w:rFonts w:ascii="宋体" w:hAnsi="宋体" w:eastAsia="宋体" w:cs="宋体"/>
          <w:color w:val="auto"/>
          <w:spacing w:val="4"/>
          <w:sz w:val="24"/>
          <w:szCs w:val="24"/>
          <w:highlight w:val="none"/>
        </w:rPr>
        <w:t>”应附在交通运输部“全国公路建设市场监督管理</w:t>
      </w:r>
      <w:r>
        <w:rPr>
          <w:rFonts w:ascii="宋体" w:hAnsi="宋体" w:eastAsia="宋体" w:cs="宋体"/>
          <w:color w:val="auto"/>
          <w:spacing w:val="2"/>
          <w:sz w:val="24"/>
          <w:szCs w:val="24"/>
          <w:highlight w:val="none"/>
        </w:rPr>
        <w:t>系统</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”中查询到的企业“业绩信息</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”相关项目网页截图扫描</w:t>
      </w:r>
      <w:r>
        <w:rPr>
          <w:rFonts w:ascii="宋体" w:hAnsi="宋体" w:eastAsia="宋体" w:cs="宋体"/>
          <w:color w:val="auto"/>
          <w:spacing w:val="1"/>
          <w:sz w:val="24"/>
          <w:szCs w:val="24"/>
          <w:highlight w:val="none"/>
        </w:rPr>
        <w:t>件（或网页打印件</w:t>
      </w:r>
      <w:r>
        <w:rPr>
          <w:rFonts w:ascii="宋体" w:hAnsi="宋体" w:eastAsia="宋体" w:cs="宋体"/>
          <w:color w:val="auto"/>
          <w:spacing w:val="22"/>
          <w:sz w:val="24"/>
          <w:szCs w:val="24"/>
          <w:highlight w:val="none"/>
        </w:rPr>
        <w:t>），</w:t>
      </w:r>
      <w:r>
        <w:rPr>
          <w:rFonts w:ascii="宋体" w:hAnsi="宋体" w:eastAsia="宋体" w:cs="宋体"/>
          <w:color w:val="auto"/>
          <w:spacing w:val="1"/>
          <w:sz w:val="24"/>
          <w:szCs w:val="24"/>
          <w:highlight w:val="none"/>
        </w:rPr>
        <w:t>即包括“项目名称</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”、“标段类型</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”、“合同价</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”、“主要工程量</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”等栏目在内</w:t>
      </w:r>
      <w:r>
        <w:rPr>
          <w:rFonts w:ascii="宋体" w:hAnsi="宋体" w:eastAsia="宋体" w:cs="宋体"/>
          <w:color w:val="auto"/>
          <w:sz w:val="24"/>
          <w:szCs w:val="24"/>
          <w:highlight w:val="none"/>
        </w:rPr>
        <w:t>的项目</w:t>
      </w:r>
      <w:r>
        <w:rPr>
          <w:rFonts w:ascii="宋体" w:hAnsi="宋体" w:eastAsia="宋体" w:cs="宋体"/>
          <w:color w:val="auto"/>
          <w:spacing w:val="-1"/>
          <w:sz w:val="24"/>
          <w:szCs w:val="24"/>
          <w:highlight w:val="none"/>
        </w:rPr>
        <w:t>详细信息网页截图扫描件（或网页打印件）。</w:t>
      </w:r>
      <w:r>
        <w:rPr>
          <w:rFonts w:ascii="宋体" w:hAnsi="宋体" w:eastAsia="宋体" w:cs="宋体"/>
          <w:color w:val="auto"/>
          <w:spacing w:val="-2"/>
          <w:sz w:val="24"/>
          <w:szCs w:val="24"/>
          <w:highlight w:val="none"/>
        </w:rPr>
        <w:t>除网页截图扫描件（或网页打印件）外，</w:t>
      </w:r>
      <w:r>
        <w:rPr>
          <w:rFonts w:ascii="宋体" w:hAnsi="宋体" w:eastAsia="宋体" w:cs="宋体"/>
          <w:color w:val="auto"/>
          <w:spacing w:val="-1"/>
          <w:sz w:val="24"/>
          <w:szCs w:val="24"/>
          <w:highlight w:val="none"/>
        </w:rPr>
        <w:t>投标人无需再提供任何业绩证明材料。</w:t>
      </w:r>
    </w:p>
    <w:p w14:paraId="69044EF4">
      <w:pPr>
        <w:spacing w:before="2" w:line="358" w:lineRule="auto"/>
        <w:ind w:left="9" w:right="163" w:firstLine="482"/>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如投标人未提供相关项目网页截图扫描件或相关项目网页截图中的信息无法证实投标人满足招标文件规定的资格审查条件（业绩最低要求）或评标办法评</w:t>
      </w:r>
      <w:r>
        <w:rPr>
          <w:rFonts w:ascii="宋体" w:hAnsi="宋体" w:eastAsia="宋体" w:cs="宋体"/>
          <w:color w:val="auto"/>
          <w:spacing w:val="4"/>
          <w:sz w:val="24"/>
          <w:szCs w:val="24"/>
          <w:highlight w:val="none"/>
        </w:rPr>
        <w:t>分标准（如</w:t>
      </w:r>
      <w:r>
        <w:rPr>
          <w:rFonts w:ascii="宋体" w:hAnsi="宋体" w:eastAsia="宋体" w:cs="宋体"/>
          <w:color w:val="auto"/>
          <w:spacing w:val="-3"/>
          <w:sz w:val="24"/>
          <w:szCs w:val="24"/>
          <w:highlight w:val="none"/>
        </w:rPr>
        <w:t>有</w:t>
      </w:r>
      <w:r>
        <w:rPr>
          <w:rFonts w:ascii="宋体" w:hAnsi="宋体" w:eastAsia="宋体" w:cs="宋体"/>
          <w:color w:val="auto"/>
          <w:spacing w:val="12"/>
          <w:sz w:val="24"/>
          <w:szCs w:val="24"/>
          <w:highlight w:val="none"/>
        </w:rPr>
        <w:t>），</w:t>
      </w:r>
      <w:r>
        <w:rPr>
          <w:rFonts w:ascii="宋体" w:hAnsi="宋体" w:eastAsia="宋体" w:cs="宋体"/>
          <w:color w:val="auto"/>
          <w:spacing w:val="-3"/>
          <w:sz w:val="24"/>
          <w:szCs w:val="24"/>
          <w:highlight w:val="none"/>
        </w:rPr>
        <w:t>则该项目业绩不予认定。</w:t>
      </w:r>
    </w:p>
    <w:p w14:paraId="68908C71">
      <w:pPr>
        <w:spacing w:line="360" w:lineRule="auto"/>
        <w:ind w:left="11" w:right="163"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如近年来，投标人法人机构发生合法变更或重组或法人名称变更时，应提供相关</w:t>
      </w:r>
      <w:r>
        <w:rPr>
          <w:rFonts w:ascii="宋体" w:hAnsi="宋体" w:eastAsia="宋体" w:cs="宋体"/>
          <w:color w:val="auto"/>
          <w:spacing w:val="-1"/>
          <w:sz w:val="24"/>
          <w:szCs w:val="24"/>
          <w:highlight w:val="none"/>
        </w:rPr>
        <w:t>部门的合法批件或其他相关证明材料来证明其所附业绩的继承性。</w:t>
      </w:r>
    </w:p>
    <w:p w14:paraId="12518B83">
      <w:pPr>
        <w:spacing w:line="359" w:lineRule="auto"/>
        <w:ind w:left="9" w:right="163" w:firstLine="48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3.5.2</w:t>
      </w:r>
      <w:r>
        <w:rPr>
          <w:rFonts w:ascii="宋体" w:hAnsi="宋体" w:eastAsia="宋体" w:cs="宋体"/>
          <w:color w:val="auto"/>
          <w:spacing w:val="-1"/>
          <w:sz w:val="24"/>
          <w:szCs w:val="24"/>
          <w:highlight w:val="none"/>
        </w:rPr>
        <w:t>(B)“</w:t>
      </w:r>
      <w:r>
        <w:rPr>
          <w:rFonts w:ascii="宋体" w:hAnsi="宋体" w:eastAsia="宋体" w:cs="宋体"/>
          <w:color w:val="auto"/>
          <w:spacing w:val="3"/>
          <w:sz w:val="24"/>
          <w:szCs w:val="24"/>
          <w:highlight w:val="none"/>
        </w:rPr>
        <w:t>近年完成的类似项目</w:t>
      </w:r>
      <w:r>
        <w:rPr>
          <w:rFonts w:ascii="宋体" w:hAnsi="宋体" w:eastAsia="宋体" w:cs="宋体"/>
          <w:color w:val="auto"/>
          <w:spacing w:val="-84"/>
          <w:sz w:val="24"/>
          <w:szCs w:val="24"/>
          <w:highlight w:val="none"/>
        </w:rPr>
        <w:t xml:space="preserve"> </w:t>
      </w:r>
      <w:r>
        <w:rPr>
          <w:rFonts w:ascii="宋体" w:hAnsi="宋体" w:eastAsia="宋体" w:cs="宋体"/>
          <w:color w:val="auto"/>
          <w:spacing w:val="3"/>
          <w:sz w:val="24"/>
          <w:szCs w:val="24"/>
          <w:highlight w:val="none"/>
        </w:rPr>
        <w:t>”</w:t>
      </w:r>
      <w:r>
        <w:rPr>
          <w:rFonts w:ascii="宋体" w:hAnsi="宋体" w:eastAsia="宋体" w:cs="宋体"/>
          <w:color w:val="auto"/>
          <w:spacing w:val="2"/>
          <w:sz w:val="24"/>
          <w:szCs w:val="24"/>
          <w:highlight w:val="none"/>
        </w:rPr>
        <w:t>应是已列入交通运输主管部门“公路建设市场</w:t>
      </w:r>
      <w:r>
        <w:rPr>
          <w:rFonts w:ascii="宋体" w:hAnsi="宋体" w:eastAsia="宋体" w:cs="宋体"/>
          <w:color w:val="auto"/>
          <w:spacing w:val="-2"/>
          <w:sz w:val="24"/>
          <w:szCs w:val="24"/>
          <w:highlight w:val="none"/>
        </w:rPr>
        <w:t>监督管理系统</w:t>
      </w:r>
      <w:r>
        <w:rPr>
          <w:rFonts w:ascii="宋体" w:hAnsi="宋体" w:eastAsia="宋体" w:cs="宋体"/>
          <w:color w:val="auto"/>
          <w:spacing w:val="-72"/>
          <w:sz w:val="24"/>
          <w:szCs w:val="24"/>
          <w:highlight w:val="none"/>
        </w:rPr>
        <w:t xml:space="preserve"> </w:t>
      </w:r>
      <w:r>
        <w:rPr>
          <w:rFonts w:ascii="宋体" w:hAnsi="宋体" w:eastAsia="宋体" w:cs="宋体"/>
          <w:color w:val="auto"/>
          <w:spacing w:val="-2"/>
          <w:sz w:val="24"/>
          <w:szCs w:val="24"/>
          <w:highlight w:val="none"/>
        </w:rPr>
        <w:t>”并公开的业绩，具体时间要求见投标人须知前附表。</w:t>
      </w:r>
    </w:p>
    <w:p w14:paraId="17E8F2C7">
      <w:pPr>
        <w:spacing w:before="3" w:line="359" w:lineRule="auto"/>
        <w:ind w:left="8" w:firstLine="468"/>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“近年完成的类似项目情况表</w:t>
      </w:r>
      <w:r>
        <w:rPr>
          <w:rFonts w:ascii="宋体" w:hAnsi="宋体" w:eastAsia="宋体" w:cs="宋体"/>
          <w:color w:val="auto"/>
          <w:spacing w:val="-67"/>
          <w:sz w:val="24"/>
          <w:szCs w:val="24"/>
          <w:highlight w:val="none"/>
        </w:rPr>
        <w:t xml:space="preserve"> </w:t>
      </w:r>
      <w:r>
        <w:rPr>
          <w:rFonts w:ascii="宋体" w:hAnsi="宋体" w:eastAsia="宋体" w:cs="宋体"/>
          <w:color w:val="auto"/>
          <w:spacing w:val="4"/>
          <w:sz w:val="24"/>
          <w:szCs w:val="24"/>
          <w:highlight w:val="none"/>
        </w:rPr>
        <w:t>”应附在交通运输部“全国公路建设市场监督管理</w:t>
      </w:r>
      <w:r>
        <w:rPr>
          <w:rFonts w:ascii="宋体" w:hAnsi="宋体" w:eastAsia="宋体" w:cs="宋体"/>
          <w:color w:val="auto"/>
          <w:spacing w:val="3"/>
          <w:sz w:val="24"/>
          <w:szCs w:val="24"/>
          <w:highlight w:val="none"/>
        </w:rPr>
        <w:t>系统</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”中查询到的企业“业绩信息</w:t>
      </w:r>
      <w:r>
        <w:rPr>
          <w:rFonts w:ascii="宋体" w:hAnsi="宋体" w:eastAsia="宋体" w:cs="宋体"/>
          <w:color w:val="auto"/>
          <w:spacing w:val="-83"/>
          <w:sz w:val="24"/>
          <w:szCs w:val="24"/>
          <w:highlight w:val="none"/>
        </w:rPr>
        <w:t xml:space="preserve"> </w:t>
      </w:r>
      <w:r>
        <w:rPr>
          <w:rFonts w:ascii="宋体" w:hAnsi="宋体" w:eastAsia="宋体" w:cs="宋体"/>
          <w:color w:val="auto"/>
          <w:spacing w:val="3"/>
          <w:sz w:val="24"/>
          <w:szCs w:val="24"/>
          <w:highlight w:val="none"/>
        </w:rPr>
        <w:t>”相关项目网页截图扫描件（或网页</w:t>
      </w:r>
      <w:r>
        <w:rPr>
          <w:rFonts w:ascii="宋体" w:hAnsi="宋体" w:eastAsia="宋体" w:cs="宋体"/>
          <w:color w:val="auto"/>
          <w:spacing w:val="2"/>
          <w:sz w:val="24"/>
          <w:szCs w:val="24"/>
          <w:highlight w:val="none"/>
        </w:rPr>
        <w:t>打印件）。即</w:t>
      </w:r>
      <w:r>
        <w:rPr>
          <w:rFonts w:ascii="宋体" w:hAnsi="宋体" w:eastAsia="宋体" w:cs="宋体"/>
          <w:color w:val="auto"/>
          <w:spacing w:val="1"/>
          <w:sz w:val="24"/>
          <w:szCs w:val="24"/>
          <w:highlight w:val="none"/>
        </w:rPr>
        <w:t>包括“项目名称</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”、“标段类型</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”、“合同价</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”、“主要工程量</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”等栏目在内</w:t>
      </w:r>
      <w:r>
        <w:rPr>
          <w:rFonts w:ascii="宋体" w:hAnsi="宋体" w:eastAsia="宋体" w:cs="宋体"/>
          <w:color w:val="auto"/>
          <w:sz w:val="24"/>
          <w:szCs w:val="24"/>
          <w:highlight w:val="none"/>
        </w:rPr>
        <w:t>的项目</w:t>
      </w:r>
      <w:r>
        <w:rPr>
          <w:rFonts w:ascii="宋体" w:hAnsi="宋体" w:eastAsia="宋体" w:cs="宋体"/>
          <w:color w:val="auto"/>
          <w:spacing w:val="5"/>
          <w:sz w:val="24"/>
          <w:szCs w:val="24"/>
          <w:highlight w:val="none"/>
        </w:rPr>
        <w:t>详细信息网页截图扫描件（或网页打印件）。在交通运输部“全国公路建设</w:t>
      </w:r>
      <w:r>
        <w:rPr>
          <w:rFonts w:ascii="宋体" w:hAnsi="宋体" w:eastAsia="宋体" w:cs="宋体"/>
          <w:color w:val="auto"/>
          <w:spacing w:val="4"/>
          <w:sz w:val="24"/>
          <w:szCs w:val="24"/>
          <w:highlight w:val="none"/>
        </w:rPr>
        <w:t>市场监督</w:t>
      </w:r>
      <w:r>
        <w:rPr>
          <w:rFonts w:ascii="宋体" w:hAnsi="宋体" w:eastAsia="宋体" w:cs="宋体"/>
          <w:color w:val="auto"/>
          <w:spacing w:val="1"/>
          <w:sz w:val="24"/>
          <w:szCs w:val="24"/>
          <w:highlight w:val="none"/>
        </w:rPr>
        <w:t>管理系统</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”中无法查询，但可在省级交通运输主管部门“公路建设市场监督管理系统</w:t>
      </w:r>
      <w:r>
        <w:rPr>
          <w:rFonts w:ascii="宋体" w:hAnsi="宋体" w:eastAsia="宋体" w:cs="宋体"/>
          <w:color w:val="auto"/>
          <w:spacing w:val="-88"/>
          <w:sz w:val="24"/>
          <w:szCs w:val="24"/>
          <w:highlight w:val="none"/>
        </w:rPr>
        <w:t xml:space="preserve"> </w:t>
      </w:r>
      <w:r>
        <w:rPr>
          <w:rFonts w:ascii="宋体" w:hAnsi="宋体" w:eastAsia="宋体" w:cs="宋体"/>
          <w:color w:val="auto"/>
          <w:spacing w:val="1"/>
          <w:sz w:val="24"/>
          <w:szCs w:val="24"/>
          <w:highlight w:val="none"/>
        </w:rPr>
        <w:t>”</w:t>
      </w:r>
      <w:bookmarkStart w:id="35" w:name="bookmark115"/>
      <w:bookmarkEnd w:id="35"/>
      <w:bookmarkStart w:id="36" w:name="bookmark113"/>
      <w:bookmarkEnd w:id="36"/>
      <w:bookmarkStart w:id="37" w:name="bookmark114"/>
      <w:bookmarkEnd w:id="37"/>
      <w:r>
        <w:rPr>
          <w:rFonts w:ascii="宋体" w:hAnsi="宋体" w:eastAsia="宋体" w:cs="宋体"/>
          <w:color w:val="auto"/>
          <w:spacing w:val="4"/>
          <w:sz w:val="24"/>
          <w:szCs w:val="24"/>
          <w:highlight w:val="none"/>
        </w:rPr>
        <w:t>中查询的，应附省级交通运输主管部门“公路建设市场监督管理系统</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”中查</w:t>
      </w:r>
      <w:r>
        <w:rPr>
          <w:rFonts w:ascii="宋体" w:hAnsi="宋体" w:eastAsia="宋体" w:cs="宋体"/>
          <w:color w:val="auto"/>
          <w:spacing w:val="3"/>
          <w:sz w:val="24"/>
          <w:szCs w:val="24"/>
          <w:highlight w:val="none"/>
        </w:rPr>
        <w:t>询到以上</w:t>
      </w:r>
      <w:r>
        <w:rPr>
          <w:rFonts w:ascii="宋体" w:hAnsi="宋体" w:eastAsia="宋体" w:cs="宋体"/>
          <w:color w:val="auto"/>
          <w:spacing w:val="5"/>
          <w:sz w:val="24"/>
          <w:szCs w:val="24"/>
          <w:highlight w:val="none"/>
        </w:rPr>
        <w:t>信息的网页截图扫描件（或网页打印件）并注明查询路径。除网页截图扫描</w:t>
      </w:r>
      <w:r>
        <w:rPr>
          <w:rFonts w:ascii="宋体" w:hAnsi="宋体" w:eastAsia="宋体" w:cs="宋体"/>
          <w:color w:val="auto"/>
          <w:spacing w:val="4"/>
          <w:sz w:val="24"/>
          <w:szCs w:val="24"/>
          <w:highlight w:val="none"/>
        </w:rPr>
        <w:t>件（或网</w:t>
      </w:r>
      <w:r>
        <w:rPr>
          <w:rFonts w:ascii="宋体" w:hAnsi="宋体" w:eastAsia="宋体" w:cs="宋体"/>
          <w:color w:val="auto"/>
          <w:spacing w:val="-1"/>
          <w:sz w:val="24"/>
          <w:szCs w:val="24"/>
          <w:highlight w:val="none"/>
        </w:rPr>
        <w:t>页打印件）外，投标人无须再提供任何业绩证明材料。</w:t>
      </w:r>
    </w:p>
    <w:p w14:paraId="034AD710">
      <w:pPr>
        <w:spacing w:before="2" w:line="358" w:lineRule="auto"/>
        <w:ind w:left="14" w:firstLine="480"/>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如投标人未提供相关项目网页截图扫描件（或网页打印件</w:t>
      </w:r>
      <w:r>
        <w:rPr>
          <w:rFonts w:ascii="宋体" w:hAnsi="宋体" w:eastAsia="宋体" w:cs="宋体"/>
          <w:color w:val="auto"/>
          <w:spacing w:val="22"/>
          <w:sz w:val="24"/>
          <w:szCs w:val="24"/>
          <w:highlight w:val="none"/>
        </w:rPr>
        <w:t>），</w:t>
      </w:r>
      <w:r>
        <w:rPr>
          <w:rFonts w:ascii="宋体" w:hAnsi="宋体" w:eastAsia="宋体" w:cs="宋体"/>
          <w:color w:val="auto"/>
          <w:spacing w:val="4"/>
          <w:sz w:val="24"/>
          <w:szCs w:val="24"/>
          <w:highlight w:val="none"/>
        </w:rPr>
        <w:t>或网页截图扫描件</w:t>
      </w:r>
      <w:r>
        <w:rPr>
          <w:rFonts w:ascii="宋体" w:hAnsi="宋体" w:eastAsia="宋体" w:cs="宋体"/>
          <w:color w:val="auto"/>
          <w:spacing w:val="5"/>
          <w:sz w:val="24"/>
          <w:szCs w:val="24"/>
          <w:highlight w:val="none"/>
        </w:rPr>
        <w:t>（或网页打印件）中的信息无法证实投标人满足招标文件规定的资格</w:t>
      </w:r>
      <w:r>
        <w:rPr>
          <w:rFonts w:ascii="宋体" w:hAnsi="宋体" w:eastAsia="宋体" w:cs="宋体"/>
          <w:color w:val="auto"/>
          <w:spacing w:val="4"/>
          <w:sz w:val="24"/>
          <w:szCs w:val="24"/>
          <w:highlight w:val="none"/>
        </w:rPr>
        <w:t>审查条件（业绩</w:t>
      </w:r>
      <w:r>
        <w:rPr>
          <w:rFonts w:ascii="宋体" w:hAnsi="宋体" w:eastAsia="宋体" w:cs="宋体"/>
          <w:color w:val="auto"/>
          <w:spacing w:val="-1"/>
          <w:sz w:val="24"/>
          <w:szCs w:val="24"/>
          <w:highlight w:val="none"/>
        </w:rPr>
        <w:t>最低要求）或评标办法评分标准（如有</w:t>
      </w:r>
      <w:r>
        <w:rPr>
          <w:rFonts w:ascii="宋体" w:hAnsi="宋体" w:eastAsia="宋体" w:cs="宋体"/>
          <w:color w:val="auto"/>
          <w:spacing w:val="7"/>
          <w:sz w:val="24"/>
          <w:szCs w:val="24"/>
          <w:highlight w:val="none"/>
        </w:rPr>
        <w:t>），</w:t>
      </w:r>
      <w:r>
        <w:rPr>
          <w:rFonts w:ascii="宋体" w:hAnsi="宋体" w:eastAsia="宋体" w:cs="宋体"/>
          <w:color w:val="auto"/>
          <w:spacing w:val="-1"/>
          <w:sz w:val="24"/>
          <w:szCs w:val="24"/>
          <w:highlight w:val="none"/>
        </w:rPr>
        <w:t>则该项目业绩不予认定。</w:t>
      </w:r>
    </w:p>
    <w:p w14:paraId="787EFEEB">
      <w:pPr>
        <w:spacing w:line="359" w:lineRule="auto"/>
        <w:ind w:left="14"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如近年来，投标人法人机构发生合法变更或重组或法人名称变更时，应提供相关</w:t>
      </w:r>
      <w:r>
        <w:rPr>
          <w:rFonts w:ascii="宋体" w:hAnsi="宋体" w:eastAsia="宋体" w:cs="宋体"/>
          <w:color w:val="auto"/>
          <w:spacing w:val="-1"/>
          <w:sz w:val="24"/>
          <w:szCs w:val="24"/>
          <w:highlight w:val="none"/>
        </w:rPr>
        <w:t>部门的合法批件或其他相关证明材料来证明其所附业绩的继承性。</w:t>
      </w:r>
    </w:p>
    <w:p w14:paraId="6E60C3E3">
      <w:pPr>
        <w:spacing w:line="212" w:lineRule="auto"/>
        <w:ind w:left="49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3.5.2(C)“近年完成的类似项目</w:t>
      </w:r>
      <w:r>
        <w:rPr>
          <w:rFonts w:ascii="宋体" w:hAnsi="宋体" w:eastAsia="宋体" w:cs="宋体"/>
          <w:color w:val="auto"/>
          <w:spacing w:val="-88"/>
          <w:sz w:val="24"/>
          <w:szCs w:val="24"/>
          <w:highlight w:val="none"/>
        </w:rPr>
        <w:t xml:space="preserve"> </w:t>
      </w:r>
      <w:r>
        <w:rPr>
          <w:rFonts w:ascii="宋体" w:hAnsi="宋体" w:eastAsia="宋体" w:cs="宋体"/>
          <w:color w:val="auto"/>
          <w:spacing w:val="-1"/>
          <w:sz w:val="24"/>
          <w:szCs w:val="24"/>
          <w:highlight w:val="none"/>
        </w:rPr>
        <w:t>”具体时间要求见投标人</w:t>
      </w:r>
      <w:r>
        <w:rPr>
          <w:rFonts w:ascii="宋体" w:hAnsi="宋体" w:eastAsia="宋体" w:cs="宋体"/>
          <w:color w:val="auto"/>
          <w:spacing w:val="-2"/>
          <w:sz w:val="24"/>
          <w:szCs w:val="24"/>
          <w:highlight w:val="none"/>
        </w:rPr>
        <w:t>须知前附表。</w:t>
      </w:r>
    </w:p>
    <w:p w14:paraId="5E6705CC">
      <w:pPr>
        <w:spacing w:before="192" w:line="359" w:lineRule="auto"/>
        <w:ind w:firstLine="496" w:firstLineChars="200"/>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“近年完成的类似项目情况表</w:t>
      </w:r>
      <w:r>
        <w:rPr>
          <w:rFonts w:ascii="宋体" w:hAnsi="宋体" w:eastAsia="宋体" w:cs="宋体"/>
          <w:color w:val="auto"/>
          <w:spacing w:val="-63"/>
          <w:sz w:val="24"/>
          <w:szCs w:val="24"/>
          <w:highlight w:val="none"/>
        </w:rPr>
        <w:t xml:space="preserve"> </w:t>
      </w:r>
      <w:r>
        <w:rPr>
          <w:rFonts w:ascii="宋体" w:hAnsi="宋体" w:eastAsia="宋体" w:cs="宋体"/>
          <w:color w:val="auto"/>
          <w:spacing w:val="4"/>
          <w:sz w:val="24"/>
          <w:szCs w:val="24"/>
          <w:highlight w:val="none"/>
        </w:rPr>
        <w:t>”应同时附合同协议书、项目已交（竣）工证明</w:t>
      </w:r>
      <w:r>
        <w:rPr>
          <w:rFonts w:ascii="宋体" w:hAnsi="宋体" w:eastAsia="宋体" w:cs="宋体"/>
          <w:color w:val="auto"/>
          <w:spacing w:val="5"/>
          <w:sz w:val="24"/>
          <w:szCs w:val="24"/>
          <w:highlight w:val="none"/>
        </w:rPr>
        <w:t>文件（交工验收证书或竣工验收备案表或竣工验收证明材料或建设单位出具的</w:t>
      </w:r>
      <w:r>
        <w:rPr>
          <w:rFonts w:ascii="宋体" w:hAnsi="宋体" w:eastAsia="宋体" w:cs="宋体"/>
          <w:color w:val="auto"/>
          <w:spacing w:val="4"/>
          <w:sz w:val="24"/>
          <w:szCs w:val="24"/>
          <w:highlight w:val="none"/>
        </w:rPr>
        <w:t>完工证</w:t>
      </w:r>
      <w:r>
        <w:rPr>
          <w:rFonts w:ascii="宋体" w:hAnsi="宋体" w:eastAsia="宋体" w:cs="宋体"/>
          <w:color w:val="auto"/>
          <w:spacing w:val="5"/>
          <w:sz w:val="24"/>
          <w:szCs w:val="24"/>
          <w:highlight w:val="none"/>
        </w:rPr>
        <w:t>明或完工验收鉴定书等）扫描件；如果投标人提供的上述证明材料均无法体现</w:t>
      </w:r>
      <w:r>
        <w:rPr>
          <w:rFonts w:ascii="宋体" w:hAnsi="宋体" w:eastAsia="宋体" w:cs="宋体"/>
          <w:color w:val="auto"/>
          <w:spacing w:val="4"/>
          <w:sz w:val="24"/>
          <w:szCs w:val="24"/>
          <w:highlight w:val="none"/>
        </w:rPr>
        <w:t>投标人</w:t>
      </w:r>
      <w:r>
        <w:rPr>
          <w:rFonts w:ascii="宋体" w:hAnsi="宋体" w:eastAsia="宋体" w:cs="宋体"/>
          <w:color w:val="auto"/>
          <w:spacing w:val="5"/>
          <w:sz w:val="24"/>
          <w:szCs w:val="24"/>
          <w:highlight w:val="none"/>
        </w:rPr>
        <w:t>满足招标文件规定的资格审查条件（业绩最低要求）或评标办法评分标准</w:t>
      </w:r>
      <w:r>
        <w:rPr>
          <w:rFonts w:ascii="宋体" w:hAnsi="宋体" w:eastAsia="宋体" w:cs="宋体"/>
          <w:color w:val="auto"/>
          <w:spacing w:val="4"/>
          <w:sz w:val="24"/>
          <w:szCs w:val="24"/>
          <w:highlight w:val="none"/>
        </w:rPr>
        <w:t>（如有</w:t>
      </w:r>
      <w:r>
        <w:rPr>
          <w:rFonts w:ascii="宋体" w:hAnsi="宋体" w:eastAsia="宋体" w:cs="宋体"/>
          <w:color w:val="auto"/>
          <w:spacing w:val="5"/>
          <w:sz w:val="24"/>
          <w:szCs w:val="24"/>
          <w:highlight w:val="none"/>
        </w:rPr>
        <w:t>），则投标人还应提供项目业主（或其上级单位）或行业主管部门出具的证明材料</w:t>
      </w:r>
      <w:r>
        <w:rPr>
          <w:rFonts w:ascii="宋体" w:hAnsi="宋体" w:eastAsia="宋体" w:cs="宋体"/>
          <w:color w:val="auto"/>
          <w:spacing w:val="4"/>
          <w:sz w:val="24"/>
          <w:szCs w:val="24"/>
          <w:highlight w:val="none"/>
        </w:rPr>
        <w:t>的扫描</w:t>
      </w:r>
      <w:r>
        <w:rPr>
          <w:rFonts w:ascii="宋体" w:hAnsi="宋体" w:eastAsia="宋体" w:cs="宋体"/>
          <w:color w:val="auto"/>
          <w:spacing w:val="-5"/>
          <w:sz w:val="24"/>
          <w:szCs w:val="24"/>
          <w:highlight w:val="none"/>
        </w:rPr>
        <w:t>件。</w:t>
      </w:r>
    </w:p>
    <w:p w14:paraId="7D83B40F">
      <w:pPr>
        <w:spacing w:line="359" w:lineRule="auto"/>
        <w:ind w:left="14"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如投标人未提供证明材料或证明材料无法证实投标人满足招标文件规定的资格审</w:t>
      </w:r>
      <w:r>
        <w:rPr>
          <w:rFonts w:ascii="宋体" w:hAnsi="宋体" w:eastAsia="宋体" w:cs="宋体"/>
          <w:color w:val="auto"/>
          <w:spacing w:val="-1"/>
          <w:sz w:val="24"/>
          <w:szCs w:val="24"/>
          <w:highlight w:val="none"/>
        </w:rPr>
        <w:t>查条件（业绩最低要求）或评标办法评分标准（如有</w:t>
      </w:r>
      <w:r>
        <w:rPr>
          <w:rFonts w:ascii="宋体" w:hAnsi="宋体" w:eastAsia="宋体" w:cs="宋体"/>
          <w:color w:val="auto"/>
          <w:spacing w:val="10"/>
          <w:sz w:val="24"/>
          <w:szCs w:val="24"/>
          <w:highlight w:val="none"/>
        </w:rPr>
        <w:t>），</w:t>
      </w:r>
      <w:r>
        <w:rPr>
          <w:rFonts w:ascii="宋体" w:hAnsi="宋体" w:eastAsia="宋体" w:cs="宋体"/>
          <w:color w:val="auto"/>
          <w:spacing w:val="-1"/>
          <w:sz w:val="24"/>
          <w:szCs w:val="24"/>
          <w:highlight w:val="none"/>
        </w:rPr>
        <w:t>则该项目业绩不予认定。</w:t>
      </w:r>
    </w:p>
    <w:p w14:paraId="1C007EC8">
      <w:pPr>
        <w:spacing w:before="1" w:line="359" w:lineRule="auto"/>
        <w:ind w:left="14"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如近年来，投标人法人机构发生合法变更或重组或法人名称变更时，应提供相关</w:t>
      </w:r>
      <w:r>
        <w:rPr>
          <w:rFonts w:ascii="宋体" w:hAnsi="宋体" w:eastAsia="宋体" w:cs="宋体"/>
          <w:color w:val="auto"/>
          <w:spacing w:val="-1"/>
          <w:sz w:val="24"/>
          <w:szCs w:val="24"/>
          <w:highlight w:val="none"/>
        </w:rPr>
        <w:t>部门的合法批件或其他相关证明材料来证明其所附业绩的继承性。</w:t>
      </w:r>
    </w:p>
    <w:p w14:paraId="4A262681">
      <w:pPr>
        <w:spacing w:before="1" w:line="354" w:lineRule="auto"/>
        <w:ind w:left="10" w:firstLine="485"/>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3.5.3 “投标人的信誉情况</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”应附投标人在国</w:t>
      </w:r>
      <w:r>
        <w:rPr>
          <w:rFonts w:ascii="宋体" w:hAnsi="宋体" w:eastAsia="宋体" w:cs="宋体"/>
          <w:color w:val="auto"/>
          <w:spacing w:val="3"/>
          <w:sz w:val="24"/>
          <w:szCs w:val="24"/>
          <w:highlight w:val="none"/>
        </w:rPr>
        <w:t>家企业信用信息公示系统中未被列</w:t>
      </w:r>
      <w:r>
        <w:rPr>
          <w:rFonts w:ascii="宋体" w:hAnsi="宋体" w:eastAsia="宋体" w:cs="宋体"/>
          <w:color w:val="auto"/>
          <w:spacing w:val="2"/>
          <w:sz w:val="24"/>
          <w:szCs w:val="24"/>
          <w:highlight w:val="none"/>
        </w:rPr>
        <w:t>入严重违法失信企业名单、在“信用中国</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”或“</w:t>
      </w:r>
      <w:r>
        <w:rPr>
          <w:rFonts w:ascii="宋体" w:hAnsi="宋体" w:eastAsia="宋体" w:cs="宋体"/>
          <w:color w:val="auto"/>
          <w:spacing w:val="-84"/>
          <w:sz w:val="24"/>
          <w:szCs w:val="24"/>
          <w:highlight w:val="none"/>
        </w:rPr>
        <w:t xml:space="preserve"> </w:t>
      </w:r>
      <w:r>
        <w:rPr>
          <w:rFonts w:ascii="宋体" w:hAnsi="宋体" w:eastAsia="宋体" w:cs="宋体"/>
          <w:color w:val="auto"/>
          <w:spacing w:val="2"/>
          <w:sz w:val="24"/>
          <w:szCs w:val="24"/>
          <w:highlight w:val="none"/>
        </w:rPr>
        <w:t>中国执行信息公开网站</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”网站中</w:t>
      </w:r>
      <w:r>
        <w:rPr>
          <w:rFonts w:ascii="宋体" w:hAnsi="宋体" w:eastAsia="宋体" w:cs="宋体"/>
          <w:color w:val="auto"/>
          <w:spacing w:val="1"/>
          <w:sz w:val="24"/>
          <w:szCs w:val="24"/>
          <w:highlight w:val="none"/>
        </w:rPr>
        <w:t>未被</w:t>
      </w:r>
      <w:r>
        <w:rPr>
          <w:rFonts w:ascii="宋体" w:hAnsi="宋体" w:eastAsia="宋体" w:cs="宋体"/>
          <w:color w:val="auto"/>
          <w:spacing w:val="-1"/>
          <w:sz w:val="24"/>
          <w:szCs w:val="24"/>
          <w:highlight w:val="none"/>
        </w:rPr>
        <w:t>列入失信被执行人名单的网页截图扫描件。</w:t>
      </w:r>
    </w:p>
    <w:p w14:paraId="4858B051">
      <w:pPr>
        <w:spacing w:before="6" w:line="361" w:lineRule="auto"/>
        <w:ind w:firstLine="49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3.5.4(A)“拟委任的总监理工程师或驻</w:t>
      </w:r>
      <w:r>
        <w:rPr>
          <w:rFonts w:ascii="宋体" w:hAnsi="宋体" w:eastAsia="宋体" w:cs="宋体"/>
          <w:color w:val="auto"/>
          <w:sz w:val="24"/>
          <w:szCs w:val="24"/>
          <w:highlight w:val="none"/>
        </w:rPr>
        <w:t>地监理工程师资历表</w:t>
      </w:r>
      <w:r>
        <w:rPr>
          <w:rFonts w:ascii="宋体" w:hAnsi="宋体" w:eastAsia="宋体" w:cs="宋体"/>
          <w:color w:val="auto"/>
          <w:spacing w:val="-86"/>
          <w:sz w:val="24"/>
          <w:szCs w:val="24"/>
          <w:highlight w:val="none"/>
        </w:rPr>
        <w:t xml:space="preserve"> </w:t>
      </w:r>
      <w:r>
        <w:rPr>
          <w:rFonts w:ascii="宋体" w:hAnsi="宋体" w:eastAsia="宋体" w:cs="宋体"/>
          <w:color w:val="auto"/>
          <w:sz w:val="24"/>
          <w:szCs w:val="24"/>
          <w:highlight w:val="none"/>
        </w:rPr>
        <w:t>”应同时附：</w:t>
      </w:r>
    </w:p>
    <w:p w14:paraId="01197AED">
      <w:pPr>
        <w:spacing w:before="6" w:line="361" w:lineRule="auto"/>
        <w:ind w:firstLine="496"/>
        <w:rPr>
          <w:rFonts w:ascii="宋体" w:hAnsi="宋体" w:eastAsia="宋体" w:cs="宋体"/>
          <w:color w:val="auto"/>
          <w:spacing w:val="4"/>
          <w:sz w:val="24"/>
          <w:szCs w:val="24"/>
          <w:highlight w:val="none"/>
        </w:rPr>
      </w:pPr>
      <w:r>
        <w:rPr>
          <w:rFonts w:ascii="宋体" w:hAnsi="宋体" w:eastAsia="宋体" w:cs="宋体"/>
          <w:color w:val="auto"/>
          <w:sz w:val="24"/>
          <w:szCs w:val="24"/>
          <w:highlight w:val="none"/>
        </w:rPr>
        <w:t>①交通</w:t>
      </w:r>
      <w:r>
        <w:rPr>
          <w:rFonts w:ascii="宋体" w:hAnsi="宋体" w:eastAsia="宋体" w:cs="宋体"/>
          <w:color w:val="auto"/>
          <w:spacing w:val="4"/>
          <w:sz w:val="24"/>
          <w:szCs w:val="24"/>
          <w:highlight w:val="none"/>
        </w:rPr>
        <w:t>运输部“全国公路建设市场监督管理系统</w:t>
      </w:r>
      <w:r>
        <w:rPr>
          <w:rFonts w:ascii="宋体" w:hAnsi="宋体" w:eastAsia="宋体" w:cs="宋体"/>
          <w:color w:val="auto"/>
          <w:spacing w:val="-75"/>
          <w:sz w:val="24"/>
          <w:szCs w:val="24"/>
          <w:highlight w:val="none"/>
        </w:rPr>
        <w:t xml:space="preserve"> </w:t>
      </w:r>
      <w:r>
        <w:rPr>
          <w:rFonts w:ascii="宋体" w:hAnsi="宋体" w:eastAsia="宋体" w:cs="宋体"/>
          <w:color w:val="auto"/>
          <w:spacing w:val="4"/>
          <w:sz w:val="24"/>
          <w:szCs w:val="24"/>
          <w:highlight w:val="none"/>
        </w:rPr>
        <w:t>”中查询到的企业人员信息相关网页截图扫</w:t>
      </w:r>
      <w:r>
        <w:rPr>
          <w:rFonts w:ascii="宋体" w:hAnsi="宋体" w:eastAsia="宋体" w:cs="宋体"/>
          <w:color w:val="auto"/>
          <w:spacing w:val="1"/>
          <w:sz w:val="24"/>
          <w:szCs w:val="24"/>
          <w:highlight w:val="none"/>
        </w:rPr>
        <w:t>描件（网页打印件</w:t>
      </w:r>
      <w:r>
        <w:rPr>
          <w:rFonts w:ascii="宋体" w:hAnsi="宋体" w:eastAsia="宋体" w:cs="宋体"/>
          <w:color w:val="auto"/>
          <w:spacing w:val="25"/>
          <w:sz w:val="24"/>
          <w:szCs w:val="24"/>
          <w:highlight w:val="none"/>
        </w:rPr>
        <w:t>），</w:t>
      </w:r>
      <w:r>
        <w:rPr>
          <w:rFonts w:ascii="宋体" w:hAnsi="宋体" w:eastAsia="宋体" w:cs="宋体"/>
          <w:color w:val="auto"/>
          <w:spacing w:val="1"/>
          <w:sz w:val="24"/>
          <w:szCs w:val="24"/>
          <w:highlight w:val="none"/>
        </w:rPr>
        <w:t>即包括人员的“基本信息</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”、“职称信息</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”、“执业资格</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w:t>
      </w:r>
      <w:r>
        <w:rPr>
          <w:rFonts w:ascii="宋体" w:hAnsi="宋体" w:eastAsia="宋体" w:cs="宋体"/>
          <w:color w:val="auto"/>
          <w:sz w:val="24"/>
          <w:szCs w:val="24"/>
          <w:highlight w:val="none"/>
        </w:rPr>
        <w:t xml:space="preserve"> </w:t>
      </w:r>
      <w:r>
        <w:rPr>
          <w:rFonts w:ascii="宋体" w:hAnsi="宋体" w:eastAsia="宋体" w:cs="宋体"/>
          <w:color w:val="auto"/>
          <w:spacing w:val="4"/>
          <w:sz w:val="24"/>
          <w:szCs w:val="24"/>
          <w:highlight w:val="none"/>
        </w:rPr>
        <w:t>“个人业绩</w:t>
      </w:r>
      <w:r>
        <w:rPr>
          <w:rFonts w:ascii="宋体" w:hAnsi="宋体" w:eastAsia="宋体" w:cs="宋体"/>
          <w:color w:val="auto"/>
          <w:spacing w:val="-75"/>
          <w:sz w:val="24"/>
          <w:szCs w:val="24"/>
          <w:highlight w:val="none"/>
        </w:rPr>
        <w:t xml:space="preserve"> </w:t>
      </w:r>
      <w:r>
        <w:rPr>
          <w:rFonts w:ascii="宋体" w:hAnsi="宋体" w:eastAsia="宋体" w:cs="宋体"/>
          <w:color w:val="auto"/>
          <w:spacing w:val="4"/>
          <w:sz w:val="24"/>
          <w:szCs w:val="24"/>
          <w:highlight w:val="none"/>
        </w:rPr>
        <w:t>”等栏目在内）的网页截图扫描件（或网页打印件）。</w:t>
      </w:r>
    </w:p>
    <w:p w14:paraId="0E3B2BE4">
      <w:pPr>
        <w:spacing w:before="6" w:line="361" w:lineRule="auto"/>
        <w:ind w:firstLine="49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②交通运输工程监</w:t>
      </w:r>
      <w:r>
        <w:rPr>
          <w:rFonts w:ascii="宋体" w:hAnsi="宋体" w:eastAsia="宋体" w:cs="宋体"/>
          <w:color w:val="auto"/>
          <w:sz w:val="24"/>
          <w:szCs w:val="24"/>
          <w:highlight w:val="none"/>
        </w:rPr>
        <w:t>理工程师注册服务系统截图。</w:t>
      </w:r>
    </w:p>
    <w:p w14:paraId="14F39F5B">
      <w:pPr>
        <w:spacing w:before="6" w:line="361" w:lineRule="auto"/>
        <w:ind w:firstLine="496"/>
        <w:rPr>
          <w:rFonts w:ascii="宋体" w:hAnsi="宋体" w:eastAsia="宋体" w:cs="宋体"/>
          <w:color w:val="auto"/>
          <w:spacing w:val="-1"/>
          <w:sz w:val="24"/>
          <w:szCs w:val="24"/>
          <w:highlight w:val="none"/>
        </w:rPr>
      </w:pPr>
      <w:r>
        <w:rPr>
          <w:rFonts w:ascii="宋体" w:hAnsi="宋体" w:eastAsia="宋体" w:cs="宋体"/>
          <w:color w:val="auto"/>
          <w:spacing w:val="4"/>
          <w:sz w:val="24"/>
          <w:szCs w:val="24"/>
          <w:highlight w:val="none"/>
        </w:rPr>
        <w:t>如投标人未提供相关网页截图扫描件（或网页打印件</w:t>
      </w:r>
      <w:r>
        <w:rPr>
          <w:rFonts w:ascii="宋体" w:hAnsi="宋体" w:eastAsia="宋体" w:cs="宋体"/>
          <w:color w:val="auto"/>
          <w:spacing w:val="22"/>
          <w:sz w:val="24"/>
          <w:szCs w:val="24"/>
          <w:highlight w:val="none"/>
        </w:rPr>
        <w:t>），</w:t>
      </w:r>
      <w:r>
        <w:rPr>
          <w:rFonts w:ascii="宋体" w:hAnsi="宋体" w:eastAsia="宋体" w:cs="宋体"/>
          <w:color w:val="auto"/>
          <w:spacing w:val="4"/>
          <w:sz w:val="24"/>
          <w:szCs w:val="24"/>
          <w:highlight w:val="none"/>
        </w:rPr>
        <w:t>或相关网页截图扫描件</w:t>
      </w:r>
      <w:bookmarkStart w:id="38" w:name="bookmark119"/>
      <w:bookmarkEnd w:id="38"/>
      <w:bookmarkStart w:id="39" w:name="bookmark120"/>
      <w:bookmarkEnd w:id="39"/>
      <w:r>
        <w:rPr>
          <w:rFonts w:ascii="宋体" w:hAnsi="宋体" w:eastAsia="宋体" w:cs="宋体"/>
          <w:color w:val="auto"/>
          <w:spacing w:val="5"/>
          <w:sz w:val="24"/>
          <w:szCs w:val="24"/>
          <w:highlight w:val="none"/>
        </w:rPr>
        <w:t>（或网页打印件）中的信息无法证实投标人满足</w:t>
      </w:r>
      <w:r>
        <w:rPr>
          <w:rFonts w:ascii="宋体" w:hAnsi="宋体" w:eastAsia="宋体" w:cs="宋体"/>
          <w:color w:val="auto"/>
          <w:spacing w:val="4"/>
          <w:sz w:val="24"/>
          <w:szCs w:val="24"/>
          <w:highlight w:val="none"/>
        </w:rPr>
        <w:t>招标文件规定的资格审查条件（人员</w:t>
      </w:r>
      <w:r>
        <w:rPr>
          <w:rFonts w:ascii="宋体" w:hAnsi="宋体" w:eastAsia="宋体" w:cs="宋体"/>
          <w:color w:val="auto"/>
          <w:spacing w:val="-1"/>
          <w:sz w:val="24"/>
          <w:szCs w:val="24"/>
          <w:highlight w:val="none"/>
        </w:rPr>
        <w:t>最低要求）或评标办法评分标准（如有</w:t>
      </w:r>
      <w:r>
        <w:rPr>
          <w:rFonts w:ascii="宋体" w:hAnsi="宋体" w:eastAsia="宋体" w:cs="宋体"/>
          <w:color w:val="auto"/>
          <w:spacing w:val="8"/>
          <w:sz w:val="24"/>
          <w:szCs w:val="24"/>
          <w:highlight w:val="none"/>
        </w:rPr>
        <w:t>），</w:t>
      </w:r>
      <w:r>
        <w:rPr>
          <w:rFonts w:ascii="宋体" w:hAnsi="宋体" w:eastAsia="宋体" w:cs="宋体"/>
          <w:color w:val="auto"/>
          <w:spacing w:val="-1"/>
          <w:sz w:val="24"/>
          <w:szCs w:val="24"/>
          <w:highlight w:val="none"/>
        </w:rPr>
        <w:t>则该人员相应信息不予认定。</w:t>
      </w:r>
    </w:p>
    <w:p w14:paraId="1E43AB84">
      <w:pPr>
        <w:spacing w:before="6" w:line="361" w:lineRule="auto"/>
        <w:ind w:firstLine="496"/>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③投标人所属社保机构出具的拟委任的总监理工程师（以及备选人，如有）或驻地监理工程师（以及备选人，如有）的社保缴费证明或其他有效社保证明材</w:t>
      </w:r>
      <w:r>
        <w:rPr>
          <w:rFonts w:ascii="宋体" w:hAnsi="宋体" w:eastAsia="宋体" w:cs="宋体"/>
          <w:color w:val="auto"/>
          <w:spacing w:val="4"/>
          <w:sz w:val="24"/>
          <w:szCs w:val="24"/>
          <w:highlight w:val="none"/>
        </w:rPr>
        <w:t>料扫描件</w:t>
      </w:r>
      <w:r>
        <w:rPr>
          <w:rFonts w:ascii="宋体" w:hAnsi="宋体" w:eastAsia="宋体" w:cs="宋体"/>
          <w:color w:val="auto"/>
          <w:spacing w:val="5"/>
          <w:sz w:val="24"/>
          <w:szCs w:val="24"/>
          <w:highlight w:val="none"/>
        </w:rPr>
        <w:t>（社保时段为投标文件递交截止日前半年时间内连续不少于三个月，总公司</w:t>
      </w:r>
      <w:r>
        <w:rPr>
          <w:rFonts w:ascii="宋体" w:hAnsi="宋体" w:eastAsia="宋体" w:cs="宋体"/>
          <w:color w:val="auto"/>
          <w:spacing w:val="4"/>
          <w:sz w:val="24"/>
          <w:szCs w:val="24"/>
          <w:highlight w:val="none"/>
        </w:rPr>
        <w:t>参与投标</w:t>
      </w:r>
      <w:r>
        <w:rPr>
          <w:rFonts w:ascii="宋体" w:hAnsi="宋体" w:eastAsia="宋体" w:cs="宋体"/>
          <w:color w:val="auto"/>
          <w:spacing w:val="-1"/>
          <w:sz w:val="24"/>
          <w:szCs w:val="24"/>
          <w:highlight w:val="none"/>
        </w:rPr>
        <w:t>的，提供的分公司人员的社保也视为有效）。</w:t>
      </w:r>
    </w:p>
    <w:p w14:paraId="023BBE02">
      <w:pPr>
        <w:spacing w:line="218" w:lineRule="auto"/>
        <w:ind w:left="50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除上述资料外，投标人无需再提供任何证明</w:t>
      </w:r>
      <w:r>
        <w:rPr>
          <w:rFonts w:ascii="宋体" w:hAnsi="宋体" w:eastAsia="宋体" w:cs="宋体"/>
          <w:color w:val="auto"/>
          <w:spacing w:val="-2"/>
          <w:sz w:val="24"/>
          <w:szCs w:val="24"/>
          <w:highlight w:val="none"/>
        </w:rPr>
        <w:t>材料。</w:t>
      </w:r>
    </w:p>
    <w:p w14:paraId="3B64F069">
      <w:pPr>
        <w:spacing w:before="183" w:line="359" w:lineRule="auto"/>
        <w:ind w:left="12" w:right="8"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如总监理工程师（以及备选人，如有）或驻地监</w:t>
      </w:r>
      <w:r>
        <w:rPr>
          <w:rFonts w:ascii="宋体" w:hAnsi="宋体" w:eastAsia="宋体" w:cs="宋体"/>
          <w:color w:val="auto"/>
          <w:spacing w:val="4"/>
          <w:sz w:val="24"/>
          <w:szCs w:val="24"/>
          <w:highlight w:val="none"/>
        </w:rPr>
        <w:t>理工程师（以及备选人，如有）</w:t>
      </w:r>
      <w:r>
        <w:rPr>
          <w:rFonts w:ascii="宋体" w:hAnsi="宋体" w:eastAsia="宋体" w:cs="宋体"/>
          <w:color w:val="auto"/>
          <w:spacing w:val="5"/>
          <w:sz w:val="24"/>
          <w:szCs w:val="24"/>
          <w:highlight w:val="none"/>
        </w:rPr>
        <w:t>目前仍在其他项目上任职，则投标人应按投标函的格式承诺上述人</w:t>
      </w:r>
      <w:r>
        <w:rPr>
          <w:rFonts w:ascii="宋体" w:hAnsi="宋体" w:eastAsia="宋体" w:cs="宋体"/>
          <w:color w:val="auto"/>
          <w:spacing w:val="4"/>
          <w:sz w:val="24"/>
          <w:szCs w:val="24"/>
          <w:highlight w:val="none"/>
        </w:rPr>
        <w:t>员能够从该项目撤</w:t>
      </w:r>
      <w:r>
        <w:rPr>
          <w:rFonts w:ascii="宋体" w:hAnsi="宋体" w:eastAsia="宋体" w:cs="宋体"/>
          <w:color w:val="auto"/>
          <w:spacing w:val="-5"/>
          <w:sz w:val="24"/>
          <w:szCs w:val="24"/>
          <w:highlight w:val="none"/>
        </w:rPr>
        <w:t>离）。</w:t>
      </w:r>
    </w:p>
    <w:p w14:paraId="4FD0A9C8">
      <w:pPr>
        <w:spacing w:before="1" w:line="359" w:lineRule="auto"/>
        <w:ind w:left="8" w:firstLine="484"/>
        <w:rPr>
          <w:rFonts w:ascii="宋体" w:hAnsi="宋体" w:eastAsia="宋体" w:cs="宋体"/>
          <w:color w:val="auto"/>
          <w:spacing w:val="3"/>
          <w:sz w:val="24"/>
          <w:szCs w:val="24"/>
          <w:highlight w:val="none"/>
        </w:rPr>
      </w:pPr>
      <w:r>
        <w:rPr>
          <w:rFonts w:ascii="宋体" w:hAnsi="宋体" w:eastAsia="宋体" w:cs="宋体"/>
          <w:color w:val="auto"/>
          <w:spacing w:val="4"/>
          <w:sz w:val="24"/>
          <w:szCs w:val="24"/>
          <w:highlight w:val="none"/>
        </w:rPr>
        <w:t>3.5.4(B) “拟委任的总监理工程师或驻地监理工程师资历表</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”应同时附</w:t>
      </w:r>
      <w:r>
        <w:rPr>
          <w:rFonts w:ascii="宋体" w:hAnsi="宋体" w:eastAsia="宋体" w:cs="宋体"/>
          <w:color w:val="auto"/>
          <w:spacing w:val="3"/>
          <w:sz w:val="24"/>
          <w:szCs w:val="24"/>
          <w:highlight w:val="none"/>
        </w:rPr>
        <w:t>：</w:t>
      </w:r>
    </w:p>
    <w:p w14:paraId="0104C5A5">
      <w:pPr>
        <w:spacing w:before="1" w:line="359" w:lineRule="auto"/>
        <w:ind w:left="8" w:firstLine="48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①总</w:t>
      </w:r>
      <w:r>
        <w:rPr>
          <w:rFonts w:ascii="宋体" w:hAnsi="宋体" w:eastAsia="宋体" w:cs="宋体"/>
          <w:color w:val="auto"/>
          <w:spacing w:val="-1"/>
          <w:sz w:val="24"/>
          <w:szCs w:val="24"/>
          <w:highlight w:val="none"/>
        </w:rPr>
        <w:t>监理工程师（以及备选人，如有）或驻地监理工程师（以</w:t>
      </w:r>
      <w:r>
        <w:rPr>
          <w:rFonts w:ascii="宋体" w:hAnsi="宋体" w:eastAsia="宋体" w:cs="宋体"/>
          <w:color w:val="auto"/>
          <w:spacing w:val="-2"/>
          <w:sz w:val="24"/>
          <w:szCs w:val="24"/>
          <w:highlight w:val="none"/>
        </w:rPr>
        <w:t>及备选人，如有）的身份证、</w:t>
      </w:r>
      <w:r>
        <w:rPr>
          <w:rFonts w:ascii="宋体" w:hAnsi="宋体" w:eastAsia="宋体" w:cs="宋体"/>
          <w:color w:val="auto"/>
          <w:spacing w:val="10"/>
          <w:sz w:val="24"/>
          <w:szCs w:val="24"/>
          <w:highlight w:val="none"/>
        </w:rPr>
        <w:t>职称资格证书（如职称证书不能体现专业类型的，还应提供最高学历证书）</w:t>
      </w:r>
      <w:r>
        <w:rPr>
          <w:rFonts w:ascii="宋体" w:hAnsi="宋体" w:eastAsia="宋体" w:cs="宋体"/>
          <w:color w:val="auto"/>
          <w:spacing w:val="-59"/>
          <w:sz w:val="24"/>
          <w:szCs w:val="24"/>
          <w:highlight w:val="none"/>
        </w:rPr>
        <w:t xml:space="preserve"> </w:t>
      </w:r>
      <w:r>
        <w:rPr>
          <w:rFonts w:ascii="宋体" w:hAnsi="宋体" w:eastAsia="宋体" w:cs="宋体"/>
          <w:color w:val="auto"/>
          <w:spacing w:val="10"/>
          <w:sz w:val="24"/>
          <w:szCs w:val="24"/>
          <w:highlight w:val="none"/>
        </w:rPr>
        <w:t>、注册</w:t>
      </w:r>
      <w:r>
        <w:rPr>
          <w:rFonts w:ascii="宋体" w:hAnsi="宋体" w:eastAsia="宋体" w:cs="宋体"/>
          <w:color w:val="auto"/>
          <w:spacing w:val="5"/>
          <w:sz w:val="24"/>
          <w:szCs w:val="24"/>
          <w:highlight w:val="none"/>
        </w:rPr>
        <w:t>（或从业登记）截图和资格审查条件所要求的其他相关证书（如公路工程监</w:t>
      </w:r>
      <w:r>
        <w:rPr>
          <w:rFonts w:ascii="宋体" w:hAnsi="宋体" w:eastAsia="宋体" w:cs="宋体"/>
          <w:color w:val="auto"/>
          <w:spacing w:val="4"/>
          <w:sz w:val="24"/>
          <w:szCs w:val="24"/>
          <w:highlight w:val="none"/>
        </w:rPr>
        <w:t>理工程师</w:t>
      </w:r>
      <w:r>
        <w:rPr>
          <w:rFonts w:ascii="宋体" w:hAnsi="宋体" w:eastAsia="宋体" w:cs="宋体"/>
          <w:color w:val="auto"/>
          <w:spacing w:val="-2"/>
          <w:sz w:val="24"/>
          <w:szCs w:val="24"/>
          <w:highlight w:val="none"/>
        </w:rPr>
        <w:t>证书）扫描件。</w:t>
      </w:r>
    </w:p>
    <w:p w14:paraId="5689FB77">
      <w:pPr>
        <w:spacing w:before="1" w:line="359" w:lineRule="auto"/>
        <w:ind w:left="8" w:right="8"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②投标人所属社保机构出具的拟委任的总监理工程师（以及备选人，如有）或驻地监理工程师（以及备选人，如有）的社保缴费证明或其他有效社保证明材</w:t>
      </w:r>
      <w:r>
        <w:rPr>
          <w:rFonts w:ascii="宋体" w:hAnsi="宋体" w:eastAsia="宋体" w:cs="宋体"/>
          <w:color w:val="auto"/>
          <w:spacing w:val="4"/>
          <w:sz w:val="24"/>
          <w:szCs w:val="24"/>
          <w:highlight w:val="none"/>
        </w:rPr>
        <w:t>料扫描件</w:t>
      </w:r>
      <w:r>
        <w:rPr>
          <w:rFonts w:ascii="宋体" w:hAnsi="宋体" w:eastAsia="宋体" w:cs="宋体"/>
          <w:color w:val="auto"/>
          <w:spacing w:val="5"/>
          <w:sz w:val="24"/>
          <w:szCs w:val="24"/>
          <w:highlight w:val="none"/>
        </w:rPr>
        <w:t>或扫描件（社保时段为投标文件递交截止日前半年时间内连续不少于三个月</w:t>
      </w:r>
      <w:r>
        <w:rPr>
          <w:rFonts w:ascii="宋体" w:hAnsi="宋体" w:eastAsia="宋体" w:cs="宋体"/>
          <w:color w:val="auto"/>
          <w:spacing w:val="4"/>
          <w:sz w:val="24"/>
          <w:szCs w:val="24"/>
          <w:highlight w:val="none"/>
        </w:rPr>
        <w:t>，总公司</w:t>
      </w:r>
      <w:r>
        <w:rPr>
          <w:rFonts w:ascii="宋体" w:hAnsi="宋体" w:eastAsia="宋体" w:cs="宋体"/>
          <w:color w:val="auto"/>
          <w:spacing w:val="-1"/>
          <w:sz w:val="24"/>
          <w:szCs w:val="24"/>
          <w:highlight w:val="none"/>
        </w:rPr>
        <w:t>参与投标的，提供的分公司人员的社保也视为有效）。</w:t>
      </w:r>
    </w:p>
    <w:p w14:paraId="3DD3B317">
      <w:pPr>
        <w:spacing w:before="2" w:line="359" w:lineRule="auto"/>
        <w:ind w:left="7" w:firstLine="47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③交通运输部“全国公路建设市场监督管理系统</w:t>
      </w:r>
      <w:r>
        <w:rPr>
          <w:rFonts w:ascii="宋体" w:hAnsi="宋体" w:eastAsia="宋体" w:cs="宋体"/>
          <w:color w:val="auto"/>
          <w:spacing w:val="-77"/>
          <w:sz w:val="24"/>
          <w:szCs w:val="24"/>
          <w:highlight w:val="none"/>
        </w:rPr>
        <w:t xml:space="preserve"> </w:t>
      </w:r>
      <w:r>
        <w:rPr>
          <w:rFonts w:ascii="宋体" w:hAnsi="宋体" w:eastAsia="宋体" w:cs="宋体"/>
          <w:color w:val="auto"/>
          <w:spacing w:val="4"/>
          <w:sz w:val="24"/>
          <w:szCs w:val="24"/>
          <w:highlight w:val="none"/>
        </w:rPr>
        <w:t>”中载明的、能够证明总监理工</w:t>
      </w:r>
      <w:r>
        <w:rPr>
          <w:rFonts w:ascii="宋体" w:hAnsi="宋体" w:eastAsia="宋体" w:cs="宋体"/>
          <w:color w:val="auto"/>
          <w:spacing w:val="5"/>
          <w:sz w:val="24"/>
          <w:szCs w:val="24"/>
          <w:highlight w:val="none"/>
        </w:rPr>
        <w:t>程师或驻地监理工程师具有相关业绩的网页截图。在交通运输部“全国公路建设市场</w:t>
      </w:r>
      <w:r>
        <w:rPr>
          <w:rFonts w:ascii="宋体" w:hAnsi="宋体" w:eastAsia="宋体" w:cs="宋体"/>
          <w:color w:val="auto"/>
          <w:spacing w:val="4"/>
          <w:sz w:val="24"/>
          <w:szCs w:val="24"/>
          <w:highlight w:val="none"/>
        </w:rPr>
        <w:t>监督管理系统</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”中无法查询的，但可在省级交通运输主管部门“公路建设市场</w:t>
      </w:r>
      <w:r>
        <w:rPr>
          <w:rFonts w:ascii="宋体" w:hAnsi="宋体" w:eastAsia="宋体" w:cs="宋体"/>
          <w:color w:val="auto"/>
          <w:spacing w:val="3"/>
          <w:sz w:val="24"/>
          <w:szCs w:val="24"/>
          <w:highlight w:val="none"/>
        </w:rPr>
        <w:t>监督管理系统</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”中查询的，应附省级交通运输主管部门“公路建设市场监督</w:t>
      </w:r>
      <w:r>
        <w:rPr>
          <w:rFonts w:ascii="宋体" w:hAnsi="宋体" w:eastAsia="宋体" w:cs="宋体"/>
          <w:color w:val="auto"/>
          <w:spacing w:val="2"/>
          <w:sz w:val="24"/>
          <w:szCs w:val="24"/>
          <w:highlight w:val="none"/>
        </w:rPr>
        <w:t>管理系统</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”中查</w:t>
      </w:r>
      <w:r>
        <w:rPr>
          <w:rFonts w:ascii="宋体" w:hAnsi="宋体" w:eastAsia="宋体" w:cs="宋体"/>
          <w:color w:val="auto"/>
          <w:spacing w:val="5"/>
          <w:sz w:val="24"/>
          <w:szCs w:val="24"/>
          <w:highlight w:val="none"/>
        </w:rPr>
        <w:t>询到的网页截图。除网页截图外，投标人无需再提供任何业绩证明材料。如投</w:t>
      </w:r>
      <w:r>
        <w:rPr>
          <w:rFonts w:ascii="宋体" w:hAnsi="宋体" w:eastAsia="宋体" w:cs="宋体"/>
          <w:color w:val="auto"/>
          <w:spacing w:val="4"/>
          <w:sz w:val="24"/>
          <w:szCs w:val="24"/>
          <w:highlight w:val="none"/>
        </w:rPr>
        <w:t>标人未</w:t>
      </w:r>
      <w:r>
        <w:rPr>
          <w:rFonts w:ascii="宋体" w:hAnsi="宋体" w:eastAsia="宋体" w:cs="宋体"/>
          <w:color w:val="auto"/>
          <w:spacing w:val="5"/>
          <w:sz w:val="24"/>
          <w:szCs w:val="24"/>
          <w:highlight w:val="none"/>
        </w:rPr>
        <w:t>提供相关业绩网页截图或相关业绩网页截图中的信息无法证实投标人满足招标</w:t>
      </w:r>
      <w:r>
        <w:rPr>
          <w:rFonts w:ascii="宋体" w:hAnsi="宋体" w:eastAsia="宋体" w:cs="宋体"/>
          <w:color w:val="auto"/>
          <w:spacing w:val="4"/>
          <w:sz w:val="24"/>
          <w:szCs w:val="24"/>
          <w:highlight w:val="none"/>
        </w:rPr>
        <w:t>文件规</w:t>
      </w:r>
      <w:r>
        <w:rPr>
          <w:rFonts w:ascii="宋体" w:hAnsi="宋体" w:eastAsia="宋体" w:cs="宋体"/>
          <w:color w:val="auto"/>
          <w:spacing w:val="-2"/>
          <w:sz w:val="24"/>
          <w:szCs w:val="24"/>
          <w:highlight w:val="none"/>
        </w:rPr>
        <w:t>定的资格审查条件（总监理工程师或驻地监理工程师最低要求</w:t>
      </w:r>
      <w:r>
        <w:rPr>
          <w:rFonts w:ascii="宋体" w:hAnsi="宋体" w:eastAsia="宋体" w:cs="宋体"/>
          <w:color w:val="auto"/>
          <w:spacing w:val="11"/>
          <w:sz w:val="24"/>
          <w:szCs w:val="24"/>
          <w:highlight w:val="none"/>
        </w:rPr>
        <w:t>），</w:t>
      </w:r>
      <w:r>
        <w:rPr>
          <w:rFonts w:ascii="宋体" w:hAnsi="宋体" w:eastAsia="宋体" w:cs="宋体"/>
          <w:color w:val="auto"/>
          <w:spacing w:val="-2"/>
          <w:sz w:val="24"/>
          <w:szCs w:val="24"/>
          <w:highlight w:val="none"/>
        </w:rPr>
        <w:t>则该业绩不予认定。</w:t>
      </w:r>
    </w:p>
    <w:p w14:paraId="247C6FD2">
      <w:pPr>
        <w:spacing w:before="1" w:line="218" w:lineRule="auto"/>
        <w:ind w:left="50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除上述资料外，投标人无需再提供任何证明</w:t>
      </w:r>
      <w:r>
        <w:rPr>
          <w:rFonts w:ascii="宋体" w:hAnsi="宋体" w:eastAsia="宋体" w:cs="宋体"/>
          <w:color w:val="auto"/>
          <w:spacing w:val="-2"/>
          <w:sz w:val="24"/>
          <w:szCs w:val="24"/>
          <w:highlight w:val="none"/>
        </w:rPr>
        <w:t>材料。</w:t>
      </w:r>
    </w:p>
    <w:p w14:paraId="347A8408">
      <w:pPr>
        <w:spacing w:before="180" w:line="361" w:lineRule="auto"/>
        <w:ind w:left="12" w:right="8" w:firstLine="480"/>
        <w:rPr>
          <w:rFonts w:ascii="宋体" w:hAnsi="宋体" w:eastAsia="宋体" w:cs="宋体"/>
          <w:color w:val="auto"/>
          <w:sz w:val="18"/>
          <w:szCs w:val="18"/>
          <w:highlight w:val="none"/>
        </w:rPr>
      </w:pPr>
      <w:r>
        <w:rPr>
          <w:rFonts w:ascii="宋体" w:hAnsi="宋体" w:eastAsia="宋体" w:cs="宋体"/>
          <w:color w:val="auto"/>
          <w:spacing w:val="5"/>
          <w:sz w:val="24"/>
          <w:szCs w:val="24"/>
          <w:highlight w:val="none"/>
        </w:rPr>
        <w:t>如总监理工程师（以及备选人，如有）或驻地监</w:t>
      </w:r>
      <w:r>
        <w:rPr>
          <w:rFonts w:ascii="宋体" w:hAnsi="宋体" w:eastAsia="宋体" w:cs="宋体"/>
          <w:color w:val="auto"/>
          <w:spacing w:val="4"/>
          <w:sz w:val="24"/>
          <w:szCs w:val="24"/>
          <w:highlight w:val="none"/>
        </w:rPr>
        <w:t>理工程师（以及备选人，如有）</w:t>
      </w:r>
      <w:r>
        <w:rPr>
          <w:rFonts w:ascii="宋体" w:hAnsi="宋体" w:eastAsia="宋体" w:cs="宋体"/>
          <w:color w:val="auto"/>
          <w:spacing w:val="5"/>
          <w:sz w:val="24"/>
          <w:szCs w:val="24"/>
          <w:highlight w:val="none"/>
        </w:rPr>
        <w:t>目前仍在其他项目上任职，则投标人应按投标函的格式承诺上述人</w:t>
      </w:r>
      <w:r>
        <w:rPr>
          <w:rFonts w:ascii="宋体" w:hAnsi="宋体" w:eastAsia="宋体" w:cs="宋体"/>
          <w:color w:val="auto"/>
          <w:spacing w:val="4"/>
          <w:sz w:val="24"/>
          <w:szCs w:val="24"/>
          <w:highlight w:val="none"/>
        </w:rPr>
        <w:t>员能够从该项目撤</w:t>
      </w:r>
      <w:bookmarkStart w:id="40" w:name="bookmark123"/>
      <w:bookmarkEnd w:id="40"/>
      <w:r>
        <w:rPr>
          <w:rFonts w:ascii="宋体" w:hAnsi="宋体" w:eastAsia="宋体" w:cs="宋体"/>
          <w:color w:val="auto"/>
          <w:spacing w:val="-5"/>
          <w:sz w:val="24"/>
          <w:szCs w:val="24"/>
          <w:highlight w:val="none"/>
        </w:rPr>
        <w:t>离）。</w:t>
      </w:r>
      <w:bookmarkStart w:id="41" w:name="bookmark124"/>
      <w:bookmarkEnd w:id="41"/>
    </w:p>
    <w:p w14:paraId="55B5041A">
      <w:pPr>
        <w:spacing w:before="78" w:line="359" w:lineRule="auto"/>
        <w:ind w:left="8" w:firstLine="484"/>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3.5.4(C)</w:t>
      </w:r>
      <w:r>
        <w:rPr>
          <w:rFonts w:ascii="宋体" w:hAnsi="宋体" w:eastAsia="宋体" w:cs="宋体"/>
          <w:color w:val="auto"/>
          <w:spacing w:val="2"/>
          <w:sz w:val="20"/>
          <w:szCs w:val="20"/>
          <w:highlight w:val="none"/>
        </w:rPr>
        <w:t>“</w:t>
      </w:r>
      <w:r>
        <w:rPr>
          <w:rFonts w:ascii="宋体" w:hAnsi="宋体" w:eastAsia="宋体" w:cs="宋体"/>
          <w:color w:val="auto"/>
          <w:spacing w:val="2"/>
          <w:sz w:val="24"/>
          <w:szCs w:val="24"/>
          <w:highlight w:val="none"/>
        </w:rPr>
        <w:t>拟委任的总监理工程师或驻地监理工程师资历表</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”应同时附：</w:t>
      </w:r>
    </w:p>
    <w:p w14:paraId="2CBCD205">
      <w:pPr>
        <w:spacing w:before="78" w:line="359" w:lineRule="auto"/>
        <w:ind w:left="8" w:firstLine="48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①总监</w:t>
      </w:r>
      <w:r>
        <w:rPr>
          <w:rFonts w:ascii="宋体" w:hAnsi="宋体" w:eastAsia="宋体" w:cs="宋体"/>
          <w:color w:val="auto"/>
          <w:spacing w:val="5"/>
          <w:sz w:val="24"/>
          <w:szCs w:val="24"/>
          <w:highlight w:val="none"/>
        </w:rPr>
        <w:t>理工程师（以及备选人，如有）或驻地监理工程师（以及备选人，如有）的身份证、</w:t>
      </w:r>
      <w:r>
        <w:rPr>
          <w:rFonts w:ascii="宋体" w:hAnsi="宋体" w:eastAsia="宋体" w:cs="宋体"/>
          <w:color w:val="auto"/>
          <w:spacing w:val="10"/>
          <w:sz w:val="24"/>
          <w:szCs w:val="24"/>
          <w:highlight w:val="none"/>
        </w:rPr>
        <w:t>职称资格证书（如职称证书不能体现专业类型的，还应提供最高学历证书）</w:t>
      </w:r>
      <w:r>
        <w:rPr>
          <w:rFonts w:ascii="宋体" w:hAnsi="宋体" w:eastAsia="宋体" w:cs="宋体"/>
          <w:color w:val="auto"/>
          <w:spacing w:val="-59"/>
          <w:sz w:val="24"/>
          <w:szCs w:val="24"/>
          <w:highlight w:val="none"/>
        </w:rPr>
        <w:t xml:space="preserve"> </w:t>
      </w:r>
      <w:r>
        <w:rPr>
          <w:rFonts w:ascii="宋体" w:hAnsi="宋体" w:eastAsia="宋体" w:cs="宋体"/>
          <w:color w:val="auto"/>
          <w:spacing w:val="10"/>
          <w:sz w:val="24"/>
          <w:szCs w:val="24"/>
          <w:highlight w:val="none"/>
        </w:rPr>
        <w:t>、注册</w:t>
      </w:r>
      <w:r>
        <w:rPr>
          <w:rFonts w:ascii="宋体" w:hAnsi="宋体" w:eastAsia="宋体" w:cs="宋体"/>
          <w:color w:val="auto"/>
          <w:spacing w:val="5"/>
          <w:sz w:val="24"/>
          <w:szCs w:val="24"/>
          <w:highlight w:val="none"/>
        </w:rPr>
        <w:t>（或从业登记）截图和资格审查条件所要求的其他相关证书（如公路工程监</w:t>
      </w:r>
      <w:r>
        <w:rPr>
          <w:rFonts w:ascii="宋体" w:hAnsi="宋体" w:eastAsia="宋体" w:cs="宋体"/>
          <w:color w:val="auto"/>
          <w:spacing w:val="4"/>
          <w:sz w:val="24"/>
          <w:szCs w:val="24"/>
          <w:highlight w:val="none"/>
        </w:rPr>
        <w:t>理工程师</w:t>
      </w:r>
      <w:r>
        <w:rPr>
          <w:rFonts w:ascii="宋体" w:hAnsi="宋体" w:eastAsia="宋体" w:cs="宋体"/>
          <w:color w:val="auto"/>
          <w:spacing w:val="-2"/>
          <w:sz w:val="24"/>
          <w:szCs w:val="24"/>
          <w:highlight w:val="none"/>
        </w:rPr>
        <w:t>证书）扫描件；</w:t>
      </w:r>
    </w:p>
    <w:p w14:paraId="1FBE362A">
      <w:pPr>
        <w:spacing w:line="359" w:lineRule="auto"/>
        <w:ind w:left="8" w:right="2"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②投标人所属社保机构出具的拟委任的总监理工程师（以及备选人，如有）或驻地监理工程师（以及备选人，如有）的社保缴费证明或其他有效社保证明材</w:t>
      </w:r>
      <w:r>
        <w:rPr>
          <w:rFonts w:ascii="宋体" w:hAnsi="宋体" w:eastAsia="宋体" w:cs="宋体"/>
          <w:color w:val="auto"/>
          <w:spacing w:val="4"/>
          <w:sz w:val="24"/>
          <w:szCs w:val="24"/>
          <w:highlight w:val="none"/>
        </w:rPr>
        <w:t>料扫描件</w:t>
      </w:r>
      <w:r>
        <w:rPr>
          <w:rFonts w:ascii="宋体" w:hAnsi="宋体" w:eastAsia="宋体" w:cs="宋体"/>
          <w:color w:val="auto"/>
          <w:spacing w:val="5"/>
          <w:sz w:val="24"/>
          <w:szCs w:val="24"/>
          <w:highlight w:val="none"/>
        </w:rPr>
        <w:t>（社保时段为投标文件递交截止日前半年时间内连续不少于三个月，总公司</w:t>
      </w:r>
      <w:r>
        <w:rPr>
          <w:rFonts w:ascii="宋体" w:hAnsi="宋体" w:eastAsia="宋体" w:cs="宋体"/>
          <w:color w:val="auto"/>
          <w:spacing w:val="4"/>
          <w:sz w:val="24"/>
          <w:szCs w:val="24"/>
          <w:highlight w:val="none"/>
        </w:rPr>
        <w:t>参与投标</w:t>
      </w:r>
      <w:r>
        <w:rPr>
          <w:rFonts w:ascii="宋体" w:hAnsi="宋体" w:eastAsia="宋体" w:cs="宋体"/>
          <w:color w:val="auto"/>
          <w:spacing w:val="-1"/>
          <w:sz w:val="24"/>
          <w:szCs w:val="24"/>
          <w:highlight w:val="none"/>
        </w:rPr>
        <w:t>的，提供的分公司人员的社保也视为有效）。</w:t>
      </w:r>
    </w:p>
    <w:p w14:paraId="208DC05D">
      <w:pPr>
        <w:spacing w:before="1" w:line="359" w:lineRule="auto"/>
        <w:ind w:left="7" w:right="2" w:firstLine="47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③相关业绩证明材料（业绩证明材料应是合同协议书、项目已交（竣）工证明文件（交工验收证书或竣工验收备案表或竣工验收证明材料或建设单位出具的完</w:t>
      </w:r>
      <w:r>
        <w:rPr>
          <w:rFonts w:ascii="宋体" w:hAnsi="宋体" w:eastAsia="宋体" w:cs="宋体"/>
          <w:color w:val="auto"/>
          <w:spacing w:val="4"/>
          <w:sz w:val="24"/>
          <w:szCs w:val="24"/>
          <w:highlight w:val="none"/>
        </w:rPr>
        <w:t>工证明</w:t>
      </w:r>
      <w:r>
        <w:rPr>
          <w:rFonts w:ascii="宋体" w:hAnsi="宋体" w:eastAsia="宋体" w:cs="宋体"/>
          <w:color w:val="auto"/>
          <w:spacing w:val="-1"/>
          <w:sz w:val="24"/>
          <w:szCs w:val="24"/>
          <w:highlight w:val="none"/>
        </w:rPr>
        <w:t>或完工验收鉴定书等）扫描件）。</w:t>
      </w:r>
    </w:p>
    <w:p w14:paraId="3A1B4262">
      <w:pPr>
        <w:spacing w:line="359" w:lineRule="auto"/>
        <w:ind w:left="9" w:right="2" w:firstLine="482"/>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如投标人提供的上述资料无法证实投标人满足招标文件规定的资格审查条件（总</w:t>
      </w:r>
      <w:r>
        <w:rPr>
          <w:rFonts w:ascii="宋体" w:hAnsi="宋体" w:eastAsia="宋体" w:cs="宋体"/>
          <w:color w:val="auto"/>
          <w:spacing w:val="-1"/>
          <w:sz w:val="24"/>
          <w:szCs w:val="24"/>
          <w:highlight w:val="none"/>
        </w:rPr>
        <w:t>监理工程师或驻地监理工程师最低要求</w:t>
      </w:r>
      <w:r>
        <w:rPr>
          <w:rFonts w:ascii="宋体" w:hAnsi="宋体" w:eastAsia="宋体" w:cs="宋体"/>
          <w:color w:val="auto"/>
          <w:spacing w:val="7"/>
          <w:sz w:val="24"/>
          <w:szCs w:val="24"/>
          <w:highlight w:val="none"/>
        </w:rPr>
        <w:t>），</w:t>
      </w:r>
      <w:r>
        <w:rPr>
          <w:rFonts w:ascii="宋体" w:hAnsi="宋体" w:eastAsia="宋体" w:cs="宋体"/>
          <w:color w:val="auto"/>
          <w:spacing w:val="-1"/>
          <w:sz w:val="24"/>
          <w:szCs w:val="24"/>
          <w:highlight w:val="none"/>
        </w:rPr>
        <w:t>则该业绩不予认定。</w:t>
      </w:r>
    </w:p>
    <w:p w14:paraId="1C70E0D0">
      <w:pPr>
        <w:spacing w:before="2" w:line="358" w:lineRule="auto"/>
        <w:ind w:left="12" w:right="2"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如总监理工程师（以及备选人，如有）或驻地监</w:t>
      </w:r>
      <w:r>
        <w:rPr>
          <w:rFonts w:ascii="宋体" w:hAnsi="宋体" w:eastAsia="宋体" w:cs="宋体"/>
          <w:color w:val="auto"/>
          <w:spacing w:val="4"/>
          <w:sz w:val="24"/>
          <w:szCs w:val="24"/>
          <w:highlight w:val="none"/>
        </w:rPr>
        <w:t>理工程师（以及备选人，如有）</w:t>
      </w:r>
      <w:r>
        <w:rPr>
          <w:rFonts w:ascii="宋体" w:hAnsi="宋体" w:eastAsia="宋体" w:cs="宋体"/>
          <w:color w:val="auto"/>
          <w:spacing w:val="5"/>
          <w:sz w:val="24"/>
          <w:szCs w:val="24"/>
          <w:highlight w:val="none"/>
        </w:rPr>
        <w:t>目前仍在其他项目上任职，则投标人应按投标函的格式承诺上述人</w:t>
      </w:r>
      <w:r>
        <w:rPr>
          <w:rFonts w:ascii="宋体" w:hAnsi="宋体" w:eastAsia="宋体" w:cs="宋体"/>
          <w:color w:val="auto"/>
          <w:spacing w:val="4"/>
          <w:sz w:val="24"/>
          <w:szCs w:val="24"/>
          <w:highlight w:val="none"/>
        </w:rPr>
        <w:t>员能够从该项目撤</w:t>
      </w:r>
      <w:r>
        <w:rPr>
          <w:rFonts w:ascii="宋体" w:hAnsi="宋体" w:eastAsia="宋体" w:cs="宋体"/>
          <w:color w:val="auto"/>
          <w:spacing w:val="-5"/>
          <w:sz w:val="24"/>
          <w:szCs w:val="24"/>
          <w:highlight w:val="none"/>
        </w:rPr>
        <w:t>离）。</w:t>
      </w:r>
    </w:p>
    <w:p w14:paraId="2BC0C9BE">
      <w:pPr>
        <w:spacing w:before="3" w:line="359" w:lineRule="auto"/>
        <w:ind w:left="7" w:firstLine="485"/>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3.5.5 “拟委任的其他主要监理人员汇总表</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3"/>
          <w:sz w:val="24"/>
          <w:szCs w:val="24"/>
          <w:highlight w:val="none"/>
        </w:rPr>
        <w:t>（如有）应填报满足投标人须知前</w:t>
      </w:r>
      <w:r>
        <w:rPr>
          <w:rFonts w:ascii="宋体" w:hAnsi="宋体" w:eastAsia="宋体" w:cs="宋体"/>
          <w:color w:val="auto"/>
          <w:spacing w:val="4"/>
          <w:sz w:val="24"/>
          <w:szCs w:val="24"/>
          <w:highlight w:val="none"/>
        </w:rPr>
        <w:t>附表附录</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5</w:t>
      </w:r>
      <w:r>
        <w:rPr>
          <w:rFonts w:ascii="宋体" w:hAnsi="宋体" w:eastAsia="宋体" w:cs="宋体"/>
          <w:color w:val="auto"/>
          <w:spacing w:val="-45"/>
          <w:sz w:val="24"/>
          <w:szCs w:val="24"/>
          <w:highlight w:val="none"/>
        </w:rPr>
        <w:t xml:space="preserve"> </w:t>
      </w:r>
      <w:r>
        <w:rPr>
          <w:rFonts w:ascii="宋体" w:hAnsi="宋体" w:eastAsia="宋体" w:cs="宋体"/>
          <w:color w:val="auto"/>
          <w:spacing w:val="4"/>
          <w:sz w:val="24"/>
          <w:szCs w:val="24"/>
          <w:highlight w:val="none"/>
        </w:rPr>
        <w:t>规定的其他主要监理人员的相关信息。“拟委任的其他主要监理人员资历表</w:t>
      </w:r>
      <w:r>
        <w:rPr>
          <w:rFonts w:ascii="宋体" w:hAnsi="宋体" w:eastAsia="宋体" w:cs="宋体"/>
          <w:color w:val="auto"/>
          <w:spacing w:val="-84"/>
          <w:sz w:val="24"/>
          <w:szCs w:val="24"/>
          <w:highlight w:val="none"/>
        </w:rPr>
        <w:t xml:space="preserve"> </w:t>
      </w:r>
      <w:r>
        <w:rPr>
          <w:rFonts w:ascii="宋体" w:hAnsi="宋体" w:eastAsia="宋体" w:cs="宋体"/>
          <w:color w:val="auto"/>
          <w:spacing w:val="4"/>
          <w:sz w:val="24"/>
          <w:szCs w:val="24"/>
          <w:highlight w:val="none"/>
        </w:rPr>
        <w:t>”（如有）中相关人员应附身份证、职称资格证书和资格审查条件所要求的其他相</w:t>
      </w:r>
      <w:r>
        <w:rPr>
          <w:rFonts w:ascii="宋体" w:hAnsi="宋体" w:eastAsia="宋体" w:cs="宋体"/>
          <w:color w:val="auto"/>
          <w:spacing w:val="5"/>
          <w:sz w:val="24"/>
          <w:szCs w:val="24"/>
          <w:highlight w:val="none"/>
        </w:rPr>
        <w:t>关证书（如公路工程监理工程师证书等）的扫描件，相关业绩证明材料扫描件</w:t>
      </w:r>
      <w:r>
        <w:rPr>
          <w:rFonts w:ascii="宋体" w:hAnsi="宋体" w:eastAsia="宋体" w:cs="宋体"/>
          <w:color w:val="auto"/>
          <w:spacing w:val="4"/>
          <w:sz w:val="24"/>
          <w:szCs w:val="24"/>
          <w:highlight w:val="none"/>
        </w:rPr>
        <w:t>，以及</w:t>
      </w:r>
      <w:r>
        <w:rPr>
          <w:rFonts w:ascii="宋体" w:hAnsi="宋体" w:eastAsia="宋体" w:cs="宋体"/>
          <w:color w:val="auto"/>
          <w:spacing w:val="5"/>
          <w:sz w:val="24"/>
          <w:szCs w:val="24"/>
          <w:highlight w:val="none"/>
        </w:rPr>
        <w:t>投标人所属社保机构出具的社保缴费证明或其他能够证明其参加社保的有效证</w:t>
      </w:r>
      <w:r>
        <w:rPr>
          <w:rFonts w:ascii="宋体" w:hAnsi="宋体" w:eastAsia="宋体" w:cs="宋体"/>
          <w:color w:val="auto"/>
          <w:spacing w:val="4"/>
          <w:sz w:val="24"/>
          <w:szCs w:val="24"/>
          <w:highlight w:val="none"/>
        </w:rPr>
        <w:t>明材料</w:t>
      </w:r>
      <w:r>
        <w:rPr>
          <w:rFonts w:ascii="宋体" w:hAnsi="宋体" w:eastAsia="宋体" w:cs="宋体"/>
          <w:color w:val="auto"/>
          <w:spacing w:val="-3"/>
          <w:sz w:val="24"/>
          <w:szCs w:val="24"/>
          <w:highlight w:val="none"/>
        </w:rPr>
        <w:t>扫描件。</w:t>
      </w:r>
    </w:p>
    <w:p w14:paraId="5F727FC2">
      <w:pPr>
        <w:spacing w:line="359" w:lineRule="auto"/>
        <w:ind w:left="9" w:right="2" w:firstLine="48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3.5.6 投标人须知前附表规定接受联合体投标的，本章第</w:t>
      </w:r>
      <w:r>
        <w:rPr>
          <w:rFonts w:ascii="宋体" w:hAnsi="宋体" w:eastAsia="宋体" w:cs="宋体"/>
          <w:color w:val="auto"/>
          <w:spacing w:val="-27"/>
          <w:sz w:val="24"/>
          <w:szCs w:val="24"/>
          <w:highlight w:val="none"/>
        </w:rPr>
        <w:t xml:space="preserve"> </w:t>
      </w:r>
      <w:r>
        <w:rPr>
          <w:rFonts w:ascii="宋体" w:hAnsi="宋体" w:eastAsia="宋体" w:cs="宋体"/>
          <w:color w:val="auto"/>
          <w:spacing w:val="2"/>
          <w:sz w:val="24"/>
          <w:szCs w:val="24"/>
          <w:highlight w:val="none"/>
        </w:rPr>
        <w:t>3.5.1</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项至第</w:t>
      </w:r>
      <w:r>
        <w:rPr>
          <w:rFonts w:ascii="宋体" w:hAnsi="宋体" w:eastAsia="宋体" w:cs="宋体"/>
          <w:color w:val="auto"/>
          <w:spacing w:val="-41"/>
          <w:sz w:val="24"/>
          <w:szCs w:val="24"/>
          <w:highlight w:val="none"/>
        </w:rPr>
        <w:t xml:space="preserve"> </w:t>
      </w:r>
      <w:r>
        <w:rPr>
          <w:rFonts w:ascii="宋体" w:hAnsi="宋体" w:eastAsia="宋体" w:cs="宋体"/>
          <w:color w:val="auto"/>
          <w:spacing w:val="2"/>
          <w:sz w:val="24"/>
          <w:szCs w:val="24"/>
          <w:highlight w:val="none"/>
        </w:rPr>
        <w:t>3.5.5</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项</w:t>
      </w:r>
      <w:r>
        <w:rPr>
          <w:rFonts w:ascii="宋体" w:hAnsi="宋体" w:eastAsia="宋体" w:cs="宋体"/>
          <w:color w:val="auto"/>
          <w:spacing w:val="-1"/>
          <w:sz w:val="24"/>
          <w:szCs w:val="24"/>
          <w:highlight w:val="none"/>
        </w:rPr>
        <w:t>规定的表格和资料应包括联合体各方相关情况。</w:t>
      </w:r>
    </w:p>
    <w:p w14:paraId="5D55FEFC">
      <w:pPr>
        <w:spacing w:before="1" w:line="359" w:lineRule="auto"/>
        <w:ind w:left="11" w:right="2" w:firstLine="481"/>
        <w:rPr>
          <w:rFonts w:ascii="宋体" w:hAnsi="宋体" w:eastAsia="宋体" w:cs="宋体"/>
          <w:color w:val="auto"/>
          <w:spacing w:val="-1"/>
          <w:sz w:val="24"/>
          <w:szCs w:val="24"/>
          <w:highlight w:val="none"/>
        </w:rPr>
      </w:pPr>
      <w:r>
        <w:rPr>
          <w:rFonts w:ascii="宋体" w:hAnsi="宋体" w:eastAsia="宋体" w:cs="宋体"/>
          <w:color w:val="auto"/>
          <w:spacing w:val="5"/>
          <w:sz w:val="24"/>
          <w:szCs w:val="24"/>
          <w:highlight w:val="none"/>
        </w:rPr>
        <w:t>3.5.7 除合同条款约定的特殊情形外，投标人在</w:t>
      </w:r>
      <w:r>
        <w:rPr>
          <w:rFonts w:ascii="宋体" w:hAnsi="宋体" w:eastAsia="宋体" w:cs="宋体"/>
          <w:color w:val="auto"/>
          <w:spacing w:val="4"/>
          <w:sz w:val="24"/>
          <w:szCs w:val="24"/>
          <w:highlight w:val="none"/>
        </w:rPr>
        <w:t>投标文件中填报的总监理工程师</w:t>
      </w:r>
      <w:r>
        <w:rPr>
          <w:rFonts w:ascii="宋体" w:hAnsi="宋体" w:eastAsia="宋体" w:cs="宋体"/>
          <w:color w:val="auto"/>
          <w:spacing w:val="-1"/>
          <w:sz w:val="24"/>
          <w:szCs w:val="24"/>
          <w:highlight w:val="none"/>
        </w:rPr>
        <w:t>或驻地监理工程师不允许更换。</w:t>
      </w:r>
    </w:p>
    <w:p w14:paraId="49A6FE7D">
      <w:pPr>
        <w:spacing w:before="1" w:line="359" w:lineRule="auto"/>
        <w:ind w:left="11" w:right="2" w:firstLine="481"/>
        <w:rPr>
          <w:rFonts w:hint="eastAsia" w:ascii="宋体" w:hAnsi="宋体" w:eastAsia="宋体" w:cs="宋体"/>
          <w:color w:val="auto"/>
          <w:spacing w:val="-1"/>
          <w:sz w:val="24"/>
          <w:szCs w:val="24"/>
          <w:highlight w:val="none"/>
          <w:lang w:eastAsia="zh-CN"/>
        </w:rPr>
      </w:pPr>
      <w:r>
        <w:rPr>
          <w:rFonts w:ascii="宋体" w:hAnsi="宋体" w:eastAsia="宋体" w:cs="宋体"/>
          <w:color w:val="auto"/>
          <w:spacing w:val="5"/>
          <w:sz w:val="24"/>
          <w:szCs w:val="24"/>
          <w:highlight w:val="none"/>
        </w:rPr>
        <w:t>3.5.8 投标人在投标文件中填报的资质、业绩、</w:t>
      </w:r>
      <w:r>
        <w:rPr>
          <w:rFonts w:ascii="宋体" w:hAnsi="宋体" w:eastAsia="宋体" w:cs="宋体"/>
          <w:color w:val="auto"/>
          <w:spacing w:val="4"/>
          <w:sz w:val="24"/>
          <w:szCs w:val="24"/>
          <w:highlight w:val="none"/>
        </w:rPr>
        <w:t>主要人员资历和目前在岗情况、</w:t>
      </w:r>
      <w:bookmarkStart w:id="42" w:name="bookmark125"/>
      <w:bookmarkEnd w:id="42"/>
      <w:r>
        <w:rPr>
          <w:rFonts w:ascii="宋体" w:hAnsi="宋体" w:eastAsia="宋体" w:cs="宋体"/>
          <w:color w:val="auto"/>
          <w:spacing w:val="4"/>
          <w:sz w:val="24"/>
          <w:szCs w:val="24"/>
          <w:highlight w:val="none"/>
        </w:rPr>
        <w:t>信用等级等信息，应与其在交通运输主管部门“公路建设市场监督管理</w:t>
      </w:r>
      <w:r>
        <w:rPr>
          <w:rFonts w:ascii="宋体" w:hAnsi="宋体" w:eastAsia="宋体" w:cs="宋体"/>
          <w:color w:val="auto"/>
          <w:spacing w:val="3"/>
          <w:sz w:val="24"/>
          <w:szCs w:val="24"/>
          <w:highlight w:val="none"/>
        </w:rPr>
        <w:t>系统</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”上填报</w:t>
      </w:r>
      <w:r>
        <w:rPr>
          <w:rFonts w:ascii="宋体" w:hAnsi="宋体" w:eastAsia="宋体" w:cs="宋体"/>
          <w:color w:val="auto"/>
          <w:spacing w:val="1"/>
          <w:sz w:val="24"/>
          <w:szCs w:val="24"/>
          <w:highlight w:val="none"/>
        </w:rPr>
        <w:t>并发布的相关信息一致</w:t>
      </w:r>
      <w:r>
        <w:rPr>
          <w:rFonts w:ascii="宋体" w:hAnsi="宋体" w:eastAsia="宋体" w:cs="宋体"/>
          <w:color w:val="auto"/>
          <w:spacing w:val="-25"/>
          <w:position w:val="12"/>
          <w:sz w:val="12"/>
          <w:szCs w:val="12"/>
          <w:highlight w:val="none"/>
        </w:rPr>
        <w:t xml:space="preserve"> </w:t>
      </w:r>
      <w:r>
        <w:rPr>
          <w:rFonts w:ascii="宋体" w:hAnsi="宋体" w:eastAsia="宋体" w:cs="宋体"/>
          <w:color w:val="auto"/>
          <w:spacing w:val="1"/>
          <w:sz w:val="24"/>
          <w:szCs w:val="24"/>
          <w:highlight w:val="none"/>
        </w:rPr>
        <w:t>。投标人应根据本单</w:t>
      </w:r>
      <w:r>
        <w:rPr>
          <w:rFonts w:ascii="宋体" w:hAnsi="宋体" w:eastAsia="宋体" w:cs="宋体"/>
          <w:color w:val="auto"/>
          <w:sz w:val="24"/>
          <w:szCs w:val="24"/>
          <w:highlight w:val="none"/>
        </w:rPr>
        <w:t>位实际情况及时完成相关信息的申报、录</w:t>
      </w:r>
      <w:r>
        <w:rPr>
          <w:rFonts w:ascii="宋体" w:hAnsi="宋体" w:eastAsia="宋体" w:cs="宋体"/>
          <w:color w:val="auto"/>
          <w:spacing w:val="-1"/>
          <w:sz w:val="24"/>
          <w:szCs w:val="24"/>
          <w:highlight w:val="none"/>
        </w:rPr>
        <w:t>入和动态更新，并对相关信息的真实性、完整性和准确性负责。</w:t>
      </w:r>
      <w:r>
        <w:rPr>
          <w:rFonts w:hint="eastAsia" w:ascii="宋体" w:hAnsi="宋体" w:eastAsia="宋体" w:cs="宋体"/>
          <w:color w:val="auto"/>
          <w:spacing w:val="-1"/>
          <w:sz w:val="24"/>
          <w:szCs w:val="24"/>
          <w:highlight w:val="none"/>
          <w:lang w:eastAsia="zh-CN"/>
        </w:rPr>
        <w:t>（适用于采用交通运输主管部门“公路建设市场监督管理系统 ”截图作为证明材料的情形）</w:t>
      </w:r>
    </w:p>
    <w:p w14:paraId="011E8204">
      <w:pPr>
        <w:spacing w:before="1" w:line="359" w:lineRule="auto"/>
        <w:ind w:left="11" w:right="2" w:firstLine="48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3.5.9 招标人有权核查投标人在资格预审申请文</w:t>
      </w:r>
      <w:r>
        <w:rPr>
          <w:rFonts w:ascii="宋体" w:hAnsi="宋体" w:eastAsia="宋体" w:cs="宋体"/>
          <w:color w:val="auto"/>
          <w:spacing w:val="4"/>
          <w:sz w:val="24"/>
          <w:szCs w:val="24"/>
          <w:highlight w:val="none"/>
        </w:rPr>
        <w:t>件和投标文件中提供的资料，若</w:t>
      </w:r>
      <w:r>
        <w:rPr>
          <w:rFonts w:ascii="宋体" w:hAnsi="宋体" w:eastAsia="宋体" w:cs="宋体"/>
          <w:color w:val="auto"/>
          <w:spacing w:val="5"/>
          <w:sz w:val="24"/>
          <w:szCs w:val="24"/>
          <w:highlight w:val="none"/>
        </w:rPr>
        <w:t>在评标期间发现投标人提供了虚假资料，其投标将被否决；若在签订合同前发</w:t>
      </w:r>
      <w:r>
        <w:rPr>
          <w:rFonts w:ascii="宋体" w:hAnsi="宋体" w:eastAsia="宋体" w:cs="宋体"/>
          <w:color w:val="auto"/>
          <w:spacing w:val="4"/>
          <w:sz w:val="24"/>
          <w:szCs w:val="24"/>
          <w:highlight w:val="none"/>
        </w:rPr>
        <w:t>现作为</w:t>
      </w:r>
      <w:r>
        <w:rPr>
          <w:rFonts w:ascii="宋体" w:hAnsi="宋体" w:eastAsia="宋体" w:cs="宋体"/>
          <w:color w:val="auto"/>
          <w:spacing w:val="5"/>
          <w:sz w:val="24"/>
          <w:szCs w:val="24"/>
          <w:highlight w:val="none"/>
        </w:rPr>
        <w:t>中标候选人的投标人提供了虚假资料，招标人有权取消其中标资格；若在合同</w:t>
      </w:r>
      <w:r>
        <w:rPr>
          <w:rFonts w:ascii="宋体" w:hAnsi="宋体" w:eastAsia="宋体" w:cs="宋体"/>
          <w:color w:val="auto"/>
          <w:spacing w:val="4"/>
          <w:sz w:val="24"/>
          <w:szCs w:val="24"/>
          <w:highlight w:val="none"/>
        </w:rPr>
        <w:t>实施期</w:t>
      </w:r>
      <w:r>
        <w:rPr>
          <w:rFonts w:ascii="宋体" w:hAnsi="宋体" w:eastAsia="宋体" w:cs="宋体"/>
          <w:color w:val="auto"/>
          <w:spacing w:val="2"/>
          <w:sz w:val="24"/>
          <w:szCs w:val="24"/>
          <w:highlight w:val="none"/>
        </w:rPr>
        <w:t>间发现投标人提供了虚假资料，招标人有权从合同价款或履约保证金中扣除不超过</w:t>
      </w:r>
      <w:r>
        <w:rPr>
          <w:rFonts w:ascii="宋体" w:hAnsi="宋体" w:eastAsia="宋体" w:cs="宋体"/>
          <w:color w:val="auto"/>
          <w:spacing w:val="-46"/>
          <w:sz w:val="24"/>
          <w:szCs w:val="24"/>
          <w:highlight w:val="none"/>
        </w:rPr>
        <w:t xml:space="preserve"> </w:t>
      </w:r>
      <w:r>
        <w:rPr>
          <w:rFonts w:ascii="宋体" w:hAnsi="宋体" w:eastAsia="宋体" w:cs="宋体"/>
          <w:color w:val="auto"/>
          <w:spacing w:val="2"/>
          <w:sz w:val="24"/>
          <w:szCs w:val="24"/>
          <w:highlight w:val="none"/>
        </w:rPr>
        <w:t>5%</w:t>
      </w:r>
      <w:r>
        <w:rPr>
          <w:rFonts w:ascii="宋体" w:hAnsi="宋体" w:eastAsia="宋体" w:cs="宋体"/>
          <w:color w:val="auto"/>
          <w:spacing w:val="5"/>
          <w:sz w:val="24"/>
          <w:szCs w:val="24"/>
          <w:highlight w:val="none"/>
        </w:rPr>
        <w:t>签约合同价的金额作为违约金。同时招标人将投标人上述弄虚作假行为上报省</w:t>
      </w:r>
      <w:r>
        <w:rPr>
          <w:rFonts w:ascii="宋体" w:hAnsi="宋体" w:eastAsia="宋体" w:cs="宋体"/>
          <w:color w:val="auto"/>
          <w:spacing w:val="4"/>
          <w:sz w:val="24"/>
          <w:szCs w:val="24"/>
          <w:highlight w:val="none"/>
        </w:rPr>
        <w:t>级交通</w:t>
      </w:r>
      <w:r>
        <w:rPr>
          <w:rFonts w:ascii="宋体" w:hAnsi="宋体" w:eastAsia="宋体" w:cs="宋体"/>
          <w:color w:val="auto"/>
          <w:spacing w:val="-1"/>
          <w:sz w:val="24"/>
          <w:szCs w:val="24"/>
          <w:highlight w:val="none"/>
        </w:rPr>
        <w:t>运输主管部门，作为不良记录纳入公路建设市场监督管理系统。</w:t>
      </w:r>
    </w:p>
    <w:p w14:paraId="56832389">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3.6</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备选投标方案</w:t>
      </w:r>
    </w:p>
    <w:p w14:paraId="7721A8E6">
      <w:pPr>
        <w:spacing w:before="179" w:line="359" w:lineRule="auto"/>
        <w:ind w:left="11" w:right="128" w:firstLine="48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3.6.1 除投标人须知前附表规定允许外，投标人</w:t>
      </w:r>
      <w:r>
        <w:rPr>
          <w:rFonts w:ascii="宋体" w:hAnsi="宋体" w:eastAsia="宋体" w:cs="宋体"/>
          <w:color w:val="auto"/>
          <w:spacing w:val="4"/>
          <w:sz w:val="24"/>
          <w:szCs w:val="24"/>
          <w:highlight w:val="none"/>
        </w:rPr>
        <w:t>不得递交备选投标方案，否则其</w:t>
      </w:r>
      <w:r>
        <w:rPr>
          <w:rFonts w:ascii="宋体" w:hAnsi="宋体" w:eastAsia="宋体" w:cs="宋体"/>
          <w:color w:val="auto"/>
          <w:spacing w:val="-2"/>
          <w:sz w:val="24"/>
          <w:szCs w:val="24"/>
          <w:highlight w:val="none"/>
        </w:rPr>
        <w:t>投标将被否决。</w:t>
      </w:r>
    </w:p>
    <w:p w14:paraId="3956A8A5">
      <w:pPr>
        <w:spacing w:before="1" w:line="359" w:lineRule="auto"/>
        <w:ind w:left="9" w:right="128"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3.6.2 允许投标人递交备选投标方案的，只有中</w:t>
      </w:r>
      <w:r>
        <w:rPr>
          <w:rFonts w:ascii="宋体" w:hAnsi="宋体" w:eastAsia="宋体" w:cs="宋体"/>
          <w:color w:val="auto"/>
          <w:spacing w:val="4"/>
          <w:sz w:val="24"/>
          <w:szCs w:val="24"/>
          <w:highlight w:val="none"/>
        </w:rPr>
        <w:t>标人所递交的备选投标方案方可</w:t>
      </w:r>
      <w:r>
        <w:rPr>
          <w:rFonts w:ascii="宋体" w:hAnsi="宋体" w:eastAsia="宋体" w:cs="宋体"/>
          <w:color w:val="auto"/>
          <w:spacing w:val="5"/>
          <w:sz w:val="24"/>
          <w:szCs w:val="24"/>
          <w:highlight w:val="none"/>
        </w:rPr>
        <w:t>予以考虑。评标委员会认为中标人的备选投标方案优于其按照招标文件要</w:t>
      </w:r>
      <w:r>
        <w:rPr>
          <w:rFonts w:ascii="宋体" w:hAnsi="宋体" w:eastAsia="宋体" w:cs="宋体"/>
          <w:color w:val="auto"/>
          <w:spacing w:val="4"/>
          <w:sz w:val="24"/>
          <w:szCs w:val="24"/>
          <w:highlight w:val="none"/>
        </w:rPr>
        <w:t>求编制的投</w:t>
      </w:r>
      <w:r>
        <w:rPr>
          <w:rFonts w:ascii="宋体" w:hAnsi="宋体" w:eastAsia="宋体" w:cs="宋体"/>
          <w:color w:val="auto"/>
          <w:spacing w:val="-1"/>
          <w:sz w:val="24"/>
          <w:szCs w:val="24"/>
          <w:highlight w:val="none"/>
        </w:rPr>
        <w:t>标方案的，招标人可以接受该备选投标方案。</w:t>
      </w:r>
    </w:p>
    <w:p w14:paraId="3FC3207F">
      <w:pPr>
        <w:spacing w:line="359" w:lineRule="auto"/>
        <w:ind w:left="31" w:right="128" w:firstLine="46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3.6.3 投标人提供两个或两个以上投标报价，或</w:t>
      </w:r>
      <w:r>
        <w:rPr>
          <w:rFonts w:ascii="宋体" w:hAnsi="宋体" w:eastAsia="宋体" w:cs="宋体"/>
          <w:color w:val="auto"/>
          <w:spacing w:val="4"/>
          <w:sz w:val="24"/>
          <w:szCs w:val="24"/>
          <w:highlight w:val="none"/>
        </w:rPr>
        <w:t>在投标文件中提供一个报价，但</w:t>
      </w:r>
      <w:r>
        <w:rPr>
          <w:rFonts w:ascii="宋体" w:hAnsi="宋体" w:eastAsia="宋体" w:cs="宋体"/>
          <w:color w:val="auto"/>
          <w:spacing w:val="-2"/>
          <w:sz w:val="24"/>
          <w:szCs w:val="24"/>
          <w:highlight w:val="none"/>
        </w:rPr>
        <w:t>同时提供两个或两个以上监理方案的，视为提供备选方案。</w:t>
      </w:r>
    </w:p>
    <w:p w14:paraId="3AA98352">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3.7</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投标文件的编制</w:t>
      </w:r>
    </w:p>
    <w:p w14:paraId="494319FB">
      <w:pPr>
        <w:spacing w:before="181" w:line="360" w:lineRule="auto"/>
        <w:ind w:left="14" w:right="128" w:firstLine="47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3.7.1 投标文件应按第七章“投标文件格式</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3"/>
          <w:sz w:val="24"/>
          <w:szCs w:val="24"/>
          <w:highlight w:val="none"/>
        </w:rPr>
        <w:t>进行编写，如有必要，可以增加附</w:t>
      </w:r>
      <w:r>
        <w:rPr>
          <w:rFonts w:ascii="宋体" w:hAnsi="宋体" w:eastAsia="宋体" w:cs="宋体"/>
          <w:color w:val="auto"/>
          <w:spacing w:val="-2"/>
          <w:sz w:val="24"/>
          <w:szCs w:val="24"/>
          <w:highlight w:val="none"/>
        </w:rPr>
        <w:t>页，作为投标文件的组成部分。</w:t>
      </w:r>
    </w:p>
    <w:p w14:paraId="6E4EA5C3">
      <w:pPr>
        <w:spacing w:line="359" w:lineRule="auto"/>
        <w:ind w:left="54" w:right="128" w:firstLine="43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3.7.2 投标文件应对招标文件有关监理服务期限</w:t>
      </w:r>
      <w:r>
        <w:rPr>
          <w:rFonts w:ascii="宋体" w:hAnsi="宋体" w:eastAsia="宋体" w:cs="宋体"/>
          <w:color w:val="auto"/>
          <w:spacing w:val="4"/>
          <w:sz w:val="24"/>
          <w:szCs w:val="24"/>
          <w:highlight w:val="none"/>
        </w:rPr>
        <w:t>、投标有效期、质量要求、安全</w:t>
      </w:r>
      <w:r>
        <w:rPr>
          <w:rFonts w:ascii="宋体" w:hAnsi="宋体" w:eastAsia="宋体" w:cs="宋体"/>
          <w:color w:val="auto"/>
          <w:spacing w:val="-3"/>
          <w:sz w:val="24"/>
          <w:szCs w:val="24"/>
          <w:highlight w:val="none"/>
        </w:rPr>
        <w:t>目标、委托人要求、招标范围等实质性内容作出响应。</w:t>
      </w:r>
    </w:p>
    <w:p w14:paraId="09BFB093">
      <w:pPr>
        <w:spacing w:before="1"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3.7.3  投标文件的制作应满足以下规定：</w:t>
      </w:r>
    </w:p>
    <w:p w14:paraId="0D72814D">
      <w:pPr>
        <w:spacing w:before="180" w:line="360" w:lineRule="auto"/>
        <w:ind w:left="10" w:right="128" w:firstLine="48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（1）投标文件由投标人使用“</w:t>
      </w:r>
      <w:r>
        <w:rPr>
          <w:rFonts w:ascii="宋体" w:hAnsi="宋体" w:eastAsia="宋体" w:cs="宋体"/>
          <w:color w:val="auto"/>
          <w:spacing w:val="-65"/>
          <w:sz w:val="24"/>
          <w:szCs w:val="24"/>
          <w:highlight w:val="none"/>
        </w:rPr>
        <w:t xml:space="preserve"> </w:t>
      </w:r>
      <w:r>
        <w:rPr>
          <w:rFonts w:ascii="宋体" w:hAnsi="宋体" w:eastAsia="宋体" w:cs="宋体"/>
          <w:color w:val="auto"/>
          <w:spacing w:val="-2"/>
          <w:sz w:val="24"/>
          <w:szCs w:val="24"/>
          <w:highlight w:val="none"/>
        </w:rPr>
        <w:t>电子交易平台</w:t>
      </w:r>
      <w:r>
        <w:rPr>
          <w:rFonts w:ascii="宋体" w:hAnsi="宋体" w:eastAsia="宋体" w:cs="宋体"/>
          <w:color w:val="auto"/>
          <w:spacing w:val="-85"/>
          <w:sz w:val="24"/>
          <w:szCs w:val="24"/>
          <w:highlight w:val="none"/>
        </w:rPr>
        <w:t xml:space="preserve"> </w:t>
      </w:r>
      <w:r>
        <w:rPr>
          <w:rFonts w:ascii="宋体" w:hAnsi="宋体" w:eastAsia="宋体" w:cs="宋体"/>
          <w:color w:val="auto"/>
          <w:spacing w:val="-2"/>
          <w:sz w:val="24"/>
          <w:szCs w:val="24"/>
          <w:highlight w:val="none"/>
        </w:rPr>
        <w:t>”自带的“投标文件制作工具</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”制作</w:t>
      </w:r>
      <w:r>
        <w:rPr>
          <w:rFonts w:ascii="宋体" w:hAnsi="宋体" w:eastAsia="宋体" w:cs="宋体"/>
          <w:color w:val="auto"/>
          <w:spacing w:val="-4"/>
          <w:sz w:val="24"/>
          <w:szCs w:val="24"/>
          <w:highlight w:val="none"/>
        </w:rPr>
        <w:t>生成。</w:t>
      </w:r>
    </w:p>
    <w:p w14:paraId="313E1B4D">
      <w:pPr>
        <w:spacing w:before="1" w:line="219"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（2）投标人在编制投标文件时应建立分级目录，并按照标签提示导入相关内容。</w:t>
      </w:r>
    </w:p>
    <w:p w14:paraId="78E48A39">
      <w:pPr>
        <w:spacing w:before="180" w:line="359" w:lineRule="auto"/>
        <w:ind w:left="8" w:right="128" w:firstLine="491"/>
        <w:rPr>
          <w:rFonts w:ascii="宋体" w:hAnsi="宋体" w:eastAsia="宋体" w:cs="宋体"/>
          <w:color w:val="auto"/>
          <w:spacing w:val="-2"/>
          <w:sz w:val="24"/>
          <w:szCs w:val="24"/>
          <w:highlight w:val="none"/>
        </w:rPr>
      </w:pPr>
      <w:r>
        <w:rPr>
          <w:rFonts w:ascii="宋体" w:hAnsi="宋体" w:eastAsia="宋体" w:cs="宋体"/>
          <w:color w:val="auto"/>
          <w:spacing w:val="1"/>
          <w:sz w:val="24"/>
          <w:szCs w:val="24"/>
          <w:highlight w:val="none"/>
        </w:rPr>
        <w:t>（3）投标文件中的已标价报价清单数据文件应与招标人提供的报价清单数据文件</w:t>
      </w:r>
      <w:r>
        <w:rPr>
          <w:rFonts w:ascii="宋体" w:hAnsi="宋体" w:eastAsia="宋体" w:cs="宋体"/>
          <w:color w:val="auto"/>
          <w:spacing w:val="-2"/>
          <w:sz w:val="24"/>
          <w:szCs w:val="24"/>
          <w:highlight w:val="none"/>
        </w:rPr>
        <w:t>格式一致。</w:t>
      </w:r>
    </w:p>
    <w:p w14:paraId="70F9A060">
      <w:pPr>
        <w:spacing w:before="180" w:line="359" w:lineRule="auto"/>
        <w:ind w:left="8" w:right="128" w:firstLine="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（4）投标文件中需签名(签字)的，投标人应按要求使用个人电子签名章进行签名。</w:t>
      </w:r>
      <w:bookmarkStart w:id="43" w:name="bookmark126"/>
      <w:bookmarkEnd w:id="43"/>
      <w:r>
        <w:rPr>
          <w:rFonts w:ascii="宋体" w:hAnsi="宋体" w:eastAsia="宋体" w:cs="宋体"/>
          <w:color w:val="auto"/>
          <w:spacing w:val="5"/>
          <w:sz w:val="24"/>
          <w:szCs w:val="24"/>
          <w:highlight w:val="none"/>
        </w:rPr>
        <w:t>如投标人法定代表人或其委托代理人或总监理工程师（含备选，如</w:t>
      </w:r>
      <w:r>
        <w:rPr>
          <w:rFonts w:ascii="宋体" w:hAnsi="宋体" w:eastAsia="宋体" w:cs="宋体"/>
          <w:color w:val="auto"/>
          <w:spacing w:val="4"/>
          <w:sz w:val="24"/>
          <w:szCs w:val="24"/>
          <w:highlight w:val="none"/>
        </w:rPr>
        <w:t>有）或驻地监理工</w:t>
      </w:r>
      <w:r>
        <w:rPr>
          <w:rFonts w:ascii="宋体" w:hAnsi="宋体" w:eastAsia="宋体" w:cs="宋体"/>
          <w:color w:val="auto"/>
          <w:spacing w:val="-2"/>
          <w:sz w:val="24"/>
          <w:szCs w:val="24"/>
          <w:highlight w:val="none"/>
        </w:rPr>
        <w:t>程师（含备选，如有）未办理个人电子签名章的，投标人应打印需要签名的相关页面，</w:t>
      </w:r>
      <w:r>
        <w:rPr>
          <w:rFonts w:ascii="宋体" w:hAnsi="宋体" w:eastAsia="宋体" w:cs="宋体"/>
          <w:color w:val="auto"/>
          <w:spacing w:val="-1"/>
          <w:sz w:val="24"/>
          <w:szCs w:val="24"/>
          <w:highlight w:val="none"/>
        </w:rPr>
        <w:t>本人亲笔签名后扫描上传至投标文件相应位置中。</w:t>
      </w:r>
    </w:p>
    <w:p w14:paraId="680EE5A2">
      <w:pPr>
        <w:spacing w:line="359" w:lineRule="auto"/>
        <w:ind w:left="4" w:right="113" w:firstLine="48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（5）投标文件制作完成后，投标人应使用</w:t>
      </w:r>
      <w:r>
        <w:rPr>
          <w:rFonts w:ascii="宋体" w:hAnsi="宋体" w:eastAsia="宋体" w:cs="宋体"/>
          <w:color w:val="auto"/>
          <w:spacing w:val="-53"/>
          <w:sz w:val="24"/>
          <w:szCs w:val="24"/>
          <w:highlight w:val="none"/>
        </w:rPr>
        <w:t xml:space="preserve"> </w:t>
      </w:r>
      <w:r>
        <w:rPr>
          <w:rFonts w:ascii="宋体" w:hAnsi="宋体" w:eastAsia="宋体" w:cs="宋体"/>
          <w:color w:val="auto"/>
          <w:spacing w:val="-2"/>
          <w:sz w:val="24"/>
          <w:szCs w:val="24"/>
          <w:highlight w:val="none"/>
        </w:rPr>
        <w:t>CA 数字证书</w:t>
      </w:r>
      <w:r>
        <w:rPr>
          <w:rFonts w:ascii="宋体" w:hAnsi="宋体" w:eastAsia="宋体" w:cs="宋体"/>
          <w:color w:val="auto"/>
          <w:spacing w:val="-3"/>
          <w:sz w:val="24"/>
          <w:szCs w:val="24"/>
          <w:highlight w:val="none"/>
        </w:rPr>
        <w:t>对投标文件进行文件加密，</w:t>
      </w:r>
      <w:r>
        <w:rPr>
          <w:rFonts w:ascii="宋体" w:hAnsi="宋体" w:eastAsia="宋体" w:cs="宋体"/>
          <w:color w:val="auto"/>
          <w:spacing w:val="-2"/>
          <w:sz w:val="24"/>
          <w:szCs w:val="24"/>
          <w:highlight w:val="none"/>
        </w:rPr>
        <w:t>形成加密的投标文件。</w:t>
      </w:r>
    </w:p>
    <w:p w14:paraId="125A7986">
      <w:pPr>
        <w:spacing w:line="360" w:lineRule="auto"/>
        <w:ind w:right="163" w:firstLine="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3.7.4</w:t>
      </w:r>
      <w:r>
        <w:rPr>
          <w:rFonts w:ascii="宋体" w:hAnsi="宋体" w:eastAsia="宋体" w:cs="宋体"/>
          <w:color w:val="auto"/>
          <w:spacing w:val="35"/>
          <w:sz w:val="24"/>
          <w:szCs w:val="24"/>
          <w:highlight w:val="none"/>
        </w:rPr>
        <w:t xml:space="preserve"> </w:t>
      </w:r>
      <w:r>
        <w:rPr>
          <w:rFonts w:ascii="宋体" w:hAnsi="宋体" w:eastAsia="宋体" w:cs="宋体"/>
          <w:color w:val="auto"/>
          <w:spacing w:val="2"/>
          <w:sz w:val="24"/>
          <w:szCs w:val="24"/>
          <w:highlight w:val="none"/>
        </w:rPr>
        <w:t>因投标人自身原因而导致投标文件</w:t>
      </w:r>
      <w:r>
        <w:rPr>
          <w:rFonts w:ascii="宋体" w:hAnsi="宋体" w:eastAsia="宋体" w:cs="宋体"/>
          <w:color w:val="auto"/>
          <w:spacing w:val="1"/>
          <w:sz w:val="24"/>
          <w:szCs w:val="24"/>
          <w:highlight w:val="none"/>
        </w:rPr>
        <w:t>无法导入“</w:t>
      </w:r>
      <w:r>
        <w:rPr>
          <w:rFonts w:ascii="宋体" w:hAnsi="宋体" w:eastAsia="宋体" w:cs="宋体"/>
          <w:color w:val="auto"/>
          <w:spacing w:val="-75"/>
          <w:sz w:val="24"/>
          <w:szCs w:val="24"/>
          <w:highlight w:val="none"/>
        </w:rPr>
        <w:t xml:space="preserve"> </w:t>
      </w:r>
      <w:r>
        <w:rPr>
          <w:rFonts w:ascii="宋体" w:hAnsi="宋体" w:eastAsia="宋体" w:cs="宋体"/>
          <w:color w:val="auto"/>
          <w:spacing w:val="1"/>
          <w:sz w:val="24"/>
          <w:szCs w:val="24"/>
          <w:highlight w:val="none"/>
        </w:rPr>
        <w:t>电子交易平台</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”电子开标、</w:t>
      </w:r>
      <w:r>
        <w:rPr>
          <w:rFonts w:ascii="宋体" w:hAnsi="宋体" w:eastAsia="宋体" w:cs="宋体"/>
          <w:color w:val="auto"/>
          <w:spacing w:val="5"/>
          <w:sz w:val="24"/>
          <w:szCs w:val="24"/>
          <w:highlight w:val="none"/>
        </w:rPr>
        <w:t>评标系统，该投标视为无效投标，投标人自行承担由此导致的全部责任。投标</w:t>
      </w:r>
      <w:r>
        <w:rPr>
          <w:rFonts w:ascii="宋体" w:hAnsi="宋体" w:eastAsia="宋体" w:cs="宋体"/>
          <w:color w:val="auto"/>
          <w:spacing w:val="4"/>
          <w:sz w:val="24"/>
          <w:szCs w:val="24"/>
          <w:highlight w:val="none"/>
        </w:rPr>
        <w:t>文件其</w:t>
      </w:r>
      <w:r>
        <w:rPr>
          <w:rFonts w:ascii="宋体" w:hAnsi="宋体" w:eastAsia="宋体" w:cs="宋体"/>
          <w:color w:val="auto"/>
          <w:spacing w:val="-1"/>
          <w:sz w:val="24"/>
          <w:szCs w:val="24"/>
          <w:highlight w:val="none"/>
        </w:rPr>
        <w:t>他要求见投标人须知前附表。</w:t>
      </w:r>
    </w:p>
    <w:p w14:paraId="6EDB693A">
      <w:pPr>
        <w:pStyle w:val="3"/>
        <w:bidi w:val="0"/>
        <w:rPr>
          <w:rFonts w:ascii="宋体" w:hAnsi="宋体" w:eastAsia="宋体" w:cs="宋体"/>
          <w:color w:val="auto"/>
          <w:sz w:val="28"/>
          <w:szCs w:val="28"/>
          <w:highlight w:val="none"/>
        </w:rPr>
      </w:pPr>
      <w:r>
        <w:rPr>
          <w:rFonts w:ascii="宋体" w:hAnsi="宋体" w:eastAsia="宋体" w:cs="宋体"/>
          <w:b/>
          <w:bCs/>
          <w:color w:val="auto"/>
          <w:spacing w:val="-9"/>
          <w:sz w:val="28"/>
          <w:szCs w:val="28"/>
          <w:highlight w:val="none"/>
        </w:rPr>
        <w:t>4.</w:t>
      </w:r>
      <w:r>
        <w:rPr>
          <w:rFonts w:ascii="宋体" w:hAnsi="宋体" w:eastAsia="宋体" w:cs="宋体"/>
          <w:color w:val="auto"/>
          <w:spacing w:val="17"/>
          <w:sz w:val="28"/>
          <w:szCs w:val="28"/>
          <w:highlight w:val="none"/>
        </w:rPr>
        <w:t xml:space="preserve"> </w:t>
      </w:r>
      <w:r>
        <w:rPr>
          <w:rFonts w:ascii="宋体" w:hAnsi="宋体" w:eastAsia="宋体" w:cs="宋体"/>
          <w:b/>
          <w:bCs/>
          <w:color w:val="auto"/>
          <w:spacing w:val="-9"/>
          <w:sz w:val="28"/>
          <w:szCs w:val="28"/>
          <w:highlight w:val="none"/>
        </w:rPr>
        <w:t>投标</w:t>
      </w:r>
    </w:p>
    <w:p w14:paraId="0ED48A11">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4.1</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投标文件的加密</w:t>
      </w:r>
    </w:p>
    <w:p w14:paraId="29BD29A1">
      <w:pPr>
        <w:spacing w:before="183" w:line="359" w:lineRule="auto"/>
        <w:ind w:left="2" w:right="163" w:firstLine="48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投标文件应按照本章第</w:t>
      </w:r>
      <w:r>
        <w:rPr>
          <w:rFonts w:ascii="宋体" w:hAnsi="宋体" w:eastAsia="宋体" w:cs="宋体"/>
          <w:color w:val="auto"/>
          <w:spacing w:val="-38"/>
          <w:sz w:val="24"/>
          <w:szCs w:val="24"/>
          <w:highlight w:val="none"/>
        </w:rPr>
        <w:t xml:space="preserve"> </w:t>
      </w:r>
      <w:r>
        <w:rPr>
          <w:rFonts w:ascii="宋体" w:hAnsi="宋体" w:eastAsia="宋体" w:cs="宋体"/>
          <w:color w:val="auto"/>
          <w:spacing w:val="4"/>
          <w:sz w:val="24"/>
          <w:szCs w:val="24"/>
          <w:highlight w:val="none"/>
        </w:rPr>
        <w:t>3.7.3</w:t>
      </w:r>
      <w:r>
        <w:rPr>
          <w:rFonts w:ascii="宋体" w:hAnsi="宋体" w:eastAsia="宋体" w:cs="宋体"/>
          <w:color w:val="auto"/>
          <w:spacing w:val="-40"/>
          <w:sz w:val="24"/>
          <w:szCs w:val="24"/>
          <w:highlight w:val="none"/>
        </w:rPr>
        <w:t xml:space="preserve"> </w:t>
      </w:r>
      <w:r>
        <w:rPr>
          <w:rFonts w:ascii="宋体" w:hAnsi="宋体" w:eastAsia="宋体" w:cs="宋体"/>
          <w:color w:val="auto"/>
          <w:spacing w:val="4"/>
          <w:sz w:val="24"/>
          <w:szCs w:val="24"/>
          <w:highlight w:val="none"/>
        </w:rPr>
        <w:t>项要求制作并加密，未</w:t>
      </w:r>
      <w:r>
        <w:rPr>
          <w:rFonts w:ascii="宋体" w:hAnsi="宋体" w:eastAsia="宋体" w:cs="宋体"/>
          <w:color w:val="auto"/>
          <w:spacing w:val="3"/>
          <w:sz w:val="24"/>
          <w:szCs w:val="24"/>
          <w:highlight w:val="none"/>
        </w:rPr>
        <w:t>按要求加密的投标文件，招</w:t>
      </w:r>
      <w:r>
        <w:rPr>
          <w:rFonts w:ascii="宋体" w:hAnsi="宋体" w:eastAsia="宋体" w:cs="宋体"/>
          <w:color w:val="auto"/>
          <w:spacing w:val="-6"/>
          <w:sz w:val="24"/>
          <w:szCs w:val="24"/>
          <w:highlight w:val="none"/>
        </w:rPr>
        <w:t>标人（</w:t>
      </w:r>
      <w:r>
        <w:rPr>
          <w:rFonts w:ascii="宋体" w:hAnsi="宋体" w:eastAsia="宋体" w:cs="宋体"/>
          <w:color w:val="auto"/>
          <w:spacing w:val="-75"/>
          <w:sz w:val="24"/>
          <w:szCs w:val="24"/>
          <w:highlight w:val="none"/>
        </w:rPr>
        <w:t xml:space="preserve"> </w:t>
      </w:r>
      <w:r>
        <w:rPr>
          <w:rFonts w:ascii="宋体" w:hAnsi="宋体" w:eastAsia="宋体" w:cs="宋体"/>
          <w:color w:val="auto"/>
          <w:spacing w:val="-6"/>
          <w:sz w:val="24"/>
          <w:szCs w:val="24"/>
          <w:highlight w:val="none"/>
        </w:rPr>
        <w:t>“</w:t>
      </w:r>
      <w:r>
        <w:rPr>
          <w:rFonts w:ascii="宋体" w:hAnsi="宋体" w:eastAsia="宋体" w:cs="宋体"/>
          <w:color w:val="auto"/>
          <w:spacing w:val="-83"/>
          <w:sz w:val="24"/>
          <w:szCs w:val="24"/>
          <w:highlight w:val="none"/>
        </w:rPr>
        <w:t xml:space="preserve"> </w:t>
      </w:r>
      <w:r>
        <w:rPr>
          <w:rFonts w:ascii="宋体" w:hAnsi="宋体" w:eastAsia="宋体" w:cs="宋体"/>
          <w:color w:val="auto"/>
          <w:spacing w:val="-6"/>
          <w:sz w:val="24"/>
          <w:szCs w:val="24"/>
          <w:highlight w:val="none"/>
        </w:rPr>
        <w:t>电子交易平台</w:t>
      </w:r>
      <w:r>
        <w:rPr>
          <w:rFonts w:ascii="宋体" w:hAnsi="宋体" w:eastAsia="宋体" w:cs="宋体"/>
          <w:color w:val="auto"/>
          <w:spacing w:val="-88"/>
          <w:sz w:val="24"/>
          <w:szCs w:val="24"/>
          <w:highlight w:val="none"/>
        </w:rPr>
        <w:t xml:space="preserve"> </w:t>
      </w:r>
      <w:r>
        <w:rPr>
          <w:rFonts w:ascii="宋体" w:hAnsi="宋体" w:eastAsia="宋体" w:cs="宋体"/>
          <w:color w:val="auto"/>
          <w:spacing w:val="-6"/>
          <w:sz w:val="24"/>
          <w:szCs w:val="24"/>
          <w:highlight w:val="none"/>
        </w:rPr>
        <w:t>”）将拒绝接收并提示。</w:t>
      </w:r>
    </w:p>
    <w:p w14:paraId="2DDEA5FE">
      <w:pPr>
        <w:pStyle w:val="4"/>
        <w:bidi w:val="0"/>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4.2</w:t>
      </w:r>
      <w:r>
        <w:rPr>
          <w:rFonts w:ascii="宋体" w:hAnsi="宋体" w:eastAsia="宋体" w:cs="宋体"/>
          <w:color w:val="auto"/>
          <w:spacing w:val="70"/>
          <w:sz w:val="24"/>
          <w:szCs w:val="24"/>
          <w:highlight w:val="none"/>
        </w:rPr>
        <w:t xml:space="preserve"> </w:t>
      </w:r>
      <w:r>
        <w:rPr>
          <w:rFonts w:ascii="宋体" w:hAnsi="宋体" w:eastAsia="宋体" w:cs="宋体"/>
          <w:b/>
          <w:bCs/>
          <w:color w:val="auto"/>
          <w:spacing w:val="-4"/>
          <w:sz w:val="24"/>
          <w:szCs w:val="24"/>
          <w:highlight w:val="none"/>
        </w:rPr>
        <w:t>投标文件的递交</w:t>
      </w:r>
    </w:p>
    <w:p w14:paraId="561EB83A">
      <w:pPr>
        <w:spacing w:before="182" w:line="359" w:lineRule="auto"/>
        <w:ind w:right="162" w:firstLine="48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4.2.1 投标人应在第一章“招标公告</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”规定的投标截止时间</w:t>
      </w:r>
      <w:r>
        <w:rPr>
          <w:rFonts w:ascii="宋体" w:hAnsi="宋体" w:eastAsia="宋体" w:cs="宋体"/>
          <w:color w:val="auto"/>
          <w:spacing w:val="3"/>
          <w:sz w:val="24"/>
          <w:szCs w:val="24"/>
          <w:highlight w:val="none"/>
        </w:rPr>
        <w:t>前，通过互联网使用</w:t>
      </w:r>
      <w:r>
        <w:rPr>
          <w:rFonts w:ascii="宋体" w:hAnsi="宋体" w:eastAsia="宋体" w:cs="宋体"/>
          <w:color w:val="auto"/>
          <w:sz w:val="24"/>
          <w:szCs w:val="24"/>
          <w:highlight w:val="none"/>
        </w:rPr>
        <w:t>CA</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数字证书登录“</w:t>
      </w:r>
      <w:r>
        <w:rPr>
          <w:rFonts w:ascii="宋体" w:hAnsi="宋体" w:eastAsia="宋体" w:cs="宋体"/>
          <w:color w:val="auto"/>
          <w:spacing w:val="-80"/>
          <w:sz w:val="24"/>
          <w:szCs w:val="24"/>
          <w:highlight w:val="none"/>
        </w:rPr>
        <w:t xml:space="preserve"> </w:t>
      </w:r>
      <w:r>
        <w:rPr>
          <w:rFonts w:ascii="宋体" w:hAnsi="宋体" w:eastAsia="宋体" w:cs="宋体"/>
          <w:color w:val="auto"/>
          <w:spacing w:val="1"/>
          <w:sz w:val="24"/>
          <w:szCs w:val="24"/>
          <w:highlight w:val="none"/>
        </w:rPr>
        <w:t>电子交易平台</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”，将加密的投标文件上传，并保存上</w:t>
      </w:r>
      <w:r>
        <w:rPr>
          <w:rFonts w:ascii="宋体" w:hAnsi="宋体" w:eastAsia="宋体" w:cs="宋体"/>
          <w:color w:val="auto"/>
          <w:sz w:val="24"/>
          <w:szCs w:val="24"/>
          <w:highlight w:val="none"/>
        </w:rPr>
        <w:t>传成功后系统</w:t>
      </w:r>
      <w:r>
        <w:rPr>
          <w:rFonts w:ascii="宋体" w:hAnsi="宋体" w:eastAsia="宋体" w:cs="宋体"/>
          <w:color w:val="auto"/>
          <w:spacing w:val="-1"/>
          <w:sz w:val="24"/>
          <w:szCs w:val="24"/>
          <w:highlight w:val="none"/>
        </w:rPr>
        <w:t>自动生成的电子签收凭证，递交时间即为电子签收凭证时间。</w:t>
      </w:r>
    </w:p>
    <w:p w14:paraId="15DA4B27">
      <w:pPr>
        <w:spacing w:line="359" w:lineRule="auto"/>
        <w:ind w:left="30" w:right="163" w:firstLine="45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4.2.2 投标人应充分考虑上传文件时的不可预见因素，未在投</w:t>
      </w:r>
      <w:r>
        <w:rPr>
          <w:rFonts w:ascii="宋体" w:hAnsi="宋体" w:eastAsia="宋体" w:cs="宋体"/>
          <w:color w:val="auto"/>
          <w:spacing w:val="4"/>
          <w:sz w:val="24"/>
          <w:szCs w:val="24"/>
          <w:highlight w:val="none"/>
        </w:rPr>
        <w:t>标截止时间前完成</w:t>
      </w:r>
      <w:r>
        <w:rPr>
          <w:rFonts w:ascii="宋体" w:hAnsi="宋体" w:eastAsia="宋体" w:cs="宋体"/>
          <w:color w:val="auto"/>
          <w:spacing w:val="-4"/>
          <w:sz w:val="24"/>
          <w:szCs w:val="24"/>
          <w:highlight w:val="none"/>
        </w:rPr>
        <w:t>电子投标文件上传的，视为逾期送达，招标人（</w:t>
      </w:r>
      <w:r>
        <w:rPr>
          <w:rFonts w:ascii="宋体" w:hAnsi="宋体" w:eastAsia="宋体" w:cs="宋体"/>
          <w:color w:val="auto"/>
          <w:spacing w:val="-84"/>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电子交易平台</w:t>
      </w:r>
      <w:r>
        <w:rPr>
          <w:rFonts w:ascii="宋体" w:hAnsi="宋体" w:eastAsia="宋体" w:cs="宋体"/>
          <w:color w:val="auto"/>
          <w:spacing w:val="-88"/>
          <w:sz w:val="24"/>
          <w:szCs w:val="24"/>
          <w:highlight w:val="none"/>
        </w:rPr>
        <w:t xml:space="preserve"> </w:t>
      </w:r>
      <w:r>
        <w:rPr>
          <w:rFonts w:ascii="宋体" w:hAnsi="宋体" w:eastAsia="宋体" w:cs="宋体"/>
          <w:color w:val="auto"/>
          <w:spacing w:val="-4"/>
          <w:sz w:val="24"/>
          <w:szCs w:val="24"/>
          <w:highlight w:val="none"/>
        </w:rPr>
        <w:t>”）将拒绝接收。</w:t>
      </w:r>
    </w:p>
    <w:p w14:paraId="57588EF9">
      <w:pPr>
        <w:spacing w:before="1" w:line="219" w:lineRule="auto"/>
        <w:ind w:left="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4.2.3 投标人所递交的电子投标文件不予退还。</w:t>
      </w:r>
    </w:p>
    <w:p w14:paraId="4F69592B">
      <w:pPr>
        <w:spacing w:before="182" w:line="219" w:lineRule="auto"/>
        <w:ind w:left="48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4.2.4</w:t>
      </w:r>
      <w:r>
        <w:rPr>
          <w:rFonts w:ascii="宋体" w:hAnsi="宋体" w:eastAsia="宋体" w:cs="宋体"/>
          <w:color w:val="auto"/>
          <w:spacing w:val="-42"/>
          <w:sz w:val="24"/>
          <w:szCs w:val="24"/>
          <w:highlight w:val="none"/>
        </w:rPr>
        <w:t xml:space="preserve"> </w:t>
      </w:r>
      <w:r>
        <w:rPr>
          <w:rFonts w:ascii="宋体" w:hAnsi="宋体" w:eastAsia="宋体" w:cs="宋体"/>
          <w:color w:val="auto"/>
          <w:spacing w:val="-1"/>
          <w:sz w:val="24"/>
          <w:szCs w:val="24"/>
          <w:highlight w:val="none"/>
        </w:rPr>
        <w:t>逾期到达或者未到达的投标文件视为放弃本次投标。</w:t>
      </w:r>
    </w:p>
    <w:p w14:paraId="0A71609A">
      <w:pPr>
        <w:spacing w:before="182" w:line="219" w:lineRule="auto"/>
        <w:ind w:left="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4.2.5 在特殊情况下，招标人如果决定延后投标截止时间，应在“</w:t>
      </w:r>
      <w:r>
        <w:rPr>
          <w:rFonts w:ascii="宋体" w:hAnsi="宋体" w:eastAsia="宋体" w:cs="宋体"/>
          <w:color w:val="auto"/>
          <w:spacing w:val="-83"/>
          <w:sz w:val="24"/>
          <w:szCs w:val="24"/>
          <w:highlight w:val="none"/>
        </w:rPr>
        <w:t xml:space="preserve"> </w:t>
      </w:r>
      <w:r>
        <w:rPr>
          <w:rFonts w:ascii="宋体" w:hAnsi="宋体" w:eastAsia="宋体" w:cs="宋体"/>
          <w:color w:val="auto"/>
          <w:spacing w:val="1"/>
          <w:sz w:val="24"/>
          <w:szCs w:val="24"/>
          <w:highlight w:val="none"/>
        </w:rPr>
        <w:t>电子交易</w:t>
      </w:r>
      <w:r>
        <w:rPr>
          <w:rFonts w:ascii="宋体" w:hAnsi="宋体" w:eastAsia="宋体" w:cs="宋体"/>
          <w:color w:val="auto"/>
          <w:sz w:val="24"/>
          <w:szCs w:val="24"/>
          <w:highlight w:val="none"/>
        </w:rPr>
        <w:t>平台</w:t>
      </w:r>
      <w:r>
        <w:rPr>
          <w:rFonts w:ascii="宋体" w:hAnsi="宋体" w:eastAsia="宋体" w:cs="宋体"/>
          <w:color w:val="auto"/>
          <w:spacing w:val="-88"/>
          <w:sz w:val="24"/>
          <w:szCs w:val="24"/>
          <w:highlight w:val="none"/>
        </w:rPr>
        <w:t xml:space="preserve"> </w:t>
      </w:r>
      <w:r>
        <w:rPr>
          <w:rFonts w:ascii="宋体" w:hAnsi="宋体" w:eastAsia="宋体" w:cs="宋体"/>
          <w:color w:val="auto"/>
          <w:sz w:val="24"/>
          <w:szCs w:val="24"/>
          <w:highlight w:val="none"/>
        </w:rPr>
        <w:t>”</w:t>
      </w:r>
    </w:p>
    <w:p w14:paraId="2048DE03">
      <w:pPr>
        <w:spacing w:before="183" w:line="359" w:lineRule="auto"/>
        <w:ind w:right="355" w:firstLine="2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以补遗书的形式通知所有投标人延后投标截止时间。在此情况下，招标人和投标人的权利和义务相应延后至新的投标截止时间。</w:t>
      </w:r>
    </w:p>
    <w:p w14:paraId="22039F09">
      <w:pPr>
        <w:pStyle w:val="4"/>
        <w:bidi w:val="0"/>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4.3</w:t>
      </w:r>
      <w:r>
        <w:rPr>
          <w:rFonts w:ascii="宋体" w:hAnsi="宋体" w:eastAsia="宋体" w:cs="宋体"/>
          <w:color w:val="auto"/>
          <w:spacing w:val="-2"/>
          <w:sz w:val="24"/>
          <w:szCs w:val="24"/>
          <w:highlight w:val="none"/>
        </w:rPr>
        <w:t xml:space="preserve"> </w:t>
      </w:r>
      <w:r>
        <w:rPr>
          <w:rFonts w:ascii="宋体" w:hAnsi="宋体" w:eastAsia="宋体" w:cs="宋体"/>
          <w:b/>
          <w:bCs/>
          <w:color w:val="auto"/>
          <w:spacing w:val="-2"/>
          <w:sz w:val="24"/>
          <w:szCs w:val="24"/>
          <w:highlight w:val="none"/>
        </w:rPr>
        <w:t>投标文件的修改与撤回</w:t>
      </w:r>
    </w:p>
    <w:p w14:paraId="6F7D7642">
      <w:pPr>
        <w:spacing w:before="182" w:line="359" w:lineRule="auto"/>
        <w:ind w:right="160" w:firstLine="48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4.3.1 在本章第</w:t>
      </w:r>
      <w:r>
        <w:rPr>
          <w:rFonts w:ascii="宋体" w:hAnsi="宋体" w:eastAsia="宋体" w:cs="宋体"/>
          <w:color w:val="auto"/>
          <w:spacing w:val="-47"/>
          <w:sz w:val="24"/>
          <w:szCs w:val="24"/>
          <w:highlight w:val="none"/>
        </w:rPr>
        <w:t xml:space="preserve"> </w:t>
      </w:r>
      <w:r>
        <w:rPr>
          <w:rFonts w:ascii="宋体" w:hAnsi="宋体" w:eastAsia="宋体" w:cs="宋体"/>
          <w:color w:val="auto"/>
          <w:spacing w:val="4"/>
          <w:sz w:val="24"/>
          <w:szCs w:val="24"/>
          <w:highlight w:val="none"/>
        </w:rPr>
        <w:t>4.2.1</w:t>
      </w:r>
      <w:r>
        <w:rPr>
          <w:rFonts w:ascii="宋体" w:hAnsi="宋体" w:eastAsia="宋体" w:cs="宋体"/>
          <w:color w:val="auto"/>
          <w:spacing w:val="-39"/>
          <w:sz w:val="24"/>
          <w:szCs w:val="24"/>
          <w:highlight w:val="none"/>
        </w:rPr>
        <w:t xml:space="preserve"> </w:t>
      </w:r>
      <w:r>
        <w:rPr>
          <w:rFonts w:ascii="宋体" w:hAnsi="宋体" w:eastAsia="宋体" w:cs="宋体"/>
          <w:color w:val="auto"/>
          <w:spacing w:val="4"/>
          <w:sz w:val="24"/>
          <w:szCs w:val="24"/>
          <w:highlight w:val="none"/>
        </w:rPr>
        <w:t>项规定的投标截止时间前，投</w:t>
      </w:r>
      <w:r>
        <w:rPr>
          <w:rFonts w:ascii="宋体" w:hAnsi="宋体" w:eastAsia="宋体" w:cs="宋体"/>
          <w:color w:val="auto"/>
          <w:spacing w:val="3"/>
          <w:sz w:val="24"/>
          <w:szCs w:val="24"/>
          <w:highlight w:val="none"/>
        </w:rPr>
        <w:t>标人可以修改或撤回已递交的投标文件。投标人对加密的投标文件进行撤回的，应在“</w:t>
      </w:r>
      <w:r>
        <w:rPr>
          <w:rFonts w:ascii="宋体" w:hAnsi="宋体" w:eastAsia="宋体" w:cs="宋体"/>
          <w:color w:val="auto"/>
          <w:spacing w:val="-78"/>
          <w:sz w:val="24"/>
          <w:szCs w:val="24"/>
          <w:highlight w:val="none"/>
        </w:rPr>
        <w:t xml:space="preserve"> </w:t>
      </w:r>
      <w:r>
        <w:rPr>
          <w:rFonts w:ascii="宋体" w:hAnsi="宋体" w:eastAsia="宋体" w:cs="宋体"/>
          <w:color w:val="auto"/>
          <w:spacing w:val="3"/>
          <w:sz w:val="24"/>
          <w:szCs w:val="24"/>
          <w:highlight w:val="none"/>
        </w:rPr>
        <w:t>电子交易平台</w:t>
      </w:r>
      <w:r>
        <w:rPr>
          <w:rFonts w:ascii="宋体" w:hAnsi="宋体" w:eastAsia="宋体" w:cs="宋体"/>
          <w:color w:val="auto"/>
          <w:spacing w:val="-84"/>
          <w:sz w:val="24"/>
          <w:szCs w:val="24"/>
          <w:highlight w:val="none"/>
        </w:rPr>
        <w:t xml:space="preserve"> </w:t>
      </w:r>
      <w:r>
        <w:rPr>
          <w:rFonts w:ascii="宋体" w:hAnsi="宋体" w:eastAsia="宋体" w:cs="宋体"/>
          <w:color w:val="auto"/>
          <w:spacing w:val="2"/>
          <w:sz w:val="24"/>
          <w:szCs w:val="24"/>
          <w:highlight w:val="none"/>
        </w:rPr>
        <w:t>”直接进行</w:t>
      </w:r>
      <w:r>
        <w:rPr>
          <w:rFonts w:ascii="宋体" w:hAnsi="宋体" w:eastAsia="宋体" w:cs="宋体"/>
          <w:color w:val="auto"/>
          <w:sz w:val="24"/>
          <w:szCs w:val="24"/>
          <w:highlight w:val="none"/>
        </w:rPr>
        <w:t>撤回操作；投标人对加密的投标文件进行修改的，应在投标</w:t>
      </w:r>
      <w:r>
        <w:rPr>
          <w:rFonts w:ascii="宋体" w:hAnsi="宋体" w:eastAsia="宋体" w:cs="宋体"/>
          <w:color w:val="auto"/>
          <w:spacing w:val="-1"/>
          <w:sz w:val="24"/>
          <w:szCs w:val="24"/>
          <w:highlight w:val="none"/>
        </w:rPr>
        <w:t>截止时间前完成上传。</w:t>
      </w:r>
    </w:p>
    <w:p w14:paraId="1F0182D1">
      <w:pPr>
        <w:spacing w:before="2" w:line="359" w:lineRule="auto"/>
        <w:ind w:right="163" w:firstLine="48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4.3.2</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投标人修改投标文件的，应使用“投标文件制作工具</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”制作成</w:t>
      </w:r>
      <w:r>
        <w:rPr>
          <w:rFonts w:ascii="宋体" w:hAnsi="宋体" w:eastAsia="宋体" w:cs="宋体"/>
          <w:color w:val="auto"/>
          <w:spacing w:val="-2"/>
          <w:sz w:val="24"/>
          <w:szCs w:val="24"/>
          <w:highlight w:val="none"/>
        </w:rPr>
        <w:t>完整的投标文</w:t>
      </w:r>
      <w:r>
        <w:rPr>
          <w:rFonts w:ascii="宋体" w:hAnsi="宋体" w:eastAsia="宋体" w:cs="宋体"/>
          <w:color w:val="auto"/>
          <w:spacing w:val="3"/>
          <w:sz w:val="24"/>
          <w:szCs w:val="24"/>
          <w:highlight w:val="none"/>
        </w:rPr>
        <w:t>件，并按照本章第</w:t>
      </w:r>
      <w:r>
        <w:rPr>
          <w:rFonts w:ascii="宋体" w:hAnsi="宋体" w:eastAsia="宋体" w:cs="宋体"/>
          <w:color w:val="auto"/>
          <w:spacing w:val="-37"/>
          <w:sz w:val="24"/>
          <w:szCs w:val="24"/>
          <w:highlight w:val="none"/>
        </w:rPr>
        <w:t xml:space="preserve"> </w:t>
      </w:r>
      <w:r>
        <w:rPr>
          <w:rFonts w:ascii="宋体" w:hAnsi="宋体" w:eastAsia="宋体" w:cs="宋体"/>
          <w:color w:val="auto"/>
          <w:spacing w:val="3"/>
          <w:sz w:val="24"/>
          <w:szCs w:val="24"/>
          <w:highlight w:val="none"/>
        </w:rPr>
        <w:t>3</w:t>
      </w:r>
      <w:r>
        <w:rPr>
          <w:rFonts w:ascii="宋体" w:hAnsi="宋体" w:eastAsia="宋体" w:cs="宋体"/>
          <w:color w:val="auto"/>
          <w:spacing w:val="-44"/>
          <w:sz w:val="24"/>
          <w:szCs w:val="24"/>
          <w:highlight w:val="none"/>
        </w:rPr>
        <w:t xml:space="preserve"> </w:t>
      </w:r>
      <w:r>
        <w:rPr>
          <w:rFonts w:ascii="宋体" w:hAnsi="宋体" w:eastAsia="宋体" w:cs="宋体"/>
          <w:color w:val="auto"/>
          <w:spacing w:val="3"/>
          <w:sz w:val="24"/>
          <w:szCs w:val="24"/>
          <w:highlight w:val="none"/>
        </w:rPr>
        <w:t>条、第</w:t>
      </w:r>
      <w:r>
        <w:rPr>
          <w:rFonts w:ascii="宋体" w:hAnsi="宋体" w:eastAsia="宋体" w:cs="宋体"/>
          <w:color w:val="auto"/>
          <w:spacing w:val="-44"/>
          <w:sz w:val="24"/>
          <w:szCs w:val="24"/>
          <w:highlight w:val="none"/>
        </w:rPr>
        <w:t xml:space="preserve"> </w:t>
      </w:r>
      <w:r>
        <w:rPr>
          <w:rFonts w:ascii="宋体" w:hAnsi="宋体" w:eastAsia="宋体" w:cs="宋体"/>
          <w:color w:val="auto"/>
          <w:spacing w:val="3"/>
          <w:sz w:val="24"/>
          <w:szCs w:val="24"/>
          <w:highlight w:val="none"/>
        </w:rPr>
        <w:t>4</w:t>
      </w:r>
      <w:r>
        <w:rPr>
          <w:rFonts w:ascii="宋体" w:hAnsi="宋体" w:eastAsia="宋体" w:cs="宋体"/>
          <w:color w:val="auto"/>
          <w:spacing w:val="-44"/>
          <w:sz w:val="24"/>
          <w:szCs w:val="24"/>
          <w:highlight w:val="none"/>
        </w:rPr>
        <w:t xml:space="preserve"> </w:t>
      </w:r>
      <w:r>
        <w:rPr>
          <w:rFonts w:ascii="宋体" w:hAnsi="宋体" w:eastAsia="宋体" w:cs="宋体"/>
          <w:color w:val="auto"/>
          <w:spacing w:val="3"/>
          <w:sz w:val="24"/>
          <w:szCs w:val="24"/>
          <w:highlight w:val="none"/>
        </w:rPr>
        <w:t>条规定进行编制、加密和递交。对采用网上递交的加密</w:t>
      </w:r>
      <w:r>
        <w:rPr>
          <w:rFonts w:ascii="宋体" w:hAnsi="宋体" w:eastAsia="宋体" w:cs="宋体"/>
          <w:color w:val="auto"/>
          <w:spacing w:val="-1"/>
          <w:sz w:val="24"/>
          <w:szCs w:val="24"/>
          <w:highlight w:val="none"/>
        </w:rPr>
        <w:t>的投标文件，以投标截止时间前最后完成上传的文件为准。</w:t>
      </w:r>
    </w:p>
    <w:p w14:paraId="7CE2F31F">
      <w:pPr>
        <w:spacing w:before="2" w:line="359" w:lineRule="auto"/>
        <w:ind w:right="163" w:firstLine="48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4.3.3 投标人撤回投标文件的，招标人自收到投标</w:t>
      </w:r>
      <w:r>
        <w:rPr>
          <w:rFonts w:ascii="宋体" w:hAnsi="宋体" w:eastAsia="宋体" w:cs="宋体"/>
          <w:color w:val="auto"/>
          <w:spacing w:val="2"/>
          <w:sz w:val="24"/>
          <w:szCs w:val="24"/>
          <w:highlight w:val="none"/>
        </w:rPr>
        <w:t>人撤回通知之日起</w:t>
      </w:r>
      <w:r>
        <w:rPr>
          <w:rFonts w:ascii="宋体" w:hAnsi="宋体" w:eastAsia="宋体" w:cs="宋体"/>
          <w:color w:val="auto"/>
          <w:spacing w:val="-41"/>
          <w:sz w:val="24"/>
          <w:szCs w:val="24"/>
          <w:highlight w:val="none"/>
        </w:rPr>
        <w:t xml:space="preserve"> </w:t>
      </w:r>
      <w:r>
        <w:rPr>
          <w:rFonts w:ascii="宋体" w:hAnsi="宋体" w:eastAsia="宋体" w:cs="宋体"/>
          <w:color w:val="auto"/>
          <w:spacing w:val="2"/>
          <w:sz w:val="24"/>
          <w:szCs w:val="24"/>
          <w:highlight w:val="none"/>
        </w:rPr>
        <w:t>5 日内退还</w:t>
      </w:r>
      <w:r>
        <w:rPr>
          <w:rFonts w:ascii="宋体" w:hAnsi="宋体" w:eastAsia="宋体" w:cs="宋体"/>
          <w:color w:val="auto"/>
          <w:spacing w:val="-4"/>
          <w:sz w:val="24"/>
          <w:szCs w:val="24"/>
          <w:highlight w:val="none"/>
        </w:rPr>
        <w:t>已收取的投标保证金。</w:t>
      </w:r>
    </w:p>
    <w:p w14:paraId="352F8A72">
      <w:pPr>
        <w:pStyle w:val="3"/>
        <w:bidi w:val="0"/>
        <w:rPr>
          <w:rFonts w:ascii="宋体" w:hAnsi="宋体" w:eastAsia="宋体" w:cs="宋体"/>
          <w:color w:val="auto"/>
          <w:sz w:val="28"/>
          <w:szCs w:val="28"/>
          <w:highlight w:val="none"/>
        </w:rPr>
      </w:pPr>
      <w:r>
        <w:rPr>
          <w:rFonts w:ascii="宋体" w:hAnsi="宋体" w:eastAsia="宋体" w:cs="宋体"/>
          <w:b/>
          <w:bCs/>
          <w:color w:val="auto"/>
          <w:spacing w:val="-10"/>
          <w:sz w:val="28"/>
          <w:szCs w:val="28"/>
          <w:highlight w:val="none"/>
        </w:rPr>
        <w:t>5.</w:t>
      </w:r>
      <w:r>
        <w:rPr>
          <w:rFonts w:ascii="宋体" w:hAnsi="宋体" w:eastAsia="宋体" w:cs="宋体"/>
          <w:color w:val="auto"/>
          <w:spacing w:val="14"/>
          <w:sz w:val="28"/>
          <w:szCs w:val="28"/>
          <w:highlight w:val="none"/>
        </w:rPr>
        <w:t xml:space="preserve"> </w:t>
      </w:r>
      <w:r>
        <w:rPr>
          <w:rFonts w:ascii="宋体" w:hAnsi="宋体" w:eastAsia="宋体" w:cs="宋体"/>
          <w:b/>
          <w:bCs/>
          <w:color w:val="auto"/>
          <w:spacing w:val="-10"/>
          <w:sz w:val="28"/>
          <w:szCs w:val="28"/>
          <w:highlight w:val="none"/>
        </w:rPr>
        <w:t>开标</w:t>
      </w:r>
    </w:p>
    <w:p w14:paraId="364E9463">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5.1</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开标时间和地点</w:t>
      </w:r>
    </w:p>
    <w:p w14:paraId="2F989C19">
      <w:pPr>
        <w:spacing w:before="181" w:line="359" w:lineRule="auto"/>
        <w:ind w:left="1" w:right="27" w:firstLine="480"/>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招标人在本章第</w:t>
      </w:r>
      <w:r>
        <w:rPr>
          <w:rFonts w:ascii="宋体" w:hAnsi="宋体" w:eastAsia="宋体" w:cs="宋体"/>
          <w:color w:val="auto"/>
          <w:spacing w:val="-44"/>
          <w:sz w:val="24"/>
          <w:szCs w:val="24"/>
          <w:highlight w:val="none"/>
        </w:rPr>
        <w:t xml:space="preserve"> </w:t>
      </w:r>
      <w:r>
        <w:rPr>
          <w:rFonts w:ascii="宋体" w:hAnsi="宋体" w:eastAsia="宋体" w:cs="宋体"/>
          <w:color w:val="auto"/>
          <w:spacing w:val="4"/>
          <w:sz w:val="24"/>
          <w:szCs w:val="24"/>
          <w:highlight w:val="none"/>
        </w:rPr>
        <w:t>4.2.1</w:t>
      </w:r>
      <w:r>
        <w:rPr>
          <w:rFonts w:ascii="宋体" w:hAnsi="宋体" w:eastAsia="宋体" w:cs="宋体"/>
          <w:color w:val="auto"/>
          <w:spacing w:val="-42"/>
          <w:sz w:val="24"/>
          <w:szCs w:val="24"/>
          <w:highlight w:val="none"/>
        </w:rPr>
        <w:t xml:space="preserve"> </w:t>
      </w:r>
      <w:r>
        <w:rPr>
          <w:rFonts w:ascii="宋体" w:hAnsi="宋体" w:eastAsia="宋体" w:cs="宋体"/>
          <w:color w:val="auto"/>
          <w:spacing w:val="4"/>
          <w:sz w:val="24"/>
          <w:szCs w:val="24"/>
          <w:highlight w:val="none"/>
        </w:rPr>
        <w:t>项规定的投标截止时间（开标时间）和投标人须知前</w:t>
      </w:r>
      <w:r>
        <w:rPr>
          <w:rFonts w:ascii="宋体" w:hAnsi="宋体" w:eastAsia="宋体" w:cs="宋体"/>
          <w:color w:val="auto"/>
          <w:spacing w:val="3"/>
          <w:sz w:val="24"/>
          <w:szCs w:val="24"/>
          <w:highlight w:val="none"/>
        </w:rPr>
        <w:t>附表</w:t>
      </w:r>
      <w:r>
        <w:rPr>
          <w:rFonts w:ascii="宋体" w:hAnsi="宋体" w:eastAsia="宋体" w:cs="宋体"/>
          <w:color w:val="auto"/>
          <w:spacing w:val="5"/>
          <w:sz w:val="24"/>
          <w:szCs w:val="24"/>
          <w:highlight w:val="none"/>
        </w:rPr>
        <w:t>规定的地点对收到的投标文件第一个信封（商务及技术文件）公开开标，</w:t>
      </w:r>
      <w:r>
        <w:rPr>
          <w:rFonts w:ascii="宋体" w:hAnsi="宋体" w:eastAsia="宋体" w:cs="宋体"/>
          <w:color w:val="auto"/>
          <w:spacing w:val="4"/>
          <w:sz w:val="24"/>
          <w:szCs w:val="24"/>
          <w:highlight w:val="none"/>
        </w:rPr>
        <w:t>并邀请所有</w:t>
      </w:r>
      <w:r>
        <w:rPr>
          <w:rFonts w:ascii="宋体" w:hAnsi="宋体" w:eastAsia="宋体" w:cs="宋体"/>
          <w:color w:val="auto"/>
          <w:spacing w:val="-1"/>
          <w:sz w:val="24"/>
          <w:szCs w:val="24"/>
          <w:highlight w:val="none"/>
        </w:rPr>
        <w:t>投标人的法定代表人或其委托代理人准时参加。</w:t>
      </w:r>
    </w:p>
    <w:p w14:paraId="11105574">
      <w:pPr>
        <w:spacing w:line="359" w:lineRule="auto"/>
        <w:ind w:left="8" w:firstLine="47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招标人在投标人须知前附表规定的时间和地点对投标文件第二个信封（报价文件）公开开标，并邀请所有投标人的法定代表人或其委托代理人准时参加。</w:t>
      </w:r>
    </w:p>
    <w:p w14:paraId="63C9028E">
      <w:pPr>
        <w:spacing w:line="359" w:lineRule="auto"/>
        <w:ind w:left="3" w:right="27"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投标人若未派法定代表人或委托代理人参加第一个信封（商务及技术文件）开标</w:t>
      </w:r>
      <w:r>
        <w:rPr>
          <w:rFonts w:ascii="宋体" w:hAnsi="宋体" w:eastAsia="宋体" w:cs="宋体"/>
          <w:color w:val="auto"/>
          <w:spacing w:val="-1"/>
          <w:sz w:val="24"/>
          <w:szCs w:val="24"/>
          <w:highlight w:val="none"/>
        </w:rPr>
        <w:t>或第二个信封（报价文件）开标的，视为该投标人默认开标结果。</w:t>
      </w:r>
    </w:p>
    <w:p w14:paraId="14787269">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5.2</w:t>
      </w:r>
      <w:r>
        <w:rPr>
          <w:rFonts w:ascii="宋体" w:hAnsi="宋体" w:eastAsia="宋体" w:cs="宋体"/>
          <w:color w:val="auto"/>
          <w:spacing w:val="16"/>
          <w:sz w:val="24"/>
          <w:szCs w:val="24"/>
          <w:highlight w:val="none"/>
        </w:rPr>
        <w:t xml:space="preserve"> </w:t>
      </w:r>
      <w:r>
        <w:rPr>
          <w:rFonts w:ascii="宋体" w:hAnsi="宋体" w:eastAsia="宋体" w:cs="宋体"/>
          <w:b/>
          <w:bCs/>
          <w:color w:val="auto"/>
          <w:spacing w:val="-6"/>
          <w:sz w:val="24"/>
          <w:szCs w:val="24"/>
          <w:highlight w:val="none"/>
        </w:rPr>
        <w:t>开标程序</w:t>
      </w:r>
    </w:p>
    <w:p w14:paraId="552F0410">
      <w:pPr>
        <w:spacing w:before="182" w:line="359" w:lineRule="auto"/>
        <w:ind w:right="27" w:firstLine="483"/>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投标截止时间前未完成投标文件传输的，或因投标人之外的原因造成投标文件未解密的，均视为投标人撤回其电子投标文件。因投标人原因造成投标文件未解</w:t>
      </w:r>
      <w:r>
        <w:rPr>
          <w:rFonts w:ascii="宋体" w:hAnsi="宋体" w:eastAsia="宋体" w:cs="宋体"/>
          <w:color w:val="auto"/>
          <w:spacing w:val="4"/>
          <w:sz w:val="24"/>
          <w:szCs w:val="24"/>
          <w:highlight w:val="none"/>
        </w:rPr>
        <w:t>密的或</w:t>
      </w:r>
      <w:r>
        <w:rPr>
          <w:rFonts w:ascii="宋体" w:hAnsi="宋体" w:eastAsia="宋体" w:cs="宋体"/>
          <w:color w:val="auto"/>
          <w:spacing w:val="5"/>
          <w:sz w:val="24"/>
          <w:szCs w:val="24"/>
          <w:highlight w:val="none"/>
        </w:rPr>
        <w:t>未在投标截止时间后投标人须知前附表规定的解密时间内解密的，视为撤销其</w:t>
      </w:r>
      <w:r>
        <w:rPr>
          <w:rFonts w:ascii="宋体" w:hAnsi="宋体" w:eastAsia="宋体" w:cs="宋体"/>
          <w:color w:val="auto"/>
          <w:spacing w:val="4"/>
          <w:sz w:val="24"/>
          <w:szCs w:val="24"/>
          <w:highlight w:val="none"/>
        </w:rPr>
        <w:t>投标文</w:t>
      </w:r>
      <w:r>
        <w:rPr>
          <w:rFonts w:ascii="宋体" w:hAnsi="宋体" w:eastAsia="宋体" w:cs="宋体"/>
          <w:color w:val="auto"/>
          <w:spacing w:val="-5"/>
          <w:sz w:val="24"/>
          <w:szCs w:val="24"/>
          <w:highlight w:val="none"/>
        </w:rPr>
        <w:t>件。</w:t>
      </w:r>
    </w:p>
    <w:p w14:paraId="1AEBFCA6">
      <w:pPr>
        <w:spacing w:before="1"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5.2.1</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投标文件第一个信封（商务及技术文件</w:t>
      </w:r>
      <w:r>
        <w:rPr>
          <w:rFonts w:ascii="宋体" w:hAnsi="宋体" w:eastAsia="宋体" w:cs="宋体"/>
          <w:color w:val="auto"/>
          <w:spacing w:val="-2"/>
          <w:sz w:val="24"/>
          <w:szCs w:val="24"/>
          <w:highlight w:val="none"/>
        </w:rPr>
        <w:t>）开标</w:t>
      </w:r>
    </w:p>
    <w:p w14:paraId="76B8550C">
      <w:pPr>
        <w:spacing w:before="180" w:line="360" w:lineRule="auto"/>
        <w:ind w:left="2" w:right="24" w:firstLine="47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招标人将按照本章第</w:t>
      </w:r>
      <w:r>
        <w:rPr>
          <w:rFonts w:ascii="宋体" w:hAnsi="宋体" w:eastAsia="宋体" w:cs="宋体"/>
          <w:color w:val="auto"/>
          <w:spacing w:val="-39"/>
          <w:sz w:val="24"/>
          <w:szCs w:val="24"/>
          <w:highlight w:val="none"/>
        </w:rPr>
        <w:t xml:space="preserve"> </w:t>
      </w:r>
      <w:r>
        <w:rPr>
          <w:rFonts w:ascii="宋体" w:hAnsi="宋体" w:eastAsia="宋体" w:cs="宋体"/>
          <w:color w:val="auto"/>
          <w:spacing w:val="4"/>
          <w:sz w:val="24"/>
          <w:szCs w:val="24"/>
          <w:highlight w:val="none"/>
        </w:rPr>
        <w:t>5.1</w:t>
      </w:r>
      <w:r>
        <w:rPr>
          <w:rFonts w:ascii="宋体" w:hAnsi="宋体" w:eastAsia="宋体" w:cs="宋体"/>
          <w:color w:val="auto"/>
          <w:spacing w:val="-43"/>
          <w:sz w:val="24"/>
          <w:szCs w:val="24"/>
          <w:highlight w:val="none"/>
        </w:rPr>
        <w:t xml:space="preserve"> </w:t>
      </w:r>
      <w:r>
        <w:rPr>
          <w:rFonts w:ascii="宋体" w:hAnsi="宋体" w:eastAsia="宋体" w:cs="宋体"/>
          <w:color w:val="auto"/>
          <w:spacing w:val="4"/>
          <w:sz w:val="24"/>
          <w:szCs w:val="24"/>
          <w:highlight w:val="none"/>
        </w:rPr>
        <w:t>款规定的时间和地点对投标文件第一个信封（商务及技</w:t>
      </w:r>
      <w:r>
        <w:rPr>
          <w:rFonts w:ascii="宋体" w:hAnsi="宋体" w:eastAsia="宋体" w:cs="宋体"/>
          <w:color w:val="auto"/>
          <w:spacing w:val="-2"/>
          <w:sz w:val="24"/>
          <w:szCs w:val="24"/>
          <w:highlight w:val="none"/>
        </w:rPr>
        <w:t>术文件）进行开标：</w:t>
      </w:r>
    </w:p>
    <w:p w14:paraId="1DC059B9">
      <w:pPr>
        <w:spacing w:before="1" w:line="218"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（1）投标人代表持</w:t>
      </w:r>
      <w:r>
        <w:rPr>
          <w:rFonts w:ascii="宋体" w:hAnsi="宋体" w:eastAsia="宋体" w:cs="宋体"/>
          <w:color w:val="auto"/>
          <w:spacing w:val="-53"/>
          <w:sz w:val="24"/>
          <w:szCs w:val="24"/>
          <w:highlight w:val="none"/>
        </w:rPr>
        <w:t xml:space="preserve"> </w:t>
      </w:r>
      <w:r>
        <w:rPr>
          <w:rFonts w:ascii="宋体" w:hAnsi="宋体" w:eastAsia="宋体" w:cs="宋体"/>
          <w:color w:val="auto"/>
          <w:spacing w:val="-1"/>
          <w:sz w:val="24"/>
          <w:szCs w:val="24"/>
          <w:highlight w:val="none"/>
        </w:rPr>
        <w:t>CA</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数字证书进入开标现场（投标人也可选择</w:t>
      </w:r>
      <w:r>
        <w:rPr>
          <w:rFonts w:ascii="宋体" w:hAnsi="宋体" w:eastAsia="宋体" w:cs="宋体"/>
          <w:color w:val="auto"/>
          <w:spacing w:val="-2"/>
          <w:sz w:val="24"/>
          <w:szCs w:val="24"/>
          <w:highlight w:val="none"/>
        </w:rPr>
        <w:t>远程解密）。</w:t>
      </w:r>
    </w:p>
    <w:p w14:paraId="7C9CBA91">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（2）开标由招标人或其委托的招标代理机构主持，宣布开标纪律。</w:t>
      </w:r>
    </w:p>
    <w:p w14:paraId="21584EBC">
      <w:pPr>
        <w:spacing w:before="18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（3）宣布开标人、唱标人、记录人等有关人员姓名。</w:t>
      </w:r>
    </w:p>
    <w:p w14:paraId="1EA3AFE6">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（4）宣布开标顺序：按各标段投标文件到达系统的先后顺序。</w:t>
      </w:r>
    </w:p>
    <w:p w14:paraId="44DE0E43">
      <w:pPr>
        <w:spacing w:before="184" w:line="359" w:lineRule="auto"/>
        <w:ind w:left="4" w:right="27" w:firstLine="4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（5）检查各标段投标文件递交到达的情况。若某标段递交到达投标文件的投标人</w:t>
      </w:r>
      <w:r>
        <w:rPr>
          <w:rFonts w:ascii="宋体" w:hAnsi="宋体" w:eastAsia="宋体" w:cs="宋体"/>
          <w:color w:val="auto"/>
          <w:spacing w:val="-3"/>
          <w:sz w:val="24"/>
          <w:szCs w:val="24"/>
          <w:highlight w:val="none"/>
        </w:rPr>
        <w:t>不足</w:t>
      </w:r>
      <w:r>
        <w:rPr>
          <w:rFonts w:ascii="宋体" w:hAnsi="宋体" w:eastAsia="宋体" w:cs="宋体"/>
          <w:color w:val="auto"/>
          <w:spacing w:val="-42"/>
          <w:sz w:val="24"/>
          <w:szCs w:val="24"/>
          <w:highlight w:val="none"/>
        </w:rPr>
        <w:t xml:space="preserve"> </w:t>
      </w:r>
      <w:r>
        <w:rPr>
          <w:rFonts w:ascii="宋体" w:hAnsi="宋体" w:eastAsia="宋体" w:cs="宋体"/>
          <w:color w:val="auto"/>
          <w:spacing w:val="-3"/>
          <w:sz w:val="24"/>
          <w:szCs w:val="24"/>
          <w:highlight w:val="none"/>
        </w:rPr>
        <w:t>3</w:t>
      </w:r>
      <w:r>
        <w:rPr>
          <w:rFonts w:ascii="宋体" w:hAnsi="宋体" w:eastAsia="宋体" w:cs="宋体"/>
          <w:color w:val="auto"/>
          <w:spacing w:val="-51"/>
          <w:sz w:val="24"/>
          <w:szCs w:val="24"/>
          <w:highlight w:val="none"/>
        </w:rPr>
        <w:t xml:space="preserve"> </w:t>
      </w:r>
      <w:r>
        <w:rPr>
          <w:rFonts w:ascii="宋体" w:hAnsi="宋体" w:eastAsia="宋体" w:cs="宋体"/>
          <w:color w:val="auto"/>
          <w:spacing w:val="-3"/>
          <w:sz w:val="24"/>
          <w:szCs w:val="24"/>
          <w:highlight w:val="none"/>
        </w:rPr>
        <w:t>个，则该标段不予开标。</w:t>
      </w:r>
    </w:p>
    <w:p w14:paraId="1F5C845C">
      <w:pPr>
        <w:spacing w:line="359" w:lineRule="auto"/>
        <w:ind w:right="27" w:firstLine="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（6）投标人解密。招标人应在第一个信封（商务及技术文件）开标现场宣布解密</w:t>
      </w:r>
      <w:r>
        <w:rPr>
          <w:rFonts w:ascii="宋体" w:hAnsi="宋体" w:eastAsia="宋体" w:cs="宋体"/>
          <w:color w:val="auto"/>
          <w:spacing w:val="5"/>
          <w:sz w:val="24"/>
          <w:szCs w:val="24"/>
          <w:highlight w:val="none"/>
        </w:rPr>
        <w:t>的开始时间，投标人应在系统通知解密开始后按投标人须知前附表规定的解密</w:t>
      </w:r>
      <w:r>
        <w:rPr>
          <w:rFonts w:ascii="宋体" w:hAnsi="宋体" w:eastAsia="宋体" w:cs="宋体"/>
          <w:color w:val="auto"/>
          <w:spacing w:val="4"/>
          <w:sz w:val="24"/>
          <w:szCs w:val="24"/>
          <w:highlight w:val="none"/>
        </w:rPr>
        <w:t>时间内</w:t>
      </w:r>
      <w:r>
        <w:rPr>
          <w:rFonts w:ascii="宋体" w:hAnsi="宋体" w:eastAsia="宋体" w:cs="宋体"/>
          <w:color w:val="auto"/>
          <w:spacing w:val="5"/>
          <w:sz w:val="24"/>
          <w:szCs w:val="24"/>
          <w:highlight w:val="none"/>
        </w:rPr>
        <w:t>（解密时长详见投标人须知前附表）对所递交的第一个信封（商务及技术文件</w:t>
      </w:r>
      <w:r>
        <w:rPr>
          <w:rFonts w:ascii="宋体" w:hAnsi="宋体" w:eastAsia="宋体" w:cs="宋体"/>
          <w:color w:val="auto"/>
          <w:spacing w:val="4"/>
          <w:sz w:val="24"/>
          <w:szCs w:val="24"/>
          <w:highlight w:val="none"/>
        </w:rPr>
        <w:t>）进行</w:t>
      </w:r>
      <w:r>
        <w:rPr>
          <w:rFonts w:ascii="宋体" w:hAnsi="宋体" w:eastAsia="宋体" w:cs="宋体"/>
          <w:color w:val="auto"/>
          <w:spacing w:val="-3"/>
          <w:sz w:val="24"/>
          <w:szCs w:val="24"/>
          <w:highlight w:val="none"/>
        </w:rPr>
        <w:t>解密。</w:t>
      </w:r>
    </w:p>
    <w:p w14:paraId="3938CE86">
      <w:pPr>
        <w:spacing w:before="3" w:line="356" w:lineRule="auto"/>
        <w:ind w:right="27" w:firstLine="491"/>
        <w:rPr>
          <w:rFonts w:ascii="宋体" w:hAnsi="宋体" w:eastAsia="宋体" w:cs="宋体"/>
          <w:color w:val="auto"/>
          <w:spacing w:val="-2"/>
          <w:sz w:val="24"/>
          <w:szCs w:val="24"/>
          <w:highlight w:val="none"/>
        </w:rPr>
      </w:pPr>
      <w:r>
        <w:rPr>
          <w:rFonts w:ascii="宋体" w:hAnsi="宋体" w:eastAsia="宋体" w:cs="宋体"/>
          <w:color w:val="auto"/>
          <w:spacing w:val="1"/>
          <w:sz w:val="24"/>
          <w:szCs w:val="24"/>
          <w:highlight w:val="none"/>
        </w:rPr>
        <w:t>（7）招标人解密。招标人在投标人解密截止时间后，对投标人解密成功的第一个</w:t>
      </w:r>
      <w:r>
        <w:rPr>
          <w:rFonts w:ascii="宋体" w:hAnsi="宋体" w:eastAsia="宋体" w:cs="宋体"/>
          <w:color w:val="auto"/>
          <w:spacing w:val="-2"/>
          <w:sz w:val="24"/>
          <w:szCs w:val="24"/>
          <w:highlight w:val="none"/>
        </w:rPr>
        <w:t>信封进行解密。</w:t>
      </w:r>
    </w:p>
    <w:p w14:paraId="4450AC7A">
      <w:pPr>
        <w:spacing w:before="3" w:line="356" w:lineRule="auto"/>
        <w:ind w:right="27" w:firstLine="491"/>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（8）公布投标人名称、投标保证金递交情况、解密情况及其他内容，并记录在案。</w:t>
      </w:r>
    </w:p>
    <w:p w14:paraId="3AC90D22">
      <w:pPr>
        <w:spacing w:before="3" w:line="356" w:lineRule="auto"/>
        <w:ind w:right="27" w:firstLine="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（9）投标人代表、招标人、监标人（如有）、见证人（如有）等有关人员在开标</w:t>
      </w:r>
      <w:r>
        <w:rPr>
          <w:rFonts w:ascii="宋体" w:hAnsi="宋体" w:eastAsia="宋体" w:cs="宋体"/>
          <w:color w:val="auto"/>
          <w:spacing w:val="-1"/>
          <w:sz w:val="24"/>
          <w:szCs w:val="24"/>
          <w:highlight w:val="none"/>
        </w:rPr>
        <w:t>记录上签字确认，投标人代表未签字确认的视为默认开标结果。</w:t>
      </w:r>
    </w:p>
    <w:p w14:paraId="086D5591">
      <w:pPr>
        <w:spacing w:line="218"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（10）开标会议结束。</w:t>
      </w:r>
    </w:p>
    <w:p w14:paraId="3010C2A0">
      <w:pPr>
        <w:spacing w:before="184" w:line="359" w:lineRule="auto"/>
        <w:ind w:right="128" w:firstLine="485"/>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5.2.2 投标文件第二个信封（报价文件）在投标</w:t>
      </w:r>
      <w:r>
        <w:rPr>
          <w:rFonts w:ascii="宋体" w:hAnsi="宋体" w:eastAsia="宋体" w:cs="宋体"/>
          <w:color w:val="auto"/>
          <w:spacing w:val="4"/>
          <w:sz w:val="24"/>
          <w:szCs w:val="24"/>
          <w:highlight w:val="none"/>
        </w:rPr>
        <w:t>文件第一个信封（商务及技术文</w:t>
      </w:r>
      <w:r>
        <w:rPr>
          <w:rFonts w:ascii="宋体" w:hAnsi="宋体" w:eastAsia="宋体" w:cs="宋体"/>
          <w:color w:val="auto"/>
          <w:spacing w:val="-3"/>
          <w:sz w:val="24"/>
          <w:szCs w:val="24"/>
          <w:highlight w:val="none"/>
        </w:rPr>
        <w:t>件）完成评审前，“</w:t>
      </w:r>
      <w:r>
        <w:rPr>
          <w:rFonts w:ascii="宋体" w:hAnsi="宋体" w:eastAsia="宋体" w:cs="宋体"/>
          <w:color w:val="auto"/>
          <w:spacing w:val="-72"/>
          <w:sz w:val="24"/>
          <w:szCs w:val="24"/>
          <w:highlight w:val="none"/>
        </w:rPr>
        <w:t xml:space="preserve"> </w:t>
      </w:r>
      <w:r>
        <w:rPr>
          <w:rFonts w:ascii="宋体" w:hAnsi="宋体" w:eastAsia="宋体" w:cs="宋体"/>
          <w:color w:val="auto"/>
          <w:spacing w:val="-3"/>
          <w:sz w:val="24"/>
          <w:szCs w:val="24"/>
          <w:highlight w:val="none"/>
        </w:rPr>
        <w:t>电子交易平台</w:t>
      </w:r>
      <w:r>
        <w:rPr>
          <w:rFonts w:ascii="宋体" w:hAnsi="宋体" w:eastAsia="宋体" w:cs="宋体"/>
          <w:color w:val="auto"/>
          <w:spacing w:val="-88"/>
          <w:sz w:val="24"/>
          <w:szCs w:val="24"/>
          <w:highlight w:val="none"/>
        </w:rPr>
        <w:t xml:space="preserve"> </w:t>
      </w:r>
      <w:r>
        <w:rPr>
          <w:rFonts w:ascii="宋体" w:hAnsi="宋体" w:eastAsia="宋体" w:cs="宋体"/>
          <w:color w:val="auto"/>
          <w:spacing w:val="-3"/>
          <w:sz w:val="24"/>
          <w:szCs w:val="24"/>
          <w:highlight w:val="none"/>
        </w:rPr>
        <w:t>”的开标评标系统将不进行读取。</w:t>
      </w:r>
    </w:p>
    <w:p w14:paraId="449EB842">
      <w:pPr>
        <w:spacing w:before="1" w:line="217"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5.2.3 投标文件第二个信封（报价文件）进行开标</w:t>
      </w:r>
    </w:p>
    <w:p w14:paraId="6D883F32">
      <w:pPr>
        <w:spacing w:before="182" w:line="359" w:lineRule="auto"/>
        <w:ind w:right="101"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招标人将按照本章第</w:t>
      </w:r>
      <w:r>
        <w:rPr>
          <w:rFonts w:ascii="宋体" w:hAnsi="宋体" w:eastAsia="宋体" w:cs="宋体"/>
          <w:color w:val="auto"/>
          <w:spacing w:val="-29"/>
          <w:sz w:val="24"/>
          <w:szCs w:val="24"/>
          <w:highlight w:val="none"/>
        </w:rPr>
        <w:t xml:space="preserve"> </w:t>
      </w:r>
      <w:r>
        <w:rPr>
          <w:rFonts w:ascii="宋体" w:hAnsi="宋体" w:eastAsia="宋体" w:cs="宋体"/>
          <w:color w:val="auto"/>
          <w:spacing w:val="-2"/>
          <w:sz w:val="24"/>
          <w:szCs w:val="24"/>
          <w:highlight w:val="none"/>
        </w:rPr>
        <w:t>5.1</w:t>
      </w:r>
      <w:r>
        <w:rPr>
          <w:rFonts w:ascii="宋体" w:hAnsi="宋体" w:eastAsia="宋体" w:cs="宋体"/>
          <w:color w:val="auto"/>
          <w:spacing w:val="-50"/>
          <w:sz w:val="24"/>
          <w:szCs w:val="24"/>
          <w:highlight w:val="none"/>
        </w:rPr>
        <w:t xml:space="preserve"> </w:t>
      </w:r>
      <w:r>
        <w:rPr>
          <w:rFonts w:ascii="宋体" w:hAnsi="宋体" w:eastAsia="宋体" w:cs="宋体"/>
          <w:color w:val="auto"/>
          <w:spacing w:val="-2"/>
          <w:sz w:val="24"/>
          <w:szCs w:val="24"/>
          <w:highlight w:val="none"/>
        </w:rPr>
        <w:t>款规定的时间和地点对投标文件第二个信封（报价文件）</w:t>
      </w:r>
      <w:r>
        <w:rPr>
          <w:rFonts w:ascii="宋体" w:hAnsi="宋体" w:eastAsia="宋体" w:cs="宋体"/>
          <w:color w:val="auto"/>
          <w:spacing w:val="-1"/>
          <w:sz w:val="24"/>
          <w:szCs w:val="24"/>
          <w:highlight w:val="none"/>
        </w:rPr>
        <w:t>进行开标。主持人按下列程序进行开标：</w:t>
      </w:r>
    </w:p>
    <w:p w14:paraId="1862B029">
      <w:pPr>
        <w:spacing w:before="1" w:line="218"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（1）投标人代表持</w:t>
      </w:r>
      <w:r>
        <w:rPr>
          <w:rFonts w:ascii="宋体" w:hAnsi="宋体" w:eastAsia="宋体" w:cs="宋体"/>
          <w:color w:val="auto"/>
          <w:spacing w:val="-53"/>
          <w:sz w:val="24"/>
          <w:szCs w:val="24"/>
          <w:highlight w:val="none"/>
        </w:rPr>
        <w:t xml:space="preserve"> </w:t>
      </w:r>
      <w:r>
        <w:rPr>
          <w:rFonts w:ascii="宋体" w:hAnsi="宋体" w:eastAsia="宋体" w:cs="宋体"/>
          <w:color w:val="auto"/>
          <w:spacing w:val="-1"/>
          <w:sz w:val="24"/>
          <w:szCs w:val="24"/>
          <w:highlight w:val="none"/>
        </w:rPr>
        <w:t>CA</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数字证书进入开标现场（投标人也可选择</w:t>
      </w:r>
      <w:r>
        <w:rPr>
          <w:rFonts w:ascii="宋体" w:hAnsi="宋体" w:eastAsia="宋体" w:cs="宋体"/>
          <w:color w:val="auto"/>
          <w:spacing w:val="-2"/>
          <w:sz w:val="24"/>
          <w:szCs w:val="24"/>
          <w:highlight w:val="none"/>
        </w:rPr>
        <w:t>远程解密）。</w:t>
      </w:r>
    </w:p>
    <w:p w14:paraId="4CD094FA">
      <w:pPr>
        <w:spacing w:before="183" w:line="219" w:lineRule="auto"/>
        <w:ind w:left="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（2）宣布开标纪律。</w:t>
      </w:r>
    </w:p>
    <w:p w14:paraId="615E86A6">
      <w:pPr>
        <w:spacing w:before="182" w:line="360" w:lineRule="auto"/>
        <w:ind w:left="1" w:firstLine="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（3）摇取下浮率（如需）、评标价</w:t>
      </w:r>
      <w:r>
        <w:rPr>
          <w:rFonts w:ascii="宋体" w:hAnsi="宋体" w:eastAsia="宋体" w:cs="宋体"/>
          <w:color w:val="auto"/>
          <w:spacing w:val="-53"/>
          <w:sz w:val="24"/>
          <w:szCs w:val="24"/>
          <w:highlight w:val="none"/>
        </w:rPr>
        <w:t xml:space="preserve"> </w:t>
      </w:r>
      <w:r>
        <w:rPr>
          <w:rFonts w:ascii="宋体" w:hAnsi="宋体" w:eastAsia="宋体" w:cs="宋体"/>
          <w:color w:val="auto"/>
          <w:spacing w:val="-2"/>
          <w:sz w:val="24"/>
          <w:szCs w:val="24"/>
          <w:highlight w:val="none"/>
        </w:rPr>
        <w:t>E</w:t>
      </w:r>
      <w:r>
        <w:rPr>
          <w:rFonts w:ascii="宋体" w:hAnsi="宋体" w:eastAsia="宋体" w:cs="宋体"/>
          <w:color w:val="auto"/>
          <w:spacing w:val="-51"/>
          <w:sz w:val="24"/>
          <w:szCs w:val="24"/>
          <w:highlight w:val="none"/>
        </w:rPr>
        <w:t xml:space="preserve"> </w:t>
      </w:r>
      <w:r>
        <w:rPr>
          <w:rFonts w:ascii="宋体" w:hAnsi="宋体" w:eastAsia="宋体" w:cs="宋体"/>
          <w:color w:val="auto"/>
          <w:spacing w:val="-2"/>
          <w:sz w:val="24"/>
          <w:szCs w:val="24"/>
          <w:highlight w:val="none"/>
        </w:rPr>
        <w:t>值（</w:t>
      </w:r>
      <w:r>
        <w:rPr>
          <w:rFonts w:ascii="宋体" w:hAnsi="宋体" w:eastAsia="宋体" w:cs="宋体"/>
          <w:color w:val="auto"/>
          <w:spacing w:val="-3"/>
          <w:sz w:val="24"/>
          <w:szCs w:val="24"/>
          <w:highlight w:val="none"/>
        </w:rPr>
        <w:t>如需</w:t>
      </w:r>
      <w:r>
        <w:rPr>
          <w:rFonts w:ascii="宋体" w:hAnsi="宋体" w:eastAsia="宋体" w:cs="宋体"/>
          <w:color w:val="auto"/>
          <w:spacing w:val="4"/>
          <w:sz w:val="24"/>
          <w:szCs w:val="24"/>
          <w:highlight w:val="none"/>
        </w:rPr>
        <w:t>），</w:t>
      </w:r>
      <w:r>
        <w:rPr>
          <w:rFonts w:ascii="宋体" w:hAnsi="宋体" w:eastAsia="宋体" w:cs="宋体"/>
          <w:color w:val="auto"/>
          <w:spacing w:val="-3"/>
          <w:sz w:val="24"/>
          <w:szCs w:val="24"/>
          <w:highlight w:val="none"/>
        </w:rPr>
        <w:t>在开标现场采取摇珠方式确定。</w:t>
      </w:r>
      <w:r>
        <w:rPr>
          <w:rFonts w:ascii="宋体" w:hAnsi="宋体" w:eastAsia="宋体" w:cs="宋体"/>
          <w:color w:val="auto"/>
          <w:spacing w:val="-1"/>
          <w:sz w:val="24"/>
          <w:szCs w:val="24"/>
          <w:highlight w:val="none"/>
        </w:rPr>
        <w:t>摇珠操作办法详见评标办法。</w:t>
      </w:r>
    </w:p>
    <w:p w14:paraId="69863B97">
      <w:pPr>
        <w:spacing w:before="3" w:line="358" w:lineRule="auto"/>
        <w:ind w:left="3" w:right="101" w:firstLine="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（4）招标人或招标代理机构宣布第一个信封（商务及技术文件）评审结果。投标</w:t>
      </w:r>
      <w:r>
        <w:rPr>
          <w:rFonts w:ascii="宋体" w:hAnsi="宋体" w:eastAsia="宋体" w:cs="宋体"/>
          <w:color w:val="auto"/>
          <w:spacing w:val="-1"/>
          <w:sz w:val="24"/>
          <w:szCs w:val="24"/>
          <w:highlight w:val="none"/>
        </w:rPr>
        <w:t>人未通过第一个信封（商务及技术文件）评审的，对应标段的第二个信封（报价文件）</w:t>
      </w:r>
      <w:r>
        <w:rPr>
          <w:rFonts w:ascii="宋体" w:hAnsi="宋体" w:eastAsia="宋体" w:cs="宋体"/>
          <w:color w:val="auto"/>
          <w:spacing w:val="-3"/>
          <w:sz w:val="24"/>
          <w:szCs w:val="24"/>
          <w:highlight w:val="none"/>
        </w:rPr>
        <w:t>不予开标。</w:t>
      </w:r>
    </w:p>
    <w:p w14:paraId="3C444321">
      <w:pPr>
        <w:spacing w:before="1" w:line="218"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（5）宣布开标人、唱标人、记录人等有关人员姓名。</w:t>
      </w:r>
    </w:p>
    <w:p w14:paraId="6721AB88">
      <w:pPr>
        <w:spacing w:before="181"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（6）宣布开标顺序：方法同第一个信封的开标顺序。</w:t>
      </w:r>
    </w:p>
    <w:p w14:paraId="0968D3C7">
      <w:pPr>
        <w:spacing w:before="185" w:line="359" w:lineRule="auto"/>
        <w:ind w:right="128" w:firstLine="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（7）投标人解密。招标人宣布第二个信封（报价文件）解密开始时间，投标人应</w:t>
      </w:r>
      <w:r>
        <w:rPr>
          <w:rFonts w:ascii="宋体" w:hAnsi="宋体" w:eastAsia="宋体" w:cs="宋体"/>
          <w:color w:val="auto"/>
          <w:spacing w:val="5"/>
          <w:sz w:val="24"/>
          <w:szCs w:val="24"/>
          <w:highlight w:val="none"/>
        </w:rPr>
        <w:t>在解密时长投标人须知前附表规定的解密时间内，对通过第一个信封（商务及</w:t>
      </w:r>
      <w:r>
        <w:rPr>
          <w:rFonts w:ascii="宋体" w:hAnsi="宋体" w:eastAsia="宋体" w:cs="宋体"/>
          <w:color w:val="auto"/>
          <w:spacing w:val="4"/>
          <w:sz w:val="24"/>
          <w:szCs w:val="24"/>
          <w:highlight w:val="none"/>
        </w:rPr>
        <w:t>技术文</w:t>
      </w:r>
      <w:r>
        <w:rPr>
          <w:rFonts w:ascii="宋体" w:hAnsi="宋体" w:eastAsia="宋体" w:cs="宋体"/>
          <w:color w:val="auto"/>
          <w:spacing w:val="-1"/>
          <w:sz w:val="24"/>
          <w:szCs w:val="24"/>
          <w:highlight w:val="none"/>
        </w:rPr>
        <w:t>件）评审的对应标段的第二个信封（报价文件）进行解密。</w:t>
      </w:r>
    </w:p>
    <w:p w14:paraId="4410D0BE">
      <w:pPr>
        <w:spacing w:line="359" w:lineRule="auto"/>
        <w:ind w:left="1" w:right="128" w:firstLine="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（8）招标人解密。招标人在投标人解密截止时间后，对投标人解密成功的第二个</w:t>
      </w:r>
      <w:r>
        <w:rPr>
          <w:rFonts w:ascii="宋体" w:hAnsi="宋体" w:eastAsia="宋体" w:cs="宋体"/>
          <w:color w:val="auto"/>
          <w:spacing w:val="-2"/>
          <w:sz w:val="24"/>
          <w:szCs w:val="24"/>
          <w:highlight w:val="none"/>
        </w:rPr>
        <w:t>信封进行解密。</w:t>
      </w:r>
    </w:p>
    <w:p w14:paraId="6FB71A48">
      <w:pPr>
        <w:spacing w:before="1" w:line="359" w:lineRule="auto"/>
        <w:ind w:right="18" w:firstLine="493"/>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（9）根据解密后的投标文件中的投标函公布投标人名称、投标报价</w:t>
      </w:r>
      <w:r>
        <w:rPr>
          <w:rFonts w:ascii="宋体" w:hAnsi="宋体" w:eastAsia="宋体" w:cs="宋体"/>
          <w:color w:val="auto"/>
          <w:spacing w:val="-3"/>
          <w:sz w:val="24"/>
          <w:szCs w:val="24"/>
          <w:highlight w:val="none"/>
        </w:rPr>
        <w:t>（开标过程中，</w:t>
      </w:r>
      <w:r>
        <w:rPr>
          <w:rFonts w:ascii="宋体" w:hAnsi="宋体" w:eastAsia="宋体" w:cs="宋体"/>
          <w:color w:val="auto"/>
          <w:spacing w:val="5"/>
          <w:sz w:val="24"/>
          <w:szCs w:val="24"/>
          <w:highlight w:val="none"/>
        </w:rPr>
        <w:t>若开标记录表与投标文件投标函大写文字报价不一致时，以投标文件投标函大写</w:t>
      </w:r>
      <w:r>
        <w:rPr>
          <w:rFonts w:ascii="宋体" w:hAnsi="宋体" w:eastAsia="宋体" w:cs="宋体"/>
          <w:color w:val="auto"/>
          <w:spacing w:val="4"/>
          <w:sz w:val="24"/>
          <w:szCs w:val="24"/>
          <w:highlight w:val="none"/>
        </w:rPr>
        <w:t>文字</w:t>
      </w:r>
      <w:r>
        <w:rPr>
          <w:rFonts w:ascii="宋体" w:hAnsi="宋体" w:eastAsia="宋体" w:cs="宋体"/>
          <w:color w:val="auto"/>
          <w:spacing w:val="5"/>
          <w:sz w:val="24"/>
          <w:szCs w:val="24"/>
          <w:highlight w:val="none"/>
        </w:rPr>
        <w:t>报价为准）、解密情况及其他内容，并记录在案。将未通过投标文件第一个信封</w:t>
      </w:r>
      <w:r>
        <w:rPr>
          <w:rFonts w:ascii="宋体" w:hAnsi="宋体" w:eastAsia="宋体" w:cs="宋体"/>
          <w:color w:val="auto"/>
          <w:spacing w:val="4"/>
          <w:sz w:val="24"/>
          <w:szCs w:val="24"/>
          <w:highlight w:val="none"/>
        </w:rPr>
        <w:t>（商务及技术文件）评审的投标文件第二个信封（报价文件）光盘或</w:t>
      </w:r>
      <w:r>
        <w:rPr>
          <w:rFonts w:ascii="宋体" w:hAnsi="宋体" w:eastAsia="宋体" w:cs="宋体"/>
          <w:color w:val="auto"/>
          <w:spacing w:val="-39"/>
          <w:sz w:val="24"/>
          <w:szCs w:val="24"/>
          <w:highlight w:val="none"/>
        </w:rPr>
        <w:t xml:space="preserve"> </w:t>
      </w:r>
      <w:r>
        <w:rPr>
          <w:rFonts w:ascii="宋体" w:hAnsi="宋体" w:eastAsia="宋体" w:cs="宋体"/>
          <w:color w:val="auto"/>
          <w:spacing w:val="4"/>
          <w:sz w:val="24"/>
          <w:szCs w:val="24"/>
          <w:highlight w:val="none"/>
        </w:rPr>
        <w:t>U</w:t>
      </w:r>
      <w:r>
        <w:rPr>
          <w:rFonts w:ascii="宋体" w:hAnsi="宋体" w:eastAsia="宋体" w:cs="宋体"/>
          <w:color w:val="auto"/>
          <w:spacing w:val="-44"/>
          <w:sz w:val="24"/>
          <w:szCs w:val="24"/>
          <w:highlight w:val="none"/>
        </w:rPr>
        <w:t xml:space="preserve"> </w:t>
      </w:r>
      <w:r>
        <w:rPr>
          <w:rFonts w:ascii="宋体" w:hAnsi="宋体" w:eastAsia="宋体" w:cs="宋体"/>
          <w:color w:val="auto"/>
          <w:spacing w:val="4"/>
          <w:sz w:val="24"/>
          <w:szCs w:val="24"/>
          <w:highlight w:val="none"/>
        </w:rPr>
        <w:t>盘（如有）退还给</w:t>
      </w:r>
      <w:r>
        <w:rPr>
          <w:rFonts w:ascii="宋体" w:hAnsi="宋体" w:eastAsia="宋体" w:cs="宋体"/>
          <w:color w:val="auto"/>
          <w:spacing w:val="5"/>
          <w:sz w:val="24"/>
          <w:szCs w:val="24"/>
          <w:highlight w:val="none"/>
        </w:rPr>
        <w:t>投标人。如投标人未参加第二个信封开标的，招标人应当在评标结束后及时将第</w:t>
      </w:r>
      <w:r>
        <w:rPr>
          <w:rFonts w:ascii="宋体" w:hAnsi="宋体" w:eastAsia="宋体" w:cs="宋体"/>
          <w:color w:val="auto"/>
          <w:spacing w:val="4"/>
          <w:sz w:val="24"/>
          <w:szCs w:val="24"/>
          <w:highlight w:val="none"/>
        </w:rPr>
        <w:t>二个</w:t>
      </w:r>
      <w:r>
        <w:rPr>
          <w:rFonts w:ascii="宋体" w:hAnsi="宋体" w:eastAsia="宋体" w:cs="宋体"/>
          <w:color w:val="auto"/>
          <w:spacing w:val="-2"/>
          <w:sz w:val="24"/>
          <w:szCs w:val="24"/>
          <w:highlight w:val="none"/>
        </w:rPr>
        <w:t>信封光盘或</w:t>
      </w:r>
      <w:r>
        <w:rPr>
          <w:rFonts w:ascii="宋体" w:hAnsi="宋体" w:eastAsia="宋体" w:cs="宋体"/>
          <w:color w:val="auto"/>
          <w:spacing w:val="-44"/>
          <w:sz w:val="24"/>
          <w:szCs w:val="24"/>
          <w:highlight w:val="none"/>
        </w:rPr>
        <w:t xml:space="preserve"> </w:t>
      </w:r>
      <w:r>
        <w:rPr>
          <w:rFonts w:ascii="宋体" w:hAnsi="宋体" w:eastAsia="宋体" w:cs="宋体"/>
          <w:color w:val="auto"/>
          <w:spacing w:val="-2"/>
          <w:sz w:val="24"/>
          <w:szCs w:val="24"/>
          <w:highlight w:val="none"/>
        </w:rPr>
        <w:t>U</w:t>
      </w:r>
      <w:r>
        <w:rPr>
          <w:rFonts w:ascii="宋体" w:hAnsi="宋体" w:eastAsia="宋体" w:cs="宋体"/>
          <w:color w:val="auto"/>
          <w:spacing w:val="-51"/>
          <w:sz w:val="24"/>
          <w:szCs w:val="24"/>
          <w:highlight w:val="none"/>
        </w:rPr>
        <w:t xml:space="preserve"> </w:t>
      </w:r>
      <w:r>
        <w:rPr>
          <w:rFonts w:ascii="宋体" w:hAnsi="宋体" w:eastAsia="宋体" w:cs="宋体"/>
          <w:color w:val="auto"/>
          <w:spacing w:val="-2"/>
          <w:sz w:val="24"/>
          <w:szCs w:val="24"/>
          <w:highlight w:val="none"/>
        </w:rPr>
        <w:t>盘（如有）退还投标人。</w:t>
      </w:r>
    </w:p>
    <w:p w14:paraId="7C97FE3D">
      <w:pPr>
        <w:spacing w:before="1" w:line="359" w:lineRule="auto"/>
        <w:ind w:right="18" w:firstLine="49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（10）投标人代表、招标人、监标人（如有）、见证人</w:t>
      </w:r>
      <w:r>
        <w:rPr>
          <w:rFonts w:ascii="宋体" w:hAnsi="宋体" w:eastAsia="宋体" w:cs="宋体"/>
          <w:color w:val="auto"/>
          <w:spacing w:val="4"/>
          <w:sz w:val="24"/>
          <w:szCs w:val="24"/>
          <w:highlight w:val="none"/>
        </w:rPr>
        <w:t>（如有）等有关人员在开</w:t>
      </w:r>
      <w:r>
        <w:rPr>
          <w:rFonts w:ascii="宋体" w:hAnsi="宋体" w:eastAsia="宋体" w:cs="宋体"/>
          <w:color w:val="auto"/>
          <w:spacing w:val="5"/>
          <w:sz w:val="24"/>
          <w:szCs w:val="24"/>
          <w:highlight w:val="none"/>
        </w:rPr>
        <w:t>标记录上进行签字确认，投标人代表未签字确认的视为默认开标结果。如</w:t>
      </w:r>
      <w:r>
        <w:rPr>
          <w:rFonts w:ascii="宋体" w:hAnsi="宋体" w:eastAsia="宋体" w:cs="宋体"/>
          <w:color w:val="auto"/>
          <w:spacing w:val="4"/>
          <w:sz w:val="24"/>
          <w:szCs w:val="24"/>
          <w:highlight w:val="none"/>
        </w:rPr>
        <w:t>开标过程中</w:t>
      </w:r>
      <w:r>
        <w:rPr>
          <w:rFonts w:ascii="宋体" w:hAnsi="宋体" w:eastAsia="宋体" w:cs="宋体"/>
          <w:color w:val="auto"/>
          <w:spacing w:val="5"/>
          <w:sz w:val="24"/>
          <w:szCs w:val="24"/>
          <w:highlight w:val="none"/>
        </w:rPr>
        <w:t>出现需更正开标记录表的情况，招标人应通知所有投标人代表知晓，投标</w:t>
      </w:r>
      <w:r>
        <w:rPr>
          <w:rFonts w:ascii="宋体" w:hAnsi="宋体" w:eastAsia="宋体" w:cs="宋体"/>
          <w:color w:val="auto"/>
          <w:spacing w:val="4"/>
          <w:sz w:val="24"/>
          <w:szCs w:val="24"/>
          <w:highlight w:val="none"/>
        </w:rPr>
        <w:t>人代表、招</w:t>
      </w:r>
      <w:r>
        <w:rPr>
          <w:rFonts w:ascii="宋体" w:hAnsi="宋体" w:eastAsia="宋体" w:cs="宋体"/>
          <w:color w:val="auto"/>
          <w:spacing w:val="5"/>
          <w:sz w:val="24"/>
          <w:szCs w:val="24"/>
          <w:highlight w:val="none"/>
        </w:rPr>
        <w:t>标人、监标人（如有）、见证人（如有）等有关人员均应在更正后开标记</w:t>
      </w:r>
      <w:r>
        <w:rPr>
          <w:rFonts w:ascii="宋体" w:hAnsi="宋体" w:eastAsia="宋体" w:cs="宋体"/>
          <w:color w:val="auto"/>
          <w:spacing w:val="4"/>
          <w:sz w:val="24"/>
          <w:szCs w:val="24"/>
          <w:highlight w:val="none"/>
        </w:rPr>
        <w:t>录上进行签</w:t>
      </w:r>
      <w:r>
        <w:rPr>
          <w:rFonts w:ascii="宋体" w:hAnsi="宋体" w:eastAsia="宋体" w:cs="宋体"/>
          <w:color w:val="auto"/>
          <w:spacing w:val="-1"/>
          <w:sz w:val="24"/>
          <w:szCs w:val="24"/>
          <w:highlight w:val="none"/>
        </w:rPr>
        <w:t>字确认，投标人代表未签字确认的视为默认更正结果。</w:t>
      </w:r>
    </w:p>
    <w:p w14:paraId="0D033A8E">
      <w:pPr>
        <w:spacing w:line="359" w:lineRule="auto"/>
        <w:ind w:left="5" w:right="10" w:firstLine="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（11）投标人对开标有异议的，应当在开标现场提出，招标人应当</w:t>
      </w:r>
      <w:r>
        <w:rPr>
          <w:rFonts w:ascii="宋体" w:hAnsi="宋体" w:eastAsia="宋体" w:cs="宋体"/>
          <w:color w:val="auto"/>
          <w:spacing w:val="-3"/>
          <w:sz w:val="24"/>
          <w:szCs w:val="24"/>
          <w:highlight w:val="none"/>
        </w:rPr>
        <w:t>当场作出答复，</w:t>
      </w:r>
      <w:r>
        <w:rPr>
          <w:rFonts w:ascii="宋体" w:hAnsi="宋体" w:eastAsia="宋体" w:cs="宋体"/>
          <w:color w:val="auto"/>
          <w:spacing w:val="-1"/>
          <w:sz w:val="24"/>
          <w:szCs w:val="24"/>
          <w:highlight w:val="none"/>
        </w:rPr>
        <w:t>并制作记录。未参加开标的投标人，视为对开标过程无异议。</w:t>
      </w:r>
    </w:p>
    <w:p w14:paraId="6E2834AE">
      <w:pPr>
        <w:spacing w:line="218"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（12）开标会议结束。</w:t>
      </w:r>
    </w:p>
    <w:p w14:paraId="7B545E32">
      <w:pPr>
        <w:spacing w:before="182" w:line="359" w:lineRule="auto"/>
        <w:ind w:firstLine="483"/>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5.2.4 在投标文件第二个信封（报价文件）开标</w:t>
      </w:r>
      <w:r>
        <w:rPr>
          <w:rFonts w:ascii="宋体" w:hAnsi="宋体" w:eastAsia="宋体" w:cs="宋体"/>
          <w:color w:val="auto"/>
          <w:spacing w:val="4"/>
          <w:sz w:val="24"/>
          <w:szCs w:val="24"/>
          <w:highlight w:val="none"/>
        </w:rPr>
        <w:t>现场，招标人将按第三章“评标</w:t>
      </w:r>
      <w:r>
        <w:rPr>
          <w:rFonts w:ascii="宋体" w:hAnsi="宋体" w:eastAsia="宋体" w:cs="宋体"/>
          <w:color w:val="auto"/>
          <w:spacing w:val="-2"/>
          <w:sz w:val="24"/>
          <w:szCs w:val="24"/>
          <w:highlight w:val="none"/>
        </w:rPr>
        <w:t>办法</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”规定的原则计算并宣布评标基准价。若招标</w:t>
      </w:r>
      <w:r>
        <w:rPr>
          <w:rFonts w:ascii="宋体" w:hAnsi="宋体" w:eastAsia="宋体" w:cs="宋体"/>
          <w:color w:val="auto"/>
          <w:spacing w:val="-3"/>
          <w:sz w:val="24"/>
          <w:szCs w:val="24"/>
          <w:highlight w:val="none"/>
        </w:rPr>
        <w:t>人发现投标文件出现以下任一情况，</w:t>
      </w:r>
      <w:r>
        <w:rPr>
          <w:rFonts w:ascii="宋体" w:hAnsi="宋体" w:eastAsia="宋体" w:cs="宋体"/>
          <w:color w:val="auto"/>
          <w:spacing w:val="-1"/>
          <w:sz w:val="24"/>
          <w:szCs w:val="24"/>
          <w:highlight w:val="none"/>
        </w:rPr>
        <w:t>其投标报价将不再参加评标基准价的计算：</w:t>
      </w:r>
    </w:p>
    <w:p w14:paraId="57D4C7EB">
      <w:pPr>
        <w:spacing w:before="1" w:line="217"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（1）未在投标函上填写投标总价；</w:t>
      </w:r>
    </w:p>
    <w:p w14:paraId="752B09D1">
      <w:pPr>
        <w:spacing w:before="182" w:line="218"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（2）投标总报价超出招标人公布的最高投标限价；</w:t>
      </w:r>
    </w:p>
    <w:p w14:paraId="3D2B5030">
      <w:pPr>
        <w:spacing w:before="185" w:line="218"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（3）投标总报价的大写金额无法确定具体数值；</w:t>
      </w:r>
    </w:p>
    <w:p w14:paraId="3502CEC8">
      <w:pPr>
        <w:spacing w:before="185" w:line="220"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（4）投标函上填写的标段号标记错误。</w:t>
      </w:r>
    </w:p>
    <w:p w14:paraId="363D6095">
      <w:pPr>
        <w:spacing w:before="178" w:line="359" w:lineRule="auto"/>
        <w:ind w:left="1" w:firstLine="481"/>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如果投标人认为某一标段的评标基准价计算有误，有权在开标现场提出，经招标人当场核实确认之后，可重新宣布评标基准价。开标现场宣布的评标基</w:t>
      </w:r>
      <w:r>
        <w:rPr>
          <w:rFonts w:ascii="宋体" w:hAnsi="宋体" w:eastAsia="宋体" w:cs="宋体"/>
          <w:color w:val="auto"/>
          <w:spacing w:val="4"/>
          <w:sz w:val="24"/>
          <w:szCs w:val="24"/>
          <w:highlight w:val="none"/>
        </w:rPr>
        <w:t>准价除计算有</w:t>
      </w:r>
      <w:r>
        <w:rPr>
          <w:rFonts w:ascii="宋体" w:hAnsi="宋体" w:eastAsia="宋体" w:cs="宋体"/>
          <w:color w:val="auto"/>
          <w:sz w:val="24"/>
          <w:szCs w:val="24"/>
          <w:highlight w:val="none"/>
        </w:rPr>
        <w:t>误经评标委员会修正外，在整个评标期间保持不</w:t>
      </w:r>
      <w:r>
        <w:rPr>
          <w:rFonts w:ascii="宋体" w:hAnsi="宋体" w:eastAsia="宋体" w:cs="宋体"/>
          <w:color w:val="auto"/>
          <w:spacing w:val="-1"/>
          <w:sz w:val="24"/>
          <w:szCs w:val="24"/>
          <w:highlight w:val="none"/>
        </w:rPr>
        <w:t>变，不随任何因素发生变化。</w:t>
      </w:r>
    </w:p>
    <w:p w14:paraId="41BDC2F1">
      <w:pPr>
        <w:spacing w:before="5" w:line="359" w:lineRule="auto"/>
        <w:ind w:firstLine="484"/>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5.2.5 在投标文件第一个信封（商务及技术文件</w:t>
      </w:r>
      <w:r>
        <w:rPr>
          <w:rFonts w:ascii="宋体" w:hAnsi="宋体" w:eastAsia="宋体" w:cs="宋体"/>
          <w:color w:val="auto"/>
          <w:spacing w:val="4"/>
          <w:sz w:val="24"/>
          <w:szCs w:val="24"/>
          <w:highlight w:val="none"/>
        </w:rPr>
        <w:t>）或第二个信封（报价文件）开</w:t>
      </w:r>
      <w:r>
        <w:rPr>
          <w:rFonts w:ascii="宋体" w:hAnsi="宋体" w:eastAsia="宋体" w:cs="宋体"/>
          <w:color w:val="auto"/>
          <w:spacing w:val="5"/>
          <w:sz w:val="24"/>
          <w:szCs w:val="24"/>
          <w:highlight w:val="none"/>
        </w:rPr>
        <w:t>标过程中，若招标人宣读的内容与投标文件不符，投标人有权在开标现场提</w:t>
      </w:r>
      <w:r>
        <w:rPr>
          <w:rFonts w:ascii="宋体" w:hAnsi="宋体" w:eastAsia="宋体" w:cs="宋体"/>
          <w:color w:val="auto"/>
          <w:spacing w:val="4"/>
          <w:sz w:val="24"/>
          <w:szCs w:val="24"/>
          <w:highlight w:val="none"/>
        </w:rPr>
        <w:t>出疑问，</w:t>
      </w:r>
      <w:r>
        <w:rPr>
          <w:rFonts w:ascii="宋体" w:hAnsi="宋体" w:eastAsia="宋体" w:cs="宋体"/>
          <w:color w:val="auto"/>
          <w:spacing w:val="5"/>
          <w:sz w:val="24"/>
          <w:szCs w:val="24"/>
          <w:highlight w:val="none"/>
        </w:rPr>
        <w:t>经招标人当场核查确认之后，可重新宣读其投标文件。若投标人现场未提出</w:t>
      </w:r>
      <w:r>
        <w:rPr>
          <w:rFonts w:ascii="宋体" w:hAnsi="宋体" w:eastAsia="宋体" w:cs="宋体"/>
          <w:color w:val="auto"/>
          <w:spacing w:val="4"/>
          <w:sz w:val="24"/>
          <w:szCs w:val="24"/>
          <w:highlight w:val="none"/>
        </w:rPr>
        <w:t>疑问，则</w:t>
      </w:r>
      <w:r>
        <w:rPr>
          <w:rFonts w:ascii="宋体" w:hAnsi="宋体" w:eastAsia="宋体" w:cs="宋体"/>
          <w:color w:val="auto"/>
          <w:spacing w:val="5"/>
          <w:sz w:val="24"/>
          <w:szCs w:val="24"/>
          <w:highlight w:val="none"/>
        </w:rPr>
        <w:t>认为投标人已确认招标人宣读的内容。投标人对开标有异议的，应当在开标</w:t>
      </w:r>
      <w:r>
        <w:rPr>
          <w:rFonts w:ascii="宋体" w:hAnsi="宋体" w:eastAsia="宋体" w:cs="宋体"/>
          <w:color w:val="auto"/>
          <w:spacing w:val="4"/>
          <w:sz w:val="24"/>
          <w:szCs w:val="24"/>
          <w:highlight w:val="none"/>
        </w:rPr>
        <w:t>现场提出（采用电子化开标的可在系统平台提出</w:t>
      </w:r>
      <w:r>
        <w:rPr>
          <w:rFonts w:ascii="宋体" w:hAnsi="宋体" w:eastAsia="宋体" w:cs="宋体"/>
          <w:color w:val="auto"/>
          <w:spacing w:val="20"/>
          <w:sz w:val="24"/>
          <w:szCs w:val="24"/>
          <w:highlight w:val="none"/>
        </w:rPr>
        <w:t>），</w:t>
      </w:r>
      <w:r>
        <w:rPr>
          <w:rFonts w:ascii="宋体" w:hAnsi="宋体" w:eastAsia="宋体" w:cs="宋体"/>
          <w:color w:val="auto"/>
          <w:spacing w:val="4"/>
          <w:sz w:val="24"/>
          <w:szCs w:val="24"/>
          <w:highlight w:val="none"/>
        </w:rPr>
        <w:t>招标人应当当场作出答复（采用电子化开标的可在系统平台答复</w:t>
      </w:r>
      <w:r>
        <w:rPr>
          <w:rFonts w:ascii="宋体" w:hAnsi="宋体" w:eastAsia="宋体" w:cs="宋体"/>
          <w:color w:val="auto"/>
          <w:spacing w:val="20"/>
          <w:sz w:val="24"/>
          <w:szCs w:val="24"/>
          <w:highlight w:val="none"/>
        </w:rPr>
        <w:t>），</w:t>
      </w:r>
      <w:r>
        <w:rPr>
          <w:rFonts w:ascii="宋体" w:hAnsi="宋体" w:eastAsia="宋体" w:cs="宋体"/>
          <w:color w:val="auto"/>
          <w:spacing w:val="4"/>
          <w:sz w:val="24"/>
          <w:szCs w:val="24"/>
          <w:highlight w:val="none"/>
        </w:rPr>
        <w:t>并制作记录。未参加开标的投标人，视为对开标过程无异</w:t>
      </w:r>
      <w:r>
        <w:rPr>
          <w:rFonts w:ascii="宋体" w:hAnsi="宋体" w:eastAsia="宋体" w:cs="宋体"/>
          <w:color w:val="auto"/>
          <w:spacing w:val="-5"/>
          <w:sz w:val="24"/>
          <w:szCs w:val="24"/>
          <w:highlight w:val="none"/>
        </w:rPr>
        <w:t>议。</w:t>
      </w:r>
    </w:p>
    <w:p w14:paraId="244A2E56">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5.3</w:t>
      </w:r>
      <w:r>
        <w:rPr>
          <w:rFonts w:ascii="宋体" w:hAnsi="宋体" w:eastAsia="宋体" w:cs="宋体"/>
          <w:color w:val="auto"/>
          <w:spacing w:val="71"/>
          <w:sz w:val="24"/>
          <w:szCs w:val="24"/>
          <w:highlight w:val="none"/>
        </w:rPr>
        <w:t xml:space="preserve"> </w:t>
      </w:r>
      <w:r>
        <w:rPr>
          <w:rFonts w:ascii="宋体" w:hAnsi="宋体" w:eastAsia="宋体" w:cs="宋体"/>
          <w:b/>
          <w:bCs/>
          <w:color w:val="auto"/>
          <w:spacing w:val="-6"/>
          <w:sz w:val="24"/>
          <w:szCs w:val="24"/>
          <w:highlight w:val="none"/>
        </w:rPr>
        <w:t>开标异议</w:t>
      </w:r>
    </w:p>
    <w:p w14:paraId="02E4ED91">
      <w:pPr>
        <w:spacing w:before="180" w:line="360" w:lineRule="auto"/>
        <w:ind w:firstLine="480"/>
        <w:jc w:val="both"/>
        <w:rPr>
          <w:rFonts w:ascii="宋体" w:hAnsi="宋体" w:eastAsia="宋体" w:cs="宋体"/>
          <w:color w:val="auto"/>
          <w:spacing w:val="-3"/>
          <w:sz w:val="24"/>
          <w:szCs w:val="24"/>
          <w:highlight w:val="none"/>
        </w:rPr>
      </w:pPr>
      <w:r>
        <w:rPr>
          <w:rFonts w:ascii="宋体" w:hAnsi="宋体" w:eastAsia="宋体" w:cs="宋体"/>
          <w:color w:val="auto"/>
          <w:spacing w:val="5"/>
          <w:sz w:val="24"/>
          <w:szCs w:val="24"/>
          <w:highlight w:val="none"/>
        </w:rPr>
        <w:t>开标异议投标人对开标有异议的，应在开标现场提出（采用电子化开标的可在系</w:t>
      </w:r>
      <w:r>
        <w:rPr>
          <w:rFonts w:ascii="宋体" w:hAnsi="宋体" w:eastAsia="宋体" w:cs="宋体"/>
          <w:color w:val="auto"/>
          <w:spacing w:val="4"/>
          <w:sz w:val="24"/>
          <w:szCs w:val="24"/>
          <w:highlight w:val="none"/>
        </w:rPr>
        <w:t>统平台提出</w:t>
      </w:r>
      <w:r>
        <w:rPr>
          <w:rFonts w:ascii="宋体" w:hAnsi="宋体" w:eastAsia="宋体" w:cs="宋体"/>
          <w:color w:val="auto"/>
          <w:spacing w:val="14"/>
          <w:sz w:val="24"/>
          <w:szCs w:val="24"/>
          <w:highlight w:val="none"/>
        </w:rPr>
        <w:t>），</w:t>
      </w:r>
      <w:r>
        <w:rPr>
          <w:rFonts w:ascii="宋体" w:hAnsi="宋体" w:eastAsia="宋体" w:cs="宋体"/>
          <w:color w:val="auto"/>
          <w:spacing w:val="4"/>
          <w:sz w:val="24"/>
          <w:szCs w:val="24"/>
          <w:highlight w:val="none"/>
        </w:rPr>
        <w:t>招标人当场作出答复（采用电子化开标</w:t>
      </w:r>
      <w:r>
        <w:rPr>
          <w:rFonts w:ascii="宋体" w:hAnsi="宋体" w:eastAsia="宋体" w:cs="宋体"/>
          <w:color w:val="auto"/>
          <w:spacing w:val="3"/>
          <w:sz w:val="24"/>
          <w:szCs w:val="24"/>
          <w:highlight w:val="none"/>
        </w:rPr>
        <w:t>的可在系统平台答复</w:t>
      </w:r>
      <w:r>
        <w:rPr>
          <w:rFonts w:ascii="宋体" w:hAnsi="宋体" w:eastAsia="宋体" w:cs="宋体"/>
          <w:color w:val="auto"/>
          <w:spacing w:val="14"/>
          <w:sz w:val="24"/>
          <w:szCs w:val="24"/>
          <w:highlight w:val="none"/>
        </w:rPr>
        <w:t>），</w:t>
      </w:r>
      <w:r>
        <w:rPr>
          <w:rFonts w:ascii="宋体" w:hAnsi="宋体" w:eastAsia="宋体" w:cs="宋体"/>
          <w:color w:val="auto"/>
          <w:spacing w:val="3"/>
          <w:sz w:val="24"/>
          <w:szCs w:val="24"/>
          <w:highlight w:val="none"/>
        </w:rPr>
        <w:t>并制</w:t>
      </w:r>
      <w:r>
        <w:rPr>
          <w:rFonts w:ascii="宋体" w:hAnsi="宋体" w:eastAsia="宋体" w:cs="宋体"/>
          <w:color w:val="auto"/>
          <w:spacing w:val="5"/>
          <w:sz w:val="24"/>
          <w:szCs w:val="24"/>
          <w:highlight w:val="none"/>
        </w:rPr>
        <w:t>作记录，有异议的投标人（现场如有）、招标人代表、记录人等有关人员</w:t>
      </w:r>
      <w:r>
        <w:rPr>
          <w:rFonts w:ascii="宋体" w:hAnsi="宋体" w:eastAsia="宋体" w:cs="宋体"/>
          <w:color w:val="auto"/>
          <w:spacing w:val="4"/>
          <w:sz w:val="24"/>
          <w:szCs w:val="24"/>
          <w:highlight w:val="none"/>
        </w:rPr>
        <w:t>在记录上签</w:t>
      </w:r>
      <w:r>
        <w:rPr>
          <w:rFonts w:ascii="宋体" w:hAnsi="宋体" w:eastAsia="宋体" w:cs="宋体"/>
          <w:color w:val="auto"/>
          <w:spacing w:val="-3"/>
          <w:sz w:val="24"/>
          <w:szCs w:val="24"/>
          <w:highlight w:val="none"/>
        </w:rPr>
        <w:t>字确认。</w:t>
      </w:r>
    </w:p>
    <w:p w14:paraId="4A4B2C96">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5.4</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开标补救措施</w:t>
      </w:r>
    </w:p>
    <w:p w14:paraId="17FCCB33">
      <w:pPr>
        <w:spacing w:before="53" w:line="359" w:lineRule="auto"/>
        <w:ind w:left="6" w:right="186" w:firstLine="47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5.4.1 开标过程中因出现以下情况，导致系统无法正常运行，应中止电子开标，</w:t>
      </w:r>
      <w:r>
        <w:rPr>
          <w:rFonts w:ascii="宋体" w:hAnsi="宋体" w:eastAsia="宋体" w:cs="宋体"/>
          <w:color w:val="auto"/>
          <w:spacing w:val="-1"/>
          <w:sz w:val="24"/>
          <w:szCs w:val="24"/>
          <w:highlight w:val="none"/>
        </w:rPr>
        <w:t>并在恢复正常后及时安排时间开标。同时，做好后续开标的前期工作。</w:t>
      </w:r>
    </w:p>
    <w:p w14:paraId="1FF18B1C">
      <w:pPr>
        <w:spacing w:line="219" w:lineRule="auto"/>
        <w:ind w:left="52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(1)系统服务器发生故障，无法访问或无法使用</w:t>
      </w:r>
      <w:r>
        <w:rPr>
          <w:rFonts w:ascii="宋体" w:hAnsi="宋体" w:eastAsia="宋体" w:cs="宋体"/>
          <w:color w:val="auto"/>
          <w:spacing w:val="-3"/>
          <w:sz w:val="24"/>
          <w:szCs w:val="24"/>
          <w:highlight w:val="none"/>
        </w:rPr>
        <w:t>系统；</w:t>
      </w:r>
    </w:p>
    <w:p w14:paraId="141E954D">
      <w:pPr>
        <w:spacing w:before="180" w:line="219" w:lineRule="auto"/>
        <w:ind w:left="52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(2)系统的软件或数据库出现错误，不能进行正常操作；</w:t>
      </w:r>
    </w:p>
    <w:p w14:paraId="75E1B5DC">
      <w:pPr>
        <w:spacing w:before="183" w:line="220" w:lineRule="auto"/>
        <w:ind w:left="52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(3)系统发现有安全漏洞，有潜在的泄密危险；</w:t>
      </w:r>
    </w:p>
    <w:p w14:paraId="691EB145">
      <w:pPr>
        <w:spacing w:before="179" w:line="219" w:lineRule="auto"/>
        <w:ind w:left="52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(4)出现断电事故且短时间内无法恢复供电的；</w:t>
      </w:r>
    </w:p>
    <w:p w14:paraId="4B00A1BE">
      <w:pPr>
        <w:spacing w:before="184" w:line="220" w:lineRule="auto"/>
        <w:ind w:left="52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(5)其他无法保证招投标过程正常进行的情形。</w:t>
      </w:r>
    </w:p>
    <w:p w14:paraId="0C0DB86C">
      <w:pPr>
        <w:spacing w:before="179"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5.4.2 采取补救措施时，必须对原有资料及信息作出妥善保密处理。</w:t>
      </w:r>
    </w:p>
    <w:p w14:paraId="380D7D25">
      <w:pPr>
        <w:pStyle w:val="3"/>
        <w:bidi w:val="0"/>
        <w:rPr>
          <w:rFonts w:ascii="宋体" w:hAnsi="宋体" w:eastAsia="宋体" w:cs="宋体"/>
          <w:color w:val="auto"/>
          <w:sz w:val="28"/>
          <w:szCs w:val="28"/>
          <w:highlight w:val="none"/>
        </w:rPr>
      </w:pPr>
      <w:r>
        <w:rPr>
          <w:rFonts w:ascii="宋体" w:hAnsi="宋体" w:eastAsia="宋体" w:cs="宋体"/>
          <w:b/>
          <w:bCs/>
          <w:color w:val="auto"/>
          <w:spacing w:val="-8"/>
          <w:sz w:val="28"/>
          <w:szCs w:val="28"/>
          <w:highlight w:val="none"/>
        </w:rPr>
        <w:t>6.</w:t>
      </w:r>
      <w:r>
        <w:rPr>
          <w:rFonts w:ascii="宋体" w:hAnsi="宋体" w:eastAsia="宋体" w:cs="宋体"/>
          <w:color w:val="auto"/>
          <w:spacing w:val="10"/>
          <w:sz w:val="28"/>
          <w:szCs w:val="28"/>
          <w:highlight w:val="none"/>
        </w:rPr>
        <w:t xml:space="preserve"> </w:t>
      </w:r>
      <w:r>
        <w:rPr>
          <w:rFonts w:ascii="宋体" w:hAnsi="宋体" w:eastAsia="宋体" w:cs="宋体"/>
          <w:b/>
          <w:bCs/>
          <w:color w:val="auto"/>
          <w:spacing w:val="-8"/>
          <w:sz w:val="28"/>
          <w:szCs w:val="28"/>
          <w:highlight w:val="none"/>
        </w:rPr>
        <w:t>评标</w:t>
      </w:r>
    </w:p>
    <w:p w14:paraId="038F3407">
      <w:pPr>
        <w:pStyle w:val="4"/>
        <w:bidi w:val="0"/>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6.1</w:t>
      </w:r>
      <w:r>
        <w:rPr>
          <w:rFonts w:ascii="宋体" w:hAnsi="宋体" w:eastAsia="宋体" w:cs="宋体"/>
          <w:color w:val="auto"/>
          <w:spacing w:val="72"/>
          <w:sz w:val="24"/>
          <w:szCs w:val="24"/>
          <w:highlight w:val="none"/>
        </w:rPr>
        <w:t xml:space="preserve"> </w:t>
      </w:r>
      <w:r>
        <w:rPr>
          <w:rFonts w:ascii="宋体" w:hAnsi="宋体" w:eastAsia="宋体" w:cs="宋体"/>
          <w:b/>
          <w:bCs/>
          <w:color w:val="auto"/>
          <w:spacing w:val="-5"/>
          <w:sz w:val="24"/>
          <w:szCs w:val="24"/>
          <w:highlight w:val="none"/>
        </w:rPr>
        <w:t>评标委员会</w:t>
      </w:r>
    </w:p>
    <w:p w14:paraId="6E6F0ED3">
      <w:pPr>
        <w:spacing w:before="182" w:line="359" w:lineRule="auto"/>
        <w:ind w:right="80" w:firstLine="482"/>
        <w:rPr>
          <w:rFonts w:ascii="宋体" w:hAnsi="宋体" w:eastAsia="宋体" w:cs="宋体"/>
          <w:color w:val="auto"/>
          <w:sz w:val="24"/>
          <w:szCs w:val="24"/>
          <w:highlight w:val="none"/>
        </w:rPr>
      </w:pPr>
      <w:r>
        <w:rPr>
          <w:rFonts w:ascii="宋体" w:hAnsi="宋体" w:eastAsia="宋体" w:cs="宋体"/>
          <w:color w:val="auto"/>
          <w:sz w:val="24"/>
          <w:szCs w:val="24"/>
          <w:highlight w:val="none"/>
        </w:rPr>
        <w:t>6.1.1 评标由招标人依法组建的评标委员会负责。评标</w:t>
      </w:r>
      <w:r>
        <w:rPr>
          <w:rFonts w:ascii="宋体" w:hAnsi="宋体" w:eastAsia="宋体" w:cs="宋体"/>
          <w:color w:val="auto"/>
          <w:spacing w:val="-1"/>
          <w:sz w:val="24"/>
          <w:szCs w:val="24"/>
          <w:highlight w:val="none"/>
        </w:rPr>
        <w:t>委员会由招标人(或其委派)</w:t>
      </w:r>
      <w:r>
        <w:rPr>
          <w:rFonts w:ascii="宋体" w:hAnsi="宋体" w:eastAsia="宋体" w:cs="宋体"/>
          <w:color w:val="auto"/>
          <w:sz w:val="24"/>
          <w:szCs w:val="24"/>
          <w:highlight w:val="none"/>
        </w:rPr>
        <w:t>代表(简称“招标人代表</w:t>
      </w:r>
      <w:r>
        <w:rPr>
          <w:rFonts w:ascii="宋体" w:hAnsi="宋体" w:eastAsia="宋体" w:cs="宋体"/>
          <w:color w:val="auto"/>
          <w:spacing w:val="31"/>
          <w:sz w:val="24"/>
          <w:szCs w:val="24"/>
          <w:highlight w:val="none"/>
        </w:rPr>
        <w:t>），</w:t>
      </w:r>
      <w:r>
        <w:rPr>
          <w:rFonts w:ascii="宋体" w:hAnsi="宋体" w:eastAsia="宋体" w:cs="宋体"/>
          <w:color w:val="auto"/>
          <w:sz w:val="24"/>
          <w:szCs w:val="24"/>
          <w:highlight w:val="none"/>
        </w:rPr>
        <w:t>以及有关技术、经济等方面的专家组成。评标委员会成员人数以及技术、经济等方面专家的确定方式</w:t>
      </w:r>
      <w:r>
        <w:rPr>
          <w:rFonts w:ascii="宋体" w:hAnsi="宋体" w:eastAsia="宋体" w:cs="宋体"/>
          <w:color w:val="auto"/>
          <w:spacing w:val="-1"/>
          <w:sz w:val="24"/>
          <w:szCs w:val="24"/>
          <w:highlight w:val="none"/>
        </w:rPr>
        <w:t>见投标人须知前附表。</w:t>
      </w:r>
    </w:p>
    <w:p w14:paraId="3E67C840">
      <w:pPr>
        <w:spacing w:before="1" w:line="218" w:lineRule="auto"/>
        <w:ind w:left="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6.1.2 评标委员会成员有下列情形之一的，应主动提出回避：</w:t>
      </w:r>
    </w:p>
    <w:p w14:paraId="5EC8C1B1">
      <w:pPr>
        <w:spacing w:before="184"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（1）为负责招标项目监督管理的交通运输主管部门的工作人员；</w:t>
      </w:r>
    </w:p>
    <w:p w14:paraId="32AAEF56">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（2）与投标人法定代表人或其委托代理人有近亲属关系；</w:t>
      </w:r>
    </w:p>
    <w:p w14:paraId="74897945">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（3）为投标人的工作人员或退休或离职未满</w:t>
      </w:r>
      <w:r>
        <w:rPr>
          <w:rFonts w:ascii="宋体" w:hAnsi="宋体" w:eastAsia="宋体" w:cs="宋体"/>
          <w:color w:val="auto"/>
          <w:spacing w:val="-41"/>
          <w:sz w:val="24"/>
          <w:szCs w:val="24"/>
          <w:highlight w:val="none"/>
        </w:rPr>
        <w:t xml:space="preserve"> </w:t>
      </w:r>
      <w:r>
        <w:rPr>
          <w:rFonts w:ascii="宋体" w:hAnsi="宋体" w:eastAsia="宋体" w:cs="宋体"/>
          <w:color w:val="auto"/>
          <w:spacing w:val="-2"/>
          <w:sz w:val="24"/>
          <w:szCs w:val="24"/>
          <w:highlight w:val="none"/>
        </w:rPr>
        <w:t>3</w:t>
      </w:r>
      <w:r>
        <w:rPr>
          <w:rFonts w:ascii="宋体" w:hAnsi="宋体" w:eastAsia="宋体" w:cs="宋体"/>
          <w:color w:val="auto"/>
          <w:spacing w:val="-49"/>
          <w:sz w:val="24"/>
          <w:szCs w:val="24"/>
          <w:highlight w:val="none"/>
        </w:rPr>
        <w:t xml:space="preserve"> </w:t>
      </w:r>
      <w:r>
        <w:rPr>
          <w:rFonts w:ascii="宋体" w:hAnsi="宋体" w:eastAsia="宋体" w:cs="宋体"/>
          <w:color w:val="auto"/>
          <w:spacing w:val="-2"/>
          <w:sz w:val="24"/>
          <w:szCs w:val="24"/>
          <w:highlight w:val="none"/>
        </w:rPr>
        <w:t>年的人员；</w:t>
      </w:r>
    </w:p>
    <w:p w14:paraId="7DE52AA1">
      <w:pPr>
        <w:spacing w:before="183" w:line="220"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（4）与投标人有其他利害关系，可能影响评标活动公正性；</w:t>
      </w:r>
    </w:p>
    <w:p w14:paraId="08D64453">
      <w:pPr>
        <w:spacing w:before="182" w:line="220" w:lineRule="auto"/>
        <w:jc w:val="center"/>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（5）在与招标投标有关的活动中有过违法违规行为、曾受过行政处罚或刑事处罚。</w:t>
      </w:r>
    </w:p>
    <w:p w14:paraId="37E4E313">
      <w:pPr>
        <w:spacing w:before="181" w:line="359" w:lineRule="auto"/>
        <w:ind w:left="1" w:firstLine="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（6）招标人及其子公司、招标人下属单位、招标人的上级主管部门或者控股公司、</w:t>
      </w:r>
      <w:r>
        <w:rPr>
          <w:rFonts w:ascii="宋体" w:hAnsi="宋体" w:eastAsia="宋体" w:cs="宋体"/>
          <w:color w:val="auto"/>
          <w:spacing w:val="5"/>
          <w:sz w:val="24"/>
          <w:szCs w:val="24"/>
          <w:highlight w:val="none"/>
        </w:rPr>
        <w:t>招标代理机构的工作人员或者退休人员不得以专家身份参与本单位招标或</w:t>
      </w:r>
      <w:r>
        <w:rPr>
          <w:rFonts w:ascii="宋体" w:hAnsi="宋体" w:eastAsia="宋体" w:cs="宋体"/>
          <w:color w:val="auto"/>
          <w:spacing w:val="4"/>
          <w:sz w:val="24"/>
          <w:szCs w:val="24"/>
          <w:highlight w:val="none"/>
        </w:rPr>
        <w:t>者招标代理</w:t>
      </w:r>
      <w:r>
        <w:rPr>
          <w:rFonts w:ascii="宋体" w:hAnsi="宋体" w:eastAsia="宋体" w:cs="宋体"/>
          <w:color w:val="auto"/>
          <w:spacing w:val="-2"/>
          <w:sz w:val="24"/>
          <w:szCs w:val="24"/>
          <w:highlight w:val="none"/>
        </w:rPr>
        <w:t>项目的评标。</w:t>
      </w:r>
    </w:p>
    <w:p w14:paraId="7C09A2EA">
      <w:pPr>
        <w:spacing w:before="3" w:line="358" w:lineRule="auto"/>
        <w:ind w:left="2" w:right="128"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6.1.3 评标过程中，评标委员会成员有回避事由、擅离</w:t>
      </w:r>
      <w:r>
        <w:rPr>
          <w:rFonts w:ascii="宋体" w:hAnsi="宋体" w:eastAsia="宋体" w:cs="宋体"/>
          <w:color w:val="auto"/>
          <w:spacing w:val="4"/>
          <w:sz w:val="24"/>
          <w:szCs w:val="24"/>
          <w:highlight w:val="none"/>
        </w:rPr>
        <w:t>职守或因健康等原因不能</w:t>
      </w:r>
      <w:r>
        <w:rPr>
          <w:rFonts w:ascii="宋体" w:hAnsi="宋体" w:eastAsia="宋体" w:cs="宋体"/>
          <w:color w:val="auto"/>
          <w:spacing w:val="5"/>
          <w:sz w:val="24"/>
          <w:szCs w:val="24"/>
          <w:highlight w:val="none"/>
        </w:rPr>
        <w:t>继续评标的，招标人有权更换。被更换的评标委员会成员作出的评审结</w:t>
      </w:r>
      <w:r>
        <w:rPr>
          <w:rFonts w:ascii="宋体" w:hAnsi="宋体" w:eastAsia="宋体" w:cs="宋体"/>
          <w:color w:val="auto"/>
          <w:spacing w:val="4"/>
          <w:sz w:val="24"/>
          <w:szCs w:val="24"/>
          <w:highlight w:val="none"/>
        </w:rPr>
        <w:t>论无效，由更</w:t>
      </w:r>
      <w:r>
        <w:rPr>
          <w:rFonts w:ascii="宋体" w:hAnsi="宋体" w:eastAsia="宋体" w:cs="宋体"/>
          <w:color w:val="auto"/>
          <w:spacing w:val="-1"/>
          <w:sz w:val="24"/>
          <w:szCs w:val="24"/>
          <w:highlight w:val="none"/>
        </w:rPr>
        <w:t>换后的评标委员会成员重新进行评审。</w:t>
      </w:r>
    </w:p>
    <w:p w14:paraId="7E542ED9">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6.2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评标原则</w:t>
      </w:r>
    </w:p>
    <w:p w14:paraId="6C34CEC2">
      <w:pPr>
        <w:spacing w:before="182" w:line="219" w:lineRule="auto"/>
        <w:ind w:left="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评标活动遵循公平、公正、科学和择优的原则。</w:t>
      </w:r>
    </w:p>
    <w:p w14:paraId="19462426">
      <w:pPr>
        <w:pStyle w:val="4"/>
        <w:bidi w:val="0"/>
        <w:rPr>
          <w:rFonts w:ascii="宋体" w:hAnsi="宋体" w:eastAsia="宋体" w:cs="宋体"/>
          <w:b/>
          <w:bCs/>
          <w:color w:val="auto"/>
          <w:spacing w:val="-6"/>
          <w:sz w:val="24"/>
          <w:szCs w:val="24"/>
          <w:highlight w:val="none"/>
        </w:rPr>
      </w:pPr>
      <w:r>
        <w:rPr>
          <w:rFonts w:ascii="宋体" w:hAnsi="宋体" w:eastAsia="宋体" w:cs="宋体"/>
          <w:b/>
          <w:bCs/>
          <w:color w:val="auto"/>
          <w:spacing w:val="-6"/>
          <w:sz w:val="24"/>
          <w:szCs w:val="24"/>
          <w:highlight w:val="none"/>
        </w:rPr>
        <w:t>6.3</w:t>
      </w:r>
      <w:r>
        <w:rPr>
          <w:rFonts w:ascii="宋体" w:hAnsi="宋体" w:eastAsia="宋体" w:cs="宋体"/>
          <w:color w:val="auto"/>
          <w:spacing w:val="10"/>
          <w:sz w:val="24"/>
          <w:szCs w:val="24"/>
          <w:highlight w:val="none"/>
        </w:rPr>
        <w:t xml:space="preserve"> </w:t>
      </w:r>
      <w:r>
        <w:rPr>
          <w:rFonts w:ascii="宋体" w:hAnsi="宋体" w:eastAsia="宋体" w:cs="宋体"/>
          <w:b/>
          <w:bCs/>
          <w:color w:val="auto"/>
          <w:spacing w:val="-6"/>
          <w:sz w:val="24"/>
          <w:szCs w:val="24"/>
          <w:highlight w:val="none"/>
        </w:rPr>
        <w:t>评标</w:t>
      </w:r>
    </w:p>
    <w:p w14:paraId="5A5D4D9D">
      <w:pPr>
        <w:spacing w:line="359" w:lineRule="auto"/>
        <w:ind w:firstLine="482"/>
        <w:rPr>
          <w:rFonts w:ascii="宋体" w:hAnsi="宋体" w:eastAsia="宋体" w:cs="宋体"/>
          <w:color w:val="auto"/>
          <w:spacing w:val="-1"/>
          <w:sz w:val="24"/>
          <w:szCs w:val="24"/>
          <w:highlight w:val="none"/>
          <w:lang w:val="en-US" w:eastAsia="en-US"/>
        </w:rPr>
      </w:pPr>
      <w:r>
        <w:rPr>
          <w:rFonts w:ascii="宋体" w:hAnsi="宋体" w:eastAsia="宋体" w:cs="宋体"/>
          <w:color w:val="auto"/>
          <w:spacing w:val="-1"/>
          <w:sz w:val="24"/>
          <w:szCs w:val="24"/>
          <w:highlight w:val="none"/>
          <w:lang w:val="en-US" w:eastAsia="en-US"/>
        </w:rPr>
        <w:t>6.3.1 评标委员会按照第三章“评标办法 ”规定的方法、评审因素、标准和程序对投标文件进行评审。第三章“评标办法 ”没有规定的方法、评审因素和标准，不作为评标依据。</w:t>
      </w:r>
    </w:p>
    <w:p w14:paraId="1A3F53E5">
      <w:pPr>
        <w:spacing w:line="359" w:lineRule="auto"/>
        <w:ind w:firstLine="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6.3.2 评标完成后，评标委员会应向招标人提交书</w:t>
      </w:r>
      <w:r>
        <w:rPr>
          <w:rFonts w:ascii="宋体" w:hAnsi="宋体" w:eastAsia="宋体" w:cs="宋体"/>
          <w:color w:val="auto"/>
          <w:spacing w:val="-2"/>
          <w:sz w:val="24"/>
          <w:szCs w:val="24"/>
          <w:highlight w:val="none"/>
        </w:rPr>
        <w:t>面评标报告和中标候选人名单。</w:t>
      </w:r>
      <w:r>
        <w:rPr>
          <w:rFonts w:ascii="宋体" w:hAnsi="宋体" w:eastAsia="宋体" w:cs="宋体"/>
          <w:color w:val="auto"/>
          <w:spacing w:val="-1"/>
          <w:sz w:val="24"/>
          <w:szCs w:val="24"/>
          <w:highlight w:val="none"/>
        </w:rPr>
        <w:t>评标委员会推荐中标候选人的人数见投标人须知前附表。</w:t>
      </w:r>
    </w:p>
    <w:p w14:paraId="1665B3C6">
      <w:pPr>
        <w:spacing w:line="219" w:lineRule="auto"/>
        <w:ind w:left="48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6.3.3</w:t>
      </w:r>
      <w:r>
        <w:rPr>
          <w:rFonts w:ascii="宋体" w:hAnsi="宋体" w:eastAsia="宋体" w:cs="宋体"/>
          <w:color w:val="auto"/>
          <w:spacing w:val="-51"/>
          <w:sz w:val="24"/>
          <w:szCs w:val="24"/>
          <w:highlight w:val="none"/>
        </w:rPr>
        <w:t xml:space="preserve"> </w:t>
      </w:r>
      <w:r>
        <w:rPr>
          <w:rFonts w:ascii="宋体" w:hAnsi="宋体" w:eastAsia="宋体" w:cs="宋体"/>
          <w:color w:val="auto"/>
          <w:spacing w:val="-2"/>
          <w:sz w:val="24"/>
          <w:szCs w:val="24"/>
          <w:highlight w:val="none"/>
        </w:rPr>
        <w:t>评标补救措施</w:t>
      </w:r>
    </w:p>
    <w:p w14:paraId="1451B8DA">
      <w:pPr>
        <w:spacing w:before="182" w:line="360" w:lineRule="auto"/>
        <w:ind w:left="1" w:right="8" w:firstLine="479"/>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评标委员会按照本章第</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6.3.1</w:t>
      </w:r>
      <w:r>
        <w:rPr>
          <w:rFonts w:ascii="宋体" w:hAnsi="宋体" w:eastAsia="宋体" w:cs="宋体"/>
          <w:color w:val="auto"/>
          <w:spacing w:val="-40"/>
          <w:sz w:val="24"/>
          <w:szCs w:val="24"/>
          <w:highlight w:val="none"/>
        </w:rPr>
        <w:t xml:space="preserve"> </w:t>
      </w:r>
      <w:r>
        <w:rPr>
          <w:rFonts w:ascii="宋体" w:hAnsi="宋体" w:eastAsia="宋体" w:cs="宋体"/>
          <w:color w:val="auto"/>
          <w:spacing w:val="4"/>
          <w:sz w:val="24"/>
          <w:szCs w:val="24"/>
          <w:highlight w:val="none"/>
        </w:rPr>
        <w:t>项的规定在电子评标系统上开展评审工</w:t>
      </w:r>
      <w:r>
        <w:rPr>
          <w:rFonts w:ascii="宋体" w:hAnsi="宋体" w:eastAsia="宋体" w:cs="宋体"/>
          <w:color w:val="auto"/>
          <w:spacing w:val="3"/>
          <w:sz w:val="24"/>
          <w:szCs w:val="24"/>
          <w:highlight w:val="none"/>
        </w:rPr>
        <w:t>作。若遇不</w:t>
      </w:r>
      <w:r>
        <w:rPr>
          <w:rFonts w:ascii="宋体" w:hAnsi="宋体" w:eastAsia="宋体" w:cs="宋体"/>
          <w:color w:val="auto"/>
          <w:spacing w:val="4"/>
          <w:sz w:val="24"/>
          <w:szCs w:val="24"/>
          <w:highlight w:val="none"/>
        </w:rPr>
        <w:t>可抗力发生（包括网络瘫痪、服务器损坏、交易系统故障短期无法恢复等因素</w:t>
      </w:r>
      <w:r>
        <w:rPr>
          <w:rFonts w:ascii="宋体" w:hAnsi="宋体" w:eastAsia="宋体" w:cs="宋体"/>
          <w:color w:val="auto"/>
          <w:spacing w:val="20"/>
          <w:sz w:val="24"/>
          <w:szCs w:val="24"/>
          <w:highlight w:val="none"/>
        </w:rPr>
        <w:t>），</w:t>
      </w:r>
      <w:r>
        <w:rPr>
          <w:rFonts w:ascii="宋体" w:hAnsi="宋体" w:eastAsia="宋体" w:cs="宋体"/>
          <w:color w:val="auto"/>
          <w:spacing w:val="4"/>
          <w:sz w:val="24"/>
          <w:szCs w:val="24"/>
          <w:highlight w:val="none"/>
        </w:rPr>
        <w:t>导</w:t>
      </w:r>
      <w:r>
        <w:rPr>
          <w:rFonts w:ascii="宋体" w:hAnsi="宋体" w:eastAsia="宋体" w:cs="宋体"/>
          <w:color w:val="auto"/>
          <w:sz w:val="24"/>
          <w:szCs w:val="24"/>
          <w:highlight w:val="none"/>
        </w:rPr>
        <w:t>致系统无法正常运行，应中止评标，并在恢复正</w:t>
      </w:r>
      <w:r>
        <w:rPr>
          <w:rFonts w:ascii="宋体" w:hAnsi="宋体" w:eastAsia="宋体" w:cs="宋体"/>
          <w:color w:val="auto"/>
          <w:spacing w:val="-1"/>
          <w:sz w:val="24"/>
          <w:szCs w:val="24"/>
          <w:highlight w:val="none"/>
        </w:rPr>
        <w:t>常后及时安排时间评标。</w:t>
      </w:r>
    </w:p>
    <w:p w14:paraId="1C1407AB">
      <w:pPr>
        <w:pStyle w:val="3"/>
        <w:bidi w:val="0"/>
        <w:rPr>
          <w:rFonts w:ascii="宋体" w:hAnsi="宋体" w:eastAsia="宋体" w:cs="宋体"/>
          <w:color w:val="auto"/>
          <w:sz w:val="28"/>
          <w:szCs w:val="28"/>
          <w:highlight w:val="none"/>
        </w:rPr>
      </w:pPr>
      <w:r>
        <w:rPr>
          <w:rFonts w:ascii="宋体" w:hAnsi="宋体" w:eastAsia="宋体" w:cs="宋体"/>
          <w:b/>
          <w:bCs/>
          <w:color w:val="auto"/>
          <w:spacing w:val="-7"/>
          <w:sz w:val="28"/>
          <w:szCs w:val="28"/>
          <w:highlight w:val="none"/>
        </w:rPr>
        <w:t>7.</w:t>
      </w:r>
      <w:r>
        <w:rPr>
          <w:rFonts w:ascii="宋体" w:hAnsi="宋体" w:eastAsia="宋体" w:cs="宋体"/>
          <w:color w:val="auto"/>
          <w:spacing w:val="12"/>
          <w:sz w:val="28"/>
          <w:szCs w:val="28"/>
          <w:highlight w:val="none"/>
        </w:rPr>
        <w:t xml:space="preserve"> </w:t>
      </w:r>
      <w:r>
        <w:rPr>
          <w:rFonts w:ascii="宋体" w:hAnsi="宋体" w:eastAsia="宋体" w:cs="宋体"/>
          <w:b/>
          <w:bCs/>
          <w:color w:val="auto"/>
          <w:spacing w:val="-7"/>
          <w:sz w:val="28"/>
          <w:szCs w:val="28"/>
          <w:highlight w:val="none"/>
        </w:rPr>
        <w:t>合同授予</w:t>
      </w:r>
    </w:p>
    <w:p w14:paraId="15789644">
      <w:pPr>
        <w:pStyle w:val="4"/>
        <w:bidi w:val="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7.1</w:t>
      </w:r>
      <w:r>
        <w:rPr>
          <w:rFonts w:ascii="宋体" w:hAnsi="宋体" w:eastAsia="宋体" w:cs="宋体"/>
          <w:color w:val="auto"/>
          <w:spacing w:val="38"/>
          <w:sz w:val="24"/>
          <w:szCs w:val="24"/>
          <w:highlight w:val="none"/>
        </w:rPr>
        <w:t xml:space="preserve"> </w:t>
      </w:r>
      <w:r>
        <w:rPr>
          <w:rFonts w:ascii="宋体" w:hAnsi="宋体" w:eastAsia="宋体" w:cs="宋体"/>
          <w:b/>
          <w:bCs/>
          <w:color w:val="auto"/>
          <w:spacing w:val="-7"/>
          <w:sz w:val="24"/>
          <w:szCs w:val="24"/>
          <w:highlight w:val="none"/>
        </w:rPr>
        <w:t>中标候选人公示</w:t>
      </w:r>
    </w:p>
    <w:p w14:paraId="5E6D7BA2">
      <w:pPr>
        <w:spacing w:before="180" w:line="359" w:lineRule="auto"/>
        <w:ind w:left="4" w:right="8" w:firstLine="47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招标人在收到评标报告之日起</w:t>
      </w:r>
      <w:r>
        <w:rPr>
          <w:rFonts w:ascii="宋体" w:hAnsi="宋体" w:eastAsia="宋体" w:cs="宋体"/>
          <w:color w:val="auto"/>
          <w:spacing w:val="-39"/>
          <w:sz w:val="24"/>
          <w:szCs w:val="24"/>
          <w:highlight w:val="none"/>
        </w:rPr>
        <w:t xml:space="preserve"> </w:t>
      </w:r>
      <w:r>
        <w:rPr>
          <w:rFonts w:ascii="宋体" w:hAnsi="宋体" w:eastAsia="宋体" w:cs="宋体"/>
          <w:color w:val="auto"/>
          <w:spacing w:val="3"/>
          <w:sz w:val="24"/>
          <w:szCs w:val="24"/>
          <w:highlight w:val="none"/>
        </w:rPr>
        <w:t>3 日内，按照投标人须知前附</w:t>
      </w:r>
      <w:r>
        <w:rPr>
          <w:rFonts w:ascii="宋体" w:hAnsi="宋体" w:eastAsia="宋体" w:cs="宋体"/>
          <w:color w:val="auto"/>
          <w:spacing w:val="2"/>
          <w:sz w:val="24"/>
          <w:szCs w:val="24"/>
          <w:highlight w:val="none"/>
        </w:rPr>
        <w:t>表规定的公示媒介和</w:t>
      </w:r>
      <w:r>
        <w:rPr>
          <w:rFonts w:ascii="宋体" w:hAnsi="宋体" w:eastAsia="宋体" w:cs="宋体"/>
          <w:color w:val="auto"/>
          <w:spacing w:val="-3"/>
          <w:sz w:val="24"/>
          <w:szCs w:val="24"/>
          <w:highlight w:val="none"/>
        </w:rPr>
        <w:t>期限公示中标候选人，公示期不得少于</w:t>
      </w:r>
      <w:r>
        <w:rPr>
          <w:rFonts w:ascii="宋体" w:hAnsi="宋体" w:eastAsia="宋体" w:cs="宋体"/>
          <w:color w:val="auto"/>
          <w:spacing w:val="-46"/>
          <w:sz w:val="24"/>
          <w:szCs w:val="24"/>
          <w:highlight w:val="none"/>
        </w:rPr>
        <w:t xml:space="preserve"> </w:t>
      </w:r>
      <w:r>
        <w:rPr>
          <w:rFonts w:ascii="宋体" w:hAnsi="宋体" w:eastAsia="宋体" w:cs="宋体"/>
          <w:color w:val="auto"/>
          <w:spacing w:val="-3"/>
          <w:sz w:val="24"/>
          <w:szCs w:val="24"/>
          <w:highlight w:val="none"/>
        </w:rPr>
        <w:t>3 日，公示内</w:t>
      </w:r>
      <w:r>
        <w:rPr>
          <w:rFonts w:ascii="宋体" w:hAnsi="宋体" w:eastAsia="宋体" w:cs="宋体"/>
          <w:color w:val="auto"/>
          <w:spacing w:val="-4"/>
          <w:sz w:val="24"/>
          <w:szCs w:val="24"/>
          <w:highlight w:val="none"/>
        </w:rPr>
        <w:t>容包括：</w:t>
      </w:r>
    </w:p>
    <w:p w14:paraId="4C8D290B">
      <w:pPr>
        <w:spacing w:line="360" w:lineRule="auto"/>
        <w:ind w:left="4" w:right="8" w:firstLine="48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（1）中标候选人排序、名称、投标报价，对监理质量要求、安全目标和监理服务</w:t>
      </w:r>
      <w:r>
        <w:rPr>
          <w:rFonts w:ascii="宋体" w:hAnsi="宋体" w:eastAsia="宋体" w:cs="宋体"/>
          <w:color w:val="auto"/>
          <w:spacing w:val="-2"/>
          <w:sz w:val="24"/>
          <w:szCs w:val="24"/>
          <w:highlight w:val="none"/>
        </w:rPr>
        <w:t>期限的响应情况；</w:t>
      </w:r>
    </w:p>
    <w:p w14:paraId="5C15F355">
      <w:pPr>
        <w:spacing w:before="1" w:line="358" w:lineRule="auto"/>
        <w:ind w:right="8" w:firstLine="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（2）中标候选人在投标文件中承诺的总监理工程师或驻地监理工程师姓名、个人</w:t>
      </w:r>
      <w:r>
        <w:rPr>
          <w:rFonts w:ascii="宋体" w:hAnsi="宋体" w:eastAsia="宋体" w:cs="宋体"/>
          <w:color w:val="auto"/>
          <w:spacing w:val="-1"/>
          <w:sz w:val="24"/>
          <w:szCs w:val="24"/>
          <w:highlight w:val="none"/>
        </w:rPr>
        <w:t>业绩、相关证书名称和编号；</w:t>
      </w:r>
    </w:p>
    <w:p w14:paraId="04CDBA82">
      <w:pPr>
        <w:spacing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（3）中标候选人在投标文件中填报的项目业绩；</w:t>
      </w:r>
    </w:p>
    <w:p w14:paraId="6CB3C61B">
      <w:pPr>
        <w:spacing w:before="183"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（4）被否决投标的投标人名称、否决依据和原因；</w:t>
      </w:r>
    </w:p>
    <w:p w14:paraId="66E63501">
      <w:pPr>
        <w:spacing w:before="184" w:line="219"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（5）提出异议的渠道和方式；</w:t>
      </w:r>
    </w:p>
    <w:p w14:paraId="413DC289">
      <w:pPr>
        <w:spacing w:before="180"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（6）投标人须知前附表规定公示的其他内容。</w:t>
      </w:r>
    </w:p>
    <w:p w14:paraId="07562856">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7.2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评标结果异议</w:t>
      </w:r>
    </w:p>
    <w:p w14:paraId="766E9E2F">
      <w:pPr>
        <w:spacing w:before="181" w:line="359" w:lineRule="auto"/>
        <w:ind w:right="5" w:firstLine="484"/>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投标人或其他利害关系人对依法必须进行招标的项目的评标结果有异议的，应在</w:t>
      </w:r>
      <w:r>
        <w:rPr>
          <w:rFonts w:ascii="宋体" w:hAnsi="宋体" w:eastAsia="宋体" w:cs="宋体"/>
          <w:color w:val="auto"/>
          <w:spacing w:val="-3"/>
          <w:sz w:val="24"/>
          <w:szCs w:val="24"/>
          <w:highlight w:val="none"/>
        </w:rPr>
        <w:t>中标候选人公示期间提出。招标人将在收到异议之日起</w:t>
      </w:r>
      <w:r>
        <w:rPr>
          <w:rFonts w:ascii="宋体" w:hAnsi="宋体" w:eastAsia="宋体" w:cs="宋体"/>
          <w:color w:val="auto"/>
          <w:spacing w:val="-46"/>
          <w:sz w:val="24"/>
          <w:szCs w:val="24"/>
          <w:highlight w:val="none"/>
        </w:rPr>
        <w:t xml:space="preserve"> </w:t>
      </w:r>
      <w:r>
        <w:rPr>
          <w:rFonts w:ascii="宋体" w:hAnsi="宋体" w:eastAsia="宋体" w:cs="宋体"/>
          <w:color w:val="auto"/>
          <w:spacing w:val="-3"/>
          <w:sz w:val="24"/>
          <w:szCs w:val="24"/>
          <w:highlight w:val="none"/>
        </w:rPr>
        <w:t>3 日</w:t>
      </w:r>
      <w:r>
        <w:rPr>
          <w:rFonts w:ascii="宋体" w:hAnsi="宋体" w:eastAsia="宋体" w:cs="宋体"/>
          <w:color w:val="auto"/>
          <w:spacing w:val="-4"/>
          <w:sz w:val="24"/>
          <w:szCs w:val="24"/>
          <w:highlight w:val="none"/>
        </w:rPr>
        <w:t>内作出答复；作出答复前，</w:t>
      </w:r>
      <w:r>
        <w:rPr>
          <w:rFonts w:ascii="宋体" w:hAnsi="宋体" w:eastAsia="宋体" w:cs="宋体"/>
          <w:color w:val="auto"/>
          <w:spacing w:val="3"/>
          <w:sz w:val="24"/>
          <w:szCs w:val="24"/>
          <w:highlight w:val="none"/>
        </w:rPr>
        <w:t>将暂停招标投标活动。提出异议与作出答复均应通过“</w:t>
      </w:r>
      <w:r>
        <w:rPr>
          <w:rFonts w:ascii="宋体" w:hAnsi="宋体" w:eastAsia="宋体" w:cs="宋体"/>
          <w:color w:val="auto"/>
          <w:spacing w:val="-75"/>
          <w:sz w:val="24"/>
          <w:szCs w:val="24"/>
          <w:highlight w:val="none"/>
        </w:rPr>
        <w:t xml:space="preserve"> </w:t>
      </w:r>
      <w:r>
        <w:rPr>
          <w:rFonts w:ascii="宋体" w:hAnsi="宋体" w:eastAsia="宋体" w:cs="宋体"/>
          <w:color w:val="auto"/>
          <w:spacing w:val="3"/>
          <w:sz w:val="24"/>
          <w:szCs w:val="24"/>
          <w:highlight w:val="none"/>
        </w:rPr>
        <w:t>电子交易平台</w:t>
      </w:r>
      <w:r>
        <w:rPr>
          <w:rFonts w:ascii="宋体" w:hAnsi="宋体" w:eastAsia="宋体" w:cs="宋体"/>
          <w:color w:val="auto"/>
          <w:spacing w:val="-84"/>
          <w:sz w:val="24"/>
          <w:szCs w:val="24"/>
          <w:highlight w:val="none"/>
        </w:rPr>
        <w:t xml:space="preserve"> </w:t>
      </w:r>
      <w:r>
        <w:rPr>
          <w:rFonts w:ascii="宋体" w:hAnsi="宋体" w:eastAsia="宋体" w:cs="宋体"/>
          <w:color w:val="auto"/>
          <w:spacing w:val="2"/>
          <w:sz w:val="24"/>
          <w:szCs w:val="24"/>
          <w:highlight w:val="none"/>
        </w:rPr>
        <w:t>”在“异议与答</w:t>
      </w:r>
      <w:r>
        <w:rPr>
          <w:rFonts w:ascii="宋体" w:hAnsi="宋体" w:eastAsia="宋体" w:cs="宋体"/>
          <w:color w:val="auto"/>
          <w:spacing w:val="-4"/>
          <w:sz w:val="24"/>
          <w:szCs w:val="24"/>
          <w:highlight w:val="none"/>
        </w:rPr>
        <w:t>复</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”菜单以书面形式进行。</w:t>
      </w:r>
    </w:p>
    <w:p w14:paraId="75359112">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7.3</w:t>
      </w:r>
      <w:r>
        <w:rPr>
          <w:rFonts w:ascii="宋体" w:hAnsi="宋体" w:eastAsia="宋体" w:cs="宋体"/>
          <w:color w:val="auto"/>
          <w:spacing w:val="46"/>
          <w:sz w:val="24"/>
          <w:szCs w:val="24"/>
          <w:highlight w:val="none"/>
        </w:rPr>
        <w:t xml:space="preserve"> </w:t>
      </w:r>
      <w:r>
        <w:rPr>
          <w:rFonts w:ascii="宋体" w:hAnsi="宋体" w:eastAsia="宋体" w:cs="宋体"/>
          <w:b/>
          <w:bCs/>
          <w:color w:val="auto"/>
          <w:spacing w:val="-6"/>
          <w:sz w:val="24"/>
          <w:szCs w:val="24"/>
          <w:highlight w:val="none"/>
        </w:rPr>
        <w:t>中标候选人履约能力审查</w:t>
      </w:r>
    </w:p>
    <w:p w14:paraId="1EC746AA">
      <w:pPr>
        <w:spacing w:before="182" w:line="361" w:lineRule="auto"/>
        <w:ind w:left="2" w:right="8" w:firstLine="501"/>
        <w:jc w:val="both"/>
        <w:rPr>
          <w:rFonts w:ascii="宋体" w:hAnsi="宋体" w:eastAsia="宋体" w:cs="宋体"/>
          <w:color w:val="auto"/>
          <w:spacing w:val="-2"/>
          <w:sz w:val="24"/>
          <w:szCs w:val="24"/>
          <w:highlight w:val="none"/>
        </w:rPr>
      </w:pPr>
      <w:r>
        <w:rPr>
          <w:rFonts w:ascii="宋体" w:hAnsi="宋体" w:eastAsia="宋体" w:cs="宋体"/>
          <w:color w:val="auto"/>
          <w:spacing w:val="4"/>
          <w:sz w:val="24"/>
          <w:szCs w:val="24"/>
          <w:highlight w:val="none"/>
        </w:rPr>
        <w:t>中标候选人的经营、财务状况发生较大变化或存在违法行为，招标人认为可能影</w:t>
      </w:r>
      <w:r>
        <w:rPr>
          <w:rFonts w:ascii="宋体" w:hAnsi="宋体" w:eastAsia="宋体" w:cs="宋体"/>
          <w:color w:val="auto"/>
          <w:spacing w:val="5"/>
          <w:sz w:val="24"/>
          <w:szCs w:val="24"/>
          <w:highlight w:val="none"/>
        </w:rPr>
        <w:t>响其履约能力的，将在发出中标通知书前提请原评标委员会按照招标文件</w:t>
      </w:r>
      <w:r>
        <w:rPr>
          <w:rFonts w:ascii="宋体" w:hAnsi="宋体" w:eastAsia="宋体" w:cs="宋体"/>
          <w:color w:val="auto"/>
          <w:spacing w:val="4"/>
          <w:sz w:val="24"/>
          <w:szCs w:val="24"/>
          <w:highlight w:val="none"/>
        </w:rPr>
        <w:t>规定的标准</w:t>
      </w:r>
      <w:r>
        <w:rPr>
          <w:rFonts w:ascii="宋体" w:hAnsi="宋体" w:eastAsia="宋体" w:cs="宋体"/>
          <w:color w:val="auto"/>
          <w:spacing w:val="-2"/>
          <w:sz w:val="24"/>
          <w:szCs w:val="24"/>
          <w:highlight w:val="none"/>
        </w:rPr>
        <w:t>和方法进行审查确认。</w:t>
      </w:r>
    </w:p>
    <w:p w14:paraId="589805C3">
      <w:pPr>
        <w:pStyle w:val="4"/>
        <w:bidi w:val="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7.4</w:t>
      </w:r>
      <w:r>
        <w:rPr>
          <w:rFonts w:ascii="宋体" w:hAnsi="宋体" w:eastAsia="宋体" w:cs="宋体"/>
          <w:color w:val="auto"/>
          <w:spacing w:val="21"/>
          <w:sz w:val="24"/>
          <w:szCs w:val="24"/>
          <w:highlight w:val="none"/>
        </w:rPr>
        <w:t xml:space="preserve"> </w:t>
      </w:r>
      <w:r>
        <w:rPr>
          <w:rFonts w:ascii="宋体" w:hAnsi="宋体" w:eastAsia="宋体" w:cs="宋体"/>
          <w:b/>
          <w:bCs/>
          <w:color w:val="auto"/>
          <w:spacing w:val="-9"/>
          <w:sz w:val="24"/>
          <w:szCs w:val="24"/>
          <w:highlight w:val="none"/>
        </w:rPr>
        <w:t>定标</w:t>
      </w:r>
    </w:p>
    <w:p w14:paraId="564A93CA">
      <w:pPr>
        <w:spacing w:before="179" w:line="359" w:lineRule="auto"/>
        <w:ind w:left="2" w:right="2"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按照投标人须知前附表的规定，招标人或招标人授权的评标委员会依法确定中标</w:t>
      </w:r>
      <w:r>
        <w:rPr>
          <w:rFonts w:ascii="宋体" w:hAnsi="宋体" w:eastAsia="宋体" w:cs="宋体"/>
          <w:color w:val="auto"/>
          <w:spacing w:val="-6"/>
          <w:sz w:val="24"/>
          <w:szCs w:val="24"/>
          <w:highlight w:val="none"/>
        </w:rPr>
        <w:t>人。</w:t>
      </w:r>
    </w:p>
    <w:p w14:paraId="56C08F03">
      <w:pPr>
        <w:pStyle w:val="4"/>
        <w:bidi w:val="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7.5</w:t>
      </w:r>
      <w:r>
        <w:rPr>
          <w:rFonts w:ascii="宋体" w:hAnsi="宋体" w:eastAsia="宋体" w:cs="宋体"/>
          <w:color w:val="auto"/>
          <w:spacing w:val="36"/>
          <w:sz w:val="24"/>
          <w:szCs w:val="24"/>
          <w:highlight w:val="none"/>
        </w:rPr>
        <w:t xml:space="preserve"> </w:t>
      </w:r>
      <w:r>
        <w:rPr>
          <w:rFonts w:ascii="宋体" w:hAnsi="宋体" w:eastAsia="宋体" w:cs="宋体"/>
          <w:b/>
          <w:bCs/>
          <w:color w:val="auto"/>
          <w:spacing w:val="-9"/>
          <w:sz w:val="24"/>
          <w:szCs w:val="24"/>
          <w:highlight w:val="none"/>
        </w:rPr>
        <w:t>中标通知</w:t>
      </w:r>
    </w:p>
    <w:p w14:paraId="224AEFB6">
      <w:pPr>
        <w:spacing w:before="182" w:line="359" w:lineRule="auto"/>
        <w:ind w:left="23" w:right="2" w:firstLine="45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在本章第</w:t>
      </w:r>
      <w:r>
        <w:rPr>
          <w:rFonts w:ascii="宋体" w:hAnsi="宋体" w:eastAsia="宋体" w:cs="宋体"/>
          <w:color w:val="auto"/>
          <w:spacing w:val="-37"/>
          <w:sz w:val="24"/>
          <w:szCs w:val="24"/>
          <w:highlight w:val="none"/>
        </w:rPr>
        <w:t xml:space="preserve"> </w:t>
      </w:r>
      <w:r>
        <w:rPr>
          <w:rFonts w:ascii="宋体" w:hAnsi="宋体" w:eastAsia="宋体" w:cs="宋体"/>
          <w:color w:val="auto"/>
          <w:spacing w:val="4"/>
          <w:sz w:val="24"/>
          <w:szCs w:val="24"/>
          <w:highlight w:val="none"/>
        </w:rPr>
        <w:t>3.3</w:t>
      </w:r>
      <w:r>
        <w:rPr>
          <w:rFonts w:ascii="宋体" w:hAnsi="宋体" w:eastAsia="宋体" w:cs="宋体"/>
          <w:color w:val="auto"/>
          <w:spacing w:val="-45"/>
          <w:sz w:val="24"/>
          <w:szCs w:val="24"/>
          <w:highlight w:val="none"/>
        </w:rPr>
        <w:t xml:space="preserve"> </w:t>
      </w:r>
      <w:r>
        <w:rPr>
          <w:rFonts w:ascii="宋体" w:hAnsi="宋体" w:eastAsia="宋体" w:cs="宋体"/>
          <w:color w:val="auto"/>
          <w:spacing w:val="4"/>
          <w:sz w:val="24"/>
          <w:szCs w:val="24"/>
          <w:highlight w:val="none"/>
        </w:rPr>
        <w:t>款规定的投标有效期内，招标人以投标人须知前附表规定的形式向</w:t>
      </w:r>
      <w:r>
        <w:rPr>
          <w:rFonts w:ascii="宋体" w:hAnsi="宋体" w:eastAsia="宋体" w:cs="宋体"/>
          <w:color w:val="auto"/>
          <w:spacing w:val="-1"/>
          <w:sz w:val="24"/>
          <w:szCs w:val="24"/>
          <w:highlight w:val="none"/>
        </w:rPr>
        <w:t>中标人发出中标通知书，同时将中标结果通知未中标</w:t>
      </w:r>
      <w:r>
        <w:rPr>
          <w:rFonts w:ascii="宋体" w:hAnsi="宋体" w:eastAsia="宋体" w:cs="宋体"/>
          <w:color w:val="auto"/>
          <w:spacing w:val="-2"/>
          <w:sz w:val="24"/>
          <w:szCs w:val="24"/>
          <w:highlight w:val="none"/>
        </w:rPr>
        <w:t>的投标人。</w:t>
      </w:r>
    </w:p>
    <w:p w14:paraId="2FE50539">
      <w:pPr>
        <w:pStyle w:val="4"/>
        <w:bidi w:val="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7.6</w:t>
      </w:r>
      <w:r>
        <w:rPr>
          <w:rFonts w:ascii="宋体" w:hAnsi="宋体" w:eastAsia="宋体" w:cs="宋体"/>
          <w:color w:val="auto"/>
          <w:spacing w:val="34"/>
          <w:sz w:val="24"/>
          <w:szCs w:val="24"/>
          <w:highlight w:val="none"/>
        </w:rPr>
        <w:t xml:space="preserve"> </w:t>
      </w:r>
      <w:r>
        <w:rPr>
          <w:rFonts w:ascii="宋体" w:hAnsi="宋体" w:eastAsia="宋体" w:cs="宋体"/>
          <w:b/>
          <w:bCs/>
          <w:color w:val="auto"/>
          <w:spacing w:val="-7"/>
          <w:sz w:val="24"/>
          <w:szCs w:val="24"/>
          <w:highlight w:val="none"/>
        </w:rPr>
        <w:t>中标结果公告</w:t>
      </w:r>
    </w:p>
    <w:p w14:paraId="05A6C824">
      <w:pPr>
        <w:spacing w:before="182" w:line="359" w:lineRule="auto"/>
        <w:ind w:left="17" w:right="2" w:firstLine="46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招标人在确定中标人之日起</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3 日内，按照投标人须知前附表规定</w:t>
      </w:r>
      <w:r>
        <w:rPr>
          <w:rFonts w:ascii="宋体" w:hAnsi="宋体" w:eastAsia="宋体" w:cs="宋体"/>
          <w:color w:val="auto"/>
          <w:spacing w:val="2"/>
          <w:sz w:val="24"/>
          <w:szCs w:val="24"/>
          <w:highlight w:val="none"/>
        </w:rPr>
        <w:t>的公告媒介和期</w:t>
      </w:r>
      <w:r>
        <w:rPr>
          <w:rFonts w:ascii="宋体" w:hAnsi="宋体" w:eastAsia="宋体" w:cs="宋体"/>
          <w:color w:val="auto"/>
          <w:spacing w:val="-3"/>
          <w:sz w:val="24"/>
          <w:szCs w:val="24"/>
          <w:highlight w:val="none"/>
        </w:rPr>
        <w:t>限公告中标结果，公告期不得少于</w:t>
      </w:r>
      <w:r>
        <w:rPr>
          <w:rFonts w:ascii="宋体" w:hAnsi="宋体" w:eastAsia="宋体" w:cs="宋体"/>
          <w:color w:val="auto"/>
          <w:spacing w:val="-43"/>
          <w:sz w:val="24"/>
          <w:szCs w:val="24"/>
          <w:highlight w:val="none"/>
        </w:rPr>
        <w:t xml:space="preserve"> </w:t>
      </w:r>
      <w:r>
        <w:rPr>
          <w:rFonts w:ascii="宋体" w:hAnsi="宋体" w:eastAsia="宋体" w:cs="宋体"/>
          <w:color w:val="auto"/>
          <w:spacing w:val="-3"/>
          <w:sz w:val="24"/>
          <w:szCs w:val="24"/>
          <w:highlight w:val="none"/>
        </w:rPr>
        <w:t>3 日。公告内容包括中标人名称、中标价。</w:t>
      </w:r>
    </w:p>
    <w:p w14:paraId="13CF38FA">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7.7</w:t>
      </w:r>
      <w:r>
        <w:rPr>
          <w:rFonts w:ascii="宋体" w:hAnsi="宋体" w:eastAsia="宋体" w:cs="宋体"/>
          <w:color w:val="auto"/>
          <w:spacing w:val="21"/>
          <w:sz w:val="24"/>
          <w:szCs w:val="24"/>
          <w:highlight w:val="none"/>
        </w:rPr>
        <w:t xml:space="preserve"> </w:t>
      </w:r>
      <w:r>
        <w:rPr>
          <w:rFonts w:ascii="宋体" w:hAnsi="宋体" w:eastAsia="宋体" w:cs="宋体"/>
          <w:b/>
          <w:bCs/>
          <w:color w:val="auto"/>
          <w:spacing w:val="-6"/>
          <w:sz w:val="24"/>
          <w:szCs w:val="24"/>
          <w:highlight w:val="none"/>
        </w:rPr>
        <w:t>履约保证金</w:t>
      </w:r>
    </w:p>
    <w:p w14:paraId="306139B2">
      <w:pPr>
        <w:spacing w:before="182" w:line="359" w:lineRule="auto"/>
        <w:ind w:right="2" w:firstLine="486"/>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7.7.1 在签订合同前，中标人应按投标人须知</w:t>
      </w:r>
      <w:r>
        <w:rPr>
          <w:rFonts w:ascii="宋体" w:hAnsi="宋体" w:eastAsia="宋体" w:cs="宋体"/>
          <w:color w:val="auto"/>
          <w:spacing w:val="4"/>
          <w:sz w:val="24"/>
          <w:szCs w:val="24"/>
          <w:highlight w:val="none"/>
        </w:rPr>
        <w:t>前附表规定的形式、金额和招标文件第四章“合同条款及格式</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”规定的或事先经过招标人书面认可的履约保</w:t>
      </w:r>
      <w:r>
        <w:rPr>
          <w:rFonts w:ascii="宋体" w:hAnsi="宋体" w:eastAsia="宋体" w:cs="宋体"/>
          <w:color w:val="auto"/>
          <w:spacing w:val="3"/>
          <w:sz w:val="24"/>
          <w:szCs w:val="24"/>
          <w:highlight w:val="none"/>
        </w:rPr>
        <w:t>证金格式向</w:t>
      </w:r>
      <w:r>
        <w:rPr>
          <w:rFonts w:ascii="宋体" w:hAnsi="宋体" w:eastAsia="宋体" w:cs="宋体"/>
          <w:color w:val="auto"/>
          <w:spacing w:val="5"/>
          <w:sz w:val="24"/>
          <w:szCs w:val="24"/>
          <w:highlight w:val="none"/>
        </w:rPr>
        <w:t>招标人提交履约保证金。除投标人须知前附表另有规定外，履约保证金为签约</w:t>
      </w:r>
      <w:r>
        <w:rPr>
          <w:rFonts w:ascii="宋体" w:hAnsi="宋体" w:eastAsia="宋体" w:cs="宋体"/>
          <w:color w:val="auto"/>
          <w:spacing w:val="4"/>
          <w:sz w:val="24"/>
          <w:szCs w:val="24"/>
          <w:highlight w:val="none"/>
        </w:rPr>
        <w:t>合同价</w:t>
      </w:r>
      <w:r>
        <w:rPr>
          <w:rFonts w:ascii="宋体" w:hAnsi="宋体" w:eastAsia="宋体" w:cs="宋体"/>
          <w:color w:val="auto"/>
          <w:spacing w:val="-1"/>
          <w:sz w:val="24"/>
          <w:szCs w:val="24"/>
          <w:highlight w:val="none"/>
        </w:rPr>
        <w:t>的</w:t>
      </w:r>
      <w:r>
        <w:rPr>
          <w:rFonts w:ascii="宋体" w:hAnsi="宋体" w:eastAsia="宋体" w:cs="宋体"/>
          <w:color w:val="auto"/>
          <w:spacing w:val="-32"/>
          <w:sz w:val="24"/>
          <w:szCs w:val="24"/>
          <w:highlight w:val="none"/>
        </w:rPr>
        <w:t xml:space="preserve"> </w:t>
      </w:r>
      <w:r>
        <w:rPr>
          <w:rFonts w:ascii="宋体" w:hAnsi="宋体" w:eastAsia="宋体" w:cs="宋体"/>
          <w:color w:val="auto"/>
          <w:spacing w:val="-1"/>
          <w:sz w:val="24"/>
          <w:szCs w:val="24"/>
          <w:highlight w:val="none"/>
        </w:rPr>
        <w:t>10%。联合体中标的，其履约保证金以联合体各方或联合体中牵头人的名义提交。</w:t>
      </w:r>
    </w:p>
    <w:p w14:paraId="4C7A1A0D">
      <w:pPr>
        <w:spacing w:line="359" w:lineRule="auto"/>
        <w:ind w:left="30" w:right="2" w:firstLine="45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采用银行保函时，应由符合投标人须知前附表规定级别的银行开具，所需的费用</w:t>
      </w:r>
      <w:r>
        <w:rPr>
          <w:rFonts w:ascii="宋体" w:hAnsi="宋体" w:eastAsia="宋体" w:cs="宋体"/>
          <w:color w:val="auto"/>
          <w:spacing w:val="-2"/>
          <w:sz w:val="24"/>
          <w:szCs w:val="24"/>
          <w:highlight w:val="none"/>
        </w:rPr>
        <w:t>由中标人承担，中标人应保证银行保函有效。</w:t>
      </w:r>
    </w:p>
    <w:p w14:paraId="5E067F14">
      <w:pPr>
        <w:spacing w:before="2" w:line="359" w:lineRule="auto"/>
        <w:ind w:firstLine="486"/>
        <w:jc w:val="both"/>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7.7.2</w:t>
      </w:r>
      <w:r>
        <w:rPr>
          <w:rFonts w:ascii="宋体" w:hAnsi="宋体" w:eastAsia="宋体" w:cs="宋体"/>
          <w:color w:val="auto"/>
          <w:spacing w:val="57"/>
          <w:sz w:val="24"/>
          <w:szCs w:val="24"/>
          <w:highlight w:val="none"/>
        </w:rPr>
        <w:t xml:space="preserve"> </w:t>
      </w:r>
      <w:r>
        <w:rPr>
          <w:rFonts w:ascii="宋体" w:hAnsi="宋体" w:eastAsia="宋体" w:cs="宋体"/>
          <w:color w:val="auto"/>
          <w:spacing w:val="2"/>
          <w:sz w:val="24"/>
          <w:szCs w:val="24"/>
          <w:highlight w:val="none"/>
        </w:rPr>
        <w:t>中标人不能按本章第</w:t>
      </w:r>
      <w:r>
        <w:rPr>
          <w:rFonts w:ascii="宋体" w:hAnsi="宋体" w:eastAsia="宋体" w:cs="宋体"/>
          <w:color w:val="auto"/>
          <w:spacing w:val="-38"/>
          <w:sz w:val="24"/>
          <w:szCs w:val="24"/>
          <w:highlight w:val="none"/>
        </w:rPr>
        <w:t xml:space="preserve"> </w:t>
      </w:r>
      <w:r>
        <w:rPr>
          <w:rFonts w:ascii="宋体" w:hAnsi="宋体" w:eastAsia="宋体" w:cs="宋体"/>
          <w:color w:val="auto"/>
          <w:spacing w:val="2"/>
          <w:sz w:val="24"/>
          <w:szCs w:val="24"/>
          <w:highlight w:val="none"/>
        </w:rPr>
        <w:t>7.7.1</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项要求提交履约保证金的，视为放弃中标，其</w:t>
      </w:r>
      <w:r>
        <w:rPr>
          <w:rFonts w:ascii="宋体" w:hAnsi="宋体" w:eastAsia="宋体" w:cs="宋体"/>
          <w:color w:val="auto"/>
          <w:spacing w:val="5"/>
          <w:sz w:val="24"/>
          <w:szCs w:val="24"/>
          <w:highlight w:val="none"/>
        </w:rPr>
        <w:t>投标保证金不予退还，给招标人造成的损失超过投标保证金数额的，中标人还</w:t>
      </w:r>
      <w:r>
        <w:rPr>
          <w:rFonts w:ascii="宋体" w:hAnsi="宋体" w:eastAsia="宋体" w:cs="宋体"/>
          <w:color w:val="auto"/>
          <w:spacing w:val="4"/>
          <w:sz w:val="24"/>
          <w:szCs w:val="24"/>
          <w:highlight w:val="none"/>
        </w:rPr>
        <w:t>应当对</w:t>
      </w:r>
      <w:r>
        <w:rPr>
          <w:rFonts w:ascii="宋体" w:hAnsi="宋体" w:eastAsia="宋体" w:cs="宋体"/>
          <w:color w:val="auto"/>
          <w:spacing w:val="-1"/>
          <w:sz w:val="24"/>
          <w:szCs w:val="24"/>
          <w:highlight w:val="none"/>
        </w:rPr>
        <w:t>超过部分予以赔偿。</w:t>
      </w:r>
    </w:p>
    <w:p w14:paraId="1CA6BEAF">
      <w:pPr>
        <w:pStyle w:val="4"/>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7.8</w:t>
      </w:r>
      <w:r>
        <w:rPr>
          <w:rFonts w:ascii="宋体" w:hAnsi="宋体" w:eastAsia="宋体" w:cs="宋体"/>
          <w:color w:val="auto"/>
          <w:spacing w:val="15"/>
          <w:sz w:val="24"/>
          <w:szCs w:val="24"/>
          <w:highlight w:val="none"/>
        </w:rPr>
        <w:t xml:space="preserve"> </w:t>
      </w:r>
      <w:r>
        <w:rPr>
          <w:rFonts w:ascii="宋体" w:hAnsi="宋体" w:eastAsia="宋体" w:cs="宋体"/>
          <w:b/>
          <w:bCs/>
          <w:color w:val="auto"/>
          <w:spacing w:val="-6"/>
          <w:sz w:val="24"/>
          <w:szCs w:val="24"/>
          <w:highlight w:val="none"/>
        </w:rPr>
        <w:t>签订合同</w:t>
      </w:r>
    </w:p>
    <w:p w14:paraId="4104B2BE">
      <w:pPr>
        <w:spacing w:before="180" w:line="359" w:lineRule="auto"/>
        <w:ind w:left="1" w:firstLine="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7.8.1  根据《公路工程建设项目招标投标管理办法》第五十七条规定，招标人和</w:t>
      </w:r>
      <w:r>
        <w:rPr>
          <w:rFonts w:ascii="宋体" w:hAnsi="宋体" w:eastAsia="宋体" w:cs="宋体"/>
          <w:color w:val="auto"/>
          <w:sz w:val="24"/>
          <w:szCs w:val="24"/>
          <w:highlight w:val="none"/>
        </w:rPr>
        <w:t>中标人应在中标通知书发出之日起</w:t>
      </w:r>
      <w:r>
        <w:rPr>
          <w:rFonts w:ascii="宋体" w:hAnsi="宋体" w:eastAsia="宋体" w:cs="宋体"/>
          <w:color w:val="auto"/>
          <w:spacing w:val="-44"/>
          <w:sz w:val="24"/>
          <w:szCs w:val="24"/>
          <w:highlight w:val="none"/>
        </w:rPr>
        <w:t xml:space="preserve"> </w:t>
      </w:r>
      <w:r>
        <w:rPr>
          <w:rFonts w:ascii="宋体" w:hAnsi="宋体" w:eastAsia="宋体" w:cs="宋体"/>
          <w:color w:val="auto"/>
          <w:sz w:val="24"/>
          <w:szCs w:val="24"/>
          <w:highlight w:val="none"/>
        </w:rPr>
        <w:t>30 日内，根据招标</w:t>
      </w:r>
      <w:r>
        <w:rPr>
          <w:rFonts w:ascii="宋体" w:hAnsi="宋体" w:eastAsia="宋体" w:cs="宋体"/>
          <w:color w:val="auto"/>
          <w:spacing w:val="-1"/>
          <w:sz w:val="24"/>
          <w:szCs w:val="24"/>
          <w:highlight w:val="none"/>
        </w:rPr>
        <w:t>文件和中标人的投标文件订立合</w:t>
      </w:r>
      <w:r>
        <w:rPr>
          <w:rFonts w:ascii="宋体" w:hAnsi="宋体" w:eastAsia="宋体" w:cs="宋体"/>
          <w:color w:val="auto"/>
          <w:spacing w:val="5"/>
          <w:sz w:val="24"/>
          <w:szCs w:val="24"/>
          <w:highlight w:val="none"/>
        </w:rPr>
        <w:t>同。中标人无正当理由拒签合同，在签订合同时向招标人提出附加条件，</w:t>
      </w:r>
      <w:r>
        <w:rPr>
          <w:rFonts w:ascii="宋体" w:hAnsi="宋体" w:eastAsia="宋体" w:cs="宋体"/>
          <w:color w:val="auto"/>
          <w:spacing w:val="4"/>
          <w:sz w:val="24"/>
          <w:szCs w:val="24"/>
          <w:highlight w:val="none"/>
        </w:rPr>
        <w:t>或不按照招</w:t>
      </w:r>
      <w:r>
        <w:rPr>
          <w:rFonts w:ascii="宋体" w:hAnsi="宋体" w:eastAsia="宋体" w:cs="宋体"/>
          <w:color w:val="auto"/>
          <w:spacing w:val="-2"/>
          <w:sz w:val="24"/>
          <w:szCs w:val="24"/>
          <w:highlight w:val="none"/>
        </w:rPr>
        <w:t>标文件要求提交履约保证金的，招标人有权取消其中标资格，其投标保证金不予退还；</w:t>
      </w:r>
      <w:r>
        <w:rPr>
          <w:rFonts w:ascii="宋体" w:hAnsi="宋体" w:eastAsia="宋体" w:cs="宋体"/>
          <w:color w:val="auto"/>
          <w:sz w:val="24"/>
          <w:szCs w:val="24"/>
          <w:highlight w:val="none"/>
        </w:rPr>
        <w:t>给招标人造成的损失超过投标保证金数额的，中标人</w:t>
      </w:r>
      <w:r>
        <w:rPr>
          <w:rFonts w:ascii="宋体" w:hAnsi="宋体" w:eastAsia="宋体" w:cs="宋体"/>
          <w:color w:val="auto"/>
          <w:spacing w:val="-1"/>
          <w:sz w:val="24"/>
          <w:szCs w:val="24"/>
          <w:highlight w:val="none"/>
        </w:rPr>
        <w:t>还应对超过部分予以赔偿。</w:t>
      </w:r>
    </w:p>
    <w:p w14:paraId="1AA220A3">
      <w:pPr>
        <w:spacing w:before="3" w:line="358" w:lineRule="auto"/>
        <w:ind w:right="2" w:firstLine="486"/>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7.8.2 发出中标通知书后，招标人无正当理由</w:t>
      </w:r>
      <w:r>
        <w:rPr>
          <w:rFonts w:ascii="宋体" w:hAnsi="宋体" w:eastAsia="宋体" w:cs="宋体"/>
          <w:color w:val="auto"/>
          <w:spacing w:val="4"/>
          <w:sz w:val="24"/>
          <w:szCs w:val="24"/>
          <w:highlight w:val="none"/>
        </w:rPr>
        <w:t>拒签合同，或在签订合同时向中标</w:t>
      </w:r>
      <w:r>
        <w:rPr>
          <w:rFonts w:ascii="宋体" w:hAnsi="宋体" w:eastAsia="宋体" w:cs="宋体"/>
          <w:color w:val="auto"/>
          <w:spacing w:val="5"/>
          <w:sz w:val="24"/>
          <w:szCs w:val="24"/>
          <w:highlight w:val="none"/>
        </w:rPr>
        <w:t>人提出附加条件的，招标人向中标人退还投标保证金；给中标人造成损失的，</w:t>
      </w:r>
      <w:r>
        <w:rPr>
          <w:rFonts w:ascii="宋体" w:hAnsi="宋体" w:eastAsia="宋体" w:cs="宋体"/>
          <w:color w:val="auto"/>
          <w:spacing w:val="4"/>
          <w:sz w:val="24"/>
          <w:szCs w:val="24"/>
          <w:highlight w:val="none"/>
        </w:rPr>
        <w:t>还应赔</w:t>
      </w:r>
      <w:r>
        <w:rPr>
          <w:rFonts w:ascii="宋体" w:hAnsi="宋体" w:eastAsia="宋体" w:cs="宋体"/>
          <w:color w:val="auto"/>
          <w:spacing w:val="-3"/>
          <w:sz w:val="24"/>
          <w:szCs w:val="24"/>
          <w:highlight w:val="none"/>
        </w:rPr>
        <w:t>偿损失。</w:t>
      </w:r>
    </w:p>
    <w:p w14:paraId="6A4E66D4">
      <w:pPr>
        <w:spacing w:before="1" w:line="217" w:lineRule="auto"/>
        <w:ind w:left="486"/>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7.8.3 签约合同价的确定原则如下：</w:t>
      </w:r>
    </w:p>
    <w:p w14:paraId="4BCE7D82">
      <w:pPr>
        <w:spacing w:before="183" w:line="359" w:lineRule="auto"/>
        <w:ind w:left="1" w:right="8" w:firstLine="490"/>
        <w:jc w:val="both"/>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（1）按照评标办法规定对投标报价进行修正后，若修正后的最终投标报价小于开标时的投标函大写金额报价，则签订合同时以修正后的最终投标报价为准；</w:t>
      </w:r>
    </w:p>
    <w:p w14:paraId="0D968BD3">
      <w:pPr>
        <w:spacing w:before="183" w:line="359" w:lineRule="auto"/>
        <w:ind w:left="1" w:right="8" w:firstLine="490"/>
        <w:jc w:val="both"/>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（2）按照评标办法规定对投标报价进行修正后，若修正后的最终投标报价大于开</w:t>
      </w:r>
      <w:r>
        <w:rPr>
          <w:rFonts w:ascii="宋体" w:hAnsi="宋体" w:eastAsia="宋体" w:cs="宋体"/>
          <w:color w:val="auto"/>
          <w:spacing w:val="5"/>
          <w:sz w:val="24"/>
          <w:szCs w:val="24"/>
          <w:highlight w:val="none"/>
        </w:rPr>
        <w:t>标时的投标函大写金额报价，则签订合同时以开标时的投标函大写金额报</w:t>
      </w:r>
      <w:r>
        <w:rPr>
          <w:rFonts w:ascii="宋体" w:hAnsi="宋体" w:eastAsia="宋体" w:cs="宋体"/>
          <w:color w:val="auto"/>
          <w:spacing w:val="4"/>
          <w:sz w:val="24"/>
          <w:szCs w:val="24"/>
          <w:highlight w:val="none"/>
        </w:rPr>
        <w:t>价为准，同</w:t>
      </w:r>
      <w:r>
        <w:rPr>
          <w:rFonts w:ascii="宋体" w:hAnsi="宋体" w:eastAsia="宋体" w:cs="宋体"/>
          <w:color w:val="auto"/>
          <w:spacing w:val="-1"/>
          <w:sz w:val="24"/>
          <w:szCs w:val="24"/>
          <w:highlight w:val="none"/>
        </w:rPr>
        <w:t>时按比例修正相应子目的单价或合价。</w:t>
      </w:r>
    </w:p>
    <w:p w14:paraId="1716E9C4">
      <w:pPr>
        <w:spacing w:line="359" w:lineRule="auto"/>
        <w:ind w:left="2" w:right="8"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7.8.4 联合体中标的，联合体各方应共同与招</w:t>
      </w:r>
      <w:r>
        <w:rPr>
          <w:rFonts w:ascii="宋体" w:hAnsi="宋体" w:eastAsia="宋体" w:cs="宋体"/>
          <w:color w:val="auto"/>
          <w:spacing w:val="4"/>
          <w:sz w:val="24"/>
          <w:szCs w:val="24"/>
          <w:highlight w:val="none"/>
        </w:rPr>
        <w:t>标人签订合同，就中标项目向招标</w:t>
      </w:r>
      <w:r>
        <w:rPr>
          <w:rFonts w:ascii="宋体" w:hAnsi="宋体" w:eastAsia="宋体" w:cs="宋体"/>
          <w:color w:val="auto"/>
          <w:spacing w:val="-2"/>
          <w:sz w:val="24"/>
          <w:szCs w:val="24"/>
          <w:highlight w:val="none"/>
        </w:rPr>
        <w:t>人承担连带责任。</w:t>
      </w:r>
    </w:p>
    <w:p w14:paraId="4FD4360A">
      <w:pPr>
        <w:spacing w:line="360" w:lineRule="auto"/>
        <w:ind w:left="1" w:firstLine="48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7.8.5 招标人和中标人在签订合同协议书的同</w:t>
      </w:r>
      <w:r>
        <w:rPr>
          <w:rFonts w:ascii="宋体" w:hAnsi="宋体" w:eastAsia="宋体" w:cs="宋体"/>
          <w:color w:val="auto"/>
          <w:spacing w:val="4"/>
          <w:sz w:val="24"/>
          <w:szCs w:val="24"/>
          <w:highlight w:val="none"/>
        </w:rPr>
        <w:t>时，须按照本招标文件规定的格式</w:t>
      </w:r>
      <w:r>
        <w:rPr>
          <w:rFonts w:ascii="宋体" w:hAnsi="宋体" w:eastAsia="宋体" w:cs="宋体"/>
          <w:color w:val="auto"/>
          <w:spacing w:val="-1"/>
          <w:sz w:val="24"/>
          <w:szCs w:val="24"/>
          <w:highlight w:val="none"/>
        </w:rPr>
        <w:t>和要求签订廉政合同，明确双方在廉政建设方面的权利</w:t>
      </w:r>
      <w:r>
        <w:rPr>
          <w:rFonts w:ascii="宋体" w:hAnsi="宋体" w:eastAsia="宋体" w:cs="宋体"/>
          <w:color w:val="auto"/>
          <w:spacing w:val="-2"/>
          <w:sz w:val="24"/>
          <w:szCs w:val="24"/>
          <w:highlight w:val="none"/>
        </w:rPr>
        <w:t>和义务以及应承担的违约责任。</w:t>
      </w:r>
    </w:p>
    <w:p w14:paraId="23148C24">
      <w:pPr>
        <w:pStyle w:val="3"/>
        <w:bidi w:val="0"/>
        <w:rPr>
          <w:rFonts w:ascii="宋体" w:hAnsi="宋体" w:eastAsia="宋体" w:cs="宋体"/>
          <w:color w:val="auto"/>
          <w:sz w:val="28"/>
          <w:szCs w:val="28"/>
          <w:highlight w:val="none"/>
        </w:rPr>
      </w:pPr>
      <w:r>
        <w:rPr>
          <w:rFonts w:ascii="宋体" w:hAnsi="宋体" w:eastAsia="宋体" w:cs="宋体"/>
          <w:b/>
          <w:bCs/>
          <w:color w:val="auto"/>
          <w:spacing w:val="-7"/>
          <w:sz w:val="28"/>
          <w:szCs w:val="28"/>
          <w:highlight w:val="none"/>
        </w:rPr>
        <w:t>8.</w:t>
      </w:r>
      <w:r>
        <w:rPr>
          <w:rFonts w:ascii="宋体" w:hAnsi="宋体" w:eastAsia="宋体" w:cs="宋体"/>
          <w:color w:val="auto"/>
          <w:spacing w:val="21"/>
          <w:sz w:val="28"/>
          <w:szCs w:val="28"/>
          <w:highlight w:val="none"/>
        </w:rPr>
        <w:t xml:space="preserve"> </w:t>
      </w:r>
      <w:r>
        <w:rPr>
          <w:rFonts w:ascii="宋体" w:hAnsi="宋体" w:eastAsia="宋体" w:cs="宋体"/>
          <w:b/>
          <w:bCs/>
          <w:color w:val="auto"/>
          <w:spacing w:val="-7"/>
          <w:sz w:val="28"/>
          <w:szCs w:val="28"/>
          <w:highlight w:val="none"/>
        </w:rPr>
        <w:t>纪律和监督</w:t>
      </w:r>
    </w:p>
    <w:p w14:paraId="7843938C">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8.1</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对招标人的纪律要求</w:t>
      </w:r>
    </w:p>
    <w:p w14:paraId="0C1059D8">
      <w:pPr>
        <w:spacing w:before="181" w:line="359" w:lineRule="auto"/>
        <w:ind w:left="2" w:right="8" w:firstLine="47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招标人不得泄露招标投标活动中应保密的情况和资料，不得与投标人串通损害国</w:t>
      </w:r>
      <w:r>
        <w:rPr>
          <w:rFonts w:ascii="宋体" w:hAnsi="宋体" w:eastAsia="宋体" w:cs="宋体"/>
          <w:color w:val="auto"/>
          <w:spacing w:val="-1"/>
          <w:sz w:val="24"/>
          <w:szCs w:val="24"/>
          <w:highlight w:val="none"/>
        </w:rPr>
        <w:t>家利益、社会公共利益或者他人合法权益。</w:t>
      </w:r>
    </w:p>
    <w:p w14:paraId="0EE23384">
      <w:pPr>
        <w:pStyle w:val="4"/>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8.2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对投标人的纪律要求</w:t>
      </w:r>
    </w:p>
    <w:p w14:paraId="25EA8F7F">
      <w:pPr>
        <w:spacing w:before="182" w:line="359" w:lineRule="auto"/>
        <w:ind w:right="8" w:firstLine="483"/>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投标人不得相互串通投标或与招标人串通投标，不得向招标人或评标委员会成员行贿谋取中标，不得以他人名义投标或以其他方式弄虚作假骗取中标；投标人</w:t>
      </w:r>
      <w:r>
        <w:rPr>
          <w:rFonts w:ascii="宋体" w:hAnsi="宋体" w:eastAsia="宋体" w:cs="宋体"/>
          <w:color w:val="auto"/>
          <w:spacing w:val="4"/>
          <w:sz w:val="24"/>
          <w:szCs w:val="24"/>
          <w:highlight w:val="none"/>
        </w:rPr>
        <w:t>不得以</w:t>
      </w:r>
      <w:r>
        <w:rPr>
          <w:rFonts w:ascii="宋体" w:hAnsi="宋体" w:eastAsia="宋体" w:cs="宋体"/>
          <w:color w:val="auto"/>
          <w:spacing w:val="-1"/>
          <w:sz w:val="24"/>
          <w:szCs w:val="24"/>
          <w:highlight w:val="none"/>
        </w:rPr>
        <w:t>任何方式干扰、影响评标工作。</w:t>
      </w:r>
    </w:p>
    <w:p w14:paraId="43FACC76">
      <w:pPr>
        <w:pStyle w:val="4"/>
        <w:bidi w:val="0"/>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8.3</w:t>
      </w:r>
      <w:r>
        <w:rPr>
          <w:rFonts w:ascii="宋体" w:hAnsi="宋体" w:eastAsia="宋体" w:cs="宋体"/>
          <w:color w:val="auto"/>
          <w:spacing w:val="-2"/>
          <w:sz w:val="24"/>
          <w:szCs w:val="24"/>
          <w:highlight w:val="none"/>
        </w:rPr>
        <w:t xml:space="preserve"> </w:t>
      </w:r>
      <w:r>
        <w:rPr>
          <w:rFonts w:ascii="宋体" w:hAnsi="宋体" w:eastAsia="宋体" w:cs="宋体"/>
          <w:b/>
          <w:bCs/>
          <w:color w:val="auto"/>
          <w:spacing w:val="-2"/>
          <w:sz w:val="24"/>
          <w:szCs w:val="24"/>
          <w:highlight w:val="none"/>
        </w:rPr>
        <w:t>对评标委员会成员的纪律要求</w:t>
      </w:r>
    </w:p>
    <w:p w14:paraId="32D6BF95">
      <w:pPr>
        <w:spacing w:before="184" w:line="359" w:lineRule="auto"/>
        <w:ind w:right="8"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评标委员会成员不得收受他人的财物或其他好处，不得向他人透露对投标文件的评审和比较、中标候选人的推荐情况以及评标有关的其他情况。在评标活动中</w:t>
      </w:r>
      <w:r>
        <w:rPr>
          <w:rFonts w:ascii="宋体" w:hAnsi="宋体" w:eastAsia="宋体" w:cs="宋体"/>
          <w:color w:val="auto"/>
          <w:spacing w:val="4"/>
          <w:sz w:val="24"/>
          <w:szCs w:val="24"/>
          <w:highlight w:val="none"/>
        </w:rPr>
        <w:t>，评标</w:t>
      </w:r>
      <w:r>
        <w:rPr>
          <w:rFonts w:ascii="宋体" w:hAnsi="宋体" w:eastAsia="宋体" w:cs="宋体"/>
          <w:color w:val="auto"/>
          <w:spacing w:val="5"/>
          <w:sz w:val="24"/>
          <w:szCs w:val="24"/>
          <w:highlight w:val="none"/>
        </w:rPr>
        <w:t>委员会成员应客观、公正地履行职责，遵守职业道德，不得擅离职守，影响评</w:t>
      </w:r>
      <w:r>
        <w:rPr>
          <w:rFonts w:ascii="宋体" w:hAnsi="宋体" w:eastAsia="宋体" w:cs="宋体"/>
          <w:color w:val="auto"/>
          <w:spacing w:val="4"/>
          <w:sz w:val="24"/>
          <w:szCs w:val="24"/>
          <w:highlight w:val="none"/>
        </w:rPr>
        <w:t>标程序</w:t>
      </w:r>
      <w:r>
        <w:rPr>
          <w:rFonts w:ascii="宋体" w:hAnsi="宋体" w:eastAsia="宋体" w:cs="宋体"/>
          <w:color w:val="auto"/>
          <w:spacing w:val="-1"/>
          <w:sz w:val="24"/>
          <w:szCs w:val="24"/>
          <w:highlight w:val="none"/>
        </w:rPr>
        <w:t>正常进行，不得使用第三章“评标办法</w:t>
      </w:r>
      <w:r>
        <w:rPr>
          <w:rFonts w:ascii="宋体" w:hAnsi="宋体" w:eastAsia="宋体" w:cs="宋体"/>
          <w:color w:val="auto"/>
          <w:spacing w:val="-88"/>
          <w:sz w:val="24"/>
          <w:szCs w:val="24"/>
          <w:highlight w:val="none"/>
        </w:rPr>
        <w:t xml:space="preserve"> </w:t>
      </w:r>
      <w:r>
        <w:rPr>
          <w:rFonts w:ascii="宋体" w:hAnsi="宋体" w:eastAsia="宋体" w:cs="宋体"/>
          <w:color w:val="auto"/>
          <w:spacing w:val="-1"/>
          <w:sz w:val="24"/>
          <w:szCs w:val="24"/>
          <w:highlight w:val="none"/>
        </w:rPr>
        <w:t>”没有规定的评审因素和</w:t>
      </w:r>
      <w:r>
        <w:rPr>
          <w:rFonts w:ascii="宋体" w:hAnsi="宋体" w:eastAsia="宋体" w:cs="宋体"/>
          <w:color w:val="auto"/>
          <w:spacing w:val="-2"/>
          <w:sz w:val="24"/>
          <w:szCs w:val="24"/>
          <w:highlight w:val="none"/>
        </w:rPr>
        <w:t>标准进行评标。</w:t>
      </w:r>
    </w:p>
    <w:p w14:paraId="39C1264F">
      <w:pPr>
        <w:pStyle w:val="4"/>
        <w:bidi w:val="0"/>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8.4</w:t>
      </w:r>
      <w:r>
        <w:rPr>
          <w:rFonts w:ascii="宋体" w:hAnsi="宋体" w:eastAsia="宋体" w:cs="宋体"/>
          <w:color w:val="auto"/>
          <w:spacing w:val="-2"/>
          <w:sz w:val="24"/>
          <w:szCs w:val="24"/>
          <w:highlight w:val="none"/>
        </w:rPr>
        <w:t xml:space="preserve"> </w:t>
      </w:r>
      <w:r>
        <w:rPr>
          <w:rFonts w:ascii="宋体" w:hAnsi="宋体" w:eastAsia="宋体" w:cs="宋体"/>
          <w:b/>
          <w:bCs/>
          <w:color w:val="auto"/>
          <w:spacing w:val="-2"/>
          <w:sz w:val="24"/>
          <w:szCs w:val="24"/>
          <w:highlight w:val="none"/>
        </w:rPr>
        <w:t>对与评标活动有关的工作人员的纪律要求</w:t>
      </w:r>
    </w:p>
    <w:p w14:paraId="09ACFD43">
      <w:pPr>
        <w:spacing w:before="182" w:line="359" w:lineRule="auto"/>
        <w:ind w:left="1" w:right="8" w:firstLine="483"/>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与评标活动有关的工作人员不得收受他人的财物或其他好处，不得向他人透露对投标文件的评审和比较、中标候选人的推荐情况以及评标有关的其他情况</w:t>
      </w:r>
      <w:r>
        <w:rPr>
          <w:rFonts w:ascii="宋体" w:hAnsi="宋体" w:eastAsia="宋体" w:cs="宋体"/>
          <w:color w:val="auto"/>
          <w:spacing w:val="4"/>
          <w:sz w:val="24"/>
          <w:szCs w:val="24"/>
          <w:highlight w:val="none"/>
        </w:rPr>
        <w:t>。在评标活</w:t>
      </w:r>
      <w:r>
        <w:rPr>
          <w:rFonts w:ascii="宋体" w:hAnsi="宋体" w:eastAsia="宋体" w:cs="宋体"/>
          <w:color w:val="auto"/>
          <w:sz w:val="24"/>
          <w:szCs w:val="24"/>
          <w:highlight w:val="none"/>
        </w:rPr>
        <w:t>动中，与评标活动有关的工作人员不得擅离职守</w:t>
      </w:r>
      <w:r>
        <w:rPr>
          <w:rFonts w:ascii="宋体" w:hAnsi="宋体" w:eastAsia="宋体" w:cs="宋体"/>
          <w:color w:val="auto"/>
          <w:spacing w:val="-1"/>
          <w:sz w:val="24"/>
          <w:szCs w:val="24"/>
          <w:highlight w:val="none"/>
        </w:rPr>
        <w:t>，影响评标程序正常进行。</w:t>
      </w:r>
    </w:p>
    <w:p w14:paraId="450DACD3">
      <w:pPr>
        <w:pStyle w:val="4"/>
        <w:bidi w:val="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8.5</w:t>
      </w:r>
      <w:r>
        <w:rPr>
          <w:rFonts w:ascii="宋体" w:hAnsi="宋体" w:eastAsia="宋体" w:cs="宋体"/>
          <w:color w:val="auto"/>
          <w:spacing w:val="15"/>
          <w:sz w:val="24"/>
          <w:szCs w:val="24"/>
          <w:highlight w:val="none"/>
        </w:rPr>
        <w:t xml:space="preserve"> </w:t>
      </w:r>
      <w:r>
        <w:rPr>
          <w:rFonts w:ascii="宋体" w:hAnsi="宋体" w:eastAsia="宋体" w:cs="宋体"/>
          <w:b/>
          <w:bCs/>
          <w:color w:val="auto"/>
          <w:spacing w:val="-7"/>
          <w:sz w:val="24"/>
          <w:szCs w:val="24"/>
          <w:highlight w:val="none"/>
        </w:rPr>
        <w:t>投诉</w:t>
      </w:r>
    </w:p>
    <w:p w14:paraId="78CADA53">
      <w:pPr>
        <w:spacing w:before="182" w:line="358" w:lineRule="auto"/>
        <w:ind w:left="2" w:right="8" w:firstLine="479"/>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8.5.1</w:t>
      </w:r>
      <w:r>
        <w:rPr>
          <w:rFonts w:ascii="宋体" w:hAnsi="宋体" w:eastAsia="宋体" w:cs="宋体"/>
          <w:color w:val="auto"/>
          <w:spacing w:val="-48"/>
          <w:sz w:val="24"/>
          <w:szCs w:val="24"/>
          <w:highlight w:val="none"/>
        </w:rPr>
        <w:t xml:space="preserve"> </w:t>
      </w:r>
      <w:r>
        <w:rPr>
          <w:rFonts w:ascii="宋体" w:hAnsi="宋体" w:eastAsia="宋体" w:cs="宋体"/>
          <w:color w:val="auto"/>
          <w:sz w:val="24"/>
          <w:szCs w:val="24"/>
          <w:highlight w:val="none"/>
        </w:rPr>
        <w:t>投标人或其他利害关系人认为招标投标活动不符</w:t>
      </w:r>
      <w:r>
        <w:rPr>
          <w:rFonts w:ascii="宋体" w:hAnsi="宋体" w:eastAsia="宋体" w:cs="宋体"/>
          <w:color w:val="auto"/>
          <w:spacing w:val="-1"/>
          <w:sz w:val="24"/>
          <w:szCs w:val="24"/>
          <w:highlight w:val="none"/>
        </w:rPr>
        <w:t>合法律、行政法规规定的，可以自知道或应当知道之日起</w:t>
      </w:r>
      <w:r>
        <w:rPr>
          <w:rFonts w:ascii="宋体" w:hAnsi="宋体" w:eastAsia="宋体" w:cs="宋体"/>
          <w:color w:val="auto"/>
          <w:spacing w:val="-22"/>
          <w:sz w:val="24"/>
          <w:szCs w:val="24"/>
          <w:highlight w:val="none"/>
        </w:rPr>
        <w:t xml:space="preserve"> </w:t>
      </w:r>
      <w:r>
        <w:rPr>
          <w:rFonts w:ascii="宋体" w:hAnsi="宋体" w:eastAsia="宋体" w:cs="宋体"/>
          <w:color w:val="auto"/>
          <w:spacing w:val="-1"/>
          <w:sz w:val="24"/>
          <w:szCs w:val="24"/>
          <w:highlight w:val="none"/>
        </w:rPr>
        <w:t>10 日内向有关行政监督部门投诉。对于按法规规定需要</w:t>
      </w:r>
      <w:r>
        <w:rPr>
          <w:rFonts w:ascii="宋体" w:hAnsi="宋体" w:eastAsia="宋体" w:cs="宋体"/>
          <w:color w:val="auto"/>
          <w:spacing w:val="-2"/>
          <w:sz w:val="24"/>
          <w:szCs w:val="24"/>
          <w:highlight w:val="none"/>
        </w:rPr>
        <w:t>先提出异议的投诉，行政监督部门在受理投诉时要求投诉人递交提出异议的证明文件，</w:t>
      </w:r>
      <w:r>
        <w:rPr>
          <w:rFonts w:ascii="宋体" w:hAnsi="宋体" w:eastAsia="宋体" w:cs="宋体"/>
          <w:color w:val="auto"/>
          <w:spacing w:val="5"/>
          <w:sz w:val="24"/>
          <w:szCs w:val="24"/>
          <w:highlight w:val="none"/>
        </w:rPr>
        <w:t>已向有关行政监督部门投诉的，应当一并说明。未按规定提出异议或者</w:t>
      </w:r>
      <w:r>
        <w:rPr>
          <w:rFonts w:ascii="宋体" w:hAnsi="宋体" w:eastAsia="宋体" w:cs="宋体"/>
          <w:color w:val="auto"/>
          <w:spacing w:val="4"/>
          <w:sz w:val="24"/>
          <w:szCs w:val="24"/>
          <w:highlight w:val="none"/>
        </w:rPr>
        <w:t>未提交已提出</w:t>
      </w:r>
      <w:r>
        <w:rPr>
          <w:rFonts w:ascii="宋体" w:hAnsi="宋体" w:eastAsia="宋体" w:cs="宋体"/>
          <w:color w:val="auto"/>
          <w:spacing w:val="5"/>
          <w:sz w:val="24"/>
          <w:szCs w:val="24"/>
          <w:highlight w:val="none"/>
        </w:rPr>
        <w:t>异议的证明文件的投诉，行政监督部门不予受理。投诉人缺乏事实根</w:t>
      </w:r>
      <w:r>
        <w:rPr>
          <w:rFonts w:ascii="宋体" w:hAnsi="宋体" w:eastAsia="宋体" w:cs="宋体"/>
          <w:color w:val="auto"/>
          <w:spacing w:val="4"/>
          <w:sz w:val="24"/>
          <w:szCs w:val="24"/>
          <w:highlight w:val="none"/>
        </w:rPr>
        <w:t>据或者法律依据</w:t>
      </w:r>
      <w:r>
        <w:rPr>
          <w:rFonts w:ascii="宋体" w:hAnsi="宋体" w:eastAsia="宋体" w:cs="宋体"/>
          <w:color w:val="auto"/>
          <w:spacing w:val="5"/>
          <w:sz w:val="24"/>
          <w:szCs w:val="24"/>
          <w:highlight w:val="none"/>
        </w:rPr>
        <w:t>进行投诉的，或者有证据表明投诉人捏造事实、伪造材料的，或者投诉人以非法</w:t>
      </w:r>
      <w:r>
        <w:rPr>
          <w:rFonts w:ascii="宋体" w:hAnsi="宋体" w:eastAsia="宋体" w:cs="宋体"/>
          <w:color w:val="auto"/>
          <w:spacing w:val="4"/>
          <w:sz w:val="24"/>
          <w:szCs w:val="24"/>
          <w:highlight w:val="none"/>
        </w:rPr>
        <w:t>手段</w:t>
      </w:r>
      <w:r>
        <w:rPr>
          <w:rFonts w:ascii="宋体" w:hAnsi="宋体" w:eastAsia="宋体" w:cs="宋体"/>
          <w:color w:val="auto"/>
          <w:spacing w:val="5"/>
          <w:sz w:val="24"/>
          <w:szCs w:val="24"/>
          <w:highlight w:val="none"/>
        </w:rPr>
        <w:t>取得证明材料进行投诉的，行政监督部门应当予以驳回，并对恶意投诉按照有关</w:t>
      </w:r>
      <w:r>
        <w:rPr>
          <w:rFonts w:ascii="宋体" w:hAnsi="宋体" w:eastAsia="宋体" w:cs="宋体"/>
          <w:color w:val="auto"/>
          <w:spacing w:val="4"/>
          <w:sz w:val="24"/>
          <w:szCs w:val="24"/>
          <w:highlight w:val="none"/>
        </w:rPr>
        <w:t>规定</w:t>
      </w:r>
      <w:r>
        <w:rPr>
          <w:rFonts w:ascii="宋体" w:hAnsi="宋体" w:eastAsia="宋体" w:cs="宋体"/>
          <w:color w:val="auto"/>
          <w:spacing w:val="5"/>
          <w:sz w:val="24"/>
          <w:szCs w:val="24"/>
          <w:highlight w:val="none"/>
        </w:rPr>
        <w:t>追究投诉人责任。行政监督部门接到对招标投标活动有效投诉的，应当制止或者</w:t>
      </w:r>
      <w:r>
        <w:rPr>
          <w:rFonts w:ascii="宋体" w:hAnsi="宋体" w:eastAsia="宋体" w:cs="宋体"/>
          <w:color w:val="auto"/>
          <w:spacing w:val="4"/>
          <w:sz w:val="24"/>
          <w:szCs w:val="24"/>
          <w:highlight w:val="none"/>
        </w:rPr>
        <w:t>要求</w:t>
      </w:r>
      <w:r>
        <w:rPr>
          <w:rFonts w:ascii="宋体" w:hAnsi="宋体" w:eastAsia="宋体" w:cs="宋体"/>
          <w:color w:val="auto"/>
          <w:spacing w:val="-1"/>
          <w:sz w:val="24"/>
          <w:szCs w:val="24"/>
          <w:highlight w:val="none"/>
        </w:rPr>
        <w:t>整改，整改期间可以暂停其招标投标活动。</w:t>
      </w:r>
    </w:p>
    <w:p w14:paraId="521F4B80">
      <w:pPr>
        <w:spacing w:line="218" w:lineRule="auto"/>
        <w:ind w:left="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监督部门的联系方式见投标人须知前附表。</w:t>
      </w:r>
    </w:p>
    <w:p w14:paraId="425F4CBF">
      <w:pPr>
        <w:spacing w:before="184" w:line="360" w:lineRule="auto"/>
        <w:ind w:left="1" w:right="128"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8.5.2 投标人或其他利害关系人对招标文件、开标和评标</w:t>
      </w:r>
      <w:r>
        <w:rPr>
          <w:rFonts w:ascii="宋体" w:hAnsi="宋体" w:eastAsia="宋体" w:cs="宋体"/>
          <w:color w:val="auto"/>
          <w:spacing w:val="4"/>
          <w:sz w:val="24"/>
          <w:szCs w:val="24"/>
          <w:highlight w:val="none"/>
        </w:rPr>
        <w:t>结果提出投诉的，应按</w:t>
      </w:r>
      <w:r>
        <w:rPr>
          <w:rFonts w:ascii="宋体" w:hAnsi="宋体" w:eastAsia="宋体" w:cs="宋体"/>
          <w:color w:val="auto"/>
          <w:spacing w:val="2"/>
          <w:sz w:val="24"/>
          <w:szCs w:val="24"/>
          <w:highlight w:val="none"/>
        </w:rPr>
        <w:t>照本章第</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2.4</w:t>
      </w:r>
      <w:r>
        <w:rPr>
          <w:rFonts w:ascii="宋体" w:hAnsi="宋体" w:eastAsia="宋体" w:cs="宋体"/>
          <w:color w:val="auto"/>
          <w:spacing w:val="-45"/>
          <w:sz w:val="24"/>
          <w:szCs w:val="24"/>
          <w:highlight w:val="none"/>
        </w:rPr>
        <w:t xml:space="preserve"> </w:t>
      </w:r>
      <w:r>
        <w:rPr>
          <w:rFonts w:ascii="宋体" w:hAnsi="宋体" w:eastAsia="宋体" w:cs="宋体"/>
          <w:color w:val="auto"/>
          <w:spacing w:val="2"/>
          <w:sz w:val="24"/>
          <w:szCs w:val="24"/>
          <w:highlight w:val="none"/>
        </w:rPr>
        <w:t>款、第</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5.3</w:t>
      </w:r>
      <w:r>
        <w:rPr>
          <w:rFonts w:ascii="宋体" w:hAnsi="宋体" w:eastAsia="宋体" w:cs="宋体"/>
          <w:color w:val="auto"/>
          <w:spacing w:val="-44"/>
          <w:sz w:val="24"/>
          <w:szCs w:val="24"/>
          <w:highlight w:val="none"/>
        </w:rPr>
        <w:t xml:space="preserve"> </w:t>
      </w:r>
      <w:r>
        <w:rPr>
          <w:rFonts w:ascii="宋体" w:hAnsi="宋体" w:eastAsia="宋体" w:cs="宋体"/>
          <w:color w:val="auto"/>
          <w:spacing w:val="2"/>
          <w:sz w:val="24"/>
          <w:szCs w:val="24"/>
          <w:highlight w:val="none"/>
        </w:rPr>
        <w:t>款和第</w:t>
      </w:r>
      <w:r>
        <w:rPr>
          <w:rFonts w:ascii="宋体" w:hAnsi="宋体" w:eastAsia="宋体" w:cs="宋体"/>
          <w:color w:val="auto"/>
          <w:spacing w:val="-41"/>
          <w:sz w:val="24"/>
          <w:szCs w:val="24"/>
          <w:highlight w:val="none"/>
        </w:rPr>
        <w:t xml:space="preserve"> </w:t>
      </w:r>
      <w:r>
        <w:rPr>
          <w:rFonts w:ascii="宋体" w:hAnsi="宋体" w:eastAsia="宋体" w:cs="宋体"/>
          <w:color w:val="auto"/>
          <w:spacing w:val="2"/>
          <w:sz w:val="24"/>
          <w:szCs w:val="24"/>
          <w:highlight w:val="none"/>
        </w:rPr>
        <w:t>7.2</w:t>
      </w:r>
      <w:r>
        <w:rPr>
          <w:rFonts w:ascii="宋体" w:hAnsi="宋体" w:eastAsia="宋体" w:cs="宋体"/>
          <w:color w:val="auto"/>
          <w:spacing w:val="-42"/>
          <w:sz w:val="24"/>
          <w:szCs w:val="24"/>
          <w:highlight w:val="none"/>
        </w:rPr>
        <w:t xml:space="preserve"> </w:t>
      </w:r>
      <w:r>
        <w:rPr>
          <w:rFonts w:ascii="宋体" w:hAnsi="宋体" w:eastAsia="宋体" w:cs="宋体"/>
          <w:color w:val="auto"/>
          <w:spacing w:val="2"/>
          <w:sz w:val="24"/>
          <w:szCs w:val="24"/>
          <w:highlight w:val="none"/>
        </w:rPr>
        <w:t>款的规定先向招标人提出异议</w:t>
      </w:r>
      <w:r>
        <w:rPr>
          <w:rFonts w:ascii="宋体" w:hAnsi="宋体" w:eastAsia="宋体" w:cs="宋体"/>
          <w:color w:val="auto"/>
          <w:spacing w:val="1"/>
          <w:sz w:val="24"/>
          <w:szCs w:val="24"/>
          <w:highlight w:val="none"/>
        </w:rPr>
        <w:t>。异议答复期间不</w:t>
      </w:r>
      <w:r>
        <w:rPr>
          <w:rFonts w:ascii="宋体" w:hAnsi="宋体" w:eastAsia="宋体" w:cs="宋体"/>
          <w:color w:val="auto"/>
          <w:spacing w:val="2"/>
          <w:sz w:val="24"/>
          <w:szCs w:val="24"/>
          <w:highlight w:val="none"/>
        </w:rPr>
        <w:t>计算在第8.5.1</w:t>
      </w:r>
      <w:r>
        <w:rPr>
          <w:rFonts w:ascii="宋体" w:hAnsi="宋体" w:eastAsia="宋体" w:cs="宋体"/>
          <w:color w:val="auto"/>
          <w:spacing w:val="-45"/>
          <w:sz w:val="24"/>
          <w:szCs w:val="24"/>
          <w:highlight w:val="none"/>
        </w:rPr>
        <w:t xml:space="preserve"> </w:t>
      </w:r>
      <w:r>
        <w:rPr>
          <w:rFonts w:ascii="宋体" w:hAnsi="宋体" w:eastAsia="宋体" w:cs="宋体"/>
          <w:color w:val="auto"/>
          <w:spacing w:val="2"/>
          <w:sz w:val="24"/>
          <w:szCs w:val="24"/>
          <w:highlight w:val="none"/>
        </w:rPr>
        <w:t>项规定的期限内。</w:t>
      </w:r>
    </w:p>
    <w:p w14:paraId="005125B9">
      <w:pPr>
        <w:pStyle w:val="3"/>
        <w:bidi w:val="0"/>
        <w:rPr>
          <w:rFonts w:ascii="宋体" w:hAnsi="宋体" w:eastAsia="宋体" w:cs="宋体"/>
          <w:color w:val="auto"/>
          <w:sz w:val="28"/>
          <w:szCs w:val="28"/>
          <w:highlight w:val="none"/>
        </w:rPr>
      </w:pPr>
      <w:r>
        <w:rPr>
          <w:rFonts w:ascii="宋体" w:hAnsi="宋体" w:eastAsia="宋体" w:cs="宋体"/>
          <w:b/>
          <w:bCs/>
          <w:color w:val="auto"/>
          <w:spacing w:val="-3"/>
          <w:sz w:val="28"/>
          <w:szCs w:val="28"/>
          <w:highlight w:val="none"/>
        </w:rPr>
        <w:t>9.</w:t>
      </w:r>
      <w:r>
        <w:rPr>
          <w:rFonts w:ascii="宋体" w:hAnsi="宋体" w:eastAsia="宋体" w:cs="宋体"/>
          <w:color w:val="auto"/>
          <w:spacing w:val="-3"/>
          <w:sz w:val="28"/>
          <w:szCs w:val="28"/>
          <w:highlight w:val="none"/>
        </w:rPr>
        <w:t xml:space="preserve"> </w:t>
      </w:r>
      <w:r>
        <w:rPr>
          <w:rFonts w:ascii="宋体" w:hAnsi="宋体" w:eastAsia="宋体" w:cs="宋体"/>
          <w:b/>
          <w:bCs/>
          <w:color w:val="auto"/>
          <w:spacing w:val="-3"/>
          <w:sz w:val="28"/>
          <w:szCs w:val="28"/>
          <w:highlight w:val="none"/>
        </w:rPr>
        <w:t>是否采用电子招标投标</w:t>
      </w:r>
    </w:p>
    <w:p w14:paraId="03592381">
      <w:pPr>
        <w:spacing w:before="206" w:line="219" w:lineRule="auto"/>
        <w:ind w:left="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本招标项目是否采用电子招标投标方式，见投标人须知前附表。</w:t>
      </w:r>
    </w:p>
    <w:p w14:paraId="281A7D7D">
      <w:pPr>
        <w:pStyle w:val="3"/>
        <w:bidi w:val="0"/>
        <w:rPr>
          <w:rFonts w:ascii="宋体" w:hAnsi="宋体" w:eastAsia="宋体" w:cs="宋体"/>
          <w:color w:val="auto"/>
          <w:sz w:val="28"/>
          <w:szCs w:val="28"/>
          <w:highlight w:val="none"/>
        </w:rPr>
      </w:pPr>
      <w:r>
        <w:rPr>
          <w:rFonts w:ascii="宋体" w:hAnsi="宋体" w:eastAsia="宋体" w:cs="宋体"/>
          <w:b/>
          <w:bCs/>
          <w:color w:val="auto"/>
          <w:spacing w:val="-7"/>
          <w:sz w:val="28"/>
          <w:szCs w:val="28"/>
          <w:highlight w:val="none"/>
        </w:rPr>
        <w:t>10.</w:t>
      </w:r>
      <w:r>
        <w:rPr>
          <w:rFonts w:ascii="宋体" w:hAnsi="宋体" w:eastAsia="宋体" w:cs="宋体"/>
          <w:color w:val="auto"/>
          <w:spacing w:val="29"/>
          <w:sz w:val="28"/>
          <w:szCs w:val="28"/>
          <w:highlight w:val="none"/>
        </w:rPr>
        <w:t xml:space="preserve"> </w:t>
      </w:r>
      <w:r>
        <w:rPr>
          <w:rFonts w:ascii="宋体" w:hAnsi="宋体" w:eastAsia="宋体" w:cs="宋体"/>
          <w:b/>
          <w:bCs/>
          <w:color w:val="auto"/>
          <w:spacing w:val="-7"/>
          <w:sz w:val="28"/>
          <w:szCs w:val="28"/>
          <w:highlight w:val="none"/>
        </w:rPr>
        <w:t>需要补充的其他内容</w:t>
      </w:r>
    </w:p>
    <w:p w14:paraId="738CCAC2">
      <w:pPr>
        <w:spacing w:before="205" w:line="219" w:lineRule="auto"/>
        <w:jc w:val="center"/>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10.1</w:t>
      </w:r>
      <w:r>
        <w:rPr>
          <w:rFonts w:ascii="宋体" w:hAnsi="宋体" w:eastAsia="宋体" w:cs="宋体"/>
          <w:color w:val="auto"/>
          <w:spacing w:val="49"/>
          <w:sz w:val="24"/>
          <w:szCs w:val="24"/>
          <w:highlight w:val="none"/>
        </w:rPr>
        <w:t xml:space="preserve"> </w:t>
      </w:r>
      <w:r>
        <w:rPr>
          <w:rFonts w:ascii="宋体" w:hAnsi="宋体" w:eastAsia="宋体" w:cs="宋体"/>
          <w:color w:val="auto"/>
          <w:spacing w:val="-3"/>
          <w:sz w:val="24"/>
          <w:szCs w:val="24"/>
          <w:highlight w:val="none"/>
        </w:rPr>
        <w:t>自投标登记并获取招标文件之日起，投标人应保证其提供的联系方式（</w:t>
      </w:r>
      <w:r>
        <w:rPr>
          <w:rFonts w:ascii="宋体" w:hAnsi="宋体" w:eastAsia="宋体" w:cs="宋体"/>
          <w:color w:val="auto"/>
          <w:spacing w:val="-4"/>
          <w:sz w:val="24"/>
          <w:szCs w:val="24"/>
          <w:highlight w:val="none"/>
        </w:rPr>
        <w:t>电话、</w:t>
      </w:r>
    </w:p>
    <w:p w14:paraId="3366B99E">
      <w:pPr>
        <w:spacing w:before="184" w:line="219" w:lineRule="auto"/>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传真、电子邮件）一直有效，以便及时收到招标人发出的函件（招标文件的澄清、修</w:t>
      </w:r>
    </w:p>
    <w:p w14:paraId="4757398C">
      <w:pPr>
        <w:spacing w:before="182" w:line="219" w:lineRule="auto"/>
        <w:ind w:left="1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改等</w:t>
      </w:r>
      <w:r>
        <w:rPr>
          <w:rFonts w:ascii="宋体" w:hAnsi="宋体" w:eastAsia="宋体" w:cs="宋体"/>
          <w:color w:val="auto"/>
          <w:spacing w:val="7"/>
          <w:sz w:val="24"/>
          <w:szCs w:val="24"/>
          <w:highlight w:val="none"/>
        </w:rPr>
        <w:t>），</w:t>
      </w:r>
      <w:r>
        <w:rPr>
          <w:rFonts w:ascii="宋体" w:hAnsi="宋体" w:eastAsia="宋体" w:cs="宋体"/>
          <w:color w:val="auto"/>
          <w:spacing w:val="-1"/>
          <w:sz w:val="24"/>
          <w:szCs w:val="24"/>
          <w:highlight w:val="none"/>
        </w:rPr>
        <w:t>并应及时向招标人反馈信息，否则招标人不承担由此引起的一切后果。</w:t>
      </w:r>
    </w:p>
    <w:p w14:paraId="233F6229">
      <w:pPr>
        <w:spacing w:line="283" w:lineRule="auto"/>
        <w:rPr>
          <w:rFonts w:ascii="Arial"/>
          <w:color w:val="auto"/>
          <w:sz w:val="21"/>
          <w:highlight w:val="none"/>
        </w:rPr>
      </w:pPr>
    </w:p>
    <w:p w14:paraId="1A723837">
      <w:pPr>
        <w:spacing w:before="78" w:line="219" w:lineRule="auto"/>
        <w:ind w:left="49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需要补充的其他内容：见投标人须知前附表。</w:t>
      </w:r>
    </w:p>
    <w:p w14:paraId="7FC1BAA0">
      <w:pPr>
        <w:spacing w:line="219" w:lineRule="auto"/>
        <w:rPr>
          <w:rFonts w:ascii="宋体" w:hAnsi="宋体" w:eastAsia="宋体" w:cs="宋体"/>
          <w:color w:val="auto"/>
          <w:sz w:val="24"/>
          <w:szCs w:val="24"/>
          <w:highlight w:val="none"/>
        </w:rPr>
        <w:sectPr>
          <w:footerReference r:id="rId15" w:type="default"/>
          <w:pgSz w:w="11905" w:h="16838"/>
          <w:pgMar w:top="1134" w:right="1134" w:bottom="1134" w:left="1134" w:header="0" w:footer="1066" w:gutter="0"/>
          <w:pgNumType w:fmt="decimal"/>
          <w:cols w:space="0" w:num="1"/>
          <w:rtlGutter w:val="0"/>
          <w:docGrid w:linePitch="0" w:charSpace="0"/>
        </w:sectPr>
      </w:pPr>
    </w:p>
    <w:p w14:paraId="53A73488">
      <w:pPr>
        <w:spacing w:line="242" w:lineRule="auto"/>
        <w:rPr>
          <w:rFonts w:ascii="Arial"/>
          <w:color w:val="auto"/>
          <w:sz w:val="21"/>
          <w:highlight w:val="none"/>
        </w:rPr>
      </w:pPr>
    </w:p>
    <w:p w14:paraId="247172BF">
      <w:pPr>
        <w:spacing w:line="242" w:lineRule="auto"/>
        <w:rPr>
          <w:rFonts w:ascii="Arial"/>
          <w:color w:val="auto"/>
          <w:sz w:val="21"/>
          <w:highlight w:val="none"/>
        </w:rPr>
      </w:pPr>
    </w:p>
    <w:p w14:paraId="22D64478">
      <w:pPr>
        <w:spacing w:line="242" w:lineRule="auto"/>
        <w:rPr>
          <w:rFonts w:ascii="Arial"/>
          <w:color w:val="auto"/>
          <w:sz w:val="21"/>
          <w:highlight w:val="none"/>
        </w:rPr>
      </w:pPr>
    </w:p>
    <w:p w14:paraId="22B47F50">
      <w:pPr>
        <w:spacing w:line="242" w:lineRule="auto"/>
        <w:rPr>
          <w:rFonts w:ascii="Arial"/>
          <w:color w:val="auto"/>
          <w:sz w:val="21"/>
          <w:highlight w:val="none"/>
        </w:rPr>
      </w:pPr>
    </w:p>
    <w:p w14:paraId="286E044C">
      <w:pPr>
        <w:spacing w:line="242" w:lineRule="auto"/>
        <w:rPr>
          <w:rFonts w:ascii="Arial"/>
          <w:color w:val="auto"/>
          <w:sz w:val="21"/>
          <w:highlight w:val="none"/>
        </w:rPr>
      </w:pPr>
    </w:p>
    <w:p w14:paraId="67861114">
      <w:pPr>
        <w:spacing w:line="242" w:lineRule="auto"/>
        <w:rPr>
          <w:rFonts w:ascii="Arial"/>
          <w:color w:val="auto"/>
          <w:sz w:val="21"/>
          <w:highlight w:val="none"/>
        </w:rPr>
      </w:pPr>
    </w:p>
    <w:p w14:paraId="5E3FB4F0">
      <w:pPr>
        <w:spacing w:line="242" w:lineRule="auto"/>
        <w:rPr>
          <w:rFonts w:ascii="Arial"/>
          <w:color w:val="auto"/>
          <w:sz w:val="21"/>
          <w:highlight w:val="none"/>
        </w:rPr>
      </w:pPr>
    </w:p>
    <w:p w14:paraId="52143117">
      <w:pPr>
        <w:spacing w:line="242" w:lineRule="auto"/>
        <w:rPr>
          <w:rFonts w:ascii="Arial"/>
          <w:color w:val="auto"/>
          <w:sz w:val="21"/>
          <w:highlight w:val="none"/>
        </w:rPr>
      </w:pPr>
    </w:p>
    <w:p w14:paraId="60BD682B">
      <w:pPr>
        <w:spacing w:line="242" w:lineRule="auto"/>
        <w:rPr>
          <w:rFonts w:ascii="Arial"/>
          <w:color w:val="auto"/>
          <w:sz w:val="21"/>
          <w:highlight w:val="none"/>
        </w:rPr>
      </w:pPr>
    </w:p>
    <w:p w14:paraId="2118F359">
      <w:pPr>
        <w:spacing w:line="242" w:lineRule="auto"/>
        <w:rPr>
          <w:rFonts w:ascii="Arial"/>
          <w:color w:val="auto"/>
          <w:sz w:val="21"/>
          <w:highlight w:val="none"/>
        </w:rPr>
      </w:pPr>
    </w:p>
    <w:p w14:paraId="33190687">
      <w:pPr>
        <w:spacing w:line="242" w:lineRule="auto"/>
        <w:rPr>
          <w:rFonts w:ascii="Arial"/>
          <w:color w:val="auto"/>
          <w:sz w:val="21"/>
          <w:highlight w:val="none"/>
        </w:rPr>
      </w:pPr>
    </w:p>
    <w:p w14:paraId="1E4D4034">
      <w:pPr>
        <w:spacing w:line="242" w:lineRule="auto"/>
        <w:rPr>
          <w:rFonts w:ascii="Arial"/>
          <w:color w:val="auto"/>
          <w:sz w:val="21"/>
          <w:highlight w:val="none"/>
        </w:rPr>
      </w:pPr>
    </w:p>
    <w:p w14:paraId="2C17C2F8">
      <w:pPr>
        <w:spacing w:line="242" w:lineRule="auto"/>
        <w:rPr>
          <w:rFonts w:ascii="Arial"/>
          <w:color w:val="auto"/>
          <w:sz w:val="21"/>
          <w:highlight w:val="none"/>
        </w:rPr>
      </w:pPr>
    </w:p>
    <w:p w14:paraId="3AA712C7">
      <w:pPr>
        <w:spacing w:line="243" w:lineRule="auto"/>
        <w:rPr>
          <w:rFonts w:ascii="Arial"/>
          <w:color w:val="auto"/>
          <w:sz w:val="21"/>
          <w:highlight w:val="none"/>
        </w:rPr>
      </w:pPr>
    </w:p>
    <w:p w14:paraId="685F3739">
      <w:pPr>
        <w:spacing w:line="243" w:lineRule="auto"/>
        <w:rPr>
          <w:rFonts w:ascii="Arial"/>
          <w:color w:val="auto"/>
          <w:sz w:val="21"/>
          <w:highlight w:val="none"/>
        </w:rPr>
      </w:pPr>
    </w:p>
    <w:p w14:paraId="6085F157">
      <w:pPr>
        <w:spacing w:line="243" w:lineRule="auto"/>
        <w:rPr>
          <w:rFonts w:ascii="Arial"/>
          <w:color w:val="auto"/>
          <w:sz w:val="21"/>
          <w:highlight w:val="none"/>
        </w:rPr>
      </w:pPr>
    </w:p>
    <w:p w14:paraId="0A8EEE85">
      <w:pPr>
        <w:spacing w:line="243" w:lineRule="auto"/>
        <w:rPr>
          <w:rFonts w:ascii="Arial"/>
          <w:color w:val="auto"/>
          <w:sz w:val="21"/>
          <w:highlight w:val="none"/>
        </w:rPr>
      </w:pPr>
    </w:p>
    <w:p w14:paraId="7BF8D7FB">
      <w:pPr>
        <w:spacing w:line="243" w:lineRule="auto"/>
        <w:rPr>
          <w:rFonts w:ascii="Arial"/>
          <w:color w:val="auto"/>
          <w:sz w:val="21"/>
          <w:highlight w:val="none"/>
        </w:rPr>
      </w:pPr>
    </w:p>
    <w:p w14:paraId="4BF90C50">
      <w:pPr>
        <w:spacing w:line="243" w:lineRule="auto"/>
        <w:rPr>
          <w:rFonts w:ascii="Arial"/>
          <w:color w:val="auto"/>
          <w:sz w:val="21"/>
          <w:highlight w:val="none"/>
        </w:rPr>
      </w:pPr>
    </w:p>
    <w:p w14:paraId="7982A652">
      <w:pPr>
        <w:spacing w:line="243" w:lineRule="auto"/>
        <w:rPr>
          <w:rFonts w:ascii="Arial"/>
          <w:color w:val="auto"/>
          <w:sz w:val="21"/>
          <w:highlight w:val="none"/>
        </w:rPr>
      </w:pPr>
    </w:p>
    <w:p w14:paraId="5F9F8A81">
      <w:pPr>
        <w:spacing w:line="243" w:lineRule="auto"/>
        <w:rPr>
          <w:rFonts w:ascii="Arial"/>
          <w:color w:val="auto"/>
          <w:sz w:val="21"/>
          <w:highlight w:val="none"/>
        </w:rPr>
      </w:pPr>
    </w:p>
    <w:p w14:paraId="2501C662">
      <w:pPr>
        <w:spacing w:line="243" w:lineRule="auto"/>
        <w:rPr>
          <w:rFonts w:ascii="Arial"/>
          <w:color w:val="auto"/>
          <w:sz w:val="21"/>
          <w:highlight w:val="none"/>
        </w:rPr>
      </w:pPr>
    </w:p>
    <w:p w14:paraId="486B028C">
      <w:pPr>
        <w:spacing w:line="243" w:lineRule="auto"/>
        <w:rPr>
          <w:rFonts w:ascii="Arial"/>
          <w:color w:val="auto"/>
          <w:sz w:val="21"/>
          <w:highlight w:val="none"/>
        </w:rPr>
      </w:pPr>
    </w:p>
    <w:p w14:paraId="51B1EC8A">
      <w:pPr>
        <w:pStyle w:val="2"/>
        <w:bidi w:val="0"/>
        <w:jc w:val="center"/>
        <w:rPr>
          <w:color w:val="auto"/>
          <w:sz w:val="52"/>
          <w:szCs w:val="52"/>
          <w:highlight w:val="none"/>
        </w:rPr>
      </w:pPr>
      <w:bookmarkStart w:id="44" w:name="_Toc5603"/>
      <w:r>
        <w:rPr>
          <w:color w:val="auto"/>
          <w:sz w:val="52"/>
          <w:szCs w:val="52"/>
          <w:highlight w:val="none"/>
        </w:rPr>
        <w:t>第三章  评标办法</w:t>
      </w:r>
      <w:bookmarkEnd w:id="44"/>
    </w:p>
    <w:p w14:paraId="3172B603">
      <w:pPr>
        <w:spacing w:line="219" w:lineRule="auto"/>
        <w:rPr>
          <w:rFonts w:ascii="宋体" w:hAnsi="宋体" w:eastAsia="宋体" w:cs="宋体"/>
          <w:color w:val="auto"/>
          <w:sz w:val="52"/>
          <w:szCs w:val="52"/>
          <w:highlight w:val="none"/>
        </w:rPr>
        <w:sectPr>
          <w:footerReference r:id="rId16" w:type="default"/>
          <w:pgSz w:w="11905" w:h="16838"/>
          <w:pgMar w:top="1134" w:right="1134" w:bottom="1134" w:left="1134" w:header="0" w:footer="1066" w:gutter="0"/>
          <w:pgNumType w:fmt="decimal"/>
          <w:cols w:space="0" w:num="1"/>
          <w:rtlGutter w:val="0"/>
          <w:docGrid w:linePitch="0" w:charSpace="0"/>
        </w:sectPr>
      </w:pPr>
    </w:p>
    <w:p w14:paraId="491DD32A">
      <w:pPr>
        <w:rPr>
          <w:rFonts w:ascii="Arial"/>
          <w:color w:val="auto"/>
          <w:sz w:val="21"/>
          <w:highlight w:val="none"/>
        </w:rPr>
      </w:pPr>
    </w:p>
    <w:p w14:paraId="6167EF58">
      <w:pPr>
        <w:pStyle w:val="2"/>
        <w:bidi w:val="0"/>
        <w:jc w:val="center"/>
        <w:rPr>
          <w:rFonts w:ascii="Arial"/>
          <w:color w:val="auto"/>
          <w:sz w:val="21"/>
          <w:highlight w:val="none"/>
        </w:rPr>
      </w:pPr>
      <w:bookmarkStart w:id="45" w:name="bookmark8"/>
      <w:bookmarkEnd w:id="45"/>
      <w:bookmarkStart w:id="46" w:name="_Toc19251"/>
      <w:r>
        <w:rPr>
          <w:color w:val="auto"/>
          <w:highlight w:val="none"/>
        </w:rPr>
        <w:t>第三章  评标办法（综合评估法）</w:t>
      </w:r>
      <w:bookmarkEnd w:id="46"/>
    </w:p>
    <w:p w14:paraId="146547F7">
      <w:pPr>
        <w:spacing w:before="78" w:line="233" w:lineRule="auto"/>
        <w:ind w:left="120"/>
        <w:outlineLvl w:val="1"/>
        <w:rPr>
          <w:rFonts w:ascii="宋体" w:hAnsi="宋体" w:eastAsia="宋体" w:cs="宋体"/>
          <w:color w:val="auto"/>
          <w:sz w:val="12"/>
          <w:szCs w:val="12"/>
          <w:highlight w:val="none"/>
        </w:rPr>
      </w:pPr>
      <w:r>
        <w:rPr>
          <w:rFonts w:ascii="宋体" w:hAnsi="宋体" w:eastAsia="宋体" w:cs="宋体"/>
          <w:b/>
          <w:bCs/>
          <w:color w:val="auto"/>
          <w:spacing w:val="-3"/>
          <w:sz w:val="24"/>
          <w:szCs w:val="24"/>
          <w:highlight w:val="none"/>
        </w:rPr>
        <w:t>评标办法前附表</w:t>
      </w:r>
      <w:r>
        <w:rPr>
          <w:color w:val="auto"/>
          <w:highlight w:val="none"/>
        </w:rPr>
        <w:fldChar w:fldCharType="begin"/>
      </w:r>
      <w:r>
        <w:rPr>
          <w:color w:val="auto"/>
          <w:highlight w:val="none"/>
        </w:rPr>
        <w:instrText xml:space="preserve"> HYPERLINK \l "bookmark128" </w:instrText>
      </w:r>
      <w:r>
        <w:rPr>
          <w:color w:val="auto"/>
          <w:highlight w:val="none"/>
        </w:rPr>
        <w:fldChar w:fldCharType="separate"/>
      </w:r>
      <w:r>
        <w:rPr>
          <w:rFonts w:ascii="宋体" w:hAnsi="宋体" w:eastAsia="宋体" w:cs="宋体"/>
          <w:color w:val="auto"/>
          <w:spacing w:val="-3"/>
          <w:position w:val="11"/>
          <w:sz w:val="12"/>
          <w:szCs w:val="12"/>
          <w:highlight w:val="none"/>
        </w:rPr>
        <w:t>①</w:t>
      </w:r>
      <w:r>
        <w:rPr>
          <w:rFonts w:ascii="宋体" w:hAnsi="宋体" w:eastAsia="宋体" w:cs="宋体"/>
          <w:color w:val="auto"/>
          <w:spacing w:val="-3"/>
          <w:position w:val="11"/>
          <w:sz w:val="12"/>
          <w:szCs w:val="12"/>
          <w:highlight w:val="none"/>
        </w:rPr>
        <w:fldChar w:fldCharType="end"/>
      </w:r>
    </w:p>
    <w:p w14:paraId="139C108A">
      <w:pPr>
        <w:spacing w:line="16" w:lineRule="exact"/>
        <w:rPr>
          <w:color w:val="auto"/>
          <w:highlight w:val="none"/>
        </w:rPr>
      </w:pPr>
    </w:p>
    <w:tbl>
      <w:tblPr>
        <w:tblStyle w:val="19"/>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1336"/>
        <w:gridCol w:w="6916"/>
      </w:tblGrid>
      <w:tr w14:paraId="45B8F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370" w:type="dxa"/>
            <w:gridSpan w:val="2"/>
            <w:vAlign w:val="top"/>
          </w:tcPr>
          <w:p w14:paraId="2EAD4DFA">
            <w:pPr>
              <w:pStyle w:val="20"/>
              <w:spacing w:before="35" w:line="228" w:lineRule="auto"/>
              <w:ind w:left="877"/>
              <w:rPr>
                <w:color w:val="auto"/>
                <w:highlight w:val="none"/>
              </w:rPr>
            </w:pPr>
            <w:r>
              <w:rPr>
                <w:b/>
                <w:bCs/>
                <w:color w:val="auto"/>
                <w:spacing w:val="5"/>
                <w:highlight w:val="none"/>
              </w:rPr>
              <w:t>条款号</w:t>
            </w:r>
          </w:p>
        </w:tc>
        <w:tc>
          <w:tcPr>
            <w:tcW w:w="6916" w:type="dxa"/>
            <w:vAlign w:val="top"/>
          </w:tcPr>
          <w:p w14:paraId="02486853">
            <w:pPr>
              <w:pStyle w:val="20"/>
              <w:spacing w:before="35" w:line="228" w:lineRule="auto"/>
              <w:ind w:left="2496"/>
              <w:rPr>
                <w:color w:val="auto"/>
                <w:highlight w:val="none"/>
              </w:rPr>
            </w:pPr>
            <w:r>
              <w:rPr>
                <w:b/>
                <w:bCs/>
                <w:color w:val="auto"/>
                <w:spacing w:val="11"/>
                <w:highlight w:val="none"/>
              </w:rPr>
              <w:t>评审因素与评审标准</w:t>
            </w:r>
          </w:p>
        </w:tc>
      </w:tr>
      <w:tr w14:paraId="02FF8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8" w:hRule="atLeast"/>
        </w:trPr>
        <w:tc>
          <w:tcPr>
            <w:tcW w:w="1034" w:type="dxa"/>
            <w:vAlign w:val="top"/>
          </w:tcPr>
          <w:p w14:paraId="7347424E">
            <w:pPr>
              <w:spacing w:line="256" w:lineRule="auto"/>
              <w:rPr>
                <w:rFonts w:ascii="Arial"/>
                <w:color w:val="auto"/>
                <w:sz w:val="21"/>
                <w:highlight w:val="none"/>
              </w:rPr>
            </w:pPr>
          </w:p>
          <w:p w14:paraId="1BC68569">
            <w:pPr>
              <w:spacing w:line="256" w:lineRule="auto"/>
              <w:rPr>
                <w:rFonts w:ascii="Arial"/>
                <w:color w:val="auto"/>
                <w:sz w:val="21"/>
                <w:highlight w:val="none"/>
              </w:rPr>
            </w:pPr>
          </w:p>
          <w:p w14:paraId="4FD80169">
            <w:pPr>
              <w:spacing w:line="256" w:lineRule="auto"/>
              <w:rPr>
                <w:rFonts w:ascii="Arial"/>
                <w:color w:val="auto"/>
                <w:sz w:val="21"/>
                <w:highlight w:val="none"/>
              </w:rPr>
            </w:pPr>
          </w:p>
          <w:p w14:paraId="6D96C092">
            <w:pPr>
              <w:spacing w:line="256" w:lineRule="auto"/>
              <w:rPr>
                <w:rFonts w:ascii="Arial"/>
                <w:color w:val="auto"/>
                <w:sz w:val="21"/>
                <w:highlight w:val="none"/>
              </w:rPr>
            </w:pPr>
          </w:p>
          <w:p w14:paraId="4E4D85EB">
            <w:pPr>
              <w:spacing w:line="256" w:lineRule="auto"/>
              <w:rPr>
                <w:rFonts w:ascii="Arial"/>
                <w:color w:val="auto"/>
                <w:sz w:val="21"/>
                <w:highlight w:val="none"/>
              </w:rPr>
            </w:pPr>
          </w:p>
          <w:p w14:paraId="06EEFB59">
            <w:pPr>
              <w:spacing w:line="256" w:lineRule="auto"/>
              <w:rPr>
                <w:rFonts w:ascii="Arial"/>
                <w:color w:val="auto"/>
                <w:sz w:val="21"/>
                <w:highlight w:val="none"/>
              </w:rPr>
            </w:pPr>
          </w:p>
          <w:p w14:paraId="2ACBF15A">
            <w:pPr>
              <w:spacing w:line="256" w:lineRule="auto"/>
              <w:rPr>
                <w:rFonts w:ascii="Arial"/>
                <w:color w:val="auto"/>
                <w:sz w:val="21"/>
                <w:highlight w:val="none"/>
              </w:rPr>
            </w:pPr>
          </w:p>
          <w:p w14:paraId="42EB1443">
            <w:pPr>
              <w:pStyle w:val="20"/>
              <w:spacing w:before="65" w:line="270" w:lineRule="exact"/>
              <w:ind w:left="485"/>
              <w:rPr>
                <w:color w:val="auto"/>
                <w:highlight w:val="none"/>
              </w:rPr>
            </w:pPr>
            <w:r>
              <w:rPr>
                <w:color w:val="auto"/>
                <w:position w:val="1"/>
                <w:highlight w:val="none"/>
              </w:rPr>
              <w:t>1</w:t>
            </w:r>
          </w:p>
        </w:tc>
        <w:tc>
          <w:tcPr>
            <w:tcW w:w="1336" w:type="dxa"/>
            <w:vAlign w:val="top"/>
          </w:tcPr>
          <w:p w14:paraId="7043D72E">
            <w:pPr>
              <w:spacing w:line="256" w:lineRule="auto"/>
              <w:rPr>
                <w:rFonts w:ascii="Arial"/>
                <w:color w:val="auto"/>
                <w:sz w:val="21"/>
                <w:highlight w:val="none"/>
              </w:rPr>
            </w:pPr>
          </w:p>
          <w:p w14:paraId="5F8C1C81">
            <w:pPr>
              <w:spacing w:line="256" w:lineRule="auto"/>
              <w:rPr>
                <w:rFonts w:ascii="Arial"/>
                <w:color w:val="auto"/>
                <w:sz w:val="21"/>
                <w:highlight w:val="none"/>
              </w:rPr>
            </w:pPr>
          </w:p>
          <w:p w14:paraId="337C44AC">
            <w:pPr>
              <w:spacing w:line="256" w:lineRule="auto"/>
              <w:rPr>
                <w:rFonts w:ascii="Arial"/>
                <w:color w:val="auto"/>
                <w:sz w:val="21"/>
                <w:highlight w:val="none"/>
              </w:rPr>
            </w:pPr>
          </w:p>
          <w:p w14:paraId="5E35305F">
            <w:pPr>
              <w:spacing w:line="256" w:lineRule="auto"/>
              <w:rPr>
                <w:rFonts w:ascii="Arial"/>
                <w:color w:val="auto"/>
                <w:sz w:val="21"/>
                <w:highlight w:val="none"/>
              </w:rPr>
            </w:pPr>
          </w:p>
          <w:p w14:paraId="0240FAE1">
            <w:pPr>
              <w:spacing w:line="256" w:lineRule="auto"/>
              <w:rPr>
                <w:rFonts w:ascii="Arial"/>
                <w:color w:val="auto"/>
                <w:sz w:val="21"/>
                <w:highlight w:val="none"/>
              </w:rPr>
            </w:pPr>
          </w:p>
          <w:p w14:paraId="6941A495">
            <w:pPr>
              <w:spacing w:line="256" w:lineRule="auto"/>
              <w:rPr>
                <w:rFonts w:ascii="Arial"/>
                <w:color w:val="auto"/>
                <w:sz w:val="21"/>
                <w:highlight w:val="none"/>
              </w:rPr>
            </w:pPr>
          </w:p>
          <w:p w14:paraId="69DA16E4">
            <w:pPr>
              <w:spacing w:line="256" w:lineRule="auto"/>
              <w:rPr>
                <w:rFonts w:ascii="Arial"/>
                <w:color w:val="auto"/>
                <w:sz w:val="21"/>
                <w:highlight w:val="none"/>
              </w:rPr>
            </w:pPr>
          </w:p>
          <w:p w14:paraId="2794016A">
            <w:pPr>
              <w:pStyle w:val="20"/>
              <w:spacing w:before="65" w:line="228" w:lineRule="auto"/>
              <w:ind w:left="251"/>
              <w:rPr>
                <w:color w:val="auto"/>
                <w:highlight w:val="none"/>
              </w:rPr>
            </w:pPr>
            <w:r>
              <w:rPr>
                <w:color w:val="auto"/>
                <w:spacing w:val="7"/>
                <w:highlight w:val="none"/>
              </w:rPr>
              <w:t>评标方法</w:t>
            </w:r>
          </w:p>
        </w:tc>
        <w:tc>
          <w:tcPr>
            <w:tcW w:w="6916" w:type="dxa"/>
            <w:vAlign w:val="top"/>
          </w:tcPr>
          <w:p w14:paraId="1C527D64">
            <w:pPr>
              <w:pStyle w:val="20"/>
              <w:spacing w:before="29" w:line="378" w:lineRule="auto"/>
              <w:ind w:left="116" w:right="106" w:firstLine="288"/>
              <w:rPr>
                <w:color w:val="auto"/>
                <w:highlight w:val="none"/>
              </w:rPr>
            </w:pPr>
            <w:r>
              <w:rPr>
                <w:color w:val="auto"/>
                <w:spacing w:val="13"/>
                <w:highlight w:val="none"/>
              </w:rPr>
              <w:t>综合评分相等时，评标委员会依次按照以下优先顺序推荐</w:t>
            </w:r>
            <w:r>
              <w:rPr>
                <w:rFonts w:hint="eastAsia"/>
                <w:color w:val="auto"/>
                <w:spacing w:val="13"/>
                <w:highlight w:val="none"/>
                <w:lang w:eastAsia="zh-CN"/>
              </w:rPr>
              <w:t>定</w:t>
            </w:r>
            <w:r>
              <w:rPr>
                <w:color w:val="auto"/>
                <w:spacing w:val="13"/>
                <w:highlight w:val="none"/>
              </w:rPr>
              <w:t>标候选</w:t>
            </w:r>
            <w:r>
              <w:rPr>
                <w:rFonts w:hint="eastAsia"/>
                <w:color w:val="auto"/>
                <w:spacing w:val="13"/>
                <w:highlight w:val="none"/>
                <w:lang w:eastAsia="zh-CN"/>
              </w:rPr>
              <w:t>人</w:t>
            </w:r>
            <w:r>
              <w:rPr>
                <w:color w:val="auto"/>
                <w:spacing w:val="6"/>
                <w:highlight w:val="none"/>
              </w:rPr>
              <w:t>：</w:t>
            </w:r>
          </w:p>
          <w:p w14:paraId="33476E06">
            <w:pPr>
              <w:pStyle w:val="20"/>
              <w:spacing w:line="226" w:lineRule="auto"/>
              <w:ind w:left="411"/>
              <w:rPr>
                <w:color w:val="auto"/>
                <w:highlight w:val="none"/>
              </w:rPr>
            </w:pPr>
            <w:r>
              <w:rPr>
                <w:color w:val="auto"/>
                <w:spacing w:val="7"/>
                <w:highlight w:val="none"/>
              </w:rPr>
              <w:t>（1）评标价低的投标人优先；</w:t>
            </w:r>
          </w:p>
          <w:p w14:paraId="5F09B3D8">
            <w:pPr>
              <w:pStyle w:val="20"/>
              <w:spacing w:before="163" w:line="377" w:lineRule="auto"/>
              <w:ind w:left="113" w:right="109" w:firstLine="298"/>
              <w:rPr>
                <w:color w:val="auto"/>
                <w:highlight w:val="none"/>
              </w:rPr>
            </w:pPr>
            <w:r>
              <w:rPr>
                <w:color w:val="auto"/>
                <w:spacing w:val="9"/>
                <w:highlight w:val="none"/>
              </w:rPr>
              <w:t>（2）按招标文件规定被认定为广东省交通运输厅最新年度发布的广东</w:t>
            </w:r>
            <w:r>
              <w:rPr>
                <w:color w:val="auto"/>
                <w:spacing w:val="16"/>
                <w:highlight w:val="none"/>
              </w:rPr>
              <w:t>省公路工程从业单位信用等级（监理单位）较高的</w:t>
            </w:r>
            <w:r>
              <w:rPr>
                <w:color w:val="auto"/>
                <w:spacing w:val="15"/>
                <w:highlight w:val="none"/>
              </w:rPr>
              <w:t>投标人优先（采用如</w:t>
            </w:r>
            <w:r>
              <w:rPr>
                <w:color w:val="auto"/>
                <w:spacing w:val="19"/>
                <w:highlight w:val="none"/>
              </w:rPr>
              <w:t>下的优先顺序：承诺使用的</w:t>
            </w:r>
            <w:r>
              <w:rPr>
                <w:color w:val="auto"/>
                <w:highlight w:val="none"/>
              </w:rPr>
              <w:t>AA</w:t>
            </w:r>
            <w:r>
              <w:rPr>
                <w:color w:val="auto"/>
                <w:spacing w:val="-16"/>
                <w:highlight w:val="none"/>
              </w:rPr>
              <w:t xml:space="preserve"> </w:t>
            </w:r>
            <w:r>
              <w:rPr>
                <w:color w:val="auto"/>
                <w:spacing w:val="19"/>
                <w:highlight w:val="none"/>
              </w:rPr>
              <w:t>级投标人、不承诺使用的</w:t>
            </w:r>
            <w:r>
              <w:rPr>
                <w:color w:val="auto"/>
                <w:highlight w:val="none"/>
              </w:rPr>
              <w:t>AA</w:t>
            </w:r>
            <w:r>
              <w:rPr>
                <w:color w:val="auto"/>
                <w:spacing w:val="-29"/>
                <w:highlight w:val="none"/>
              </w:rPr>
              <w:t xml:space="preserve"> </w:t>
            </w:r>
            <w:r>
              <w:rPr>
                <w:color w:val="auto"/>
                <w:spacing w:val="19"/>
                <w:highlight w:val="none"/>
              </w:rPr>
              <w:t>级投标人、</w:t>
            </w:r>
            <w:r>
              <w:rPr>
                <w:color w:val="auto"/>
                <w:spacing w:val="9"/>
                <w:highlight w:val="none"/>
              </w:rPr>
              <w:t>承诺使用的</w:t>
            </w:r>
            <w:r>
              <w:rPr>
                <w:color w:val="auto"/>
                <w:spacing w:val="-46"/>
                <w:highlight w:val="none"/>
              </w:rPr>
              <w:t xml:space="preserve"> </w:t>
            </w:r>
            <w:r>
              <w:rPr>
                <w:color w:val="auto"/>
                <w:spacing w:val="9"/>
                <w:highlight w:val="none"/>
              </w:rPr>
              <w:t>A</w:t>
            </w:r>
            <w:r>
              <w:rPr>
                <w:color w:val="auto"/>
                <w:spacing w:val="-34"/>
                <w:highlight w:val="none"/>
              </w:rPr>
              <w:t xml:space="preserve"> </w:t>
            </w:r>
            <w:r>
              <w:rPr>
                <w:color w:val="auto"/>
                <w:spacing w:val="9"/>
                <w:highlight w:val="none"/>
              </w:rPr>
              <w:t>级投标人、不承诺使用的</w:t>
            </w:r>
            <w:r>
              <w:rPr>
                <w:color w:val="auto"/>
                <w:spacing w:val="-43"/>
                <w:highlight w:val="none"/>
              </w:rPr>
              <w:t xml:space="preserve"> </w:t>
            </w:r>
            <w:r>
              <w:rPr>
                <w:color w:val="auto"/>
                <w:spacing w:val="9"/>
                <w:highlight w:val="none"/>
              </w:rPr>
              <w:t>A</w:t>
            </w:r>
            <w:r>
              <w:rPr>
                <w:color w:val="auto"/>
                <w:spacing w:val="-35"/>
                <w:highlight w:val="none"/>
              </w:rPr>
              <w:t xml:space="preserve"> </w:t>
            </w:r>
            <w:r>
              <w:rPr>
                <w:color w:val="auto"/>
                <w:spacing w:val="9"/>
                <w:highlight w:val="none"/>
              </w:rPr>
              <w:t>级投标人、</w:t>
            </w:r>
            <w:r>
              <w:rPr>
                <w:color w:val="auto"/>
                <w:spacing w:val="8"/>
                <w:highlight w:val="none"/>
              </w:rPr>
              <w:t>B</w:t>
            </w:r>
            <w:r>
              <w:rPr>
                <w:color w:val="auto"/>
                <w:spacing w:val="-35"/>
                <w:highlight w:val="none"/>
              </w:rPr>
              <w:t xml:space="preserve"> </w:t>
            </w:r>
            <w:r>
              <w:rPr>
                <w:color w:val="auto"/>
                <w:spacing w:val="8"/>
                <w:highlight w:val="none"/>
              </w:rPr>
              <w:t>级投标人、未参评</w:t>
            </w:r>
            <w:r>
              <w:rPr>
                <w:color w:val="auto"/>
                <w:spacing w:val="6"/>
                <w:highlight w:val="none"/>
              </w:rPr>
              <w:t>且被确定为</w:t>
            </w:r>
            <w:r>
              <w:rPr>
                <w:color w:val="auto"/>
                <w:spacing w:val="-43"/>
                <w:highlight w:val="none"/>
              </w:rPr>
              <w:t xml:space="preserve"> </w:t>
            </w:r>
            <w:r>
              <w:rPr>
                <w:color w:val="auto"/>
                <w:spacing w:val="6"/>
                <w:highlight w:val="none"/>
              </w:rPr>
              <w:t>B</w:t>
            </w:r>
            <w:r>
              <w:rPr>
                <w:color w:val="auto"/>
                <w:spacing w:val="-35"/>
                <w:highlight w:val="none"/>
              </w:rPr>
              <w:t xml:space="preserve"> </w:t>
            </w:r>
            <w:r>
              <w:rPr>
                <w:color w:val="auto"/>
                <w:spacing w:val="6"/>
                <w:highlight w:val="none"/>
              </w:rPr>
              <w:t>级投标人</w:t>
            </w:r>
            <w:r>
              <w:rPr>
                <w:color w:val="auto"/>
                <w:spacing w:val="3"/>
                <w:highlight w:val="none"/>
              </w:rPr>
              <w:t>）；</w:t>
            </w:r>
          </w:p>
          <w:p w14:paraId="1EA8984A">
            <w:pPr>
              <w:pStyle w:val="20"/>
              <w:spacing w:line="227" w:lineRule="auto"/>
              <w:ind w:left="411"/>
              <w:rPr>
                <w:color w:val="auto"/>
                <w:highlight w:val="none"/>
              </w:rPr>
            </w:pPr>
            <w:r>
              <w:rPr>
                <w:color w:val="auto"/>
                <w:spacing w:val="8"/>
                <w:highlight w:val="none"/>
              </w:rPr>
              <w:t>（3）商务和技术得分较高的投标人优先；</w:t>
            </w:r>
          </w:p>
          <w:p w14:paraId="7E3F99F8">
            <w:pPr>
              <w:pStyle w:val="20"/>
              <w:spacing w:before="161" w:line="227" w:lineRule="auto"/>
              <w:ind w:left="411"/>
              <w:rPr>
                <w:color w:val="auto"/>
                <w:highlight w:val="none"/>
              </w:rPr>
            </w:pPr>
            <w:r>
              <w:rPr>
                <w:color w:val="auto"/>
                <w:spacing w:val="8"/>
                <w:highlight w:val="none"/>
              </w:rPr>
              <w:t>（4）评标委员会视投标人情况综合比较，投票确定其名次。</w:t>
            </w:r>
          </w:p>
        </w:tc>
      </w:tr>
      <w:tr w14:paraId="4C122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9" w:hRule="atLeast"/>
        </w:trPr>
        <w:tc>
          <w:tcPr>
            <w:tcW w:w="1034" w:type="dxa"/>
            <w:vAlign w:val="top"/>
          </w:tcPr>
          <w:p w14:paraId="75749F0B">
            <w:pPr>
              <w:spacing w:line="251" w:lineRule="auto"/>
              <w:rPr>
                <w:rFonts w:ascii="Arial"/>
                <w:color w:val="auto"/>
                <w:sz w:val="21"/>
                <w:highlight w:val="none"/>
              </w:rPr>
            </w:pPr>
          </w:p>
          <w:p w14:paraId="0226E2D6">
            <w:pPr>
              <w:spacing w:line="251" w:lineRule="auto"/>
              <w:rPr>
                <w:rFonts w:ascii="Arial"/>
                <w:color w:val="auto"/>
                <w:sz w:val="21"/>
                <w:highlight w:val="none"/>
              </w:rPr>
            </w:pPr>
          </w:p>
          <w:p w14:paraId="72EA68C2">
            <w:pPr>
              <w:spacing w:line="251" w:lineRule="auto"/>
              <w:rPr>
                <w:rFonts w:ascii="Arial"/>
                <w:color w:val="auto"/>
                <w:sz w:val="21"/>
                <w:highlight w:val="none"/>
              </w:rPr>
            </w:pPr>
          </w:p>
          <w:p w14:paraId="20FB49B3">
            <w:pPr>
              <w:spacing w:line="251" w:lineRule="auto"/>
              <w:rPr>
                <w:rFonts w:ascii="Arial"/>
                <w:color w:val="auto"/>
                <w:sz w:val="21"/>
                <w:highlight w:val="none"/>
              </w:rPr>
            </w:pPr>
          </w:p>
          <w:p w14:paraId="4E1B8B1A">
            <w:pPr>
              <w:spacing w:line="251" w:lineRule="auto"/>
              <w:rPr>
                <w:rFonts w:ascii="Arial"/>
                <w:color w:val="auto"/>
                <w:sz w:val="21"/>
                <w:highlight w:val="none"/>
              </w:rPr>
            </w:pPr>
          </w:p>
          <w:p w14:paraId="5E4A3D73">
            <w:pPr>
              <w:spacing w:line="251" w:lineRule="auto"/>
              <w:rPr>
                <w:rFonts w:ascii="Arial"/>
                <w:color w:val="auto"/>
                <w:sz w:val="21"/>
                <w:highlight w:val="none"/>
              </w:rPr>
            </w:pPr>
          </w:p>
          <w:p w14:paraId="79818C49">
            <w:pPr>
              <w:spacing w:line="251" w:lineRule="auto"/>
              <w:rPr>
                <w:rFonts w:ascii="Arial"/>
                <w:color w:val="auto"/>
                <w:sz w:val="21"/>
                <w:highlight w:val="none"/>
              </w:rPr>
            </w:pPr>
          </w:p>
          <w:p w14:paraId="2444665B">
            <w:pPr>
              <w:spacing w:line="251" w:lineRule="auto"/>
              <w:rPr>
                <w:rFonts w:ascii="Arial"/>
                <w:color w:val="auto"/>
                <w:sz w:val="21"/>
                <w:highlight w:val="none"/>
              </w:rPr>
            </w:pPr>
          </w:p>
          <w:p w14:paraId="38E53A27">
            <w:pPr>
              <w:spacing w:line="251" w:lineRule="auto"/>
              <w:rPr>
                <w:rFonts w:ascii="Arial"/>
                <w:color w:val="auto"/>
                <w:sz w:val="21"/>
                <w:highlight w:val="none"/>
              </w:rPr>
            </w:pPr>
          </w:p>
          <w:p w14:paraId="24EE415E">
            <w:pPr>
              <w:spacing w:line="251" w:lineRule="auto"/>
              <w:rPr>
                <w:rFonts w:ascii="Arial"/>
                <w:color w:val="auto"/>
                <w:sz w:val="21"/>
                <w:highlight w:val="none"/>
              </w:rPr>
            </w:pPr>
          </w:p>
          <w:p w14:paraId="0BA66CDB">
            <w:pPr>
              <w:spacing w:line="251" w:lineRule="auto"/>
              <w:rPr>
                <w:rFonts w:ascii="Arial"/>
                <w:color w:val="auto"/>
                <w:sz w:val="21"/>
                <w:highlight w:val="none"/>
              </w:rPr>
            </w:pPr>
          </w:p>
          <w:p w14:paraId="24C53F89">
            <w:pPr>
              <w:spacing w:line="251" w:lineRule="auto"/>
              <w:rPr>
                <w:rFonts w:ascii="Arial"/>
                <w:color w:val="auto"/>
                <w:sz w:val="21"/>
                <w:highlight w:val="none"/>
              </w:rPr>
            </w:pPr>
          </w:p>
          <w:p w14:paraId="5FD18269">
            <w:pPr>
              <w:pStyle w:val="20"/>
              <w:spacing w:before="65" w:line="268" w:lineRule="exact"/>
              <w:ind w:left="261"/>
              <w:rPr>
                <w:color w:val="auto"/>
                <w:highlight w:val="none"/>
              </w:rPr>
            </w:pPr>
            <w:r>
              <w:rPr>
                <w:color w:val="auto"/>
                <w:spacing w:val="2"/>
                <w:position w:val="1"/>
                <w:highlight w:val="none"/>
              </w:rPr>
              <w:t>2.1.1</w:t>
            </w:r>
          </w:p>
          <w:p w14:paraId="644AFADF">
            <w:pPr>
              <w:pStyle w:val="20"/>
              <w:spacing w:before="140" w:line="267" w:lineRule="exact"/>
              <w:ind w:left="261"/>
              <w:rPr>
                <w:color w:val="auto"/>
                <w:highlight w:val="none"/>
              </w:rPr>
            </w:pPr>
            <w:r>
              <w:rPr>
                <w:color w:val="auto"/>
                <w:spacing w:val="2"/>
                <w:position w:val="1"/>
                <w:highlight w:val="none"/>
              </w:rPr>
              <w:t>2.1.3</w:t>
            </w:r>
          </w:p>
        </w:tc>
        <w:tc>
          <w:tcPr>
            <w:tcW w:w="1336" w:type="dxa"/>
            <w:vAlign w:val="top"/>
          </w:tcPr>
          <w:p w14:paraId="31A32AD8">
            <w:pPr>
              <w:spacing w:line="255" w:lineRule="auto"/>
              <w:rPr>
                <w:rFonts w:ascii="Arial"/>
                <w:color w:val="auto"/>
                <w:sz w:val="21"/>
                <w:highlight w:val="none"/>
              </w:rPr>
            </w:pPr>
          </w:p>
          <w:p w14:paraId="547C1E05">
            <w:pPr>
              <w:spacing w:line="255" w:lineRule="auto"/>
              <w:rPr>
                <w:rFonts w:ascii="Arial"/>
                <w:color w:val="auto"/>
                <w:sz w:val="21"/>
                <w:highlight w:val="none"/>
              </w:rPr>
            </w:pPr>
          </w:p>
          <w:p w14:paraId="03130781">
            <w:pPr>
              <w:spacing w:line="255" w:lineRule="auto"/>
              <w:rPr>
                <w:rFonts w:ascii="Arial"/>
                <w:color w:val="auto"/>
                <w:sz w:val="21"/>
                <w:highlight w:val="none"/>
              </w:rPr>
            </w:pPr>
          </w:p>
          <w:p w14:paraId="6C54E304">
            <w:pPr>
              <w:spacing w:line="255" w:lineRule="auto"/>
              <w:rPr>
                <w:rFonts w:ascii="Arial"/>
                <w:color w:val="auto"/>
                <w:sz w:val="21"/>
                <w:highlight w:val="none"/>
              </w:rPr>
            </w:pPr>
          </w:p>
          <w:p w14:paraId="2152CF00">
            <w:pPr>
              <w:spacing w:line="255" w:lineRule="auto"/>
              <w:rPr>
                <w:rFonts w:ascii="Arial"/>
                <w:color w:val="auto"/>
                <w:sz w:val="21"/>
                <w:highlight w:val="none"/>
              </w:rPr>
            </w:pPr>
          </w:p>
          <w:p w14:paraId="2F91742E">
            <w:pPr>
              <w:spacing w:line="255" w:lineRule="auto"/>
              <w:rPr>
                <w:rFonts w:ascii="Arial"/>
                <w:color w:val="auto"/>
                <w:sz w:val="21"/>
                <w:highlight w:val="none"/>
              </w:rPr>
            </w:pPr>
          </w:p>
          <w:p w14:paraId="3BC3CD5D">
            <w:pPr>
              <w:spacing w:line="256" w:lineRule="auto"/>
              <w:rPr>
                <w:rFonts w:ascii="Arial"/>
                <w:color w:val="auto"/>
                <w:sz w:val="21"/>
                <w:highlight w:val="none"/>
              </w:rPr>
            </w:pPr>
          </w:p>
          <w:p w14:paraId="41B96802">
            <w:pPr>
              <w:spacing w:line="256" w:lineRule="auto"/>
              <w:rPr>
                <w:rFonts w:ascii="Arial"/>
                <w:color w:val="auto"/>
                <w:sz w:val="21"/>
                <w:highlight w:val="none"/>
              </w:rPr>
            </w:pPr>
          </w:p>
          <w:p w14:paraId="4CA47538">
            <w:pPr>
              <w:spacing w:line="256" w:lineRule="auto"/>
              <w:rPr>
                <w:rFonts w:ascii="Arial"/>
                <w:color w:val="auto"/>
                <w:sz w:val="21"/>
                <w:highlight w:val="none"/>
              </w:rPr>
            </w:pPr>
          </w:p>
          <w:p w14:paraId="62AFAFF6">
            <w:pPr>
              <w:spacing w:line="256" w:lineRule="auto"/>
              <w:rPr>
                <w:rFonts w:ascii="Arial"/>
                <w:color w:val="auto"/>
                <w:sz w:val="21"/>
                <w:highlight w:val="none"/>
              </w:rPr>
            </w:pPr>
          </w:p>
          <w:p w14:paraId="58962282">
            <w:pPr>
              <w:spacing w:line="256" w:lineRule="auto"/>
              <w:rPr>
                <w:rFonts w:ascii="Arial"/>
                <w:color w:val="auto"/>
                <w:sz w:val="21"/>
                <w:highlight w:val="none"/>
              </w:rPr>
            </w:pPr>
          </w:p>
          <w:p w14:paraId="3425F898">
            <w:pPr>
              <w:pStyle w:val="20"/>
              <w:spacing w:before="65" w:line="228" w:lineRule="auto"/>
              <w:ind w:left="149"/>
              <w:rPr>
                <w:color w:val="auto"/>
                <w:highlight w:val="none"/>
              </w:rPr>
            </w:pPr>
            <w:r>
              <w:rPr>
                <w:color w:val="auto"/>
                <w:spacing w:val="7"/>
                <w:highlight w:val="none"/>
              </w:rPr>
              <w:t>形式评审与</w:t>
            </w:r>
          </w:p>
          <w:p w14:paraId="643BDD70">
            <w:pPr>
              <w:pStyle w:val="20"/>
              <w:spacing w:before="161" w:line="373" w:lineRule="auto"/>
              <w:ind w:left="411" w:right="143" w:hanging="254"/>
              <w:rPr>
                <w:color w:val="auto"/>
                <w:sz w:val="10"/>
                <w:szCs w:val="10"/>
                <w:highlight w:val="none"/>
              </w:rPr>
            </w:pPr>
            <w:r>
              <w:rPr>
                <w:color w:val="auto"/>
                <w:spacing w:val="6"/>
                <w:highlight w:val="none"/>
              </w:rPr>
              <w:t>响应性评审</w:t>
            </w:r>
            <w:r>
              <w:rPr>
                <w:color w:val="auto"/>
                <w:spacing w:val="5"/>
                <w:position w:val="-1"/>
                <w:highlight w:val="none"/>
              </w:rPr>
              <w:t>标准</w:t>
            </w:r>
            <w:r>
              <w:rPr>
                <w:color w:val="auto"/>
                <w:highlight w:val="none"/>
              </w:rPr>
              <w:fldChar w:fldCharType="begin"/>
            </w:r>
            <w:r>
              <w:rPr>
                <w:color w:val="auto"/>
                <w:highlight w:val="none"/>
              </w:rPr>
              <w:instrText xml:space="preserve"> HYPERLINK \l "bookmark129" </w:instrText>
            </w:r>
            <w:r>
              <w:rPr>
                <w:color w:val="auto"/>
                <w:highlight w:val="none"/>
              </w:rPr>
              <w:fldChar w:fldCharType="separate"/>
            </w:r>
            <w:r>
              <w:rPr>
                <w:color w:val="auto"/>
                <w:spacing w:val="5"/>
                <w:position w:val="9"/>
                <w:sz w:val="10"/>
                <w:szCs w:val="10"/>
                <w:highlight w:val="none"/>
              </w:rPr>
              <w:t>②</w:t>
            </w:r>
            <w:r>
              <w:rPr>
                <w:color w:val="auto"/>
                <w:spacing w:val="5"/>
                <w:position w:val="9"/>
                <w:sz w:val="10"/>
                <w:szCs w:val="10"/>
                <w:highlight w:val="none"/>
              </w:rPr>
              <w:fldChar w:fldCharType="end"/>
            </w:r>
          </w:p>
        </w:tc>
        <w:tc>
          <w:tcPr>
            <w:tcW w:w="6916" w:type="dxa"/>
            <w:vAlign w:val="top"/>
          </w:tcPr>
          <w:p w14:paraId="47103FB7">
            <w:pPr>
              <w:pStyle w:val="20"/>
              <w:spacing w:before="33" w:line="228" w:lineRule="auto"/>
              <w:ind w:left="533"/>
              <w:rPr>
                <w:color w:val="auto"/>
                <w:highlight w:val="none"/>
              </w:rPr>
            </w:pPr>
            <w:r>
              <w:rPr>
                <w:b/>
                <w:bCs/>
                <w:color w:val="auto"/>
                <w:spacing w:val="7"/>
                <w:highlight w:val="none"/>
              </w:rPr>
              <w:t>第一个信封（商务及技术文件）评审标准：</w:t>
            </w:r>
          </w:p>
          <w:p w14:paraId="39867904">
            <w:pPr>
              <w:pStyle w:val="20"/>
              <w:spacing w:before="160" w:line="377" w:lineRule="auto"/>
              <w:ind w:left="114" w:right="106" w:firstLine="429"/>
              <w:rPr>
                <w:color w:val="auto"/>
                <w:highlight w:val="none"/>
              </w:rPr>
            </w:pPr>
            <w:r>
              <w:rPr>
                <w:color w:val="auto"/>
                <w:spacing w:val="16"/>
                <w:highlight w:val="none"/>
              </w:rPr>
              <w:t>（1）</w:t>
            </w:r>
            <w:r>
              <w:rPr>
                <w:color w:val="auto"/>
                <w:spacing w:val="-56"/>
                <w:highlight w:val="none"/>
              </w:rPr>
              <w:t xml:space="preserve"> </w:t>
            </w:r>
            <w:r>
              <w:rPr>
                <w:color w:val="auto"/>
                <w:spacing w:val="16"/>
                <w:highlight w:val="none"/>
              </w:rPr>
              <w:t>投标文件按照招标文件规定的格式、</w:t>
            </w:r>
            <w:r>
              <w:rPr>
                <w:color w:val="auto"/>
                <w:spacing w:val="-49"/>
                <w:highlight w:val="none"/>
              </w:rPr>
              <w:t xml:space="preserve"> </w:t>
            </w:r>
            <w:r>
              <w:rPr>
                <w:color w:val="auto"/>
                <w:spacing w:val="16"/>
                <w:highlight w:val="none"/>
              </w:rPr>
              <w:t>内容填写，字迹清晰可</w:t>
            </w:r>
            <w:r>
              <w:rPr>
                <w:color w:val="auto"/>
                <w:highlight w:val="none"/>
              </w:rPr>
              <w:t>辨：</w:t>
            </w:r>
          </w:p>
          <w:p w14:paraId="66C0F94A">
            <w:pPr>
              <w:pStyle w:val="20"/>
              <w:spacing w:before="1" w:line="377" w:lineRule="auto"/>
              <w:ind w:left="113" w:right="106" w:firstLine="420"/>
              <w:rPr>
                <w:color w:val="auto"/>
                <w:highlight w:val="none"/>
              </w:rPr>
            </w:pPr>
            <w:r>
              <w:rPr>
                <w:color w:val="auto"/>
                <w:spacing w:val="14"/>
                <w:highlight w:val="none"/>
              </w:rPr>
              <w:t>a.投标函按招标文件规定填报了项目名称、标段号（如有）</w:t>
            </w:r>
            <w:r>
              <w:rPr>
                <w:color w:val="auto"/>
                <w:spacing w:val="-52"/>
                <w:highlight w:val="none"/>
              </w:rPr>
              <w:t xml:space="preserve"> </w:t>
            </w:r>
            <w:r>
              <w:rPr>
                <w:color w:val="auto"/>
                <w:spacing w:val="14"/>
                <w:highlight w:val="none"/>
              </w:rPr>
              <w:t>、监理</w:t>
            </w:r>
            <w:r>
              <w:rPr>
                <w:color w:val="auto"/>
                <w:spacing w:val="8"/>
                <w:highlight w:val="none"/>
              </w:rPr>
              <w:t>服务期限、工程质量要求及安全目标；</w:t>
            </w:r>
          </w:p>
          <w:p w14:paraId="7407434D">
            <w:pPr>
              <w:pStyle w:val="20"/>
              <w:spacing w:line="227" w:lineRule="auto"/>
              <w:ind w:left="530"/>
              <w:rPr>
                <w:color w:val="auto"/>
                <w:highlight w:val="none"/>
              </w:rPr>
            </w:pPr>
            <w:r>
              <w:rPr>
                <w:color w:val="auto"/>
                <w:spacing w:val="8"/>
                <w:highlight w:val="none"/>
              </w:rPr>
              <w:t>b.投标文件组成齐全完整，内容均按规定填写。</w:t>
            </w:r>
          </w:p>
          <w:p w14:paraId="6563125C">
            <w:pPr>
              <w:pStyle w:val="20"/>
              <w:spacing w:before="161" w:line="377" w:lineRule="auto"/>
              <w:ind w:left="121" w:right="109" w:firstLine="422"/>
              <w:rPr>
                <w:color w:val="auto"/>
                <w:highlight w:val="none"/>
              </w:rPr>
            </w:pPr>
            <w:r>
              <w:rPr>
                <w:color w:val="auto"/>
                <w:spacing w:val="12"/>
                <w:highlight w:val="none"/>
              </w:rPr>
              <w:t>（2）投标文件上法定代表人或其委托代理人的签字、投标</w:t>
            </w:r>
            <w:r>
              <w:rPr>
                <w:color w:val="auto"/>
                <w:spacing w:val="11"/>
                <w:highlight w:val="none"/>
              </w:rPr>
              <w:t>人的单位</w:t>
            </w:r>
            <w:r>
              <w:rPr>
                <w:color w:val="auto"/>
                <w:spacing w:val="8"/>
                <w:highlight w:val="none"/>
              </w:rPr>
              <w:t>章盖章齐全，符合招标文件规定。</w:t>
            </w:r>
          </w:p>
          <w:p w14:paraId="7024FFE5">
            <w:pPr>
              <w:pStyle w:val="20"/>
              <w:spacing w:before="1" w:line="226" w:lineRule="auto"/>
              <w:ind w:left="543"/>
              <w:rPr>
                <w:color w:val="auto"/>
                <w:highlight w:val="none"/>
              </w:rPr>
            </w:pPr>
            <w:r>
              <w:rPr>
                <w:color w:val="auto"/>
                <w:spacing w:val="8"/>
                <w:highlight w:val="none"/>
              </w:rPr>
              <w:t>（3） 投标人按照招标文件的规定提供了投标保证金：</w:t>
            </w:r>
          </w:p>
          <w:p w14:paraId="1E08E85D">
            <w:pPr>
              <w:pStyle w:val="20"/>
              <w:spacing w:before="161" w:line="378" w:lineRule="auto"/>
              <w:ind w:left="117" w:right="109" w:firstLine="417"/>
              <w:rPr>
                <w:color w:val="auto"/>
                <w:highlight w:val="none"/>
              </w:rPr>
            </w:pPr>
            <w:r>
              <w:rPr>
                <w:color w:val="auto"/>
                <w:spacing w:val="15"/>
                <w:highlight w:val="none"/>
              </w:rPr>
              <w:t>a.投标保证金金额符合招标文件规定的金额，且投标保证金有效期</w:t>
            </w:r>
            <w:r>
              <w:rPr>
                <w:color w:val="auto"/>
                <w:spacing w:val="7"/>
                <w:highlight w:val="none"/>
              </w:rPr>
              <w:t>不少于投标有效期；</w:t>
            </w:r>
          </w:p>
          <w:p w14:paraId="0B1EB16E">
            <w:pPr>
              <w:pStyle w:val="20"/>
              <w:spacing w:before="1" w:line="377" w:lineRule="auto"/>
              <w:ind w:left="114" w:right="106" w:firstLine="415"/>
              <w:rPr>
                <w:color w:val="auto"/>
                <w:highlight w:val="none"/>
              </w:rPr>
            </w:pPr>
            <w:r>
              <w:rPr>
                <w:color w:val="auto"/>
                <w:spacing w:val="16"/>
                <w:highlight w:val="none"/>
              </w:rPr>
              <w:t>b.若投标保证金采用现金或支票形式提交，</w:t>
            </w:r>
            <w:r>
              <w:rPr>
                <w:color w:val="auto"/>
                <w:spacing w:val="15"/>
                <w:highlight w:val="none"/>
              </w:rPr>
              <w:t>投标人应在招标文件规</w:t>
            </w:r>
            <w:r>
              <w:rPr>
                <w:color w:val="auto"/>
                <w:spacing w:val="16"/>
                <w:highlight w:val="none"/>
              </w:rPr>
              <w:t>定的投标保证金递交截止时间之前，将投标保证金由</w:t>
            </w:r>
            <w:r>
              <w:rPr>
                <w:color w:val="auto"/>
                <w:spacing w:val="15"/>
                <w:highlight w:val="none"/>
              </w:rPr>
              <w:t>投标人的基本账户</w:t>
            </w:r>
            <w:r>
              <w:rPr>
                <w:color w:val="auto"/>
                <w:spacing w:val="7"/>
                <w:highlight w:val="none"/>
              </w:rPr>
              <w:t>转入招标人指定账户；</w:t>
            </w:r>
          </w:p>
          <w:p w14:paraId="31FB4FE2">
            <w:pPr>
              <w:pStyle w:val="20"/>
              <w:spacing w:before="2" w:line="376" w:lineRule="auto"/>
              <w:ind w:left="114" w:right="106" w:firstLine="423"/>
              <w:rPr>
                <w:color w:val="auto"/>
                <w:highlight w:val="none"/>
              </w:rPr>
            </w:pPr>
            <w:r>
              <w:rPr>
                <w:color w:val="auto"/>
                <w:spacing w:val="13"/>
                <w:highlight w:val="none"/>
              </w:rPr>
              <w:t>c.若投标保证金采用银行保函或投标人须知前附表</w:t>
            </w:r>
            <w:r>
              <w:rPr>
                <w:color w:val="auto"/>
                <w:spacing w:val="-24"/>
                <w:highlight w:val="none"/>
              </w:rPr>
              <w:t xml:space="preserve"> </w:t>
            </w:r>
            <w:r>
              <w:rPr>
                <w:color w:val="auto"/>
                <w:spacing w:val="13"/>
                <w:highlight w:val="none"/>
              </w:rPr>
              <w:t>3.4.1</w:t>
            </w:r>
            <w:r>
              <w:rPr>
                <w:color w:val="auto"/>
                <w:spacing w:val="-27"/>
                <w:highlight w:val="none"/>
              </w:rPr>
              <w:t xml:space="preserve"> </w:t>
            </w:r>
            <w:r>
              <w:rPr>
                <w:color w:val="auto"/>
                <w:spacing w:val="13"/>
                <w:highlight w:val="none"/>
              </w:rPr>
              <w:t>项规定的</w:t>
            </w:r>
            <w:r>
              <w:rPr>
                <w:color w:val="auto"/>
                <w:spacing w:val="8"/>
                <w:highlight w:val="none"/>
              </w:rPr>
              <w:t>其他形式提交，应满足招标文件要求。</w:t>
            </w:r>
          </w:p>
          <w:p w14:paraId="2DBE71B2">
            <w:pPr>
              <w:pStyle w:val="20"/>
              <w:spacing w:line="227" w:lineRule="auto"/>
              <w:ind w:left="543"/>
              <w:rPr>
                <w:color w:val="auto"/>
                <w:highlight w:val="none"/>
              </w:rPr>
            </w:pPr>
            <w:r>
              <w:rPr>
                <w:color w:val="auto"/>
                <w:spacing w:val="12"/>
                <w:highlight w:val="none"/>
              </w:rPr>
              <w:t>（4）投标人法定代表人授权委托代理人签署投标文件的，</w:t>
            </w:r>
            <w:r>
              <w:rPr>
                <w:color w:val="auto"/>
                <w:spacing w:val="11"/>
                <w:highlight w:val="none"/>
              </w:rPr>
              <w:t>须提交授</w:t>
            </w:r>
          </w:p>
        </w:tc>
      </w:tr>
    </w:tbl>
    <w:p w14:paraId="7B0BC2AC">
      <w:pPr>
        <w:spacing w:line="404" w:lineRule="auto"/>
        <w:rPr>
          <w:rFonts w:ascii="Arial"/>
          <w:color w:val="auto"/>
          <w:sz w:val="21"/>
          <w:highlight w:val="none"/>
        </w:rPr>
      </w:pPr>
      <w:r>
        <w:rPr>
          <w:color w:val="auto"/>
          <w:highlight w:val="none"/>
        </w:rPr>
        <w:pict>
          <v:shape id="_x0000_s1073" o:spid="_x0000_s1073" style="position:absolute;left:0pt;margin-left:5.6pt;margin-top:15.85pt;height:0pt;width:144pt;z-index:251661312;mso-width-relative:page;mso-height-relative:page;" filled="f" stroked="t" coordsize="2880,0" path="m0,0l2880,0e">
            <v:fill on="f" focussize="0,0"/>
            <v:stroke weight="0pt" color="#000000" miterlimit="0" joinstyle="bevel" endcap="square"/>
            <v:imagedata o:title=""/>
            <o:lock v:ext="edit"/>
          </v:shape>
        </w:pict>
      </w:r>
    </w:p>
    <w:p w14:paraId="6F7BDBE6">
      <w:pPr>
        <w:spacing w:before="58"/>
        <w:ind w:left="120" w:right="313" w:hanging="2"/>
        <w:rPr>
          <w:rFonts w:ascii="宋体" w:hAnsi="宋体" w:eastAsia="宋体" w:cs="宋体"/>
          <w:color w:val="auto"/>
          <w:sz w:val="18"/>
          <w:szCs w:val="18"/>
          <w:highlight w:val="none"/>
        </w:rPr>
      </w:pPr>
      <w:bookmarkStart w:id="47" w:name="bookmark128"/>
      <w:bookmarkEnd w:id="47"/>
      <w:r>
        <w:rPr>
          <w:rFonts w:ascii="宋体" w:hAnsi="宋体" w:eastAsia="宋体" w:cs="宋体"/>
          <w:color w:val="auto"/>
          <w:spacing w:val="-1"/>
          <w:sz w:val="18"/>
          <w:szCs w:val="18"/>
          <w:highlight w:val="none"/>
        </w:rPr>
        <w:t>① “评标办法前附表</w:t>
      </w:r>
      <w:r>
        <w:rPr>
          <w:rFonts w:ascii="宋体" w:hAnsi="宋体" w:eastAsia="宋体" w:cs="宋体"/>
          <w:color w:val="auto"/>
          <w:spacing w:val="-66"/>
          <w:sz w:val="18"/>
          <w:szCs w:val="18"/>
          <w:highlight w:val="none"/>
        </w:rPr>
        <w:t xml:space="preserve"> </w:t>
      </w:r>
      <w:r>
        <w:rPr>
          <w:rFonts w:ascii="宋体" w:hAnsi="宋体" w:eastAsia="宋体" w:cs="宋体"/>
          <w:color w:val="auto"/>
          <w:spacing w:val="-1"/>
          <w:sz w:val="18"/>
          <w:szCs w:val="18"/>
          <w:highlight w:val="none"/>
        </w:rPr>
        <w:t>”用于明确评标的方法、因素、</w:t>
      </w:r>
      <w:r>
        <w:rPr>
          <w:rFonts w:ascii="宋体" w:hAnsi="宋体" w:eastAsia="宋体" w:cs="宋体"/>
          <w:color w:val="auto"/>
          <w:spacing w:val="-2"/>
          <w:sz w:val="18"/>
          <w:szCs w:val="18"/>
          <w:highlight w:val="none"/>
        </w:rPr>
        <w:t>标准和程序。招标人应根据招标项目具体特点和实际需要，</w:t>
      </w:r>
      <w:bookmarkStart w:id="48" w:name="bookmark129"/>
      <w:bookmarkEnd w:id="48"/>
      <w:r>
        <w:rPr>
          <w:rFonts w:ascii="宋体" w:hAnsi="宋体" w:eastAsia="宋体" w:cs="宋体"/>
          <w:color w:val="auto"/>
          <w:sz w:val="18"/>
          <w:szCs w:val="18"/>
          <w:highlight w:val="none"/>
        </w:rPr>
        <w:t>详细列明全部评审因素、标准，没有列明的因素和标</w:t>
      </w:r>
      <w:r>
        <w:rPr>
          <w:rFonts w:ascii="宋体" w:hAnsi="宋体" w:eastAsia="宋体" w:cs="宋体"/>
          <w:color w:val="auto"/>
          <w:spacing w:val="-1"/>
          <w:sz w:val="18"/>
          <w:szCs w:val="18"/>
          <w:highlight w:val="none"/>
        </w:rPr>
        <w:t>准不得作为评标的依据。</w:t>
      </w:r>
    </w:p>
    <w:p w14:paraId="5299E11B">
      <w:pPr>
        <w:spacing w:before="1"/>
        <w:ind w:left="120" w:right="223" w:hanging="3"/>
        <w:rPr>
          <w:rFonts w:ascii="宋体" w:hAnsi="宋体" w:eastAsia="宋体" w:cs="宋体"/>
          <w:color w:val="auto"/>
          <w:sz w:val="18"/>
          <w:szCs w:val="18"/>
          <w:highlight w:val="none"/>
        </w:rPr>
      </w:pPr>
      <w:bookmarkStart w:id="49" w:name="bookmark130"/>
      <w:bookmarkEnd w:id="49"/>
      <w:r>
        <w:rPr>
          <w:rFonts w:ascii="宋体" w:hAnsi="宋体" w:eastAsia="宋体" w:cs="宋体"/>
          <w:color w:val="auto"/>
          <w:sz w:val="18"/>
          <w:szCs w:val="18"/>
          <w:highlight w:val="none"/>
        </w:rPr>
        <w:t>②</w:t>
      </w:r>
      <w:r>
        <w:rPr>
          <w:rFonts w:ascii="宋体" w:hAnsi="宋体" w:eastAsia="宋体" w:cs="宋体"/>
          <w:color w:val="auto"/>
          <w:spacing w:val="53"/>
          <w:sz w:val="18"/>
          <w:szCs w:val="18"/>
          <w:highlight w:val="none"/>
        </w:rPr>
        <w:t xml:space="preserve"> </w:t>
      </w:r>
      <w:r>
        <w:rPr>
          <w:rFonts w:ascii="宋体" w:hAnsi="宋体" w:eastAsia="宋体" w:cs="宋体"/>
          <w:color w:val="auto"/>
          <w:sz w:val="18"/>
          <w:szCs w:val="18"/>
          <w:highlight w:val="none"/>
        </w:rPr>
        <w:t>评标委员应严格按照招标文件规定的条款进行评审，对投标文件中非实质性错误</w:t>
      </w:r>
      <w:r>
        <w:rPr>
          <w:rFonts w:ascii="宋体" w:hAnsi="宋体" w:eastAsia="宋体" w:cs="宋体"/>
          <w:color w:val="auto"/>
          <w:spacing w:val="-1"/>
          <w:sz w:val="18"/>
          <w:szCs w:val="18"/>
          <w:highlight w:val="none"/>
        </w:rPr>
        <w:t>应谨慎区分细微偏差和重大偏差，严禁以非实质性的细微偏差否决投标文件。</w:t>
      </w:r>
    </w:p>
    <w:p w14:paraId="2B559DD9">
      <w:pPr>
        <w:rPr>
          <w:rFonts w:ascii="宋体" w:hAnsi="宋体" w:eastAsia="宋体" w:cs="宋体"/>
          <w:color w:val="auto"/>
          <w:sz w:val="18"/>
          <w:szCs w:val="18"/>
          <w:highlight w:val="none"/>
        </w:rPr>
        <w:sectPr>
          <w:footerReference r:id="rId17" w:type="default"/>
          <w:pgSz w:w="11905" w:h="16838"/>
          <w:pgMar w:top="1134" w:right="1134" w:bottom="1134" w:left="1134" w:header="0" w:footer="1066" w:gutter="0"/>
          <w:pgNumType w:fmt="decimal"/>
          <w:cols w:space="0" w:num="1"/>
          <w:rtlGutter w:val="0"/>
          <w:docGrid w:linePitch="0" w:charSpace="0"/>
        </w:sectPr>
      </w:pPr>
    </w:p>
    <w:p w14:paraId="7DC36FAD">
      <w:pPr>
        <w:spacing w:before="12"/>
        <w:rPr>
          <w:color w:val="auto"/>
          <w:highlight w:val="none"/>
        </w:rPr>
      </w:pPr>
    </w:p>
    <w:tbl>
      <w:tblPr>
        <w:tblStyle w:val="19"/>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4"/>
        <w:gridCol w:w="200"/>
        <w:gridCol w:w="203"/>
        <w:gridCol w:w="1"/>
        <w:gridCol w:w="140"/>
        <w:gridCol w:w="504"/>
        <w:gridCol w:w="488"/>
        <w:gridCol w:w="468"/>
        <w:gridCol w:w="1126"/>
        <w:gridCol w:w="4"/>
        <w:gridCol w:w="578"/>
        <w:gridCol w:w="18"/>
        <w:gridCol w:w="1181"/>
        <w:gridCol w:w="3541"/>
      </w:tblGrid>
      <w:tr w14:paraId="52BB1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370" w:type="dxa"/>
            <w:gridSpan w:val="7"/>
            <w:vAlign w:val="top"/>
          </w:tcPr>
          <w:p w14:paraId="1D1EE180">
            <w:pPr>
              <w:pStyle w:val="20"/>
              <w:spacing w:before="35" w:line="228" w:lineRule="auto"/>
              <w:ind w:left="877"/>
              <w:rPr>
                <w:color w:val="auto"/>
                <w:highlight w:val="none"/>
              </w:rPr>
            </w:pPr>
            <w:r>
              <w:rPr>
                <w:b/>
                <w:bCs/>
                <w:color w:val="auto"/>
                <w:spacing w:val="5"/>
                <w:highlight w:val="none"/>
              </w:rPr>
              <w:t>条款号</w:t>
            </w:r>
          </w:p>
        </w:tc>
        <w:tc>
          <w:tcPr>
            <w:tcW w:w="6916" w:type="dxa"/>
            <w:gridSpan w:val="7"/>
            <w:vAlign w:val="top"/>
          </w:tcPr>
          <w:p w14:paraId="38A7E5E6">
            <w:pPr>
              <w:pStyle w:val="20"/>
              <w:spacing w:before="35" w:line="228" w:lineRule="auto"/>
              <w:ind w:left="2496"/>
              <w:rPr>
                <w:color w:val="auto"/>
                <w:highlight w:val="none"/>
              </w:rPr>
            </w:pPr>
            <w:r>
              <w:rPr>
                <w:b/>
                <w:bCs/>
                <w:color w:val="auto"/>
                <w:spacing w:val="11"/>
                <w:highlight w:val="none"/>
              </w:rPr>
              <w:t>评审因素与评审标准</w:t>
            </w:r>
          </w:p>
        </w:tc>
      </w:tr>
      <w:tr w14:paraId="2299E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1034" w:type="dxa"/>
            <w:gridSpan w:val="2"/>
            <w:vAlign w:val="top"/>
          </w:tcPr>
          <w:p w14:paraId="31B10A98">
            <w:pPr>
              <w:rPr>
                <w:rFonts w:ascii="Arial"/>
                <w:color w:val="auto"/>
                <w:sz w:val="21"/>
                <w:highlight w:val="none"/>
              </w:rPr>
            </w:pPr>
          </w:p>
        </w:tc>
        <w:tc>
          <w:tcPr>
            <w:tcW w:w="1336" w:type="dxa"/>
            <w:gridSpan w:val="5"/>
            <w:vAlign w:val="top"/>
          </w:tcPr>
          <w:p w14:paraId="5C59C406">
            <w:pPr>
              <w:rPr>
                <w:rFonts w:ascii="Arial"/>
                <w:color w:val="auto"/>
                <w:sz w:val="21"/>
                <w:highlight w:val="none"/>
              </w:rPr>
            </w:pPr>
          </w:p>
        </w:tc>
        <w:tc>
          <w:tcPr>
            <w:tcW w:w="6916" w:type="dxa"/>
            <w:gridSpan w:val="7"/>
            <w:vAlign w:val="top"/>
          </w:tcPr>
          <w:p w14:paraId="50F77C8E">
            <w:pPr>
              <w:pStyle w:val="20"/>
              <w:spacing w:before="30" w:line="378" w:lineRule="auto"/>
              <w:ind w:left="112" w:right="106"/>
              <w:rPr>
                <w:color w:val="auto"/>
                <w:highlight w:val="none"/>
              </w:rPr>
            </w:pPr>
            <w:r>
              <w:rPr>
                <w:color w:val="auto"/>
                <w:spacing w:val="16"/>
                <w:highlight w:val="none"/>
              </w:rPr>
              <w:t>权委托书，且授权人和被授权人均在授权委托书上使用个</w:t>
            </w:r>
            <w:r>
              <w:rPr>
                <w:color w:val="auto"/>
                <w:spacing w:val="15"/>
                <w:highlight w:val="none"/>
              </w:rPr>
              <w:t>人电子签名章</w:t>
            </w:r>
            <w:r>
              <w:rPr>
                <w:color w:val="auto"/>
                <w:spacing w:val="8"/>
                <w:highlight w:val="none"/>
              </w:rPr>
              <w:t>进行签名或亲笔签名。</w:t>
            </w:r>
          </w:p>
          <w:p w14:paraId="23BF76CD">
            <w:pPr>
              <w:pStyle w:val="20"/>
              <w:numPr>
                <w:ilvl w:val="0"/>
                <w:numId w:val="2"/>
              </w:numPr>
              <w:spacing w:before="2" w:line="376" w:lineRule="auto"/>
              <w:ind w:left="113" w:right="106" w:firstLine="430"/>
              <w:rPr>
                <w:color w:val="auto"/>
                <w:spacing w:val="7"/>
                <w:highlight w:val="none"/>
              </w:rPr>
            </w:pPr>
            <w:r>
              <w:rPr>
                <w:color w:val="auto"/>
                <w:spacing w:val="12"/>
                <w:highlight w:val="none"/>
              </w:rPr>
              <w:t>投标人法定代表人亲自签署投标文件的，提供了法定</w:t>
            </w:r>
            <w:r>
              <w:rPr>
                <w:color w:val="auto"/>
                <w:spacing w:val="11"/>
                <w:highlight w:val="none"/>
              </w:rPr>
              <w:t>代表人身</w:t>
            </w:r>
            <w:r>
              <w:rPr>
                <w:color w:val="auto"/>
                <w:spacing w:val="16"/>
                <w:highlight w:val="none"/>
              </w:rPr>
              <w:t>份证明，且法定代表人在法定代表人身份证明上使用个</w:t>
            </w:r>
            <w:r>
              <w:rPr>
                <w:color w:val="auto"/>
                <w:spacing w:val="15"/>
                <w:highlight w:val="none"/>
              </w:rPr>
              <w:t>人电子签名章进</w:t>
            </w:r>
            <w:r>
              <w:rPr>
                <w:color w:val="auto"/>
                <w:spacing w:val="7"/>
                <w:highlight w:val="none"/>
              </w:rPr>
              <w:t>行签名或亲笔签名。</w:t>
            </w:r>
          </w:p>
          <w:p w14:paraId="61B7503A">
            <w:pPr>
              <w:pStyle w:val="20"/>
              <w:numPr>
                <w:ilvl w:val="0"/>
                <w:numId w:val="2"/>
              </w:numPr>
              <w:spacing w:before="2" w:line="376" w:lineRule="auto"/>
              <w:ind w:left="113" w:right="106" w:firstLine="430"/>
              <w:rPr>
                <w:color w:val="auto"/>
                <w:highlight w:val="none"/>
              </w:rPr>
            </w:pPr>
            <w:r>
              <w:rPr>
                <w:rFonts w:hint="eastAsia"/>
                <w:color w:val="auto"/>
                <w:spacing w:val="9"/>
                <w:highlight w:val="none"/>
                <w:lang w:val="en-US" w:eastAsia="zh-CN"/>
              </w:rPr>
              <w:t xml:space="preserve"> </w:t>
            </w:r>
            <w:r>
              <w:rPr>
                <w:color w:val="auto"/>
                <w:spacing w:val="9"/>
                <w:highlight w:val="none"/>
              </w:rPr>
              <w:t>投标人未以联合体形式投标</w:t>
            </w:r>
            <w:r>
              <w:rPr>
                <w:color w:val="auto"/>
                <w:spacing w:val="8"/>
                <w:highlight w:val="none"/>
              </w:rPr>
              <w:t>。</w:t>
            </w:r>
          </w:p>
          <w:p w14:paraId="7628FD26">
            <w:pPr>
              <w:pStyle w:val="20"/>
              <w:spacing w:before="1" w:line="376" w:lineRule="auto"/>
              <w:ind w:left="114" w:right="109" w:firstLine="429"/>
              <w:rPr>
                <w:color w:val="auto"/>
                <w:highlight w:val="none"/>
              </w:rPr>
            </w:pPr>
            <w:r>
              <w:rPr>
                <w:color w:val="auto"/>
                <w:spacing w:val="10"/>
                <w:highlight w:val="none"/>
              </w:rPr>
              <w:t>（7）</w:t>
            </w:r>
            <w:r>
              <w:rPr>
                <w:color w:val="auto"/>
                <w:spacing w:val="-44"/>
                <w:highlight w:val="none"/>
              </w:rPr>
              <w:t xml:space="preserve"> </w:t>
            </w:r>
            <w:r>
              <w:rPr>
                <w:color w:val="auto"/>
                <w:spacing w:val="10"/>
                <w:highlight w:val="none"/>
              </w:rPr>
              <w:t>同一投标人未提交两个以上不同的投标文件，但招标文件要求</w:t>
            </w:r>
            <w:r>
              <w:rPr>
                <w:color w:val="auto"/>
                <w:spacing w:val="7"/>
                <w:highlight w:val="none"/>
              </w:rPr>
              <w:t>提交备选投标的除外。</w:t>
            </w:r>
          </w:p>
          <w:p w14:paraId="5F57D9C2">
            <w:pPr>
              <w:pStyle w:val="20"/>
              <w:spacing w:line="226" w:lineRule="auto"/>
              <w:ind w:left="543"/>
              <w:rPr>
                <w:color w:val="auto"/>
                <w:highlight w:val="none"/>
              </w:rPr>
            </w:pPr>
            <w:r>
              <w:rPr>
                <w:color w:val="auto"/>
                <w:spacing w:val="8"/>
                <w:highlight w:val="none"/>
              </w:rPr>
              <w:t>（8）投标文件中未出现有关投标报价的内容。</w:t>
            </w:r>
          </w:p>
          <w:p w14:paraId="19A54B14">
            <w:pPr>
              <w:pStyle w:val="20"/>
              <w:spacing w:before="162" w:line="378" w:lineRule="auto"/>
              <w:ind w:left="128" w:right="106" w:firstLine="415"/>
              <w:rPr>
                <w:color w:val="auto"/>
                <w:highlight w:val="none"/>
              </w:rPr>
            </w:pPr>
            <w:r>
              <w:rPr>
                <w:color w:val="auto"/>
                <w:spacing w:val="18"/>
                <w:highlight w:val="none"/>
              </w:rPr>
              <w:t>（9）</w:t>
            </w:r>
            <w:r>
              <w:rPr>
                <w:color w:val="auto"/>
                <w:spacing w:val="-55"/>
                <w:highlight w:val="none"/>
              </w:rPr>
              <w:t xml:space="preserve"> </w:t>
            </w:r>
            <w:r>
              <w:rPr>
                <w:color w:val="auto"/>
                <w:spacing w:val="18"/>
                <w:highlight w:val="none"/>
              </w:rPr>
              <w:t>投标文件载明的招标项目完成期限未超过</w:t>
            </w:r>
            <w:r>
              <w:rPr>
                <w:color w:val="auto"/>
                <w:spacing w:val="17"/>
                <w:highlight w:val="none"/>
              </w:rPr>
              <w:t>招标文件规定的时</w:t>
            </w:r>
            <w:r>
              <w:rPr>
                <w:color w:val="auto"/>
                <w:spacing w:val="-7"/>
                <w:highlight w:val="none"/>
              </w:rPr>
              <w:t>限。</w:t>
            </w:r>
          </w:p>
          <w:p w14:paraId="630DF793">
            <w:pPr>
              <w:pStyle w:val="20"/>
              <w:spacing w:before="1" w:line="227" w:lineRule="auto"/>
              <w:ind w:left="543"/>
              <w:rPr>
                <w:color w:val="auto"/>
                <w:highlight w:val="none"/>
              </w:rPr>
            </w:pPr>
            <w:r>
              <w:rPr>
                <w:color w:val="auto"/>
                <w:spacing w:val="8"/>
                <w:highlight w:val="none"/>
              </w:rPr>
              <w:t>（10）投标文件对招标文件的实质性要求和条件作出响应。</w:t>
            </w:r>
          </w:p>
          <w:p w14:paraId="2CCCC979">
            <w:pPr>
              <w:pStyle w:val="20"/>
              <w:spacing w:before="161" w:line="228" w:lineRule="auto"/>
              <w:ind w:left="543"/>
              <w:rPr>
                <w:color w:val="auto"/>
                <w:highlight w:val="none"/>
              </w:rPr>
            </w:pPr>
            <w:r>
              <w:rPr>
                <w:color w:val="auto"/>
                <w:spacing w:val="7"/>
                <w:highlight w:val="none"/>
              </w:rPr>
              <w:t>（11）权利义务符合招标文件规定：</w:t>
            </w:r>
          </w:p>
          <w:p w14:paraId="272ADC9A">
            <w:pPr>
              <w:pStyle w:val="20"/>
              <w:spacing w:before="161" w:line="378" w:lineRule="auto"/>
              <w:ind w:left="116" w:right="109" w:firstLine="418"/>
              <w:rPr>
                <w:color w:val="auto"/>
                <w:highlight w:val="none"/>
              </w:rPr>
            </w:pPr>
            <w:r>
              <w:rPr>
                <w:color w:val="auto"/>
                <w:spacing w:val="15"/>
                <w:highlight w:val="none"/>
              </w:rPr>
              <w:t>a.投标人应接受招标文件规定的风险划分原则，未提出新的风险划</w:t>
            </w:r>
            <w:r>
              <w:rPr>
                <w:color w:val="auto"/>
                <w:spacing w:val="4"/>
                <w:highlight w:val="none"/>
              </w:rPr>
              <w:t>分办法；</w:t>
            </w:r>
          </w:p>
          <w:p w14:paraId="3A245891">
            <w:pPr>
              <w:pStyle w:val="20"/>
              <w:spacing w:line="227" w:lineRule="auto"/>
              <w:ind w:left="530"/>
              <w:rPr>
                <w:color w:val="auto"/>
                <w:highlight w:val="none"/>
              </w:rPr>
            </w:pPr>
            <w:r>
              <w:rPr>
                <w:color w:val="auto"/>
                <w:spacing w:val="9"/>
                <w:highlight w:val="none"/>
              </w:rPr>
              <w:t>b.投标人未增加委托人的责任范围，或减少投标人</w:t>
            </w:r>
            <w:r>
              <w:rPr>
                <w:color w:val="auto"/>
                <w:spacing w:val="8"/>
                <w:highlight w:val="none"/>
              </w:rPr>
              <w:t>义务；</w:t>
            </w:r>
          </w:p>
          <w:p w14:paraId="3BBC2CC8">
            <w:pPr>
              <w:pStyle w:val="20"/>
              <w:spacing w:before="161" w:line="228" w:lineRule="auto"/>
              <w:ind w:left="537"/>
              <w:rPr>
                <w:color w:val="auto"/>
                <w:highlight w:val="none"/>
              </w:rPr>
            </w:pPr>
            <w:r>
              <w:rPr>
                <w:color w:val="auto"/>
                <w:spacing w:val="7"/>
                <w:highlight w:val="none"/>
              </w:rPr>
              <w:t>c.投标人未提出不同的支付办法；</w:t>
            </w:r>
          </w:p>
          <w:p w14:paraId="534FD29D">
            <w:pPr>
              <w:pStyle w:val="20"/>
              <w:spacing w:before="161" w:line="228" w:lineRule="auto"/>
              <w:ind w:left="537"/>
              <w:rPr>
                <w:color w:val="auto"/>
                <w:highlight w:val="none"/>
              </w:rPr>
            </w:pPr>
            <w:r>
              <w:rPr>
                <w:color w:val="auto"/>
                <w:spacing w:val="8"/>
                <w:highlight w:val="none"/>
              </w:rPr>
              <w:t>d.投标人对合同纠纷、事故处理办法未提出异议；</w:t>
            </w:r>
          </w:p>
          <w:p w14:paraId="4143B0DA">
            <w:pPr>
              <w:pStyle w:val="20"/>
              <w:spacing w:before="161" w:line="228" w:lineRule="auto"/>
              <w:ind w:left="538"/>
              <w:rPr>
                <w:color w:val="auto"/>
                <w:highlight w:val="none"/>
              </w:rPr>
            </w:pPr>
            <w:r>
              <w:rPr>
                <w:color w:val="auto"/>
                <w:spacing w:val="7"/>
                <w:highlight w:val="none"/>
              </w:rPr>
              <w:t>e.投标人在投标活动中无欺诈行为；</w:t>
            </w:r>
          </w:p>
          <w:p w14:paraId="6202B5B8">
            <w:pPr>
              <w:pStyle w:val="20"/>
              <w:spacing w:before="161" w:line="228" w:lineRule="auto"/>
              <w:ind w:left="537"/>
              <w:rPr>
                <w:color w:val="auto"/>
                <w:highlight w:val="none"/>
              </w:rPr>
            </w:pPr>
            <w:r>
              <w:rPr>
                <w:color w:val="auto"/>
                <w:spacing w:val="7"/>
                <w:highlight w:val="none"/>
              </w:rPr>
              <w:t>f.投标人未对合同条款有重要保留。</w:t>
            </w:r>
          </w:p>
          <w:p w14:paraId="069C77DC">
            <w:pPr>
              <w:spacing w:line="251" w:lineRule="auto"/>
              <w:rPr>
                <w:rFonts w:ascii="Arial"/>
                <w:color w:val="auto"/>
                <w:sz w:val="21"/>
                <w:highlight w:val="none"/>
              </w:rPr>
            </w:pPr>
          </w:p>
          <w:p w14:paraId="3F9C3214">
            <w:pPr>
              <w:spacing w:line="252" w:lineRule="auto"/>
              <w:rPr>
                <w:rFonts w:ascii="Arial"/>
                <w:color w:val="auto"/>
                <w:sz w:val="21"/>
                <w:highlight w:val="none"/>
              </w:rPr>
            </w:pPr>
          </w:p>
          <w:p w14:paraId="18DEC63B">
            <w:pPr>
              <w:pStyle w:val="20"/>
              <w:spacing w:before="66" w:line="226" w:lineRule="auto"/>
              <w:ind w:left="533"/>
              <w:rPr>
                <w:color w:val="auto"/>
                <w:highlight w:val="none"/>
              </w:rPr>
            </w:pPr>
            <w:r>
              <w:rPr>
                <w:b/>
                <w:bCs/>
                <w:color w:val="auto"/>
                <w:spacing w:val="7"/>
                <w:highlight w:val="none"/>
              </w:rPr>
              <w:t>第二个信封（报价文件）评审标准：</w:t>
            </w:r>
          </w:p>
          <w:p w14:paraId="14C2558F">
            <w:pPr>
              <w:pStyle w:val="20"/>
              <w:spacing w:before="163" w:line="378" w:lineRule="auto"/>
              <w:ind w:left="114" w:right="106" w:firstLine="429"/>
              <w:rPr>
                <w:color w:val="auto"/>
                <w:highlight w:val="none"/>
              </w:rPr>
            </w:pPr>
            <w:r>
              <w:rPr>
                <w:color w:val="auto"/>
                <w:spacing w:val="16"/>
                <w:highlight w:val="none"/>
              </w:rPr>
              <w:t>（1）</w:t>
            </w:r>
            <w:r>
              <w:rPr>
                <w:color w:val="auto"/>
                <w:spacing w:val="-56"/>
                <w:highlight w:val="none"/>
              </w:rPr>
              <w:t xml:space="preserve"> </w:t>
            </w:r>
            <w:r>
              <w:rPr>
                <w:color w:val="auto"/>
                <w:spacing w:val="16"/>
                <w:highlight w:val="none"/>
              </w:rPr>
              <w:t>投标文件按照招标文件规定的格式、</w:t>
            </w:r>
            <w:r>
              <w:rPr>
                <w:color w:val="auto"/>
                <w:spacing w:val="-49"/>
                <w:highlight w:val="none"/>
              </w:rPr>
              <w:t xml:space="preserve"> </w:t>
            </w:r>
            <w:r>
              <w:rPr>
                <w:color w:val="auto"/>
                <w:spacing w:val="16"/>
                <w:highlight w:val="none"/>
              </w:rPr>
              <w:t>内容填写，字迹清晰可</w:t>
            </w:r>
            <w:r>
              <w:rPr>
                <w:color w:val="auto"/>
                <w:spacing w:val="2"/>
                <w:highlight w:val="none"/>
              </w:rPr>
              <w:t>辨，</w:t>
            </w:r>
            <w:r>
              <w:rPr>
                <w:color w:val="auto"/>
                <w:spacing w:val="-51"/>
                <w:highlight w:val="none"/>
              </w:rPr>
              <w:t xml:space="preserve"> </w:t>
            </w:r>
            <w:r>
              <w:rPr>
                <w:color w:val="auto"/>
                <w:spacing w:val="2"/>
                <w:highlight w:val="none"/>
              </w:rPr>
              <w:t>内容齐全完整：</w:t>
            </w:r>
          </w:p>
          <w:p w14:paraId="3386D04B">
            <w:pPr>
              <w:pStyle w:val="20"/>
              <w:spacing w:before="1" w:line="376" w:lineRule="auto"/>
              <w:ind w:left="119" w:right="106" w:firstLine="415"/>
              <w:rPr>
                <w:color w:val="auto"/>
                <w:highlight w:val="none"/>
              </w:rPr>
            </w:pPr>
            <w:r>
              <w:rPr>
                <w:color w:val="auto"/>
                <w:spacing w:val="14"/>
                <w:highlight w:val="none"/>
              </w:rPr>
              <w:t>a.投标函按招标文件规定填报了项目名称、标段号（如有）</w:t>
            </w:r>
            <w:r>
              <w:rPr>
                <w:color w:val="auto"/>
                <w:spacing w:val="-52"/>
                <w:highlight w:val="none"/>
              </w:rPr>
              <w:t xml:space="preserve"> </w:t>
            </w:r>
            <w:r>
              <w:rPr>
                <w:color w:val="auto"/>
                <w:spacing w:val="14"/>
                <w:highlight w:val="none"/>
              </w:rPr>
              <w:t>、投标</w:t>
            </w:r>
            <w:r>
              <w:rPr>
                <w:color w:val="auto"/>
                <w:spacing w:val="9"/>
                <w:highlight w:val="none"/>
              </w:rPr>
              <w:t>总报价（包括大写金额和小写金额</w:t>
            </w:r>
            <w:r>
              <w:rPr>
                <w:color w:val="auto"/>
                <w:highlight w:val="none"/>
              </w:rPr>
              <w:t>）；</w:t>
            </w:r>
          </w:p>
          <w:p w14:paraId="466AB7DC">
            <w:pPr>
              <w:pStyle w:val="20"/>
              <w:spacing w:line="378" w:lineRule="auto"/>
              <w:ind w:left="121" w:right="109" w:firstLine="409"/>
              <w:rPr>
                <w:color w:val="auto"/>
                <w:spacing w:val="4"/>
                <w:highlight w:val="none"/>
              </w:rPr>
            </w:pPr>
            <w:r>
              <w:rPr>
                <w:color w:val="auto"/>
                <w:spacing w:val="16"/>
                <w:highlight w:val="none"/>
              </w:rPr>
              <w:t>b.已标价报价清单说明文字与招标文件规定</w:t>
            </w:r>
            <w:r>
              <w:rPr>
                <w:color w:val="auto"/>
                <w:spacing w:val="15"/>
                <w:highlight w:val="none"/>
              </w:rPr>
              <w:t>一致，未进行实质性修</w:t>
            </w:r>
            <w:r>
              <w:rPr>
                <w:color w:val="auto"/>
                <w:spacing w:val="4"/>
                <w:highlight w:val="none"/>
              </w:rPr>
              <w:t>改和删减；</w:t>
            </w:r>
          </w:p>
          <w:p w14:paraId="474ACF75">
            <w:pPr>
              <w:pStyle w:val="20"/>
              <w:spacing w:line="378" w:lineRule="auto"/>
              <w:ind w:left="121" w:right="109" w:firstLine="409"/>
              <w:rPr>
                <w:color w:val="auto"/>
                <w:spacing w:val="8"/>
                <w:highlight w:val="none"/>
              </w:rPr>
            </w:pPr>
            <w:r>
              <w:rPr>
                <w:color w:val="auto"/>
                <w:spacing w:val="8"/>
                <w:highlight w:val="none"/>
              </w:rPr>
              <w:t>c.投标文件组成齐全完整，内容均按规定填写。</w:t>
            </w:r>
          </w:p>
          <w:p w14:paraId="0AA0454A">
            <w:pPr>
              <w:pStyle w:val="20"/>
              <w:spacing w:before="30" w:line="378" w:lineRule="auto"/>
              <w:ind w:left="121" w:right="109" w:firstLine="422"/>
              <w:rPr>
                <w:color w:val="auto"/>
                <w:highlight w:val="none"/>
              </w:rPr>
            </w:pPr>
            <w:r>
              <w:rPr>
                <w:color w:val="auto"/>
                <w:spacing w:val="12"/>
                <w:highlight w:val="none"/>
              </w:rPr>
              <w:t>（2）投标文件上法定代表人或其委托代理人的签字、投标</w:t>
            </w:r>
            <w:r>
              <w:rPr>
                <w:color w:val="auto"/>
                <w:spacing w:val="11"/>
                <w:highlight w:val="none"/>
              </w:rPr>
              <w:t>人的单位</w:t>
            </w:r>
            <w:r>
              <w:rPr>
                <w:color w:val="auto"/>
                <w:spacing w:val="8"/>
                <w:highlight w:val="none"/>
              </w:rPr>
              <w:t>章盖章齐全，符合招标文件规定。</w:t>
            </w:r>
          </w:p>
          <w:p w14:paraId="25922781">
            <w:pPr>
              <w:pStyle w:val="20"/>
              <w:spacing w:line="226" w:lineRule="auto"/>
              <w:ind w:left="543"/>
              <w:rPr>
                <w:color w:val="auto"/>
                <w:highlight w:val="none"/>
              </w:rPr>
            </w:pPr>
            <w:r>
              <w:rPr>
                <w:color w:val="auto"/>
                <w:spacing w:val="8"/>
                <w:highlight w:val="none"/>
              </w:rPr>
              <w:t>（3）投标报价未超过招标文件设定的最高投标限价（如有）。</w:t>
            </w:r>
          </w:p>
          <w:p w14:paraId="79C6DCC7">
            <w:pPr>
              <w:pStyle w:val="20"/>
              <w:spacing w:before="163" w:line="226" w:lineRule="auto"/>
              <w:ind w:left="543"/>
              <w:rPr>
                <w:color w:val="auto"/>
                <w:highlight w:val="none"/>
              </w:rPr>
            </w:pPr>
            <w:r>
              <w:rPr>
                <w:color w:val="auto"/>
                <w:spacing w:val="8"/>
                <w:highlight w:val="none"/>
              </w:rPr>
              <w:t>（4）投标总报价的大写金额能够确定具体数值。</w:t>
            </w:r>
          </w:p>
          <w:p w14:paraId="043557C1">
            <w:pPr>
              <w:pStyle w:val="20"/>
              <w:spacing w:line="378" w:lineRule="auto"/>
              <w:ind w:left="121" w:right="109" w:firstLine="409"/>
              <w:rPr>
                <w:color w:val="auto"/>
                <w:spacing w:val="8"/>
                <w:highlight w:val="none"/>
              </w:rPr>
            </w:pPr>
            <w:r>
              <w:rPr>
                <w:color w:val="auto"/>
                <w:spacing w:val="10"/>
                <w:highlight w:val="none"/>
              </w:rPr>
              <w:t>（5）</w:t>
            </w:r>
            <w:r>
              <w:rPr>
                <w:color w:val="auto"/>
                <w:spacing w:val="-44"/>
                <w:highlight w:val="none"/>
              </w:rPr>
              <w:t xml:space="preserve"> </w:t>
            </w:r>
            <w:r>
              <w:rPr>
                <w:color w:val="auto"/>
                <w:spacing w:val="10"/>
                <w:highlight w:val="none"/>
              </w:rPr>
              <w:t>同一投标人未提交两个以上不同的投标报价，但招标文件要求</w:t>
            </w:r>
            <w:r>
              <w:rPr>
                <w:color w:val="auto"/>
                <w:spacing w:val="7"/>
                <w:highlight w:val="none"/>
              </w:rPr>
              <w:t>提交备选投标的除外。</w:t>
            </w:r>
          </w:p>
        </w:tc>
      </w:tr>
      <w:tr w14:paraId="0EB70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9" w:hRule="atLeast"/>
        </w:trPr>
        <w:tc>
          <w:tcPr>
            <w:tcW w:w="1034" w:type="dxa"/>
            <w:gridSpan w:val="2"/>
            <w:vAlign w:val="top"/>
          </w:tcPr>
          <w:p w14:paraId="0F0D93C1">
            <w:pPr>
              <w:spacing w:line="251" w:lineRule="auto"/>
              <w:rPr>
                <w:rFonts w:ascii="Arial"/>
                <w:color w:val="auto"/>
                <w:sz w:val="21"/>
                <w:highlight w:val="none"/>
              </w:rPr>
            </w:pPr>
          </w:p>
          <w:p w14:paraId="4B9B54AC">
            <w:pPr>
              <w:spacing w:line="251" w:lineRule="auto"/>
              <w:rPr>
                <w:rFonts w:ascii="Arial"/>
                <w:color w:val="auto"/>
                <w:sz w:val="21"/>
                <w:highlight w:val="none"/>
              </w:rPr>
            </w:pPr>
          </w:p>
          <w:p w14:paraId="5EDCEC47">
            <w:pPr>
              <w:spacing w:line="251" w:lineRule="auto"/>
              <w:rPr>
                <w:rFonts w:ascii="Arial"/>
                <w:color w:val="auto"/>
                <w:sz w:val="21"/>
                <w:highlight w:val="none"/>
              </w:rPr>
            </w:pPr>
          </w:p>
          <w:p w14:paraId="2941F529">
            <w:pPr>
              <w:spacing w:line="251" w:lineRule="auto"/>
              <w:rPr>
                <w:rFonts w:ascii="Arial"/>
                <w:color w:val="auto"/>
                <w:sz w:val="21"/>
                <w:highlight w:val="none"/>
              </w:rPr>
            </w:pPr>
          </w:p>
          <w:p w14:paraId="76E35934">
            <w:pPr>
              <w:spacing w:line="251" w:lineRule="auto"/>
              <w:rPr>
                <w:rFonts w:ascii="Arial"/>
                <w:color w:val="auto"/>
                <w:sz w:val="21"/>
                <w:highlight w:val="none"/>
              </w:rPr>
            </w:pPr>
          </w:p>
          <w:p w14:paraId="4F2ACBC3">
            <w:pPr>
              <w:spacing w:line="251" w:lineRule="auto"/>
              <w:rPr>
                <w:rFonts w:ascii="Arial"/>
                <w:color w:val="auto"/>
                <w:sz w:val="21"/>
                <w:highlight w:val="none"/>
              </w:rPr>
            </w:pPr>
          </w:p>
          <w:p w14:paraId="565E491A">
            <w:pPr>
              <w:spacing w:line="251" w:lineRule="auto"/>
              <w:rPr>
                <w:rFonts w:ascii="Arial"/>
                <w:color w:val="auto"/>
                <w:sz w:val="21"/>
                <w:highlight w:val="none"/>
              </w:rPr>
            </w:pPr>
          </w:p>
          <w:p w14:paraId="59B0E61E">
            <w:pPr>
              <w:spacing w:line="251" w:lineRule="auto"/>
              <w:rPr>
                <w:rFonts w:ascii="Arial"/>
                <w:color w:val="auto"/>
                <w:sz w:val="21"/>
                <w:highlight w:val="none"/>
              </w:rPr>
            </w:pPr>
          </w:p>
          <w:p w14:paraId="07DDA623">
            <w:pPr>
              <w:spacing w:line="251" w:lineRule="auto"/>
              <w:rPr>
                <w:rFonts w:ascii="Arial"/>
                <w:color w:val="auto"/>
                <w:sz w:val="21"/>
                <w:highlight w:val="none"/>
              </w:rPr>
            </w:pPr>
          </w:p>
          <w:p w14:paraId="5C28AB40">
            <w:pPr>
              <w:spacing w:line="251" w:lineRule="auto"/>
              <w:rPr>
                <w:rFonts w:ascii="Arial"/>
                <w:color w:val="auto"/>
                <w:sz w:val="21"/>
                <w:highlight w:val="none"/>
              </w:rPr>
            </w:pPr>
          </w:p>
          <w:p w14:paraId="0899C672">
            <w:pPr>
              <w:spacing w:line="251" w:lineRule="auto"/>
              <w:rPr>
                <w:rFonts w:ascii="Arial"/>
                <w:color w:val="auto"/>
                <w:sz w:val="21"/>
                <w:highlight w:val="none"/>
              </w:rPr>
            </w:pPr>
          </w:p>
          <w:p w14:paraId="3E99F9EE">
            <w:pPr>
              <w:spacing w:line="251" w:lineRule="auto"/>
              <w:rPr>
                <w:rFonts w:ascii="Arial"/>
                <w:color w:val="auto"/>
                <w:sz w:val="21"/>
                <w:highlight w:val="none"/>
              </w:rPr>
            </w:pPr>
          </w:p>
          <w:p w14:paraId="3AD44827">
            <w:pPr>
              <w:pStyle w:val="20"/>
              <w:spacing w:before="65" w:line="267" w:lineRule="exact"/>
              <w:ind w:left="261"/>
              <w:rPr>
                <w:color w:val="auto"/>
                <w:highlight w:val="none"/>
              </w:rPr>
            </w:pPr>
            <w:r>
              <w:rPr>
                <w:color w:val="auto"/>
                <w:spacing w:val="2"/>
                <w:position w:val="1"/>
                <w:highlight w:val="none"/>
              </w:rPr>
              <w:t>2.1.2</w:t>
            </w:r>
          </w:p>
        </w:tc>
        <w:tc>
          <w:tcPr>
            <w:tcW w:w="1336" w:type="dxa"/>
            <w:gridSpan w:val="5"/>
            <w:vAlign w:val="top"/>
          </w:tcPr>
          <w:p w14:paraId="10D7BE97">
            <w:pPr>
              <w:spacing w:line="255" w:lineRule="auto"/>
              <w:rPr>
                <w:rFonts w:ascii="Arial"/>
                <w:color w:val="auto"/>
                <w:sz w:val="21"/>
                <w:highlight w:val="none"/>
              </w:rPr>
            </w:pPr>
          </w:p>
          <w:p w14:paraId="09EE9511">
            <w:pPr>
              <w:spacing w:line="255" w:lineRule="auto"/>
              <w:rPr>
                <w:rFonts w:ascii="Arial"/>
                <w:color w:val="auto"/>
                <w:sz w:val="21"/>
                <w:highlight w:val="none"/>
              </w:rPr>
            </w:pPr>
          </w:p>
          <w:p w14:paraId="1351BE76">
            <w:pPr>
              <w:spacing w:line="255" w:lineRule="auto"/>
              <w:rPr>
                <w:rFonts w:ascii="Arial"/>
                <w:color w:val="auto"/>
                <w:sz w:val="21"/>
                <w:highlight w:val="none"/>
              </w:rPr>
            </w:pPr>
          </w:p>
          <w:p w14:paraId="04B7DFEE">
            <w:pPr>
              <w:spacing w:line="255" w:lineRule="auto"/>
              <w:rPr>
                <w:rFonts w:ascii="Arial"/>
                <w:color w:val="auto"/>
                <w:sz w:val="21"/>
                <w:highlight w:val="none"/>
              </w:rPr>
            </w:pPr>
          </w:p>
          <w:p w14:paraId="07774822">
            <w:pPr>
              <w:spacing w:line="255" w:lineRule="auto"/>
              <w:rPr>
                <w:rFonts w:ascii="Arial"/>
                <w:color w:val="auto"/>
                <w:sz w:val="21"/>
                <w:highlight w:val="none"/>
              </w:rPr>
            </w:pPr>
          </w:p>
          <w:p w14:paraId="10E1F02D">
            <w:pPr>
              <w:spacing w:line="255" w:lineRule="auto"/>
              <w:rPr>
                <w:rFonts w:ascii="Arial"/>
                <w:color w:val="auto"/>
                <w:sz w:val="21"/>
                <w:highlight w:val="none"/>
              </w:rPr>
            </w:pPr>
          </w:p>
          <w:p w14:paraId="6579C807">
            <w:pPr>
              <w:spacing w:line="255" w:lineRule="auto"/>
              <w:rPr>
                <w:rFonts w:ascii="Arial"/>
                <w:color w:val="auto"/>
                <w:sz w:val="21"/>
                <w:highlight w:val="none"/>
              </w:rPr>
            </w:pPr>
          </w:p>
          <w:p w14:paraId="58807790">
            <w:pPr>
              <w:spacing w:line="255" w:lineRule="auto"/>
              <w:rPr>
                <w:rFonts w:ascii="Arial"/>
                <w:color w:val="auto"/>
                <w:sz w:val="21"/>
                <w:highlight w:val="none"/>
              </w:rPr>
            </w:pPr>
          </w:p>
          <w:p w14:paraId="525FBBE9">
            <w:pPr>
              <w:spacing w:line="256" w:lineRule="auto"/>
              <w:rPr>
                <w:rFonts w:ascii="Arial"/>
                <w:color w:val="auto"/>
                <w:sz w:val="21"/>
                <w:highlight w:val="none"/>
              </w:rPr>
            </w:pPr>
          </w:p>
          <w:p w14:paraId="665F9FED">
            <w:pPr>
              <w:spacing w:line="256" w:lineRule="auto"/>
              <w:rPr>
                <w:rFonts w:ascii="Arial"/>
                <w:color w:val="auto"/>
                <w:sz w:val="21"/>
                <w:highlight w:val="none"/>
              </w:rPr>
            </w:pPr>
          </w:p>
          <w:p w14:paraId="4DD8B9DF">
            <w:pPr>
              <w:spacing w:line="256" w:lineRule="auto"/>
              <w:rPr>
                <w:rFonts w:ascii="Arial"/>
                <w:color w:val="auto"/>
                <w:sz w:val="21"/>
                <w:highlight w:val="none"/>
              </w:rPr>
            </w:pPr>
          </w:p>
          <w:p w14:paraId="7DC59B08">
            <w:pPr>
              <w:pStyle w:val="20"/>
              <w:spacing w:before="65" w:line="379" w:lineRule="auto"/>
              <w:ind w:left="567" w:right="143" w:hanging="412"/>
              <w:rPr>
                <w:color w:val="auto"/>
                <w:highlight w:val="none"/>
              </w:rPr>
            </w:pPr>
            <w:r>
              <w:rPr>
                <w:color w:val="auto"/>
                <w:spacing w:val="6"/>
                <w:highlight w:val="none"/>
              </w:rPr>
              <w:t>资格评审标</w:t>
            </w:r>
            <w:r>
              <w:rPr>
                <w:color w:val="auto"/>
                <w:highlight w:val="none"/>
              </w:rPr>
              <w:t>准</w:t>
            </w:r>
          </w:p>
        </w:tc>
        <w:tc>
          <w:tcPr>
            <w:tcW w:w="6916" w:type="dxa"/>
            <w:gridSpan w:val="7"/>
            <w:vAlign w:val="top"/>
          </w:tcPr>
          <w:p w14:paraId="63366809">
            <w:pPr>
              <w:pStyle w:val="20"/>
              <w:spacing w:before="31" w:line="377" w:lineRule="auto"/>
              <w:ind w:left="115" w:right="106" w:firstLine="428"/>
              <w:rPr>
                <w:color w:val="auto"/>
                <w:highlight w:val="none"/>
              </w:rPr>
            </w:pPr>
            <w:r>
              <w:rPr>
                <w:color w:val="auto"/>
                <w:spacing w:val="12"/>
                <w:highlight w:val="none"/>
              </w:rPr>
              <w:t>（1）投标人具备有效的营业执照、监理资质证书和基本账</w:t>
            </w:r>
            <w:r>
              <w:rPr>
                <w:color w:val="auto"/>
                <w:spacing w:val="11"/>
                <w:highlight w:val="none"/>
              </w:rPr>
              <w:t>户开户许</w:t>
            </w:r>
            <w:r>
              <w:rPr>
                <w:color w:val="auto"/>
                <w:spacing w:val="23"/>
                <w:highlight w:val="none"/>
              </w:rPr>
              <w:t>可证（如企业所在地已取消企业银行账户许可而无法提供开户</w:t>
            </w:r>
            <w:r>
              <w:rPr>
                <w:color w:val="auto"/>
                <w:spacing w:val="22"/>
                <w:highlight w:val="none"/>
              </w:rPr>
              <w:t>许可证</w:t>
            </w:r>
            <w:r>
              <w:rPr>
                <w:color w:val="auto"/>
                <w:spacing w:val="14"/>
                <w:highlight w:val="none"/>
              </w:rPr>
              <w:t>的，则需附上开户银行出具的“基本存款账户信息</w:t>
            </w:r>
            <w:r>
              <w:rPr>
                <w:color w:val="auto"/>
                <w:spacing w:val="-47"/>
                <w:highlight w:val="none"/>
              </w:rPr>
              <w:t xml:space="preserve"> </w:t>
            </w:r>
            <w:r>
              <w:rPr>
                <w:color w:val="auto"/>
                <w:spacing w:val="14"/>
                <w:highlight w:val="none"/>
              </w:rPr>
              <w:t>”或“人民银行账户</w:t>
            </w:r>
            <w:r>
              <w:rPr>
                <w:color w:val="auto"/>
                <w:spacing w:val="7"/>
                <w:highlight w:val="none"/>
              </w:rPr>
              <w:t>管理系统查询的基本账户信息截图</w:t>
            </w:r>
            <w:r>
              <w:rPr>
                <w:color w:val="auto"/>
                <w:spacing w:val="-73"/>
                <w:highlight w:val="none"/>
              </w:rPr>
              <w:t xml:space="preserve"> </w:t>
            </w:r>
            <w:r>
              <w:rPr>
                <w:color w:val="auto"/>
                <w:spacing w:val="7"/>
                <w:highlight w:val="none"/>
              </w:rPr>
              <w:t>”）。</w:t>
            </w:r>
          </w:p>
          <w:p w14:paraId="4E0BF30C">
            <w:pPr>
              <w:pStyle w:val="20"/>
              <w:spacing w:line="227" w:lineRule="auto"/>
              <w:ind w:left="543"/>
              <w:rPr>
                <w:color w:val="auto"/>
                <w:highlight w:val="none"/>
              </w:rPr>
            </w:pPr>
            <w:r>
              <w:rPr>
                <w:color w:val="auto"/>
                <w:spacing w:val="8"/>
                <w:highlight w:val="none"/>
              </w:rPr>
              <w:t>（2）投标人的资质等级符合招标文件规定。</w:t>
            </w:r>
          </w:p>
          <w:p w14:paraId="3C062D0B">
            <w:pPr>
              <w:pStyle w:val="20"/>
              <w:spacing w:before="161" w:line="228" w:lineRule="auto"/>
              <w:ind w:left="543"/>
              <w:rPr>
                <w:color w:val="auto"/>
                <w:highlight w:val="none"/>
              </w:rPr>
            </w:pPr>
            <w:r>
              <w:rPr>
                <w:color w:val="auto"/>
                <w:spacing w:val="8"/>
                <w:highlight w:val="none"/>
              </w:rPr>
              <w:t>（3）投标人的类似工程业绩符合招标文件规定。</w:t>
            </w:r>
          </w:p>
          <w:p w14:paraId="1AACE668">
            <w:pPr>
              <w:pStyle w:val="20"/>
              <w:spacing w:before="163" w:line="227" w:lineRule="auto"/>
              <w:ind w:left="543"/>
              <w:rPr>
                <w:color w:val="auto"/>
                <w:highlight w:val="none"/>
              </w:rPr>
            </w:pPr>
            <w:r>
              <w:rPr>
                <w:color w:val="auto"/>
                <w:spacing w:val="8"/>
                <w:highlight w:val="none"/>
              </w:rPr>
              <w:t>（4）投标人的信誉符合招标文件规定。</w:t>
            </w:r>
          </w:p>
          <w:p w14:paraId="327ABCE0">
            <w:pPr>
              <w:pStyle w:val="20"/>
              <w:spacing w:before="163" w:line="362" w:lineRule="auto"/>
              <w:ind w:left="122" w:right="127" w:firstLine="421"/>
              <w:rPr>
                <w:color w:val="auto"/>
                <w:highlight w:val="none"/>
              </w:rPr>
            </w:pPr>
            <w:r>
              <w:rPr>
                <w:color w:val="auto"/>
                <w:spacing w:val="11"/>
                <w:highlight w:val="none"/>
              </w:rPr>
              <w:t>（5）投标人的总监理工程师或驻地监理工程师（含备选人，如有）</w:t>
            </w:r>
            <w:r>
              <w:rPr>
                <w:color w:val="auto"/>
                <w:spacing w:val="9"/>
                <w:highlight w:val="none"/>
              </w:rPr>
              <w:t>资格、在岗情况符合招标文件规定，并按规定在投标文件中签字确认。</w:t>
            </w:r>
          </w:p>
          <w:p w14:paraId="455C666D">
            <w:pPr>
              <w:pStyle w:val="20"/>
              <w:spacing w:line="408" w:lineRule="exact"/>
              <w:ind w:left="543"/>
              <w:rPr>
                <w:color w:val="auto"/>
                <w:sz w:val="10"/>
                <w:szCs w:val="10"/>
                <w:highlight w:val="none"/>
              </w:rPr>
            </w:pPr>
            <w:r>
              <w:rPr>
                <w:color w:val="auto"/>
                <w:spacing w:val="8"/>
                <w:position w:val="4"/>
                <w:highlight w:val="none"/>
              </w:rPr>
              <w:t>（6）投标人的其他要求符合招标文件规定。</w:t>
            </w:r>
          </w:p>
          <w:p w14:paraId="46198273">
            <w:pPr>
              <w:pStyle w:val="20"/>
              <w:spacing w:before="33" w:line="362" w:lineRule="auto"/>
              <w:ind w:left="114" w:right="109" w:firstLine="429"/>
              <w:rPr>
                <w:color w:val="auto"/>
                <w:highlight w:val="none"/>
              </w:rPr>
            </w:pPr>
            <w:r>
              <w:rPr>
                <w:color w:val="auto"/>
                <w:spacing w:val="7"/>
                <w:highlight w:val="none"/>
              </w:rPr>
              <w:t>（7）投标人不存在第二章“投标人须知</w:t>
            </w:r>
            <w:r>
              <w:rPr>
                <w:color w:val="auto"/>
                <w:spacing w:val="-68"/>
                <w:highlight w:val="none"/>
              </w:rPr>
              <w:t xml:space="preserve"> </w:t>
            </w:r>
            <w:r>
              <w:rPr>
                <w:color w:val="auto"/>
                <w:spacing w:val="7"/>
                <w:highlight w:val="none"/>
              </w:rPr>
              <w:t>”第</w:t>
            </w:r>
            <w:r>
              <w:rPr>
                <w:color w:val="auto"/>
                <w:spacing w:val="-21"/>
                <w:highlight w:val="none"/>
              </w:rPr>
              <w:t xml:space="preserve"> </w:t>
            </w:r>
            <w:r>
              <w:rPr>
                <w:color w:val="auto"/>
                <w:spacing w:val="7"/>
                <w:highlight w:val="none"/>
              </w:rPr>
              <w:t>1.4.3</w:t>
            </w:r>
            <w:r>
              <w:rPr>
                <w:color w:val="auto"/>
                <w:spacing w:val="-30"/>
                <w:highlight w:val="none"/>
              </w:rPr>
              <w:t xml:space="preserve"> </w:t>
            </w:r>
            <w:r>
              <w:rPr>
                <w:color w:val="auto"/>
                <w:spacing w:val="6"/>
                <w:highlight w:val="none"/>
              </w:rPr>
              <w:t>项或第</w:t>
            </w:r>
            <w:r>
              <w:rPr>
                <w:color w:val="auto"/>
                <w:spacing w:val="-21"/>
                <w:highlight w:val="none"/>
              </w:rPr>
              <w:t xml:space="preserve"> </w:t>
            </w:r>
            <w:r>
              <w:rPr>
                <w:color w:val="auto"/>
                <w:spacing w:val="6"/>
                <w:highlight w:val="none"/>
              </w:rPr>
              <w:t>1.4.4</w:t>
            </w:r>
            <w:r>
              <w:rPr>
                <w:color w:val="auto"/>
                <w:spacing w:val="-33"/>
                <w:highlight w:val="none"/>
              </w:rPr>
              <w:t xml:space="preserve"> </w:t>
            </w:r>
            <w:r>
              <w:rPr>
                <w:color w:val="auto"/>
                <w:spacing w:val="6"/>
                <w:highlight w:val="none"/>
              </w:rPr>
              <w:t>项</w:t>
            </w:r>
            <w:r>
              <w:rPr>
                <w:color w:val="auto"/>
                <w:spacing w:val="7"/>
                <w:highlight w:val="none"/>
              </w:rPr>
              <w:t>规定的任何一种情形。</w:t>
            </w:r>
          </w:p>
          <w:p w14:paraId="67A0FEC0">
            <w:pPr>
              <w:pStyle w:val="20"/>
              <w:spacing w:line="408" w:lineRule="exact"/>
              <w:ind w:left="543"/>
              <w:rPr>
                <w:color w:val="auto"/>
                <w:highlight w:val="none"/>
              </w:rPr>
            </w:pPr>
            <w:r>
              <w:rPr>
                <w:color w:val="auto"/>
                <w:spacing w:val="6"/>
                <w:position w:val="4"/>
                <w:highlight w:val="none"/>
              </w:rPr>
              <w:t>（8）投标人符合第二章“投标人须知</w:t>
            </w:r>
            <w:r>
              <w:rPr>
                <w:color w:val="auto"/>
                <w:spacing w:val="-72"/>
                <w:position w:val="4"/>
                <w:highlight w:val="none"/>
              </w:rPr>
              <w:t xml:space="preserve"> </w:t>
            </w:r>
            <w:r>
              <w:rPr>
                <w:color w:val="auto"/>
                <w:spacing w:val="6"/>
                <w:position w:val="4"/>
                <w:highlight w:val="none"/>
              </w:rPr>
              <w:t>”第</w:t>
            </w:r>
            <w:r>
              <w:rPr>
                <w:color w:val="auto"/>
                <w:spacing w:val="-24"/>
                <w:position w:val="4"/>
                <w:highlight w:val="none"/>
              </w:rPr>
              <w:t xml:space="preserve"> </w:t>
            </w:r>
            <w:r>
              <w:rPr>
                <w:color w:val="auto"/>
                <w:spacing w:val="6"/>
                <w:position w:val="4"/>
                <w:highlight w:val="none"/>
              </w:rPr>
              <w:t>1.4.5</w:t>
            </w:r>
            <w:r>
              <w:rPr>
                <w:color w:val="auto"/>
                <w:spacing w:val="-34"/>
                <w:position w:val="4"/>
                <w:highlight w:val="none"/>
              </w:rPr>
              <w:t xml:space="preserve"> </w:t>
            </w:r>
            <w:r>
              <w:rPr>
                <w:color w:val="auto"/>
                <w:spacing w:val="6"/>
                <w:position w:val="4"/>
                <w:highlight w:val="none"/>
              </w:rPr>
              <w:t>项规</w:t>
            </w:r>
            <w:r>
              <w:rPr>
                <w:color w:val="auto"/>
                <w:spacing w:val="5"/>
                <w:position w:val="4"/>
                <w:highlight w:val="none"/>
              </w:rPr>
              <w:t>定。</w:t>
            </w:r>
          </w:p>
        </w:tc>
      </w:tr>
      <w:tr w14:paraId="63DD0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034" w:type="dxa"/>
            <w:gridSpan w:val="2"/>
            <w:vAlign w:val="top"/>
          </w:tcPr>
          <w:p w14:paraId="4D29297B">
            <w:pPr>
              <w:pStyle w:val="20"/>
              <w:spacing w:before="143" w:line="217" w:lineRule="auto"/>
              <w:ind w:left="159"/>
              <w:rPr>
                <w:color w:val="auto"/>
                <w:highlight w:val="none"/>
              </w:rPr>
            </w:pPr>
            <w:r>
              <w:rPr>
                <w:b/>
                <w:bCs/>
                <w:color w:val="auto"/>
                <w:spacing w:val="5"/>
                <w:highlight w:val="none"/>
              </w:rPr>
              <w:t>条款号</w:t>
            </w:r>
          </w:p>
        </w:tc>
        <w:tc>
          <w:tcPr>
            <w:tcW w:w="1336" w:type="dxa"/>
            <w:gridSpan w:val="5"/>
            <w:vAlign w:val="top"/>
          </w:tcPr>
          <w:p w14:paraId="7E5E8764">
            <w:pPr>
              <w:pStyle w:val="20"/>
              <w:spacing w:before="143" w:line="217" w:lineRule="auto"/>
              <w:ind w:left="253"/>
              <w:rPr>
                <w:color w:val="auto"/>
                <w:highlight w:val="none"/>
              </w:rPr>
            </w:pPr>
            <w:r>
              <w:rPr>
                <w:b/>
                <w:bCs/>
                <w:color w:val="auto"/>
                <w:spacing w:val="6"/>
                <w:highlight w:val="none"/>
              </w:rPr>
              <w:t>条款内容</w:t>
            </w:r>
          </w:p>
        </w:tc>
        <w:tc>
          <w:tcPr>
            <w:tcW w:w="6916" w:type="dxa"/>
            <w:gridSpan w:val="7"/>
            <w:vAlign w:val="top"/>
          </w:tcPr>
          <w:p w14:paraId="731340B7">
            <w:pPr>
              <w:pStyle w:val="20"/>
              <w:spacing w:before="143" w:line="217" w:lineRule="auto"/>
              <w:ind w:left="2896"/>
              <w:rPr>
                <w:color w:val="auto"/>
                <w:highlight w:val="none"/>
              </w:rPr>
            </w:pPr>
            <w:r>
              <w:rPr>
                <w:b/>
                <w:bCs/>
                <w:color w:val="auto"/>
                <w:spacing w:val="6"/>
                <w:highlight w:val="none"/>
              </w:rPr>
              <w:t>编列内容</w:t>
            </w:r>
          </w:p>
        </w:tc>
      </w:tr>
      <w:tr w14:paraId="7277A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4" w:hRule="atLeast"/>
        </w:trPr>
        <w:tc>
          <w:tcPr>
            <w:tcW w:w="1034" w:type="dxa"/>
            <w:gridSpan w:val="2"/>
            <w:vAlign w:val="top"/>
          </w:tcPr>
          <w:p w14:paraId="61BE8727">
            <w:pPr>
              <w:spacing w:line="249" w:lineRule="auto"/>
              <w:rPr>
                <w:rFonts w:ascii="Arial"/>
                <w:color w:val="auto"/>
                <w:sz w:val="21"/>
                <w:highlight w:val="none"/>
              </w:rPr>
            </w:pPr>
          </w:p>
          <w:p w14:paraId="0E24D119">
            <w:pPr>
              <w:spacing w:line="249" w:lineRule="auto"/>
              <w:rPr>
                <w:rFonts w:ascii="Arial"/>
                <w:color w:val="auto"/>
                <w:sz w:val="21"/>
                <w:highlight w:val="none"/>
              </w:rPr>
            </w:pPr>
          </w:p>
          <w:p w14:paraId="6E34471A">
            <w:pPr>
              <w:spacing w:line="249" w:lineRule="auto"/>
              <w:rPr>
                <w:rFonts w:ascii="Arial"/>
                <w:color w:val="auto"/>
                <w:sz w:val="21"/>
                <w:highlight w:val="none"/>
              </w:rPr>
            </w:pPr>
          </w:p>
          <w:p w14:paraId="534372F5">
            <w:pPr>
              <w:spacing w:line="249" w:lineRule="auto"/>
              <w:rPr>
                <w:rFonts w:ascii="Arial"/>
                <w:color w:val="auto"/>
                <w:sz w:val="21"/>
                <w:highlight w:val="none"/>
              </w:rPr>
            </w:pPr>
          </w:p>
          <w:p w14:paraId="74765D96">
            <w:pPr>
              <w:spacing w:line="250" w:lineRule="auto"/>
              <w:rPr>
                <w:rFonts w:ascii="Arial"/>
                <w:color w:val="auto"/>
                <w:sz w:val="21"/>
                <w:highlight w:val="none"/>
              </w:rPr>
            </w:pPr>
          </w:p>
          <w:p w14:paraId="53A82E6B">
            <w:pPr>
              <w:spacing w:line="250" w:lineRule="auto"/>
              <w:rPr>
                <w:rFonts w:ascii="Arial"/>
                <w:color w:val="auto"/>
                <w:sz w:val="21"/>
                <w:highlight w:val="none"/>
              </w:rPr>
            </w:pPr>
          </w:p>
          <w:p w14:paraId="218A4CE6">
            <w:pPr>
              <w:pStyle w:val="20"/>
              <w:spacing w:before="65" w:line="268" w:lineRule="exact"/>
              <w:ind w:left="213"/>
              <w:rPr>
                <w:color w:val="auto"/>
                <w:highlight w:val="none"/>
              </w:rPr>
            </w:pPr>
            <w:r>
              <w:rPr>
                <w:color w:val="auto"/>
                <w:spacing w:val="2"/>
                <w:position w:val="1"/>
                <w:highlight w:val="none"/>
              </w:rPr>
              <w:t>2.2.1</w:t>
            </w:r>
          </w:p>
        </w:tc>
        <w:tc>
          <w:tcPr>
            <w:tcW w:w="1336" w:type="dxa"/>
            <w:gridSpan w:val="5"/>
            <w:vAlign w:val="top"/>
          </w:tcPr>
          <w:p w14:paraId="24909497">
            <w:pPr>
              <w:spacing w:line="279" w:lineRule="auto"/>
              <w:rPr>
                <w:rFonts w:ascii="Arial"/>
                <w:color w:val="auto"/>
                <w:sz w:val="21"/>
                <w:highlight w:val="none"/>
              </w:rPr>
            </w:pPr>
          </w:p>
          <w:p w14:paraId="5B9FD1C6">
            <w:pPr>
              <w:spacing w:line="279" w:lineRule="auto"/>
              <w:rPr>
                <w:rFonts w:ascii="Arial"/>
                <w:color w:val="auto"/>
                <w:sz w:val="21"/>
                <w:highlight w:val="none"/>
              </w:rPr>
            </w:pPr>
          </w:p>
          <w:p w14:paraId="2D46523D">
            <w:pPr>
              <w:spacing w:line="279" w:lineRule="auto"/>
              <w:rPr>
                <w:rFonts w:ascii="Arial"/>
                <w:color w:val="auto"/>
                <w:sz w:val="21"/>
                <w:highlight w:val="none"/>
              </w:rPr>
            </w:pPr>
          </w:p>
          <w:p w14:paraId="16B3FB8D">
            <w:pPr>
              <w:spacing w:line="280" w:lineRule="auto"/>
              <w:rPr>
                <w:rFonts w:ascii="Arial"/>
                <w:color w:val="auto"/>
                <w:sz w:val="21"/>
                <w:highlight w:val="none"/>
              </w:rPr>
            </w:pPr>
          </w:p>
          <w:p w14:paraId="432CDBC9">
            <w:pPr>
              <w:pStyle w:val="20"/>
              <w:spacing w:before="65" w:line="228" w:lineRule="auto"/>
              <w:ind w:left="254"/>
              <w:rPr>
                <w:color w:val="auto"/>
                <w:highlight w:val="none"/>
              </w:rPr>
            </w:pPr>
            <w:r>
              <w:rPr>
                <w:color w:val="auto"/>
                <w:spacing w:val="6"/>
                <w:highlight w:val="none"/>
              </w:rPr>
              <w:t>分值构成</w:t>
            </w:r>
          </w:p>
          <w:p w14:paraId="4E2DC65D">
            <w:pPr>
              <w:pStyle w:val="20"/>
              <w:spacing w:before="135" w:line="228" w:lineRule="auto"/>
              <w:ind w:left="182"/>
              <w:rPr>
                <w:color w:val="auto"/>
                <w:highlight w:val="none"/>
              </w:rPr>
            </w:pPr>
            <w:r>
              <w:rPr>
                <w:color w:val="auto"/>
                <w:highlight w:val="none"/>
              </w:rPr>
              <w:t>（总分</w:t>
            </w:r>
            <w:r>
              <w:rPr>
                <w:color w:val="auto"/>
                <w:spacing w:val="-22"/>
                <w:highlight w:val="none"/>
              </w:rPr>
              <w:t xml:space="preserve"> </w:t>
            </w:r>
            <w:r>
              <w:rPr>
                <w:color w:val="auto"/>
                <w:highlight w:val="none"/>
              </w:rPr>
              <w:t>100</w:t>
            </w:r>
          </w:p>
          <w:p w14:paraId="7149C3B2">
            <w:pPr>
              <w:pStyle w:val="20"/>
              <w:spacing w:before="132" w:line="228" w:lineRule="auto"/>
              <w:ind w:left="465"/>
              <w:rPr>
                <w:color w:val="auto"/>
                <w:highlight w:val="none"/>
              </w:rPr>
            </w:pPr>
            <w:r>
              <w:rPr>
                <w:color w:val="auto"/>
                <w:spacing w:val="-1"/>
                <w:highlight w:val="none"/>
              </w:rPr>
              <w:t>分）</w:t>
            </w:r>
          </w:p>
        </w:tc>
        <w:tc>
          <w:tcPr>
            <w:tcW w:w="6916" w:type="dxa"/>
            <w:gridSpan w:val="7"/>
            <w:vAlign w:val="top"/>
          </w:tcPr>
          <w:p w14:paraId="2959F269">
            <w:pPr>
              <w:pStyle w:val="20"/>
              <w:spacing w:before="101" w:line="267" w:lineRule="exact"/>
              <w:ind w:left="533"/>
              <w:rPr>
                <w:color w:val="auto"/>
                <w:highlight w:val="none"/>
              </w:rPr>
            </w:pPr>
            <w:r>
              <w:rPr>
                <w:b/>
                <w:bCs/>
                <w:color w:val="auto"/>
                <w:spacing w:val="7"/>
                <w:highlight w:val="none"/>
              </w:rPr>
              <w:t>第一个信封（商务及技术文件）评分分值构成:</w:t>
            </w:r>
          </w:p>
          <w:p w14:paraId="0C5A3AA7">
            <w:pPr>
              <w:pStyle w:val="20"/>
              <w:spacing w:before="112" w:line="227" w:lineRule="auto"/>
              <w:ind w:left="534"/>
              <w:rPr>
                <w:color w:val="auto"/>
                <w:highlight w:val="none"/>
              </w:rPr>
            </w:pPr>
            <w:r>
              <w:rPr>
                <w:color w:val="auto"/>
                <w:spacing w:val="6"/>
                <w:highlight w:val="none"/>
              </w:rPr>
              <w:t>技术建议书：30</w:t>
            </w:r>
            <w:r>
              <w:rPr>
                <w:color w:val="auto"/>
                <w:spacing w:val="-30"/>
                <w:highlight w:val="none"/>
              </w:rPr>
              <w:t xml:space="preserve"> </w:t>
            </w:r>
            <w:r>
              <w:rPr>
                <w:color w:val="auto"/>
                <w:spacing w:val="6"/>
                <w:highlight w:val="none"/>
              </w:rPr>
              <w:t xml:space="preserve">分         </w:t>
            </w:r>
          </w:p>
          <w:p w14:paraId="7C7C8C0C">
            <w:pPr>
              <w:pStyle w:val="20"/>
              <w:spacing w:before="114" w:line="228" w:lineRule="auto"/>
              <w:ind w:left="535"/>
              <w:rPr>
                <w:color w:val="auto"/>
                <w:highlight w:val="none"/>
              </w:rPr>
            </w:pPr>
            <w:r>
              <w:rPr>
                <w:color w:val="auto"/>
                <w:spacing w:val="6"/>
                <w:highlight w:val="none"/>
              </w:rPr>
              <w:t>主要人员：2</w:t>
            </w:r>
            <w:r>
              <w:rPr>
                <w:rFonts w:hint="eastAsia"/>
                <w:color w:val="auto"/>
                <w:spacing w:val="6"/>
                <w:highlight w:val="none"/>
                <w:lang w:val="en-US" w:eastAsia="zh-CN"/>
              </w:rPr>
              <w:t>5</w:t>
            </w:r>
            <w:r>
              <w:rPr>
                <w:color w:val="auto"/>
                <w:spacing w:val="-38"/>
                <w:highlight w:val="none"/>
              </w:rPr>
              <w:t xml:space="preserve"> </w:t>
            </w:r>
            <w:r>
              <w:rPr>
                <w:color w:val="auto"/>
                <w:spacing w:val="6"/>
                <w:highlight w:val="none"/>
              </w:rPr>
              <w:t xml:space="preserve">分            </w:t>
            </w:r>
          </w:p>
          <w:p w14:paraId="51F6EAF5">
            <w:pPr>
              <w:pStyle w:val="20"/>
              <w:spacing w:before="112" w:line="228" w:lineRule="auto"/>
              <w:ind w:left="534"/>
              <w:rPr>
                <w:color w:val="auto"/>
                <w:highlight w:val="none"/>
              </w:rPr>
            </w:pPr>
            <w:r>
              <w:rPr>
                <w:color w:val="auto"/>
                <w:spacing w:val="6"/>
                <w:highlight w:val="none"/>
              </w:rPr>
              <w:t>技术能力：0</w:t>
            </w:r>
            <w:r>
              <w:rPr>
                <w:color w:val="auto"/>
                <w:spacing w:val="-35"/>
                <w:highlight w:val="none"/>
              </w:rPr>
              <w:t xml:space="preserve"> </w:t>
            </w:r>
            <w:r>
              <w:rPr>
                <w:color w:val="auto"/>
                <w:spacing w:val="6"/>
                <w:highlight w:val="none"/>
              </w:rPr>
              <w:t xml:space="preserve">分              </w:t>
            </w:r>
          </w:p>
          <w:p w14:paraId="19F6D73E">
            <w:pPr>
              <w:pStyle w:val="20"/>
              <w:spacing w:before="113" w:line="228" w:lineRule="auto"/>
              <w:ind w:left="532"/>
              <w:rPr>
                <w:color w:val="auto"/>
                <w:highlight w:val="none"/>
              </w:rPr>
            </w:pPr>
            <w:r>
              <w:rPr>
                <w:color w:val="auto"/>
                <w:spacing w:val="5"/>
                <w:highlight w:val="none"/>
              </w:rPr>
              <w:t>业绩：25</w:t>
            </w:r>
            <w:r>
              <w:rPr>
                <w:color w:val="auto"/>
                <w:spacing w:val="-35"/>
                <w:highlight w:val="none"/>
              </w:rPr>
              <w:t xml:space="preserve"> </w:t>
            </w:r>
            <w:r>
              <w:rPr>
                <w:color w:val="auto"/>
                <w:spacing w:val="5"/>
                <w:highlight w:val="none"/>
              </w:rPr>
              <w:t xml:space="preserve">分                  </w:t>
            </w:r>
          </w:p>
          <w:p w14:paraId="53DC40CB">
            <w:pPr>
              <w:pStyle w:val="20"/>
              <w:spacing w:before="113" w:line="227" w:lineRule="auto"/>
              <w:ind w:left="536"/>
              <w:rPr>
                <w:color w:val="auto"/>
                <w:highlight w:val="none"/>
              </w:rPr>
            </w:pPr>
            <w:r>
              <w:rPr>
                <w:color w:val="auto"/>
                <w:spacing w:val="6"/>
                <w:highlight w:val="none"/>
              </w:rPr>
              <w:t>履约信誉：1</w:t>
            </w:r>
            <w:r>
              <w:rPr>
                <w:rFonts w:hint="eastAsia"/>
                <w:color w:val="auto"/>
                <w:spacing w:val="6"/>
                <w:highlight w:val="none"/>
                <w:lang w:val="en-US" w:eastAsia="zh-CN"/>
              </w:rPr>
              <w:t>0</w:t>
            </w:r>
            <w:r>
              <w:rPr>
                <w:color w:val="auto"/>
                <w:spacing w:val="-38"/>
                <w:highlight w:val="none"/>
              </w:rPr>
              <w:t xml:space="preserve"> </w:t>
            </w:r>
            <w:r>
              <w:rPr>
                <w:color w:val="auto"/>
                <w:spacing w:val="6"/>
                <w:highlight w:val="none"/>
              </w:rPr>
              <w:t xml:space="preserve">分              </w:t>
            </w:r>
          </w:p>
          <w:p w14:paraId="115369DF">
            <w:pPr>
              <w:pStyle w:val="20"/>
              <w:spacing w:before="114" w:line="226" w:lineRule="auto"/>
              <w:ind w:left="533"/>
              <w:rPr>
                <w:color w:val="auto"/>
                <w:highlight w:val="none"/>
              </w:rPr>
            </w:pPr>
            <w:r>
              <w:rPr>
                <w:b/>
                <w:bCs/>
                <w:color w:val="auto"/>
                <w:spacing w:val="7"/>
                <w:highlight w:val="none"/>
              </w:rPr>
              <w:t>第二个信封（报价文件）评分分值构成：</w:t>
            </w:r>
          </w:p>
          <w:p w14:paraId="4412A709">
            <w:pPr>
              <w:pStyle w:val="20"/>
              <w:spacing w:before="115" w:line="215" w:lineRule="auto"/>
              <w:ind w:left="532"/>
              <w:rPr>
                <w:color w:val="auto"/>
                <w:highlight w:val="none"/>
              </w:rPr>
            </w:pPr>
            <w:r>
              <w:rPr>
                <w:color w:val="auto"/>
                <w:spacing w:val="6"/>
                <w:highlight w:val="none"/>
              </w:rPr>
              <w:t>评标价：10</w:t>
            </w:r>
            <w:r>
              <w:rPr>
                <w:color w:val="auto"/>
                <w:spacing w:val="-38"/>
                <w:highlight w:val="none"/>
              </w:rPr>
              <w:t xml:space="preserve"> </w:t>
            </w:r>
            <w:r>
              <w:rPr>
                <w:color w:val="auto"/>
                <w:spacing w:val="6"/>
                <w:highlight w:val="none"/>
              </w:rPr>
              <w:t>分</w:t>
            </w:r>
          </w:p>
        </w:tc>
      </w:tr>
      <w:tr w14:paraId="673E5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49" w:hRule="atLeast"/>
        </w:trPr>
        <w:tc>
          <w:tcPr>
            <w:tcW w:w="1034" w:type="dxa"/>
            <w:gridSpan w:val="2"/>
            <w:vAlign w:val="top"/>
          </w:tcPr>
          <w:p w14:paraId="17AE5E27">
            <w:pPr>
              <w:spacing w:line="242" w:lineRule="auto"/>
              <w:rPr>
                <w:rFonts w:ascii="Arial"/>
                <w:color w:val="auto"/>
                <w:sz w:val="21"/>
                <w:highlight w:val="none"/>
              </w:rPr>
            </w:pPr>
          </w:p>
          <w:p w14:paraId="5CC014D5">
            <w:pPr>
              <w:spacing w:line="242" w:lineRule="auto"/>
              <w:rPr>
                <w:rFonts w:ascii="Arial"/>
                <w:color w:val="auto"/>
                <w:sz w:val="21"/>
                <w:highlight w:val="none"/>
              </w:rPr>
            </w:pPr>
          </w:p>
          <w:p w14:paraId="21535D7B">
            <w:pPr>
              <w:spacing w:line="242" w:lineRule="auto"/>
              <w:rPr>
                <w:rFonts w:ascii="Arial"/>
                <w:color w:val="auto"/>
                <w:sz w:val="21"/>
                <w:highlight w:val="none"/>
              </w:rPr>
            </w:pPr>
          </w:p>
          <w:p w14:paraId="1F5510A3">
            <w:pPr>
              <w:spacing w:line="242" w:lineRule="auto"/>
              <w:rPr>
                <w:rFonts w:ascii="Arial"/>
                <w:color w:val="auto"/>
                <w:sz w:val="21"/>
                <w:highlight w:val="none"/>
              </w:rPr>
            </w:pPr>
          </w:p>
          <w:p w14:paraId="3C6FA19D">
            <w:pPr>
              <w:spacing w:line="242" w:lineRule="auto"/>
              <w:rPr>
                <w:rFonts w:ascii="Arial"/>
                <w:color w:val="auto"/>
                <w:sz w:val="21"/>
                <w:highlight w:val="none"/>
              </w:rPr>
            </w:pPr>
          </w:p>
          <w:p w14:paraId="021C44E2">
            <w:pPr>
              <w:spacing w:line="242" w:lineRule="auto"/>
              <w:rPr>
                <w:rFonts w:ascii="Arial"/>
                <w:color w:val="auto"/>
                <w:sz w:val="21"/>
                <w:highlight w:val="none"/>
              </w:rPr>
            </w:pPr>
          </w:p>
          <w:p w14:paraId="357B7903">
            <w:pPr>
              <w:spacing w:line="242" w:lineRule="auto"/>
              <w:rPr>
                <w:rFonts w:ascii="Arial"/>
                <w:color w:val="auto"/>
                <w:sz w:val="21"/>
                <w:highlight w:val="none"/>
              </w:rPr>
            </w:pPr>
          </w:p>
          <w:p w14:paraId="0BB977DE">
            <w:pPr>
              <w:spacing w:line="242" w:lineRule="auto"/>
              <w:rPr>
                <w:rFonts w:ascii="Arial"/>
                <w:color w:val="auto"/>
                <w:sz w:val="21"/>
                <w:highlight w:val="none"/>
              </w:rPr>
            </w:pPr>
          </w:p>
          <w:p w14:paraId="69A60429">
            <w:pPr>
              <w:spacing w:line="242" w:lineRule="auto"/>
              <w:rPr>
                <w:rFonts w:ascii="Arial"/>
                <w:color w:val="auto"/>
                <w:sz w:val="21"/>
                <w:highlight w:val="none"/>
              </w:rPr>
            </w:pPr>
          </w:p>
          <w:p w14:paraId="521C8694">
            <w:pPr>
              <w:spacing w:line="242" w:lineRule="auto"/>
              <w:rPr>
                <w:rFonts w:ascii="Arial"/>
                <w:color w:val="auto"/>
                <w:sz w:val="21"/>
                <w:highlight w:val="none"/>
              </w:rPr>
            </w:pPr>
          </w:p>
          <w:p w14:paraId="71D77A9F">
            <w:pPr>
              <w:spacing w:line="242" w:lineRule="auto"/>
              <w:rPr>
                <w:rFonts w:ascii="Arial"/>
                <w:color w:val="auto"/>
                <w:sz w:val="21"/>
                <w:highlight w:val="none"/>
              </w:rPr>
            </w:pPr>
          </w:p>
          <w:p w14:paraId="5F2D3953">
            <w:pPr>
              <w:spacing w:line="242" w:lineRule="auto"/>
              <w:rPr>
                <w:rFonts w:ascii="Arial"/>
                <w:color w:val="auto"/>
                <w:sz w:val="21"/>
                <w:highlight w:val="none"/>
              </w:rPr>
            </w:pPr>
          </w:p>
          <w:p w14:paraId="40C34996">
            <w:pPr>
              <w:spacing w:line="242" w:lineRule="auto"/>
              <w:rPr>
                <w:rFonts w:ascii="Arial"/>
                <w:color w:val="auto"/>
                <w:sz w:val="21"/>
                <w:highlight w:val="none"/>
              </w:rPr>
            </w:pPr>
          </w:p>
          <w:p w14:paraId="78D71BA2">
            <w:pPr>
              <w:spacing w:line="242" w:lineRule="auto"/>
              <w:rPr>
                <w:rFonts w:ascii="Arial"/>
                <w:color w:val="auto"/>
                <w:sz w:val="21"/>
                <w:highlight w:val="none"/>
              </w:rPr>
            </w:pPr>
          </w:p>
          <w:p w14:paraId="3DAC5A46">
            <w:pPr>
              <w:spacing w:line="242" w:lineRule="auto"/>
              <w:rPr>
                <w:rFonts w:ascii="Arial"/>
                <w:color w:val="auto"/>
                <w:sz w:val="21"/>
                <w:highlight w:val="none"/>
              </w:rPr>
            </w:pPr>
          </w:p>
          <w:p w14:paraId="66DE0AD9">
            <w:pPr>
              <w:spacing w:line="243" w:lineRule="auto"/>
              <w:rPr>
                <w:rFonts w:ascii="Arial"/>
                <w:color w:val="auto"/>
                <w:sz w:val="21"/>
                <w:highlight w:val="none"/>
              </w:rPr>
            </w:pPr>
          </w:p>
          <w:p w14:paraId="2F6E7412">
            <w:pPr>
              <w:spacing w:line="243" w:lineRule="auto"/>
              <w:rPr>
                <w:rFonts w:ascii="Arial"/>
                <w:color w:val="auto"/>
                <w:sz w:val="21"/>
                <w:highlight w:val="none"/>
              </w:rPr>
            </w:pPr>
          </w:p>
          <w:p w14:paraId="2B98BD10">
            <w:pPr>
              <w:spacing w:line="243" w:lineRule="auto"/>
              <w:rPr>
                <w:rFonts w:ascii="Arial"/>
                <w:color w:val="auto"/>
                <w:sz w:val="21"/>
                <w:highlight w:val="none"/>
              </w:rPr>
            </w:pPr>
          </w:p>
          <w:p w14:paraId="3490C761">
            <w:pPr>
              <w:pStyle w:val="20"/>
              <w:spacing w:before="65" w:line="268" w:lineRule="exact"/>
              <w:ind w:left="213"/>
              <w:rPr>
                <w:color w:val="auto"/>
                <w:highlight w:val="none"/>
              </w:rPr>
            </w:pPr>
            <w:r>
              <w:rPr>
                <w:color w:val="auto"/>
                <w:spacing w:val="2"/>
                <w:position w:val="1"/>
                <w:highlight w:val="none"/>
              </w:rPr>
              <w:t>2.2.2</w:t>
            </w:r>
          </w:p>
        </w:tc>
        <w:tc>
          <w:tcPr>
            <w:tcW w:w="1336" w:type="dxa"/>
            <w:gridSpan w:val="5"/>
            <w:vAlign w:val="top"/>
          </w:tcPr>
          <w:p w14:paraId="078B398E">
            <w:pPr>
              <w:spacing w:line="245" w:lineRule="auto"/>
              <w:rPr>
                <w:rFonts w:ascii="Arial"/>
                <w:color w:val="auto"/>
                <w:sz w:val="21"/>
                <w:highlight w:val="none"/>
              </w:rPr>
            </w:pPr>
          </w:p>
          <w:p w14:paraId="0CF85BCA">
            <w:pPr>
              <w:spacing w:line="245" w:lineRule="auto"/>
              <w:rPr>
                <w:rFonts w:ascii="Arial"/>
                <w:color w:val="auto"/>
                <w:sz w:val="21"/>
                <w:highlight w:val="none"/>
              </w:rPr>
            </w:pPr>
          </w:p>
          <w:p w14:paraId="46C1EC36">
            <w:pPr>
              <w:spacing w:line="245" w:lineRule="auto"/>
              <w:rPr>
                <w:rFonts w:ascii="Arial"/>
                <w:color w:val="auto"/>
                <w:sz w:val="21"/>
                <w:highlight w:val="none"/>
              </w:rPr>
            </w:pPr>
          </w:p>
          <w:p w14:paraId="42EF5860">
            <w:pPr>
              <w:spacing w:line="245" w:lineRule="auto"/>
              <w:rPr>
                <w:rFonts w:ascii="Arial"/>
                <w:color w:val="auto"/>
                <w:sz w:val="21"/>
                <w:highlight w:val="none"/>
              </w:rPr>
            </w:pPr>
          </w:p>
          <w:p w14:paraId="68A8D3B3">
            <w:pPr>
              <w:spacing w:line="245" w:lineRule="auto"/>
              <w:rPr>
                <w:rFonts w:ascii="Arial"/>
                <w:color w:val="auto"/>
                <w:sz w:val="21"/>
                <w:highlight w:val="none"/>
              </w:rPr>
            </w:pPr>
          </w:p>
          <w:p w14:paraId="160BA20B">
            <w:pPr>
              <w:spacing w:line="245" w:lineRule="auto"/>
              <w:rPr>
                <w:rFonts w:ascii="Arial"/>
                <w:color w:val="auto"/>
                <w:sz w:val="21"/>
                <w:highlight w:val="none"/>
              </w:rPr>
            </w:pPr>
          </w:p>
          <w:p w14:paraId="1FE7DECF">
            <w:pPr>
              <w:spacing w:line="245" w:lineRule="auto"/>
              <w:rPr>
                <w:rFonts w:ascii="Arial"/>
                <w:color w:val="auto"/>
                <w:sz w:val="21"/>
                <w:highlight w:val="none"/>
              </w:rPr>
            </w:pPr>
          </w:p>
          <w:p w14:paraId="23E9894D">
            <w:pPr>
              <w:spacing w:line="245" w:lineRule="auto"/>
              <w:rPr>
                <w:rFonts w:ascii="Arial"/>
                <w:color w:val="auto"/>
                <w:sz w:val="21"/>
                <w:highlight w:val="none"/>
              </w:rPr>
            </w:pPr>
          </w:p>
          <w:p w14:paraId="2A86D64B">
            <w:pPr>
              <w:spacing w:line="245" w:lineRule="auto"/>
              <w:rPr>
                <w:rFonts w:ascii="Arial"/>
                <w:color w:val="auto"/>
                <w:sz w:val="21"/>
                <w:highlight w:val="none"/>
              </w:rPr>
            </w:pPr>
          </w:p>
          <w:p w14:paraId="68EF011A">
            <w:pPr>
              <w:spacing w:line="245" w:lineRule="auto"/>
              <w:rPr>
                <w:rFonts w:ascii="Arial"/>
                <w:color w:val="auto"/>
                <w:sz w:val="21"/>
                <w:highlight w:val="none"/>
              </w:rPr>
            </w:pPr>
          </w:p>
          <w:p w14:paraId="0959F1FC">
            <w:pPr>
              <w:spacing w:line="246" w:lineRule="auto"/>
              <w:rPr>
                <w:rFonts w:ascii="Arial"/>
                <w:color w:val="auto"/>
                <w:sz w:val="21"/>
                <w:highlight w:val="none"/>
              </w:rPr>
            </w:pPr>
          </w:p>
          <w:p w14:paraId="7E84C158">
            <w:pPr>
              <w:spacing w:line="246" w:lineRule="auto"/>
              <w:rPr>
                <w:rFonts w:ascii="Arial"/>
                <w:color w:val="auto"/>
                <w:sz w:val="21"/>
                <w:highlight w:val="none"/>
              </w:rPr>
            </w:pPr>
          </w:p>
          <w:p w14:paraId="142FDCF9">
            <w:pPr>
              <w:spacing w:line="246" w:lineRule="auto"/>
              <w:rPr>
                <w:rFonts w:ascii="Arial"/>
                <w:color w:val="auto"/>
                <w:sz w:val="21"/>
                <w:highlight w:val="none"/>
              </w:rPr>
            </w:pPr>
          </w:p>
          <w:p w14:paraId="49E7ADE9">
            <w:pPr>
              <w:spacing w:line="246" w:lineRule="auto"/>
              <w:rPr>
                <w:rFonts w:ascii="Arial"/>
                <w:color w:val="auto"/>
                <w:sz w:val="21"/>
                <w:highlight w:val="none"/>
              </w:rPr>
            </w:pPr>
          </w:p>
          <w:p w14:paraId="4201ACC9">
            <w:pPr>
              <w:spacing w:line="246" w:lineRule="auto"/>
              <w:rPr>
                <w:rFonts w:ascii="Arial"/>
                <w:color w:val="auto"/>
                <w:sz w:val="21"/>
                <w:highlight w:val="none"/>
              </w:rPr>
            </w:pPr>
          </w:p>
          <w:p w14:paraId="6BCE9F37">
            <w:pPr>
              <w:spacing w:line="246" w:lineRule="auto"/>
              <w:rPr>
                <w:rFonts w:ascii="Arial"/>
                <w:color w:val="auto"/>
                <w:sz w:val="21"/>
                <w:highlight w:val="none"/>
              </w:rPr>
            </w:pPr>
          </w:p>
          <w:p w14:paraId="72118DD0">
            <w:pPr>
              <w:spacing w:line="246" w:lineRule="auto"/>
              <w:rPr>
                <w:rFonts w:ascii="Arial"/>
                <w:color w:val="auto"/>
                <w:sz w:val="21"/>
                <w:highlight w:val="none"/>
              </w:rPr>
            </w:pPr>
          </w:p>
          <w:p w14:paraId="1F6ED3DE">
            <w:pPr>
              <w:pStyle w:val="20"/>
              <w:spacing w:before="65" w:line="351" w:lineRule="auto"/>
              <w:ind w:left="251" w:right="144" w:hanging="106"/>
              <w:rPr>
                <w:color w:val="auto"/>
                <w:highlight w:val="none"/>
              </w:rPr>
            </w:pPr>
            <w:r>
              <w:rPr>
                <w:color w:val="auto"/>
                <w:spacing w:val="8"/>
                <w:highlight w:val="none"/>
              </w:rPr>
              <w:t>评标基准价</w:t>
            </w:r>
            <w:r>
              <w:rPr>
                <w:color w:val="auto"/>
                <w:spacing w:val="7"/>
                <w:highlight w:val="none"/>
              </w:rPr>
              <w:t>计算方法</w:t>
            </w:r>
          </w:p>
        </w:tc>
        <w:tc>
          <w:tcPr>
            <w:tcW w:w="6916" w:type="dxa"/>
            <w:gridSpan w:val="7"/>
            <w:vAlign w:val="top"/>
          </w:tcPr>
          <w:p w14:paraId="30A87CA1">
            <w:pPr>
              <w:pStyle w:val="20"/>
              <w:spacing w:before="122" w:line="226" w:lineRule="auto"/>
              <w:ind w:left="532"/>
              <w:rPr>
                <w:color w:val="auto"/>
                <w:highlight w:val="none"/>
              </w:rPr>
            </w:pPr>
            <w:r>
              <w:rPr>
                <w:color w:val="auto"/>
                <w:spacing w:val="7"/>
                <w:highlight w:val="none"/>
              </w:rPr>
              <w:t>评标基准价的计算：</w:t>
            </w:r>
          </w:p>
          <w:p w14:paraId="35153312">
            <w:pPr>
              <w:pStyle w:val="20"/>
              <w:spacing w:before="115" w:line="226" w:lineRule="auto"/>
              <w:ind w:left="532"/>
              <w:rPr>
                <w:color w:val="auto"/>
                <w:highlight w:val="none"/>
              </w:rPr>
            </w:pPr>
            <w:r>
              <w:rPr>
                <w:color w:val="auto"/>
                <w:spacing w:val="9"/>
                <w:highlight w:val="none"/>
              </w:rPr>
              <w:t>在开标现场，招标人将当场计算并宣布评标基准价。</w:t>
            </w:r>
          </w:p>
          <w:p w14:paraId="4AEA4230">
            <w:pPr>
              <w:pStyle w:val="20"/>
              <w:spacing w:before="115" w:line="226" w:lineRule="auto"/>
              <w:ind w:left="543"/>
              <w:rPr>
                <w:color w:val="auto"/>
                <w:highlight w:val="none"/>
              </w:rPr>
            </w:pPr>
            <w:r>
              <w:rPr>
                <w:color w:val="auto"/>
                <w:spacing w:val="6"/>
                <w:highlight w:val="none"/>
              </w:rPr>
              <w:t>（1）评标价的确定：</w:t>
            </w:r>
          </w:p>
          <w:p w14:paraId="630EE5E7">
            <w:pPr>
              <w:pStyle w:val="20"/>
              <w:spacing w:before="115" w:line="226" w:lineRule="auto"/>
              <w:ind w:left="532"/>
              <w:rPr>
                <w:color w:val="auto"/>
                <w:highlight w:val="none"/>
              </w:rPr>
            </w:pPr>
            <w:r>
              <w:rPr>
                <w:color w:val="auto"/>
                <w:spacing w:val="9"/>
                <w:highlight w:val="none"/>
              </w:rPr>
              <w:t>评标价＝投标函文字报价</w:t>
            </w:r>
          </w:p>
          <w:p w14:paraId="0709B4CA">
            <w:pPr>
              <w:pStyle w:val="20"/>
              <w:spacing w:before="115" w:line="294" w:lineRule="auto"/>
              <w:ind w:left="113" w:right="109" w:firstLine="430"/>
              <w:rPr>
                <w:color w:val="auto"/>
                <w:sz w:val="10"/>
                <w:szCs w:val="10"/>
                <w:highlight w:val="none"/>
              </w:rPr>
            </w:pPr>
            <w:r>
              <w:rPr>
                <w:color w:val="auto"/>
                <w:spacing w:val="10"/>
                <w:highlight w:val="none"/>
              </w:rPr>
              <w:t>（2）</w:t>
            </w:r>
            <w:r>
              <w:rPr>
                <w:color w:val="auto"/>
                <w:spacing w:val="10"/>
                <w:highlight w:val="none"/>
                <w:u w:val="single" w:color="auto"/>
              </w:rPr>
              <w:t>评标价的平均值或最高评标限价的计算</w:t>
            </w:r>
            <w:r>
              <w:rPr>
                <w:color w:val="auto"/>
                <w:spacing w:val="-3"/>
                <w:highlight w:val="none"/>
              </w:rPr>
              <w:t>：</w:t>
            </w:r>
          </w:p>
          <w:p w14:paraId="53C61365">
            <w:pPr>
              <w:pStyle w:val="20"/>
              <w:spacing w:before="82" w:line="228" w:lineRule="auto"/>
              <w:ind w:left="534"/>
              <w:rPr>
                <w:color w:val="auto"/>
                <w:highlight w:val="none"/>
              </w:rPr>
            </w:pPr>
            <w:r>
              <w:rPr>
                <w:b/>
                <w:bCs/>
                <w:color w:val="auto"/>
                <w:spacing w:val="3"/>
                <w:highlight w:val="none"/>
              </w:rPr>
              <w:t>方案一</w:t>
            </w:r>
            <w:r>
              <w:rPr>
                <w:color w:val="auto"/>
                <w:spacing w:val="3"/>
                <w:highlight w:val="none"/>
              </w:rPr>
              <w:t>：</w:t>
            </w:r>
          </w:p>
          <w:p w14:paraId="45C706DB">
            <w:pPr>
              <w:pStyle w:val="20"/>
              <w:spacing w:before="113" w:line="225" w:lineRule="auto"/>
              <w:ind w:left="532"/>
              <w:rPr>
                <w:color w:val="auto"/>
                <w:highlight w:val="none"/>
              </w:rPr>
            </w:pPr>
            <w:r>
              <w:rPr>
                <w:color w:val="auto"/>
                <w:spacing w:val="9"/>
                <w:highlight w:val="none"/>
              </w:rPr>
              <w:t>①最高投标限价下浮率的确定</w:t>
            </w:r>
          </w:p>
          <w:p w14:paraId="79BC407D">
            <w:pPr>
              <w:pStyle w:val="20"/>
              <w:spacing w:before="117" w:line="326" w:lineRule="auto"/>
              <w:ind w:left="113" w:right="107" w:firstLine="426"/>
              <w:rPr>
                <w:color w:val="auto"/>
                <w:highlight w:val="none"/>
              </w:rPr>
            </w:pPr>
            <w:r>
              <w:rPr>
                <w:color w:val="auto"/>
                <w:spacing w:val="13"/>
                <w:highlight w:val="none"/>
              </w:rPr>
              <w:t>下浮率在第二个信封（报价文件）开标前在开标现场采取摇珠方</w:t>
            </w:r>
            <w:r>
              <w:rPr>
                <w:color w:val="auto"/>
                <w:spacing w:val="9"/>
                <w:highlight w:val="none"/>
              </w:rPr>
              <w:t>式确定。摇珠操作办法如下：在下浮率摇珠范围内，</w:t>
            </w:r>
            <w:r>
              <w:rPr>
                <w:color w:val="auto"/>
                <w:spacing w:val="-57"/>
                <w:highlight w:val="none"/>
              </w:rPr>
              <w:t xml:space="preserve"> </w:t>
            </w:r>
            <w:r>
              <w:rPr>
                <w:color w:val="auto"/>
                <w:spacing w:val="9"/>
                <w:highlight w:val="none"/>
              </w:rPr>
              <w:t>以</w:t>
            </w:r>
            <w:r>
              <w:rPr>
                <w:color w:val="auto"/>
                <w:spacing w:val="-37"/>
                <w:highlight w:val="none"/>
              </w:rPr>
              <w:t xml:space="preserve"> </w:t>
            </w:r>
            <w:r>
              <w:rPr>
                <w:color w:val="auto"/>
                <w:spacing w:val="9"/>
                <w:highlight w:val="none"/>
              </w:rPr>
              <w:t>0.1%为一档次</w:t>
            </w:r>
            <w:r>
              <w:rPr>
                <w:color w:val="auto"/>
                <w:spacing w:val="5"/>
                <w:highlight w:val="none"/>
              </w:rPr>
              <w:t>增序确定摇珠号码，</w:t>
            </w:r>
            <w:r>
              <w:rPr>
                <w:rFonts w:hint="eastAsia"/>
                <w:color w:val="auto"/>
                <w:spacing w:val="5"/>
                <w:highlight w:val="none"/>
                <w:u w:val="single" w:color="auto"/>
                <w:lang w:val="en-US" w:eastAsia="zh-CN"/>
              </w:rPr>
              <w:t>31</w:t>
            </w:r>
            <w:r>
              <w:rPr>
                <w:color w:val="auto"/>
                <w:spacing w:val="5"/>
                <w:highlight w:val="none"/>
              </w:rPr>
              <w:t>个球</w:t>
            </w:r>
            <w:r>
              <w:rPr>
                <w:color w:val="auto"/>
                <w:spacing w:val="-25"/>
                <w:position w:val="10"/>
                <w:sz w:val="10"/>
                <w:szCs w:val="10"/>
                <w:highlight w:val="none"/>
              </w:rPr>
              <w:t xml:space="preserve"> </w:t>
            </w:r>
            <w:r>
              <w:rPr>
                <w:color w:val="auto"/>
                <w:spacing w:val="5"/>
                <w:highlight w:val="none"/>
              </w:rPr>
              <w:t>,</w:t>
            </w:r>
            <w:r>
              <w:rPr>
                <w:color w:val="auto"/>
                <w:spacing w:val="61"/>
                <w:highlight w:val="none"/>
              </w:rPr>
              <w:t xml:space="preserve"> </w:t>
            </w:r>
            <w:r>
              <w:rPr>
                <w:color w:val="auto"/>
                <w:spacing w:val="5"/>
                <w:highlight w:val="none"/>
              </w:rPr>
              <w:t>每个标段各一次性摇取</w:t>
            </w:r>
            <w:r>
              <w:rPr>
                <w:color w:val="auto"/>
                <w:spacing w:val="-35"/>
                <w:highlight w:val="none"/>
              </w:rPr>
              <w:t xml:space="preserve"> </w:t>
            </w:r>
            <w:r>
              <w:rPr>
                <w:color w:val="auto"/>
                <w:spacing w:val="5"/>
                <w:highlight w:val="none"/>
              </w:rPr>
              <w:t>3</w:t>
            </w:r>
            <w:r>
              <w:rPr>
                <w:color w:val="auto"/>
                <w:spacing w:val="-38"/>
                <w:highlight w:val="none"/>
              </w:rPr>
              <w:t xml:space="preserve"> </w:t>
            </w:r>
            <w:r>
              <w:rPr>
                <w:color w:val="auto"/>
                <w:spacing w:val="5"/>
                <w:highlight w:val="none"/>
              </w:rPr>
              <w:t>个球（摇出的</w:t>
            </w:r>
            <w:r>
              <w:rPr>
                <w:color w:val="auto"/>
                <w:spacing w:val="11"/>
                <w:highlight w:val="none"/>
              </w:rPr>
              <w:t>球不放回</w:t>
            </w:r>
            <w:r>
              <w:rPr>
                <w:color w:val="auto"/>
                <w:spacing w:val="4"/>
                <w:highlight w:val="none"/>
              </w:rPr>
              <w:t>）</w:t>
            </w:r>
            <w:r>
              <w:rPr>
                <w:color w:val="auto"/>
                <w:spacing w:val="-57"/>
                <w:highlight w:val="none"/>
              </w:rPr>
              <w:t xml:space="preserve"> </w:t>
            </w:r>
            <w:r>
              <w:rPr>
                <w:color w:val="auto"/>
                <w:spacing w:val="4"/>
                <w:highlight w:val="none"/>
              </w:rPr>
              <w:t>，</w:t>
            </w:r>
            <w:r>
              <w:rPr>
                <w:color w:val="auto"/>
                <w:spacing w:val="11"/>
                <w:highlight w:val="none"/>
              </w:rPr>
              <w:t>摇出</w:t>
            </w:r>
            <w:r>
              <w:rPr>
                <w:color w:val="auto"/>
                <w:spacing w:val="-30"/>
                <w:highlight w:val="none"/>
              </w:rPr>
              <w:t xml:space="preserve"> </w:t>
            </w:r>
            <w:r>
              <w:rPr>
                <w:color w:val="auto"/>
                <w:spacing w:val="11"/>
                <w:highlight w:val="none"/>
              </w:rPr>
              <w:t>3</w:t>
            </w:r>
            <w:r>
              <w:rPr>
                <w:color w:val="auto"/>
                <w:spacing w:val="-35"/>
                <w:highlight w:val="none"/>
              </w:rPr>
              <w:t xml:space="preserve"> </w:t>
            </w:r>
            <w:r>
              <w:rPr>
                <w:color w:val="auto"/>
                <w:spacing w:val="11"/>
                <w:highlight w:val="none"/>
              </w:rPr>
              <w:t>个球对应的下浮率的平均值即为本标段招标的下浮率。（注：下浮率摇珠区间</w:t>
            </w:r>
            <w:r>
              <w:rPr>
                <w:rFonts w:hint="eastAsia"/>
                <w:color w:val="auto"/>
                <w:spacing w:val="11"/>
                <w:highlight w:val="none"/>
                <w:lang w:eastAsia="zh-CN"/>
              </w:rPr>
              <w:t>为0%-3%</w:t>
            </w:r>
            <w:r>
              <w:rPr>
                <w:color w:val="auto"/>
                <w:spacing w:val="10"/>
                <w:highlight w:val="none"/>
              </w:rPr>
              <w:t>，摇出三个</w:t>
            </w:r>
            <w:r>
              <w:rPr>
                <w:color w:val="auto"/>
                <w:spacing w:val="6"/>
                <w:highlight w:val="none"/>
              </w:rPr>
              <w:t>下浮率的平均值四舍五入取整到</w:t>
            </w:r>
            <w:r>
              <w:rPr>
                <w:color w:val="auto"/>
                <w:spacing w:val="-21"/>
                <w:highlight w:val="none"/>
              </w:rPr>
              <w:t xml:space="preserve"> </w:t>
            </w:r>
            <w:r>
              <w:rPr>
                <w:color w:val="auto"/>
                <w:spacing w:val="6"/>
                <w:highlight w:val="none"/>
              </w:rPr>
              <w:t>0.001%）。</w:t>
            </w:r>
          </w:p>
          <w:p w14:paraId="521238F8">
            <w:pPr>
              <w:pStyle w:val="20"/>
              <w:spacing w:before="40" w:line="225" w:lineRule="auto"/>
              <w:ind w:left="531"/>
              <w:rPr>
                <w:color w:val="auto"/>
                <w:highlight w:val="none"/>
              </w:rPr>
            </w:pPr>
            <w:r>
              <w:rPr>
                <w:color w:val="auto"/>
                <w:spacing w:val="9"/>
                <w:highlight w:val="none"/>
              </w:rPr>
              <w:t>②最高评标限价=最高投标限价×（1-最高投标限</w:t>
            </w:r>
            <w:r>
              <w:rPr>
                <w:color w:val="auto"/>
                <w:spacing w:val="8"/>
                <w:highlight w:val="none"/>
              </w:rPr>
              <w:t>价下浮率）</w:t>
            </w:r>
          </w:p>
          <w:p w14:paraId="49269B05">
            <w:pPr>
              <w:pStyle w:val="20"/>
              <w:spacing w:before="116" w:line="332" w:lineRule="auto"/>
              <w:ind w:left="114" w:right="141" w:firstLine="420"/>
              <w:rPr>
                <w:color w:val="auto"/>
                <w:highlight w:val="none"/>
              </w:rPr>
            </w:pPr>
            <w:r>
              <w:rPr>
                <w:color w:val="auto"/>
                <w:spacing w:val="12"/>
                <w:highlight w:val="none"/>
              </w:rPr>
              <w:t>有效评标价范围：不大于最高评标限价的评标价为有效评标价。</w:t>
            </w:r>
            <w:r>
              <w:rPr>
                <w:color w:val="auto"/>
                <w:spacing w:val="10"/>
                <w:highlight w:val="none"/>
              </w:rPr>
              <w:t>若大于最高评标限价的评标价，其评标价得分为0</w:t>
            </w:r>
            <w:r>
              <w:rPr>
                <w:color w:val="auto"/>
                <w:spacing w:val="-21"/>
                <w:highlight w:val="none"/>
              </w:rPr>
              <w:t xml:space="preserve"> </w:t>
            </w:r>
            <w:r>
              <w:rPr>
                <w:color w:val="auto"/>
                <w:spacing w:val="10"/>
                <w:highlight w:val="none"/>
              </w:rPr>
              <w:t>分。</w:t>
            </w:r>
          </w:p>
          <w:p w14:paraId="1A741D76">
            <w:pPr>
              <w:pStyle w:val="20"/>
              <w:spacing w:line="360" w:lineRule="exact"/>
              <w:ind w:left="543"/>
              <w:rPr>
                <w:color w:val="auto"/>
                <w:sz w:val="10"/>
                <w:szCs w:val="10"/>
                <w:highlight w:val="none"/>
              </w:rPr>
            </w:pPr>
            <w:r>
              <w:rPr>
                <w:color w:val="auto"/>
                <w:spacing w:val="10"/>
                <w:position w:val="3"/>
                <w:highlight w:val="none"/>
              </w:rPr>
              <w:t>（3）评标基准价的确定</w:t>
            </w:r>
            <w:r>
              <w:rPr>
                <w:color w:val="auto"/>
                <w:spacing w:val="-5"/>
                <w:position w:val="3"/>
                <w:highlight w:val="none"/>
              </w:rPr>
              <w:t>：</w:t>
            </w:r>
          </w:p>
          <w:p w14:paraId="4E1D2EA4">
            <w:pPr>
              <w:pStyle w:val="20"/>
              <w:spacing w:before="105" w:line="327" w:lineRule="auto"/>
              <w:ind w:left="132" w:right="107" w:firstLine="402"/>
              <w:rPr>
                <w:color w:val="auto"/>
                <w:highlight w:val="none"/>
              </w:rPr>
            </w:pPr>
            <w:r>
              <w:rPr>
                <w:b/>
                <w:bCs/>
                <w:color w:val="auto"/>
                <w:spacing w:val="15"/>
                <w:highlight w:val="none"/>
              </w:rPr>
              <w:t>方法一：</w:t>
            </w:r>
            <w:r>
              <w:rPr>
                <w:color w:val="auto"/>
                <w:spacing w:val="15"/>
                <w:highlight w:val="none"/>
              </w:rPr>
              <w:t>最高评标限价下浮</w:t>
            </w:r>
            <w:r>
              <w:rPr>
                <w:rFonts w:hint="eastAsia" w:ascii="宋体" w:hAnsi="宋体" w:eastAsia="宋体" w:cs="宋体"/>
                <w:color w:val="auto"/>
                <w:spacing w:val="-72"/>
                <w:highlight w:val="none"/>
              </w:rPr>
              <w:t xml:space="preserve"> </w:t>
            </w:r>
            <w:r>
              <w:rPr>
                <w:rFonts w:hint="eastAsia" w:ascii="宋体" w:hAnsi="宋体" w:eastAsia="宋体" w:cs="宋体"/>
                <w:color w:val="auto"/>
                <w:spacing w:val="12"/>
                <w:highlight w:val="none"/>
                <w:u w:val="single" w:color="auto"/>
                <w:lang w:val="en-US" w:eastAsia="zh-CN"/>
              </w:rPr>
              <w:t>1.0</w:t>
            </w:r>
            <w:r>
              <w:rPr>
                <w:rFonts w:hint="eastAsia" w:ascii="宋体" w:hAnsi="宋体" w:eastAsia="宋体" w:cs="宋体"/>
                <w:color w:val="auto"/>
                <w:spacing w:val="-99"/>
                <w:highlight w:val="none"/>
              </w:rPr>
              <w:t xml:space="preserve"> </w:t>
            </w:r>
            <w:r>
              <w:rPr>
                <w:rFonts w:hint="eastAsia" w:ascii="宋体" w:hAnsi="宋体" w:eastAsia="宋体" w:cs="宋体"/>
                <w:color w:val="auto"/>
                <w:spacing w:val="15"/>
                <w:highlight w:val="none"/>
              </w:rPr>
              <w:t>%</w:t>
            </w:r>
            <w:r>
              <w:rPr>
                <w:color w:val="auto"/>
                <w:spacing w:val="15"/>
                <w:highlight w:val="none"/>
              </w:rPr>
              <w:t>，作为评标基准价。</w:t>
            </w:r>
          </w:p>
          <w:p w14:paraId="6808A584">
            <w:pPr>
              <w:pStyle w:val="20"/>
              <w:spacing w:before="3" w:line="304" w:lineRule="auto"/>
              <w:ind w:left="115" w:right="107" w:firstLine="416"/>
              <w:jc w:val="both"/>
              <w:rPr>
                <w:color w:val="auto"/>
                <w:highlight w:val="none"/>
              </w:rPr>
            </w:pPr>
            <w:r>
              <w:rPr>
                <w:color w:val="auto"/>
                <w:spacing w:val="13"/>
                <w:highlight w:val="none"/>
              </w:rPr>
              <w:t>在评标过程中，评标委员会应对招标人计算的评标基准价进行复</w:t>
            </w:r>
            <w:r>
              <w:rPr>
                <w:color w:val="auto"/>
                <w:spacing w:val="19"/>
                <w:highlight w:val="none"/>
              </w:rPr>
              <w:t>核，存在计算错误的应予以修正并在评标报告中作出说明</w:t>
            </w:r>
            <w:r>
              <w:rPr>
                <w:color w:val="auto"/>
                <w:spacing w:val="-57"/>
                <w:highlight w:val="none"/>
              </w:rPr>
              <w:t xml:space="preserve"> </w:t>
            </w:r>
            <w:r>
              <w:rPr>
                <w:color w:val="auto"/>
                <w:spacing w:val="19"/>
                <w:highlight w:val="none"/>
              </w:rPr>
              <w:t>。除此之</w:t>
            </w:r>
            <w:r>
              <w:rPr>
                <w:color w:val="auto"/>
                <w:spacing w:val="9"/>
                <w:highlight w:val="none"/>
              </w:rPr>
              <w:t>外，评标基准价在整个评标期间保持不变，不随任何因素发生变化。</w:t>
            </w:r>
          </w:p>
          <w:p w14:paraId="56F6E668">
            <w:pPr>
              <w:pStyle w:val="20"/>
              <w:spacing w:before="1" w:line="214" w:lineRule="auto"/>
              <w:ind w:firstLine="452" w:firstLineChars="200"/>
              <w:rPr>
                <w:color w:val="auto"/>
                <w:highlight w:val="none"/>
              </w:rPr>
            </w:pPr>
            <w:r>
              <w:rPr>
                <w:color w:val="auto"/>
                <w:spacing w:val="13"/>
                <w:highlight w:val="none"/>
              </w:rPr>
              <w:t>注：评标价平均值、最高评标限价、评标基准价均四舍五入至个</w:t>
            </w:r>
            <w:r>
              <w:rPr>
                <w:color w:val="auto"/>
                <w:spacing w:val="5"/>
                <w:highlight w:val="none"/>
              </w:rPr>
              <w:t>位整数。</w:t>
            </w:r>
          </w:p>
        </w:tc>
      </w:tr>
      <w:tr w14:paraId="43B32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1034" w:type="dxa"/>
            <w:gridSpan w:val="2"/>
            <w:vAlign w:val="top"/>
          </w:tcPr>
          <w:p w14:paraId="01FFDFF7">
            <w:pPr>
              <w:spacing w:line="455" w:lineRule="auto"/>
              <w:rPr>
                <w:rFonts w:ascii="Arial"/>
                <w:color w:val="auto"/>
                <w:sz w:val="21"/>
                <w:highlight w:val="none"/>
              </w:rPr>
            </w:pPr>
          </w:p>
          <w:p w14:paraId="2A3F27E1">
            <w:pPr>
              <w:pStyle w:val="20"/>
              <w:spacing w:before="65" w:line="268" w:lineRule="exact"/>
              <w:ind w:left="213"/>
              <w:rPr>
                <w:color w:val="auto"/>
                <w:highlight w:val="none"/>
              </w:rPr>
            </w:pPr>
            <w:r>
              <w:rPr>
                <w:color w:val="auto"/>
                <w:spacing w:val="2"/>
                <w:position w:val="1"/>
                <w:highlight w:val="none"/>
              </w:rPr>
              <w:t>2.2.3</w:t>
            </w:r>
          </w:p>
        </w:tc>
        <w:tc>
          <w:tcPr>
            <w:tcW w:w="1336" w:type="dxa"/>
            <w:gridSpan w:val="5"/>
            <w:vAlign w:val="top"/>
          </w:tcPr>
          <w:p w14:paraId="3099BEA3">
            <w:pPr>
              <w:pStyle w:val="20"/>
              <w:spacing w:before="144" w:line="226" w:lineRule="auto"/>
              <w:ind w:left="145"/>
              <w:rPr>
                <w:color w:val="auto"/>
                <w:highlight w:val="none"/>
              </w:rPr>
            </w:pPr>
            <w:r>
              <w:rPr>
                <w:color w:val="auto"/>
                <w:spacing w:val="8"/>
                <w:highlight w:val="none"/>
              </w:rPr>
              <w:t>评标价的偏</w:t>
            </w:r>
          </w:p>
          <w:p w14:paraId="3D5E7547">
            <w:pPr>
              <w:pStyle w:val="20"/>
              <w:spacing w:before="134" w:line="284" w:lineRule="auto"/>
              <w:ind w:left="569" w:right="144" w:hanging="421"/>
              <w:rPr>
                <w:color w:val="auto"/>
                <w:highlight w:val="none"/>
              </w:rPr>
            </w:pPr>
            <w:r>
              <w:rPr>
                <w:color w:val="auto"/>
                <w:spacing w:val="7"/>
                <w:highlight w:val="none"/>
              </w:rPr>
              <w:t>差率计算公</w:t>
            </w:r>
            <w:r>
              <w:rPr>
                <w:color w:val="auto"/>
                <w:highlight w:val="none"/>
              </w:rPr>
              <w:t>式</w:t>
            </w:r>
          </w:p>
        </w:tc>
        <w:tc>
          <w:tcPr>
            <w:tcW w:w="6916" w:type="dxa"/>
            <w:gridSpan w:val="7"/>
            <w:vAlign w:val="top"/>
          </w:tcPr>
          <w:p w14:paraId="4C8D3DF1">
            <w:pPr>
              <w:pStyle w:val="20"/>
              <w:spacing w:before="154" w:line="226" w:lineRule="auto"/>
              <w:ind w:left="533"/>
              <w:rPr>
                <w:color w:val="auto"/>
                <w:highlight w:val="none"/>
              </w:rPr>
            </w:pPr>
            <w:r>
              <w:rPr>
                <w:color w:val="auto"/>
                <w:spacing w:val="7"/>
                <w:highlight w:val="none"/>
              </w:rPr>
              <w:t>偏差率=100%×（投标人评标价－评标基准价）/评标基准价</w:t>
            </w:r>
          </w:p>
          <w:p w14:paraId="6B87B6DE">
            <w:pPr>
              <w:pStyle w:val="20"/>
              <w:spacing w:before="113" w:line="289" w:lineRule="auto"/>
              <w:ind w:left="113" w:right="158" w:firstLine="420"/>
              <w:rPr>
                <w:color w:val="auto"/>
                <w:highlight w:val="none"/>
              </w:rPr>
            </w:pPr>
            <w:r>
              <w:rPr>
                <w:color w:val="auto"/>
                <w:spacing w:val="11"/>
                <w:highlight w:val="none"/>
              </w:rPr>
              <w:t>注：偏差率保留百分比后四位小数，小数点后第五位四舍五入，</w:t>
            </w:r>
            <w:r>
              <w:rPr>
                <w:color w:val="auto"/>
                <w:spacing w:val="2"/>
                <w:highlight w:val="none"/>
              </w:rPr>
              <w:t>例如</w:t>
            </w:r>
            <w:r>
              <w:rPr>
                <w:color w:val="auto"/>
                <w:spacing w:val="-24"/>
                <w:highlight w:val="none"/>
              </w:rPr>
              <w:t xml:space="preserve"> </w:t>
            </w:r>
            <w:r>
              <w:rPr>
                <w:color w:val="auto"/>
                <w:spacing w:val="2"/>
                <w:highlight w:val="none"/>
              </w:rPr>
              <w:t>1.2345%。</w:t>
            </w:r>
          </w:p>
        </w:tc>
      </w:tr>
      <w:tr w14:paraId="08A87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4564" w:type="dxa"/>
            <w:gridSpan w:val="12"/>
            <w:vAlign w:val="top"/>
          </w:tcPr>
          <w:p w14:paraId="17C4B072">
            <w:pPr>
              <w:pStyle w:val="20"/>
              <w:spacing w:before="126" w:line="234" w:lineRule="auto"/>
              <w:ind w:left="1287"/>
              <w:rPr>
                <w:color w:val="auto"/>
                <w:sz w:val="10"/>
                <w:szCs w:val="10"/>
                <w:highlight w:val="none"/>
              </w:rPr>
            </w:pPr>
            <w:r>
              <w:rPr>
                <w:b/>
                <w:bCs/>
                <w:color w:val="auto"/>
                <w:spacing w:val="7"/>
                <w:highlight w:val="none"/>
              </w:rPr>
              <w:t>评分因素与权重分值</w:t>
            </w:r>
          </w:p>
        </w:tc>
        <w:tc>
          <w:tcPr>
            <w:tcW w:w="4722" w:type="dxa"/>
            <w:gridSpan w:val="2"/>
            <w:vMerge w:val="restart"/>
            <w:tcBorders>
              <w:bottom w:val="nil"/>
            </w:tcBorders>
            <w:vAlign w:val="top"/>
          </w:tcPr>
          <w:p w14:paraId="222E480C">
            <w:pPr>
              <w:spacing w:line="316" w:lineRule="auto"/>
              <w:rPr>
                <w:rFonts w:ascii="Arial"/>
                <w:color w:val="auto"/>
                <w:sz w:val="21"/>
                <w:highlight w:val="none"/>
              </w:rPr>
            </w:pPr>
          </w:p>
          <w:p w14:paraId="25A95921">
            <w:pPr>
              <w:spacing w:line="317" w:lineRule="auto"/>
              <w:rPr>
                <w:rFonts w:ascii="Arial"/>
                <w:color w:val="auto"/>
                <w:sz w:val="21"/>
                <w:highlight w:val="none"/>
              </w:rPr>
            </w:pPr>
          </w:p>
          <w:p w14:paraId="217657BF">
            <w:pPr>
              <w:pStyle w:val="20"/>
              <w:spacing w:before="65" w:line="264" w:lineRule="exact"/>
              <w:ind w:left="1694"/>
              <w:rPr>
                <w:color w:val="auto"/>
                <w:sz w:val="10"/>
                <w:szCs w:val="10"/>
                <w:highlight w:val="none"/>
              </w:rPr>
            </w:pPr>
            <w:r>
              <w:rPr>
                <w:b/>
                <w:bCs/>
                <w:color w:val="auto"/>
                <w:spacing w:val="6"/>
                <w:highlight w:val="none"/>
              </w:rPr>
              <w:t>评分标准</w:t>
            </w:r>
          </w:p>
        </w:tc>
      </w:tr>
      <w:tr w14:paraId="6C732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834" w:type="dxa"/>
            <w:vAlign w:val="top"/>
          </w:tcPr>
          <w:p w14:paraId="7D61B0D6">
            <w:pPr>
              <w:spacing w:line="450" w:lineRule="auto"/>
              <w:rPr>
                <w:rFonts w:ascii="Arial"/>
                <w:color w:val="auto"/>
                <w:sz w:val="21"/>
                <w:highlight w:val="none"/>
              </w:rPr>
            </w:pPr>
          </w:p>
          <w:p w14:paraId="5A92DCEA">
            <w:pPr>
              <w:pStyle w:val="20"/>
              <w:spacing w:before="65" w:line="228" w:lineRule="auto"/>
              <w:ind w:left="155"/>
              <w:rPr>
                <w:color w:val="auto"/>
                <w:highlight w:val="none"/>
              </w:rPr>
            </w:pPr>
            <w:r>
              <w:rPr>
                <w:b/>
                <w:bCs/>
                <w:color w:val="auto"/>
                <w:spacing w:val="5"/>
                <w:highlight w:val="none"/>
              </w:rPr>
              <w:t>条款号</w:t>
            </w:r>
          </w:p>
        </w:tc>
        <w:tc>
          <w:tcPr>
            <w:tcW w:w="1048" w:type="dxa"/>
            <w:gridSpan w:val="5"/>
            <w:vAlign w:val="top"/>
          </w:tcPr>
          <w:p w14:paraId="6523F139">
            <w:pPr>
              <w:spacing w:line="450" w:lineRule="auto"/>
              <w:rPr>
                <w:rFonts w:ascii="Arial"/>
                <w:color w:val="auto"/>
                <w:sz w:val="21"/>
                <w:highlight w:val="none"/>
              </w:rPr>
            </w:pPr>
          </w:p>
          <w:p w14:paraId="1B8F9A0E">
            <w:pPr>
              <w:pStyle w:val="20"/>
              <w:spacing w:before="65" w:line="228" w:lineRule="auto"/>
              <w:ind w:left="168"/>
              <w:rPr>
                <w:color w:val="auto"/>
                <w:highlight w:val="none"/>
              </w:rPr>
            </w:pPr>
            <w:r>
              <w:rPr>
                <w:b/>
                <w:bCs/>
                <w:color w:val="auto"/>
                <w:spacing w:val="6"/>
                <w:highlight w:val="none"/>
              </w:rPr>
              <w:t>评分因素</w:t>
            </w:r>
          </w:p>
        </w:tc>
        <w:tc>
          <w:tcPr>
            <w:tcW w:w="956" w:type="dxa"/>
            <w:gridSpan w:val="2"/>
            <w:vAlign w:val="top"/>
          </w:tcPr>
          <w:p w14:paraId="36BB20CA">
            <w:pPr>
              <w:spacing w:line="263" w:lineRule="auto"/>
              <w:rPr>
                <w:rFonts w:ascii="Arial"/>
                <w:color w:val="auto"/>
                <w:sz w:val="21"/>
                <w:highlight w:val="none"/>
              </w:rPr>
            </w:pPr>
          </w:p>
          <w:p w14:paraId="6ACC61C8">
            <w:pPr>
              <w:pStyle w:val="20"/>
              <w:spacing w:before="65" w:line="351" w:lineRule="auto"/>
              <w:ind w:left="43" w:right="35"/>
              <w:rPr>
                <w:color w:val="auto"/>
                <w:highlight w:val="none"/>
              </w:rPr>
            </w:pPr>
            <w:r>
              <w:rPr>
                <w:b/>
                <w:bCs/>
                <w:color w:val="auto"/>
                <w:spacing w:val="6"/>
                <w:highlight w:val="none"/>
              </w:rPr>
              <w:t>评分因素权重分值</w:t>
            </w:r>
          </w:p>
        </w:tc>
        <w:tc>
          <w:tcPr>
            <w:tcW w:w="1126" w:type="dxa"/>
            <w:vAlign w:val="top"/>
          </w:tcPr>
          <w:p w14:paraId="0D3C3B71">
            <w:pPr>
              <w:pStyle w:val="20"/>
              <w:spacing w:before="140" w:line="228" w:lineRule="auto"/>
              <w:ind w:left="164"/>
              <w:rPr>
                <w:color w:val="auto"/>
                <w:highlight w:val="none"/>
              </w:rPr>
            </w:pPr>
            <w:r>
              <w:rPr>
                <w:b/>
                <w:bCs/>
                <w:color w:val="auto"/>
                <w:spacing w:val="4"/>
                <w:highlight w:val="none"/>
              </w:rPr>
              <w:t>各评分</w:t>
            </w:r>
          </w:p>
          <w:p w14:paraId="769E46D6">
            <w:pPr>
              <w:pStyle w:val="20"/>
              <w:spacing w:before="132" w:line="284" w:lineRule="auto"/>
              <w:ind w:left="269" w:right="156" w:hanging="91"/>
              <w:rPr>
                <w:color w:val="auto"/>
                <w:highlight w:val="none"/>
              </w:rPr>
            </w:pPr>
            <w:r>
              <w:rPr>
                <w:b/>
                <w:bCs/>
                <w:color w:val="auto"/>
                <w:highlight w:val="none"/>
              </w:rPr>
              <w:t>因素细</w:t>
            </w:r>
            <w:r>
              <w:rPr>
                <w:b/>
                <w:bCs/>
                <w:color w:val="auto"/>
                <w:spacing w:val="2"/>
                <w:highlight w:val="none"/>
              </w:rPr>
              <w:t>分项</w:t>
            </w:r>
          </w:p>
        </w:tc>
        <w:tc>
          <w:tcPr>
            <w:tcW w:w="600" w:type="dxa"/>
            <w:gridSpan w:val="3"/>
            <w:textDirection w:val="tbRlV"/>
            <w:vAlign w:val="top"/>
          </w:tcPr>
          <w:p w14:paraId="63EC38ED">
            <w:pPr>
              <w:pStyle w:val="20"/>
              <w:spacing w:before="193" w:line="216" w:lineRule="auto"/>
              <w:ind w:left="329"/>
              <w:rPr>
                <w:color w:val="auto"/>
                <w:highlight w:val="none"/>
              </w:rPr>
            </w:pPr>
            <w:r>
              <w:rPr>
                <w:b/>
                <w:bCs/>
                <w:color w:val="auto"/>
                <w:spacing w:val="6"/>
                <w:highlight w:val="none"/>
              </w:rPr>
              <w:t>分</w:t>
            </w:r>
            <w:r>
              <w:rPr>
                <w:color w:val="auto"/>
                <w:spacing w:val="70"/>
                <w:highlight w:val="none"/>
              </w:rPr>
              <w:t xml:space="preserve"> </w:t>
            </w:r>
            <w:r>
              <w:rPr>
                <w:b/>
                <w:bCs/>
                <w:color w:val="auto"/>
                <w:spacing w:val="6"/>
                <w:highlight w:val="none"/>
              </w:rPr>
              <w:t>值</w:t>
            </w:r>
          </w:p>
        </w:tc>
        <w:tc>
          <w:tcPr>
            <w:tcW w:w="4722" w:type="dxa"/>
            <w:gridSpan w:val="2"/>
            <w:vMerge w:val="continue"/>
            <w:tcBorders>
              <w:top w:val="nil"/>
            </w:tcBorders>
            <w:vAlign w:val="top"/>
          </w:tcPr>
          <w:p w14:paraId="45514FB6">
            <w:pPr>
              <w:rPr>
                <w:rFonts w:ascii="Arial"/>
                <w:color w:val="auto"/>
                <w:sz w:val="21"/>
                <w:highlight w:val="none"/>
              </w:rPr>
            </w:pPr>
          </w:p>
        </w:tc>
      </w:tr>
      <w:tr w14:paraId="6FB90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4" w:hRule="atLeast"/>
        </w:trPr>
        <w:tc>
          <w:tcPr>
            <w:tcW w:w="834" w:type="dxa"/>
            <w:vMerge w:val="restart"/>
            <w:vAlign w:val="center"/>
          </w:tcPr>
          <w:p w14:paraId="19B10F6C">
            <w:pPr>
              <w:pStyle w:val="20"/>
              <w:keepNext w:val="0"/>
              <w:keepLines w:val="0"/>
              <w:pageBreakBefore w:val="0"/>
              <w:widowControl/>
              <w:kinsoku w:val="0"/>
              <w:wordWrap/>
              <w:overflowPunct/>
              <w:topLinePunct w:val="0"/>
              <w:autoSpaceDE w:val="0"/>
              <w:autoSpaceDN w:val="0"/>
              <w:bidi w:val="0"/>
              <w:adjustRightInd w:val="0"/>
              <w:snapToGrid w:val="0"/>
              <w:spacing w:line="268" w:lineRule="exact"/>
              <w:jc w:val="center"/>
              <w:textAlignment w:val="baseline"/>
              <w:rPr>
                <w:color w:val="auto"/>
                <w:highlight w:val="none"/>
              </w:rPr>
            </w:pPr>
            <w:r>
              <w:rPr>
                <w:color w:val="auto"/>
                <w:spacing w:val="2"/>
                <w:position w:val="1"/>
                <w:highlight w:val="none"/>
              </w:rPr>
              <w:t>2.2.4</w:t>
            </w:r>
          </w:p>
          <w:p w14:paraId="1642A5C5">
            <w:pPr>
              <w:pStyle w:val="20"/>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color w:val="auto"/>
                <w:highlight w:val="none"/>
              </w:rPr>
            </w:pPr>
            <w:r>
              <w:rPr>
                <w:color w:val="auto"/>
                <w:spacing w:val="-10"/>
                <w:highlight w:val="none"/>
              </w:rPr>
              <w:t>(1)</w:t>
            </w:r>
          </w:p>
        </w:tc>
        <w:tc>
          <w:tcPr>
            <w:tcW w:w="1048" w:type="dxa"/>
            <w:gridSpan w:val="5"/>
            <w:vMerge w:val="restart"/>
            <w:vAlign w:val="center"/>
          </w:tcPr>
          <w:p w14:paraId="7959202C">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color w:val="auto"/>
                <w:spacing w:val="7"/>
                <w:highlight w:val="none"/>
              </w:rPr>
              <w:t>技术建议</w:t>
            </w:r>
            <w:r>
              <w:rPr>
                <w:color w:val="auto"/>
                <w:spacing w:val="1"/>
                <w:position w:val="-2"/>
                <w:highlight w:val="none"/>
              </w:rPr>
              <w:t>书</w:t>
            </w:r>
          </w:p>
        </w:tc>
        <w:tc>
          <w:tcPr>
            <w:tcW w:w="956" w:type="dxa"/>
            <w:gridSpan w:val="2"/>
            <w:vMerge w:val="restart"/>
            <w:vAlign w:val="center"/>
          </w:tcPr>
          <w:p w14:paraId="2F82265B">
            <w:pPr>
              <w:pStyle w:val="20"/>
              <w:spacing w:before="65" w:line="228" w:lineRule="auto"/>
              <w:jc w:val="center"/>
              <w:rPr>
                <w:color w:val="auto"/>
                <w:highlight w:val="none"/>
              </w:rPr>
            </w:pPr>
            <w:r>
              <w:rPr>
                <w:color w:val="auto"/>
                <w:spacing w:val="-1"/>
                <w:highlight w:val="none"/>
              </w:rPr>
              <w:t>30</w:t>
            </w:r>
            <w:r>
              <w:rPr>
                <w:color w:val="auto"/>
                <w:spacing w:val="-38"/>
                <w:highlight w:val="none"/>
              </w:rPr>
              <w:t xml:space="preserve"> </w:t>
            </w:r>
            <w:r>
              <w:rPr>
                <w:color w:val="auto"/>
                <w:spacing w:val="-1"/>
                <w:highlight w:val="none"/>
              </w:rPr>
              <w:t>分</w:t>
            </w:r>
          </w:p>
        </w:tc>
        <w:tc>
          <w:tcPr>
            <w:tcW w:w="1126" w:type="dxa"/>
            <w:vMerge w:val="restart"/>
            <w:tcBorders>
              <w:bottom w:val="nil"/>
            </w:tcBorders>
            <w:vAlign w:val="center"/>
          </w:tcPr>
          <w:p w14:paraId="43406811">
            <w:pPr>
              <w:pStyle w:val="20"/>
              <w:spacing w:before="65" w:line="351" w:lineRule="auto"/>
              <w:ind w:left="162" w:right="158"/>
              <w:jc w:val="center"/>
              <w:rPr>
                <w:color w:val="auto"/>
                <w:highlight w:val="none"/>
              </w:rPr>
            </w:pPr>
            <w:r>
              <w:rPr>
                <w:color w:val="auto"/>
                <w:spacing w:val="6"/>
                <w:highlight w:val="none"/>
              </w:rPr>
              <w:t>监理大纲（或监理方案）和</w:t>
            </w:r>
            <w:r>
              <w:rPr>
                <w:color w:val="auto"/>
                <w:spacing w:val="15"/>
                <w:w w:val="121"/>
                <w:highlight w:val="none"/>
              </w:rPr>
              <w:t>措施</w:t>
            </w:r>
          </w:p>
        </w:tc>
        <w:tc>
          <w:tcPr>
            <w:tcW w:w="600" w:type="dxa"/>
            <w:gridSpan w:val="3"/>
            <w:vMerge w:val="restart"/>
            <w:tcBorders>
              <w:bottom w:val="nil"/>
            </w:tcBorders>
            <w:vAlign w:val="center"/>
          </w:tcPr>
          <w:p w14:paraId="6486B953">
            <w:pPr>
              <w:pStyle w:val="20"/>
              <w:keepNext w:val="0"/>
              <w:keepLines w:val="0"/>
              <w:pageBreakBefore w:val="0"/>
              <w:widowControl/>
              <w:kinsoku w:val="0"/>
              <w:wordWrap/>
              <w:overflowPunct/>
              <w:topLinePunct w:val="0"/>
              <w:autoSpaceDE w:val="0"/>
              <w:autoSpaceDN w:val="0"/>
              <w:bidi w:val="0"/>
              <w:adjustRightInd w:val="0"/>
              <w:snapToGrid w:val="0"/>
              <w:spacing w:line="356" w:lineRule="auto"/>
              <w:ind w:right="0"/>
              <w:jc w:val="center"/>
              <w:textAlignment w:val="baseline"/>
              <w:rPr>
                <w:color w:val="auto"/>
                <w:highlight w:val="none"/>
              </w:rPr>
            </w:pPr>
            <w:r>
              <w:rPr>
                <w:color w:val="auto"/>
                <w:spacing w:val="-7"/>
                <w:highlight w:val="none"/>
                <w:u w:val="single" w:color="auto"/>
              </w:rPr>
              <w:t>15</w:t>
            </w:r>
            <w:r>
              <w:rPr>
                <w:color w:val="auto"/>
                <w:spacing w:val="-2"/>
                <w:highlight w:val="none"/>
              </w:rPr>
              <w:t>分</w:t>
            </w:r>
          </w:p>
        </w:tc>
        <w:tc>
          <w:tcPr>
            <w:tcW w:w="1181" w:type="dxa"/>
            <w:vAlign w:val="top"/>
          </w:tcPr>
          <w:p w14:paraId="44B0A37C">
            <w:pPr>
              <w:spacing w:line="264" w:lineRule="auto"/>
              <w:rPr>
                <w:rFonts w:ascii="Arial"/>
                <w:color w:val="auto"/>
                <w:sz w:val="21"/>
                <w:highlight w:val="none"/>
              </w:rPr>
            </w:pPr>
          </w:p>
          <w:p w14:paraId="790BA314">
            <w:pPr>
              <w:spacing w:line="265" w:lineRule="auto"/>
              <w:rPr>
                <w:rFonts w:ascii="Arial"/>
                <w:color w:val="auto"/>
                <w:sz w:val="21"/>
                <w:highlight w:val="none"/>
              </w:rPr>
            </w:pPr>
          </w:p>
          <w:p w14:paraId="6E0B924E">
            <w:pPr>
              <w:spacing w:line="265" w:lineRule="auto"/>
              <w:rPr>
                <w:rFonts w:ascii="Arial"/>
                <w:color w:val="auto"/>
                <w:sz w:val="21"/>
                <w:highlight w:val="none"/>
              </w:rPr>
            </w:pPr>
          </w:p>
          <w:p w14:paraId="4933B684">
            <w:pPr>
              <w:spacing w:line="265" w:lineRule="auto"/>
              <w:rPr>
                <w:rFonts w:ascii="Arial"/>
                <w:color w:val="auto"/>
                <w:sz w:val="21"/>
                <w:highlight w:val="none"/>
              </w:rPr>
            </w:pPr>
          </w:p>
          <w:p w14:paraId="7FCEFB66">
            <w:pPr>
              <w:pStyle w:val="20"/>
              <w:spacing w:before="65" w:line="278" w:lineRule="auto"/>
              <w:ind w:left="211" w:right="170" w:hanging="35"/>
              <w:jc w:val="both"/>
              <w:rPr>
                <w:color w:val="auto"/>
                <w:highlight w:val="none"/>
              </w:rPr>
            </w:pPr>
            <w:r>
              <w:rPr>
                <w:color w:val="auto"/>
                <w:spacing w:val="7"/>
                <w:highlight w:val="none"/>
              </w:rPr>
              <w:t>质量和安</w:t>
            </w:r>
            <w:r>
              <w:rPr>
                <w:color w:val="auto"/>
                <w:spacing w:val="29"/>
                <w:highlight w:val="none"/>
              </w:rPr>
              <w:t>全监理</w:t>
            </w:r>
            <w:r>
              <w:rPr>
                <w:color w:val="auto"/>
                <w:spacing w:val="-2"/>
                <w:highlight w:val="none"/>
              </w:rPr>
              <w:t>（</w:t>
            </w:r>
            <w:r>
              <w:rPr>
                <w:color w:val="auto"/>
                <w:spacing w:val="-2"/>
                <w:highlight w:val="none"/>
                <w:u w:val="single" w:color="auto"/>
              </w:rPr>
              <w:t>5</w:t>
            </w:r>
            <w:r>
              <w:rPr>
                <w:color w:val="auto"/>
                <w:spacing w:val="-36"/>
                <w:highlight w:val="none"/>
                <w:u w:val="single" w:color="auto"/>
              </w:rPr>
              <w:t xml:space="preserve"> </w:t>
            </w:r>
            <w:r>
              <w:rPr>
                <w:color w:val="auto"/>
                <w:spacing w:val="-2"/>
                <w:highlight w:val="none"/>
              </w:rPr>
              <w:t>分）</w:t>
            </w:r>
          </w:p>
        </w:tc>
        <w:tc>
          <w:tcPr>
            <w:tcW w:w="3541" w:type="dxa"/>
            <w:vAlign w:val="top"/>
          </w:tcPr>
          <w:p w14:paraId="37670502">
            <w:pPr>
              <w:pStyle w:val="20"/>
              <w:spacing w:before="136" w:line="332" w:lineRule="auto"/>
              <w:ind w:left="114" w:right="107" w:firstLine="1"/>
              <w:rPr>
                <w:color w:val="auto"/>
                <w:highlight w:val="none"/>
              </w:rPr>
            </w:pPr>
            <w:r>
              <w:rPr>
                <w:color w:val="auto"/>
                <w:spacing w:val="21"/>
                <w:highlight w:val="none"/>
              </w:rPr>
              <w:t>质量和安全监理目标明确</w:t>
            </w:r>
            <w:r>
              <w:rPr>
                <w:color w:val="auto"/>
                <w:spacing w:val="-53"/>
                <w:highlight w:val="none"/>
              </w:rPr>
              <w:t xml:space="preserve"> </w:t>
            </w:r>
            <w:r>
              <w:rPr>
                <w:color w:val="auto"/>
                <w:spacing w:val="21"/>
                <w:highlight w:val="none"/>
              </w:rPr>
              <w:t>，且</w:t>
            </w:r>
            <w:r>
              <w:rPr>
                <w:color w:val="auto"/>
                <w:spacing w:val="24"/>
                <w:highlight w:val="none"/>
              </w:rPr>
              <w:t>完全响应广东省施工标准化和</w:t>
            </w:r>
            <w:r>
              <w:rPr>
                <w:color w:val="auto"/>
                <w:spacing w:val="15"/>
                <w:highlight w:val="none"/>
              </w:rPr>
              <w:t>安全标准化指南的得</w:t>
            </w:r>
            <w:r>
              <w:rPr>
                <w:color w:val="auto"/>
                <w:spacing w:val="-15"/>
                <w:highlight w:val="none"/>
              </w:rPr>
              <w:t xml:space="preserve"> </w:t>
            </w:r>
            <w:r>
              <w:rPr>
                <w:color w:val="auto"/>
                <w:spacing w:val="15"/>
                <w:highlight w:val="none"/>
                <w:u w:val="single" w:color="auto"/>
              </w:rPr>
              <w:t>3.0</w:t>
            </w:r>
            <w:r>
              <w:rPr>
                <w:color w:val="auto"/>
                <w:spacing w:val="-18"/>
                <w:highlight w:val="none"/>
                <w:u w:val="single" w:color="auto"/>
              </w:rPr>
              <w:t xml:space="preserve"> </w:t>
            </w:r>
            <w:r>
              <w:rPr>
                <w:color w:val="auto"/>
                <w:spacing w:val="15"/>
                <w:highlight w:val="none"/>
              </w:rPr>
              <w:t>分</w:t>
            </w:r>
            <w:r>
              <w:rPr>
                <w:color w:val="auto"/>
                <w:spacing w:val="-55"/>
                <w:highlight w:val="none"/>
              </w:rPr>
              <w:t xml:space="preserve"> </w:t>
            </w:r>
            <w:r>
              <w:rPr>
                <w:color w:val="auto"/>
                <w:spacing w:val="15"/>
                <w:highlight w:val="none"/>
              </w:rPr>
              <w:t>；</w:t>
            </w:r>
            <w:r>
              <w:rPr>
                <w:color w:val="auto"/>
                <w:spacing w:val="21"/>
                <w:highlight w:val="none"/>
              </w:rPr>
              <w:t>监理措施具体且有效</w:t>
            </w:r>
            <w:r>
              <w:rPr>
                <w:color w:val="auto"/>
                <w:spacing w:val="-51"/>
                <w:highlight w:val="none"/>
              </w:rPr>
              <w:t xml:space="preserve"> </w:t>
            </w:r>
            <w:r>
              <w:rPr>
                <w:color w:val="auto"/>
                <w:spacing w:val="21"/>
                <w:highlight w:val="none"/>
              </w:rPr>
              <w:t>，对质量</w:t>
            </w:r>
            <w:r>
              <w:rPr>
                <w:color w:val="auto"/>
                <w:spacing w:val="24"/>
                <w:highlight w:val="none"/>
              </w:rPr>
              <w:t>和安全问题所采取的对策及预</w:t>
            </w:r>
            <w:r>
              <w:rPr>
                <w:color w:val="auto"/>
                <w:spacing w:val="18"/>
                <w:highlight w:val="none"/>
              </w:rPr>
              <w:t>控方法合理可行的</w:t>
            </w:r>
            <w:r>
              <w:rPr>
                <w:color w:val="auto"/>
                <w:spacing w:val="-54"/>
                <w:highlight w:val="none"/>
              </w:rPr>
              <w:t xml:space="preserve"> </w:t>
            </w:r>
            <w:r>
              <w:rPr>
                <w:color w:val="auto"/>
                <w:spacing w:val="18"/>
                <w:highlight w:val="none"/>
              </w:rPr>
              <w:t>，</w:t>
            </w:r>
            <w:r>
              <w:rPr>
                <w:color w:val="auto"/>
                <w:spacing w:val="-58"/>
                <w:highlight w:val="none"/>
              </w:rPr>
              <w:t xml:space="preserve"> </w:t>
            </w:r>
            <w:r>
              <w:rPr>
                <w:color w:val="auto"/>
                <w:spacing w:val="18"/>
                <w:highlight w:val="none"/>
              </w:rPr>
              <w:t>响应广东</w:t>
            </w:r>
            <w:r>
              <w:rPr>
                <w:color w:val="auto"/>
                <w:spacing w:val="24"/>
                <w:highlight w:val="none"/>
              </w:rPr>
              <w:t>省施工标准化和安全标准化指</w:t>
            </w:r>
            <w:r>
              <w:rPr>
                <w:color w:val="auto"/>
                <w:spacing w:val="5"/>
                <w:highlight w:val="none"/>
              </w:rPr>
              <w:t>南程度，酌情加</w:t>
            </w:r>
            <w:r>
              <w:rPr>
                <w:color w:val="auto"/>
                <w:spacing w:val="-34"/>
                <w:highlight w:val="none"/>
              </w:rPr>
              <w:t xml:space="preserve"> </w:t>
            </w:r>
            <w:r>
              <w:rPr>
                <w:color w:val="auto"/>
                <w:spacing w:val="5"/>
                <w:highlight w:val="none"/>
              </w:rPr>
              <w:t>0-</w:t>
            </w:r>
            <w:r>
              <w:rPr>
                <w:color w:val="auto"/>
                <w:spacing w:val="5"/>
                <w:highlight w:val="none"/>
                <w:u w:val="single" w:color="auto"/>
              </w:rPr>
              <w:t>2.0</w:t>
            </w:r>
            <w:r>
              <w:rPr>
                <w:color w:val="auto"/>
                <w:spacing w:val="-36"/>
                <w:highlight w:val="none"/>
                <w:u w:val="single" w:color="auto"/>
              </w:rPr>
              <w:t xml:space="preserve"> </w:t>
            </w:r>
            <w:r>
              <w:rPr>
                <w:color w:val="auto"/>
                <w:spacing w:val="5"/>
                <w:highlight w:val="none"/>
              </w:rPr>
              <w:t>分；</w:t>
            </w:r>
          </w:p>
        </w:tc>
      </w:tr>
      <w:tr w14:paraId="5098F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5" w:hRule="atLeast"/>
        </w:trPr>
        <w:tc>
          <w:tcPr>
            <w:tcW w:w="834" w:type="dxa"/>
            <w:vMerge w:val="continue"/>
            <w:vAlign w:val="top"/>
          </w:tcPr>
          <w:p w14:paraId="51F8A7FF">
            <w:pPr>
              <w:rPr>
                <w:rFonts w:ascii="Arial"/>
                <w:color w:val="auto"/>
                <w:sz w:val="21"/>
                <w:highlight w:val="none"/>
              </w:rPr>
            </w:pPr>
          </w:p>
        </w:tc>
        <w:tc>
          <w:tcPr>
            <w:tcW w:w="1048" w:type="dxa"/>
            <w:gridSpan w:val="5"/>
            <w:vMerge w:val="continue"/>
            <w:vAlign w:val="top"/>
          </w:tcPr>
          <w:p w14:paraId="5177B5BE">
            <w:pPr>
              <w:rPr>
                <w:rFonts w:ascii="Arial"/>
                <w:color w:val="auto"/>
                <w:sz w:val="21"/>
                <w:highlight w:val="none"/>
              </w:rPr>
            </w:pPr>
          </w:p>
        </w:tc>
        <w:tc>
          <w:tcPr>
            <w:tcW w:w="956" w:type="dxa"/>
            <w:gridSpan w:val="2"/>
            <w:vMerge w:val="continue"/>
            <w:vAlign w:val="top"/>
          </w:tcPr>
          <w:p w14:paraId="45085AD6">
            <w:pPr>
              <w:rPr>
                <w:rFonts w:ascii="Arial"/>
                <w:color w:val="auto"/>
                <w:sz w:val="21"/>
                <w:highlight w:val="none"/>
              </w:rPr>
            </w:pPr>
          </w:p>
        </w:tc>
        <w:tc>
          <w:tcPr>
            <w:tcW w:w="1126" w:type="dxa"/>
            <w:vMerge w:val="continue"/>
            <w:tcBorders>
              <w:top w:val="nil"/>
              <w:bottom w:val="nil"/>
            </w:tcBorders>
            <w:vAlign w:val="top"/>
          </w:tcPr>
          <w:p w14:paraId="2A6B4A98">
            <w:pPr>
              <w:rPr>
                <w:rFonts w:ascii="Arial"/>
                <w:color w:val="auto"/>
                <w:sz w:val="21"/>
                <w:highlight w:val="none"/>
              </w:rPr>
            </w:pPr>
          </w:p>
        </w:tc>
        <w:tc>
          <w:tcPr>
            <w:tcW w:w="600" w:type="dxa"/>
            <w:gridSpan w:val="3"/>
            <w:vMerge w:val="continue"/>
            <w:tcBorders>
              <w:top w:val="nil"/>
              <w:bottom w:val="nil"/>
            </w:tcBorders>
            <w:vAlign w:val="top"/>
          </w:tcPr>
          <w:p w14:paraId="4D0A8B4C">
            <w:pPr>
              <w:rPr>
                <w:rFonts w:ascii="Arial"/>
                <w:color w:val="auto"/>
                <w:sz w:val="21"/>
                <w:highlight w:val="none"/>
              </w:rPr>
            </w:pPr>
          </w:p>
        </w:tc>
        <w:tc>
          <w:tcPr>
            <w:tcW w:w="1181" w:type="dxa"/>
            <w:vAlign w:val="top"/>
          </w:tcPr>
          <w:p w14:paraId="6D9459AF">
            <w:pPr>
              <w:spacing w:line="330" w:lineRule="auto"/>
              <w:rPr>
                <w:rFonts w:ascii="Arial"/>
                <w:color w:val="auto"/>
                <w:sz w:val="21"/>
                <w:highlight w:val="none"/>
              </w:rPr>
            </w:pPr>
          </w:p>
          <w:p w14:paraId="35887177">
            <w:pPr>
              <w:spacing w:line="330" w:lineRule="auto"/>
              <w:rPr>
                <w:rFonts w:ascii="Arial"/>
                <w:color w:val="auto"/>
                <w:sz w:val="21"/>
                <w:highlight w:val="none"/>
              </w:rPr>
            </w:pPr>
          </w:p>
          <w:p w14:paraId="4E4A9221">
            <w:pPr>
              <w:pStyle w:val="20"/>
              <w:spacing w:before="65" w:line="354" w:lineRule="auto"/>
              <w:ind w:left="212" w:right="170" w:hanging="38"/>
              <w:rPr>
                <w:color w:val="auto"/>
                <w:highlight w:val="none"/>
              </w:rPr>
            </w:pPr>
            <w:r>
              <w:rPr>
                <w:color w:val="auto"/>
                <w:spacing w:val="7"/>
                <w:highlight w:val="none"/>
              </w:rPr>
              <w:t>进度监理</w:t>
            </w:r>
            <w:r>
              <w:rPr>
                <w:color w:val="auto"/>
                <w:spacing w:val="-2"/>
                <w:highlight w:val="none"/>
              </w:rPr>
              <w:t>（</w:t>
            </w:r>
            <w:r>
              <w:rPr>
                <w:color w:val="auto"/>
                <w:spacing w:val="-2"/>
                <w:highlight w:val="none"/>
                <w:u w:val="single" w:color="auto"/>
              </w:rPr>
              <w:t>5</w:t>
            </w:r>
            <w:r>
              <w:rPr>
                <w:color w:val="auto"/>
                <w:spacing w:val="-36"/>
                <w:highlight w:val="none"/>
                <w:u w:val="single" w:color="auto"/>
              </w:rPr>
              <w:t xml:space="preserve"> </w:t>
            </w:r>
            <w:r>
              <w:rPr>
                <w:color w:val="auto"/>
                <w:spacing w:val="-2"/>
                <w:highlight w:val="none"/>
              </w:rPr>
              <w:t>分）</w:t>
            </w:r>
          </w:p>
        </w:tc>
        <w:tc>
          <w:tcPr>
            <w:tcW w:w="3541" w:type="dxa"/>
            <w:vAlign w:val="top"/>
          </w:tcPr>
          <w:p w14:paraId="23637F82">
            <w:pPr>
              <w:pStyle w:val="20"/>
              <w:spacing w:before="161" w:line="320" w:lineRule="auto"/>
              <w:ind w:left="113" w:right="107"/>
              <w:jc w:val="both"/>
              <w:rPr>
                <w:color w:val="auto"/>
                <w:highlight w:val="none"/>
              </w:rPr>
            </w:pPr>
            <w:r>
              <w:rPr>
                <w:color w:val="auto"/>
                <w:spacing w:val="24"/>
                <w:highlight w:val="none"/>
              </w:rPr>
              <w:t>进度监理目标明确并满足招标</w:t>
            </w:r>
            <w:r>
              <w:rPr>
                <w:color w:val="auto"/>
                <w:spacing w:val="15"/>
                <w:highlight w:val="none"/>
              </w:rPr>
              <w:t>文件的要求得</w:t>
            </w:r>
            <w:r>
              <w:rPr>
                <w:color w:val="auto"/>
                <w:spacing w:val="-17"/>
                <w:highlight w:val="none"/>
              </w:rPr>
              <w:t xml:space="preserve"> </w:t>
            </w:r>
            <w:r>
              <w:rPr>
                <w:color w:val="auto"/>
                <w:spacing w:val="15"/>
                <w:highlight w:val="none"/>
                <w:u w:val="single" w:color="auto"/>
              </w:rPr>
              <w:t>3.0</w:t>
            </w:r>
            <w:r>
              <w:rPr>
                <w:color w:val="auto"/>
                <w:spacing w:val="-19"/>
                <w:highlight w:val="none"/>
                <w:u w:val="single" w:color="auto"/>
              </w:rPr>
              <w:t xml:space="preserve"> </w:t>
            </w:r>
            <w:r>
              <w:rPr>
                <w:color w:val="auto"/>
                <w:spacing w:val="15"/>
                <w:highlight w:val="none"/>
              </w:rPr>
              <w:t>分</w:t>
            </w:r>
            <w:r>
              <w:rPr>
                <w:color w:val="auto"/>
                <w:spacing w:val="-55"/>
                <w:highlight w:val="none"/>
              </w:rPr>
              <w:t xml:space="preserve"> </w:t>
            </w:r>
            <w:r>
              <w:rPr>
                <w:color w:val="auto"/>
                <w:spacing w:val="15"/>
                <w:highlight w:val="none"/>
              </w:rPr>
              <w:t>；监理措</w:t>
            </w:r>
            <w:r>
              <w:rPr>
                <w:color w:val="auto"/>
                <w:spacing w:val="21"/>
                <w:highlight w:val="none"/>
              </w:rPr>
              <w:t>施具体且有效</w:t>
            </w:r>
            <w:r>
              <w:rPr>
                <w:color w:val="auto"/>
                <w:spacing w:val="-51"/>
                <w:highlight w:val="none"/>
              </w:rPr>
              <w:t xml:space="preserve"> </w:t>
            </w:r>
            <w:r>
              <w:rPr>
                <w:color w:val="auto"/>
                <w:spacing w:val="21"/>
                <w:highlight w:val="none"/>
              </w:rPr>
              <w:t>，对保证工期所</w:t>
            </w:r>
            <w:r>
              <w:rPr>
                <w:color w:val="auto"/>
                <w:spacing w:val="24"/>
                <w:highlight w:val="none"/>
              </w:rPr>
              <w:t>采取的对策及预控方法合理可</w:t>
            </w:r>
            <w:r>
              <w:rPr>
                <w:color w:val="auto"/>
                <w:spacing w:val="5"/>
                <w:highlight w:val="none"/>
              </w:rPr>
              <w:t>行的，酌情加</w:t>
            </w:r>
            <w:r>
              <w:rPr>
                <w:color w:val="auto"/>
                <w:spacing w:val="-38"/>
                <w:highlight w:val="none"/>
              </w:rPr>
              <w:t xml:space="preserve"> </w:t>
            </w:r>
            <w:r>
              <w:rPr>
                <w:color w:val="auto"/>
                <w:spacing w:val="5"/>
                <w:highlight w:val="none"/>
                <w:u w:val="single" w:color="auto"/>
              </w:rPr>
              <w:t>0</w:t>
            </w:r>
            <w:r>
              <w:rPr>
                <w:color w:val="auto"/>
                <w:spacing w:val="5"/>
                <w:highlight w:val="none"/>
              </w:rPr>
              <w:t>-</w:t>
            </w:r>
            <w:r>
              <w:rPr>
                <w:color w:val="auto"/>
                <w:spacing w:val="5"/>
                <w:highlight w:val="none"/>
                <w:u w:val="single" w:color="auto"/>
              </w:rPr>
              <w:t>2.0</w:t>
            </w:r>
            <w:r>
              <w:rPr>
                <w:color w:val="auto"/>
                <w:spacing w:val="-38"/>
                <w:highlight w:val="none"/>
                <w:u w:val="single" w:color="auto"/>
              </w:rPr>
              <w:t xml:space="preserve"> </w:t>
            </w:r>
            <w:r>
              <w:rPr>
                <w:color w:val="auto"/>
                <w:spacing w:val="5"/>
                <w:highlight w:val="none"/>
              </w:rPr>
              <w:t>分。</w:t>
            </w:r>
          </w:p>
        </w:tc>
      </w:tr>
      <w:tr w14:paraId="3C886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5" w:hRule="atLeast"/>
        </w:trPr>
        <w:tc>
          <w:tcPr>
            <w:tcW w:w="834" w:type="dxa"/>
            <w:vMerge w:val="continue"/>
            <w:vAlign w:val="top"/>
          </w:tcPr>
          <w:p w14:paraId="7C815959">
            <w:pPr>
              <w:rPr>
                <w:rFonts w:ascii="Arial"/>
                <w:color w:val="auto"/>
                <w:sz w:val="21"/>
                <w:highlight w:val="none"/>
              </w:rPr>
            </w:pPr>
          </w:p>
        </w:tc>
        <w:tc>
          <w:tcPr>
            <w:tcW w:w="1048" w:type="dxa"/>
            <w:gridSpan w:val="5"/>
            <w:vMerge w:val="continue"/>
            <w:vAlign w:val="top"/>
          </w:tcPr>
          <w:p w14:paraId="30A773A5">
            <w:pPr>
              <w:rPr>
                <w:rFonts w:ascii="Arial"/>
                <w:color w:val="auto"/>
                <w:sz w:val="21"/>
                <w:highlight w:val="none"/>
              </w:rPr>
            </w:pPr>
          </w:p>
        </w:tc>
        <w:tc>
          <w:tcPr>
            <w:tcW w:w="956" w:type="dxa"/>
            <w:gridSpan w:val="2"/>
            <w:vMerge w:val="continue"/>
            <w:vAlign w:val="top"/>
          </w:tcPr>
          <w:p w14:paraId="1F233C23">
            <w:pPr>
              <w:rPr>
                <w:rFonts w:ascii="Arial"/>
                <w:color w:val="auto"/>
                <w:sz w:val="21"/>
                <w:highlight w:val="none"/>
              </w:rPr>
            </w:pPr>
          </w:p>
        </w:tc>
        <w:tc>
          <w:tcPr>
            <w:tcW w:w="1126" w:type="dxa"/>
            <w:vMerge w:val="continue"/>
            <w:tcBorders>
              <w:top w:val="nil"/>
              <w:bottom w:val="nil"/>
            </w:tcBorders>
            <w:vAlign w:val="top"/>
          </w:tcPr>
          <w:p w14:paraId="3038367B">
            <w:pPr>
              <w:rPr>
                <w:rFonts w:ascii="Arial"/>
                <w:color w:val="auto"/>
                <w:sz w:val="21"/>
                <w:highlight w:val="none"/>
              </w:rPr>
            </w:pPr>
          </w:p>
        </w:tc>
        <w:tc>
          <w:tcPr>
            <w:tcW w:w="600" w:type="dxa"/>
            <w:gridSpan w:val="3"/>
            <w:vMerge w:val="continue"/>
            <w:tcBorders>
              <w:top w:val="nil"/>
              <w:bottom w:val="nil"/>
            </w:tcBorders>
            <w:vAlign w:val="top"/>
          </w:tcPr>
          <w:p w14:paraId="150DC255">
            <w:pPr>
              <w:rPr>
                <w:rFonts w:ascii="Arial"/>
                <w:color w:val="auto"/>
                <w:sz w:val="21"/>
                <w:highlight w:val="none"/>
              </w:rPr>
            </w:pPr>
          </w:p>
        </w:tc>
        <w:tc>
          <w:tcPr>
            <w:tcW w:w="1181" w:type="dxa"/>
            <w:vAlign w:val="top"/>
          </w:tcPr>
          <w:p w14:paraId="36C457BC">
            <w:pPr>
              <w:spacing w:line="260" w:lineRule="auto"/>
              <w:rPr>
                <w:rFonts w:ascii="Arial"/>
                <w:color w:val="auto"/>
                <w:sz w:val="21"/>
                <w:highlight w:val="none"/>
              </w:rPr>
            </w:pPr>
          </w:p>
          <w:p w14:paraId="05EA7DB3">
            <w:pPr>
              <w:spacing w:line="260" w:lineRule="auto"/>
              <w:rPr>
                <w:rFonts w:ascii="Arial"/>
                <w:color w:val="auto"/>
                <w:sz w:val="21"/>
                <w:highlight w:val="none"/>
              </w:rPr>
            </w:pPr>
          </w:p>
          <w:p w14:paraId="7778BA62">
            <w:pPr>
              <w:spacing w:line="260" w:lineRule="auto"/>
              <w:rPr>
                <w:rFonts w:ascii="Arial"/>
                <w:color w:val="auto"/>
                <w:sz w:val="21"/>
                <w:highlight w:val="none"/>
              </w:rPr>
            </w:pPr>
          </w:p>
          <w:p w14:paraId="23E714B1">
            <w:pPr>
              <w:spacing w:line="260" w:lineRule="auto"/>
              <w:rPr>
                <w:rFonts w:ascii="Arial"/>
                <w:color w:val="auto"/>
                <w:sz w:val="21"/>
                <w:highlight w:val="none"/>
              </w:rPr>
            </w:pPr>
          </w:p>
          <w:p w14:paraId="39A7421E">
            <w:pPr>
              <w:pStyle w:val="20"/>
              <w:spacing w:before="65" w:line="351" w:lineRule="auto"/>
              <w:ind w:left="212" w:right="170" w:hanging="25"/>
              <w:jc w:val="both"/>
              <w:rPr>
                <w:color w:val="auto"/>
                <w:highlight w:val="none"/>
              </w:rPr>
            </w:pPr>
            <w:r>
              <w:rPr>
                <w:color w:val="auto"/>
                <w:spacing w:val="4"/>
                <w:highlight w:val="none"/>
              </w:rPr>
              <w:t>费用和合</w:t>
            </w:r>
            <w:r>
              <w:rPr>
                <w:color w:val="auto"/>
                <w:spacing w:val="29"/>
                <w:highlight w:val="none"/>
              </w:rPr>
              <w:t>同监理</w:t>
            </w:r>
            <w:r>
              <w:rPr>
                <w:color w:val="auto"/>
                <w:spacing w:val="-2"/>
                <w:highlight w:val="none"/>
              </w:rPr>
              <w:t>（</w:t>
            </w:r>
            <w:r>
              <w:rPr>
                <w:color w:val="auto"/>
                <w:spacing w:val="-2"/>
                <w:highlight w:val="none"/>
                <w:u w:val="single" w:color="auto"/>
              </w:rPr>
              <w:t>3</w:t>
            </w:r>
            <w:r>
              <w:rPr>
                <w:color w:val="auto"/>
                <w:spacing w:val="-36"/>
                <w:highlight w:val="none"/>
                <w:u w:val="single" w:color="auto"/>
              </w:rPr>
              <w:t xml:space="preserve"> </w:t>
            </w:r>
            <w:r>
              <w:rPr>
                <w:color w:val="auto"/>
                <w:spacing w:val="-2"/>
                <w:highlight w:val="none"/>
              </w:rPr>
              <w:t>分）</w:t>
            </w:r>
          </w:p>
        </w:tc>
        <w:tc>
          <w:tcPr>
            <w:tcW w:w="3541" w:type="dxa"/>
            <w:vAlign w:val="top"/>
          </w:tcPr>
          <w:p w14:paraId="53B09521">
            <w:pPr>
              <w:pStyle w:val="20"/>
              <w:spacing w:before="157" w:line="332" w:lineRule="auto"/>
              <w:ind w:left="114" w:right="107" w:firstLine="1"/>
              <w:jc w:val="both"/>
              <w:rPr>
                <w:color w:val="auto"/>
                <w:highlight w:val="none"/>
              </w:rPr>
            </w:pPr>
            <w:r>
              <w:rPr>
                <w:color w:val="auto"/>
                <w:spacing w:val="24"/>
                <w:highlight w:val="none"/>
              </w:rPr>
              <w:t>有工程计量与支付监理方面的具体管理方法和措施具体且有</w:t>
            </w:r>
            <w:r>
              <w:rPr>
                <w:color w:val="auto"/>
                <w:spacing w:val="18"/>
                <w:highlight w:val="none"/>
              </w:rPr>
              <w:t>效</w:t>
            </w:r>
            <w:r>
              <w:rPr>
                <w:color w:val="auto"/>
                <w:spacing w:val="-54"/>
                <w:highlight w:val="none"/>
              </w:rPr>
              <w:t xml:space="preserve"> </w:t>
            </w:r>
            <w:r>
              <w:rPr>
                <w:color w:val="auto"/>
                <w:spacing w:val="18"/>
                <w:highlight w:val="none"/>
              </w:rPr>
              <w:t>，有明确的变更管理</w:t>
            </w:r>
            <w:r>
              <w:rPr>
                <w:color w:val="auto"/>
                <w:spacing w:val="-58"/>
                <w:highlight w:val="none"/>
              </w:rPr>
              <w:t xml:space="preserve"> </w:t>
            </w:r>
            <w:r>
              <w:rPr>
                <w:color w:val="auto"/>
                <w:spacing w:val="18"/>
                <w:highlight w:val="none"/>
              </w:rPr>
              <w:t>、预防</w:t>
            </w:r>
            <w:r>
              <w:rPr>
                <w:color w:val="auto"/>
                <w:spacing w:val="21"/>
                <w:highlight w:val="none"/>
              </w:rPr>
              <w:t>索赔</w:t>
            </w:r>
            <w:r>
              <w:rPr>
                <w:color w:val="auto"/>
                <w:spacing w:val="-51"/>
                <w:highlight w:val="none"/>
              </w:rPr>
              <w:t xml:space="preserve"> </w:t>
            </w:r>
            <w:r>
              <w:rPr>
                <w:color w:val="auto"/>
                <w:spacing w:val="21"/>
                <w:highlight w:val="none"/>
              </w:rPr>
              <w:t>、减少合同纠纷的管理和</w:t>
            </w:r>
            <w:r>
              <w:rPr>
                <w:color w:val="auto"/>
                <w:spacing w:val="13"/>
                <w:highlight w:val="none"/>
              </w:rPr>
              <w:t xml:space="preserve">控制措施得 </w:t>
            </w:r>
            <w:r>
              <w:rPr>
                <w:color w:val="auto"/>
                <w:spacing w:val="13"/>
                <w:highlight w:val="none"/>
                <w:u w:val="single" w:color="auto"/>
              </w:rPr>
              <w:t>1.8</w:t>
            </w:r>
            <w:r>
              <w:rPr>
                <w:color w:val="auto"/>
                <w:spacing w:val="-18"/>
                <w:highlight w:val="none"/>
                <w:u w:val="single" w:color="auto"/>
              </w:rPr>
              <w:t xml:space="preserve"> </w:t>
            </w:r>
            <w:r>
              <w:rPr>
                <w:color w:val="auto"/>
                <w:spacing w:val="13"/>
                <w:highlight w:val="none"/>
              </w:rPr>
              <w:t>分</w:t>
            </w:r>
            <w:r>
              <w:rPr>
                <w:color w:val="auto"/>
                <w:spacing w:val="-55"/>
                <w:highlight w:val="none"/>
              </w:rPr>
              <w:t xml:space="preserve"> </w:t>
            </w:r>
            <w:r>
              <w:rPr>
                <w:color w:val="auto"/>
                <w:spacing w:val="13"/>
                <w:highlight w:val="none"/>
              </w:rPr>
              <w:t>；有合理可</w:t>
            </w:r>
            <w:r>
              <w:rPr>
                <w:color w:val="auto"/>
                <w:spacing w:val="24"/>
                <w:highlight w:val="none"/>
              </w:rPr>
              <w:t>行的控制超计量支付及提前计</w:t>
            </w:r>
            <w:r>
              <w:rPr>
                <w:color w:val="auto"/>
                <w:spacing w:val="21"/>
                <w:highlight w:val="none"/>
              </w:rPr>
              <w:t>量支付的预控方法的</w:t>
            </w:r>
            <w:r>
              <w:rPr>
                <w:color w:val="auto"/>
                <w:spacing w:val="-51"/>
                <w:highlight w:val="none"/>
              </w:rPr>
              <w:t xml:space="preserve"> </w:t>
            </w:r>
            <w:r>
              <w:rPr>
                <w:color w:val="auto"/>
                <w:spacing w:val="21"/>
                <w:highlight w:val="none"/>
              </w:rPr>
              <w:t>，酌情加</w:t>
            </w:r>
            <w:r>
              <w:rPr>
                <w:color w:val="auto"/>
                <w:spacing w:val="-1"/>
                <w:highlight w:val="none"/>
              </w:rPr>
              <w:t>0-</w:t>
            </w:r>
            <w:r>
              <w:rPr>
                <w:color w:val="auto"/>
                <w:spacing w:val="27"/>
                <w:highlight w:val="none"/>
              </w:rPr>
              <w:t xml:space="preserve"> </w:t>
            </w:r>
            <w:r>
              <w:rPr>
                <w:color w:val="auto"/>
                <w:spacing w:val="-1"/>
                <w:highlight w:val="none"/>
              </w:rPr>
              <w:t>1.2</w:t>
            </w:r>
            <w:r>
              <w:rPr>
                <w:color w:val="auto"/>
                <w:spacing w:val="-38"/>
                <w:highlight w:val="none"/>
              </w:rPr>
              <w:t xml:space="preserve"> </w:t>
            </w:r>
            <w:r>
              <w:rPr>
                <w:color w:val="auto"/>
                <w:spacing w:val="-1"/>
                <w:highlight w:val="none"/>
              </w:rPr>
              <w:t>分。</w:t>
            </w:r>
          </w:p>
        </w:tc>
      </w:tr>
      <w:tr w14:paraId="33D59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3" w:hRule="atLeast"/>
        </w:trPr>
        <w:tc>
          <w:tcPr>
            <w:tcW w:w="834" w:type="dxa"/>
            <w:vMerge w:val="continue"/>
            <w:vAlign w:val="top"/>
          </w:tcPr>
          <w:p w14:paraId="0253CE5B">
            <w:pPr>
              <w:rPr>
                <w:rFonts w:ascii="Arial"/>
                <w:color w:val="auto"/>
                <w:sz w:val="21"/>
                <w:highlight w:val="none"/>
              </w:rPr>
            </w:pPr>
          </w:p>
        </w:tc>
        <w:tc>
          <w:tcPr>
            <w:tcW w:w="1048" w:type="dxa"/>
            <w:gridSpan w:val="5"/>
            <w:vMerge w:val="continue"/>
            <w:vAlign w:val="top"/>
          </w:tcPr>
          <w:p w14:paraId="378F297A">
            <w:pPr>
              <w:rPr>
                <w:rFonts w:ascii="Arial"/>
                <w:color w:val="auto"/>
                <w:sz w:val="21"/>
                <w:highlight w:val="none"/>
              </w:rPr>
            </w:pPr>
          </w:p>
        </w:tc>
        <w:tc>
          <w:tcPr>
            <w:tcW w:w="956" w:type="dxa"/>
            <w:gridSpan w:val="2"/>
            <w:vMerge w:val="continue"/>
            <w:vAlign w:val="top"/>
          </w:tcPr>
          <w:p w14:paraId="61D062AC">
            <w:pPr>
              <w:rPr>
                <w:rFonts w:ascii="Arial"/>
                <w:color w:val="auto"/>
                <w:sz w:val="21"/>
                <w:highlight w:val="none"/>
              </w:rPr>
            </w:pPr>
          </w:p>
        </w:tc>
        <w:tc>
          <w:tcPr>
            <w:tcW w:w="1126" w:type="dxa"/>
            <w:vMerge w:val="continue"/>
            <w:tcBorders>
              <w:top w:val="nil"/>
            </w:tcBorders>
            <w:vAlign w:val="top"/>
          </w:tcPr>
          <w:p w14:paraId="3DFF30A0">
            <w:pPr>
              <w:rPr>
                <w:rFonts w:ascii="Arial"/>
                <w:color w:val="auto"/>
                <w:sz w:val="21"/>
                <w:highlight w:val="none"/>
              </w:rPr>
            </w:pPr>
          </w:p>
        </w:tc>
        <w:tc>
          <w:tcPr>
            <w:tcW w:w="600" w:type="dxa"/>
            <w:gridSpan w:val="3"/>
            <w:vMerge w:val="continue"/>
            <w:tcBorders>
              <w:top w:val="nil"/>
            </w:tcBorders>
            <w:vAlign w:val="top"/>
          </w:tcPr>
          <w:p w14:paraId="2F7A627B">
            <w:pPr>
              <w:rPr>
                <w:rFonts w:ascii="Arial"/>
                <w:color w:val="auto"/>
                <w:sz w:val="21"/>
                <w:highlight w:val="none"/>
              </w:rPr>
            </w:pPr>
          </w:p>
        </w:tc>
        <w:tc>
          <w:tcPr>
            <w:tcW w:w="1181" w:type="dxa"/>
            <w:vAlign w:val="top"/>
          </w:tcPr>
          <w:p w14:paraId="4AD100AB">
            <w:pPr>
              <w:spacing w:line="331" w:lineRule="auto"/>
              <w:rPr>
                <w:rFonts w:ascii="Arial"/>
                <w:color w:val="auto"/>
                <w:sz w:val="21"/>
                <w:highlight w:val="none"/>
              </w:rPr>
            </w:pPr>
          </w:p>
          <w:p w14:paraId="7E92A188">
            <w:pPr>
              <w:spacing w:line="331" w:lineRule="auto"/>
              <w:rPr>
                <w:rFonts w:ascii="Arial"/>
                <w:color w:val="auto"/>
                <w:sz w:val="21"/>
                <w:highlight w:val="none"/>
              </w:rPr>
            </w:pPr>
          </w:p>
          <w:p w14:paraId="07BF2448">
            <w:pPr>
              <w:pStyle w:val="20"/>
              <w:spacing w:before="65" w:line="352" w:lineRule="auto"/>
              <w:ind w:left="175" w:right="170" w:hanging="1"/>
              <w:jc w:val="both"/>
              <w:rPr>
                <w:color w:val="auto"/>
                <w:highlight w:val="none"/>
              </w:rPr>
            </w:pPr>
            <w:r>
              <w:rPr>
                <w:color w:val="auto"/>
                <w:spacing w:val="7"/>
                <w:highlight w:val="none"/>
              </w:rPr>
              <w:t>施工环境保护管理</w:t>
            </w:r>
            <w:r>
              <w:rPr>
                <w:color w:val="auto"/>
                <w:spacing w:val="12"/>
                <w:highlight w:val="none"/>
              </w:rPr>
              <w:t>（</w:t>
            </w:r>
            <w:r>
              <w:rPr>
                <w:color w:val="auto"/>
                <w:spacing w:val="-56"/>
                <w:highlight w:val="none"/>
              </w:rPr>
              <w:t xml:space="preserve"> </w:t>
            </w:r>
            <w:r>
              <w:rPr>
                <w:color w:val="auto"/>
                <w:spacing w:val="12"/>
                <w:highlight w:val="none"/>
                <w:u w:val="single" w:color="auto"/>
              </w:rPr>
              <w:t>2</w:t>
            </w:r>
            <w:r>
              <w:rPr>
                <w:color w:val="auto"/>
                <w:spacing w:val="12"/>
                <w:highlight w:val="none"/>
              </w:rPr>
              <w:t>分）</w:t>
            </w:r>
          </w:p>
        </w:tc>
        <w:tc>
          <w:tcPr>
            <w:tcW w:w="3541" w:type="dxa"/>
            <w:vAlign w:val="top"/>
          </w:tcPr>
          <w:p w14:paraId="1E546BA2">
            <w:pPr>
              <w:pStyle w:val="20"/>
              <w:spacing w:before="160" w:line="328" w:lineRule="auto"/>
              <w:ind w:left="115" w:right="107"/>
              <w:jc w:val="both"/>
              <w:rPr>
                <w:color w:val="auto"/>
                <w:highlight w:val="none"/>
              </w:rPr>
            </w:pPr>
            <w:r>
              <w:rPr>
                <w:color w:val="auto"/>
                <w:spacing w:val="21"/>
                <w:highlight w:val="none"/>
              </w:rPr>
              <w:t>有环保监理措施</w:t>
            </w:r>
            <w:r>
              <w:rPr>
                <w:color w:val="auto"/>
                <w:spacing w:val="-53"/>
                <w:highlight w:val="none"/>
              </w:rPr>
              <w:t xml:space="preserve"> </w:t>
            </w:r>
            <w:r>
              <w:rPr>
                <w:color w:val="auto"/>
                <w:spacing w:val="21"/>
                <w:highlight w:val="none"/>
              </w:rPr>
              <w:t>，且完全响应</w:t>
            </w:r>
            <w:r>
              <w:rPr>
                <w:color w:val="auto"/>
                <w:spacing w:val="24"/>
                <w:highlight w:val="none"/>
              </w:rPr>
              <w:t>广东省施工标准化和安全标准</w:t>
            </w:r>
            <w:r>
              <w:rPr>
                <w:color w:val="auto"/>
                <w:spacing w:val="13"/>
                <w:highlight w:val="none"/>
              </w:rPr>
              <w:t xml:space="preserve">化指南的得 </w:t>
            </w:r>
            <w:r>
              <w:rPr>
                <w:color w:val="auto"/>
                <w:spacing w:val="13"/>
                <w:highlight w:val="none"/>
                <w:u w:val="single" w:color="auto"/>
              </w:rPr>
              <w:t>1.2</w:t>
            </w:r>
            <w:r>
              <w:rPr>
                <w:color w:val="auto"/>
                <w:spacing w:val="-19"/>
                <w:highlight w:val="none"/>
                <w:u w:val="single" w:color="auto"/>
              </w:rPr>
              <w:t xml:space="preserve"> </w:t>
            </w:r>
            <w:r>
              <w:rPr>
                <w:color w:val="auto"/>
                <w:spacing w:val="13"/>
                <w:highlight w:val="none"/>
              </w:rPr>
              <w:t>分</w:t>
            </w:r>
            <w:r>
              <w:rPr>
                <w:color w:val="auto"/>
                <w:spacing w:val="-55"/>
                <w:highlight w:val="none"/>
              </w:rPr>
              <w:t xml:space="preserve"> </w:t>
            </w:r>
            <w:r>
              <w:rPr>
                <w:color w:val="auto"/>
                <w:spacing w:val="13"/>
                <w:highlight w:val="none"/>
              </w:rPr>
              <w:t>；环保监理</w:t>
            </w:r>
            <w:r>
              <w:rPr>
                <w:color w:val="auto"/>
                <w:spacing w:val="18"/>
                <w:highlight w:val="none"/>
              </w:rPr>
              <w:t>措施和方法具体且有效的</w:t>
            </w:r>
            <w:r>
              <w:rPr>
                <w:color w:val="auto"/>
                <w:spacing w:val="-57"/>
                <w:highlight w:val="none"/>
              </w:rPr>
              <w:t xml:space="preserve"> </w:t>
            </w:r>
            <w:r>
              <w:rPr>
                <w:color w:val="auto"/>
                <w:spacing w:val="18"/>
                <w:highlight w:val="none"/>
              </w:rPr>
              <w:t>，</w:t>
            </w:r>
            <w:r>
              <w:rPr>
                <w:color w:val="auto"/>
                <w:spacing w:val="-56"/>
                <w:highlight w:val="none"/>
              </w:rPr>
              <w:t xml:space="preserve"> </w:t>
            </w:r>
            <w:r>
              <w:rPr>
                <w:color w:val="auto"/>
                <w:spacing w:val="18"/>
                <w:highlight w:val="none"/>
              </w:rPr>
              <w:t>响</w:t>
            </w:r>
            <w:r>
              <w:rPr>
                <w:color w:val="auto"/>
                <w:spacing w:val="24"/>
                <w:highlight w:val="none"/>
              </w:rPr>
              <w:t>应广东省施工标准化和安全标</w:t>
            </w:r>
            <w:r>
              <w:rPr>
                <w:color w:val="auto"/>
                <w:spacing w:val="15"/>
                <w:highlight w:val="none"/>
              </w:rPr>
              <w:t>准化指南程度</w:t>
            </w:r>
            <w:r>
              <w:rPr>
                <w:color w:val="auto"/>
                <w:spacing w:val="-38"/>
                <w:highlight w:val="none"/>
              </w:rPr>
              <w:t xml:space="preserve"> </w:t>
            </w:r>
            <w:r>
              <w:rPr>
                <w:color w:val="auto"/>
                <w:spacing w:val="15"/>
                <w:highlight w:val="none"/>
              </w:rPr>
              <w:t>，</w:t>
            </w:r>
            <w:r>
              <w:rPr>
                <w:color w:val="auto"/>
                <w:spacing w:val="-56"/>
                <w:highlight w:val="none"/>
              </w:rPr>
              <w:t xml:space="preserve"> </w:t>
            </w:r>
            <w:r>
              <w:rPr>
                <w:color w:val="auto"/>
                <w:spacing w:val="15"/>
                <w:highlight w:val="none"/>
              </w:rPr>
              <w:t>酌情加</w:t>
            </w:r>
            <w:r>
              <w:rPr>
                <w:color w:val="auto"/>
                <w:spacing w:val="-11"/>
                <w:highlight w:val="none"/>
              </w:rPr>
              <w:t xml:space="preserve"> </w:t>
            </w:r>
            <w:r>
              <w:rPr>
                <w:color w:val="auto"/>
                <w:spacing w:val="15"/>
                <w:highlight w:val="none"/>
                <w:u w:val="single" w:color="auto"/>
              </w:rPr>
              <w:t>0-0.8</w:t>
            </w:r>
            <w:r>
              <w:rPr>
                <w:color w:val="auto"/>
                <w:spacing w:val="-1"/>
                <w:highlight w:val="none"/>
              </w:rPr>
              <w:t>分。</w:t>
            </w:r>
          </w:p>
        </w:tc>
      </w:tr>
      <w:tr w14:paraId="5D690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834" w:type="dxa"/>
            <w:vMerge w:val="continue"/>
            <w:vAlign w:val="top"/>
          </w:tcPr>
          <w:p w14:paraId="6E143215">
            <w:pPr>
              <w:rPr>
                <w:rFonts w:ascii="Arial"/>
                <w:color w:val="auto"/>
                <w:sz w:val="21"/>
                <w:highlight w:val="none"/>
              </w:rPr>
            </w:pPr>
            <w:bookmarkStart w:id="50" w:name="bookmark145"/>
            <w:bookmarkEnd w:id="50"/>
          </w:p>
        </w:tc>
        <w:tc>
          <w:tcPr>
            <w:tcW w:w="1048" w:type="dxa"/>
            <w:gridSpan w:val="5"/>
            <w:vMerge w:val="continue"/>
            <w:vAlign w:val="top"/>
          </w:tcPr>
          <w:p w14:paraId="4604B6B4">
            <w:pPr>
              <w:rPr>
                <w:rFonts w:ascii="Arial"/>
                <w:color w:val="auto"/>
                <w:sz w:val="21"/>
                <w:highlight w:val="none"/>
              </w:rPr>
            </w:pPr>
          </w:p>
        </w:tc>
        <w:tc>
          <w:tcPr>
            <w:tcW w:w="956" w:type="dxa"/>
            <w:gridSpan w:val="2"/>
            <w:vMerge w:val="continue"/>
            <w:vAlign w:val="top"/>
          </w:tcPr>
          <w:p w14:paraId="51874AFD">
            <w:pPr>
              <w:rPr>
                <w:rFonts w:ascii="Arial"/>
                <w:color w:val="auto"/>
                <w:sz w:val="21"/>
                <w:highlight w:val="none"/>
              </w:rPr>
            </w:pPr>
          </w:p>
        </w:tc>
        <w:tc>
          <w:tcPr>
            <w:tcW w:w="1126" w:type="dxa"/>
            <w:vAlign w:val="center"/>
          </w:tcPr>
          <w:p w14:paraId="47C97253">
            <w:pPr>
              <w:pStyle w:val="20"/>
              <w:spacing w:before="139" w:line="227" w:lineRule="auto"/>
              <w:jc w:val="center"/>
              <w:rPr>
                <w:color w:val="auto"/>
                <w:highlight w:val="none"/>
              </w:rPr>
            </w:pPr>
            <w:r>
              <w:rPr>
                <w:color w:val="auto"/>
                <w:spacing w:val="6"/>
                <w:highlight w:val="none"/>
              </w:rPr>
              <w:t>本工程监理工作的重</w:t>
            </w:r>
            <w:r>
              <w:rPr>
                <w:color w:val="auto"/>
                <w:spacing w:val="3"/>
                <w:highlight w:val="none"/>
              </w:rPr>
              <w:t>点与难点分析</w:t>
            </w:r>
          </w:p>
        </w:tc>
        <w:tc>
          <w:tcPr>
            <w:tcW w:w="600" w:type="dxa"/>
            <w:gridSpan w:val="3"/>
            <w:vAlign w:val="center"/>
          </w:tcPr>
          <w:p w14:paraId="482FEB3E">
            <w:pPr>
              <w:pStyle w:val="20"/>
              <w:spacing w:before="65" w:line="352" w:lineRule="auto"/>
              <w:ind w:left="202" w:right="193" w:firstLine="12"/>
              <w:jc w:val="center"/>
              <w:rPr>
                <w:color w:val="auto"/>
                <w:highlight w:val="none"/>
              </w:rPr>
            </w:pPr>
            <w:r>
              <w:rPr>
                <w:color w:val="auto"/>
                <w:spacing w:val="-7"/>
                <w:highlight w:val="none"/>
                <w:u w:val="single" w:color="auto"/>
              </w:rPr>
              <w:t>10</w:t>
            </w:r>
            <w:r>
              <w:rPr>
                <w:color w:val="auto"/>
                <w:spacing w:val="-2"/>
                <w:highlight w:val="none"/>
              </w:rPr>
              <w:t>分</w:t>
            </w:r>
          </w:p>
        </w:tc>
        <w:tc>
          <w:tcPr>
            <w:tcW w:w="4722" w:type="dxa"/>
            <w:gridSpan w:val="2"/>
            <w:vAlign w:val="center"/>
          </w:tcPr>
          <w:p w14:paraId="78FB582C">
            <w:pPr>
              <w:pStyle w:val="20"/>
              <w:spacing w:before="65" w:line="289" w:lineRule="auto"/>
              <w:ind w:left="114" w:right="107"/>
              <w:jc w:val="both"/>
              <w:rPr>
                <w:color w:val="auto"/>
                <w:highlight w:val="none"/>
              </w:rPr>
            </w:pPr>
            <w:r>
              <w:rPr>
                <w:color w:val="auto"/>
                <w:spacing w:val="13"/>
                <w:highlight w:val="none"/>
              </w:rPr>
              <w:t>有对工程重点、难点的分析得</w:t>
            </w:r>
            <w:r>
              <w:rPr>
                <w:color w:val="auto"/>
                <w:spacing w:val="-26"/>
                <w:highlight w:val="none"/>
              </w:rPr>
              <w:t xml:space="preserve"> </w:t>
            </w:r>
            <w:r>
              <w:rPr>
                <w:color w:val="auto"/>
                <w:spacing w:val="13"/>
                <w:highlight w:val="none"/>
                <w:u w:val="single" w:color="auto"/>
              </w:rPr>
              <w:t>6.0</w:t>
            </w:r>
            <w:r>
              <w:rPr>
                <w:color w:val="auto"/>
                <w:spacing w:val="-31"/>
                <w:highlight w:val="none"/>
                <w:u w:val="single" w:color="auto"/>
              </w:rPr>
              <w:t xml:space="preserve"> </w:t>
            </w:r>
            <w:r>
              <w:rPr>
                <w:color w:val="auto"/>
                <w:spacing w:val="13"/>
                <w:highlight w:val="none"/>
              </w:rPr>
              <w:t>分；分析</w:t>
            </w:r>
            <w:r>
              <w:rPr>
                <w:color w:val="auto"/>
                <w:spacing w:val="15"/>
                <w:highlight w:val="none"/>
              </w:rPr>
              <w:t>准确，且有合理可行的应对措施的，酌情加</w:t>
            </w:r>
            <w:r>
              <w:rPr>
                <w:color w:val="auto"/>
                <w:spacing w:val="2"/>
                <w:highlight w:val="none"/>
                <w:u w:val="single" w:color="auto"/>
              </w:rPr>
              <w:t>0</w:t>
            </w:r>
            <w:r>
              <w:rPr>
                <w:color w:val="auto"/>
                <w:spacing w:val="2"/>
                <w:highlight w:val="none"/>
              </w:rPr>
              <w:t>-</w:t>
            </w:r>
            <w:r>
              <w:rPr>
                <w:color w:val="auto"/>
                <w:spacing w:val="2"/>
                <w:highlight w:val="none"/>
                <w:u w:val="single" w:color="auto"/>
              </w:rPr>
              <w:t>4.0</w:t>
            </w:r>
            <w:r>
              <w:rPr>
                <w:color w:val="auto"/>
                <w:spacing w:val="-38"/>
                <w:highlight w:val="none"/>
                <w:u w:val="single" w:color="auto"/>
              </w:rPr>
              <w:t xml:space="preserve"> </w:t>
            </w:r>
            <w:r>
              <w:rPr>
                <w:color w:val="auto"/>
                <w:spacing w:val="2"/>
                <w:highlight w:val="none"/>
              </w:rPr>
              <w:t>分。</w:t>
            </w:r>
          </w:p>
        </w:tc>
      </w:tr>
      <w:tr w14:paraId="2ADA2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34" w:type="dxa"/>
            <w:vMerge w:val="continue"/>
            <w:vAlign w:val="top"/>
          </w:tcPr>
          <w:p w14:paraId="51B4C250">
            <w:pPr>
              <w:rPr>
                <w:rFonts w:ascii="Arial"/>
                <w:color w:val="auto"/>
                <w:sz w:val="21"/>
                <w:highlight w:val="none"/>
              </w:rPr>
            </w:pPr>
          </w:p>
        </w:tc>
        <w:tc>
          <w:tcPr>
            <w:tcW w:w="1048" w:type="dxa"/>
            <w:gridSpan w:val="5"/>
            <w:vMerge w:val="continue"/>
            <w:vAlign w:val="top"/>
          </w:tcPr>
          <w:p w14:paraId="1A1BEFDC">
            <w:pPr>
              <w:rPr>
                <w:rFonts w:ascii="Arial"/>
                <w:color w:val="auto"/>
                <w:sz w:val="21"/>
                <w:highlight w:val="none"/>
              </w:rPr>
            </w:pPr>
          </w:p>
        </w:tc>
        <w:tc>
          <w:tcPr>
            <w:tcW w:w="956" w:type="dxa"/>
            <w:gridSpan w:val="2"/>
            <w:vMerge w:val="continue"/>
            <w:vAlign w:val="top"/>
          </w:tcPr>
          <w:p w14:paraId="01BBAF5D">
            <w:pPr>
              <w:rPr>
                <w:rFonts w:ascii="Arial"/>
                <w:color w:val="auto"/>
                <w:sz w:val="21"/>
                <w:highlight w:val="none"/>
              </w:rPr>
            </w:pPr>
          </w:p>
        </w:tc>
        <w:tc>
          <w:tcPr>
            <w:tcW w:w="1126" w:type="dxa"/>
            <w:vAlign w:val="center"/>
          </w:tcPr>
          <w:p w14:paraId="7D355FDD">
            <w:pPr>
              <w:pStyle w:val="20"/>
              <w:spacing w:before="196" w:line="227" w:lineRule="auto"/>
              <w:jc w:val="center"/>
              <w:rPr>
                <w:color w:val="auto"/>
                <w:highlight w:val="none"/>
              </w:rPr>
            </w:pPr>
            <w:r>
              <w:rPr>
                <w:color w:val="auto"/>
                <w:spacing w:val="7"/>
                <w:highlight w:val="none"/>
              </w:rPr>
              <w:t>对本工程的建</w:t>
            </w:r>
            <w:r>
              <w:rPr>
                <w:color w:val="auto"/>
                <w:highlight w:val="none"/>
              </w:rPr>
              <w:t>议</w:t>
            </w:r>
          </w:p>
        </w:tc>
        <w:tc>
          <w:tcPr>
            <w:tcW w:w="600" w:type="dxa"/>
            <w:gridSpan w:val="3"/>
            <w:vAlign w:val="center"/>
          </w:tcPr>
          <w:p w14:paraId="2E5710A5">
            <w:pPr>
              <w:pStyle w:val="20"/>
              <w:spacing w:before="65" w:line="228" w:lineRule="auto"/>
              <w:ind w:left="134"/>
              <w:jc w:val="center"/>
              <w:rPr>
                <w:color w:val="auto"/>
                <w:highlight w:val="none"/>
              </w:rPr>
            </w:pPr>
            <w:r>
              <w:rPr>
                <w:color w:val="auto"/>
                <w:spacing w:val="-4"/>
                <w:highlight w:val="none"/>
                <w:u w:val="single" w:color="auto"/>
              </w:rPr>
              <w:t>5</w:t>
            </w:r>
            <w:r>
              <w:rPr>
                <w:color w:val="auto"/>
                <w:spacing w:val="-38"/>
                <w:highlight w:val="none"/>
                <w:u w:val="single" w:color="auto"/>
              </w:rPr>
              <w:t xml:space="preserve"> </w:t>
            </w:r>
            <w:r>
              <w:rPr>
                <w:color w:val="auto"/>
                <w:spacing w:val="-4"/>
                <w:highlight w:val="none"/>
              </w:rPr>
              <w:t>分</w:t>
            </w:r>
          </w:p>
        </w:tc>
        <w:tc>
          <w:tcPr>
            <w:tcW w:w="4722" w:type="dxa"/>
            <w:gridSpan w:val="2"/>
            <w:vAlign w:val="top"/>
          </w:tcPr>
          <w:p w14:paraId="33A612CF">
            <w:pPr>
              <w:pStyle w:val="20"/>
              <w:spacing w:before="71" w:line="270" w:lineRule="auto"/>
              <w:ind w:left="114" w:right="108"/>
              <w:rPr>
                <w:color w:val="auto"/>
                <w:highlight w:val="none"/>
              </w:rPr>
            </w:pPr>
            <w:r>
              <w:rPr>
                <w:color w:val="auto"/>
                <w:spacing w:val="12"/>
                <w:highlight w:val="none"/>
              </w:rPr>
              <w:t>有对本工程的建议的</w:t>
            </w:r>
            <w:r>
              <w:rPr>
                <w:color w:val="auto"/>
                <w:spacing w:val="-10"/>
                <w:highlight w:val="none"/>
              </w:rPr>
              <w:t xml:space="preserve"> </w:t>
            </w:r>
            <w:r>
              <w:rPr>
                <w:color w:val="auto"/>
                <w:spacing w:val="12"/>
                <w:highlight w:val="none"/>
                <w:u w:val="single" w:color="auto"/>
              </w:rPr>
              <w:t>3.0</w:t>
            </w:r>
            <w:r>
              <w:rPr>
                <w:color w:val="auto"/>
                <w:spacing w:val="-28"/>
                <w:highlight w:val="none"/>
                <w:u w:val="single" w:color="auto"/>
              </w:rPr>
              <w:t xml:space="preserve"> </w:t>
            </w:r>
            <w:r>
              <w:rPr>
                <w:color w:val="auto"/>
                <w:spacing w:val="12"/>
                <w:highlight w:val="none"/>
              </w:rPr>
              <w:t>分；对管理模式、</w:t>
            </w:r>
            <w:r>
              <w:rPr>
                <w:color w:val="auto"/>
                <w:spacing w:val="15"/>
                <w:highlight w:val="none"/>
              </w:rPr>
              <w:t>工程质量、进度、投资控制、合同管理等方</w:t>
            </w:r>
            <w:r>
              <w:rPr>
                <w:color w:val="auto"/>
                <w:spacing w:val="1"/>
                <w:highlight w:val="none"/>
              </w:rPr>
              <w:t>面均</w:t>
            </w:r>
            <w:r>
              <w:rPr>
                <w:color w:val="auto"/>
                <w:spacing w:val="-47"/>
                <w:highlight w:val="none"/>
              </w:rPr>
              <w:t xml:space="preserve"> </w:t>
            </w:r>
            <w:r>
              <w:rPr>
                <w:color w:val="auto"/>
                <w:spacing w:val="1"/>
                <w:highlight w:val="none"/>
              </w:rPr>
              <w:t>提</w:t>
            </w:r>
            <w:r>
              <w:rPr>
                <w:color w:val="auto"/>
                <w:spacing w:val="-43"/>
                <w:highlight w:val="none"/>
              </w:rPr>
              <w:t xml:space="preserve"> </w:t>
            </w:r>
            <w:r>
              <w:rPr>
                <w:color w:val="auto"/>
                <w:spacing w:val="1"/>
                <w:highlight w:val="none"/>
              </w:rPr>
              <w:t>出合</w:t>
            </w:r>
            <w:r>
              <w:rPr>
                <w:color w:val="auto"/>
                <w:spacing w:val="-59"/>
                <w:highlight w:val="none"/>
              </w:rPr>
              <w:t xml:space="preserve"> </w:t>
            </w:r>
            <w:r>
              <w:rPr>
                <w:color w:val="auto"/>
                <w:spacing w:val="1"/>
                <w:highlight w:val="none"/>
              </w:rPr>
              <w:t>理</w:t>
            </w:r>
            <w:r>
              <w:rPr>
                <w:color w:val="auto"/>
                <w:spacing w:val="-56"/>
                <w:highlight w:val="none"/>
              </w:rPr>
              <w:t xml:space="preserve"> </w:t>
            </w:r>
            <w:r>
              <w:rPr>
                <w:color w:val="auto"/>
                <w:spacing w:val="1"/>
                <w:highlight w:val="none"/>
              </w:rPr>
              <w:t>可</w:t>
            </w:r>
            <w:r>
              <w:rPr>
                <w:color w:val="auto"/>
                <w:spacing w:val="-58"/>
                <w:highlight w:val="none"/>
              </w:rPr>
              <w:t xml:space="preserve"> </w:t>
            </w:r>
            <w:r>
              <w:rPr>
                <w:color w:val="auto"/>
                <w:spacing w:val="1"/>
                <w:highlight w:val="none"/>
              </w:rPr>
              <w:t>行</w:t>
            </w:r>
            <w:r>
              <w:rPr>
                <w:color w:val="auto"/>
                <w:spacing w:val="-44"/>
                <w:highlight w:val="none"/>
              </w:rPr>
              <w:t xml:space="preserve"> </w:t>
            </w:r>
            <w:r>
              <w:rPr>
                <w:color w:val="auto"/>
                <w:spacing w:val="1"/>
                <w:highlight w:val="none"/>
              </w:rPr>
              <w:t>的</w:t>
            </w:r>
            <w:r>
              <w:rPr>
                <w:color w:val="auto"/>
                <w:spacing w:val="-58"/>
                <w:highlight w:val="none"/>
              </w:rPr>
              <w:t xml:space="preserve"> </w:t>
            </w:r>
            <w:r>
              <w:rPr>
                <w:color w:val="auto"/>
                <w:spacing w:val="1"/>
                <w:highlight w:val="none"/>
              </w:rPr>
              <w:t>建</w:t>
            </w:r>
            <w:r>
              <w:rPr>
                <w:color w:val="auto"/>
                <w:spacing w:val="-57"/>
                <w:highlight w:val="none"/>
              </w:rPr>
              <w:t xml:space="preserve"> </w:t>
            </w:r>
            <w:r>
              <w:rPr>
                <w:color w:val="auto"/>
                <w:spacing w:val="1"/>
                <w:highlight w:val="none"/>
              </w:rPr>
              <w:t>议</w:t>
            </w:r>
            <w:r>
              <w:rPr>
                <w:color w:val="auto"/>
                <w:spacing w:val="-43"/>
                <w:highlight w:val="none"/>
              </w:rPr>
              <w:t xml:space="preserve"> </w:t>
            </w:r>
            <w:r>
              <w:rPr>
                <w:color w:val="auto"/>
                <w:spacing w:val="1"/>
                <w:highlight w:val="none"/>
              </w:rPr>
              <w:t>的</w:t>
            </w:r>
            <w:r>
              <w:rPr>
                <w:color w:val="auto"/>
                <w:spacing w:val="-44"/>
                <w:highlight w:val="none"/>
              </w:rPr>
              <w:t xml:space="preserve"> </w:t>
            </w:r>
            <w:r>
              <w:rPr>
                <w:color w:val="auto"/>
                <w:spacing w:val="1"/>
                <w:highlight w:val="none"/>
              </w:rPr>
              <w:t>，</w:t>
            </w:r>
            <w:r>
              <w:rPr>
                <w:color w:val="auto"/>
                <w:spacing w:val="-50"/>
                <w:highlight w:val="none"/>
              </w:rPr>
              <w:t xml:space="preserve"> </w:t>
            </w:r>
            <w:r>
              <w:rPr>
                <w:color w:val="auto"/>
                <w:spacing w:val="1"/>
                <w:highlight w:val="none"/>
              </w:rPr>
              <w:t>酌</w:t>
            </w:r>
            <w:r>
              <w:rPr>
                <w:color w:val="auto"/>
                <w:spacing w:val="-58"/>
                <w:highlight w:val="none"/>
              </w:rPr>
              <w:t xml:space="preserve"> </w:t>
            </w:r>
            <w:r>
              <w:rPr>
                <w:color w:val="auto"/>
                <w:spacing w:val="1"/>
                <w:highlight w:val="none"/>
              </w:rPr>
              <w:t xml:space="preserve">情加 </w:t>
            </w:r>
            <w:r>
              <w:rPr>
                <w:color w:val="auto"/>
                <w:spacing w:val="1"/>
                <w:highlight w:val="none"/>
                <w:u w:val="single" w:color="auto"/>
              </w:rPr>
              <w:t>0</w:t>
            </w:r>
            <w:r>
              <w:rPr>
                <w:color w:val="auto"/>
                <w:spacing w:val="1"/>
                <w:highlight w:val="none"/>
              </w:rPr>
              <w:t>-</w:t>
            </w:r>
            <w:r>
              <w:rPr>
                <w:color w:val="auto"/>
                <w:highlight w:val="none"/>
              </w:rPr>
              <w:t xml:space="preserve"> </w:t>
            </w:r>
            <w:r>
              <w:rPr>
                <w:color w:val="auto"/>
                <w:spacing w:val="1"/>
                <w:highlight w:val="none"/>
                <w:u w:val="single" w:color="auto"/>
              </w:rPr>
              <w:t>2.0</w:t>
            </w:r>
            <w:r>
              <w:rPr>
                <w:color w:val="auto"/>
                <w:spacing w:val="-38"/>
                <w:highlight w:val="none"/>
                <w:u w:val="single" w:color="auto"/>
              </w:rPr>
              <w:t xml:space="preserve"> </w:t>
            </w:r>
            <w:r>
              <w:rPr>
                <w:color w:val="auto"/>
                <w:spacing w:val="1"/>
                <w:highlight w:val="none"/>
              </w:rPr>
              <w:t>分。</w:t>
            </w:r>
          </w:p>
        </w:tc>
      </w:tr>
      <w:tr w14:paraId="2F7F3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4" w:hRule="atLeast"/>
        </w:trPr>
        <w:tc>
          <w:tcPr>
            <w:tcW w:w="834" w:type="dxa"/>
            <w:vAlign w:val="center"/>
          </w:tcPr>
          <w:p w14:paraId="4DE3C007">
            <w:pPr>
              <w:pStyle w:val="20"/>
              <w:spacing w:before="65" w:line="268" w:lineRule="exact"/>
              <w:jc w:val="center"/>
              <w:rPr>
                <w:color w:val="auto"/>
                <w:highlight w:val="none"/>
              </w:rPr>
            </w:pPr>
            <w:r>
              <w:rPr>
                <w:color w:val="auto"/>
                <w:spacing w:val="2"/>
                <w:position w:val="1"/>
                <w:highlight w:val="none"/>
              </w:rPr>
              <w:t>2.2.4</w:t>
            </w:r>
          </w:p>
          <w:p w14:paraId="2CE777A7">
            <w:pPr>
              <w:pStyle w:val="20"/>
              <w:spacing w:before="91" w:line="231" w:lineRule="auto"/>
              <w:jc w:val="center"/>
              <w:rPr>
                <w:color w:val="auto"/>
                <w:highlight w:val="none"/>
              </w:rPr>
            </w:pPr>
            <w:r>
              <w:rPr>
                <w:color w:val="auto"/>
                <w:spacing w:val="-10"/>
                <w:highlight w:val="none"/>
              </w:rPr>
              <w:t>(2)</w:t>
            </w:r>
          </w:p>
        </w:tc>
        <w:tc>
          <w:tcPr>
            <w:tcW w:w="1048" w:type="dxa"/>
            <w:gridSpan w:val="5"/>
            <w:vAlign w:val="center"/>
          </w:tcPr>
          <w:p w14:paraId="6FC78CC1">
            <w:pPr>
              <w:pStyle w:val="20"/>
              <w:spacing w:before="65" w:line="228" w:lineRule="auto"/>
              <w:jc w:val="center"/>
              <w:rPr>
                <w:color w:val="auto"/>
                <w:highlight w:val="none"/>
              </w:rPr>
            </w:pPr>
            <w:r>
              <w:rPr>
                <w:color w:val="auto"/>
                <w:spacing w:val="6"/>
                <w:highlight w:val="none"/>
              </w:rPr>
              <w:t>主要人员</w:t>
            </w:r>
          </w:p>
        </w:tc>
        <w:tc>
          <w:tcPr>
            <w:tcW w:w="956" w:type="dxa"/>
            <w:gridSpan w:val="2"/>
            <w:vAlign w:val="center"/>
          </w:tcPr>
          <w:p w14:paraId="5C224646">
            <w:pPr>
              <w:pStyle w:val="20"/>
              <w:tabs>
                <w:tab w:val="left" w:pos="455"/>
              </w:tabs>
              <w:spacing w:before="65" w:line="244" w:lineRule="auto"/>
              <w:jc w:val="center"/>
              <w:rPr>
                <w:color w:val="auto"/>
                <w:sz w:val="10"/>
                <w:szCs w:val="10"/>
                <w:highlight w:val="none"/>
              </w:rPr>
            </w:pPr>
            <w:r>
              <w:rPr>
                <w:rFonts w:hint="eastAsia"/>
                <w:color w:val="auto"/>
                <w:position w:val="-2"/>
                <w:highlight w:val="none"/>
                <w:u w:val="single" w:color="auto"/>
                <w:lang w:val="en-US" w:eastAsia="zh-CN"/>
              </w:rPr>
              <w:t>25</w:t>
            </w:r>
            <w:r>
              <w:rPr>
                <w:color w:val="auto"/>
                <w:spacing w:val="2"/>
                <w:position w:val="-2"/>
                <w:highlight w:val="none"/>
              </w:rPr>
              <w:t>分</w:t>
            </w:r>
          </w:p>
        </w:tc>
        <w:tc>
          <w:tcPr>
            <w:tcW w:w="1126" w:type="dxa"/>
            <w:vAlign w:val="center"/>
          </w:tcPr>
          <w:p w14:paraId="4A9230AD">
            <w:pPr>
              <w:pStyle w:val="20"/>
              <w:spacing w:before="142" w:line="236" w:lineRule="auto"/>
              <w:jc w:val="center"/>
              <w:rPr>
                <w:color w:val="auto"/>
                <w:highlight w:val="none"/>
              </w:rPr>
            </w:pPr>
            <w:r>
              <w:rPr>
                <w:color w:val="auto"/>
                <w:spacing w:val="5"/>
                <w:highlight w:val="none"/>
              </w:rPr>
              <w:t>总监理</w:t>
            </w:r>
            <w:r>
              <w:rPr>
                <w:color w:val="auto"/>
                <w:spacing w:val="6"/>
                <w:highlight w:val="none"/>
              </w:rPr>
              <w:t>工程师或驻地监理工</w:t>
            </w:r>
            <w:r>
              <w:rPr>
                <w:color w:val="auto"/>
                <w:spacing w:val="7"/>
                <w:highlight w:val="none"/>
              </w:rPr>
              <w:t>程师任</w:t>
            </w:r>
            <w:r>
              <w:rPr>
                <w:color w:val="auto"/>
                <w:spacing w:val="6"/>
                <w:highlight w:val="none"/>
              </w:rPr>
              <w:t>职资格</w:t>
            </w:r>
            <w:r>
              <w:rPr>
                <w:color w:val="auto"/>
                <w:spacing w:val="5"/>
                <w:highlight w:val="none"/>
              </w:rPr>
              <w:t>与业绩</w:t>
            </w:r>
          </w:p>
        </w:tc>
        <w:tc>
          <w:tcPr>
            <w:tcW w:w="600" w:type="dxa"/>
            <w:gridSpan w:val="3"/>
            <w:vAlign w:val="center"/>
          </w:tcPr>
          <w:p w14:paraId="2222A71A">
            <w:pPr>
              <w:keepNext w:val="0"/>
              <w:keepLines w:val="0"/>
              <w:pageBreakBefore w:val="0"/>
              <w:widowControl/>
              <w:kinsoku/>
              <w:wordWrap w:val="0"/>
              <w:overflowPunct/>
              <w:topLinePunct/>
              <w:autoSpaceDE/>
              <w:autoSpaceDN/>
              <w:bidi w:val="0"/>
              <w:adjustRightInd w:val="0"/>
              <w:snapToGrid w:val="0"/>
              <w:spacing w:line="240" w:lineRule="auto"/>
              <w:jc w:val="center"/>
              <w:textAlignment w:val="baseline"/>
              <w:rPr>
                <w:rFonts w:hint="default" w:eastAsia="宋体"/>
                <w:color w:val="auto"/>
                <w:highlight w:val="none"/>
                <w:lang w:val="en-US" w:eastAsia="zh-CN"/>
              </w:rPr>
            </w:pPr>
            <w:r>
              <w:rPr>
                <w:rFonts w:hint="eastAsia" w:ascii="宋体" w:hAnsi="宋体" w:eastAsia="宋体" w:cs="宋体"/>
                <w:color w:val="auto"/>
                <w:sz w:val="20"/>
                <w:szCs w:val="20"/>
                <w:highlight w:val="none"/>
                <w:u w:val="single"/>
                <w:lang w:val="en-US" w:eastAsia="zh-CN"/>
              </w:rPr>
              <w:t>25</w:t>
            </w:r>
            <w:r>
              <w:rPr>
                <w:rFonts w:hint="eastAsia" w:ascii="宋体" w:hAnsi="宋体" w:eastAsia="宋体" w:cs="宋体"/>
                <w:color w:val="auto"/>
                <w:sz w:val="20"/>
                <w:szCs w:val="20"/>
                <w:highlight w:val="none"/>
                <w:lang w:val="en-US" w:eastAsia="zh-CN"/>
              </w:rPr>
              <w:t>分</w:t>
            </w:r>
          </w:p>
        </w:tc>
        <w:tc>
          <w:tcPr>
            <w:tcW w:w="4722" w:type="dxa"/>
            <w:gridSpan w:val="2"/>
            <w:vAlign w:val="top"/>
          </w:tcPr>
          <w:p w14:paraId="25AA4AE6">
            <w:pPr>
              <w:spacing w:line="288" w:lineRule="auto"/>
              <w:rPr>
                <w:rFonts w:ascii="Arial"/>
                <w:color w:val="auto"/>
                <w:sz w:val="21"/>
                <w:highlight w:val="none"/>
              </w:rPr>
            </w:pPr>
          </w:p>
          <w:p w14:paraId="702E8590">
            <w:pPr>
              <w:spacing w:line="288" w:lineRule="auto"/>
              <w:rPr>
                <w:rFonts w:ascii="Arial"/>
                <w:color w:val="auto"/>
                <w:sz w:val="21"/>
                <w:highlight w:val="none"/>
              </w:rPr>
            </w:pPr>
          </w:p>
          <w:p w14:paraId="7D218E3C">
            <w:pPr>
              <w:spacing w:line="289" w:lineRule="auto"/>
              <w:rPr>
                <w:rFonts w:ascii="Arial"/>
                <w:color w:val="auto"/>
                <w:sz w:val="21"/>
                <w:highlight w:val="none"/>
              </w:rPr>
            </w:pPr>
          </w:p>
          <w:p w14:paraId="4070150E">
            <w:pPr>
              <w:spacing w:line="289" w:lineRule="auto"/>
              <w:rPr>
                <w:rFonts w:ascii="Arial"/>
                <w:color w:val="auto"/>
                <w:sz w:val="21"/>
                <w:highlight w:val="none"/>
              </w:rPr>
            </w:pPr>
          </w:p>
          <w:p w14:paraId="0DDBDFCA">
            <w:pPr>
              <w:pStyle w:val="20"/>
              <w:spacing w:before="65" w:line="226" w:lineRule="auto"/>
              <w:ind w:left="114"/>
              <w:rPr>
                <w:color w:val="auto"/>
                <w:highlight w:val="none"/>
              </w:rPr>
            </w:pPr>
            <w:r>
              <w:rPr>
                <w:color w:val="auto"/>
                <w:spacing w:val="8"/>
                <w:highlight w:val="none"/>
              </w:rPr>
              <w:t>监理人员符合资格审查要求的，得满分。</w:t>
            </w:r>
          </w:p>
        </w:tc>
      </w:tr>
      <w:tr w14:paraId="3C80E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4" w:hRule="atLeast"/>
        </w:trPr>
        <w:tc>
          <w:tcPr>
            <w:tcW w:w="834" w:type="dxa"/>
            <w:vMerge w:val="restart"/>
            <w:tcBorders>
              <w:bottom w:val="nil"/>
            </w:tcBorders>
            <w:vAlign w:val="center"/>
          </w:tcPr>
          <w:p w14:paraId="070C2AE6">
            <w:pPr>
              <w:pStyle w:val="20"/>
              <w:spacing w:before="65" w:line="268" w:lineRule="exact"/>
              <w:jc w:val="center"/>
              <w:rPr>
                <w:color w:val="auto"/>
                <w:highlight w:val="none"/>
              </w:rPr>
            </w:pPr>
            <w:r>
              <w:rPr>
                <w:color w:val="auto"/>
                <w:spacing w:val="2"/>
                <w:position w:val="1"/>
                <w:highlight w:val="none"/>
              </w:rPr>
              <w:t>2.2.4</w:t>
            </w:r>
          </w:p>
          <w:p w14:paraId="41D9BDBD">
            <w:pPr>
              <w:pStyle w:val="20"/>
              <w:spacing w:before="113" w:line="231" w:lineRule="auto"/>
              <w:jc w:val="center"/>
              <w:rPr>
                <w:color w:val="auto"/>
                <w:highlight w:val="none"/>
              </w:rPr>
            </w:pPr>
            <w:r>
              <w:rPr>
                <w:color w:val="auto"/>
                <w:spacing w:val="-10"/>
                <w:highlight w:val="none"/>
              </w:rPr>
              <w:t>(3)</w:t>
            </w:r>
          </w:p>
        </w:tc>
        <w:tc>
          <w:tcPr>
            <w:tcW w:w="1048" w:type="dxa"/>
            <w:gridSpan w:val="5"/>
            <w:vMerge w:val="restart"/>
            <w:tcBorders>
              <w:bottom w:val="nil"/>
            </w:tcBorders>
            <w:vAlign w:val="center"/>
          </w:tcPr>
          <w:p w14:paraId="4F3E67DF">
            <w:pPr>
              <w:pStyle w:val="20"/>
              <w:spacing w:before="65" w:line="226" w:lineRule="auto"/>
              <w:jc w:val="center"/>
              <w:rPr>
                <w:color w:val="auto"/>
                <w:highlight w:val="none"/>
              </w:rPr>
            </w:pPr>
            <w:r>
              <w:rPr>
                <w:color w:val="auto"/>
                <w:spacing w:val="7"/>
                <w:highlight w:val="none"/>
              </w:rPr>
              <w:t>评标价</w:t>
            </w:r>
          </w:p>
        </w:tc>
        <w:tc>
          <w:tcPr>
            <w:tcW w:w="956" w:type="dxa"/>
            <w:gridSpan w:val="2"/>
            <w:vAlign w:val="center"/>
          </w:tcPr>
          <w:p w14:paraId="23F53FD5">
            <w:pPr>
              <w:pStyle w:val="20"/>
              <w:spacing w:before="65" w:line="228" w:lineRule="auto"/>
              <w:jc w:val="center"/>
              <w:rPr>
                <w:color w:val="auto"/>
                <w:highlight w:val="none"/>
              </w:rPr>
            </w:pPr>
            <w:r>
              <w:rPr>
                <w:color w:val="auto"/>
                <w:spacing w:val="-5"/>
                <w:highlight w:val="none"/>
              </w:rPr>
              <w:t>10</w:t>
            </w:r>
            <w:r>
              <w:rPr>
                <w:color w:val="auto"/>
                <w:spacing w:val="-38"/>
                <w:highlight w:val="none"/>
              </w:rPr>
              <w:t xml:space="preserve"> </w:t>
            </w:r>
            <w:r>
              <w:rPr>
                <w:color w:val="auto"/>
                <w:spacing w:val="-5"/>
                <w:highlight w:val="none"/>
              </w:rPr>
              <w:t>分</w:t>
            </w:r>
          </w:p>
        </w:tc>
        <w:tc>
          <w:tcPr>
            <w:tcW w:w="6448" w:type="dxa"/>
            <w:gridSpan w:val="6"/>
            <w:vAlign w:val="top"/>
          </w:tcPr>
          <w:p w14:paraId="028C7363">
            <w:pPr>
              <w:pStyle w:val="20"/>
              <w:spacing w:before="36" w:line="226" w:lineRule="auto"/>
              <w:ind w:left="112"/>
              <w:rPr>
                <w:color w:val="auto"/>
                <w:highlight w:val="none"/>
              </w:rPr>
            </w:pPr>
            <w:r>
              <w:rPr>
                <w:color w:val="auto"/>
                <w:spacing w:val="8"/>
                <w:highlight w:val="none"/>
              </w:rPr>
              <w:t>评标价得分计算公式示例：</w:t>
            </w:r>
          </w:p>
          <w:p w14:paraId="7529B512">
            <w:pPr>
              <w:pStyle w:val="20"/>
              <w:spacing w:before="163" w:line="376" w:lineRule="auto"/>
              <w:ind w:left="113" w:right="136" w:firstLine="36"/>
              <w:rPr>
                <w:color w:val="auto"/>
                <w:highlight w:val="none"/>
              </w:rPr>
            </w:pPr>
            <w:r>
              <w:rPr>
                <w:color w:val="auto"/>
                <w:spacing w:val="17"/>
                <w:highlight w:val="none"/>
              </w:rPr>
              <w:t>(1)如果投标人的评标价&gt;评标基准价，则</w:t>
            </w:r>
            <w:r>
              <w:rPr>
                <w:color w:val="auto"/>
                <w:spacing w:val="16"/>
                <w:highlight w:val="none"/>
              </w:rPr>
              <w:t>评标价得分＝10-</w:t>
            </w:r>
            <w:r>
              <w:rPr>
                <w:color w:val="auto"/>
                <w:spacing w:val="5"/>
                <w:highlight w:val="none"/>
              </w:rPr>
              <w:t>偏差率×100× E</w:t>
            </w:r>
            <w:r>
              <w:rPr>
                <w:color w:val="auto"/>
                <w:spacing w:val="5"/>
                <w:position w:val="-3"/>
                <w:sz w:val="10"/>
                <w:szCs w:val="10"/>
                <w:highlight w:val="none"/>
              </w:rPr>
              <w:t>1</w:t>
            </w:r>
            <w:r>
              <w:rPr>
                <w:color w:val="auto"/>
                <w:spacing w:val="5"/>
                <w:highlight w:val="none"/>
              </w:rPr>
              <w:t>；</w:t>
            </w:r>
          </w:p>
          <w:p w14:paraId="245B9A58">
            <w:pPr>
              <w:pStyle w:val="20"/>
              <w:spacing w:before="1" w:line="377" w:lineRule="auto"/>
              <w:ind w:left="113" w:right="136" w:firstLine="36"/>
              <w:rPr>
                <w:color w:val="auto"/>
                <w:highlight w:val="none"/>
              </w:rPr>
            </w:pPr>
            <w:r>
              <w:rPr>
                <w:color w:val="auto"/>
                <w:spacing w:val="13"/>
                <w:highlight w:val="none"/>
              </w:rPr>
              <w:t>(2)如果投标人的评标价≤评标基准价，则评标价得分＝10+</w:t>
            </w:r>
            <w:r>
              <w:rPr>
                <w:color w:val="auto"/>
                <w:spacing w:val="3"/>
                <w:highlight w:val="none"/>
              </w:rPr>
              <w:t>偏差率×</w:t>
            </w:r>
            <w:r>
              <w:rPr>
                <w:color w:val="auto"/>
                <w:spacing w:val="37"/>
                <w:highlight w:val="none"/>
              </w:rPr>
              <w:t xml:space="preserve"> </w:t>
            </w:r>
            <w:r>
              <w:rPr>
                <w:color w:val="auto"/>
                <w:spacing w:val="3"/>
                <w:highlight w:val="none"/>
              </w:rPr>
              <w:t>100× E</w:t>
            </w:r>
            <w:r>
              <w:rPr>
                <w:color w:val="auto"/>
                <w:spacing w:val="3"/>
                <w:position w:val="-2"/>
                <w:sz w:val="10"/>
                <w:szCs w:val="10"/>
                <w:highlight w:val="none"/>
              </w:rPr>
              <w:t>2</w:t>
            </w:r>
            <w:r>
              <w:rPr>
                <w:color w:val="auto"/>
                <w:spacing w:val="3"/>
                <w:highlight w:val="none"/>
              </w:rPr>
              <w:t>。</w:t>
            </w:r>
          </w:p>
          <w:p w14:paraId="0A9E6EF9">
            <w:pPr>
              <w:pStyle w:val="20"/>
              <w:spacing w:before="2" w:line="357" w:lineRule="auto"/>
              <w:ind w:left="103" w:right="107" w:firstLine="10"/>
              <w:rPr>
                <w:color w:val="auto"/>
                <w:highlight w:val="none"/>
              </w:rPr>
            </w:pPr>
            <w:r>
              <w:rPr>
                <w:color w:val="auto"/>
                <w:spacing w:val="22"/>
                <w:highlight w:val="none"/>
              </w:rPr>
              <w:t>注</w:t>
            </w:r>
            <w:r>
              <w:rPr>
                <w:color w:val="auto"/>
                <w:spacing w:val="-45"/>
                <w:highlight w:val="none"/>
              </w:rPr>
              <w:t xml:space="preserve"> </w:t>
            </w:r>
            <w:r>
              <w:rPr>
                <w:color w:val="auto"/>
                <w:spacing w:val="22"/>
                <w:highlight w:val="none"/>
              </w:rPr>
              <w:t>：评标价得分计算保留小数点后四位</w:t>
            </w:r>
            <w:r>
              <w:rPr>
                <w:color w:val="auto"/>
                <w:spacing w:val="-55"/>
                <w:highlight w:val="none"/>
              </w:rPr>
              <w:t xml:space="preserve"> </w:t>
            </w:r>
            <w:r>
              <w:rPr>
                <w:color w:val="auto"/>
                <w:spacing w:val="22"/>
                <w:highlight w:val="none"/>
              </w:rPr>
              <w:t>，小数点后第五位</w:t>
            </w:r>
            <w:r>
              <w:rPr>
                <w:color w:val="auto"/>
                <w:spacing w:val="4"/>
                <w:highlight w:val="none"/>
              </w:rPr>
              <w:t>“</w:t>
            </w:r>
            <w:r>
              <w:rPr>
                <w:color w:val="auto"/>
                <w:spacing w:val="-69"/>
                <w:highlight w:val="none"/>
              </w:rPr>
              <w:t xml:space="preserve"> </w:t>
            </w:r>
            <w:r>
              <w:rPr>
                <w:color w:val="auto"/>
                <w:spacing w:val="4"/>
                <w:highlight w:val="none"/>
              </w:rPr>
              <w:t>四舍五入</w:t>
            </w:r>
            <w:r>
              <w:rPr>
                <w:color w:val="auto"/>
                <w:spacing w:val="-70"/>
                <w:highlight w:val="none"/>
              </w:rPr>
              <w:t xml:space="preserve"> </w:t>
            </w:r>
            <w:r>
              <w:rPr>
                <w:color w:val="auto"/>
                <w:spacing w:val="4"/>
                <w:highlight w:val="none"/>
              </w:rPr>
              <w:t>”。</w:t>
            </w:r>
          </w:p>
        </w:tc>
      </w:tr>
      <w:tr w14:paraId="711D6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834" w:type="dxa"/>
            <w:vMerge w:val="continue"/>
            <w:tcBorders>
              <w:top w:val="nil"/>
            </w:tcBorders>
            <w:vAlign w:val="top"/>
          </w:tcPr>
          <w:p w14:paraId="33636892">
            <w:pPr>
              <w:rPr>
                <w:rFonts w:ascii="Arial"/>
                <w:color w:val="auto"/>
                <w:sz w:val="21"/>
                <w:highlight w:val="none"/>
              </w:rPr>
            </w:pPr>
          </w:p>
        </w:tc>
        <w:tc>
          <w:tcPr>
            <w:tcW w:w="1048" w:type="dxa"/>
            <w:gridSpan w:val="5"/>
            <w:vMerge w:val="continue"/>
            <w:tcBorders>
              <w:top w:val="nil"/>
            </w:tcBorders>
            <w:vAlign w:val="top"/>
          </w:tcPr>
          <w:p w14:paraId="1A630F1D">
            <w:pPr>
              <w:rPr>
                <w:rFonts w:ascii="Arial"/>
                <w:color w:val="auto"/>
                <w:sz w:val="21"/>
                <w:highlight w:val="none"/>
              </w:rPr>
            </w:pPr>
          </w:p>
        </w:tc>
        <w:tc>
          <w:tcPr>
            <w:tcW w:w="956" w:type="dxa"/>
            <w:gridSpan w:val="2"/>
            <w:vAlign w:val="center"/>
          </w:tcPr>
          <w:p w14:paraId="36999091">
            <w:pPr>
              <w:pStyle w:val="20"/>
              <w:spacing w:before="65" w:line="353" w:lineRule="auto"/>
              <w:ind w:left="153" w:right="143" w:firstLine="18"/>
              <w:jc w:val="center"/>
              <w:rPr>
                <w:color w:val="auto"/>
                <w:highlight w:val="none"/>
              </w:rPr>
            </w:pPr>
            <w:r>
              <w:rPr>
                <w:color w:val="auto"/>
                <w:spacing w:val="2"/>
                <w:highlight w:val="none"/>
              </w:rPr>
              <w:t>E</w:t>
            </w:r>
            <w:r>
              <w:rPr>
                <w:color w:val="auto"/>
                <w:spacing w:val="-39"/>
                <w:highlight w:val="none"/>
              </w:rPr>
              <w:t xml:space="preserve"> </w:t>
            </w:r>
            <w:r>
              <w:rPr>
                <w:color w:val="auto"/>
                <w:spacing w:val="2"/>
                <w:highlight w:val="none"/>
              </w:rPr>
              <w:t>值确</w:t>
            </w:r>
            <w:r>
              <w:rPr>
                <w:color w:val="auto"/>
                <w:spacing w:val="5"/>
                <w:highlight w:val="none"/>
              </w:rPr>
              <w:t>定方式</w:t>
            </w:r>
          </w:p>
        </w:tc>
        <w:tc>
          <w:tcPr>
            <w:tcW w:w="6448" w:type="dxa"/>
            <w:gridSpan w:val="6"/>
            <w:vAlign w:val="center"/>
          </w:tcPr>
          <w:p w14:paraId="295D7930">
            <w:pPr>
              <w:pStyle w:val="20"/>
              <w:spacing w:before="16" w:line="237" w:lineRule="auto"/>
              <w:ind w:left="111"/>
              <w:jc w:val="both"/>
              <w:rPr>
                <w:color w:val="auto"/>
                <w:highlight w:val="none"/>
              </w:rPr>
            </w:pPr>
            <w:r>
              <w:rPr>
                <w:b/>
                <w:bCs/>
                <w:color w:val="auto"/>
                <w:spacing w:val="8"/>
                <w:highlight w:val="none"/>
              </w:rPr>
              <w:t>E</w:t>
            </w:r>
            <w:r>
              <w:rPr>
                <w:color w:val="auto"/>
                <w:spacing w:val="-39"/>
                <w:highlight w:val="none"/>
              </w:rPr>
              <w:t xml:space="preserve"> </w:t>
            </w:r>
            <w:r>
              <w:rPr>
                <w:b/>
                <w:bCs/>
                <w:color w:val="auto"/>
                <w:spacing w:val="8"/>
                <w:highlight w:val="none"/>
              </w:rPr>
              <w:t>值确定方式</w:t>
            </w:r>
            <w:r>
              <w:rPr>
                <w:b/>
                <w:bCs/>
                <w:color w:val="auto"/>
                <w:spacing w:val="-5"/>
                <w:highlight w:val="none"/>
              </w:rPr>
              <w:t>：</w:t>
            </w:r>
          </w:p>
          <w:p w14:paraId="393ABDBC">
            <w:pPr>
              <w:pStyle w:val="20"/>
              <w:spacing w:line="242" w:lineRule="auto"/>
              <w:ind w:left="114"/>
              <w:jc w:val="both"/>
              <w:rPr>
                <w:color w:val="auto"/>
                <w:highlight w:val="none"/>
              </w:rPr>
            </w:pPr>
            <w:r>
              <w:rPr>
                <w:b/>
                <w:bCs/>
                <w:color w:val="auto"/>
                <w:spacing w:val="4"/>
                <w:highlight w:val="none"/>
              </w:rPr>
              <w:t>方法二：</w:t>
            </w:r>
            <w:r>
              <w:rPr>
                <w:color w:val="auto"/>
                <w:spacing w:val="4"/>
                <w:highlight w:val="none"/>
              </w:rPr>
              <w:t>E</w:t>
            </w:r>
            <w:r>
              <w:rPr>
                <w:color w:val="auto"/>
                <w:spacing w:val="4"/>
                <w:position w:val="-2"/>
                <w:sz w:val="10"/>
                <w:szCs w:val="10"/>
                <w:highlight w:val="none"/>
              </w:rPr>
              <w:t>1</w:t>
            </w:r>
            <w:r>
              <w:rPr>
                <w:color w:val="auto"/>
                <w:spacing w:val="4"/>
                <w:highlight w:val="none"/>
              </w:rPr>
              <w:t>=1.5，E</w:t>
            </w:r>
            <w:r>
              <w:rPr>
                <w:color w:val="auto"/>
                <w:spacing w:val="4"/>
                <w:position w:val="-2"/>
                <w:sz w:val="10"/>
                <w:szCs w:val="10"/>
                <w:highlight w:val="none"/>
              </w:rPr>
              <w:t>2</w:t>
            </w:r>
            <w:r>
              <w:rPr>
                <w:color w:val="auto"/>
                <w:spacing w:val="4"/>
                <w:highlight w:val="none"/>
              </w:rPr>
              <w:t>=0.5，</w:t>
            </w:r>
          </w:p>
        </w:tc>
      </w:tr>
      <w:tr w14:paraId="353FF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4" w:type="dxa"/>
            <w:vMerge w:val="restart"/>
            <w:vAlign w:val="center"/>
          </w:tcPr>
          <w:p w14:paraId="497497E4">
            <w:pPr>
              <w:pStyle w:val="20"/>
              <w:spacing w:before="65" w:line="268" w:lineRule="exact"/>
              <w:jc w:val="center"/>
              <w:rPr>
                <w:color w:val="auto"/>
                <w:highlight w:val="none"/>
              </w:rPr>
            </w:pPr>
            <w:r>
              <w:rPr>
                <w:color w:val="auto"/>
                <w:spacing w:val="2"/>
                <w:position w:val="1"/>
                <w:highlight w:val="none"/>
              </w:rPr>
              <w:t>2.2.4</w:t>
            </w:r>
          </w:p>
          <w:p w14:paraId="2023CD78">
            <w:pPr>
              <w:pStyle w:val="20"/>
              <w:spacing w:before="110" w:line="231" w:lineRule="auto"/>
              <w:jc w:val="center"/>
              <w:rPr>
                <w:color w:val="auto"/>
                <w:highlight w:val="none"/>
              </w:rPr>
            </w:pPr>
            <w:r>
              <w:rPr>
                <w:color w:val="auto"/>
                <w:spacing w:val="-10"/>
                <w:highlight w:val="none"/>
              </w:rPr>
              <w:t>(4)</w:t>
            </w:r>
          </w:p>
        </w:tc>
        <w:tc>
          <w:tcPr>
            <w:tcW w:w="544" w:type="dxa"/>
            <w:gridSpan w:val="4"/>
            <w:vMerge w:val="restart"/>
            <w:vAlign w:val="center"/>
          </w:tcPr>
          <w:p w14:paraId="5354486B">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pacing w:val="4"/>
                <w:highlight w:val="none"/>
              </w:rPr>
            </w:pPr>
            <w:r>
              <w:rPr>
                <w:color w:val="auto"/>
                <w:spacing w:val="4"/>
                <w:highlight w:val="none"/>
              </w:rPr>
              <w:t>其</w:t>
            </w:r>
          </w:p>
          <w:p w14:paraId="200693C2">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pacing w:val="4"/>
                <w:highlight w:val="none"/>
              </w:rPr>
            </w:pPr>
            <w:r>
              <w:rPr>
                <w:color w:val="auto"/>
                <w:spacing w:val="4"/>
                <w:highlight w:val="none"/>
              </w:rPr>
              <w:t>他</w:t>
            </w:r>
          </w:p>
          <w:p w14:paraId="63AC0220">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pacing w:val="-4"/>
                <w:highlight w:val="none"/>
              </w:rPr>
            </w:pPr>
            <w:r>
              <w:rPr>
                <w:color w:val="auto"/>
                <w:spacing w:val="-4"/>
                <w:highlight w:val="none"/>
              </w:rPr>
              <w:t>因</w:t>
            </w:r>
          </w:p>
          <w:p w14:paraId="289BD94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4"/>
                <w:highlight w:val="none"/>
              </w:rPr>
              <w:t>素</w:t>
            </w:r>
          </w:p>
        </w:tc>
        <w:tc>
          <w:tcPr>
            <w:tcW w:w="504" w:type="dxa"/>
            <w:vMerge w:val="restart"/>
            <w:vAlign w:val="center"/>
          </w:tcPr>
          <w:p w14:paraId="41EFA533">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pacing w:val="4"/>
                <w:highlight w:val="none"/>
              </w:rPr>
            </w:pPr>
            <w:r>
              <w:rPr>
                <w:color w:val="auto"/>
                <w:spacing w:val="4"/>
                <w:highlight w:val="none"/>
              </w:rPr>
              <w:t>业</w:t>
            </w:r>
          </w:p>
          <w:p w14:paraId="6F11BA7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10"/>
                <w:szCs w:val="10"/>
                <w:highlight w:val="none"/>
              </w:rPr>
            </w:pPr>
            <w:r>
              <w:rPr>
                <w:color w:val="auto"/>
                <w:spacing w:val="4"/>
                <w:highlight w:val="none"/>
              </w:rPr>
              <w:t>绩</w:t>
            </w:r>
            <w:r>
              <w:rPr>
                <w:color w:val="auto"/>
                <w:spacing w:val="-68"/>
                <w:highlight w:val="none"/>
              </w:rPr>
              <w:t xml:space="preserve"> </w:t>
            </w:r>
            <w:r>
              <w:rPr>
                <w:color w:val="auto"/>
                <w:highlight w:val="none"/>
              </w:rPr>
              <w:fldChar w:fldCharType="begin"/>
            </w:r>
            <w:r>
              <w:rPr>
                <w:color w:val="auto"/>
                <w:highlight w:val="none"/>
              </w:rPr>
              <w:instrText xml:space="preserve"> HYPERLINK \l "bookmark154" </w:instrText>
            </w:r>
            <w:r>
              <w:rPr>
                <w:color w:val="auto"/>
                <w:highlight w:val="none"/>
              </w:rPr>
              <w:fldChar w:fldCharType="separate"/>
            </w:r>
            <w:r>
              <w:rPr>
                <w:color w:val="auto"/>
                <w:spacing w:val="4"/>
                <w:sz w:val="10"/>
                <w:szCs w:val="10"/>
                <w:highlight w:val="none"/>
              </w:rPr>
              <w:fldChar w:fldCharType="end"/>
            </w:r>
          </w:p>
        </w:tc>
        <w:tc>
          <w:tcPr>
            <w:tcW w:w="956" w:type="dxa"/>
            <w:gridSpan w:val="2"/>
            <w:vMerge w:val="restart"/>
            <w:vAlign w:val="center"/>
          </w:tcPr>
          <w:p w14:paraId="428A0D1D">
            <w:pPr>
              <w:pStyle w:val="20"/>
              <w:spacing w:before="65" w:line="228" w:lineRule="auto"/>
              <w:jc w:val="center"/>
              <w:rPr>
                <w:color w:val="auto"/>
                <w:highlight w:val="none"/>
              </w:rPr>
            </w:pPr>
            <w:r>
              <w:rPr>
                <w:color w:val="auto"/>
                <w:spacing w:val="-1"/>
                <w:highlight w:val="none"/>
              </w:rPr>
              <w:t>25</w:t>
            </w:r>
            <w:r>
              <w:rPr>
                <w:color w:val="auto"/>
                <w:spacing w:val="-37"/>
                <w:highlight w:val="none"/>
              </w:rPr>
              <w:t xml:space="preserve"> </w:t>
            </w:r>
            <w:r>
              <w:rPr>
                <w:color w:val="auto"/>
                <w:spacing w:val="-1"/>
                <w:highlight w:val="none"/>
              </w:rPr>
              <w:t>分</w:t>
            </w:r>
          </w:p>
        </w:tc>
        <w:tc>
          <w:tcPr>
            <w:tcW w:w="1126" w:type="dxa"/>
            <w:vAlign w:val="center"/>
          </w:tcPr>
          <w:p w14:paraId="0D5460C8">
            <w:pPr>
              <w:pStyle w:val="20"/>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color w:val="auto"/>
                <w:highlight w:val="none"/>
              </w:rPr>
            </w:pPr>
            <w:r>
              <w:rPr>
                <w:color w:val="auto"/>
                <w:spacing w:val="6"/>
                <w:highlight w:val="none"/>
              </w:rPr>
              <w:t>基本要</w:t>
            </w:r>
            <w:r>
              <w:rPr>
                <w:color w:val="auto"/>
                <w:highlight w:val="none"/>
              </w:rPr>
              <w:t>求</w:t>
            </w:r>
          </w:p>
        </w:tc>
        <w:tc>
          <w:tcPr>
            <w:tcW w:w="582" w:type="dxa"/>
            <w:gridSpan w:val="2"/>
            <w:vAlign w:val="center"/>
          </w:tcPr>
          <w:p w14:paraId="6C2C1AF7">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8"/>
                <w:highlight w:val="none"/>
                <w:u w:val="single" w:color="auto"/>
              </w:rPr>
              <w:t>15</w:t>
            </w:r>
            <w:r>
              <w:rPr>
                <w:color w:val="auto"/>
                <w:spacing w:val="-2"/>
                <w:highlight w:val="none"/>
              </w:rPr>
              <w:t>分</w:t>
            </w:r>
          </w:p>
        </w:tc>
        <w:tc>
          <w:tcPr>
            <w:tcW w:w="4740" w:type="dxa"/>
            <w:gridSpan w:val="3"/>
            <w:vAlign w:val="top"/>
          </w:tcPr>
          <w:p w14:paraId="73C6B80B">
            <w:pPr>
              <w:pStyle w:val="20"/>
              <w:spacing w:before="144" w:line="282" w:lineRule="auto"/>
              <w:ind w:left="107" w:right="206" w:hanging="2"/>
              <w:rPr>
                <w:color w:val="auto"/>
                <w:highlight w:val="none"/>
              </w:rPr>
            </w:pPr>
            <w:r>
              <w:rPr>
                <w:color w:val="auto"/>
                <w:spacing w:val="6"/>
                <w:highlight w:val="none"/>
              </w:rPr>
              <w:t>满足招标文件附录</w:t>
            </w:r>
            <w:r>
              <w:rPr>
                <w:color w:val="auto"/>
                <w:spacing w:val="-27"/>
                <w:highlight w:val="none"/>
              </w:rPr>
              <w:t xml:space="preserve"> </w:t>
            </w:r>
            <w:r>
              <w:rPr>
                <w:color w:val="auto"/>
                <w:spacing w:val="6"/>
                <w:highlight w:val="none"/>
              </w:rPr>
              <w:t>2</w:t>
            </w:r>
            <w:r>
              <w:rPr>
                <w:color w:val="auto"/>
                <w:spacing w:val="-38"/>
                <w:highlight w:val="none"/>
              </w:rPr>
              <w:t xml:space="preserve"> </w:t>
            </w:r>
            <w:r>
              <w:rPr>
                <w:color w:val="auto"/>
                <w:spacing w:val="6"/>
                <w:highlight w:val="none"/>
              </w:rPr>
              <w:t>业绩最低要求的，得</w:t>
            </w:r>
            <w:r>
              <w:rPr>
                <w:color w:val="auto"/>
                <w:spacing w:val="-48"/>
                <w:highlight w:val="none"/>
              </w:rPr>
              <w:t xml:space="preserve"> </w:t>
            </w:r>
            <w:r>
              <w:rPr>
                <w:color w:val="auto"/>
                <w:spacing w:val="-76"/>
                <w:highlight w:val="none"/>
                <w:u w:val="single" w:color="auto"/>
              </w:rPr>
              <w:t xml:space="preserve"> </w:t>
            </w:r>
            <w:r>
              <w:rPr>
                <w:color w:val="auto"/>
                <w:spacing w:val="6"/>
                <w:highlight w:val="none"/>
                <w:u w:val="single" w:color="auto"/>
              </w:rPr>
              <w:t>15</w:t>
            </w:r>
            <w:r>
              <w:rPr>
                <w:color w:val="auto"/>
                <w:spacing w:val="-1"/>
                <w:highlight w:val="none"/>
              </w:rPr>
              <w:t>分。</w:t>
            </w:r>
          </w:p>
        </w:tc>
      </w:tr>
      <w:tr w14:paraId="66C1E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4" w:type="dxa"/>
            <w:vMerge w:val="continue"/>
            <w:vAlign w:val="top"/>
          </w:tcPr>
          <w:p w14:paraId="78A6B915">
            <w:pPr>
              <w:rPr>
                <w:rFonts w:ascii="Arial"/>
                <w:color w:val="auto"/>
                <w:sz w:val="21"/>
                <w:highlight w:val="none"/>
              </w:rPr>
            </w:pPr>
          </w:p>
        </w:tc>
        <w:tc>
          <w:tcPr>
            <w:tcW w:w="544" w:type="dxa"/>
            <w:gridSpan w:val="4"/>
            <w:vMerge w:val="continue"/>
            <w:vAlign w:val="top"/>
          </w:tcPr>
          <w:p w14:paraId="35DF9315">
            <w:pPr>
              <w:rPr>
                <w:rFonts w:ascii="Arial"/>
                <w:color w:val="auto"/>
                <w:sz w:val="21"/>
                <w:highlight w:val="none"/>
              </w:rPr>
            </w:pPr>
          </w:p>
        </w:tc>
        <w:tc>
          <w:tcPr>
            <w:tcW w:w="504" w:type="dxa"/>
            <w:vMerge w:val="continue"/>
            <w:textDirection w:val="tbRlV"/>
            <w:vAlign w:val="top"/>
          </w:tcPr>
          <w:p w14:paraId="20374E9D">
            <w:pPr>
              <w:rPr>
                <w:rFonts w:ascii="Arial"/>
                <w:color w:val="auto"/>
                <w:sz w:val="21"/>
                <w:highlight w:val="none"/>
              </w:rPr>
            </w:pPr>
          </w:p>
        </w:tc>
        <w:tc>
          <w:tcPr>
            <w:tcW w:w="956" w:type="dxa"/>
            <w:gridSpan w:val="2"/>
            <w:vMerge w:val="continue"/>
            <w:vAlign w:val="top"/>
          </w:tcPr>
          <w:p w14:paraId="257B8A7F">
            <w:pPr>
              <w:rPr>
                <w:rFonts w:ascii="Arial"/>
                <w:color w:val="auto"/>
                <w:sz w:val="21"/>
                <w:highlight w:val="none"/>
              </w:rPr>
            </w:pPr>
          </w:p>
        </w:tc>
        <w:tc>
          <w:tcPr>
            <w:tcW w:w="1126" w:type="dxa"/>
            <w:vAlign w:val="center"/>
          </w:tcPr>
          <w:p w14:paraId="287F3020">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3"/>
                <w:highlight w:val="none"/>
              </w:rPr>
              <w:t>路基工程</w:t>
            </w:r>
          </w:p>
        </w:tc>
        <w:tc>
          <w:tcPr>
            <w:tcW w:w="582" w:type="dxa"/>
            <w:gridSpan w:val="2"/>
            <w:vAlign w:val="center"/>
          </w:tcPr>
          <w:p w14:paraId="26F0498A">
            <w:pPr>
              <w:pStyle w:val="20"/>
              <w:keepNext w:val="0"/>
              <w:keepLines w:val="0"/>
              <w:pageBreakBefore w:val="0"/>
              <w:widowControl/>
              <w:tabs>
                <w:tab w:val="left" w:pos="221"/>
              </w:tabs>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3</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4CE4673C">
            <w:pPr>
              <w:pStyle w:val="20"/>
              <w:spacing w:before="141" w:line="283" w:lineRule="auto"/>
              <w:ind w:left="115" w:leftChars="0" w:right="153" w:rightChars="0" w:hanging="10" w:firstLineChars="0"/>
              <w:rPr>
                <w:color w:val="auto"/>
                <w:highlight w:val="none"/>
              </w:rPr>
            </w:pPr>
            <w:r>
              <w:rPr>
                <w:color w:val="auto"/>
                <w:spacing w:val="8"/>
                <w:highlight w:val="none"/>
              </w:rPr>
              <w:t>在满足业绩最低要求的基础上，每增加</w:t>
            </w:r>
            <w:r>
              <w:rPr>
                <w:color w:val="auto"/>
                <w:spacing w:val="8"/>
                <w:highlight w:val="none"/>
                <w:u w:val="single" w:color="auto"/>
              </w:rPr>
              <w:t xml:space="preserve"> </w:t>
            </w:r>
            <w:r>
              <w:rPr>
                <w:rFonts w:hint="eastAsia"/>
                <w:color w:val="auto"/>
                <w:spacing w:val="8"/>
                <w:highlight w:val="none"/>
                <w:u w:val="single" w:color="auto"/>
                <w:lang w:val="en-US" w:eastAsia="zh-CN"/>
              </w:rPr>
              <w:t>1</w:t>
            </w:r>
            <w:r>
              <w:rPr>
                <w:color w:val="auto"/>
                <w:spacing w:val="8"/>
                <w:highlight w:val="none"/>
                <w:u w:val="single" w:color="auto"/>
              </w:rPr>
              <w:t xml:space="preserve"> </w:t>
            </w:r>
            <w:r>
              <w:rPr>
                <w:color w:val="auto"/>
                <w:highlight w:val="none"/>
              </w:rPr>
              <w:t xml:space="preserve">km </w:t>
            </w:r>
            <w:r>
              <w:rPr>
                <w:color w:val="auto"/>
                <w:spacing w:val="6"/>
                <w:highlight w:val="none"/>
              </w:rPr>
              <w:t>（尾数不计）加</w:t>
            </w:r>
            <w:r>
              <w:rPr>
                <w:color w:val="auto"/>
                <w:spacing w:val="6"/>
                <w:highlight w:val="none"/>
                <w:u w:val="single" w:color="auto"/>
              </w:rPr>
              <w:t xml:space="preserve"> </w:t>
            </w:r>
            <w:r>
              <w:rPr>
                <w:rFonts w:hint="eastAsia"/>
                <w:color w:val="auto"/>
                <w:spacing w:val="6"/>
                <w:highlight w:val="none"/>
                <w:u w:val="single" w:color="auto"/>
                <w:lang w:val="en-US" w:eastAsia="zh-CN"/>
              </w:rPr>
              <w:t>1</w:t>
            </w:r>
            <w:r>
              <w:rPr>
                <w:color w:val="auto"/>
                <w:spacing w:val="6"/>
                <w:highlight w:val="none"/>
                <w:u w:val="single" w:color="auto"/>
              </w:rPr>
              <w:t xml:space="preserve"> </w:t>
            </w:r>
            <w:r>
              <w:rPr>
                <w:color w:val="auto"/>
                <w:spacing w:val="-85"/>
                <w:highlight w:val="none"/>
              </w:rPr>
              <w:t xml:space="preserve"> </w:t>
            </w:r>
            <w:r>
              <w:rPr>
                <w:color w:val="auto"/>
                <w:spacing w:val="6"/>
                <w:highlight w:val="none"/>
              </w:rPr>
              <w:t>分，最多加</w:t>
            </w:r>
            <w:r>
              <w:rPr>
                <w:color w:val="auto"/>
                <w:spacing w:val="6"/>
                <w:highlight w:val="none"/>
                <w:u w:val="single" w:color="auto"/>
              </w:rPr>
              <w:t xml:space="preserve"> </w:t>
            </w:r>
            <w:r>
              <w:rPr>
                <w:rFonts w:hint="eastAsia"/>
                <w:color w:val="auto"/>
                <w:spacing w:val="6"/>
                <w:highlight w:val="none"/>
                <w:u w:val="single" w:color="auto"/>
                <w:lang w:val="en-US" w:eastAsia="zh-CN"/>
              </w:rPr>
              <w:t>3</w:t>
            </w:r>
            <w:r>
              <w:rPr>
                <w:color w:val="auto"/>
                <w:spacing w:val="6"/>
                <w:highlight w:val="none"/>
                <w:u w:val="single" w:color="auto"/>
              </w:rPr>
              <w:t xml:space="preserve"> </w:t>
            </w:r>
            <w:r>
              <w:rPr>
                <w:color w:val="auto"/>
                <w:spacing w:val="-89"/>
                <w:highlight w:val="none"/>
              </w:rPr>
              <w:t xml:space="preserve"> </w:t>
            </w:r>
            <w:r>
              <w:rPr>
                <w:color w:val="auto"/>
                <w:spacing w:val="6"/>
                <w:highlight w:val="none"/>
              </w:rPr>
              <w:t>分</w:t>
            </w:r>
          </w:p>
        </w:tc>
      </w:tr>
      <w:tr w14:paraId="231E5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4" w:type="dxa"/>
            <w:vMerge w:val="continue"/>
            <w:vAlign w:val="top"/>
          </w:tcPr>
          <w:p w14:paraId="282A9A48">
            <w:pPr>
              <w:rPr>
                <w:rFonts w:ascii="Arial"/>
                <w:color w:val="auto"/>
                <w:sz w:val="21"/>
                <w:highlight w:val="none"/>
              </w:rPr>
            </w:pPr>
          </w:p>
        </w:tc>
        <w:tc>
          <w:tcPr>
            <w:tcW w:w="544" w:type="dxa"/>
            <w:gridSpan w:val="4"/>
            <w:vMerge w:val="continue"/>
            <w:vAlign w:val="top"/>
          </w:tcPr>
          <w:p w14:paraId="1245C296">
            <w:pPr>
              <w:rPr>
                <w:rFonts w:ascii="Arial"/>
                <w:color w:val="auto"/>
                <w:sz w:val="21"/>
                <w:highlight w:val="none"/>
              </w:rPr>
            </w:pPr>
          </w:p>
        </w:tc>
        <w:tc>
          <w:tcPr>
            <w:tcW w:w="504" w:type="dxa"/>
            <w:vMerge w:val="continue"/>
            <w:textDirection w:val="tbRlV"/>
            <w:vAlign w:val="top"/>
          </w:tcPr>
          <w:p w14:paraId="320DC216">
            <w:pPr>
              <w:rPr>
                <w:rFonts w:ascii="Arial"/>
                <w:color w:val="auto"/>
                <w:sz w:val="21"/>
                <w:highlight w:val="none"/>
              </w:rPr>
            </w:pPr>
          </w:p>
        </w:tc>
        <w:tc>
          <w:tcPr>
            <w:tcW w:w="956" w:type="dxa"/>
            <w:gridSpan w:val="2"/>
            <w:vMerge w:val="continue"/>
            <w:vAlign w:val="top"/>
          </w:tcPr>
          <w:p w14:paraId="4C85016B">
            <w:pPr>
              <w:rPr>
                <w:rFonts w:ascii="Arial"/>
                <w:color w:val="auto"/>
                <w:sz w:val="21"/>
                <w:highlight w:val="none"/>
              </w:rPr>
            </w:pPr>
          </w:p>
        </w:tc>
        <w:tc>
          <w:tcPr>
            <w:tcW w:w="1126" w:type="dxa"/>
            <w:vAlign w:val="center"/>
          </w:tcPr>
          <w:p w14:paraId="70203401">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3"/>
                <w:highlight w:val="none"/>
              </w:rPr>
              <w:t>路面工程</w:t>
            </w:r>
          </w:p>
        </w:tc>
        <w:tc>
          <w:tcPr>
            <w:tcW w:w="582" w:type="dxa"/>
            <w:gridSpan w:val="2"/>
            <w:vAlign w:val="center"/>
          </w:tcPr>
          <w:p w14:paraId="5E85CCCE">
            <w:pPr>
              <w:pStyle w:val="20"/>
              <w:keepNext w:val="0"/>
              <w:keepLines w:val="0"/>
              <w:pageBreakBefore w:val="0"/>
              <w:widowControl/>
              <w:tabs>
                <w:tab w:val="left" w:pos="240"/>
              </w:tabs>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3</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2A48CE87">
            <w:pPr>
              <w:pStyle w:val="20"/>
              <w:spacing w:before="141" w:line="283" w:lineRule="auto"/>
              <w:ind w:left="115" w:leftChars="0" w:right="153" w:rightChars="0" w:hanging="10" w:firstLineChars="0"/>
              <w:rPr>
                <w:color w:val="auto"/>
                <w:highlight w:val="none"/>
              </w:rPr>
            </w:pPr>
            <w:r>
              <w:rPr>
                <w:color w:val="auto"/>
                <w:spacing w:val="8"/>
                <w:highlight w:val="none"/>
              </w:rPr>
              <w:t>在满足业绩最低要求的基础上，每增加</w:t>
            </w:r>
            <w:r>
              <w:rPr>
                <w:color w:val="auto"/>
                <w:spacing w:val="8"/>
                <w:highlight w:val="none"/>
                <w:u w:val="single" w:color="auto"/>
              </w:rPr>
              <w:t xml:space="preserve"> </w:t>
            </w:r>
            <w:r>
              <w:rPr>
                <w:rFonts w:hint="eastAsia"/>
                <w:color w:val="auto"/>
                <w:spacing w:val="8"/>
                <w:highlight w:val="none"/>
                <w:u w:val="single" w:color="auto"/>
                <w:lang w:val="en-US" w:eastAsia="zh-CN"/>
              </w:rPr>
              <w:t>1</w:t>
            </w:r>
            <w:r>
              <w:rPr>
                <w:color w:val="auto"/>
                <w:spacing w:val="8"/>
                <w:highlight w:val="none"/>
                <w:u w:val="single" w:color="auto"/>
              </w:rPr>
              <w:t xml:space="preserve"> </w:t>
            </w:r>
            <w:r>
              <w:rPr>
                <w:color w:val="auto"/>
                <w:spacing w:val="-76"/>
                <w:highlight w:val="none"/>
              </w:rPr>
              <w:t xml:space="preserve"> </w:t>
            </w:r>
            <w:r>
              <w:rPr>
                <w:color w:val="auto"/>
                <w:highlight w:val="none"/>
              </w:rPr>
              <w:t xml:space="preserve">km </w:t>
            </w:r>
            <w:r>
              <w:rPr>
                <w:color w:val="auto"/>
                <w:spacing w:val="6"/>
                <w:highlight w:val="none"/>
              </w:rPr>
              <w:t>（尾数不计）加</w:t>
            </w:r>
            <w:r>
              <w:rPr>
                <w:color w:val="auto"/>
                <w:spacing w:val="6"/>
                <w:highlight w:val="none"/>
                <w:u w:val="single" w:color="auto"/>
              </w:rPr>
              <w:t xml:space="preserve"> </w:t>
            </w:r>
            <w:r>
              <w:rPr>
                <w:rFonts w:hint="eastAsia"/>
                <w:color w:val="auto"/>
                <w:spacing w:val="6"/>
                <w:highlight w:val="none"/>
                <w:u w:val="single" w:color="auto"/>
                <w:lang w:val="en-US" w:eastAsia="zh-CN"/>
              </w:rPr>
              <w:t>1</w:t>
            </w:r>
            <w:r>
              <w:rPr>
                <w:color w:val="auto"/>
                <w:spacing w:val="6"/>
                <w:highlight w:val="none"/>
                <w:u w:val="single" w:color="auto"/>
              </w:rPr>
              <w:t xml:space="preserve"> </w:t>
            </w:r>
            <w:r>
              <w:rPr>
                <w:color w:val="auto"/>
                <w:spacing w:val="-85"/>
                <w:highlight w:val="none"/>
              </w:rPr>
              <w:t xml:space="preserve"> </w:t>
            </w:r>
            <w:r>
              <w:rPr>
                <w:color w:val="auto"/>
                <w:spacing w:val="6"/>
                <w:highlight w:val="none"/>
              </w:rPr>
              <w:t>分，最多加</w:t>
            </w:r>
            <w:r>
              <w:rPr>
                <w:color w:val="auto"/>
                <w:spacing w:val="6"/>
                <w:highlight w:val="none"/>
                <w:u w:val="single" w:color="auto"/>
              </w:rPr>
              <w:t xml:space="preserve"> </w:t>
            </w:r>
            <w:r>
              <w:rPr>
                <w:rFonts w:hint="eastAsia"/>
                <w:color w:val="auto"/>
                <w:spacing w:val="6"/>
                <w:highlight w:val="none"/>
                <w:u w:val="single" w:color="auto"/>
                <w:lang w:val="en-US" w:eastAsia="zh-CN"/>
              </w:rPr>
              <w:t>3</w:t>
            </w:r>
            <w:r>
              <w:rPr>
                <w:color w:val="auto"/>
                <w:spacing w:val="6"/>
                <w:highlight w:val="none"/>
                <w:u w:val="single" w:color="auto"/>
              </w:rPr>
              <w:t xml:space="preserve"> </w:t>
            </w:r>
            <w:r>
              <w:rPr>
                <w:color w:val="auto"/>
                <w:spacing w:val="-89"/>
                <w:highlight w:val="none"/>
              </w:rPr>
              <w:t xml:space="preserve"> </w:t>
            </w:r>
            <w:r>
              <w:rPr>
                <w:color w:val="auto"/>
                <w:spacing w:val="6"/>
                <w:highlight w:val="none"/>
              </w:rPr>
              <w:t>分</w:t>
            </w:r>
          </w:p>
        </w:tc>
      </w:tr>
      <w:tr w14:paraId="5DCAD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8" w:hRule="atLeast"/>
        </w:trPr>
        <w:tc>
          <w:tcPr>
            <w:tcW w:w="834" w:type="dxa"/>
            <w:vMerge w:val="continue"/>
            <w:vAlign w:val="top"/>
          </w:tcPr>
          <w:p w14:paraId="75072661">
            <w:pPr>
              <w:rPr>
                <w:rFonts w:ascii="Arial"/>
                <w:color w:val="auto"/>
                <w:sz w:val="21"/>
                <w:highlight w:val="none"/>
              </w:rPr>
            </w:pPr>
          </w:p>
        </w:tc>
        <w:tc>
          <w:tcPr>
            <w:tcW w:w="544" w:type="dxa"/>
            <w:gridSpan w:val="4"/>
            <w:vMerge w:val="continue"/>
            <w:vAlign w:val="top"/>
          </w:tcPr>
          <w:p w14:paraId="17EC523D">
            <w:pPr>
              <w:rPr>
                <w:rFonts w:ascii="Arial"/>
                <w:color w:val="auto"/>
                <w:sz w:val="21"/>
                <w:highlight w:val="none"/>
              </w:rPr>
            </w:pPr>
          </w:p>
        </w:tc>
        <w:tc>
          <w:tcPr>
            <w:tcW w:w="504" w:type="dxa"/>
            <w:vMerge w:val="continue"/>
            <w:textDirection w:val="tbRlV"/>
            <w:vAlign w:val="top"/>
          </w:tcPr>
          <w:p w14:paraId="189D6531">
            <w:pPr>
              <w:rPr>
                <w:rFonts w:ascii="Arial"/>
                <w:color w:val="auto"/>
                <w:sz w:val="21"/>
                <w:highlight w:val="none"/>
              </w:rPr>
            </w:pPr>
          </w:p>
        </w:tc>
        <w:tc>
          <w:tcPr>
            <w:tcW w:w="956" w:type="dxa"/>
            <w:gridSpan w:val="2"/>
            <w:vMerge w:val="continue"/>
            <w:vAlign w:val="top"/>
          </w:tcPr>
          <w:p w14:paraId="747A2CDB">
            <w:pPr>
              <w:rPr>
                <w:rFonts w:ascii="Arial"/>
                <w:color w:val="auto"/>
                <w:sz w:val="21"/>
                <w:highlight w:val="none"/>
              </w:rPr>
            </w:pPr>
          </w:p>
        </w:tc>
        <w:tc>
          <w:tcPr>
            <w:tcW w:w="1126" w:type="dxa"/>
            <w:vAlign w:val="center"/>
          </w:tcPr>
          <w:p w14:paraId="1C6BE93F">
            <w:pPr>
              <w:pStyle w:val="20"/>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color w:val="auto"/>
                <w:highlight w:val="none"/>
              </w:rPr>
            </w:pPr>
            <w:r>
              <w:rPr>
                <w:color w:val="auto"/>
                <w:spacing w:val="4"/>
                <w:highlight w:val="none"/>
              </w:rPr>
              <w:t>桥梁</w:t>
            </w:r>
            <w:r>
              <w:rPr>
                <w:color w:val="auto"/>
                <w:spacing w:val="3"/>
                <w:highlight w:val="none"/>
              </w:rPr>
              <w:t>工程</w:t>
            </w:r>
          </w:p>
        </w:tc>
        <w:tc>
          <w:tcPr>
            <w:tcW w:w="582" w:type="dxa"/>
            <w:gridSpan w:val="2"/>
            <w:vAlign w:val="center"/>
          </w:tcPr>
          <w:p w14:paraId="1123310D">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2</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3147611E">
            <w:pPr>
              <w:pStyle w:val="20"/>
              <w:keepNext w:val="0"/>
              <w:keepLines w:val="0"/>
              <w:pageBreakBefore w:val="0"/>
              <w:widowControl/>
              <w:kinsoku w:val="0"/>
              <w:wordWrap/>
              <w:overflowPunct/>
              <w:topLinePunct w:val="0"/>
              <w:autoSpaceDE w:val="0"/>
              <w:autoSpaceDN w:val="0"/>
              <w:bidi w:val="0"/>
              <w:adjustRightInd w:val="0"/>
              <w:snapToGrid w:val="0"/>
              <w:spacing w:before="34" w:line="372" w:lineRule="auto"/>
              <w:ind w:left="108" w:leftChars="0" w:right="108" w:rightChars="0"/>
              <w:jc w:val="both"/>
              <w:textAlignment w:val="baseline"/>
              <w:rPr>
                <w:color w:val="auto"/>
                <w:highlight w:val="none"/>
              </w:rPr>
            </w:pPr>
            <w:r>
              <w:rPr>
                <w:color w:val="auto"/>
                <w:spacing w:val="14"/>
                <w:highlight w:val="none"/>
              </w:rPr>
              <w:t>在满足业绩最低要求的基础上，每增加</w:t>
            </w:r>
            <w:r>
              <w:rPr>
                <w:color w:val="auto"/>
                <w:spacing w:val="-8"/>
                <w:highlight w:val="none"/>
              </w:rPr>
              <w:t xml:space="preserve"> </w:t>
            </w:r>
            <w:r>
              <w:rPr>
                <w:color w:val="auto"/>
                <w:spacing w:val="14"/>
                <w:highlight w:val="none"/>
              </w:rPr>
              <w:t>1</w:t>
            </w:r>
            <w:r>
              <w:rPr>
                <w:color w:val="auto"/>
                <w:spacing w:val="-29"/>
                <w:highlight w:val="none"/>
              </w:rPr>
              <w:t xml:space="preserve"> </w:t>
            </w:r>
            <w:r>
              <w:rPr>
                <w:color w:val="auto"/>
                <w:spacing w:val="14"/>
                <w:highlight w:val="none"/>
              </w:rPr>
              <w:t>座</w:t>
            </w:r>
            <w:r>
              <w:rPr>
                <w:color w:val="auto"/>
                <w:spacing w:val="19"/>
                <w:highlight w:val="none"/>
              </w:rPr>
              <w:t>类似工程</w:t>
            </w:r>
            <w:r>
              <w:rPr>
                <w:rFonts w:hint="eastAsia"/>
                <w:color w:val="auto"/>
                <w:spacing w:val="12"/>
                <w:highlight w:val="none"/>
                <w:u w:val="single" w:color="auto"/>
                <w:lang w:eastAsia="zh-CN"/>
              </w:rPr>
              <w:t>中</w:t>
            </w:r>
            <w:r>
              <w:rPr>
                <w:color w:val="auto"/>
                <w:spacing w:val="12"/>
                <w:highlight w:val="none"/>
                <w:u w:val="single" w:color="auto"/>
              </w:rPr>
              <w:t>桥</w:t>
            </w:r>
            <w:r>
              <w:rPr>
                <w:color w:val="auto"/>
                <w:spacing w:val="19"/>
                <w:highlight w:val="none"/>
              </w:rPr>
              <w:t>施工监</w:t>
            </w:r>
            <w:r>
              <w:rPr>
                <w:color w:val="auto"/>
                <w:spacing w:val="8"/>
                <w:highlight w:val="none"/>
              </w:rPr>
              <w:t>理任务的加</w:t>
            </w:r>
            <w:r>
              <w:rPr>
                <w:color w:val="auto"/>
                <w:spacing w:val="-91"/>
                <w:highlight w:val="none"/>
              </w:rPr>
              <w:t xml:space="preserve"> </w:t>
            </w:r>
            <w:r>
              <w:rPr>
                <w:color w:val="auto"/>
                <w:spacing w:val="7"/>
                <w:highlight w:val="none"/>
                <w:u w:val="single" w:color="auto"/>
              </w:rPr>
              <w:t xml:space="preserve"> </w:t>
            </w:r>
            <w:r>
              <w:rPr>
                <w:rFonts w:hint="eastAsia"/>
                <w:color w:val="auto"/>
                <w:spacing w:val="7"/>
                <w:highlight w:val="none"/>
                <w:u w:val="single" w:color="auto"/>
                <w:lang w:val="en-US" w:eastAsia="zh-CN"/>
              </w:rPr>
              <w:t>0.5</w:t>
            </w:r>
            <w:r>
              <w:rPr>
                <w:color w:val="auto"/>
                <w:spacing w:val="7"/>
                <w:highlight w:val="none"/>
                <w:u w:val="single" w:color="auto"/>
              </w:rPr>
              <w:t xml:space="preserve"> </w:t>
            </w:r>
            <w:r>
              <w:rPr>
                <w:color w:val="auto"/>
                <w:spacing w:val="-88"/>
                <w:highlight w:val="none"/>
              </w:rPr>
              <w:t xml:space="preserve"> </w:t>
            </w:r>
            <w:r>
              <w:rPr>
                <w:color w:val="auto"/>
                <w:spacing w:val="8"/>
                <w:highlight w:val="none"/>
              </w:rPr>
              <w:t>分，每增加</w:t>
            </w:r>
            <w:r>
              <w:rPr>
                <w:color w:val="auto"/>
                <w:spacing w:val="-45"/>
                <w:highlight w:val="none"/>
              </w:rPr>
              <w:t xml:space="preserve"> </w:t>
            </w:r>
            <w:r>
              <w:rPr>
                <w:color w:val="auto"/>
                <w:spacing w:val="-77"/>
                <w:highlight w:val="none"/>
                <w:u w:val="single" w:color="auto"/>
              </w:rPr>
              <w:t xml:space="preserve"> </w:t>
            </w:r>
            <w:r>
              <w:rPr>
                <w:color w:val="auto"/>
                <w:spacing w:val="8"/>
                <w:highlight w:val="none"/>
                <w:u w:val="single" w:color="auto"/>
              </w:rPr>
              <w:t>1</w:t>
            </w:r>
            <w:r>
              <w:rPr>
                <w:color w:val="auto"/>
                <w:spacing w:val="-34"/>
                <w:highlight w:val="none"/>
                <w:u w:val="single" w:color="auto"/>
              </w:rPr>
              <w:t xml:space="preserve"> </w:t>
            </w:r>
            <w:r>
              <w:rPr>
                <w:color w:val="auto"/>
                <w:spacing w:val="8"/>
                <w:highlight w:val="none"/>
              </w:rPr>
              <w:t>座桥梁主孔跨径</w:t>
            </w:r>
            <w:r>
              <w:rPr>
                <w:color w:val="auto"/>
                <w:spacing w:val="13"/>
                <w:highlight w:val="none"/>
              </w:rPr>
              <w:t>不小于</w:t>
            </w:r>
            <w:r>
              <w:rPr>
                <w:rFonts w:hint="eastAsia"/>
                <w:color w:val="auto"/>
                <w:spacing w:val="5"/>
                <w:highlight w:val="none"/>
                <w:u w:val="single" w:color="auto"/>
                <w:lang w:val="en-US" w:eastAsia="zh-CN"/>
              </w:rPr>
              <w:t>20</w:t>
            </w:r>
            <w:r>
              <w:rPr>
                <w:color w:val="auto"/>
                <w:spacing w:val="13"/>
                <w:highlight w:val="none"/>
              </w:rPr>
              <w:t>m</w:t>
            </w:r>
            <w:r>
              <w:rPr>
                <w:color w:val="auto"/>
                <w:spacing w:val="-16"/>
                <w:highlight w:val="none"/>
              </w:rPr>
              <w:t xml:space="preserve"> </w:t>
            </w:r>
            <w:r>
              <w:rPr>
                <w:color w:val="auto"/>
                <w:spacing w:val="13"/>
                <w:highlight w:val="none"/>
              </w:rPr>
              <w:t>的类似工程</w:t>
            </w:r>
            <w:r>
              <w:rPr>
                <w:rFonts w:hint="eastAsia"/>
                <w:color w:val="auto"/>
                <w:spacing w:val="12"/>
                <w:highlight w:val="none"/>
                <w:u w:val="single" w:color="auto"/>
                <w:lang w:eastAsia="zh-CN"/>
              </w:rPr>
              <w:t>中</w:t>
            </w:r>
            <w:r>
              <w:rPr>
                <w:color w:val="auto"/>
                <w:spacing w:val="12"/>
                <w:highlight w:val="none"/>
                <w:u w:val="single" w:color="auto"/>
              </w:rPr>
              <w:t>桥</w:t>
            </w:r>
            <w:r>
              <w:rPr>
                <w:color w:val="auto"/>
                <w:spacing w:val="10"/>
                <w:highlight w:val="none"/>
              </w:rPr>
              <w:t>施工监理任务加</w:t>
            </w:r>
            <w:r>
              <w:rPr>
                <w:color w:val="auto"/>
                <w:spacing w:val="-85"/>
                <w:highlight w:val="none"/>
              </w:rPr>
              <w:t xml:space="preserve"> </w:t>
            </w:r>
            <w:r>
              <w:rPr>
                <w:color w:val="auto"/>
                <w:spacing w:val="7"/>
                <w:highlight w:val="none"/>
                <w:u w:val="single" w:color="auto"/>
              </w:rPr>
              <w:t xml:space="preserve"> </w:t>
            </w:r>
            <w:r>
              <w:rPr>
                <w:rFonts w:hint="eastAsia"/>
                <w:color w:val="auto"/>
                <w:spacing w:val="7"/>
                <w:highlight w:val="none"/>
                <w:u w:val="single" w:color="auto"/>
                <w:lang w:val="en-US" w:eastAsia="zh-CN"/>
              </w:rPr>
              <w:t>1</w:t>
            </w:r>
            <w:r>
              <w:rPr>
                <w:color w:val="auto"/>
                <w:spacing w:val="7"/>
                <w:highlight w:val="none"/>
                <w:u w:val="single" w:color="auto"/>
              </w:rPr>
              <w:t xml:space="preserve"> </w:t>
            </w:r>
            <w:r>
              <w:rPr>
                <w:color w:val="auto"/>
                <w:spacing w:val="10"/>
                <w:highlight w:val="none"/>
              </w:rPr>
              <w:t>分，最高加分不超</w:t>
            </w:r>
            <w:r>
              <w:rPr>
                <w:color w:val="auto"/>
                <w:spacing w:val="13"/>
                <w:highlight w:val="none"/>
              </w:rPr>
              <w:t>过</w:t>
            </w:r>
            <w:r>
              <w:rPr>
                <w:color w:val="auto"/>
                <w:spacing w:val="-87"/>
                <w:highlight w:val="none"/>
              </w:rPr>
              <w:t xml:space="preserve"> </w:t>
            </w:r>
            <w:r>
              <w:rPr>
                <w:color w:val="auto"/>
                <w:spacing w:val="12"/>
                <w:highlight w:val="none"/>
                <w:u w:val="single" w:color="auto"/>
              </w:rPr>
              <w:t xml:space="preserve"> </w:t>
            </w:r>
            <w:r>
              <w:rPr>
                <w:rFonts w:hint="eastAsia"/>
                <w:color w:val="auto"/>
                <w:spacing w:val="12"/>
                <w:highlight w:val="none"/>
                <w:u w:val="single" w:color="auto"/>
                <w:lang w:val="en-US" w:eastAsia="zh-CN"/>
              </w:rPr>
              <w:t>2</w:t>
            </w:r>
            <w:r>
              <w:rPr>
                <w:color w:val="auto"/>
                <w:spacing w:val="12"/>
                <w:highlight w:val="none"/>
                <w:u w:val="single" w:color="auto"/>
              </w:rPr>
              <w:t xml:space="preserve"> </w:t>
            </w:r>
            <w:r>
              <w:rPr>
                <w:color w:val="auto"/>
                <w:spacing w:val="-88"/>
                <w:highlight w:val="none"/>
              </w:rPr>
              <w:t xml:space="preserve"> </w:t>
            </w:r>
            <w:r>
              <w:rPr>
                <w:color w:val="auto"/>
                <w:spacing w:val="13"/>
                <w:highlight w:val="none"/>
              </w:rPr>
              <w:t>分。</w:t>
            </w:r>
            <w:r>
              <w:rPr>
                <w:color w:val="auto"/>
                <w:spacing w:val="-55"/>
                <w:highlight w:val="none"/>
              </w:rPr>
              <w:t xml:space="preserve"> </w:t>
            </w:r>
            <w:r>
              <w:rPr>
                <w:color w:val="auto"/>
                <w:spacing w:val="13"/>
                <w:highlight w:val="none"/>
              </w:rPr>
              <w:t>同一座桥梁按较高分只计取一次分</w:t>
            </w:r>
            <w:r>
              <w:rPr>
                <w:color w:val="auto"/>
                <w:spacing w:val="6"/>
                <w:highlight w:val="none"/>
              </w:rPr>
              <w:t>值，不累计。</w:t>
            </w:r>
          </w:p>
        </w:tc>
      </w:tr>
      <w:tr w14:paraId="7A87C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834" w:type="dxa"/>
            <w:vMerge w:val="continue"/>
            <w:vAlign w:val="top"/>
          </w:tcPr>
          <w:p w14:paraId="14F2C45D">
            <w:pPr>
              <w:rPr>
                <w:rFonts w:ascii="Arial"/>
                <w:color w:val="auto"/>
                <w:sz w:val="21"/>
                <w:highlight w:val="none"/>
              </w:rPr>
            </w:pPr>
          </w:p>
        </w:tc>
        <w:tc>
          <w:tcPr>
            <w:tcW w:w="544" w:type="dxa"/>
            <w:gridSpan w:val="4"/>
            <w:vMerge w:val="continue"/>
            <w:vAlign w:val="top"/>
          </w:tcPr>
          <w:p w14:paraId="173806D9">
            <w:pPr>
              <w:rPr>
                <w:rFonts w:ascii="Arial"/>
                <w:color w:val="auto"/>
                <w:sz w:val="21"/>
                <w:highlight w:val="none"/>
              </w:rPr>
            </w:pPr>
          </w:p>
        </w:tc>
        <w:tc>
          <w:tcPr>
            <w:tcW w:w="504" w:type="dxa"/>
            <w:vMerge w:val="continue"/>
            <w:vAlign w:val="top"/>
          </w:tcPr>
          <w:p w14:paraId="5BF73843">
            <w:pPr>
              <w:rPr>
                <w:rFonts w:ascii="Arial"/>
                <w:color w:val="auto"/>
                <w:sz w:val="21"/>
                <w:highlight w:val="none"/>
              </w:rPr>
            </w:pPr>
          </w:p>
        </w:tc>
        <w:tc>
          <w:tcPr>
            <w:tcW w:w="956" w:type="dxa"/>
            <w:gridSpan w:val="2"/>
            <w:vMerge w:val="continue"/>
            <w:vAlign w:val="top"/>
          </w:tcPr>
          <w:p w14:paraId="00D94CCD">
            <w:pPr>
              <w:rPr>
                <w:rFonts w:ascii="Arial"/>
                <w:color w:val="auto"/>
                <w:sz w:val="21"/>
                <w:highlight w:val="none"/>
              </w:rPr>
            </w:pPr>
          </w:p>
        </w:tc>
        <w:tc>
          <w:tcPr>
            <w:tcW w:w="1130" w:type="dxa"/>
            <w:gridSpan w:val="2"/>
            <w:vAlign w:val="center"/>
          </w:tcPr>
          <w:p w14:paraId="63EA5154">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1"/>
                <w:highlight w:val="none"/>
              </w:rPr>
              <w:t>隧道</w:t>
            </w:r>
            <w:r>
              <w:rPr>
                <w:color w:val="auto"/>
                <w:spacing w:val="3"/>
                <w:highlight w:val="none"/>
              </w:rPr>
              <w:t>工程</w:t>
            </w:r>
          </w:p>
        </w:tc>
        <w:tc>
          <w:tcPr>
            <w:tcW w:w="578" w:type="dxa"/>
            <w:vAlign w:val="center"/>
          </w:tcPr>
          <w:p w14:paraId="621AF100">
            <w:pPr>
              <w:pStyle w:val="20"/>
              <w:keepNext w:val="0"/>
              <w:keepLines w:val="0"/>
              <w:pageBreakBefore w:val="0"/>
              <w:widowControl/>
              <w:tabs>
                <w:tab w:val="left" w:pos="217"/>
              </w:tabs>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0BE0C5E9">
            <w:pPr>
              <w:pStyle w:val="20"/>
              <w:spacing w:before="31" w:line="236" w:lineRule="auto"/>
              <w:ind w:left="106" w:leftChars="0" w:right="109" w:rightChars="0"/>
              <w:jc w:val="both"/>
              <w:rPr>
                <w:color w:val="auto"/>
                <w:highlight w:val="none"/>
              </w:rPr>
            </w:pPr>
            <w:r>
              <w:rPr>
                <w:color w:val="auto"/>
                <w:spacing w:val="25"/>
                <w:highlight w:val="none"/>
              </w:rPr>
              <w:t>每增加</w:t>
            </w:r>
            <w:r>
              <w:rPr>
                <w:color w:val="auto"/>
                <w:spacing w:val="-77"/>
                <w:highlight w:val="none"/>
              </w:rPr>
              <w:t xml:space="preserve"> </w:t>
            </w:r>
            <w:r>
              <w:rPr>
                <w:color w:val="auto"/>
                <w:spacing w:val="23"/>
                <w:highlight w:val="none"/>
                <w:u w:val="single" w:color="auto"/>
              </w:rPr>
              <w:t xml:space="preserve">  </w:t>
            </w:r>
            <w:r>
              <w:rPr>
                <w:rFonts w:hint="eastAsia"/>
                <w:color w:val="auto"/>
                <w:spacing w:val="23"/>
                <w:highlight w:val="none"/>
                <w:u w:val="single" w:color="auto"/>
                <w:lang w:val="en-US" w:eastAsia="zh-CN"/>
              </w:rPr>
              <w:t>/</w:t>
            </w:r>
            <w:r>
              <w:rPr>
                <w:color w:val="auto"/>
                <w:spacing w:val="23"/>
                <w:highlight w:val="none"/>
                <w:u w:val="single" w:color="auto"/>
              </w:rPr>
              <w:t xml:space="preserve">  </w:t>
            </w:r>
            <w:r>
              <w:rPr>
                <w:color w:val="auto"/>
                <w:spacing w:val="-87"/>
                <w:highlight w:val="none"/>
              </w:rPr>
              <w:t xml:space="preserve"> </w:t>
            </w:r>
            <w:r>
              <w:rPr>
                <w:color w:val="auto"/>
                <w:spacing w:val="25"/>
                <w:highlight w:val="none"/>
              </w:rPr>
              <w:t>座隧道单洞累计（即左洞加右</w:t>
            </w:r>
            <w:r>
              <w:rPr>
                <w:color w:val="auto"/>
                <w:spacing w:val="10"/>
                <w:highlight w:val="none"/>
              </w:rPr>
              <w:t>洞）</w:t>
            </w:r>
            <w:r>
              <w:rPr>
                <w:color w:val="auto"/>
                <w:spacing w:val="10"/>
                <w:highlight w:val="none"/>
                <w:u w:val="single" w:color="auto"/>
              </w:rPr>
              <w:t xml:space="preserve">  </w:t>
            </w:r>
            <w:r>
              <w:rPr>
                <w:rFonts w:hint="eastAsia"/>
                <w:color w:val="auto"/>
                <w:spacing w:val="10"/>
                <w:highlight w:val="none"/>
                <w:u w:val="single" w:color="auto"/>
                <w:lang w:val="en-US" w:eastAsia="zh-CN"/>
              </w:rPr>
              <w:t>/</w:t>
            </w:r>
            <w:r>
              <w:rPr>
                <w:color w:val="auto"/>
                <w:spacing w:val="10"/>
                <w:highlight w:val="none"/>
                <w:u w:val="single" w:color="auto"/>
              </w:rPr>
              <w:t xml:space="preserve"> </w:t>
            </w:r>
            <w:r>
              <w:rPr>
                <w:color w:val="auto"/>
                <w:spacing w:val="-83"/>
                <w:highlight w:val="none"/>
              </w:rPr>
              <w:t xml:space="preserve"> </w:t>
            </w:r>
            <w:r>
              <w:rPr>
                <w:color w:val="auto"/>
                <w:spacing w:val="10"/>
                <w:highlight w:val="none"/>
              </w:rPr>
              <w:t>m</w:t>
            </w:r>
            <w:r>
              <w:rPr>
                <w:color w:val="auto"/>
                <w:spacing w:val="-37"/>
                <w:highlight w:val="none"/>
              </w:rPr>
              <w:t xml:space="preserve"> </w:t>
            </w:r>
            <w:r>
              <w:rPr>
                <w:color w:val="auto"/>
                <w:spacing w:val="10"/>
                <w:highlight w:val="none"/>
              </w:rPr>
              <w:t>及以上，加</w:t>
            </w:r>
            <w:r>
              <w:rPr>
                <w:color w:val="auto"/>
                <w:spacing w:val="-93"/>
                <w:highlight w:val="none"/>
              </w:rPr>
              <w:t xml:space="preserve"> </w:t>
            </w:r>
            <w:r>
              <w:rPr>
                <w:color w:val="auto"/>
                <w:spacing w:val="9"/>
                <w:highlight w:val="none"/>
                <w:u w:val="single" w:color="auto"/>
              </w:rPr>
              <w:t xml:space="preserve">  </w:t>
            </w:r>
            <w:r>
              <w:rPr>
                <w:rFonts w:hint="eastAsia"/>
                <w:color w:val="auto"/>
                <w:spacing w:val="9"/>
                <w:highlight w:val="none"/>
                <w:u w:val="single" w:color="auto"/>
                <w:lang w:val="en-US" w:eastAsia="zh-CN"/>
              </w:rPr>
              <w:t>/</w:t>
            </w:r>
            <w:r>
              <w:rPr>
                <w:color w:val="auto"/>
                <w:spacing w:val="9"/>
                <w:highlight w:val="none"/>
                <w:u w:val="single" w:color="auto"/>
              </w:rPr>
              <w:t xml:space="preserve">  </w:t>
            </w:r>
            <w:r>
              <w:rPr>
                <w:color w:val="auto"/>
                <w:spacing w:val="-86"/>
                <w:highlight w:val="none"/>
              </w:rPr>
              <w:t xml:space="preserve"> </w:t>
            </w:r>
            <w:r>
              <w:rPr>
                <w:color w:val="auto"/>
                <w:spacing w:val="10"/>
                <w:highlight w:val="none"/>
              </w:rPr>
              <w:t>分，最高加分不超</w:t>
            </w:r>
            <w:r>
              <w:rPr>
                <w:color w:val="auto"/>
                <w:spacing w:val="-1"/>
                <w:highlight w:val="none"/>
              </w:rPr>
              <w:t>过</w:t>
            </w:r>
            <w:r>
              <w:rPr>
                <w:color w:val="auto"/>
                <w:spacing w:val="7"/>
                <w:highlight w:val="none"/>
              </w:rPr>
              <w:t xml:space="preserve">    </w:t>
            </w:r>
            <w:r>
              <w:rPr>
                <w:color w:val="auto"/>
                <w:spacing w:val="-1"/>
                <w:highlight w:val="none"/>
              </w:rPr>
              <w:t>分。</w:t>
            </w:r>
          </w:p>
        </w:tc>
      </w:tr>
      <w:tr w14:paraId="01281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834" w:type="dxa"/>
            <w:vMerge w:val="continue"/>
            <w:vAlign w:val="top"/>
          </w:tcPr>
          <w:p w14:paraId="15206737">
            <w:pPr>
              <w:rPr>
                <w:rFonts w:ascii="Arial"/>
                <w:color w:val="auto"/>
                <w:sz w:val="21"/>
                <w:highlight w:val="none"/>
              </w:rPr>
            </w:pPr>
          </w:p>
        </w:tc>
        <w:tc>
          <w:tcPr>
            <w:tcW w:w="544" w:type="dxa"/>
            <w:gridSpan w:val="4"/>
            <w:vMerge w:val="continue"/>
            <w:vAlign w:val="top"/>
          </w:tcPr>
          <w:p w14:paraId="1D817EB9">
            <w:pPr>
              <w:rPr>
                <w:rFonts w:ascii="Arial"/>
                <w:color w:val="auto"/>
                <w:sz w:val="21"/>
                <w:highlight w:val="none"/>
              </w:rPr>
            </w:pPr>
          </w:p>
        </w:tc>
        <w:tc>
          <w:tcPr>
            <w:tcW w:w="504" w:type="dxa"/>
            <w:vMerge w:val="continue"/>
            <w:vAlign w:val="top"/>
          </w:tcPr>
          <w:p w14:paraId="54B7F6FE">
            <w:pPr>
              <w:rPr>
                <w:rFonts w:ascii="Arial"/>
                <w:color w:val="auto"/>
                <w:sz w:val="21"/>
                <w:highlight w:val="none"/>
              </w:rPr>
            </w:pPr>
          </w:p>
        </w:tc>
        <w:tc>
          <w:tcPr>
            <w:tcW w:w="956" w:type="dxa"/>
            <w:gridSpan w:val="2"/>
            <w:vMerge w:val="continue"/>
            <w:vAlign w:val="top"/>
          </w:tcPr>
          <w:p w14:paraId="13651BE0">
            <w:pPr>
              <w:rPr>
                <w:rFonts w:ascii="Arial"/>
                <w:color w:val="auto"/>
                <w:sz w:val="21"/>
                <w:highlight w:val="none"/>
              </w:rPr>
            </w:pPr>
          </w:p>
        </w:tc>
        <w:tc>
          <w:tcPr>
            <w:tcW w:w="1130" w:type="dxa"/>
            <w:gridSpan w:val="2"/>
            <w:vAlign w:val="center"/>
          </w:tcPr>
          <w:p w14:paraId="426341E7">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5"/>
                <w:highlight w:val="none"/>
              </w:rPr>
              <w:t>交通安</w:t>
            </w:r>
            <w:r>
              <w:rPr>
                <w:color w:val="auto"/>
                <w:spacing w:val="6"/>
                <w:highlight w:val="none"/>
              </w:rPr>
              <w:t>全设施</w:t>
            </w:r>
            <w:r>
              <w:rPr>
                <w:color w:val="auto"/>
                <w:spacing w:val="3"/>
                <w:highlight w:val="none"/>
              </w:rPr>
              <w:t>工程</w:t>
            </w:r>
          </w:p>
        </w:tc>
        <w:tc>
          <w:tcPr>
            <w:tcW w:w="578" w:type="dxa"/>
            <w:vAlign w:val="center"/>
          </w:tcPr>
          <w:p w14:paraId="4CD9E1D7">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2</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75F610FD">
            <w:pPr>
              <w:spacing w:line="274" w:lineRule="auto"/>
              <w:rPr>
                <w:rFonts w:ascii="Arial"/>
                <w:color w:val="auto"/>
                <w:sz w:val="21"/>
                <w:highlight w:val="none"/>
              </w:rPr>
            </w:pPr>
          </w:p>
          <w:p w14:paraId="582FFE4D">
            <w:pPr>
              <w:pStyle w:val="20"/>
              <w:spacing w:before="65" w:line="252" w:lineRule="auto"/>
              <w:ind w:left="116" w:leftChars="0" w:right="108" w:rightChars="0" w:hanging="10" w:firstLineChars="0"/>
              <w:rPr>
                <w:color w:val="auto"/>
                <w:highlight w:val="none"/>
              </w:rPr>
            </w:pPr>
            <w:r>
              <w:rPr>
                <w:color w:val="auto"/>
                <w:spacing w:val="11"/>
                <w:highlight w:val="none"/>
              </w:rPr>
              <w:t>在满足业绩最低要求的基础上，每增加</w:t>
            </w:r>
            <w:r>
              <w:rPr>
                <w:color w:val="auto"/>
                <w:spacing w:val="-85"/>
                <w:highlight w:val="none"/>
              </w:rPr>
              <w:t xml:space="preserve"> </w:t>
            </w:r>
            <w:r>
              <w:rPr>
                <w:color w:val="auto"/>
                <w:spacing w:val="7"/>
                <w:highlight w:val="none"/>
                <w:u w:val="single" w:color="auto"/>
              </w:rPr>
              <w:t xml:space="preserve"> </w:t>
            </w:r>
            <w:r>
              <w:rPr>
                <w:rFonts w:hint="eastAsia"/>
                <w:color w:val="auto"/>
                <w:spacing w:val="7"/>
                <w:highlight w:val="none"/>
                <w:u w:val="single" w:color="auto"/>
                <w:lang w:val="en-US" w:eastAsia="zh-CN"/>
              </w:rPr>
              <w:t>1</w:t>
            </w:r>
            <w:r>
              <w:rPr>
                <w:color w:val="auto"/>
                <w:spacing w:val="7"/>
                <w:highlight w:val="none"/>
                <w:u w:val="single" w:color="auto"/>
              </w:rPr>
              <w:t xml:space="preserve"> </w:t>
            </w:r>
            <w:r>
              <w:rPr>
                <w:color w:val="auto"/>
                <w:spacing w:val="-93"/>
                <w:highlight w:val="none"/>
              </w:rPr>
              <w:t xml:space="preserve"> </w:t>
            </w:r>
            <w:r>
              <w:rPr>
                <w:color w:val="auto"/>
                <w:highlight w:val="none"/>
              </w:rPr>
              <w:t xml:space="preserve">km </w:t>
            </w:r>
            <w:r>
              <w:rPr>
                <w:color w:val="auto"/>
                <w:spacing w:val="5"/>
                <w:highlight w:val="none"/>
              </w:rPr>
              <w:t>（尾数不计）加</w:t>
            </w:r>
            <w:r>
              <w:rPr>
                <w:color w:val="auto"/>
                <w:spacing w:val="5"/>
                <w:highlight w:val="none"/>
                <w:u w:val="single" w:color="auto"/>
              </w:rPr>
              <w:t xml:space="preserve"> </w:t>
            </w:r>
            <w:r>
              <w:rPr>
                <w:rFonts w:hint="eastAsia"/>
                <w:color w:val="auto"/>
                <w:spacing w:val="5"/>
                <w:highlight w:val="none"/>
                <w:u w:val="single" w:color="auto"/>
                <w:lang w:val="en-US" w:eastAsia="zh-CN"/>
              </w:rPr>
              <w:t>1</w:t>
            </w:r>
            <w:r>
              <w:rPr>
                <w:color w:val="auto"/>
                <w:spacing w:val="5"/>
                <w:highlight w:val="none"/>
                <w:u w:val="single" w:color="auto"/>
              </w:rPr>
              <w:t xml:space="preserve"> </w:t>
            </w:r>
            <w:r>
              <w:rPr>
                <w:color w:val="auto"/>
                <w:spacing w:val="-73"/>
                <w:highlight w:val="none"/>
              </w:rPr>
              <w:t xml:space="preserve"> </w:t>
            </w:r>
            <w:r>
              <w:rPr>
                <w:color w:val="auto"/>
                <w:spacing w:val="5"/>
                <w:highlight w:val="none"/>
              </w:rPr>
              <w:t>分，最多加</w:t>
            </w:r>
            <w:r>
              <w:rPr>
                <w:color w:val="auto"/>
                <w:spacing w:val="5"/>
                <w:highlight w:val="none"/>
                <w:u w:val="single" w:color="auto"/>
              </w:rPr>
              <w:t xml:space="preserve"> </w:t>
            </w:r>
            <w:r>
              <w:rPr>
                <w:rFonts w:hint="eastAsia"/>
                <w:color w:val="auto"/>
                <w:spacing w:val="5"/>
                <w:highlight w:val="none"/>
                <w:u w:val="single" w:color="auto"/>
                <w:lang w:val="en-US" w:eastAsia="zh-CN"/>
              </w:rPr>
              <w:t>2</w:t>
            </w:r>
            <w:r>
              <w:rPr>
                <w:color w:val="auto"/>
                <w:spacing w:val="5"/>
                <w:highlight w:val="none"/>
                <w:u w:val="single" w:color="auto"/>
              </w:rPr>
              <w:t xml:space="preserve"> </w:t>
            </w:r>
            <w:r>
              <w:rPr>
                <w:color w:val="auto"/>
                <w:spacing w:val="-90"/>
                <w:highlight w:val="none"/>
              </w:rPr>
              <w:t xml:space="preserve"> </w:t>
            </w:r>
            <w:r>
              <w:rPr>
                <w:color w:val="auto"/>
                <w:spacing w:val="5"/>
                <w:highlight w:val="none"/>
              </w:rPr>
              <w:t>分。</w:t>
            </w:r>
          </w:p>
        </w:tc>
      </w:tr>
      <w:tr w14:paraId="4A7D3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4" w:type="dxa"/>
            <w:vMerge w:val="continue"/>
            <w:vAlign w:val="top"/>
          </w:tcPr>
          <w:p w14:paraId="513763CE">
            <w:pPr>
              <w:rPr>
                <w:rFonts w:ascii="Arial"/>
                <w:color w:val="auto"/>
                <w:sz w:val="21"/>
                <w:highlight w:val="none"/>
              </w:rPr>
            </w:pPr>
          </w:p>
        </w:tc>
        <w:tc>
          <w:tcPr>
            <w:tcW w:w="544" w:type="dxa"/>
            <w:gridSpan w:val="4"/>
            <w:vMerge w:val="continue"/>
            <w:vAlign w:val="top"/>
          </w:tcPr>
          <w:p w14:paraId="004938DD">
            <w:pPr>
              <w:rPr>
                <w:rFonts w:ascii="Arial"/>
                <w:color w:val="auto"/>
                <w:sz w:val="21"/>
                <w:highlight w:val="none"/>
              </w:rPr>
            </w:pPr>
          </w:p>
        </w:tc>
        <w:tc>
          <w:tcPr>
            <w:tcW w:w="504" w:type="dxa"/>
            <w:vMerge w:val="continue"/>
            <w:vAlign w:val="top"/>
          </w:tcPr>
          <w:p w14:paraId="6CF43E93">
            <w:pPr>
              <w:rPr>
                <w:rFonts w:ascii="Arial"/>
                <w:color w:val="auto"/>
                <w:sz w:val="21"/>
                <w:highlight w:val="none"/>
              </w:rPr>
            </w:pPr>
          </w:p>
        </w:tc>
        <w:tc>
          <w:tcPr>
            <w:tcW w:w="956" w:type="dxa"/>
            <w:gridSpan w:val="2"/>
            <w:vMerge w:val="continue"/>
            <w:vAlign w:val="top"/>
          </w:tcPr>
          <w:p w14:paraId="78A9CFF8">
            <w:pPr>
              <w:rPr>
                <w:rFonts w:ascii="Arial"/>
                <w:color w:val="auto"/>
                <w:sz w:val="21"/>
                <w:highlight w:val="none"/>
              </w:rPr>
            </w:pPr>
          </w:p>
        </w:tc>
        <w:tc>
          <w:tcPr>
            <w:tcW w:w="1130" w:type="dxa"/>
            <w:gridSpan w:val="2"/>
            <w:vAlign w:val="center"/>
          </w:tcPr>
          <w:p w14:paraId="7CBDDE50">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5"/>
                <w:highlight w:val="none"/>
              </w:rPr>
              <w:t>机电</w:t>
            </w:r>
            <w:r>
              <w:rPr>
                <w:color w:val="auto"/>
                <w:spacing w:val="3"/>
                <w:highlight w:val="none"/>
              </w:rPr>
              <w:t>工程</w:t>
            </w:r>
          </w:p>
        </w:tc>
        <w:tc>
          <w:tcPr>
            <w:tcW w:w="578" w:type="dxa"/>
            <w:vAlign w:val="center"/>
          </w:tcPr>
          <w:p w14:paraId="5A5CD5B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124AD519">
            <w:pPr>
              <w:pStyle w:val="20"/>
              <w:spacing w:before="44" w:line="254" w:lineRule="auto"/>
              <w:ind w:left="116" w:leftChars="0" w:right="108" w:rightChars="0" w:hanging="10" w:firstLineChars="0"/>
              <w:rPr>
                <w:color w:val="auto"/>
                <w:highlight w:val="none"/>
              </w:rPr>
            </w:pPr>
            <w:r>
              <w:rPr>
                <w:color w:val="auto"/>
                <w:spacing w:val="11"/>
                <w:highlight w:val="none"/>
              </w:rPr>
              <w:t>在满足业绩最低要求的基础上，每增加</w:t>
            </w:r>
            <w:r>
              <w:rPr>
                <w:color w:val="auto"/>
                <w:spacing w:val="-85"/>
                <w:highlight w:val="none"/>
              </w:rPr>
              <w:t xml:space="preserve"> </w:t>
            </w:r>
            <w:r>
              <w:rPr>
                <w:color w:val="auto"/>
                <w:spacing w:val="7"/>
                <w:highlight w:val="none"/>
                <w:u w:val="single" w:color="auto"/>
              </w:rPr>
              <w:t xml:space="preserve">  </w:t>
            </w:r>
            <w:r>
              <w:rPr>
                <w:rFonts w:hint="eastAsia"/>
                <w:color w:val="auto"/>
                <w:spacing w:val="7"/>
                <w:highlight w:val="none"/>
                <w:u w:val="single" w:color="auto"/>
                <w:lang w:val="en-US" w:eastAsia="zh-CN"/>
              </w:rPr>
              <w:t>/</w:t>
            </w:r>
            <w:r>
              <w:rPr>
                <w:color w:val="auto"/>
                <w:spacing w:val="7"/>
                <w:highlight w:val="none"/>
                <w:u w:val="single" w:color="auto"/>
              </w:rPr>
              <w:t xml:space="preserve"> </w:t>
            </w:r>
            <w:r>
              <w:rPr>
                <w:color w:val="auto"/>
                <w:spacing w:val="-93"/>
                <w:highlight w:val="none"/>
              </w:rPr>
              <w:t xml:space="preserve"> </w:t>
            </w:r>
            <w:r>
              <w:rPr>
                <w:color w:val="auto"/>
                <w:highlight w:val="none"/>
              </w:rPr>
              <w:t xml:space="preserve">km </w:t>
            </w:r>
            <w:r>
              <w:rPr>
                <w:color w:val="auto"/>
                <w:spacing w:val="5"/>
                <w:highlight w:val="none"/>
              </w:rPr>
              <w:t>（尾数不计）加</w:t>
            </w:r>
            <w:r>
              <w:rPr>
                <w:color w:val="auto"/>
                <w:spacing w:val="5"/>
                <w:highlight w:val="none"/>
                <w:u w:val="single" w:color="auto"/>
              </w:rPr>
              <w:t xml:space="preserve"> </w:t>
            </w:r>
            <w:r>
              <w:rPr>
                <w:rFonts w:hint="eastAsia"/>
                <w:color w:val="auto"/>
                <w:spacing w:val="5"/>
                <w:highlight w:val="none"/>
                <w:u w:val="single" w:color="auto"/>
                <w:lang w:val="en-US" w:eastAsia="zh-CN"/>
              </w:rPr>
              <w:t>/</w:t>
            </w:r>
            <w:r>
              <w:rPr>
                <w:color w:val="auto"/>
                <w:spacing w:val="5"/>
                <w:highlight w:val="none"/>
                <w:u w:val="single" w:color="auto"/>
              </w:rPr>
              <w:t xml:space="preserve"> </w:t>
            </w:r>
            <w:r>
              <w:rPr>
                <w:color w:val="auto"/>
                <w:spacing w:val="-73"/>
                <w:highlight w:val="none"/>
              </w:rPr>
              <w:t xml:space="preserve"> </w:t>
            </w:r>
            <w:r>
              <w:rPr>
                <w:color w:val="auto"/>
                <w:spacing w:val="5"/>
                <w:highlight w:val="none"/>
              </w:rPr>
              <w:t>分，最多加</w:t>
            </w:r>
            <w:r>
              <w:rPr>
                <w:color w:val="auto"/>
                <w:spacing w:val="5"/>
                <w:highlight w:val="none"/>
                <w:u w:val="single" w:color="auto"/>
              </w:rPr>
              <w:t xml:space="preserve">  </w:t>
            </w:r>
            <w:r>
              <w:rPr>
                <w:rFonts w:hint="eastAsia"/>
                <w:color w:val="auto"/>
                <w:spacing w:val="5"/>
                <w:highlight w:val="none"/>
                <w:u w:val="single" w:color="auto"/>
                <w:lang w:val="en-US" w:eastAsia="zh-CN"/>
              </w:rPr>
              <w:t>/</w:t>
            </w:r>
            <w:r>
              <w:rPr>
                <w:color w:val="auto"/>
                <w:spacing w:val="5"/>
                <w:highlight w:val="none"/>
                <w:u w:val="single" w:color="auto"/>
              </w:rPr>
              <w:t xml:space="preserve"> </w:t>
            </w:r>
            <w:r>
              <w:rPr>
                <w:color w:val="auto"/>
                <w:spacing w:val="-90"/>
                <w:highlight w:val="none"/>
              </w:rPr>
              <w:t xml:space="preserve"> </w:t>
            </w:r>
            <w:r>
              <w:rPr>
                <w:color w:val="auto"/>
                <w:spacing w:val="5"/>
                <w:highlight w:val="none"/>
              </w:rPr>
              <w:t>分。</w:t>
            </w:r>
          </w:p>
        </w:tc>
      </w:tr>
      <w:tr w14:paraId="4A8BF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834" w:type="dxa"/>
            <w:vMerge w:val="continue"/>
            <w:vAlign w:val="top"/>
          </w:tcPr>
          <w:p w14:paraId="3556DABB">
            <w:pPr>
              <w:rPr>
                <w:rFonts w:ascii="Arial"/>
                <w:color w:val="auto"/>
                <w:sz w:val="21"/>
                <w:highlight w:val="none"/>
              </w:rPr>
            </w:pPr>
          </w:p>
        </w:tc>
        <w:tc>
          <w:tcPr>
            <w:tcW w:w="544" w:type="dxa"/>
            <w:gridSpan w:val="4"/>
            <w:vMerge w:val="continue"/>
            <w:vAlign w:val="top"/>
          </w:tcPr>
          <w:p w14:paraId="01C2123E">
            <w:pPr>
              <w:rPr>
                <w:rFonts w:ascii="Arial"/>
                <w:color w:val="auto"/>
                <w:sz w:val="21"/>
                <w:highlight w:val="none"/>
              </w:rPr>
            </w:pPr>
          </w:p>
        </w:tc>
        <w:tc>
          <w:tcPr>
            <w:tcW w:w="504" w:type="dxa"/>
            <w:vMerge w:val="continue"/>
            <w:vAlign w:val="top"/>
          </w:tcPr>
          <w:p w14:paraId="63B1A909">
            <w:pPr>
              <w:rPr>
                <w:rFonts w:ascii="Arial"/>
                <w:color w:val="auto"/>
                <w:sz w:val="21"/>
                <w:highlight w:val="none"/>
              </w:rPr>
            </w:pPr>
          </w:p>
        </w:tc>
        <w:tc>
          <w:tcPr>
            <w:tcW w:w="956" w:type="dxa"/>
            <w:gridSpan w:val="2"/>
            <w:vMerge w:val="continue"/>
            <w:vAlign w:val="top"/>
          </w:tcPr>
          <w:p w14:paraId="1603C5E9">
            <w:pPr>
              <w:rPr>
                <w:rFonts w:ascii="Arial"/>
                <w:color w:val="auto"/>
                <w:sz w:val="21"/>
                <w:highlight w:val="none"/>
              </w:rPr>
            </w:pPr>
          </w:p>
        </w:tc>
        <w:tc>
          <w:tcPr>
            <w:tcW w:w="1130" w:type="dxa"/>
            <w:gridSpan w:val="2"/>
            <w:vAlign w:val="center"/>
          </w:tcPr>
          <w:p w14:paraId="7C915E07">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4"/>
                <w:highlight w:val="none"/>
              </w:rPr>
              <w:t>房建</w:t>
            </w:r>
            <w:r>
              <w:rPr>
                <w:color w:val="auto"/>
                <w:spacing w:val="3"/>
                <w:highlight w:val="none"/>
              </w:rPr>
              <w:t>工程</w:t>
            </w:r>
          </w:p>
        </w:tc>
        <w:tc>
          <w:tcPr>
            <w:tcW w:w="578" w:type="dxa"/>
            <w:vAlign w:val="center"/>
          </w:tcPr>
          <w:p w14:paraId="427ECF4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u w:val="single"/>
                <w:vertAlign w:val="baseline"/>
                <w:lang w:val="en-US" w:eastAsia="zh-CN"/>
              </w:rPr>
              <w:t>/</w:t>
            </w:r>
            <w:r>
              <w:rPr>
                <w:rFonts w:hint="eastAsia" w:ascii="宋体" w:hAnsi="宋体" w:eastAsia="宋体" w:cs="宋体"/>
                <w:color w:val="auto"/>
                <w:spacing w:val="1"/>
                <w:position w:val="1"/>
                <w:sz w:val="21"/>
                <w:szCs w:val="21"/>
                <w:highlight w:val="none"/>
              </w:rPr>
              <w:t>分</w:t>
            </w:r>
          </w:p>
        </w:tc>
        <w:tc>
          <w:tcPr>
            <w:tcW w:w="4740" w:type="dxa"/>
            <w:gridSpan w:val="3"/>
            <w:vAlign w:val="top"/>
          </w:tcPr>
          <w:p w14:paraId="35A60620">
            <w:pPr>
              <w:pStyle w:val="20"/>
              <w:spacing w:before="43" w:line="238" w:lineRule="auto"/>
              <w:ind w:left="106" w:leftChars="0" w:right="109" w:rightChars="0"/>
              <w:jc w:val="both"/>
              <w:rPr>
                <w:color w:val="auto"/>
                <w:highlight w:val="none"/>
              </w:rPr>
            </w:pPr>
            <w:r>
              <w:rPr>
                <w:color w:val="auto"/>
                <w:spacing w:val="9"/>
                <w:highlight w:val="none"/>
              </w:rPr>
              <w:t>在满足业绩最低要求的基础上，每增加</w:t>
            </w:r>
            <w:r>
              <w:rPr>
                <w:color w:val="auto"/>
                <w:spacing w:val="-89"/>
                <w:highlight w:val="none"/>
              </w:rPr>
              <w:t xml:space="preserve"> </w:t>
            </w:r>
            <w:r>
              <w:rPr>
                <w:color w:val="auto"/>
                <w:spacing w:val="7"/>
                <w:highlight w:val="none"/>
                <w:u w:val="single" w:color="auto"/>
              </w:rPr>
              <w:t xml:space="preserve"> </w:t>
            </w:r>
            <w:r>
              <w:rPr>
                <w:rFonts w:hint="eastAsia"/>
                <w:color w:val="auto"/>
                <w:spacing w:val="7"/>
                <w:highlight w:val="none"/>
                <w:u w:val="single" w:color="auto"/>
                <w:lang w:val="en-US" w:eastAsia="zh-CN"/>
              </w:rPr>
              <w:t>/</w:t>
            </w:r>
            <w:r>
              <w:rPr>
                <w:color w:val="auto"/>
                <w:spacing w:val="7"/>
                <w:highlight w:val="none"/>
                <w:u w:val="single" w:color="auto"/>
              </w:rPr>
              <w:t xml:space="preserve">  </w:t>
            </w:r>
            <w:r>
              <w:rPr>
                <w:color w:val="auto"/>
                <w:spacing w:val="-82"/>
                <w:highlight w:val="none"/>
              </w:rPr>
              <w:t xml:space="preserve"> </w:t>
            </w:r>
            <w:r>
              <w:rPr>
                <w:color w:val="auto"/>
                <w:spacing w:val="9"/>
                <w:highlight w:val="none"/>
              </w:rPr>
              <w:t>㎡</w:t>
            </w:r>
            <w:r>
              <w:rPr>
                <w:color w:val="auto"/>
                <w:highlight w:val="none"/>
              </w:rPr>
              <w:t xml:space="preserve"> </w:t>
            </w:r>
            <w:r>
              <w:rPr>
                <w:color w:val="auto"/>
                <w:spacing w:val="14"/>
                <w:highlight w:val="none"/>
              </w:rPr>
              <w:t>（尾数不计）</w:t>
            </w:r>
            <w:r>
              <w:rPr>
                <w:color w:val="auto"/>
                <w:spacing w:val="-38"/>
                <w:highlight w:val="none"/>
              </w:rPr>
              <w:t xml:space="preserve"> </w:t>
            </w:r>
            <w:r>
              <w:rPr>
                <w:color w:val="auto"/>
                <w:spacing w:val="14"/>
                <w:highlight w:val="none"/>
              </w:rPr>
              <w:t>的房建工程（同时含土建和安</w:t>
            </w:r>
            <w:r>
              <w:rPr>
                <w:color w:val="auto"/>
                <w:spacing w:val="6"/>
                <w:highlight w:val="none"/>
              </w:rPr>
              <w:t>装）施工监理加</w:t>
            </w:r>
            <w:r>
              <w:rPr>
                <w:color w:val="auto"/>
                <w:spacing w:val="6"/>
                <w:highlight w:val="none"/>
                <w:u w:val="single" w:color="auto"/>
              </w:rPr>
              <w:t xml:space="preserve"> </w:t>
            </w:r>
            <w:r>
              <w:rPr>
                <w:rFonts w:hint="eastAsia"/>
                <w:color w:val="auto"/>
                <w:spacing w:val="6"/>
                <w:highlight w:val="none"/>
                <w:u w:val="single" w:color="auto"/>
                <w:lang w:val="en-US" w:eastAsia="zh-CN"/>
              </w:rPr>
              <w:t>/</w:t>
            </w:r>
            <w:r>
              <w:rPr>
                <w:color w:val="auto"/>
                <w:spacing w:val="6"/>
                <w:highlight w:val="none"/>
                <w:u w:val="single" w:color="auto"/>
              </w:rPr>
              <w:t xml:space="preserve"> </w:t>
            </w:r>
            <w:r>
              <w:rPr>
                <w:color w:val="auto"/>
                <w:spacing w:val="-82"/>
                <w:highlight w:val="none"/>
              </w:rPr>
              <w:t xml:space="preserve"> </w:t>
            </w:r>
            <w:r>
              <w:rPr>
                <w:color w:val="auto"/>
                <w:spacing w:val="6"/>
                <w:highlight w:val="none"/>
              </w:rPr>
              <w:t>分，最多加</w:t>
            </w:r>
            <w:r>
              <w:rPr>
                <w:color w:val="auto"/>
                <w:spacing w:val="6"/>
                <w:highlight w:val="none"/>
                <w:u w:val="single" w:color="auto"/>
              </w:rPr>
              <w:t xml:space="preserve"> </w:t>
            </w:r>
            <w:r>
              <w:rPr>
                <w:rFonts w:hint="eastAsia"/>
                <w:color w:val="auto"/>
                <w:spacing w:val="6"/>
                <w:highlight w:val="none"/>
                <w:u w:val="single" w:color="auto"/>
                <w:lang w:val="en-US" w:eastAsia="zh-CN"/>
              </w:rPr>
              <w:t>/</w:t>
            </w:r>
            <w:r>
              <w:rPr>
                <w:color w:val="auto"/>
                <w:spacing w:val="6"/>
                <w:highlight w:val="none"/>
                <w:u w:val="single" w:color="auto"/>
              </w:rPr>
              <w:t xml:space="preserve">  </w:t>
            </w:r>
            <w:r>
              <w:rPr>
                <w:color w:val="auto"/>
                <w:spacing w:val="-89"/>
                <w:highlight w:val="none"/>
              </w:rPr>
              <w:t xml:space="preserve"> </w:t>
            </w:r>
            <w:r>
              <w:rPr>
                <w:color w:val="auto"/>
                <w:spacing w:val="6"/>
                <w:highlight w:val="none"/>
              </w:rPr>
              <w:t>分。</w:t>
            </w:r>
          </w:p>
        </w:tc>
      </w:tr>
      <w:tr w14:paraId="3AAB7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5" w:hRule="atLeast"/>
        </w:trPr>
        <w:tc>
          <w:tcPr>
            <w:tcW w:w="834" w:type="dxa"/>
            <w:vMerge w:val="continue"/>
            <w:vAlign w:val="top"/>
          </w:tcPr>
          <w:p w14:paraId="0EDC568B">
            <w:pPr>
              <w:rPr>
                <w:rFonts w:ascii="Arial"/>
                <w:color w:val="auto"/>
                <w:sz w:val="21"/>
                <w:highlight w:val="none"/>
              </w:rPr>
            </w:pPr>
          </w:p>
        </w:tc>
        <w:tc>
          <w:tcPr>
            <w:tcW w:w="544" w:type="dxa"/>
            <w:gridSpan w:val="4"/>
            <w:vMerge w:val="continue"/>
            <w:vAlign w:val="top"/>
          </w:tcPr>
          <w:p w14:paraId="72FD8F1E">
            <w:pPr>
              <w:rPr>
                <w:rFonts w:ascii="Arial"/>
                <w:color w:val="auto"/>
                <w:sz w:val="21"/>
                <w:highlight w:val="none"/>
              </w:rPr>
            </w:pPr>
          </w:p>
        </w:tc>
        <w:tc>
          <w:tcPr>
            <w:tcW w:w="504" w:type="dxa"/>
            <w:textDirection w:val="tbRlV"/>
            <w:vAlign w:val="top"/>
          </w:tcPr>
          <w:p w14:paraId="2C8E4F86">
            <w:pPr>
              <w:pStyle w:val="20"/>
              <w:spacing w:before="154" w:line="216" w:lineRule="auto"/>
              <w:ind w:left="3347"/>
              <w:rPr>
                <w:color w:val="auto"/>
                <w:highlight w:val="none"/>
              </w:rPr>
            </w:pPr>
            <w:r>
              <w:rPr>
                <w:color w:val="auto"/>
                <w:spacing w:val="8"/>
                <w:highlight w:val="none"/>
              </w:rPr>
              <w:t>履</w:t>
            </w:r>
            <w:r>
              <w:rPr>
                <w:color w:val="auto"/>
                <w:spacing w:val="74"/>
                <w:highlight w:val="none"/>
              </w:rPr>
              <w:t xml:space="preserve"> </w:t>
            </w:r>
            <w:r>
              <w:rPr>
                <w:color w:val="auto"/>
                <w:spacing w:val="8"/>
                <w:highlight w:val="none"/>
              </w:rPr>
              <w:t>约</w:t>
            </w:r>
            <w:r>
              <w:rPr>
                <w:color w:val="auto"/>
                <w:spacing w:val="71"/>
                <w:highlight w:val="none"/>
              </w:rPr>
              <w:t xml:space="preserve"> </w:t>
            </w:r>
            <w:r>
              <w:rPr>
                <w:color w:val="auto"/>
                <w:spacing w:val="8"/>
                <w:highlight w:val="none"/>
              </w:rPr>
              <w:t>信</w:t>
            </w:r>
            <w:r>
              <w:rPr>
                <w:color w:val="auto"/>
                <w:spacing w:val="70"/>
                <w:highlight w:val="none"/>
              </w:rPr>
              <w:t xml:space="preserve"> </w:t>
            </w:r>
            <w:r>
              <w:rPr>
                <w:color w:val="auto"/>
                <w:spacing w:val="8"/>
                <w:highlight w:val="none"/>
              </w:rPr>
              <w:t>誉</w:t>
            </w:r>
          </w:p>
        </w:tc>
        <w:tc>
          <w:tcPr>
            <w:tcW w:w="956" w:type="dxa"/>
            <w:gridSpan w:val="2"/>
            <w:vAlign w:val="center"/>
          </w:tcPr>
          <w:p w14:paraId="03E4BE2B">
            <w:pPr>
              <w:pStyle w:val="20"/>
              <w:keepNext w:val="0"/>
              <w:keepLines w:val="0"/>
              <w:pageBreakBefore w:val="0"/>
              <w:widowControl/>
              <w:tabs>
                <w:tab w:val="left" w:pos="452"/>
              </w:tabs>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rFonts w:hint="eastAsia"/>
                <w:color w:val="auto"/>
                <w:spacing w:val="2"/>
                <w:position w:val="-2"/>
                <w:highlight w:val="none"/>
                <w:lang w:val="en-US" w:eastAsia="zh-CN"/>
              </w:rPr>
              <w:t>10</w:t>
            </w:r>
            <w:r>
              <w:rPr>
                <w:color w:val="auto"/>
                <w:spacing w:val="2"/>
                <w:position w:val="-2"/>
                <w:highlight w:val="none"/>
              </w:rPr>
              <w:t>分</w:t>
            </w:r>
          </w:p>
        </w:tc>
        <w:tc>
          <w:tcPr>
            <w:tcW w:w="1130" w:type="dxa"/>
            <w:gridSpan w:val="2"/>
            <w:vAlign w:val="center"/>
          </w:tcPr>
          <w:p w14:paraId="2213C333">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3"/>
                <w:highlight w:val="none"/>
              </w:rPr>
              <w:t>履约</w:t>
            </w:r>
            <w:r>
              <w:rPr>
                <w:color w:val="auto"/>
                <w:spacing w:val="4"/>
                <w:highlight w:val="none"/>
              </w:rPr>
              <w:t>信誉</w:t>
            </w:r>
          </w:p>
        </w:tc>
        <w:tc>
          <w:tcPr>
            <w:tcW w:w="578" w:type="dxa"/>
            <w:vAlign w:val="center"/>
          </w:tcPr>
          <w:p w14:paraId="76F526A7">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rFonts w:hint="eastAsia"/>
                <w:color w:val="auto"/>
                <w:spacing w:val="1"/>
                <w:position w:val="1"/>
                <w:highlight w:val="none"/>
                <w:u w:val="single"/>
                <w:lang w:val="en-US" w:eastAsia="zh-CN"/>
              </w:rPr>
              <w:t>10</w:t>
            </w:r>
            <w:r>
              <w:rPr>
                <w:color w:val="auto"/>
                <w:spacing w:val="1"/>
                <w:position w:val="1"/>
                <w:highlight w:val="none"/>
              </w:rPr>
              <w:t>分</w:t>
            </w:r>
          </w:p>
        </w:tc>
        <w:tc>
          <w:tcPr>
            <w:tcW w:w="4740" w:type="dxa"/>
            <w:gridSpan w:val="3"/>
            <w:vAlign w:val="top"/>
          </w:tcPr>
          <w:p w14:paraId="17AF1C50">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37"/>
              <w:textAlignment w:val="baseline"/>
              <w:rPr>
                <w:color w:val="auto"/>
                <w:highlight w:val="none"/>
              </w:rPr>
            </w:pPr>
            <w:r>
              <w:rPr>
                <w:color w:val="auto"/>
                <w:spacing w:val="8"/>
                <w:highlight w:val="none"/>
              </w:rPr>
              <w:t>1.信用等级分值（</w:t>
            </w:r>
            <w:r>
              <w:rPr>
                <w:color w:val="auto"/>
                <w:spacing w:val="-39"/>
                <w:highlight w:val="none"/>
              </w:rPr>
              <w:t xml:space="preserve"> </w:t>
            </w:r>
            <w:r>
              <w:rPr>
                <w:rFonts w:hint="eastAsia"/>
                <w:color w:val="auto"/>
                <w:spacing w:val="8"/>
                <w:highlight w:val="none"/>
                <w:lang w:val="en-US" w:eastAsia="zh-CN"/>
              </w:rPr>
              <w:t>5</w:t>
            </w:r>
            <w:r>
              <w:rPr>
                <w:color w:val="auto"/>
                <w:spacing w:val="-30"/>
                <w:highlight w:val="none"/>
              </w:rPr>
              <w:t xml:space="preserve"> </w:t>
            </w:r>
            <w:r>
              <w:rPr>
                <w:color w:val="auto"/>
                <w:spacing w:val="8"/>
                <w:highlight w:val="none"/>
              </w:rPr>
              <w:t>分</w:t>
            </w:r>
            <w:r>
              <w:rPr>
                <w:color w:val="auto"/>
                <w:spacing w:val="-9"/>
                <w:highlight w:val="none"/>
              </w:rPr>
              <w:t>）</w:t>
            </w:r>
            <w:r>
              <w:rPr>
                <w:color w:val="auto"/>
                <w:spacing w:val="-72"/>
                <w:highlight w:val="none"/>
              </w:rPr>
              <w:t xml:space="preserve"> </w:t>
            </w:r>
          </w:p>
          <w:p w14:paraId="5FF74B1D">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15"/>
              <w:textAlignment w:val="baseline"/>
              <w:rPr>
                <w:color w:val="auto"/>
                <w:highlight w:val="none"/>
              </w:rPr>
            </w:pPr>
            <w:r>
              <w:rPr>
                <w:color w:val="auto"/>
                <w:highlight w:val="none"/>
              </w:rPr>
              <w:t>AA</w:t>
            </w:r>
            <w:r>
              <w:rPr>
                <w:color w:val="auto"/>
                <w:spacing w:val="20"/>
                <w:highlight w:val="none"/>
              </w:rPr>
              <w:t>、A、B、C</w:t>
            </w:r>
            <w:r>
              <w:rPr>
                <w:color w:val="auto"/>
                <w:spacing w:val="-19"/>
                <w:highlight w:val="none"/>
              </w:rPr>
              <w:t xml:space="preserve"> </w:t>
            </w:r>
            <w:r>
              <w:rPr>
                <w:color w:val="auto"/>
                <w:spacing w:val="20"/>
                <w:highlight w:val="none"/>
              </w:rPr>
              <w:t>级单位的信用等级分得</w:t>
            </w:r>
            <w:r>
              <w:rPr>
                <w:color w:val="auto"/>
                <w:spacing w:val="4"/>
                <w:highlight w:val="none"/>
              </w:rPr>
              <w:t>分分别为</w:t>
            </w:r>
            <w:r>
              <w:rPr>
                <w:color w:val="auto"/>
                <w:spacing w:val="-17"/>
                <w:highlight w:val="none"/>
              </w:rPr>
              <w:t xml:space="preserve"> </w:t>
            </w:r>
            <w:r>
              <w:rPr>
                <w:rFonts w:hint="eastAsia"/>
                <w:color w:val="auto"/>
                <w:spacing w:val="4"/>
                <w:highlight w:val="none"/>
                <w:lang w:val="en-US" w:eastAsia="zh-CN"/>
              </w:rPr>
              <w:t>5.00</w:t>
            </w:r>
            <w:r>
              <w:rPr>
                <w:color w:val="auto"/>
                <w:spacing w:val="4"/>
                <w:highlight w:val="none"/>
              </w:rPr>
              <w:t>、</w:t>
            </w:r>
            <w:r>
              <w:rPr>
                <w:rFonts w:hint="eastAsia"/>
                <w:color w:val="auto"/>
                <w:spacing w:val="4"/>
                <w:highlight w:val="none"/>
                <w:lang w:val="en-US" w:eastAsia="zh-CN"/>
              </w:rPr>
              <w:t>4.75</w:t>
            </w:r>
            <w:r>
              <w:rPr>
                <w:color w:val="auto"/>
                <w:spacing w:val="4"/>
                <w:highlight w:val="none"/>
              </w:rPr>
              <w:t>、</w:t>
            </w:r>
            <w:r>
              <w:rPr>
                <w:rFonts w:hint="eastAsia"/>
                <w:color w:val="auto"/>
                <w:spacing w:val="4"/>
                <w:highlight w:val="none"/>
                <w:lang w:val="en-US" w:eastAsia="zh-CN"/>
              </w:rPr>
              <w:t>4.45</w:t>
            </w:r>
            <w:r>
              <w:rPr>
                <w:color w:val="auto"/>
                <w:spacing w:val="4"/>
                <w:highlight w:val="none"/>
              </w:rPr>
              <w:t>、</w:t>
            </w:r>
            <w:r>
              <w:rPr>
                <w:rFonts w:hint="eastAsia"/>
                <w:color w:val="auto"/>
                <w:spacing w:val="4"/>
                <w:highlight w:val="none"/>
                <w:lang w:val="en-US" w:eastAsia="zh-CN"/>
              </w:rPr>
              <w:t>3.65</w:t>
            </w:r>
            <w:r>
              <w:rPr>
                <w:color w:val="auto"/>
                <w:spacing w:val="4"/>
                <w:highlight w:val="none"/>
              </w:rPr>
              <w:t>分。</w:t>
            </w:r>
          </w:p>
          <w:p w14:paraId="20C31B74">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23"/>
              <w:jc w:val="both"/>
              <w:textAlignment w:val="baseline"/>
              <w:rPr>
                <w:color w:val="auto"/>
                <w:highlight w:val="none"/>
              </w:rPr>
            </w:pPr>
            <w:r>
              <w:rPr>
                <w:color w:val="auto"/>
                <w:spacing w:val="18"/>
                <w:highlight w:val="none"/>
              </w:rPr>
              <w:t>注：信用等级的确定原则遵循投标人</w:t>
            </w:r>
            <w:r>
              <w:rPr>
                <w:color w:val="auto"/>
                <w:spacing w:val="6"/>
                <w:highlight w:val="none"/>
              </w:rPr>
              <w:t>须知前附表</w:t>
            </w:r>
            <w:r>
              <w:rPr>
                <w:color w:val="auto"/>
                <w:spacing w:val="-6"/>
                <w:highlight w:val="none"/>
              </w:rPr>
              <w:t xml:space="preserve"> </w:t>
            </w:r>
            <w:r>
              <w:rPr>
                <w:color w:val="auto"/>
                <w:spacing w:val="6"/>
                <w:highlight w:val="none"/>
              </w:rPr>
              <w:t>10.2</w:t>
            </w:r>
            <w:r>
              <w:rPr>
                <w:color w:val="auto"/>
                <w:spacing w:val="-35"/>
                <w:highlight w:val="none"/>
              </w:rPr>
              <w:t xml:space="preserve"> </w:t>
            </w:r>
            <w:r>
              <w:rPr>
                <w:color w:val="auto"/>
                <w:spacing w:val="6"/>
                <w:highlight w:val="none"/>
              </w:rPr>
              <w:t>款的规定。</w:t>
            </w:r>
            <w:r>
              <w:rPr>
                <w:color w:val="auto"/>
                <w:spacing w:val="-59"/>
                <w:highlight w:val="none"/>
              </w:rPr>
              <w:t xml:space="preserve"> </w:t>
            </w:r>
            <w:r>
              <w:rPr>
                <w:color w:val="auto"/>
                <w:spacing w:val="6"/>
                <w:highlight w:val="none"/>
              </w:rPr>
              <w:t>以联合体形式</w:t>
            </w:r>
            <w:r>
              <w:rPr>
                <w:color w:val="auto"/>
                <w:spacing w:val="25"/>
                <w:highlight w:val="none"/>
              </w:rPr>
              <w:t>投标的</w:t>
            </w:r>
            <w:r>
              <w:rPr>
                <w:color w:val="auto"/>
                <w:spacing w:val="-49"/>
                <w:highlight w:val="none"/>
              </w:rPr>
              <w:t xml:space="preserve"> </w:t>
            </w:r>
            <w:r>
              <w:rPr>
                <w:color w:val="auto"/>
                <w:spacing w:val="25"/>
                <w:highlight w:val="none"/>
              </w:rPr>
              <w:t>，</w:t>
            </w:r>
            <w:r>
              <w:rPr>
                <w:color w:val="auto"/>
                <w:spacing w:val="-58"/>
                <w:highlight w:val="none"/>
              </w:rPr>
              <w:t xml:space="preserve"> </w:t>
            </w:r>
            <w:r>
              <w:rPr>
                <w:color w:val="auto"/>
                <w:spacing w:val="25"/>
                <w:highlight w:val="none"/>
              </w:rPr>
              <w:t>按联合体成员中等级较低的计</w:t>
            </w:r>
            <w:r>
              <w:rPr>
                <w:color w:val="auto"/>
                <w:spacing w:val="-1"/>
                <w:highlight w:val="none"/>
              </w:rPr>
              <w:t>算。</w:t>
            </w:r>
          </w:p>
          <w:p w14:paraId="45FE54C5">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textAlignment w:val="baseline"/>
              <w:rPr>
                <w:color w:val="auto"/>
                <w:sz w:val="20"/>
                <w:szCs w:val="20"/>
                <w:highlight w:val="none"/>
              </w:rPr>
            </w:pPr>
            <w:r>
              <w:rPr>
                <w:color w:val="auto"/>
                <w:spacing w:val="5"/>
                <w:sz w:val="20"/>
                <w:szCs w:val="20"/>
                <w:highlight w:val="none"/>
              </w:rPr>
              <w:t>2. 履约情况（5</w:t>
            </w:r>
            <w:r>
              <w:rPr>
                <w:color w:val="auto"/>
                <w:spacing w:val="-37"/>
                <w:sz w:val="20"/>
                <w:szCs w:val="20"/>
                <w:highlight w:val="none"/>
              </w:rPr>
              <w:t xml:space="preserve"> </w:t>
            </w:r>
            <w:r>
              <w:rPr>
                <w:color w:val="auto"/>
                <w:spacing w:val="5"/>
                <w:sz w:val="20"/>
                <w:szCs w:val="20"/>
                <w:highlight w:val="none"/>
              </w:rPr>
              <w:t>分）</w:t>
            </w:r>
          </w:p>
          <w:p w14:paraId="4B7427F2">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textAlignment w:val="baseline"/>
              <w:rPr>
                <w:color w:val="auto"/>
                <w:sz w:val="20"/>
                <w:szCs w:val="20"/>
                <w:highlight w:val="none"/>
              </w:rPr>
            </w:pPr>
            <w:r>
              <w:rPr>
                <w:color w:val="auto"/>
                <w:spacing w:val="-1"/>
                <w:sz w:val="20"/>
                <w:szCs w:val="20"/>
                <w:highlight w:val="none"/>
              </w:rPr>
              <w:t>若没出现下述情形得满分；</w:t>
            </w:r>
          </w:p>
          <w:p w14:paraId="5DE6DEDB">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45"/>
              <w:textAlignment w:val="baseline"/>
              <w:rPr>
                <w:color w:val="auto"/>
                <w:sz w:val="20"/>
                <w:szCs w:val="20"/>
                <w:highlight w:val="none"/>
              </w:rPr>
            </w:pPr>
            <w:r>
              <w:rPr>
                <w:color w:val="auto"/>
                <w:spacing w:val="10"/>
                <w:sz w:val="20"/>
                <w:szCs w:val="20"/>
                <w:highlight w:val="none"/>
              </w:rPr>
              <w:t>投标人因公路工程（含附属设施）</w:t>
            </w:r>
            <w:r>
              <w:rPr>
                <w:color w:val="auto"/>
                <w:spacing w:val="-1"/>
                <w:sz w:val="20"/>
                <w:szCs w:val="20"/>
                <w:highlight w:val="none"/>
              </w:rPr>
              <w:t>质量、安全事故被：</w:t>
            </w:r>
          </w:p>
          <w:p w14:paraId="00FC9FE9">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40"/>
              <w:textAlignment w:val="baseline"/>
              <w:rPr>
                <w:color w:val="auto"/>
                <w:sz w:val="20"/>
                <w:szCs w:val="20"/>
                <w:highlight w:val="none"/>
              </w:rPr>
            </w:pPr>
            <w:r>
              <w:rPr>
                <w:color w:val="auto"/>
                <w:spacing w:val="3"/>
                <w:sz w:val="20"/>
                <w:szCs w:val="20"/>
                <w:highlight w:val="none"/>
              </w:rPr>
              <w:t>（1）交通运输部行政处罚、且在处</w:t>
            </w:r>
            <w:r>
              <w:rPr>
                <w:color w:val="auto"/>
                <w:spacing w:val="-3"/>
                <w:sz w:val="20"/>
                <w:szCs w:val="20"/>
                <w:highlight w:val="none"/>
              </w:rPr>
              <w:t>罚信息公示期内的，扣</w:t>
            </w:r>
            <w:r>
              <w:rPr>
                <w:color w:val="auto"/>
                <w:spacing w:val="-40"/>
                <w:sz w:val="20"/>
                <w:szCs w:val="20"/>
                <w:highlight w:val="none"/>
              </w:rPr>
              <w:t xml:space="preserve"> </w:t>
            </w:r>
            <w:r>
              <w:rPr>
                <w:color w:val="auto"/>
                <w:spacing w:val="-3"/>
                <w:sz w:val="20"/>
                <w:szCs w:val="20"/>
                <w:highlight w:val="none"/>
              </w:rPr>
              <w:t>2</w:t>
            </w:r>
            <w:r>
              <w:rPr>
                <w:color w:val="auto"/>
                <w:spacing w:val="-43"/>
                <w:sz w:val="20"/>
                <w:szCs w:val="20"/>
                <w:highlight w:val="none"/>
              </w:rPr>
              <w:t xml:space="preserve"> </w:t>
            </w:r>
            <w:r>
              <w:rPr>
                <w:color w:val="auto"/>
                <w:spacing w:val="-3"/>
                <w:sz w:val="20"/>
                <w:szCs w:val="20"/>
                <w:highlight w:val="none"/>
              </w:rPr>
              <w:t>分/次。</w:t>
            </w:r>
          </w:p>
          <w:p w14:paraId="709FB051">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50"/>
              <w:textAlignment w:val="baseline"/>
              <w:rPr>
                <w:color w:val="auto"/>
                <w:sz w:val="20"/>
                <w:szCs w:val="20"/>
                <w:highlight w:val="none"/>
              </w:rPr>
            </w:pPr>
            <w:r>
              <w:rPr>
                <w:color w:val="auto"/>
                <w:spacing w:val="1"/>
                <w:sz w:val="20"/>
                <w:szCs w:val="20"/>
                <w:highlight w:val="none"/>
              </w:rPr>
              <w:t>（2）广东省交通运输厅行政处罚、</w:t>
            </w:r>
            <w:r>
              <w:rPr>
                <w:color w:val="auto"/>
                <w:spacing w:val="-3"/>
                <w:sz w:val="20"/>
                <w:szCs w:val="20"/>
                <w:highlight w:val="none"/>
              </w:rPr>
              <w:t>且在处罚信息公示期内的，扣</w:t>
            </w:r>
            <w:r>
              <w:rPr>
                <w:color w:val="auto"/>
                <w:spacing w:val="-21"/>
                <w:sz w:val="20"/>
                <w:szCs w:val="20"/>
                <w:highlight w:val="none"/>
              </w:rPr>
              <w:t xml:space="preserve"> </w:t>
            </w:r>
            <w:r>
              <w:rPr>
                <w:color w:val="auto"/>
                <w:spacing w:val="-3"/>
                <w:sz w:val="20"/>
                <w:szCs w:val="20"/>
                <w:highlight w:val="none"/>
              </w:rPr>
              <w:t>1</w:t>
            </w:r>
            <w:r>
              <w:rPr>
                <w:color w:val="auto"/>
                <w:spacing w:val="-44"/>
                <w:sz w:val="20"/>
                <w:szCs w:val="20"/>
                <w:highlight w:val="none"/>
              </w:rPr>
              <w:t xml:space="preserve"> </w:t>
            </w:r>
            <w:r>
              <w:rPr>
                <w:color w:val="auto"/>
                <w:spacing w:val="-3"/>
                <w:sz w:val="20"/>
                <w:szCs w:val="20"/>
                <w:highlight w:val="none"/>
              </w:rPr>
              <w:t>分/次。</w:t>
            </w:r>
          </w:p>
          <w:p w14:paraId="243E6855">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14" w:leftChars="50" w:right="113" w:hanging="9"/>
              <w:textAlignment w:val="baseline"/>
              <w:rPr>
                <w:color w:val="auto"/>
                <w:sz w:val="20"/>
                <w:szCs w:val="20"/>
                <w:highlight w:val="none"/>
              </w:rPr>
            </w:pPr>
            <w:r>
              <w:rPr>
                <w:color w:val="auto"/>
                <w:sz w:val="20"/>
                <w:szCs w:val="20"/>
                <w:highlight w:val="none"/>
                <w:u w:val="single" w:color="auto"/>
              </w:rPr>
              <w:tab/>
            </w:r>
            <w:r>
              <w:rPr>
                <w:rFonts w:hint="eastAsia"/>
                <w:color w:val="auto"/>
                <w:sz w:val="20"/>
                <w:szCs w:val="20"/>
                <w:highlight w:val="none"/>
                <w:u w:val="single" w:color="auto"/>
                <w:lang w:val="en-US" w:eastAsia="zh-CN"/>
              </w:rPr>
              <w:t xml:space="preserve">    </w:t>
            </w:r>
            <w:r>
              <w:rPr>
                <w:color w:val="auto"/>
                <w:spacing w:val="-2"/>
                <w:sz w:val="20"/>
                <w:szCs w:val="20"/>
                <w:highlight w:val="none"/>
                <w:u w:val="single" w:color="auto"/>
              </w:rPr>
              <w:t>（3</w:t>
            </w:r>
            <w:r>
              <w:rPr>
                <w:color w:val="auto"/>
                <w:spacing w:val="-11"/>
                <w:sz w:val="20"/>
                <w:szCs w:val="20"/>
                <w:highlight w:val="none"/>
                <w:u w:val="single" w:color="auto"/>
              </w:rPr>
              <w:t>）（</w:t>
            </w:r>
            <w:r>
              <w:rPr>
                <w:color w:val="auto"/>
                <w:spacing w:val="-2"/>
                <w:sz w:val="20"/>
                <w:szCs w:val="20"/>
                <w:highlight w:val="none"/>
                <w:u w:val="single" w:color="auto"/>
              </w:rPr>
              <w:t>项目涉及各地级以上市）市</w:t>
            </w:r>
            <w:r>
              <w:rPr>
                <w:color w:val="auto"/>
                <w:spacing w:val="10"/>
                <w:sz w:val="20"/>
                <w:szCs w:val="20"/>
                <w:highlight w:val="none"/>
                <w:u w:val="single" w:color="auto"/>
              </w:rPr>
              <w:t>交通运输局行政处罚、且在处罚信息公</w:t>
            </w:r>
            <w:r>
              <w:rPr>
                <w:color w:val="auto"/>
                <w:spacing w:val="2"/>
                <w:sz w:val="20"/>
                <w:szCs w:val="20"/>
                <w:highlight w:val="none"/>
                <w:u w:val="single" w:color="auto"/>
              </w:rPr>
              <w:t>示期内的，扣</w:t>
            </w:r>
            <w:r>
              <w:rPr>
                <w:color w:val="auto"/>
                <w:spacing w:val="-36"/>
                <w:sz w:val="20"/>
                <w:szCs w:val="20"/>
                <w:highlight w:val="none"/>
                <w:u w:val="single" w:color="auto"/>
              </w:rPr>
              <w:t xml:space="preserve"> </w:t>
            </w:r>
            <w:r>
              <w:rPr>
                <w:color w:val="auto"/>
                <w:spacing w:val="2"/>
                <w:sz w:val="20"/>
                <w:szCs w:val="20"/>
                <w:highlight w:val="none"/>
                <w:u w:val="single" w:color="auto"/>
              </w:rPr>
              <w:t>0.5</w:t>
            </w:r>
            <w:r>
              <w:rPr>
                <w:color w:val="auto"/>
                <w:spacing w:val="-42"/>
                <w:sz w:val="20"/>
                <w:szCs w:val="20"/>
                <w:highlight w:val="none"/>
                <w:u w:val="single" w:color="auto"/>
              </w:rPr>
              <w:t xml:space="preserve"> </w:t>
            </w:r>
            <w:r>
              <w:rPr>
                <w:color w:val="auto"/>
                <w:spacing w:val="2"/>
                <w:sz w:val="20"/>
                <w:szCs w:val="20"/>
                <w:highlight w:val="none"/>
                <w:u w:val="single" w:color="auto"/>
              </w:rPr>
              <w:t>分/次。如该项目涉及</w:t>
            </w:r>
            <w:r>
              <w:rPr>
                <w:color w:val="auto"/>
                <w:spacing w:val="-1"/>
                <w:sz w:val="20"/>
                <w:szCs w:val="20"/>
                <w:highlight w:val="none"/>
                <w:u w:val="single" w:color="auto"/>
              </w:rPr>
              <w:t>多个地级以上市的均应扣分</w:t>
            </w:r>
            <w:r>
              <w:rPr>
                <w:color w:val="auto"/>
                <w:spacing w:val="-16"/>
                <w:position w:val="11"/>
                <w:sz w:val="20"/>
                <w:szCs w:val="20"/>
                <w:highlight w:val="none"/>
                <w:u w:val="single" w:color="auto"/>
              </w:rPr>
              <w:t xml:space="preserve"> </w:t>
            </w:r>
            <w:r>
              <w:rPr>
                <w:color w:val="auto"/>
                <w:spacing w:val="-1"/>
                <w:sz w:val="20"/>
                <w:szCs w:val="20"/>
                <w:highlight w:val="none"/>
                <w:u w:val="single" w:color="auto"/>
              </w:rPr>
              <w:t>。</w:t>
            </w:r>
          </w:p>
          <w:p w14:paraId="6D725ADD">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44"/>
              <w:jc w:val="both"/>
              <w:textAlignment w:val="baseline"/>
              <w:rPr>
                <w:color w:val="auto"/>
                <w:sz w:val="20"/>
                <w:szCs w:val="20"/>
                <w:highlight w:val="none"/>
              </w:rPr>
            </w:pPr>
            <w:r>
              <w:rPr>
                <w:color w:val="auto"/>
                <w:spacing w:val="11"/>
                <w:sz w:val="20"/>
                <w:szCs w:val="20"/>
                <w:highlight w:val="none"/>
              </w:rPr>
              <w:t>注：1.处罚信息公示期，是指行政</w:t>
            </w:r>
            <w:r>
              <w:rPr>
                <w:color w:val="auto"/>
                <w:spacing w:val="10"/>
                <w:sz w:val="20"/>
                <w:szCs w:val="20"/>
                <w:highlight w:val="none"/>
              </w:rPr>
              <w:t>机关将行政处罚决定信息通过信用中国</w:t>
            </w:r>
            <w:r>
              <w:rPr>
                <w:color w:val="auto"/>
                <w:spacing w:val="7"/>
                <w:sz w:val="20"/>
                <w:szCs w:val="20"/>
                <w:highlight w:val="none"/>
              </w:rPr>
              <w:t>向社会公开的期限；</w:t>
            </w:r>
            <w:r>
              <w:rPr>
                <w:color w:val="auto"/>
                <w:spacing w:val="-47"/>
                <w:sz w:val="20"/>
                <w:szCs w:val="20"/>
                <w:highlight w:val="none"/>
              </w:rPr>
              <w:t xml:space="preserve"> </w:t>
            </w:r>
            <w:r>
              <w:rPr>
                <w:color w:val="auto"/>
                <w:spacing w:val="7"/>
                <w:sz w:val="20"/>
                <w:szCs w:val="20"/>
                <w:highlight w:val="none"/>
              </w:rPr>
              <w:t>以投标文件递交截止日</w:t>
            </w:r>
            <w:r>
              <w:rPr>
                <w:color w:val="auto"/>
                <w:spacing w:val="-23"/>
                <w:sz w:val="20"/>
                <w:szCs w:val="20"/>
                <w:highlight w:val="none"/>
              </w:rPr>
              <w:t xml:space="preserve"> </w:t>
            </w:r>
            <w:r>
              <w:rPr>
                <w:color w:val="auto"/>
                <w:spacing w:val="7"/>
                <w:sz w:val="20"/>
                <w:szCs w:val="20"/>
                <w:highlight w:val="none"/>
              </w:rPr>
              <w:t>0</w:t>
            </w:r>
            <w:r>
              <w:rPr>
                <w:color w:val="auto"/>
                <w:spacing w:val="-24"/>
                <w:sz w:val="20"/>
                <w:szCs w:val="20"/>
                <w:highlight w:val="none"/>
              </w:rPr>
              <w:t xml:space="preserve"> </w:t>
            </w:r>
            <w:r>
              <w:rPr>
                <w:color w:val="auto"/>
                <w:spacing w:val="7"/>
                <w:sz w:val="20"/>
                <w:szCs w:val="20"/>
                <w:highlight w:val="none"/>
              </w:rPr>
              <w:t>时是否位于处罚信息公示期，来</w:t>
            </w:r>
            <w:r>
              <w:rPr>
                <w:color w:val="auto"/>
                <w:spacing w:val="10"/>
                <w:sz w:val="20"/>
                <w:szCs w:val="20"/>
                <w:highlight w:val="none"/>
              </w:rPr>
              <w:t>判定是否影响相关投标人的履约情况得</w:t>
            </w:r>
            <w:r>
              <w:rPr>
                <w:color w:val="auto"/>
                <w:spacing w:val="7"/>
                <w:sz w:val="20"/>
                <w:szCs w:val="20"/>
                <w:highlight w:val="none"/>
              </w:rPr>
              <w:t>分，投标文件递交截止日</w:t>
            </w:r>
            <w:r>
              <w:rPr>
                <w:color w:val="auto"/>
                <w:spacing w:val="-21"/>
                <w:sz w:val="20"/>
                <w:szCs w:val="20"/>
                <w:highlight w:val="none"/>
              </w:rPr>
              <w:t xml:space="preserve"> </w:t>
            </w:r>
            <w:r>
              <w:rPr>
                <w:color w:val="auto"/>
                <w:spacing w:val="7"/>
                <w:sz w:val="20"/>
                <w:szCs w:val="20"/>
                <w:highlight w:val="none"/>
              </w:rPr>
              <w:t>0</w:t>
            </w:r>
            <w:r>
              <w:rPr>
                <w:color w:val="auto"/>
                <w:spacing w:val="-23"/>
                <w:sz w:val="20"/>
                <w:szCs w:val="20"/>
                <w:highlight w:val="none"/>
              </w:rPr>
              <w:t xml:space="preserve"> </w:t>
            </w:r>
            <w:r>
              <w:rPr>
                <w:color w:val="auto"/>
                <w:spacing w:val="7"/>
                <w:sz w:val="20"/>
                <w:szCs w:val="20"/>
                <w:highlight w:val="none"/>
              </w:rPr>
              <w:t>时在处罚信</w:t>
            </w:r>
            <w:r>
              <w:rPr>
                <w:color w:val="auto"/>
                <w:spacing w:val="18"/>
                <w:sz w:val="20"/>
                <w:szCs w:val="20"/>
                <w:highlight w:val="none"/>
              </w:rPr>
              <w:t>息公示期内应予</w:t>
            </w:r>
            <w:r>
              <w:rPr>
                <w:color w:val="auto"/>
                <w:spacing w:val="-46"/>
                <w:sz w:val="20"/>
                <w:szCs w:val="20"/>
                <w:highlight w:val="none"/>
              </w:rPr>
              <w:t xml:space="preserve"> </w:t>
            </w:r>
            <w:r>
              <w:rPr>
                <w:color w:val="auto"/>
                <w:spacing w:val="18"/>
                <w:sz w:val="20"/>
                <w:szCs w:val="20"/>
                <w:highlight w:val="none"/>
              </w:rPr>
              <w:t>以扣分</w:t>
            </w:r>
            <w:r>
              <w:rPr>
                <w:color w:val="auto"/>
                <w:spacing w:val="-60"/>
                <w:sz w:val="20"/>
                <w:szCs w:val="20"/>
                <w:highlight w:val="none"/>
              </w:rPr>
              <w:t xml:space="preserve"> </w:t>
            </w:r>
            <w:r>
              <w:rPr>
                <w:color w:val="auto"/>
                <w:spacing w:val="18"/>
                <w:sz w:val="20"/>
                <w:szCs w:val="20"/>
                <w:highlight w:val="none"/>
              </w:rPr>
              <w:t>、否则不予扣</w:t>
            </w:r>
            <w:r>
              <w:rPr>
                <w:color w:val="auto"/>
                <w:spacing w:val="-4"/>
                <w:sz w:val="20"/>
                <w:szCs w:val="20"/>
                <w:highlight w:val="none"/>
              </w:rPr>
              <w:t>分。</w:t>
            </w:r>
          </w:p>
          <w:p w14:paraId="130D53F4">
            <w:pPr>
              <w:pStyle w:val="20"/>
              <w:keepNext w:val="0"/>
              <w:keepLines w:val="0"/>
              <w:pageBreakBefore w:val="0"/>
              <w:widowControl/>
              <w:kinsoku w:val="0"/>
              <w:wordWrap/>
              <w:overflowPunct/>
              <w:topLinePunct w:val="0"/>
              <w:autoSpaceDE w:val="0"/>
              <w:autoSpaceDN w:val="0"/>
              <w:bidi w:val="0"/>
              <w:adjustRightInd w:val="0"/>
              <w:snapToGrid w:val="0"/>
              <w:spacing w:line="288" w:lineRule="auto"/>
              <w:ind w:left="105" w:leftChars="50" w:right="113" w:firstLine="437"/>
              <w:textAlignment w:val="baseline"/>
              <w:rPr>
                <w:color w:val="auto"/>
                <w:sz w:val="20"/>
                <w:szCs w:val="20"/>
                <w:highlight w:val="none"/>
              </w:rPr>
            </w:pPr>
            <w:r>
              <w:rPr>
                <w:color w:val="auto"/>
                <w:spacing w:val="11"/>
                <w:sz w:val="20"/>
                <w:szCs w:val="20"/>
                <w:highlight w:val="none"/>
              </w:rPr>
              <w:t>2.同一事项同时被多个部门行政处</w:t>
            </w:r>
            <w:r>
              <w:rPr>
                <w:color w:val="auto"/>
                <w:spacing w:val="-5"/>
                <w:sz w:val="20"/>
                <w:szCs w:val="20"/>
                <w:highlight w:val="none"/>
              </w:rPr>
              <w:t>罚只按最高的扣分计算</w:t>
            </w:r>
            <w:r>
              <w:rPr>
                <w:color w:val="auto"/>
                <w:spacing w:val="-22"/>
                <w:sz w:val="20"/>
                <w:szCs w:val="20"/>
                <w:highlight w:val="none"/>
              </w:rPr>
              <w:t xml:space="preserve"> </w:t>
            </w:r>
            <w:r>
              <w:rPr>
                <w:color w:val="auto"/>
                <w:spacing w:val="-5"/>
                <w:sz w:val="20"/>
                <w:szCs w:val="20"/>
                <w:highlight w:val="none"/>
              </w:rPr>
              <w:t>1</w:t>
            </w:r>
            <w:r>
              <w:rPr>
                <w:color w:val="auto"/>
                <w:spacing w:val="-40"/>
                <w:sz w:val="20"/>
                <w:szCs w:val="20"/>
                <w:highlight w:val="none"/>
              </w:rPr>
              <w:t xml:space="preserve"> </w:t>
            </w:r>
            <w:r>
              <w:rPr>
                <w:color w:val="auto"/>
                <w:spacing w:val="-5"/>
                <w:sz w:val="20"/>
                <w:szCs w:val="20"/>
                <w:highlight w:val="none"/>
              </w:rPr>
              <w:t>次。</w:t>
            </w:r>
          </w:p>
          <w:p w14:paraId="23AE3724">
            <w:pPr>
              <w:pStyle w:val="20"/>
              <w:keepNext w:val="0"/>
              <w:keepLines w:val="0"/>
              <w:pageBreakBefore w:val="0"/>
              <w:widowControl/>
              <w:tabs>
                <w:tab w:val="left" w:pos="320"/>
              </w:tabs>
              <w:kinsoku w:val="0"/>
              <w:wordWrap/>
              <w:overflowPunct/>
              <w:topLinePunct w:val="0"/>
              <w:autoSpaceDE w:val="0"/>
              <w:autoSpaceDN w:val="0"/>
              <w:bidi w:val="0"/>
              <w:adjustRightInd w:val="0"/>
              <w:snapToGrid w:val="0"/>
              <w:spacing w:line="288" w:lineRule="auto"/>
              <w:ind w:left="105" w:leftChars="50" w:right="113" w:firstLine="457"/>
              <w:textAlignment w:val="baseline"/>
              <w:rPr>
                <w:color w:val="auto"/>
                <w:sz w:val="20"/>
                <w:szCs w:val="20"/>
                <w:highlight w:val="none"/>
              </w:rPr>
            </w:pPr>
            <w:r>
              <w:rPr>
                <w:color w:val="auto"/>
                <w:spacing w:val="5"/>
                <w:sz w:val="20"/>
                <w:szCs w:val="20"/>
                <w:highlight w:val="none"/>
                <w:u w:val="single" w:color="auto"/>
              </w:rPr>
              <w:t>3.第</w:t>
            </w:r>
            <w:r>
              <w:rPr>
                <w:color w:val="auto"/>
                <w:spacing w:val="-22"/>
                <w:sz w:val="20"/>
                <w:szCs w:val="20"/>
                <w:highlight w:val="none"/>
                <w:u w:val="single" w:color="auto"/>
              </w:rPr>
              <w:t xml:space="preserve"> </w:t>
            </w:r>
            <w:r>
              <w:rPr>
                <w:color w:val="auto"/>
                <w:spacing w:val="5"/>
                <w:sz w:val="20"/>
                <w:szCs w:val="20"/>
                <w:highlight w:val="none"/>
                <w:u w:val="single" w:color="auto"/>
              </w:rPr>
              <w:t>2（3）条款“项目涉及各地级</w:t>
            </w:r>
            <w:r>
              <w:rPr>
                <w:color w:val="auto"/>
                <w:spacing w:val="8"/>
                <w:sz w:val="20"/>
                <w:szCs w:val="20"/>
                <w:highlight w:val="none"/>
                <w:u w:val="single" w:color="auto"/>
              </w:rPr>
              <w:t>以上市</w:t>
            </w:r>
            <w:r>
              <w:rPr>
                <w:color w:val="auto"/>
                <w:spacing w:val="-57"/>
                <w:sz w:val="20"/>
                <w:szCs w:val="20"/>
                <w:highlight w:val="none"/>
                <w:u w:val="single" w:color="auto"/>
              </w:rPr>
              <w:t xml:space="preserve"> </w:t>
            </w:r>
            <w:r>
              <w:rPr>
                <w:color w:val="auto"/>
                <w:spacing w:val="8"/>
                <w:sz w:val="20"/>
                <w:szCs w:val="20"/>
                <w:highlight w:val="none"/>
                <w:u w:val="single" w:color="auto"/>
              </w:rPr>
              <w:t>”指：本项目（以立项为单位）</w:t>
            </w:r>
            <w:r>
              <w:rPr>
                <w:color w:val="auto"/>
                <w:spacing w:val="11"/>
                <w:sz w:val="20"/>
                <w:szCs w:val="20"/>
                <w:highlight w:val="none"/>
                <w:u w:val="single" w:color="auto"/>
              </w:rPr>
              <w:t>涉及多个地市，如投标人所投某个标段</w:t>
            </w:r>
            <w:r>
              <w:rPr>
                <w:color w:val="auto"/>
                <w:spacing w:val="1"/>
                <w:sz w:val="20"/>
                <w:szCs w:val="20"/>
                <w:highlight w:val="none"/>
                <w:u w:val="single" w:color="auto"/>
              </w:rPr>
              <w:t>（仅涉及部分地市</w:t>
            </w:r>
            <w:r>
              <w:rPr>
                <w:color w:val="auto"/>
                <w:spacing w:val="-1"/>
                <w:sz w:val="20"/>
                <w:szCs w:val="20"/>
                <w:highlight w:val="none"/>
                <w:u w:val="single" w:color="auto"/>
              </w:rPr>
              <w:t>）</w:t>
            </w:r>
            <w:r>
              <w:rPr>
                <w:color w:val="auto"/>
                <w:spacing w:val="-58"/>
                <w:sz w:val="20"/>
                <w:szCs w:val="20"/>
                <w:highlight w:val="none"/>
                <w:u w:val="single" w:color="auto"/>
              </w:rPr>
              <w:t xml:space="preserve"> </w:t>
            </w:r>
            <w:r>
              <w:rPr>
                <w:color w:val="auto"/>
                <w:spacing w:val="-1"/>
                <w:sz w:val="20"/>
                <w:szCs w:val="20"/>
                <w:highlight w:val="none"/>
                <w:u w:val="single" w:color="auto"/>
              </w:rPr>
              <w:t>，</w:t>
            </w:r>
            <w:r>
              <w:rPr>
                <w:color w:val="auto"/>
                <w:spacing w:val="1"/>
                <w:sz w:val="20"/>
                <w:szCs w:val="20"/>
                <w:highlight w:val="none"/>
                <w:u w:val="single" w:color="auto"/>
              </w:rPr>
              <w:t>该标段履约情况</w:t>
            </w:r>
            <w:r>
              <w:rPr>
                <w:color w:val="auto"/>
                <w:spacing w:val="11"/>
                <w:sz w:val="20"/>
                <w:szCs w:val="20"/>
                <w:highlight w:val="none"/>
                <w:u w:val="single" w:color="auto"/>
              </w:rPr>
              <w:t>按项目（以立项为单位）涉及各地市交通运输局相关行政处罚均应包含。如某</w:t>
            </w:r>
            <w:r>
              <w:rPr>
                <w:color w:val="auto"/>
                <w:spacing w:val="8"/>
                <w:sz w:val="20"/>
                <w:szCs w:val="20"/>
                <w:highlight w:val="none"/>
                <w:u w:val="single" w:color="auto"/>
              </w:rPr>
              <w:t>项目涉及</w:t>
            </w:r>
            <w:r>
              <w:rPr>
                <w:color w:val="auto"/>
                <w:spacing w:val="-27"/>
                <w:sz w:val="20"/>
                <w:szCs w:val="20"/>
                <w:highlight w:val="none"/>
                <w:u w:val="single" w:color="auto"/>
              </w:rPr>
              <w:t xml:space="preserve"> </w:t>
            </w:r>
            <w:r>
              <w:rPr>
                <w:color w:val="auto"/>
                <w:spacing w:val="8"/>
                <w:sz w:val="20"/>
                <w:szCs w:val="20"/>
                <w:highlight w:val="none"/>
                <w:u w:val="single" w:color="auto"/>
              </w:rPr>
              <w:t>A、B、C</w:t>
            </w:r>
            <w:r>
              <w:rPr>
                <w:color w:val="auto"/>
                <w:spacing w:val="-35"/>
                <w:sz w:val="20"/>
                <w:szCs w:val="20"/>
                <w:highlight w:val="none"/>
                <w:u w:val="single" w:color="auto"/>
              </w:rPr>
              <w:t xml:space="preserve"> </w:t>
            </w:r>
            <w:r>
              <w:rPr>
                <w:color w:val="auto"/>
                <w:spacing w:val="8"/>
                <w:sz w:val="20"/>
                <w:szCs w:val="20"/>
                <w:highlight w:val="none"/>
                <w:u w:val="single" w:color="auto"/>
              </w:rPr>
              <w:t>三个地级以上市，但</w:t>
            </w:r>
            <w:r>
              <w:rPr>
                <w:color w:val="auto"/>
                <w:spacing w:val="6"/>
                <w:sz w:val="20"/>
                <w:szCs w:val="20"/>
                <w:highlight w:val="none"/>
                <w:u w:val="single" w:color="auto"/>
              </w:rPr>
              <w:t>标段</w:t>
            </w:r>
            <w:r>
              <w:rPr>
                <w:color w:val="auto"/>
                <w:spacing w:val="-24"/>
                <w:sz w:val="20"/>
                <w:szCs w:val="20"/>
                <w:highlight w:val="none"/>
                <w:u w:val="single" w:color="auto"/>
              </w:rPr>
              <w:t xml:space="preserve"> </w:t>
            </w:r>
            <w:r>
              <w:rPr>
                <w:color w:val="auto"/>
                <w:spacing w:val="6"/>
                <w:sz w:val="20"/>
                <w:szCs w:val="20"/>
                <w:highlight w:val="none"/>
                <w:u w:val="single" w:color="auto"/>
              </w:rPr>
              <w:t>3</w:t>
            </w:r>
            <w:r>
              <w:rPr>
                <w:color w:val="auto"/>
                <w:spacing w:val="-36"/>
                <w:sz w:val="20"/>
                <w:szCs w:val="20"/>
                <w:highlight w:val="none"/>
                <w:u w:val="single" w:color="auto"/>
              </w:rPr>
              <w:t xml:space="preserve"> </w:t>
            </w:r>
            <w:r>
              <w:rPr>
                <w:color w:val="auto"/>
                <w:spacing w:val="6"/>
                <w:sz w:val="20"/>
                <w:szCs w:val="20"/>
                <w:highlight w:val="none"/>
                <w:u w:val="single" w:color="auto"/>
              </w:rPr>
              <w:t>仅涉及</w:t>
            </w:r>
            <w:r>
              <w:rPr>
                <w:color w:val="auto"/>
                <w:spacing w:val="-41"/>
                <w:sz w:val="20"/>
                <w:szCs w:val="20"/>
                <w:highlight w:val="none"/>
                <w:u w:val="single" w:color="auto"/>
              </w:rPr>
              <w:t xml:space="preserve"> </w:t>
            </w:r>
            <w:r>
              <w:rPr>
                <w:color w:val="auto"/>
                <w:spacing w:val="6"/>
                <w:sz w:val="20"/>
                <w:szCs w:val="20"/>
                <w:highlight w:val="none"/>
                <w:u w:val="single" w:color="auto"/>
              </w:rPr>
              <w:t>A</w:t>
            </w:r>
            <w:r>
              <w:rPr>
                <w:color w:val="auto"/>
                <w:spacing w:val="-29"/>
                <w:sz w:val="20"/>
                <w:szCs w:val="20"/>
                <w:highlight w:val="none"/>
                <w:u w:val="single" w:color="auto"/>
              </w:rPr>
              <w:t xml:space="preserve"> </w:t>
            </w:r>
            <w:r>
              <w:rPr>
                <w:color w:val="auto"/>
                <w:spacing w:val="6"/>
                <w:sz w:val="20"/>
                <w:szCs w:val="20"/>
                <w:highlight w:val="none"/>
                <w:u w:val="single" w:color="auto"/>
              </w:rPr>
              <w:t>市，该条款履约情况应</w:t>
            </w:r>
            <w:r>
              <w:rPr>
                <w:color w:val="auto"/>
                <w:spacing w:val="8"/>
                <w:sz w:val="20"/>
                <w:szCs w:val="20"/>
                <w:highlight w:val="none"/>
                <w:u w:val="single" w:color="auto"/>
              </w:rPr>
              <w:t>为</w:t>
            </w:r>
            <w:r>
              <w:rPr>
                <w:color w:val="auto"/>
                <w:spacing w:val="-27"/>
                <w:sz w:val="20"/>
                <w:szCs w:val="20"/>
                <w:highlight w:val="none"/>
                <w:u w:val="single" w:color="auto"/>
              </w:rPr>
              <w:t xml:space="preserve"> </w:t>
            </w:r>
            <w:r>
              <w:rPr>
                <w:color w:val="auto"/>
                <w:spacing w:val="8"/>
                <w:sz w:val="20"/>
                <w:szCs w:val="20"/>
                <w:highlight w:val="none"/>
                <w:u w:val="single" w:color="auto"/>
              </w:rPr>
              <w:t>A、B、C</w:t>
            </w:r>
            <w:r>
              <w:rPr>
                <w:color w:val="auto"/>
                <w:spacing w:val="-35"/>
                <w:sz w:val="20"/>
                <w:szCs w:val="20"/>
                <w:highlight w:val="none"/>
                <w:u w:val="single" w:color="auto"/>
              </w:rPr>
              <w:t xml:space="preserve"> </w:t>
            </w:r>
            <w:r>
              <w:rPr>
                <w:color w:val="auto"/>
                <w:spacing w:val="8"/>
                <w:sz w:val="20"/>
                <w:szCs w:val="20"/>
                <w:highlight w:val="none"/>
                <w:u w:val="single" w:color="auto"/>
              </w:rPr>
              <w:t>三个地级以上市交通运输局</w:t>
            </w:r>
            <w:r>
              <w:rPr>
                <w:color w:val="auto"/>
                <w:spacing w:val="9"/>
                <w:sz w:val="20"/>
                <w:szCs w:val="20"/>
                <w:highlight w:val="none"/>
                <w:u w:val="single" w:color="auto"/>
              </w:rPr>
              <w:t>相关行政处罚（而非仅</w:t>
            </w:r>
            <w:r>
              <w:rPr>
                <w:color w:val="auto"/>
                <w:spacing w:val="-44"/>
                <w:sz w:val="20"/>
                <w:szCs w:val="20"/>
                <w:highlight w:val="none"/>
                <w:u w:val="single" w:color="auto"/>
              </w:rPr>
              <w:t xml:space="preserve"> </w:t>
            </w:r>
            <w:r>
              <w:rPr>
                <w:color w:val="auto"/>
                <w:spacing w:val="9"/>
                <w:sz w:val="20"/>
                <w:szCs w:val="20"/>
                <w:highlight w:val="none"/>
                <w:u w:val="single" w:color="auto"/>
              </w:rPr>
              <w:t>A</w:t>
            </w:r>
            <w:r>
              <w:rPr>
                <w:color w:val="auto"/>
                <w:spacing w:val="-29"/>
                <w:sz w:val="20"/>
                <w:szCs w:val="20"/>
                <w:highlight w:val="none"/>
                <w:u w:val="single" w:color="auto"/>
              </w:rPr>
              <w:t xml:space="preserve"> </w:t>
            </w:r>
            <w:r>
              <w:rPr>
                <w:color w:val="auto"/>
                <w:spacing w:val="9"/>
                <w:sz w:val="20"/>
                <w:szCs w:val="20"/>
                <w:highlight w:val="none"/>
                <w:u w:val="single" w:color="auto"/>
              </w:rPr>
              <w:t>市交通运输局相关行政处罚</w:t>
            </w:r>
            <w:r>
              <w:rPr>
                <w:color w:val="auto"/>
                <w:spacing w:val="3"/>
                <w:sz w:val="20"/>
                <w:szCs w:val="20"/>
                <w:highlight w:val="none"/>
                <w:u w:val="single" w:color="auto"/>
              </w:rPr>
              <w:t>）</w:t>
            </w:r>
            <w:r>
              <w:rPr>
                <w:color w:val="auto"/>
                <w:spacing w:val="-61"/>
                <w:sz w:val="20"/>
                <w:szCs w:val="20"/>
                <w:highlight w:val="none"/>
                <w:u w:val="single" w:color="auto"/>
              </w:rPr>
              <w:t xml:space="preserve"> </w:t>
            </w:r>
            <w:r>
              <w:rPr>
                <w:color w:val="auto"/>
                <w:spacing w:val="3"/>
                <w:sz w:val="20"/>
                <w:szCs w:val="20"/>
                <w:highlight w:val="none"/>
                <w:u w:val="single" w:color="auto"/>
              </w:rPr>
              <w:t>，</w:t>
            </w:r>
            <w:r>
              <w:rPr>
                <w:color w:val="auto"/>
                <w:spacing w:val="9"/>
                <w:sz w:val="20"/>
                <w:szCs w:val="20"/>
                <w:highlight w:val="none"/>
                <w:u w:val="single" w:color="auto"/>
              </w:rPr>
              <w:t>且在招标文件编制时</w:t>
            </w:r>
            <w:r>
              <w:rPr>
                <w:color w:val="auto"/>
                <w:spacing w:val="12"/>
                <w:sz w:val="20"/>
                <w:szCs w:val="20"/>
                <w:highlight w:val="none"/>
                <w:u w:val="single" w:color="auto"/>
              </w:rPr>
              <w:t>明确为“A、B、C</w:t>
            </w:r>
            <w:r>
              <w:rPr>
                <w:color w:val="auto"/>
                <w:spacing w:val="-24"/>
                <w:sz w:val="20"/>
                <w:szCs w:val="20"/>
                <w:highlight w:val="none"/>
                <w:u w:val="single" w:color="auto"/>
              </w:rPr>
              <w:t xml:space="preserve"> </w:t>
            </w:r>
            <w:r>
              <w:rPr>
                <w:color w:val="auto"/>
                <w:spacing w:val="12"/>
                <w:sz w:val="20"/>
                <w:szCs w:val="20"/>
                <w:highlight w:val="none"/>
                <w:u w:val="single" w:color="auto"/>
              </w:rPr>
              <w:t>市交通运输局行政处</w:t>
            </w:r>
            <w:r>
              <w:rPr>
                <w:color w:val="auto"/>
                <w:sz w:val="20"/>
                <w:szCs w:val="20"/>
                <w:highlight w:val="none"/>
                <w:u w:val="single" w:color="auto"/>
              </w:rPr>
              <w:t>罚、且在处罚信息公示期内的</w:t>
            </w:r>
            <w:r>
              <w:rPr>
                <w:color w:val="auto"/>
                <w:spacing w:val="-79"/>
                <w:sz w:val="20"/>
                <w:szCs w:val="20"/>
                <w:highlight w:val="none"/>
                <w:u w:val="single" w:color="auto"/>
              </w:rPr>
              <w:t xml:space="preserve"> </w:t>
            </w:r>
            <w:r>
              <w:rPr>
                <w:color w:val="auto"/>
                <w:sz w:val="20"/>
                <w:szCs w:val="20"/>
                <w:highlight w:val="none"/>
                <w:u w:val="single" w:color="auto"/>
              </w:rPr>
              <w:t>”</w:t>
            </w:r>
            <w:r>
              <w:rPr>
                <w:color w:val="auto"/>
                <w:sz w:val="20"/>
                <w:szCs w:val="20"/>
                <w:highlight w:val="none"/>
              </w:rPr>
              <w:t>。</w:t>
            </w:r>
          </w:p>
          <w:p w14:paraId="3B1EDB1B">
            <w:pPr>
              <w:pStyle w:val="20"/>
              <w:keepNext w:val="0"/>
              <w:keepLines w:val="0"/>
              <w:pageBreakBefore w:val="0"/>
              <w:widowControl/>
              <w:tabs>
                <w:tab w:val="left" w:pos="770"/>
              </w:tabs>
              <w:kinsoku w:val="0"/>
              <w:wordWrap/>
              <w:overflowPunct/>
              <w:topLinePunct w:val="0"/>
              <w:autoSpaceDE w:val="0"/>
              <w:autoSpaceDN w:val="0"/>
              <w:bidi w:val="0"/>
              <w:adjustRightInd w:val="0"/>
              <w:snapToGrid w:val="0"/>
              <w:spacing w:line="288" w:lineRule="auto"/>
              <w:ind w:left="105" w:leftChars="50" w:right="113" w:firstLine="430"/>
              <w:textAlignment w:val="baseline"/>
              <w:rPr>
                <w:color w:val="auto"/>
                <w:sz w:val="22"/>
                <w:szCs w:val="22"/>
                <w:highlight w:val="none"/>
              </w:rPr>
            </w:pPr>
            <w:r>
              <w:rPr>
                <w:color w:val="auto"/>
                <w:spacing w:val="11"/>
                <w:sz w:val="20"/>
                <w:szCs w:val="20"/>
                <w:highlight w:val="none"/>
              </w:rPr>
              <w:t>4.如果扣完本项分值，可以从总分</w:t>
            </w:r>
            <w:r>
              <w:rPr>
                <w:color w:val="auto"/>
                <w:spacing w:val="8"/>
                <w:sz w:val="20"/>
                <w:szCs w:val="20"/>
                <w:highlight w:val="none"/>
              </w:rPr>
              <w:t>中扣。</w:t>
            </w:r>
            <w:r>
              <w:rPr>
                <w:color w:val="auto"/>
                <w:spacing w:val="-64"/>
                <w:sz w:val="20"/>
                <w:szCs w:val="20"/>
                <w:highlight w:val="none"/>
              </w:rPr>
              <w:t xml:space="preserve"> </w:t>
            </w:r>
            <w:r>
              <w:rPr>
                <w:color w:val="auto"/>
                <w:spacing w:val="8"/>
                <w:sz w:val="20"/>
                <w:szCs w:val="20"/>
                <w:highlight w:val="none"/>
              </w:rPr>
              <w:t>以联合体形式投标的，若各联合</w:t>
            </w:r>
            <w:r>
              <w:rPr>
                <w:color w:val="auto"/>
                <w:spacing w:val="10"/>
                <w:sz w:val="20"/>
                <w:szCs w:val="20"/>
                <w:highlight w:val="none"/>
              </w:rPr>
              <w:t>体成员任何一方或均存在上述情形的，</w:t>
            </w:r>
            <w:r>
              <w:rPr>
                <w:color w:val="auto"/>
                <w:spacing w:val="-1"/>
                <w:sz w:val="20"/>
                <w:szCs w:val="20"/>
                <w:highlight w:val="none"/>
              </w:rPr>
              <w:t>对联合体各成员进行累计扣分。</w:t>
            </w:r>
          </w:p>
        </w:tc>
      </w:tr>
      <w:tr w14:paraId="0BA3D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286" w:type="dxa"/>
            <w:gridSpan w:val="14"/>
            <w:vAlign w:val="top"/>
          </w:tcPr>
          <w:p w14:paraId="1E6CB367">
            <w:pPr>
              <w:pStyle w:val="20"/>
              <w:spacing w:before="46" w:line="225" w:lineRule="auto"/>
              <w:ind w:left="126"/>
              <w:rPr>
                <w:color w:val="auto"/>
                <w:highlight w:val="none"/>
              </w:rPr>
            </w:pPr>
            <w:bookmarkStart w:id="51" w:name="bookmark155"/>
            <w:bookmarkEnd w:id="51"/>
            <w:bookmarkStart w:id="52" w:name="bookmark158"/>
            <w:bookmarkEnd w:id="52"/>
            <w:bookmarkStart w:id="53" w:name="bookmark157"/>
            <w:bookmarkEnd w:id="53"/>
            <w:r>
              <w:rPr>
                <w:b/>
                <w:bCs/>
                <w:color w:val="auto"/>
                <w:spacing w:val="6"/>
                <w:highlight w:val="none"/>
              </w:rPr>
              <w:t>需要补充的其他内容</w:t>
            </w:r>
          </w:p>
        </w:tc>
      </w:tr>
      <w:tr w14:paraId="5204A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238" w:type="dxa"/>
            <w:gridSpan w:val="4"/>
            <w:vAlign w:val="top"/>
          </w:tcPr>
          <w:p w14:paraId="7F5A149E">
            <w:pPr>
              <w:pStyle w:val="20"/>
              <w:spacing w:before="72" w:line="228" w:lineRule="auto"/>
              <w:ind w:left="311"/>
              <w:rPr>
                <w:color w:val="auto"/>
                <w:highlight w:val="none"/>
              </w:rPr>
            </w:pPr>
            <w:r>
              <w:rPr>
                <w:color w:val="auto"/>
                <w:spacing w:val="6"/>
                <w:highlight w:val="none"/>
              </w:rPr>
              <w:t>条款号</w:t>
            </w:r>
          </w:p>
        </w:tc>
        <w:tc>
          <w:tcPr>
            <w:tcW w:w="8048" w:type="dxa"/>
            <w:gridSpan w:val="10"/>
            <w:vAlign w:val="top"/>
          </w:tcPr>
          <w:p w14:paraId="26B25706">
            <w:pPr>
              <w:pStyle w:val="20"/>
              <w:spacing w:before="72" w:line="228" w:lineRule="auto"/>
              <w:ind w:left="2992"/>
              <w:rPr>
                <w:color w:val="auto"/>
                <w:highlight w:val="none"/>
              </w:rPr>
            </w:pPr>
            <w:r>
              <w:rPr>
                <w:color w:val="auto"/>
                <w:spacing w:val="8"/>
                <w:highlight w:val="none"/>
              </w:rPr>
              <w:t>补充或修改的内容</w:t>
            </w:r>
          </w:p>
        </w:tc>
      </w:tr>
      <w:tr w14:paraId="7469C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238" w:type="dxa"/>
            <w:gridSpan w:val="4"/>
            <w:vAlign w:val="top"/>
          </w:tcPr>
          <w:p w14:paraId="323F5FAB">
            <w:pPr>
              <w:pStyle w:val="20"/>
              <w:spacing w:before="34" w:line="268" w:lineRule="exact"/>
              <w:ind w:left="366"/>
              <w:rPr>
                <w:color w:val="auto"/>
                <w:highlight w:val="none"/>
              </w:rPr>
            </w:pPr>
            <w:r>
              <w:rPr>
                <w:color w:val="auto"/>
                <w:spacing w:val="2"/>
                <w:position w:val="1"/>
                <w:highlight w:val="none"/>
              </w:rPr>
              <w:t>3.2.3</w:t>
            </w:r>
          </w:p>
        </w:tc>
        <w:tc>
          <w:tcPr>
            <w:tcW w:w="8048" w:type="dxa"/>
            <w:gridSpan w:val="10"/>
            <w:vAlign w:val="top"/>
          </w:tcPr>
          <w:p w14:paraId="640AEC13">
            <w:pPr>
              <w:pStyle w:val="20"/>
              <w:spacing w:before="34" w:line="228" w:lineRule="auto"/>
              <w:ind w:left="534"/>
              <w:rPr>
                <w:color w:val="auto"/>
                <w:highlight w:val="none"/>
              </w:rPr>
            </w:pPr>
            <w:r>
              <w:rPr>
                <w:color w:val="auto"/>
                <w:spacing w:val="6"/>
                <w:highlight w:val="none"/>
              </w:rPr>
              <w:t>3.2.3</w:t>
            </w:r>
            <w:r>
              <w:rPr>
                <w:color w:val="auto"/>
                <w:spacing w:val="-28"/>
                <w:highlight w:val="none"/>
              </w:rPr>
              <w:t xml:space="preserve"> </w:t>
            </w:r>
            <w:r>
              <w:rPr>
                <w:color w:val="auto"/>
                <w:spacing w:val="6"/>
                <w:highlight w:val="none"/>
              </w:rPr>
              <w:t>款明确取消其中</w:t>
            </w:r>
            <w:r>
              <w:rPr>
                <w:color w:val="auto"/>
                <w:spacing w:val="-21"/>
                <w:highlight w:val="none"/>
              </w:rPr>
              <w:t xml:space="preserve"> </w:t>
            </w:r>
            <w:r>
              <w:rPr>
                <w:color w:val="auto"/>
                <w:spacing w:val="6"/>
                <w:highlight w:val="none"/>
              </w:rPr>
              <w:t>1</w:t>
            </w:r>
            <w:r>
              <w:rPr>
                <w:color w:val="auto"/>
                <w:spacing w:val="-36"/>
                <w:highlight w:val="none"/>
              </w:rPr>
              <w:t xml:space="preserve"> </w:t>
            </w:r>
            <w:r>
              <w:rPr>
                <w:color w:val="auto"/>
                <w:spacing w:val="6"/>
                <w:highlight w:val="none"/>
              </w:rPr>
              <w:t>名评委所有评分的办法明确为：办法</w:t>
            </w:r>
            <w:r>
              <w:rPr>
                <w:color w:val="auto"/>
                <w:spacing w:val="-97"/>
                <w:highlight w:val="none"/>
              </w:rPr>
              <w:t xml:space="preserve"> </w:t>
            </w:r>
            <w:r>
              <w:rPr>
                <w:color w:val="auto"/>
                <w:spacing w:val="6"/>
                <w:highlight w:val="none"/>
                <w:u w:val="single" w:color="auto"/>
              </w:rPr>
              <w:t xml:space="preserve"> </w:t>
            </w:r>
            <w:r>
              <w:rPr>
                <w:rFonts w:hint="eastAsia"/>
                <w:color w:val="auto"/>
                <w:spacing w:val="6"/>
                <w:highlight w:val="none"/>
                <w:u w:val="single" w:color="auto"/>
                <w:lang w:eastAsia="zh-CN"/>
              </w:rPr>
              <w:t>一</w:t>
            </w:r>
            <w:r>
              <w:rPr>
                <w:color w:val="auto"/>
                <w:spacing w:val="6"/>
                <w:highlight w:val="none"/>
                <w:u w:val="single" w:color="auto"/>
              </w:rPr>
              <w:t xml:space="preserve">  </w:t>
            </w:r>
            <w:r>
              <w:rPr>
                <w:color w:val="auto"/>
                <w:spacing w:val="6"/>
                <w:highlight w:val="none"/>
              </w:rPr>
              <w:t>。</w:t>
            </w:r>
          </w:p>
        </w:tc>
      </w:tr>
      <w:tr w14:paraId="77AAF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237" w:type="dxa"/>
            <w:gridSpan w:val="3"/>
            <w:vAlign w:val="center"/>
          </w:tcPr>
          <w:p w14:paraId="3B3F1B10">
            <w:pPr>
              <w:pStyle w:val="20"/>
              <w:spacing w:before="65" w:line="285" w:lineRule="exact"/>
              <w:ind w:left="419"/>
              <w:jc w:val="both"/>
              <w:rPr>
                <w:rFonts w:hint="default" w:eastAsia="宋体"/>
                <w:color w:val="auto"/>
                <w:spacing w:val="2"/>
                <w:position w:val="-1"/>
                <w:highlight w:val="none"/>
                <w:lang w:val="en-US" w:eastAsia="zh-CN"/>
              </w:rPr>
            </w:pPr>
            <w:r>
              <w:rPr>
                <w:rFonts w:hint="eastAsia"/>
                <w:color w:val="auto"/>
                <w:spacing w:val="2"/>
                <w:position w:val="-1"/>
                <w:highlight w:val="none"/>
                <w:lang w:val="en-US" w:eastAsia="zh-CN"/>
              </w:rPr>
              <w:t>1.1</w:t>
            </w:r>
          </w:p>
        </w:tc>
        <w:tc>
          <w:tcPr>
            <w:tcW w:w="8049" w:type="dxa"/>
            <w:gridSpan w:val="11"/>
            <w:vAlign w:val="top"/>
          </w:tcPr>
          <w:p w14:paraId="07DB0529">
            <w:pPr>
              <w:pStyle w:val="21"/>
              <w:keepNext w:val="0"/>
              <w:keepLines w:val="0"/>
              <w:pageBreakBefore w:val="0"/>
              <w:widowControl w:val="0"/>
              <w:kinsoku/>
              <w:wordWrap w:val="0"/>
              <w:overflowPunct/>
              <w:topLinePunct w:val="0"/>
              <w:bidi w:val="0"/>
              <w:adjustRightInd w:val="0"/>
              <w:snapToGrid w:val="0"/>
              <w:spacing w:line="400" w:lineRule="exact"/>
              <w:ind w:left="42" w:leftChars="20" w:right="6" w:firstLine="105" w:firstLineChars="50"/>
              <w:jc w:val="left"/>
              <w:textAlignment w:val="auto"/>
              <w:rPr>
                <w:rFonts w:hint="eastAsia" w:ascii="宋体" w:hAnsi="宋体" w:eastAsia="宋体" w:cs="宋体"/>
                <w:color w:val="auto"/>
                <w:sz w:val="21"/>
                <w:szCs w:val="21"/>
                <w:highlight w:val="none"/>
                <w:lang w:val="zh-CN" w:bidi="zh-CN"/>
              </w:rPr>
            </w:pPr>
            <w:r>
              <w:rPr>
                <w:rFonts w:hint="eastAsia" w:ascii="宋体" w:hAnsi="宋体" w:eastAsia="宋体" w:cs="宋体"/>
                <w:color w:val="auto"/>
                <w:sz w:val="21"/>
                <w:szCs w:val="21"/>
                <w:highlight w:val="none"/>
                <w:lang w:val="zh-CN" w:bidi="zh-CN"/>
              </w:rPr>
              <w:t>评标办法正文第</w:t>
            </w:r>
            <w:r>
              <w:rPr>
                <w:rFonts w:hint="eastAsia" w:ascii="宋体" w:hAnsi="宋体" w:eastAsia="宋体" w:cs="宋体"/>
                <w:color w:val="auto"/>
                <w:sz w:val="21"/>
                <w:szCs w:val="21"/>
                <w:highlight w:val="none"/>
                <w:lang w:val="en-US" w:bidi="zh-CN"/>
              </w:rPr>
              <w:t>1</w:t>
            </w:r>
            <w:r>
              <w:rPr>
                <w:rFonts w:hint="eastAsia" w:ascii="宋体" w:hAnsi="宋体" w:eastAsia="宋体" w:cs="宋体"/>
                <w:color w:val="auto"/>
                <w:sz w:val="21"/>
                <w:szCs w:val="21"/>
                <w:highlight w:val="none"/>
                <w:lang w:val="zh-CN" w:bidi="zh-CN"/>
              </w:rPr>
              <w:t>.</w:t>
            </w:r>
            <w:r>
              <w:rPr>
                <w:rFonts w:hint="eastAsia" w:ascii="宋体" w:hAnsi="宋体" w:eastAsia="宋体" w:cs="宋体"/>
                <w:color w:val="auto"/>
                <w:sz w:val="21"/>
                <w:szCs w:val="21"/>
                <w:highlight w:val="none"/>
                <w:lang w:val="en-US" w:bidi="zh-CN"/>
              </w:rPr>
              <w:t>1</w:t>
            </w:r>
            <w:r>
              <w:rPr>
                <w:rFonts w:hint="eastAsia" w:ascii="宋体" w:hAnsi="宋体" w:eastAsia="宋体" w:cs="宋体"/>
                <w:color w:val="auto"/>
                <w:sz w:val="21"/>
                <w:szCs w:val="21"/>
                <w:highlight w:val="none"/>
                <w:lang w:val="zh-CN" w:bidi="zh-CN"/>
              </w:rPr>
              <w:t xml:space="preserve">款项修改如下：  </w:t>
            </w:r>
          </w:p>
          <w:p w14:paraId="2CBFC143">
            <w:pPr>
              <w:pStyle w:val="21"/>
              <w:keepNext w:val="0"/>
              <w:keepLines w:val="0"/>
              <w:pageBreakBefore w:val="0"/>
              <w:widowControl w:val="0"/>
              <w:kinsoku/>
              <w:wordWrap w:val="0"/>
              <w:overflowPunct/>
              <w:topLinePunct w:val="0"/>
              <w:bidi w:val="0"/>
              <w:adjustRightInd w:val="0"/>
              <w:snapToGrid w:val="0"/>
              <w:spacing w:line="400" w:lineRule="exact"/>
              <w:ind w:left="42" w:leftChars="20" w:right="6" w:firstLine="100" w:firstLineChars="50"/>
              <w:jc w:val="left"/>
              <w:textAlignment w:val="auto"/>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lang w:val="en-US" w:bidi="zh-CN"/>
              </w:rPr>
              <w:t>1</w:t>
            </w:r>
            <w:r>
              <w:rPr>
                <w:rFonts w:hint="eastAsia" w:ascii="宋体" w:hAnsi="宋体" w:eastAsia="宋体" w:cs="宋体"/>
                <w:b w:val="0"/>
                <w:bCs w:val="0"/>
                <w:color w:val="auto"/>
                <w:sz w:val="20"/>
                <w:szCs w:val="20"/>
                <w:highlight w:val="none"/>
                <w:lang w:val="en-US" w:eastAsia="en-US"/>
              </w:rPr>
              <w:t>.</w:t>
            </w:r>
            <w:r>
              <w:rPr>
                <w:rFonts w:hint="eastAsia" w:ascii="宋体" w:hAnsi="宋体" w:eastAsia="宋体" w:cs="宋体"/>
                <w:b w:val="0"/>
                <w:bCs w:val="0"/>
                <w:color w:val="auto"/>
                <w:sz w:val="20"/>
                <w:szCs w:val="20"/>
                <w:highlight w:val="none"/>
                <w:lang w:val="en-US" w:eastAsia="zh-CN"/>
              </w:rPr>
              <w:t>1</w:t>
            </w:r>
            <w:r>
              <w:rPr>
                <w:rFonts w:hint="eastAsia" w:ascii="宋体" w:hAnsi="宋体" w:eastAsia="宋体" w:cs="宋体"/>
                <w:b w:val="0"/>
                <w:bCs w:val="0"/>
                <w:color w:val="auto"/>
                <w:sz w:val="20"/>
                <w:szCs w:val="20"/>
                <w:highlight w:val="none"/>
              </w:rPr>
              <w:t>评标方法</w:t>
            </w:r>
          </w:p>
          <w:p w14:paraId="771EC904">
            <w:pPr>
              <w:pStyle w:val="5"/>
              <w:numPr>
                <w:ilvl w:val="0"/>
                <w:numId w:val="0"/>
              </w:numPr>
              <w:bidi w:val="0"/>
              <w:ind w:leftChars="0" w:firstLine="210" w:firstLineChars="100"/>
              <w:rPr>
                <w:color w:val="auto"/>
                <w:spacing w:val="11"/>
                <w:highlight w:val="none"/>
              </w:rPr>
            </w:pPr>
            <w:r>
              <w:rPr>
                <w:rFonts w:hint="eastAsia" w:ascii="宋体" w:hAnsi="宋体" w:eastAsia="宋体" w:cs="宋体"/>
                <w:b w:val="0"/>
                <w:bCs/>
                <w:color w:val="auto"/>
                <w:spacing w:val="5"/>
                <w:sz w:val="20"/>
                <w:szCs w:val="20"/>
                <w:highlight w:val="none"/>
              </w:rPr>
              <w:t>本次评标采用双信封的综合评估法。评标委员会对满足招标文件实质性要求的投</w:t>
            </w:r>
            <w:r>
              <w:rPr>
                <w:rFonts w:hint="eastAsia" w:ascii="宋体" w:hAnsi="宋体" w:eastAsia="宋体" w:cs="宋体"/>
                <w:b w:val="0"/>
                <w:bCs/>
                <w:color w:val="auto"/>
                <w:spacing w:val="4"/>
                <w:sz w:val="20"/>
                <w:szCs w:val="20"/>
                <w:highlight w:val="none"/>
              </w:rPr>
              <w:t>标文件，按照本章第</w:t>
            </w:r>
            <w:r>
              <w:rPr>
                <w:rFonts w:hint="eastAsia" w:ascii="宋体" w:hAnsi="宋体" w:eastAsia="宋体" w:cs="宋体"/>
                <w:b w:val="0"/>
                <w:bCs/>
                <w:color w:val="auto"/>
                <w:spacing w:val="-40"/>
                <w:sz w:val="20"/>
                <w:szCs w:val="20"/>
                <w:highlight w:val="none"/>
              </w:rPr>
              <w:t xml:space="preserve"> </w:t>
            </w:r>
            <w:r>
              <w:rPr>
                <w:rFonts w:hint="eastAsia" w:ascii="宋体" w:hAnsi="宋体" w:eastAsia="宋体" w:cs="宋体"/>
                <w:b w:val="0"/>
                <w:bCs/>
                <w:color w:val="auto"/>
                <w:spacing w:val="4"/>
                <w:sz w:val="20"/>
                <w:szCs w:val="20"/>
                <w:highlight w:val="none"/>
              </w:rPr>
              <w:t>2.2</w:t>
            </w:r>
            <w:r>
              <w:rPr>
                <w:rFonts w:hint="eastAsia" w:ascii="宋体" w:hAnsi="宋体" w:eastAsia="宋体" w:cs="宋体"/>
                <w:b w:val="0"/>
                <w:bCs/>
                <w:color w:val="auto"/>
                <w:spacing w:val="-45"/>
                <w:sz w:val="20"/>
                <w:szCs w:val="20"/>
                <w:highlight w:val="none"/>
              </w:rPr>
              <w:t xml:space="preserve"> </w:t>
            </w:r>
            <w:r>
              <w:rPr>
                <w:rFonts w:hint="eastAsia" w:ascii="宋体" w:hAnsi="宋体" w:eastAsia="宋体" w:cs="宋体"/>
                <w:b w:val="0"/>
                <w:bCs/>
                <w:color w:val="auto"/>
                <w:spacing w:val="4"/>
                <w:sz w:val="20"/>
                <w:szCs w:val="20"/>
                <w:highlight w:val="none"/>
              </w:rPr>
              <w:t>款规定的评分标准进行打分</w:t>
            </w:r>
            <w:r>
              <w:rPr>
                <w:rFonts w:hint="eastAsia" w:ascii="宋体" w:hAnsi="宋体" w:eastAsia="宋体" w:cs="宋体"/>
                <w:b w:val="0"/>
                <w:bCs/>
                <w:color w:val="auto"/>
                <w:spacing w:val="5"/>
                <w:sz w:val="20"/>
                <w:szCs w:val="20"/>
                <w:highlight w:val="none"/>
                <w:lang w:eastAsia="zh-CN"/>
              </w:rPr>
              <w:t>，并按综合得分排名推荐定标候选人，</w:t>
            </w:r>
            <w:r>
              <w:rPr>
                <w:rFonts w:hint="eastAsia" w:ascii="宋体" w:hAnsi="宋体" w:eastAsia="宋体" w:cs="宋体"/>
                <w:b w:val="0"/>
                <w:bCs/>
                <w:color w:val="auto"/>
                <w:spacing w:val="5"/>
                <w:sz w:val="20"/>
                <w:szCs w:val="20"/>
                <w:highlight w:val="none"/>
              </w:rPr>
              <w:t>投标报价低于其成本的除外</w:t>
            </w:r>
            <w:r>
              <w:rPr>
                <w:rFonts w:hint="eastAsia" w:ascii="宋体" w:hAnsi="宋体" w:eastAsia="宋体" w:cs="宋体"/>
                <w:b w:val="0"/>
                <w:bCs/>
                <w:color w:val="auto"/>
                <w:spacing w:val="5"/>
                <w:sz w:val="20"/>
                <w:szCs w:val="20"/>
                <w:highlight w:val="none"/>
                <w:lang w:eastAsia="zh-CN"/>
              </w:rPr>
              <w:t>；</w:t>
            </w:r>
            <w:r>
              <w:rPr>
                <w:rFonts w:hint="eastAsia" w:ascii="宋体" w:hAnsi="宋体" w:eastAsia="宋体" w:cs="宋体"/>
                <w:b w:val="0"/>
                <w:bCs/>
                <w:color w:val="auto"/>
                <w:spacing w:val="5"/>
                <w:sz w:val="20"/>
                <w:szCs w:val="20"/>
                <w:highlight w:val="none"/>
              </w:rPr>
              <w:t>综合评分相等时，评标委员会</w:t>
            </w:r>
            <w:r>
              <w:rPr>
                <w:rFonts w:hint="eastAsia" w:ascii="宋体" w:hAnsi="宋体" w:eastAsia="宋体" w:cs="宋体"/>
                <w:b w:val="0"/>
                <w:bCs/>
                <w:color w:val="auto"/>
                <w:spacing w:val="4"/>
                <w:sz w:val="20"/>
                <w:szCs w:val="20"/>
                <w:highlight w:val="none"/>
              </w:rPr>
              <w:t>应按照评标</w:t>
            </w:r>
            <w:r>
              <w:rPr>
                <w:rFonts w:hint="eastAsia" w:ascii="宋体" w:hAnsi="宋体" w:eastAsia="宋体" w:cs="宋体"/>
                <w:b w:val="0"/>
                <w:bCs/>
                <w:color w:val="auto"/>
                <w:spacing w:val="-1"/>
                <w:sz w:val="20"/>
                <w:szCs w:val="20"/>
                <w:highlight w:val="none"/>
              </w:rPr>
              <w:t>办法前附表规定的优先次序推荐</w:t>
            </w:r>
            <w:r>
              <w:rPr>
                <w:rFonts w:hint="eastAsia" w:ascii="宋体" w:hAnsi="宋体" w:eastAsia="宋体" w:cs="宋体"/>
                <w:b w:val="0"/>
                <w:bCs/>
                <w:color w:val="auto"/>
                <w:spacing w:val="-1"/>
                <w:sz w:val="20"/>
                <w:szCs w:val="20"/>
                <w:highlight w:val="none"/>
                <w:lang w:eastAsia="zh-CN"/>
              </w:rPr>
              <w:t>定</w:t>
            </w:r>
            <w:r>
              <w:rPr>
                <w:rFonts w:hint="eastAsia" w:ascii="宋体" w:hAnsi="宋体" w:eastAsia="宋体" w:cs="宋体"/>
                <w:b w:val="0"/>
                <w:bCs/>
                <w:color w:val="auto"/>
                <w:spacing w:val="-1"/>
                <w:sz w:val="20"/>
                <w:szCs w:val="20"/>
                <w:highlight w:val="none"/>
              </w:rPr>
              <w:t>标候选人</w:t>
            </w:r>
            <w:r>
              <w:rPr>
                <w:rFonts w:hint="eastAsia" w:ascii="宋体" w:hAnsi="宋体" w:eastAsia="宋体" w:cs="宋体"/>
                <w:b w:val="0"/>
                <w:bCs/>
                <w:color w:val="auto"/>
                <w:spacing w:val="5"/>
                <w:sz w:val="20"/>
                <w:szCs w:val="20"/>
                <w:highlight w:val="none"/>
                <w:lang w:eastAsia="zh-CN"/>
              </w:rPr>
              <w:t>。</w:t>
            </w:r>
          </w:p>
        </w:tc>
      </w:tr>
      <w:tr w14:paraId="03E43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0" w:hRule="atLeast"/>
        </w:trPr>
        <w:tc>
          <w:tcPr>
            <w:tcW w:w="1237" w:type="dxa"/>
            <w:gridSpan w:val="3"/>
            <w:vAlign w:val="center"/>
          </w:tcPr>
          <w:p w14:paraId="1C28CBE4">
            <w:pPr>
              <w:pStyle w:val="20"/>
              <w:spacing w:before="65" w:line="285" w:lineRule="exact"/>
              <w:ind w:left="419"/>
              <w:jc w:val="both"/>
              <w:rPr>
                <w:rFonts w:hint="default" w:eastAsia="宋体"/>
                <w:color w:val="auto"/>
                <w:spacing w:val="2"/>
                <w:position w:val="-1"/>
                <w:highlight w:val="none"/>
                <w:lang w:val="en-US" w:eastAsia="zh-CN"/>
              </w:rPr>
            </w:pPr>
            <w:r>
              <w:rPr>
                <w:rFonts w:hint="eastAsia"/>
                <w:color w:val="auto"/>
                <w:spacing w:val="2"/>
                <w:position w:val="-1"/>
                <w:highlight w:val="none"/>
                <w:lang w:val="en-US" w:eastAsia="zh-CN"/>
              </w:rPr>
              <w:t>1.3</w:t>
            </w:r>
          </w:p>
        </w:tc>
        <w:tc>
          <w:tcPr>
            <w:tcW w:w="8049" w:type="dxa"/>
            <w:gridSpan w:val="11"/>
            <w:vAlign w:val="top"/>
          </w:tcPr>
          <w:p w14:paraId="00CE25AE">
            <w:pPr>
              <w:pStyle w:val="5"/>
              <w:bidi w:val="0"/>
              <w:rPr>
                <w:color w:val="auto"/>
                <w:highlight w:val="none"/>
              </w:rPr>
            </w:pPr>
            <w:r>
              <w:rPr>
                <w:rFonts w:hint="eastAsia" w:ascii="宋体" w:hAnsi="宋体" w:eastAsia="宋体" w:cs="宋体"/>
                <w:color w:val="auto"/>
                <w:sz w:val="21"/>
                <w:szCs w:val="21"/>
                <w:highlight w:val="none"/>
                <w:lang w:val="zh-CN" w:bidi="zh-CN"/>
              </w:rPr>
              <w:t>评标办法正文第</w:t>
            </w:r>
            <w:r>
              <w:rPr>
                <w:rFonts w:hint="eastAsia" w:ascii="宋体" w:hAnsi="宋体" w:eastAsia="宋体" w:cs="宋体"/>
                <w:color w:val="auto"/>
                <w:sz w:val="21"/>
                <w:szCs w:val="21"/>
                <w:highlight w:val="none"/>
                <w:lang w:val="en-US" w:bidi="zh-CN"/>
              </w:rPr>
              <w:t>1</w:t>
            </w:r>
            <w:r>
              <w:rPr>
                <w:rFonts w:hint="eastAsia" w:ascii="宋体" w:hAnsi="宋体" w:eastAsia="宋体" w:cs="宋体"/>
                <w:color w:val="auto"/>
                <w:sz w:val="21"/>
                <w:szCs w:val="21"/>
                <w:highlight w:val="none"/>
                <w:lang w:val="zh-CN" w:bidi="zh-CN"/>
              </w:rPr>
              <w:t>.</w:t>
            </w:r>
            <w:r>
              <w:rPr>
                <w:rFonts w:hint="eastAsia" w:ascii="宋体" w:hAnsi="宋体" w:eastAsia="宋体" w:cs="宋体"/>
                <w:color w:val="auto"/>
                <w:sz w:val="21"/>
                <w:szCs w:val="21"/>
                <w:highlight w:val="none"/>
                <w:lang w:val="en-US" w:bidi="zh-CN"/>
              </w:rPr>
              <w:t>3</w:t>
            </w:r>
            <w:r>
              <w:rPr>
                <w:rFonts w:hint="eastAsia" w:ascii="宋体" w:hAnsi="宋体" w:eastAsia="宋体" w:cs="宋体"/>
                <w:color w:val="auto"/>
                <w:sz w:val="21"/>
                <w:szCs w:val="21"/>
                <w:highlight w:val="none"/>
                <w:lang w:val="zh-CN" w:bidi="zh-CN"/>
              </w:rPr>
              <w:t xml:space="preserve">款项修改如下： </w:t>
            </w:r>
          </w:p>
          <w:p w14:paraId="64CB9C32">
            <w:pPr>
              <w:pStyle w:val="5"/>
              <w:bidi w:val="0"/>
              <w:rPr>
                <w:rFonts w:hint="eastAsia" w:ascii="宋体" w:hAnsi="宋体" w:eastAsia="宋体" w:cs="宋体"/>
                <w:color w:val="auto"/>
                <w:sz w:val="20"/>
                <w:szCs w:val="16"/>
                <w:highlight w:val="none"/>
              </w:rPr>
            </w:pPr>
            <w:r>
              <w:rPr>
                <w:rFonts w:hint="eastAsia" w:ascii="宋体" w:hAnsi="宋体" w:eastAsia="宋体" w:cs="宋体"/>
                <w:color w:val="auto"/>
                <w:sz w:val="20"/>
                <w:szCs w:val="16"/>
                <w:highlight w:val="none"/>
              </w:rPr>
              <w:t>1.3 评审工作程序</w:t>
            </w:r>
          </w:p>
          <w:p w14:paraId="397D5F43">
            <w:pPr>
              <w:spacing w:before="50" w:line="219" w:lineRule="auto"/>
              <w:ind w:left="492"/>
              <w:rPr>
                <w:rFonts w:hint="eastAsia" w:ascii="宋体" w:hAnsi="宋体" w:eastAsia="宋体" w:cs="宋体"/>
                <w:color w:val="auto"/>
                <w:sz w:val="20"/>
                <w:szCs w:val="20"/>
                <w:highlight w:val="none"/>
              </w:rPr>
            </w:pPr>
            <w:r>
              <w:rPr>
                <w:rFonts w:hint="eastAsia" w:ascii="宋体" w:hAnsi="宋体" w:eastAsia="宋体" w:cs="宋体"/>
                <w:color w:val="auto"/>
                <w:spacing w:val="-2"/>
                <w:sz w:val="20"/>
                <w:szCs w:val="20"/>
                <w:highlight w:val="none"/>
              </w:rPr>
              <w:t>（一）第一个信封（商务及技术文件</w:t>
            </w:r>
            <w:r>
              <w:rPr>
                <w:rFonts w:hint="eastAsia" w:ascii="宋体" w:hAnsi="宋体" w:eastAsia="宋体" w:cs="宋体"/>
                <w:color w:val="auto"/>
                <w:spacing w:val="5"/>
                <w:sz w:val="20"/>
                <w:szCs w:val="20"/>
                <w:highlight w:val="none"/>
              </w:rPr>
              <w:t>）：</w:t>
            </w:r>
          </w:p>
          <w:p w14:paraId="76FE60C7">
            <w:pPr>
              <w:spacing w:before="183" w:line="219" w:lineRule="auto"/>
              <w:ind w:left="495"/>
              <w:rPr>
                <w:rFonts w:hint="eastAsia" w:ascii="宋体" w:hAnsi="宋体" w:eastAsia="宋体" w:cs="宋体"/>
                <w:color w:val="auto"/>
                <w:sz w:val="20"/>
                <w:szCs w:val="20"/>
                <w:highlight w:val="none"/>
              </w:rPr>
            </w:pPr>
            <w:r>
              <w:rPr>
                <w:rFonts w:hint="eastAsia" w:ascii="宋体" w:hAnsi="宋体" w:eastAsia="宋体" w:cs="宋体"/>
                <w:color w:val="auto"/>
                <w:spacing w:val="-1"/>
                <w:sz w:val="20"/>
                <w:szCs w:val="20"/>
                <w:highlight w:val="none"/>
              </w:rPr>
              <w:t>l、初步评审：包括形式评审与响应性评审、资格评审；</w:t>
            </w:r>
          </w:p>
          <w:p w14:paraId="7EBCA8F8">
            <w:pPr>
              <w:spacing w:before="181" w:line="359" w:lineRule="auto"/>
              <w:ind w:firstLine="483"/>
              <w:rPr>
                <w:rFonts w:hint="eastAsia" w:ascii="宋体" w:hAnsi="宋体" w:eastAsia="宋体" w:cs="宋体"/>
                <w:color w:val="auto"/>
                <w:sz w:val="20"/>
                <w:szCs w:val="20"/>
                <w:highlight w:val="none"/>
              </w:rPr>
            </w:pPr>
            <w:r>
              <w:rPr>
                <w:rFonts w:hint="eastAsia" w:ascii="宋体" w:hAnsi="宋体" w:eastAsia="宋体" w:cs="宋体"/>
                <w:color w:val="auto"/>
                <w:spacing w:val="1"/>
                <w:sz w:val="20"/>
                <w:szCs w:val="20"/>
                <w:highlight w:val="none"/>
              </w:rPr>
              <w:t>2、详细评审（评审打分</w:t>
            </w:r>
            <w:r>
              <w:rPr>
                <w:rFonts w:hint="eastAsia" w:ascii="宋体" w:hAnsi="宋体" w:eastAsia="宋体" w:cs="宋体"/>
                <w:color w:val="auto"/>
                <w:spacing w:val="12"/>
                <w:sz w:val="20"/>
                <w:szCs w:val="20"/>
                <w:highlight w:val="none"/>
              </w:rPr>
              <w:t>）：</w:t>
            </w:r>
            <w:r>
              <w:rPr>
                <w:rFonts w:hint="eastAsia" w:ascii="宋体" w:hAnsi="宋体" w:eastAsia="宋体" w:cs="宋体"/>
                <w:color w:val="auto"/>
                <w:spacing w:val="1"/>
                <w:sz w:val="20"/>
                <w:szCs w:val="20"/>
                <w:highlight w:val="none"/>
              </w:rPr>
              <w:t>评标委员会首先对通过初步评审的投标文件第一个信</w:t>
            </w:r>
            <w:r>
              <w:rPr>
                <w:rFonts w:hint="eastAsia" w:ascii="宋体" w:hAnsi="宋体" w:eastAsia="宋体" w:cs="宋体"/>
                <w:color w:val="auto"/>
                <w:spacing w:val="5"/>
                <w:sz w:val="20"/>
                <w:szCs w:val="20"/>
                <w:highlight w:val="none"/>
              </w:rPr>
              <w:t>封（商务及技术文件）进行详细评审，对投标人的监理实施方案、主要人员、</w:t>
            </w:r>
            <w:r>
              <w:rPr>
                <w:rFonts w:hint="eastAsia" w:ascii="宋体" w:hAnsi="宋体" w:eastAsia="宋体" w:cs="宋体"/>
                <w:color w:val="auto"/>
                <w:spacing w:val="4"/>
                <w:sz w:val="20"/>
                <w:szCs w:val="20"/>
                <w:highlight w:val="none"/>
              </w:rPr>
              <w:t>其他因</w:t>
            </w:r>
            <w:r>
              <w:rPr>
                <w:rFonts w:hint="eastAsia" w:ascii="宋体" w:hAnsi="宋体" w:eastAsia="宋体" w:cs="宋体"/>
                <w:color w:val="auto"/>
                <w:spacing w:val="-1"/>
                <w:sz w:val="20"/>
                <w:szCs w:val="20"/>
                <w:highlight w:val="none"/>
              </w:rPr>
              <w:t>素等分别评审打分。</w:t>
            </w:r>
          </w:p>
          <w:p w14:paraId="157D94E4">
            <w:pPr>
              <w:spacing w:before="1" w:line="217" w:lineRule="auto"/>
              <w:ind w:left="492"/>
              <w:rPr>
                <w:rFonts w:hint="eastAsia" w:ascii="宋体" w:hAnsi="宋体" w:eastAsia="宋体" w:cs="宋体"/>
                <w:color w:val="auto"/>
                <w:sz w:val="20"/>
                <w:szCs w:val="20"/>
                <w:highlight w:val="none"/>
              </w:rPr>
            </w:pPr>
            <w:r>
              <w:rPr>
                <w:rFonts w:hint="eastAsia" w:ascii="宋体" w:hAnsi="宋体" w:eastAsia="宋体" w:cs="宋体"/>
                <w:color w:val="auto"/>
                <w:spacing w:val="-2"/>
                <w:sz w:val="20"/>
                <w:szCs w:val="20"/>
                <w:highlight w:val="none"/>
              </w:rPr>
              <w:t>（二）第二个信封（报价文件</w:t>
            </w:r>
            <w:r>
              <w:rPr>
                <w:rFonts w:hint="eastAsia" w:ascii="宋体" w:hAnsi="宋体" w:eastAsia="宋体" w:cs="宋体"/>
                <w:color w:val="auto"/>
                <w:spacing w:val="2"/>
                <w:sz w:val="20"/>
                <w:szCs w:val="20"/>
                <w:highlight w:val="none"/>
              </w:rPr>
              <w:t>）：</w:t>
            </w:r>
          </w:p>
          <w:p w14:paraId="3C7E3FE0">
            <w:pPr>
              <w:spacing w:before="183" w:line="219" w:lineRule="auto"/>
              <w:ind w:left="618"/>
              <w:rPr>
                <w:rFonts w:hint="eastAsia" w:ascii="宋体" w:hAnsi="宋体" w:eastAsia="宋体" w:cs="宋体"/>
                <w:color w:val="auto"/>
                <w:sz w:val="20"/>
                <w:szCs w:val="20"/>
                <w:highlight w:val="none"/>
              </w:rPr>
            </w:pPr>
            <w:r>
              <w:rPr>
                <w:rFonts w:hint="eastAsia" w:ascii="宋体" w:hAnsi="宋体" w:eastAsia="宋体" w:cs="宋体"/>
                <w:color w:val="auto"/>
                <w:spacing w:val="-4"/>
                <w:sz w:val="20"/>
                <w:szCs w:val="20"/>
                <w:highlight w:val="none"/>
              </w:rPr>
              <w:t>1、初步评审：</w:t>
            </w:r>
          </w:p>
          <w:p w14:paraId="760430E8">
            <w:pPr>
              <w:spacing w:before="183" w:line="359" w:lineRule="auto"/>
              <w:ind w:left="2" w:firstLine="489"/>
              <w:rPr>
                <w:rFonts w:hint="eastAsia" w:ascii="宋体" w:hAnsi="宋体" w:eastAsia="宋体" w:cs="宋体"/>
                <w:color w:val="auto"/>
                <w:sz w:val="20"/>
                <w:szCs w:val="20"/>
                <w:highlight w:val="none"/>
              </w:rPr>
            </w:pPr>
            <w:r>
              <w:rPr>
                <w:rFonts w:hint="eastAsia" w:ascii="宋体" w:hAnsi="宋体" w:eastAsia="宋体" w:cs="宋体"/>
                <w:color w:val="auto"/>
                <w:spacing w:val="1"/>
                <w:sz w:val="20"/>
                <w:szCs w:val="20"/>
                <w:highlight w:val="none"/>
              </w:rPr>
              <w:t>（1）只有投标文件第一个信封通过详细评审的投标人才能继续参加第二信封报价</w:t>
            </w:r>
            <w:r>
              <w:rPr>
                <w:rFonts w:hint="eastAsia" w:ascii="宋体" w:hAnsi="宋体" w:eastAsia="宋体" w:cs="宋体"/>
                <w:color w:val="auto"/>
                <w:spacing w:val="-1"/>
                <w:sz w:val="20"/>
                <w:szCs w:val="20"/>
                <w:highlight w:val="none"/>
              </w:rPr>
              <w:t>文件的形式评审与响应性评审；</w:t>
            </w:r>
          </w:p>
          <w:p w14:paraId="407CDA6A">
            <w:pPr>
              <w:spacing w:before="1" w:line="217" w:lineRule="auto"/>
              <w:ind w:left="492"/>
              <w:rPr>
                <w:rFonts w:hint="eastAsia" w:ascii="宋体" w:hAnsi="宋体" w:eastAsia="宋体" w:cs="宋体"/>
                <w:color w:val="auto"/>
                <w:sz w:val="20"/>
                <w:szCs w:val="20"/>
                <w:highlight w:val="none"/>
              </w:rPr>
            </w:pPr>
            <w:r>
              <w:rPr>
                <w:rFonts w:hint="eastAsia" w:ascii="宋体" w:hAnsi="宋体" w:eastAsia="宋体" w:cs="宋体"/>
                <w:color w:val="auto"/>
                <w:spacing w:val="-2"/>
                <w:sz w:val="20"/>
                <w:szCs w:val="20"/>
                <w:highlight w:val="none"/>
              </w:rPr>
              <w:t>（2）报价算术性修正。</w:t>
            </w:r>
          </w:p>
          <w:p w14:paraId="3539756F">
            <w:pPr>
              <w:spacing w:before="182" w:line="218" w:lineRule="auto"/>
              <w:ind w:left="483"/>
              <w:rPr>
                <w:rFonts w:hint="eastAsia" w:ascii="宋体" w:hAnsi="宋体" w:eastAsia="宋体" w:cs="宋体"/>
                <w:color w:val="auto"/>
                <w:sz w:val="20"/>
                <w:szCs w:val="20"/>
                <w:highlight w:val="none"/>
              </w:rPr>
            </w:pPr>
            <w:r>
              <w:rPr>
                <w:rFonts w:hint="eastAsia" w:ascii="宋体" w:hAnsi="宋体" w:eastAsia="宋体" w:cs="宋体"/>
                <w:color w:val="auto"/>
                <w:spacing w:val="-1"/>
                <w:sz w:val="20"/>
                <w:szCs w:val="20"/>
                <w:highlight w:val="none"/>
              </w:rPr>
              <w:t>2、详细评审：计算评标基准价、评标价得分及综合得分：</w:t>
            </w:r>
          </w:p>
          <w:p w14:paraId="2FBFEF96">
            <w:pPr>
              <w:spacing w:before="185" w:line="219" w:lineRule="auto"/>
              <w:ind w:left="492"/>
              <w:rPr>
                <w:rFonts w:hint="eastAsia" w:ascii="宋体" w:hAnsi="宋体" w:eastAsia="宋体" w:cs="宋体"/>
                <w:color w:val="auto"/>
                <w:sz w:val="20"/>
                <w:szCs w:val="20"/>
                <w:highlight w:val="none"/>
              </w:rPr>
            </w:pPr>
            <w:r>
              <w:rPr>
                <w:rFonts w:hint="eastAsia" w:ascii="宋体" w:hAnsi="宋体" w:eastAsia="宋体" w:cs="宋体"/>
                <w:color w:val="auto"/>
                <w:spacing w:val="-2"/>
                <w:sz w:val="20"/>
                <w:szCs w:val="20"/>
                <w:highlight w:val="none"/>
              </w:rPr>
              <w:t>（三）投标文件相关信息的核查。</w:t>
            </w:r>
          </w:p>
          <w:p w14:paraId="751E9D70">
            <w:pPr>
              <w:spacing w:before="184" w:line="219" w:lineRule="auto"/>
              <w:ind w:left="523"/>
              <w:rPr>
                <w:rFonts w:hint="eastAsia" w:ascii="宋体" w:hAnsi="宋体" w:eastAsia="宋体" w:cs="宋体"/>
                <w:color w:val="auto"/>
                <w:sz w:val="20"/>
                <w:szCs w:val="20"/>
                <w:highlight w:val="none"/>
              </w:rPr>
            </w:pPr>
            <w:r>
              <w:rPr>
                <w:rFonts w:hint="eastAsia" w:ascii="宋体" w:hAnsi="宋体" w:eastAsia="宋体" w:cs="宋体"/>
                <w:color w:val="auto"/>
                <w:spacing w:val="-3"/>
                <w:sz w:val="20"/>
                <w:szCs w:val="20"/>
                <w:highlight w:val="none"/>
                <w:lang w:eastAsia="zh-CN"/>
              </w:rPr>
              <w:t>（</w:t>
            </w:r>
            <w:r>
              <w:rPr>
                <w:rFonts w:hint="eastAsia" w:ascii="宋体" w:hAnsi="宋体" w:eastAsia="宋体" w:cs="宋体"/>
                <w:color w:val="auto"/>
                <w:spacing w:val="-3"/>
                <w:sz w:val="20"/>
                <w:szCs w:val="20"/>
                <w:highlight w:val="none"/>
              </w:rPr>
              <w:t>四</w:t>
            </w:r>
            <w:r>
              <w:rPr>
                <w:rFonts w:hint="eastAsia" w:ascii="宋体" w:hAnsi="宋体" w:eastAsia="宋体" w:cs="宋体"/>
                <w:color w:val="auto"/>
                <w:spacing w:val="-3"/>
                <w:sz w:val="20"/>
                <w:szCs w:val="20"/>
                <w:highlight w:val="none"/>
                <w:lang w:eastAsia="zh-CN"/>
              </w:rPr>
              <w:t>）</w:t>
            </w:r>
            <w:r>
              <w:rPr>
                <w:rFonts w:hint="eastAsia" w:ascii="宋体" w:hAnsi="宋体" w:eastAsia="宋体" w:cs="宋体"/>
                <w:color w:val="auto"/>
                <w:spacing w:val="-3"/>
                <w:sz w:val="20"/>
                <w:szCs w:val="20"/>
                <w:highlight w:val="none"/>
              </w:rPr>
              <w:t>投标文件的澄清和说明(如有)。</w:t>
            </w:r>
          </w:p>
          <w:p w14:paraId="6DEC5FB4">
            <w:pPr>
              <w:spacing w:before="180" w:line="218" w:lineRule="auto"/>
              <w:ind w:left="492"/>
              <w:rPr>
                <w:color w:val="auto"/>
                <w:spacing w:val="11"/>
                <w:highlight w:val="none"/>
              </w:rPr>
            </w:pPr>
            <w:r>
              <w:rPr>
                <w:rFonts w:hint="eastAsia" w:ascii="宋体" w:hAnsi="宋体" w:eastAsia="宋体" w:cs="宋体"/>
                <w:color w:val="auto"/>
                <w:spacing w:val="-1"/>
                <w:sz w:val="20"/>
                <w:szCs w:val="20"/>
                <w:highlight w:val="none"/>
              </w:rPr>
              <w:t>（五</w:t>
            </w:r>
            <w:r>
              <w:rPr>
                <w:rFonts w:hint="eastAsia" w:ascii="宋体" w:hAnsi="宋体" w:eastAsia="宋体" w:cs="宋体"/>
                <w:color w:val="auto"/>
                <w:spacing w:val="-1"/>
                <w:sz w:val="20"/>
                <w:szCs w:val="20"/>
                <w:highlight w:val="none"/>
                <w:lang w:eastAsia="zh-CN"/>
              </w:rPr>
              <w:t>）</w:t>
            </w:r>
            <w:r>
              <w:rPr>
                <w:rFonts w:hint="eastAsia" w:ascii="宋体" w:hAnsi="宋体" w:eastAsia="宋体" w:cs="宋体"/>
                <w:color w:val="auto"/>
                <w:spacing w:val="-1"/>
                <w:sz w:val="20"/>
                <w:szCs w:val="20"/>
                <w:highlight w:val="none"/>
              </w:rPr>
              <w:t>按评标办法规定推荐</w:t>
            </w:r>
            <w:r>
              <w:rPr>
                <w:rFonts w:hint="eastAsia" w:ascii="宋体" w:hAnsi="宋体" w:eastAsia="宋体" w:cs="宋体"/>
                <w:color w:val="auto"/>
                <w:spacing w:val="-1"/>
                <w:sz w:val="20"/>
                <w:szCs w:val="20"/>
                <w:highlight w:val="none"/>
                <w:lang w:eastAsia="zh-CN"/>
              </w:rPr>
              <w:t>定</w:t>
            </w:r>
            <w:r>
              <w:rPr>
                <w:rFonts w:hint="eastAsia" w:ascii="宋体" w:hAnsi="宋体" w:eastAsia="宋体" w:cs="宋体"/>
                <w:color w:val="auto"/>
                <w:spacing w:val="-1"/>
                <w:sz w:val="20"/>
                <w:szCs w:val="20"/>
                <w:highlight w:val="none"/>
              </w:rPr>
              <w:t>标候选人，编写评标报告。</w:t>
            </w:r>
          </w:p>
        </w:tc>
      </w:tr>
      <w:tr w14:paraId="73F63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0" w:hRule="atLeast"/>
        </w:trPr>
        <w:tc>
          <w:tcPr>
            <w:tcW w:w="1237" w:type="dxa"/>
            <w:gridSpan w:val="3"/>
            <w:vAlign w:val="center"/>
          </w:tcPr>
          <w:p w14:paraId="40DE4E35">
            <w:pPr>
              <w:pStyle w:val="20"/>
              <w:spacing w:before="65" w:line="285" w:lineRule="exact"/>
              <w:ind w:left="419"/>
              <w:jc w:val="both"/>
              <w:rPr>
                <w:color w:val="auto"/>
                <w:sz w:val="10"/>
                <w:szCs w:val="10"/>
                <w:highlight w:val="none"/>
              </w:rPr>
            </w:pPr>
            <w:r>
              <w:rPr>
                <w:color w:val="auto"/>
                <w:spacing w:val="2"/>
                <w:position w:val="-1"/>
                <w:highlight w:val="none"/>
              </w:rPr>
              <w:t>3.9</w:t>
            </w:r>
          </w:p>
        </w:tc>
        <w:tc>
          <w:tcPr>
            <w:tcW w:w="8049" w:type="dxa"/>
            <w:gridSpan w:val="11"/>
            <w:vAlign w:val="top"/>
          </w:tcPr>
          <w:p w14:paraId="1345C770">
            <w:pPr>
              <w:pStyle w:val="5"/>
              <w:bidi w:val="0"/>
              <w:rPr>
                <w:color w:val="auto"/>
                <w:highlight w:val="none"/>
              </w:rPr>
            </w:pPr>
            <w:r>
              <w:rPr>
                <w:rFonts w:hint="eastAsia" w:ascii="宋体" w:hAnsi="宋体" w:eastAsia="宋体" w:cs="宋体"/>
                <w:color w:val="auto"/>
                <w:sz w:val="21"/>
                <w:szCs w:val="21"/>
                <w:highlight w:val="none"/>
                <w:lang w:val="zh-CN" w:bidi="zh-CN"/>
              </w:rPr>
              <w:t>评标办法正文第</w:t>
            </w:r>
            <w:r>
              <w:rPr>
                <w:rFonts w:hint="eastAsia" w:ascii="宋体" w:hAnsi="宋体" w:eastAsia="宋体" w:cs="宋体"/>
                <w:color w:val="auto"/>
                <w:sz w:val="21"/>
                <w:szCs w:val="21"/>
                <w:highlight w:val="none"/>
                <w:lang w:val="en-US" w:bidi="zh-CN"/>
              </w:rPr>
              <w:t>3.9</w:t>
            </w:r>
            <w:r>
              <w:rPr>
                <w:rFonts w:hint="eastAsia" w:ascii="宋体" w:hAnsi="宋体" w:eastAsia="宋体" w:cs="宋体"/>
                <w:color w:val="auto"/>
                <w:sz w:val="21"/>
                <w:szCs w:val="21"/>
                <w:highlight w:val="none"/>
                <w:lang w:val="zh-CN" w:bidi="zh-CN"/>
              </w:rPr>
              <w:t>款项修改如下：</w:t>
            </w:r>
          </w:p>
          <w:p w14:paraId="0EC2DAD9">
            <w:pPr>
              <w:pStyle w:val="5"/>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0"/>
                <w:szCs w:val="16"/>
                <w:highlight w:val="none"/>
              </w:rPr>
            </w:pPr>
            <w:r>
              <w:rPr>
                <w:rFonts w:hint="eastAsia" w:ascii="宋体" w:hAnsi="宋体" w:eastAsia="宋体" w:cs="宋体"/>
                <w:color w:val="auto"/>
                <w:sz w:val="20"/>
                <w:szCs w:val="16"/>
                <w:highlight w:val="none"/>
              </w:rPr>
              <w:t>3.9 评标结果</w:t>
            </w:r>
          </w:p>
          <w:p w14:paraId="4B9E999F">
            <w:pPr>
              <w:pStyle w:val="7"/>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16" w:firstLineChars="200"/>
              <w:jc w:val="both"/>
              <w:textAlignment w:val="baseline"/>
              <w:outlineLvl w:val="9"/>
              <w:rPr>
                <w:rFonts w:hint="eastAsia" w:ascii="宋体" w:hAnsi="宋体" w:eastAsia="宋体" w:cs="宋体"/>
                <w:color w:val="auto"/>
                <w:spacing w:val="5"/>
                <w:sz w:val="20"/>
                <w:szCs w:val="20"/>
                <w:highlight w:val="none"/>
                <w:lang w:eastAsia="zh-CN"/>
              </w:rPr>
            </w:pPr>
            <w:r>
              <w:rPr>
                <w:rFonts w:hint="eastAsia" w:ascii="宋体" w:hAnsi="宋体" w:eastAsia="宋体" w:cs="宋体"/>
                <w:color w:val="auto"/>
                <w:spacing w:val="4"/>
                <w:sz w:val="20"/>
                <w:szCs w:val="20"/>
                <w:highlight w:val="none"/>
              </w:rPr>
              <w:t>3.9.1 除第二章“投标人须知 ”前附表授权直接确定中标人外，评标委员会</w:t>
            </w:r>
            <w:r>
              <w:rPr>
                <w:rFonts w:hint="eastAsia" w:ascii="宋体" w:hAnsi="宋体" w:eastAsia="宋体" w:cs="宋体"/>
                <w:color w:val="auto"/>
                <w:spacing w:val="5"/>
                <w:sz w:val="20"/>
                <w:szCs w:val="20"/>
                <w:highlight w:val="none"/>
                <w:lang w:eastAsia="zh-CN"/>
              </w:rPr>
              <w:t>将得分前5名的投标人以不排序的方式作为定标候选人推荐给定标委员会，</w:t>
            </w:r>
            <w:r>
              <w:rPr>
                <w:rFonts w:hint="eastAsia" w:ascii="宋体" w:hAnsi="宋体" w:eastAsia="宋体" w:cs="宋体"/>
                <w:color w:val="auto"/>
                <w:spacing w:val="5"/>
                <w:sz w:val="20"/>
                <w:szCs w:val="20"/>
                <w:highlight w:val="none"/>
              </w:rPr>
              <w:t>但投标报价低于其成本的除外</w:t>
            </w:r>
            <w:r>
              <w:rPr>
                <w:rFonts w:hint="eastAsia" w:ascii="宋体" w:hAnsi="宋体" w:eastAsia="宋体" w:cs="宋体"/>
                <w:color w:val="auto"/>
                <w:spacing w:val="5"/>
                <w:sz w:val="20"/>
                <w:szCs w:val="20"/>
                <w:highlight w:val="none"/>
                <w:lang w:eastAsia="zh-CN"/>
              </w:rPr>
              <w:t>；</w:t>
            </w:r>
            <w:r>
              <w:rPr>
                <w:rFonts w:hint="eastAsia" w:ascii="宋体" w:hAnsi="宋体" w:eastAsia="宋体" w:cs="宋体"/>
                <w:color w:val="auto"/>
                <w:spacing w:val="5"/>
                <w:sz w:val="20"/>
                <w:szCs w:val="20"/>
                <w:highlight w:val="none"/>
              </w:rPr>
              <w:t>综合评分相等时，评标委员会</w:t>
            </w:r>
            <w:r>
              <w:rPr>
                <w:rFonts w:hint="eastAsia" w:ascii="宋体" w:hAnsi="宋体" w:eastAsia="宋体" w:cs="宋体"/>
                <w:color w:val="auto"/>
                <w:spacing w:val="4"/>
                <w:sz w:val="20"/>
                <w:szCs w:val="20"/>
                <w:highlight w:val="none"/>
              </w:rPr>
              <w:t>应按照评标</w:t>
            </w:r>
            <w:r>
              <w:rPr>
                <w:rFonts w:hint="eastAsia" w:ascii="宋体" w:hAnsi="宋体" w:eastAsia="宋体" w:cs="宋体"/>
                <w:color w:val="auto"/>
                <w:spacing w:val="-1"/>
                <w:sz w:val="20"/>
                <w:szCs w:val="20"/>
                <w:highlight w:val="none"/>
              </w:rPr>
              <w:t>办法前附表规定的优先次序推荐</w:t>
            </w:r>
            <w:r>
              <w:rPr>
                <w:rFonts w:hint="eastAsia" w:ascii="宋体" w:hAnsi="宋体" w:eastAsia="宋体" w:cs="宋体"/>
                <w:color w:val="auto"/>
                <w:spacing w:val="-1"/>
                <w:sz w:val="20"/>
                <w:szCs w:val="20"/>
                <w:highlight w:val="none"/>
                <w:lang w:eastAsia="zh-CN"/>
              </w:rPr>
              <w:t>定</w:t>
            </w:r>
            <w:r>
              <w:rPr>
                <w:rFonts w:hint="eastAsia" w:ascii="宋体" w:hAnsi="宋体" w:eastAsia="宋体" w:cs="宋体"/>
                <w:color w:val="auto"/>
                <w:spacing w:val="-1"/>
                <w:sz w:val="20"/>
                <w:szCs w:val="20"/>
                <w:highlight w:val="none"/>
              </w:rPr>
              <w:t>标候选人</w:t>
            </w:r>
            <w:r>
              <w:rPr>
                <w:rFonts w:hint="eastAsia" w:ascii="宋体" w:hAnsi="宋体" w:eastAsia="宋体" w:cs="宋体"/>
                <w:color w:val="auto"/>
                <w:spacing w:val="-1"/>
                <w:sz w:val="20"/>
                <w:szCs w:val="20"/>
                <w:highlight w:val="none"/>
                <w:lang w:eastAsia="zh-CN"/>
              </w:rPr>
              <w:t>，</w:t>
            </w:r>
            <w:r>
              <w:rPr>
                <w:rFonts w:hint="eastAsia" w:ascii="宋体" w:hAnsi="宋体" w:eastAsia="宋体" w:cs="宋体"/>
                <w:color w:val="auto"/>
                <w:spacing w:val="5"/>
                <w:sz w:val="20"/>
                <w:szCs w:val="20"/>
                <w:highlight w:val="none"/>
                <w:lang w:eastAsia="zh-CN"/>
              </w:rPr>
              <w:t>推荐名单可以</w:t>
            </w:r>
            <w:r>
              <w:rPr>
                <w:rFonts w:hint="eastAsia" w:ascii="宋体" w:hAnsi="宋体" w:eastAsia="宋体" w:cs="宋体"/>
                <w:color w:val="auto"/>
                <w:spacing w:val="5"/>
                <w:sz w:val="20"/>
                <w:szCs w:val="20"/>
                <w:highlight w:val="none"/>
              </w:rPr>
              <w:t>按企业统一社会信用代码后</w:t>
            </w:r>
            <w:r>
              <w:rPr>
                <w:rFonts w:hint="eastAsia" w:ascii="宋体" w:hAnsi="宋体" w:eastAsia="宋体" w:cs="宋体"/>
                <w:color w:val="auto"/>
                <w:spacing w:val="5"/>
                <w:sz w:val="20"/>
                <w:szCs w:val="20"/>
                <w:highlight w:val="none"/>
                <w:lang w:val="en-US" w:eastAsia="zh-CN"/>
              </w:rPr>
              <w:t>4</w:t>
            </w:r>
            <w:r>
              <w:rPr>
                <w:rFonts w:hint="eastAsia" w:ascii="宋体" w:hAnsi="宋体" w:eastAsia="宋体" w:cs="宋体"/>
                <w:color w:val="auto"/>
                <w:spacing w:val="5"/>
                <w:sz w:val="20"/>
                <w:szCs w:val="20"/>
                <w:highlight w:val="none"/>
              </w:rPr>
              <w:t>位大小排位</w:t>
            </w:r>
            <w:r>
              <w:rPr>
                <w:rFonts w:hint="eastAsia" w:ascii="宋体" w:hAnsi="宋体" w:eastAsia="宋体" w:cs="宋体"/>
                <w:color w:val="auto"/>
                <w:spacing w:val="5"/>
                <w:sz w:val="20"/>
                <w:szCs w:val="20"/>
                <w:highlight w:val="none"/>
                <w:lang w:eastAsia="zh-CN"/>
              </w:rPr>
              <w:t>（</w:t>
            </w:r>
            <w:r>
              <w:rPr>
                <w:rFonts w:hint="eastAsia" w:ascii="宋体" w:hAnsi="宋体" w:eastAsia="宋体" w:cs="宋体"/>
                <w:color w:val="auto"/>
                <w:spacing w:val="5"/>
                <w:sz w:val="20"/>
                <w:szCs w:val="20"/>
                <w:highlight w:val="none"/>
                <w:lang w:val="en-US" w:eastAsia="zh-CN"/>
              </w:rPr>
              <w:t>如统一社会信用代码后4位出现字母情况的，字母以“0”进行代替大小排位，如出现后4位大小一致的，则随机排位）</w:t>
            </w:r>
            <w:r>
              <w:rPr>
                <w:rFonts w:hint="eastAsia" w:ascii="宋体" w:hAnsi="宋体" w:eastAsia="宋体" w:cs="宋体"/>
                <w:color w:val="auto"/>
                <w:spacing w:val="5"/>
                <w:sz w:val="20"/>
                <w:szCs w:val="20"/>
                <w:highlight w:val="none"/>
                <w:lang w:eastAsia="zh-CN"/>
              </w:rPr>
              <w:t>；当有效投标人数量不足5名但满足法定要求时，所有通过评审的有效投标人均应作为定标候选人。定标候选人得分只作为评标委员会的推荐依据，不作为定标委员会确定中标人的依据。</w:t>
            </w:r>
          </w:p>
          <w:p w14:paraId="15855EEA">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lang w:eastAsia="zh-CN"/>
              </w:rPr>
            </w:pPr>
            <w:r>
              <w:rPr>
                <w:rFonts w:hint="eastAsia" w:ascii="宋体" w:hAnsi="宋体" w:eastAsia="宋体" w:cs="宋体"/>
                <w:color w:val="auto"/>
                <w:spacing w:val="4"/>
                <w:sz w:val="20"/>
                <w:szCs w:val="20"/>
                <w:highlight w:val="none"/>
              </w:rPr>
              <w:t>3.9.2 评标委员会完成评标后，应向招标人提交评标报告。</w:t>
            </w:r>
            <w:r>
              <w:rPr>
                <w:rFonts w:hint="eastAsia" w:ascii="宋体" w:hAnsi="宋体" w:eastAsia="宋体" w:cs="宋体"/>
                <w:color w:val="auto"/>
                <w:spacing w:val="4"/>
                <w:sz w:val="20"/>
                <w:szCs w:val="20"/>
                <w:highlight w:val="none"/>
                <w:lang w:val="en-US" w:eastAsia="zh-CN"/>
              </w:rPr>
              <w:t>评标报告</w:t>
            </w:r>
            <w:r>
              <w:rPr>
                <w:rFonts w:hint="eastAsia" w:ascii="宋体" w:hAnsi="宋体" w:eastAsia="宋体" w:cs="宋体"/>
                <w:color w:val="auto"/>
                <w:spacing w:val="4"/>
                <w:sz w:val="20"/>
                <w:szCs w:val="20"/>
                <w:highlight w:val="none"/>
                <w:lang w:eastAsia="zh-CN"/>
              </w:rPr>
              <w:t>应</w:t>
            </w:r>
            <w:r>
              <w:rPr>
                <w:rFonts w:hint="eastAsia" w:ascii="宋体" w:hAnsi="宋体" w:eastAsia="宋体" w:cs="宋体"/>
                <w:color w:val="auto"/>
                <w:spacing w:val="4"/>
                <w:sz w:val="20"/>
                <w:szCs w:val="20"/>
                <w:highlight w:val="none"/>
              </w:rPr>
              <w:t>针对每一位定标候选人逐一单独说明其评审优势、潜在风险及相关评审情况</w:t>
            </w:r>
            <w:r>
              <w:rPr>
                <w:rFonts w:hint="eastAsia" w:ascii="宋体" w:hAnsi="宋体" w:eastAsia="宋体" w:cs="宋体"/>
                <w:color w:val="auto"/>
                <w:spacing w:val="4"/>
                <w:sz w:val="20"/>
                <w:szCs w:val="20"/>
                <w:highlight w:val="none"/>
                <w:lang w:eastAsia="zh-CN"/>
              </w:rPr>
              <w:t>。</w:t>
            </w:r>
          </w:p>
          <w:p w14:paraId="44EF20CE">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3.9.3 通过第一个信封商务和技术文件评审的投标人少于3个的，评标委员会可以否决全部投标；未否决全部投标的，评标委员会应当在评标报告中阐明理由，招标人应当按照招标文件规定的程序进行第二个信封报价开标，但评标委员会在进行报价评审时仍有权否决全部投标；评标委员会未在报价文件评审时否决全部投标的，应当在评标报告中阐明理由并推荐</w:t>
            </w:r>
            <w:r>
              <w:rPr>
                <w:rFonts w:hint="eastAsia" w:ascii="宋体" w:hAnsi="宋体" w:eastAsia="宋体" w:cs="宋体"/>
                <w:color w:val="auto"/>
                <w:spacing w:val="4"/>
                <w:sz w:val="20"/>
                <w:szCs w:val="20"/>
                <w:highlight w:val="none"/>
                <w:lang w:val="en-US" w:eastAsia="zh-CN"/>
              </w:rPr>
              <w:t>定</w:t>
            </w:r>
            <w:r>
              <w:rPr>
                <w:rFonts w:hint="eastAsia" w:ascii="宋体" w:hAnsi="宋体" w:eastAsia="宋体" w:cs="宋体"/>
                <w:color w:val="auto"/>
                <w:spacing w:val="4"/>
                <w:sz w:val="20"/>
                <w:szCs w:val="20"/>
                <w:highlight w:val="none"/>
              </w:rPr>
              <w:t>标候选人。</w:t>
            </w:r>
          </w:p>
          <w:p w14:paraId="05C843EE">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3.9.4 通过第一个信封商务和技术文件评审的投标人在3个及以上的，招标人应当按照招标文件规定的程序进行第二个信封报价文件开标；在对报价文件进行评审后，有效投标不足3个的，评标委员会可以否决全部投标。未否决全部投标的，评标委员会应当在评标报告中阐明理由并推荐</w:t>
            </w:r>
            <w:r>
              <w:rPr>
                <w:rFonts w:hint="eastAsia" w:ascii="宋体" w:hAnsi="宋体" w:eastAsia="宋体" w:cs="宋体"/>
                <w:color w:val="auto"/>
                <w:spacing w:val="4"/>
                <w:sz w:val="20"/>
                <w:szCs w:val="20"/>
                <w:highlight w:val="none"/>
                <w:lang w:val="en-US" w:eastAsia="zh-CN"/>
              </w:rPr>
              <w:t>定</w:t>
            </w:r>
            <w:r>
              <w:rPr>
                <w:rFonts w:hint="eastAsia" w:ascii="宋体" w:hAnsi="宋体" w:eastAsia="宋体" w:cs="宋体"/>
                <w:color w:val="auto"/>
                <w:spacing w:val="4"/>
                <w:sz w:val="20"/>
                <w:szCs w:val="20"/>
                <w:highlight w:val="none"/>
              </w:rPr>
              <w:t>标候选人。</w:t>
            </w:r>
          </w:p>
          <w:p w14:paraId="33A9E632">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3.9.5 如果发生无法确定推荐</w:t>
            </w:r>
            <w:r>
              <w:rPr>
                <w:rFonts w:hint="eastAsia" w:ascii="宋体" w:hAnsi="宋体" w:eastAsia="宋体" w:cs="宋体"/>
                <w:color w:val="auto"/>
                <w:spacing w:val="4"/>
                <w:sz w:val="20"/>
                <w:szCs w:val="20"/>
                <w:highlight w:val="none"/>
                <w:lang w:val="en-US" w:eastAsia="zh-CN"/>
              </w:rPr>
              <w:t>定</w:t>
            </w:r>
            <w:r>
              <w:rPr>
                <w:rFonts w:hint="eastAsia" w:ascii="宋体" w:hAnsi="宋体" w:eastAsia="宋体" w:cs="宋体"/>
                <w:color w:val="auto"/>
                <w:spacing w:val="4"/>
                <w:sz w:val="20"/>
                <w:szCs w:val="20"/>
                <w:highlight w:val="none"/>
              </w:rPr>
              <w:t>标候选人的其他意外情况，评标委员会可建议招标人重新招标。</w:t>
            </w:r>
          </w:p>
          <w:p w14:paraId="341B94CD">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3.9.6 本招标文件规定的否决投标条款包含在以下条款：</w:t>
            </w:r>
          </w:p>
          <w:p w14:paraId="45D64648">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（1）投标人须知前附表后附录资格审查条件；</w:t>
            </w:r>
          </w:p>
          <w:p w14:paraId="31AEC5CD">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（2）投标人须知 1.4.3 项、1.4.4 项、1.4.5 项、1.12.2 项、3.4.2 项、3.5 项、 3.6.1 项；</w:t>
            </w:r>
          </w:p>
          <w:p w14:paraId="55DF5257">
            <w:pPr>
              <w:pageBreakBefore w:val="0"/>
              <w:widowControl/>
              <w:kinsoku w:val="0"/>
              <w:wordWrap/>
              <w:overflowPunct/>
              <w:topLinePunct w:val="0"/>
              <w:autoSpaceDE w:val="0"/>
              <w:autoSpaceDN w:val="0"/>
              <w:bidi w:val="0"/>
              <w:adjustRightInd w:val="0"/>
              <w:snapToGrid w:val="0"/>
              <w:spacing w:before="50" w:line="360" w:lineRule="auto"/>
              <w:ind w:left="1" w:right="8" w:firstLine="483"/>
              <w:textAlignment w:val="baseline"/>
              <w:rPr>
                <w:color w:val="auto"/>
                <w:highlight w:val="none"/>
              </w:rPr>
            </w:pPr>
            <w:r>
              <w:rPr>
                <w:rFonts w:hint="eastAsia" w:ascii="宋体" w:hAnsi="宋体" w:eastAsia="宋体" w:cs="宋体"/>
                <w:color w:val="auto"/>
                <w:spacing w:val="4"/>
                <w:sz w:val="20"/>
                <w:szCs w:val="20"/>
                <w:highlight w:val="none"/>
              </w:rPr>
              <w:t>（3）本评标办法的否决条款。</w:t>
            </w:r>
          </w:p>
        </w:tc>
      </w:tr>
    </w:tbl>
    <w:p w14:paraId="5B669AF8">
      <w:pPr>
        <w:spacing w:line="244" w:lineRule="auto"/>
        <w:rPr>
          <w:rFonts w:ascii="Arial"/>
          <w:color w:val="auto"/>
          <w:sz w:val="21"/>
          <w:highlight w:val="none"/>
        </w:rPr>
      </w:pPr>
    </w:p>
    <w:p w14:paraId="04D71A3D">
      <w:pPr>
        <w:rPr>
          <w:rFonts w:ascii="Arial"/>
          <w:color w:val="auto"/>
          <w:sz w:val="21"/>
          <w:highlight w:val="none"/>
        </w:rPr>
      </w:pPr>
    </w:p>
    <w:p w14:paraId="2F94D48B">
      <w:pPr>
        <w:rPr>
          <w:rFonts w:ascii="Arial"/>
          <w:color w:val="auto"/>
          <w:sz w:val="21"/>
          <w:highlight w:val="none"/>
        </w:rPr>
      </w:pPr>
    </w:p>
    <w:p w14:paraId="243EEC5B">
      <w:pPr>
        <w:rPr>
          <w:rFonts w:ascii="Arial"/>
          <w:color w:val="auto"/>
          <w:sz w:val="21"/>
          <w:highlight w:val="none"/>
        </w:rPr>
      </w:pPr>
    </w:p>
    <w:p w14:paraId="39296E35">
      <w:pPr>
        <w:rPr>
          <w:rFonts w:ascii="Arial"/>
          <w:color w:val="auto"/>
          <w:sz w:val="21"/>
          <w:highlight w:val="none"/>
        </w:rPr>
      </w:pPr>
    </w:p>
    <w:p w14:paraId="7A9BA225">
      <w:pPr>
        <w:rPr>
          <w:rFonts w:ascii="Arial"/>
          <w:color w:val="auto"/>
          <w:sz w:val="21"/>
          <w:highlight w:val="none"/>
        </w:rPr>
      </w:pPr>
    </w:p>
    <w:p w14:paraId="42C5C5A6">
      <w:pPr>
        <w:rPr>
          <w:rFonts w:ascii="Arial"/>
          <w:color w:val="auto"/>
          <w:sz w:val="21"/>
          <w:highlight w:val="none"/>
        </w:rPr>
      </w:pPr>
    </w:p>
    <w:p w14:paraId="1F338DCE">
      <w:pPr>
        <w:rPr>
          <w:rFonts w:ascii="Arial"/>
          <w:color w:val="auto"/>
          <w:sz w:val="21"/>
          <w:highlight w:val="none"/>
        </w:rPr>
      </w:pPr>
    </w:p>
    <w:p w14:paraId="1C1DA7D1">
      <w:pPr>
        <w:rPr>
          <w:rFonts w:ascii="Arial"/>
          <w:color w:val="auto"/>
          <w:sz w:val="21"/>
          <w:highlight w:val="none"/>
        </w:rPr>
      </w:pPr>
    </w:p>
    <w:p w14:paraId="3D25835C">
      <w:pPr>
        <w:rPr>
          <w:rFonts w:ascii="Arial"/>
          <w:color w:val="auto"/>
          <w:sz w:val="21"/>
          <w:highlight w:val="none"/>
        </w:rPr>
      </w:pPr>
    </w:p>
    <w:p w14:paraId="3E46A148">
      <w:pPr>
        <w:rPr>
          <w:rFonts w:ascii="Arial"/>
          <w:color w:val="auto"/>
          <w:sz w:val="21"/>
          <w:highlight w:val="none"/>
        </w:rPr>
      </w:pPr>
    </w:p>
    <w:p w14:paraId="672325BE">
      <w:pPr>
        <w:rPr>
          <w:rFonts w:ascii="Arial"/>
          <w:color w:val="auto"/>
          <w:sz w:val="21"/>
          <w:highlight w:val="none"/>
        </w:rPr>
      </w:pPr>
    </w:p>
    <w:p w14:paraId="3FEAD79C">
      <w:pPr>
        <w:rPr>
          <w:rFonts w:ascii="Arial"/>
          <w:color w:val="auto"/>
          <w:sz w:val="21"/>
          <w:highlight w:val="none"/>
        </w:rPr>
      </w:pPr>
    </w:p>
    <w:p w14:paraId="71BFBB18">
      <w:pPr>
        <w:rPr>
          <w:rFonts w:ascii="Arial"/>
          <w:color w:val="auto"/>
          <w:sz w:val="21"/>
          <w:highlight w:val="none"/>
        </w:rPr>
      </w:pPr>
    </w:p>
    <w:p w14:paraId="6860EE9A">
      <w:pPr>
        <w:rPr>
          <w:rFonts w:ascii="Arial"/>
          <w:color w:val="auto"/>
          <w:sz w:val="21"/>
          <w:highlight w:val="none"/>
        </w:rPr>
      </w:pPr>
    </w:p>
    <w:p w14:paraId="6E4106DB">
      <w:pPr>
        <w:rPr>
          <w:rFonts w:ascii="Arial"/>
          <w:color w:val="auto"/>
          <w:sz w:val="21"/>
          <w:highlight w:val="none"/>
        </w:rPr>
      </w:pPr>
    </w:p>
    <w:p w14:paraId="4E015972">
      <w:pPr>
        <w:rPr>
          <w:rFonts w:ascii="Arial"/>
          <w:color w:val="auto"/>
          <w:sz w:val="21"/>
          <w:highlight w:val="none"/>
        </w:rPr>
      </w:pPr>
    </w:p>
    <w:p w14:paraId="5188330D">
      <w:pPr>
        <w:rPr>
          <w:rFonts w:ascii="Arial"/>
          <w:color w:val="auto"/>
          <w:sz w:val="21"/>
          <w:highlight w:val="none"/>
        </w:rPr>
      </w:pPr>
    </w:p>
    <w:p w14:paraId="2B780835">
      <w:pPr>
        <w:rPr>
          <w:rFonts w:ascii="Arial"/>
          <w:color w:val="auto"/>
          <w:sz w:val="21"/>
          <w:highlight w:val="none"/>
        </w:rPr>
      </w:pPr>
    </w:p>
    <w:p w14:paraId="6C6F8312">
      <w:pPr>
        <w:rPr>
          <w:rFonts w:ascii="Arial"/>
          <w:color w:val="auto"/>
          <w:sz w:val="21"/>
          <w:highlight w:val="none"/>
        </w:rPr>
      </w:pPr>
    </w:p>
    <w:p w14:paraId="0A750096">
      <w:pPr>
        <w:rPr>
          <w:rFonts w:ascii="Arial"/>
          <w:color w:val="auto"/>
          <w:sz w:val="21"/>
          <w:highlight w:val="none"/>
        </w:rPr>
      </w:pPr>
    </w:p>
    <w:p w14:paraId="79AB2F29">
      <w:pPr>
        <w:rPr>
          <w:rFonts w:ascii="Arial"/>
          <w:color w:val="auto"/>
          <w:sz w:val="21"/>
          <w:highlight w:val="none"/>
        </w:rPr>
      </w:pPr>
    </w:p>
    <w:p w14:paraId="0746B445">
      <w:pPr>
        <w:rPr>
          <w:rFonts w:ascii="Arial"/>
          <w:color w:val="auto"/>
          <w:sz w:val="21"/>
          <w:highlight w:val="none"/>
        </w:rPr>
      </w:pPr>
    </w:p>
    <w:p w14:paraId="1D1D851B">
      <w:pPr>
        <w:bidi w:val="0"/>
        <w:rPr>
          <w:color w:val="auto"/>
          <w:highlight w:val="none"/>
        </w:rPr>
      </w:pPr>
    </w:p>
    <w:p w14:paraId="550CA495">
      <w:pPr>
        <w:bidi w:val="0"/>
        <w:rPr>
          <w:color w:val="auto"/>
          <w:highlight w:val="none"/>
        </w:rPr>
      </w:pPr>
    </w:p>
    <w:p w14:paraId="4B64B112">
      <w:pPr>
        <w:bidi w:val="0"/>
        <w:rPr>
          <w:color w:val="auto"/>
          <w:highlight w:val="none"/>
        </w:rPr>
      </w:pPr>
    </w:p>
    <w:p w14:paraId="35D52147">
      <w:pPr>
        <w:bidi w:val="0"/>
        <w:rPr>
          <w:color w:val="auto"/>
          <w:highlight w:val="none"/>
        </w:rPr>
      </w:pPr>
    </w:p>
    <w:p w14:paraId="14D601AB">
      <w:pPr>
        <w:bidi w:val="0"/>
        <w:rPr>
          <w:color w:val="auto"/>
          <w:highlight w:val="none"/>
        </w:rPr>
      </w:pPr>
    </w:p>
    <w:p w14:paraId="7F99A8DF">
      <w:pPr>
        <w:bidi w:val="0"/>
        <w:rPr>
          <w:color w:val="auto"/>
          <w:highlight w:val="none"/>
        </w:rPr>
      </w:pPr>
    </w:p>
    <w:p w14:paraId="5A9D32B4">
      <w:pPr>
        <w:bidi w:val="0"/>
        <w:rPr>
          <w:color w:val="auto"/>
          <w:highlight w:val="none"/>
        </w:rPr>
      </w:pPr>
    </w:p>
    <w:p w14:paraId="03684656">
      <w:pPr>
        <w:bidi w:val="0"/>
        <w:rPr>
          <w:color w:val="auto"/>
          <w:highlight w:val="none"/>
        </w:rPr>
      </w:pPr>
    </w:p>
    <w:p w14:paraId="4E8028CA">
      <w:pPr>
        <w:bidi w:val="0"/>
        <w:rPr>
          <w:color w:val="auto"/>
          <w:highlight w:val="none"/>
        </w:rPr>
      </w:pPr>
    </w:p>
    <w:p w14:paraId="10BB06B1">
      <w:pPr>
        <w:bidi w:val="0"/>
        <w:rPr>
          <w:color w:val="auto"/>
          <w:highlight w:val="none"/>
        </w:rPr>
      </w:pPr>
    </w:p>
    <w:p w14:paraId="5473D974">
      <w:pPr>
        <w:pStyle w:val="2"/>
        <w:bidi w:val="0"/>
        <w:jc w:val="center"/>
        <w:rPr>
          <w:color w:val="auto"/>
          <w:highlight w:val="none"/>
        </w:rPr>
      </w:pPr>
      <w:bookmarkStart w:id="54" w:name="_Toc7660"/>
      <w:r>
        <w:rPr>
          <w:color w:val="auto"/>
          <w:highlight w:val="none"/>
        </w:rPr>
        <w:t>第三章 评标办法</w:t>
      </w:r>
      <w:r>
        <w:rPr>
          <w:rFonts w:hint="eastAsia"/>
          <w:color w:val="auto"/>
          <w:highlight w:val="none"/>
          <w:lang w:val="en-US" w:eastAsia="zh-CN"/>
        </w:rPr>
        <w:t xml:space="preserve"> </w:t>
      </w:r>
      <w:r>
        <w:rPr>
          <w:color w:val="auto"/>
          <w:highlight w:val="none"/>
        </w:rPr>
        <w:t>正文</w:t>
      </w:r>
      <w:bookmarkEnd w:id="54"/>
    </w:p>
    <w:p w14:paraId="2C5D7F5A">
      <w:pPr>
        <w:pStyle w:val="3"/>
        <w:bidi w:val="0"/>
        <w:rPr>
          <w:rFonts w:ascii="Arial"/>
          <w:color w:val="auto"/>
          <w:sz w:val="21"/>
          <w:highlight w:val="none"/>
        </w:rPr>
      </w:pPr>
      <w:r>
        <w:rPr>
          <w:color w:val="auto"/>
          <w:highlight w:val="none"/>
        </w:rPr>
        <w:t>1. 评标方法</w:t>
      </w:r>
    </w:p>
    <w:p w14:paraId="1F009D8E">
      <w:pPr>
        <w:pStyle w:val="4"/>
        <w:bidi w:val="0"/>
        <w:rPr>
          <w:color w:val="auto"/>
          <w:highlight w:val="none"/>
        </w:rPr>
      </w:pPr>
      <w:r>
        <w:rPr>
          <w:color w:val="auto"/>
          <w:highlight w:val="none"/>
        </w:rPr>
        <w:t>1.1 评标方法</w:t>
      </w:r>
    </w:p>
    <w:p w14:paraId="7C211713">
      <w:pPr>
        <w:spacing w:before="51" w:line="360" w:lineRule="auto"/>
        <w:ind w:left="9"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本次评标采用双信封的综合评估法。评标委员会对满足招标文件实质性要求的投</w:t>
      </w:r>
      <w:r>
        <w:rPr>
          <w:rFonts w:ascii="宋体" w:hAnsi="宋体" w:eastAsia="宋体" w:cs="宋体"/>
          <w:color w:val="auto"/>
          <w:spacing w:val="4"/>
          <w:sz w:val="24"/>
          <w:szCs w:val="24"/>
          <w:highlight w:val="none"/>
        </w:rPr>
        <w:t>标文件，按照本章第</w:t>
      </w:r>
      <w:r>
        <w:rPr>
          <w:rFonts w:ascii="宋体" w:hAnsi="宋体" w:eastAsia="宋体" w:cs="宋体"/>
          <w:color w:val="auto"/>
          <w:spacing w:val="-40"/>
          <w:sz w:val="24"/>
          <w:szCs w:val="24"/>
          <w:highlight w:val="none"/>
        </w:rPr>
        <w:t xml:space="preserve"> </w:t>
      </w:r>
      <w:r>
        <w:rPr>
          <w:rFonts w:ascii="宋体" w:hAnsi="宋体" w:eastAsia="宋体" w:cs="宋体"/>
          <w:color w:val="auto"/>
          <w:spacing w:val="4"/>
          <w:sz w:val="24"/>
          <w:szCs w:val="24"/>
          <w:highlight w:val="none"/>
        </w:rPr>
        <w:t>2.2</w:t>
      </w:r>
      <w:r>
        <w:rPr>
          <w:rFonts w:ascii="宋体" w:hAnsi="宋体" w:eastAsia="宋体" w:cs="宋体"/>
          <w:color w:val="auto"/>
          <w:spacing w:val="-45"/>
          <w:sz w:val="24"/>
          <w:szCs w:val="24"/>
          <w:highlight w:val="none"/>
        </w:rPr>
        <w:t xml:space="preserve"> </w:t>
      </w:r>
      <w:r>
        <w:rPr>
          <w:rFonts w:ascii="宋体" w:hAnsi="宋体" w:eastAsia="宋体" w:cs="宋体"/>
          <w:color w:val="auto"/>
          <w:spacing w:val="4"/>
          <w:sz w:val="24"/>
          <w:szCs w:val="24"/>
          <w:highlight w:val="none"/>
        </w:rPr>
        <w:t>款规定的评分标准进行打分，并按得分由高</w:t>
      </w:r>
      <w:r>
        <w:rPr>
          <w:rFonts w:ascii="宋体" w:hAnsi="宋体" w:eastAsia="宋体" w:cs="宋体"/>
          <w:color w:val="auto"/>
          <w:spacing w:val="3"/>
          <w:sz w:val="24"/>
          <w:szCs w:val="24"/>
          <w:highlight w:val="none"/>
        </w:rPr>
        <w:t>到低顺序推荐中</w:t>
      </w:r>
      <w:r>
        <w:rPr>
          <w:rFonts w:ascii="宋体" w:hAnsi="宋体" w:eastAsia="宋体" w:cs="宋体"/>
          <w:color w:val="auto"/>
          <w:spacing w:val="5"/>
          <w:sz w:val="24"/>
          <w:szCs w:val="24"/>
          <w:highlight w:val="none"/>
        </w:rPr>
        <w:t>标候选人，但投标报价低于其成本的除外。综合评分相等时，评标委员会</w:t>
      </w:r>
      <w:r>
        <w:rPr>
          <w:rFonts w:ascii="宋体" w:hAnsi="宋体" w:eastAsia="宋体" w:cs="宋体"/>
          <w:color w:val="auto"/>
          <w:spacing w:val="4"/>
          <w:sz w:val="24"/>
          <w:szCs w:val="24"/>
          <w:highlight w:val="none"/>
        </w:rPr>
        <w:t>应按照评标</w:t>
      </w:r>
      <w:r>
        <w:rPr>
          <w:rFonts w:ascii="宋体" w:hAnsi="宋体" w:eastAsia="宋体" w:cs="宋体"/>
          <w:color w:val="auto"/>
          <w:spacing w:val="-1"/>
          <w:sz w:val="24"/>
          <w:szCs w:val="24"/>
          <w:highlight w:val="none"/>
        </w:rPr>
        <w:t>办法前附表规定的优先次序推荐中标候选人或确定中标人。</w:t>
      </w:r>
    </w:p>
    <w:p w14:paraId="21DE44B3">
      <w:pPr>
        <w:pStyle w:val="4"/>
        <w:bidi w:val="0"/>
        <w:rPr>
          <w:color w:val="auto"/>
          <w:highlight w:val="none"/>
        </w:rPr>
      </w:pPr>
      <w:r>
        <w:rPr>
          <w:color w:val="auto"/>
          <w:highlight w:val="none"/>
        </w:rPr>
        <w:t>1.2 评标组织</w:t>
      </w:r>
    </w:p>
    <w:p w14:paraId="06CA3C23">
      <w:pPr>
        <w:spacing w:before="52" w:line="220" w:lineRule="auto"/>
        <w:ind w:left="50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1.2.1</w:t>
      </w:r>
      <w:r>
        <w:rPr>
          <w:rFonts w:ascii="宋体" w:hAnsi="宋体" w:eastAsia="宋体" w:cs="宋体"/>
          <w:color w:val="auto"/>
          <w:spacing w:val="-49"/>
          <w:sz w:val="24"/>
          <w:szCs w:val="24"/>
          <w:highlight w:val="none"/>
        </w:rPr>
        <w:t xml:space="preserve"> </w:t>
      </w:r>
      <w:r>
        <w:rPr>
          <w:rFonts w:ascii="宋体" w:hAnsi="宋体" w:eastAsia="宋体" w:cs="宋体"/>
          <w:color w:val="auto"/>
          <w:spacing w:val="-4"/>
          <w:sz w:val="24"/>
          <w:szCs w:val="24"/>
          <w:highlight w:val="none"/>
        </w:rPr>
        <w:t>协助工作组</w:t>
      </w:r>
    </w:p>
    <w:p w14:paraId="3DEB1115">
      <w:pPr>
        <w:spacing w:before="181" w:line="359" w:lineRule="auto"/>
        <w:ind w:left="8"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招标人可在评标工作开始前成立协助工作组，选派熟悉招标工作、政治素质高的人员组成，协助评标委员会工作。协助工作组人员的具体数量由招标人视评</w:t>
      </w:r>
      <w:r>
        <w:rPr>
          <w:rFonts w:ascii="宋体" w:hAnsi="宋体" w:eastAsia="宋体" w:cs="宋体"/>
          <w:color w:val="auto"/>
          <w:spacing w:val="4"/>
          <w:sz w:val="24"/>
          <w:szCs w:val="24"/>
          <w:highlight w:val="none"/>
        </w:rPr>
        <w:t>标工作量</w:t>
      </w:r>
      <w:r>
        <w:rPr>
          <w:rFonts w:ascii="宋体" w:hAnsi="宋体" w:eastAsia="宋体" w:cs="宋体"/>
          <w:color w:val="auto"/>
          <w:spacing w:val="-4"/>
          <w:sz w:val="24"/>
          <w:szCs w:val="24"/>
          <w:highlight w:val="none"/>
        </w:rPr>
        <w:t>确定。</w:t>
      </w:r>
    </w:p>
    <w:p w14:paraId="0A6E62DA">
      <w:pPr>
        <w:spacing w:before="1" w:line="218" w:lineRule="auto"/>
        <w:ind w:left="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招标人可以协助评标委员会开展下列工作并提供相关信息：</w:t>
      </w:r>
    </w:p>
    <w:p w14:paraId="0AE55AC8">
      <w:pPr>
        <w:spacing w:before="182" w:line="219"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（1）根据招标文件，编制评标使用的相应表格；</w:t>
      </w:r>
    </w:p>
    <w:p w14:paraId="1D08C237">
      <w:pPr>
        <w:spacing w:before="183" w:line="218" w:lineRule="auto"/>
        <w:ind w:left="4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（2）对投标报价进行算术性校核；</w:t>
      </w:r>
    </w:p>
    <w:p w14:paraId="05192E77">
      <w:pPr>
        <w:spacing w:before="181" w:line="346" w:lineRule="auto"/>
        <w:ind w:left="12" w:firstLine="4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（3）以评标标准和方法为依据，列出投标文件相对于招标文件的所有偏差，并进</w:t>
      </w:r>
      <w:r>
        <w:rPr>
          <w:rFonts w:ascii="宋体" w:hAnsi="宋体" w:eastAsia="宋体" w:cs="宋体"/>
          <w:color w:val="auto"/>
          <w:spacing w:val="-3"/>
          <w:sz w:val="24"/>
          <w:szCs w:val="24"/>
          <w:highlight w:val="none"/>
        </w:rPr>
        <w:t>行归类汇总；</w:t>
      </w:r>
    </w:p>
    <w:p w14:paraId="6DCB608E">
      <w:pPr>
        <w:spacing w:before="2" w:line="354" w:lineRule="auto"/>
        <w:ind w:left="10" w:firstLine="48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（4）查询全国公路建设市场监督管理系统</w:t>
      </w:r>
      <w:r>
        <w:rPr>
          <w:color w:val="auto"/>
          <w:highlight w:val="none"/>
        </w:rPr>
        <w:fldChar w:fldCharType="begin"/>
      </w:r>
      <w:r>
        <w:rPr>
          <w:color w:val="auto"/>
          <w:highlight w:val="none"/>
        </w:rPr>
        <w:instrText xml:space="preserve"> HYPERLINK \l "bookmark163" </w:instrText>
      </w:r>
      <w:r>
        <w:rPr>
          <w:color w:val="auto"/>
          <w:highlight w:val="none"/>
        </w:rPr>
        <w:fldChar w:fldCharType="separate"/>
      </w:r>
      <w:r>
        <w:rPr>
          <w:rFonts w:ascii="宋体" w:hAnsi="宋体" w:eastAsia="宋体" w:cs="宋体"/>
          <w:color w:val="auto"/>
          <w:spacing w:val="2"/>
          <w:position w:val="12"/>
          <w:sz w:val="12"/>
          <w:szCs w:val="12"/>
          <w:highlight w:val="none"/>
        </w:rPr>
        <w:t>①</w:t>
      </w:r>
      <w:r>
        <w:rPr>
          <w:rFonts w:ascii="宋体" w:hAnsi="宋体" w:eastAsia="宋体" w:cs="宋体"/>
          <w:color w:val="auto"/>
          <w:spacing w:val="2"/>
          <w:position w:val="12"/>
          <w:sz w:val="12"/>
          <w:szCs w:val="12"/>
          <w:highlight w:val="none"/>
        </w:rPr>
        <w:fldChar w:fldCharType="end"/>
      </w:r>
      <w:r>
        <w:rPr>
          <w:rFonts w:ascii="宋体" w:hAnsi="宋体" w:eastAsia="宋体" w:cs="宋体"/>
          <w:color w:val="auto"/>
          <w:spacing w:val="-26"/>
          <w:position w:val="12"/>
          <w:sz w:val="12"/>
          <w:szCs w:val="12"/>
          <w:highlight w:val="none"/>
        </w:rPr>
        <w:t xml:space="preserve"> </w:t>
      </w:r>
      <w:r>
        <w:rPr>
          <w:rFonts w:ascii="宋体" w:hAnsi="宋体" w:eastAsia="宋体" w:cs="宋体"/>
          <w:color w:val="auto"/>
          <w:spacing w:val="2"/>
          <w:sz w:val="24"/>
          <w:szCs w:val="24"/>
          <w:highlight w:val="none"/>
        </w:rPr>
        <w:t>,</w:t>
      </w:r>
      <w:r>
        <w:rPr>
          <w:rFonts w:ascii="宋体" w:hAnsi="宋体" w:eastAsia="宋体" w:cs="宋体"/>
          <w:color w:val="auto"/>
          <w:spacing w:val="67"/>
          <w:sz w:val="24"/>
          <w:szCs w:val="24"/>
          <w:highlight w:val="none"/>
        </w:rPr>
        <w:t xml:space="preserve"> </w:t>
      </w:r>
      <w:r>
        <w:rPr>
          <w:rFonts w:ascii="宋体" w:hAnsi="宋体" w:eastAsia="宋体" w:cs="宋体"/>
          <w:color w:val="auto"/>
          <w:spacing w:val="2"/>
          <w:sz w:val="24"/>
          <w:szCs w:val="24"/>
          <w:highlight w:val="none"/>
        </w:rPr>
        <w:t>对投标人的资质、业绩、主</w:t>
      </w:r>
      <w:r>
        <w:rPr>
          <w:rFonts w:ascii="宋体" w:hAnsi="宋体" w:eastAsia="宋体" w:cs="宋体"/>
          <w:color w:val="auto"/>
          <w:spacing w:val="1"/>
          <w:sz w:val="24"/>
          <w:szCs w:val="24"/>
          <w:highlight w:val="none"/>
        </w:rPr>
        <w:t>要人员</w:t>
      </w:r>
      <w:r>
        <w:rPr>
          <w:rFonts w:ascii="宋体" w:hAnsi="宋体" w:eastAsia="宋体" w:cs="宋体"/>
          <w:color w:val="auto"/>
          <w:spacing w:val="5"/>
          <w:sz w:val="24"/>
          <w:szCs w:val="24"/>
          <w:highlight w:val="none"/>
        </w:rPr>
        <w:t>资历和目前在岗情况、信用等级进行核实（如有）。在投标截止当天查</w:t>
      </w:r>
      <w:r>
        <w:rPr>
          <w:rFonts w:ascii="宋体" w:hAnsi="宋体" w:eastAsia="宋体" w:cs="宋体"/>
          <w:color w:val="auto"/>
          <w:spacing w:val="4"/>
          <w:sz w:val="24"/>
          <w:szCs w:val="24"/>
          <w:highlight w:val="none"/>
        </w:rPr>
        <w:t>询投标人在信</w:t>
      </w:r>
      <w:r>
        <w:rPr>
          <w:rFonts w:ascii="宋体" w:hAnsi="宋体" w:eastAsia="宋体" w:cs="宋体"/>
          <w:color w:val="auto"/>
          <w:spacing w:val="-1"/>
          <w:sz w:val="24"/>
          <w:szCs w:val="24"/>
          <w:highlight w:val="none"/>
        </w:rPr>
        <w:t>用中国中的行政处罚公示信息，并提交评标委员会。</w:t>
      </w:r>
    </w:p>
    <w:p w14:paraId="572FC1A5">
      <w:pPr>
        <w:spacing w:before="54" w:line="359" w:lineRule="auto"/>
        <w:ind w:left="7" w:firstLine="48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招标人不得对投标文件作出任何评价，不得故意遗漏或者片面摘录，不得在评标</w:t>
      </w:r>
      <w:r>
        <w:rPr>
          <w:rFonts w:ascii="宋体" w:hAnsi="宋体" w:eastAsia="宋体" w:cs="宋体"/>
          <w:color w:val="auto"/>
          <w:spacing w:val="-1"/>
          <w:sz w:val="24"/>
          <w:szCs w:val="24"/>
          <w:highlight w:val="none"/>
        </w:rPr>
        <w:t>委员会对所有偏差定性之前透露存有偏差的投标人名称。</w:t>
      </w:r>
    </w:p>
    <w:p w14:paraId="31E325BB">
      <w:pPr>
        <w:spacing w:before="1" w:line="218" w:lineRule="auto"/>
        <w:ind w:left="50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1.2.2</w:t>
      </w:r>
      <w:r>
        <w:rPr>
          <w:rFonts w:ascii="宋体" w:hAnsi="宋体" w:eastAsia="宋体" w:cs="宋体"/>
          <w:color w:val="auto"/>
          <w:spacing w:val="-49"/>
          <w:sz w:val="24"/>
          <w:szCs w:val="24"/>
          <w:highlight w:val="none"/>
        </w:rPr>
        <w:t xml:space="preserve"> </w:t>
      </w:r>
      <w:r>
        <w:rPr>
          <w:rFonts w:ascii="宋体" w:hAnsi="宋体" w:eastAsia="宋体" w:cs="宋体"/>
          <w:color w:val="auto"/>
          <w:spacing w:val="-4"/>
          <w:sz w:val="24"/>
          <w:szCs w:val="24"/>
          <w:highlight w:val="none"/>
        </w:rPr>
        <w:t>评标委员会</w:t>
      </w:r>
    </w:p>
    <w:p w14:paraId="56110846">
      <w:pPr>
        <w:spacing w:before="184" w:line="359" w:lineRule="auto"/>
        <w:ind w:left="9"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评标委员会由招标人按国家、广东省等的有关规定依法组建。评标委员人数参见</w:t>
      </w:r>
      <w:r>
        <w:rPr>
          <w:rFonts w:ascii="宋体" w:hAnsi="宋体" w:eastAsia="宋体" w:cs="宋体"/>
          <w:color w:val="auto"/>
          <w:sz w:val="24"/>
          <w:szCs w:val="24"/>
          <w:highlight w:val="none"/>
        </w:rPr>
        <w:t>本招标文件“投标人须知前附表第6.1.1</w:t>
      </w:r>
      <w:r>
        <w:rPr>
          <w:rFonts w:ascii="宋体" w:hAnsi="宋体" w:eastAsia="宋体" w:cs="宋体"/>
          <w:color w:val="auto"/>
          <w:spacing w:val="-44"/>
          <w:sz w:val="24"/>
          <w:szCs w:val="24"/>
          <w:highlight w:val="none"/>
        </w:rPr>
        <w:t xml:space="preserve"> </w:t>
      </w:r>
      <w:r>
        <w:rPr>
          <w:rFonts w:ascii="宋体" w:hAnsi="宋体" w:eastAsia="宋体" w:cs="宋体"/>
          <w:color w:val="auto"/>
          <w:sz w:val="24"/>
          <w:szCs w:val="24"/>
          <w:highlight w:val="none"/>
        </w:rPr>
        <w:t>款</w:t>
      </w:r>
      <w:r>
        <w:rPr>
          <w:rFonts w:ascii="宋体" w:hAnsi="宋体" w:eastAsia="宋体" w:cs="宋体"/>
          <w:color w:val="auto"/>
          <w:spacing w:val="-88"/>
          <w:sz w:val="24"/>
          <w:szCs w:val="24"/>
          <w:highlight w:val="none"/>
        </w:rPr>
        <w:t xml:space="preserve"> </w:t>
      </w:r>
      <w:r>
        <w:rPr>
          <w:rFonts w:ascii="宋体" w:hAnsi="宋体" w:eastAsia="宋体" w:cs="宋体"/>
          <w:color w:val="auto"/>
          <w:sz w:val="24"/>
          <w:szCs w:val="24"/>
          <w:highlight w:val="none"/>
        </w:rPr>
        <w:t>”。评标委员会的主要工作内容包括：</w:t>
      </w:r>
    </w:p>
    <w:p w14:paraId="67A9E7AB">
      <w:pPr>
        <w:spacing w:line="359" w:lineRule="auto"/>
        <w:ind w:left="9" w:firstLine="49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（1）评标委员会开始评标工作之前，首先听取招标人、协助工作组关于工程情况</w:t>
      </w:r>
      <w:r>
        <w:rPr>
          <w:rFonts w:ascii="宋体" w:hAnsi="宋体" w:eastAsia="宋体" w:cs="宋体"/>
          <w:color w:val="auto"/>
          <w:sz w:val="24"/>
          <w:szCs w:val="24"/>
          <w:highlight w:val="none"/>
        </w:rPr>
        <w:t>和辅助工作的说明，并认真研读招标文件，获取评</w:t>
      </w:r>
      <w:r>
        <w:rPr>
          <w:rFonts w:ascii="宋体" w:hAnsi="宋体" w:eastAsia="宋体" w:cs="宋体"/>
          <w:color w:val="auto"/>
          <w:spacing w:val="-1"/>
          <w:sz w:val="24"/>
          <w:szCs w:val="24"/>
          <w:highlight w:val="none"/>
        </w:rPr>
        <w:t>标所需的重要信息和数据；</w:t>
      </w:r>
    </w:p>
    <w:p w14:paraId="6C485DD2">
      <w:pPr>
        <w:spacing w:before="1" w:line="218" w:lineRule="auto"/>
        <w:ind w:left="499"/>
        <w:rPr>
          <w:rFonts w:ascii="宋体" w:hAnsi="宋体" w:eastAsia="宋体" w:cs="宋体"/>
          <w:color w:val="auto"/>
          <w:sz w:val="24"/>
          <w:szCs w:val="24"/>
          <w:highlight w:val="none"/>
        </w:rPr>
      </w:pPr>
      <w:bookmarkStart w:id="55" w:name="bookmark163"/>
      <w:bookmarkEnd w:id="55"/>
      <w:r>
        <w:rPr>
          <w:rFonts w:ascii="宋体" w:hAnsi="宋体" w:eastAsia="宋体" w:cs="宋体"/>
          <w:color w:val="auto"/>
          <w:spacing w:val="-1"/>
          <w:sz w:val="24"/>
          <w:szCs w:val="24"/>
          <w:highlight w:val="none"/>
        </w:rPr>
        <w:t>（2）对协助工作组提供的评标工作用表和评标内容进行核查。</w:t>
      </w:r>
    </w:p>
    <w:p w14:paraId="3FF239F8">
      <w:pPr>
        <w:spacing w:line="258" w:lineRule="auto"/>
        <w:rPr>
          <w:rFonts w:ascii="Arial"/>
          <w:color w:val="auto"/>
          <w:sz w:val="21"/>
          <w:highlight w:val="none"/>
        </w:rPr>
      </w:pPr>
    </w:p>
    <w:p w14:paraId="200880F4">
      <w:pPr>
        <w:spacing w:line="258" w:lineRule="auto"/>
        <w:rPr>
          <w:rFonts w:ascii="Arial"/>
          <w:color w:val="auto"/>
          <w:sz w:val="21"/>
          <w:highlight w:val="none"/>
        </w:rPr>
      </w:pPr>
      <w:r>
        <w:rPr>
          <w:color w:val="auto"/>
          <w:highlight w:val="none"/>
        </w:rPr>
        <w:pict>
          <v:shape id="_x0000_s1085" o:spid="_x0000_s1085" style="position:absolute;left:0pt;margin-left:0pt;margin-top:8.55pt;height:0pt;width:144pt;z-index:251662336;mso-width-relative:page;mso-height-relative:page;" filled="f" stroked="t" coordsize="2880,0" path="m0,0l2880,0e">
            <v:fill on="f" focussize="0,0"/>
            <v:stroke weight="0pt" color="#000000" miterlimit="0" joinstyle="bevel" endcap="square"/>
            <v:imagedata o:title=""/>
            <o:lock v:ext="edit"/>
          </v:shape>
        </w:pict>
      </w:r>
    </w:p>
    <w:p w14:paraId="3803D483">
      <w:pPr>
        <w:spacing w:before="59" w:line="220" w:lineRule="auto"/>
        <w:ind w:left="5"/>
        <w:rPr>
          <w:rFonts w:ascii="宋体" w:hAnsi="宋体" w:eastAsia="宋体" w:cs="宋体"/>
          <w:color w:val="auto"/>
          <w:sz w:val="18"/>
          <w:szCs w:val="18"/>
          <w:highlight w:val="none"/>
        </w:rPr>
      </w:pPr>
      <w:bookmarkStart w:id="56" w:name="bookmark164"/>
      <w:bookmarkEnd w:id="56"/>
      <w:r>
        <w:rPr>
          <w:rFonts w:ascii="宋体" w:hAnsi="宋体" w:eastAsia="宋体" w:cs="宋体"/>
          <w:color w:val="auto"/>
          <w:sz w:val="18"/>
          <w:szCs w:val="18"/>
          <w:highlight w:val="none"/>
        </w:rPr>
        <w:t>① 不适用于全国公路建设市场监督管理系统截</w:t>
      </w:r>
      <w:r>
        <w:rPr>
          <w:rFonts w:ascii="宋体" w:hAnsi="宋体" w:eastAsia="宋体" w:cs="宋体"/>
          <w:color w:val="auto"/>
          <w:spacing w:val="-1"/>
          <w:sz w:val="18"/>
          <w:szCs w:val="18"/>
          <w:highlight w:val="none"/>
        </w:rPr>
        <w:t>图招标的情形。</w:t>
      </w:r>
    </w:p>
    <w:p w14:paraId="6F043975">
      <w:pPr>
        <w:spacing w:line="220" w:lineRule="auto"/>
        <w:rPr>
          <w:rFonts w:ascii="宋体" w:hAnsi="宋体" w:eastAsia="宋体" w:cs="宋体"/>
          <w:color w:val="auto"/>
          <w:sz w:val="18"/>
          <w:szCs w:val="18"/>
          <w:highlight w:val="none"/>
        </w:rPr>
        <w:sectPr>
          <w:footerReference r:id="rId18" w:type="default"/>
          <w:pgSz w:w="11905" w:h="16838"/>
          <w:pgMar w:top="1134" w:right="1134" w:bottom="1134" w:left="1134" w:header="0" w:footer="1066" w:gutter="0"/>
          <w:pgNumType w:fmt="decimal"/>
          <w:cols w:space="0" w:num="1"/>
          <w:rtlGutter w:val="0"/>
          <w:docGrid w:linePitch="0" w:charSpace="0"/>
        </w:sectPr>
      </w:pPr>
    </w:p>
    <w:p w14:paraId="04879E0B">
      <w:pPr>
        <w:spacing w:before="78" w:line="219" w:lineRule="auto"/>
        <w:ind w:left="4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（3）按照以下</w:t>
      </w:r>
      <w:r>
        <w:rPr>
          <w:rFonts w:ascii="宋体" w:hAnsi="宋体" w:eastAsia="宋体" w:cs="宋体"/>
          <w:color w:val="auto"/>
          <w:spacing w:val="-27"/>
          <w:sz w:val="24"/>
          <w:szCs w:val="24"/>
          <w:highlight w:val="none"/>
        </w:rPr>
        <w:t xml:space="preserve"> </w:t>
      </w:r>
      <w:r>
        <w:rPr>
          <w:rFonts w:ascii="宋体" w:hAnsi="宋体" w:eastAsia="宋体" w:cs="宋体"/>
          <w:color w:val="auto"/>
          <w:spacing w:val="-3"/>
          <w:sz w:val="24"/>
          <w:szCs w:val="24"/>
          <w:highlight w:val="none"/>
        </w:rPr>
        <w:t>1.3</w:t>
      </w:r>
      <w:r>
        <w:rPr>
          <w:rFonts w:ascii="宋体" w:hAnsi="宋体" w:eastAsia="宋体" w:cs="宋体"/>
          <w:color w:val="auto"/>
          <w:spacing w:val="-49"/>
          <w:sz w:val="24"/>
          <w:szCs w:val="24"/>
          <w:highlight w:val="none"/>
        </w:rPr>
        <w:t xml:space="preserve"> </w:t>
      </w:r>
      <w:r>
        <w:rPr>
          <w:rFonts w:ascii="宋体" w:hAnsi="宋体" w:eastAsia="宋体" w:cs="宋体"/>
          <w:color w:val="auto"/>
          <w:spacing w:val="-3"/>
          <w:sz w:val="24"/>
          <w:szCs w:val="24"/>
          <w:highlight w:val="none"/>
        </w:rPr>
        <w:t>款程序进行各项评审工作。</w:t>
      </w:r>
    </w:p>
    <w:p w14:paraId="6BC3BB95">
      <w:pPr>
        <w:spacing w:line="245" w:lineRule="auto"/>
        <w:rPr>
          <w:rFonts w:ascii="Arial"/>
          <w:color w:val="auto"/>
          <w:sz w:val="21"/>
          <w:highlight w:val="none"/>
        </w:rPr>
      </w:pPr>
    </w:p>
    <w:p w14:paraId="5B367248">
      <w:pPr>
        <w:pStyle w:val="4"/>
        <w:bidi w:val="0"/>
        <w:rPr>
          <w:color w:val="auto"/>
          <w:highlight w:val="none"/>
        </w:rPr>
      </w:pPr>
      <w:r>
        <w:rPr>
          <w:color w:val="auto"/>
          <w:highlight w:val="none"/>
        </w:rPr>
        <w:t>1.3 评审工作程序</w:t>
      </w:r>
    </w:p>
    <w:p w14:paraId="3BBB5E89">
      <w:pPr>
        <w:spacing w:before="50"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（一）第一个信封（商务及技术文件</w:t>
      </w:r>
      <w:r>
        <w:rPr>
          <w:rFonts w:ascii="宋体" w:hAnsi="宋体" w:eastAsia="宋体" w:cs="宋体"/>
          <w:color w:val="auto"/>
          <w:spacing w:val="5"/>
          <w:sz w:val="24"/>
          <w:szCs w:val="24"/>
          <w:highlight w:val="none"/>
        </w:rPr>
        <w:t>）：</w:t>
      </w:r>
    </w:p>
    <w:p w14:paraId="52917527">
      <w:pPr>
        <w:spacing w:before="183" w:line="219" w:lineRule="auto"/>
        <w:ind w:left="49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l、初步评审：包括形式评审与响应性评审、资格评审；</w:t>
      </w:r>
    </w:p>
    <w:p w14:paraId="03633BB2">
      <w:pPr>
        <w:spacing w:before="181" w:line="359" w:lineRule="auto"/>
        <w:ind w:firstLine="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2、详细评审（评审打分</w:t>
      </w:r>
      <w:r>
        <w:rPr>
          <w:rFonts w:ascii="宋体" w:hAnsi="宋体" w:eastAsia="宋体" w:cs="宋体"/>
          <w:color w:val="auto"/>
          <w:spacing w:val="12"/>
          <w:sz w:val="24"/>
          <w:szCs w:val="24"/>
          <w:highlight w:val="none"/>
        </w:rPr>
        <w:t>）：</w:t>
      </w:r>
      <w:r>
        <w:rPr>
          <w:rFonts w:ascii="宋体" w:hAnsi="宋体" w:eastAsia="宋体" w:cs="宋体"/>
          <w:color w:val="auto"/>
          <w:spacing w:val="1"/>
          <w:sz w:val="24"/>
          <w:szCs w:val="24"/>
          <w:highlight w:val="none"/>
        </w:rPr>
        <w:t>评标委员会首先对通过初步评审的投标文件第一个信</w:t>
      </w:r>
      <w:r>
        <w:rPr>
          <w:rFonts w:ascii="宋体" w:hAnsi="宋体" w:eastAsia="宋体" w:cs="宋体"/>
          <w:color w:val="auto"/>
          <w:spacing w:val="5"/>
          <w:sz w:val="24"/>
          <w:szCs w:val="24"/>
          <w:highlight w:val="none"/>
        </w:rPr>
        <w:t>封（商务及技术文件）进行详细评审，对投标人的监理实施方案、主要人员、</w:t>
      </w:r>
      <w:r>
        <w:rPr>
          <w:rFonts w:ascii="宋体" w:hAnsi="宋体" w:eastAsia="宋体" w:cs="宋体"/>
          <w:color w:val="auto"/>
          <w:spacing w:val="4"/>
          <w:sz w:val="24"/>
          <w:szCs w:val="24"/>
          <w:highlight w:val="none"/>
        </w:rPr>
        <w:t>其他因</w:t>
      </w:r>
      <w:r>
        <w:rPr>
          <w:rFonts w:ascii="宋体" w:hAnsi="宋体" w:eastAsia="宋体" w:cs="宋体"/>
          <w:color w:val="auto"/>
          <w:spacing w:val="-1"/>
          <w:sz w:val="24"/>
          <w:szCs w:val="24"/>
          <w:highlight w:val="none"/>
        </w:rPr>
        <w:t>素等分别评审打分。</w:t>
      </w:r>
    </w:p>
    <w:p w14:paraId="08FC9A80">
      <w:pPr>
        <w:spacing w:before="1" w:line="217"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（二）第二个信封（报价文件</w:t>
      </w:r>
      <w:r>
        <w:rPr>
          <w:rFonts w:ascii="宋体" w:hAnsi="宋体" w:eastAsia="宋体" w:cs="宋体"/>
          <w:color w:val="auto"/>
          <w:spacing w:val="2"/>
          <w:sz w:val="24"/>
          <w:szCs w:val="24"/>
          <w:highlight w:val="none"/>
        </w:rPr>
        <w:t>）：</w:t>
      </w:r>
    </w:p>
    <w:p w14:paraId="06380625">
      <w:pPr>
        <w:spacing w:before="183" w:line="219" w:lineRule="auto"/>
        <w:ind w:left="618"/>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1、初步评审：</w:t>
      </w:r>
    </w:p>
    <w:p w14:paraId="748B766D">
      <w:pPr>
        <w:spacing w:before="183" w:line="359" w:lineRule="auto"/>
        <w:ind w:left="2" w:firstLine="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（1）只有投标文件第一个信封通过详细评审的投标人才能继续参加第二信封报价</w:t>
      </w:r>
      <w:r>
        <w:rPr>
          <w:rFonts w:ascii="宋体" w:hAnsi="宋体" w:eastAsia="宋体" w:cs="宋体"/>
          <w:color w:val="auto"/>
          <w:spacing w:val="-1"/>
          <w:sz w:val="24"/>
          <w:szCs w:val="24"/>
          <w:highlight w:val="none"/>
        </w:rPr>
        <w:t>文件的形式评审与响应性评审；</w:t>
      </w:r>
    </w:p>
    <w:p w14:paraId="39F21DC0">
      <w:pPr>
        <w:spacing w:before="1" w:line="217"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（2）报价算术性修正。</w:t>
      </w:r>
    </w:p>
    <w:p w14:paraId="677DF16D">
      <w:pPr>
        <w:spacing w:before="182" w:line="218" w:lineRule="auto"/>
        <w:ind w:left="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2、详细评审：计算评标基准价、评标价得分及综合得分：</w:t>
      </w:r>
    </w:p>
    <w:p w14:paraId="4A983161">
      <w:pPr>
        <w:spacing w:before="185"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（三）投标文件相关信息的核查。</w:t>
      </w:r>
    </w:p>
    <w:p w14:paraId="7A22BCA7">
      <w:pPr>
        <w:spacing w:before="184" w:line="219" w:lineRule="auto"/>
        <w:ind w:left="52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(四)投标文件的澄清和说明(如有)。</w:t>
      </w:r>
    </w:p>
    <w:p w14:paraId="6851CC31">
      <w:pPr>
        <w:spacing w:before="180" w:line="218"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（五）按评标办法规定推荐中标候选人，编写评标报告。</w:t>
      </w:r>
    </w:p>
    <w:p w14:paraId="4D9F3CE8">
      <w:pPr>
        <w:pStyle w:val="3"/>
        <w:bidi w:val="0"/>
        <w:rPr>
          <w:color w:val="auto"/>
          <w:highlight w:val="none"/>
        </w:rPr>
      </w:pPr>
      <w:r>
        <w:rPr>
          <w:color w:val="auto"/>
          <w:highlight w:val="none"/>
        </w:rPr>
        <w:t>2. 评审标准</w:t>
      </w:r>
    </w:p>
    <w:p w14:paraId="3DC4198D">
      <w:pPr>
        <w:pStyle w:val="4"/>
        <w:bidi w:val="0"/>
        <w:rPr>
          <w:color w:val="auto"/>
          <w:highlight w:val="none"/>
        </w:rPr>
      </w:pPr>
      <w:r>
        <w:rPr>
          <w:color w:val="auto"/>
          <w:highlight w:val="none"/>
        </w:rPr>
        <w:t>2.1 初步评审标准</w:t>
      </w:r>
    </w:p>
    <w:p w14:paraId="123257A1">
      <w:pPr>
        <w:spacing w:before="50" w:line="219" w:lineRule="auto"/>
        <w:ind w:left="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2.1.1 形式评审标准：见评标办法前附表。</w:t>
      </w:r>
    </w:p>
    <w:p w14:paraId="5736E8A5">
      <w:pPr>
        <w:spacing w:before="183" w:line="219" w:lineRule="auto"/>
        <w:ind w:left="483"/>
        <w:rPr>
          <w:rFonts w:ascii="宋体" w:hAnsi="宋体" w:eastAsia="宋体" w:cs="宋体"/>
          <w:color w:val="auto"/>
          <w:sz w:val="24"/>
          <w:szCs w:val="24"/>
          <w:highlight w:val="none"/>
        </w:rPr>
      </w:pPr>
      <w:r>
        <w:rPr>
          <w:rFonts w:ascii="宋体" w:hAnsi="宋体" w:eastAsia="宋体" w:cs="宋体"/>
          <w:color w:val="auto"/>
          <w:sz w:val="24"/>
          <w:szCs w:val="24"/>
          <w:highlight w:val="none"/>
        </w:rPr>
        <w:t>2.1.2 资格评审标准：见评标办法前附表</w:t>
      </w:r>
      <w:r>
        <w:rPr>
          <w:rFonts w:ascii="宋体" w:hAnsi="宋体" w:eastAsia="宋体" w:cs="宋体"/>
          <w:color w:val="auto"/>
          <w:spacing w:val="-1"/>
          <w:sz w:val="24"/>
          <w:szCs w:val="24"/>
          <w:highlight w:val="none"/>
        </w:rPr>
        <w:t>（适用于未进行资格预审的）。</w:t>
      </w:r>
    </w:p>
    <w:p w14:paraId="1FD1F4DE">
      <w:pPr>
        <w:spacing w:before="184" w:line="359" w:lineRule="auto"/>
        <w:ind w:left="12" w:firstLine="471"/>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2.1.2 资格评审标准：见资格预审文件第三章“</w:t>
      </w:r>
      <w:r>
        <w:rPr>
          <w:rFonts w:ascii="宋体" w:hAnsi="宋体" w:eastAsia="宋体" w:cs="宋体"/>
          <w:color w:val="auto"/>
          <w:spacing w:val="-81"/>
          <w:sz w:val="24"/>
          <w:szCs w:val="24"/>
          <w:highlight w:val="none"/>
        </w:rPr>
        <w:t xml:space="preserve"> </w:t>
      </w:r>
      <w:r>
        <w:rPr>
          <w:rFonts w:ascii="宋体" w:hAnsi="宋体" w:eastAsia="宋体" w:cs="宋体"/>
          <w:color w:val="auto"/>
          <w:spacing w:val="9"/>
          <w:sz w:val="24"/>
          <w:szCs w:val="24"/>
          <w:highlight w:val="none"/>
        </w:rPr>
        <w:t>资格审查办法</w:t>
      </w:r>
      <w:r>
        <w:rPr>
          <w:rFonts w:ascii="宋体" w:hAnsi="宋体" w:eastAsia="宋体" w:cs="宋体"/>
          <w:color w:val="auto"/>
          <w:spacing w:val="-74"/>
          <w:sz w:val="24"/>
          <w:szCs w:val="24"/>
          <w:highlight w:val="none"/>
        </w:rPr>
        <w:t xml:space="preserve"> </w:t>
      </w:r>
      <w:r>
        <w:rPr>
          <w:rFonts w:ascii="宋体" w:hAnsi="宋体" w:eastAsia="宋体" w:cs="宋体"/>
          <w:color w:val="auto"/>
          <w:spacing w:val="9"/>
          <w:sz w:val="24"/>
          <w:szCs w:val="24"/>
          <w:highlight w:val="none"/>
        </w:rPr>
        <w:t>”详细审查标准</w:t>
      </w:r>
      <w:r>
        <w:rPr>
          <w:rFonts w:ascii="宋体" w:hAnsi="宋体" w:eastAsia="宋体" w:cs="宋体"/>
          <w:color w:val="auto"/>
          <w:spacing w:val="-2"/>
          <w:sz w:val="24"/>
          <w:szCs w:val="24"/>
          <w:highlight w:val="none"/>
        </w:rPr>
        <w:t>（适用于已进行资格预审的）。</w:t>
      </w:r>
    </w:p>
    <w:p w14:paraId="6044798A">
      <w:pPr>
        <w:spacing w:before="1" w:line="218" w:lineRule="auto"/>
        <w:ind w:left="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2.1.3 响应性评审标准：见评标办法前附表。</w:t>
      </w:r>
    </w:p>
    <w:p w14:paraId="54773385">
      <w:pPr>
        <w:spacing w:line="246" w:lineRule="auto"/>
        <w:rPr>
          <w:rFonts w:ascii="Arial"/>
          <w:color w:val="auto"/>
          <w:sz w:val="21"/>
          <w:highlight w:val="none"/>
        </w:rPr>
      </w:pPr>
    </w:p>
    <w:p w14:paraId="2D25E7E0">
      <w:pPr>
        <w:pStyle w:val="4"/>
        <w:bidi w:val="0"/>
        <w:rPr>
          <w:color w:val="auto"/>
          <w:highlight w:val="none"/>
        </w:rPr>
      </w:pPr>
      <w:r>
        <w:rPr>
          <w:color w:val="auto"/>
          <w:highlight w:val="none"/>
        </w:rPr>
        <w:t>2.2 分值构成与评分标准</w:t>
      </w:r>
    </w:p>
    <w:p w14:paraId="57AEFE40">
      <w:pPr>
        <w:spacing w:before="51" w:line="219" w:lineRule="auto"/>
        <w:ind w:left="48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2.2.1 分值构成</w:t>
      </w:r>
    </w:p>
    <w:p w14:paraId="72D9193A">
      <w:pPr>
        <w:spacing w:before="182"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（1）技术建议书：见评标办法前附表；</w:t>
      </w:r>
    </w:p>
    <w:p w14:paraId="2A051EE8">
      <w:pPr>
        <w:spacing w:before="181"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（2）主要人员：见评标办法前附表；</w:t>
      </w:r>
    </w:p>
    <w:p w14:paraId="2EF0BAEC">
      <w:pPr>
        <w:spacing w:before="184" w:line="218"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（3）评标价：见评标办法前附表；</w:t>
      </w:r>
    </w:p>
    <w:p w14:paraId="2C4041C5">
      <w:pPr>
        <w:spacing w:before="182"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（4）其他评分因素：见评标办法前附表。</w:t>
      </w:r>
    </w:p>
    <w:p w14:paraId="4ECA3589">
      <w:pPr>
        <w:spacing w:before="183" w:line="218" w:lineRule="auto"/>
        <w:ind w:left="483"/>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2.2.2 评标基准价计算</w:t>
      </w:r>
    </w:p>
    <w:p w14:paraId="6319D5F0">
      <w:pPr>
        <w:spacing w:before="183" w:line="218" w:lineRule="auto"/>
        <w:ind w:left="48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评标基准价计算方法：见评标办法前附表。</w:t>
      </w:r>
    </w:p>
    <w:p w14:paraId="4D9A4589">
      <w:pPr>
        <w:spacing w:before="182" w:line="218" w:lineRule="auto"/>
        <w:ind w:left="49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2.2.3 评标价的偏差率计算</w:t>
      </w:r>
    </w:p>
    <w:p w14:paraId="28E93DFD">
      <w:pPr>
        <w:spacing w:before="184" w:line="218" w:lineRule="auto"/>
        <w:ind w:left="49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评标价的偏差率计算公式：见评标办法前附表。</w:t>
      </w:r>
    </w:p>
    <w:p w14:paraId="623F2C28">
      <w:pPr>
        <w:spacing w:before="182" w:line="220" w:lineRule="auto"/>
        <w:ind w:left="49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2.2.4 评分标准</w:t>
      </w:r>
    </w:p>
    <w:p w14:paraId="2913D40F">
      <w:pPr>
        <w:spacing w:before="181" w:line="219" w:lineRule="auto"/>
        <w:ind w:left="50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（1）技术建议书评分标准：见评标办法前附表；</w:t>
      </w:r>
    </w:p>
    <w:p w14:paraId="78414AA7">
      <w:pPr>
        <w:spacing w:before="180" w:line="219" w:lineRule="auto"/>
        <w:ind w:left="50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（2）主要人员评分标准：见评标办法前附表；</w:t>
      </w:r>
    </w:p>
    <w:p w14:paraId="1E2DB8FE">
      <w:pPr>
        <w:spacing w:before="184" w:line="218"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（3）评标价评分标准：见评标办法前附表；</w:t>
      </w:r>
    </w:p>
    <w:p w14:paraId="2A745753">
      <w:pPr>
        <w:spacing w:before="182" w:line="219" w:lineRule="auto"/>
        <w:ind w:left="50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（4）其他因素评分标准：见评标办法前附表。</w:t>
      </w:r>
    </w:p>
    <w:p w14:paraId="6F1223C6">
      <w:pPr>
        <w:pStyle w:val="3"/>
        <w:bidi w:val="0"/>
        <w:rPr>
          <w:color w:val="auto"/>
          <w:highlight w:val="none"/>
        </w:rPr>
      </w:pPr>
      <w:r>
        <w:rPr>
          <w:color w:val="auto"/>
          <w:highlight w:val="none"/>
        </w:rPr>
        <w:t>3. 评标程序</w:t>
      </w:r>
    </w:p>
    <w:p w14:paraId="27F9D050">
      <w:pPr>
        <w:pStyle w:val="4"/>
        <w:bidi w:val="0"/>
        <w:rPr>
          <w:color w:val="auto"/>
          <w:highlight w:val="none"/>
        </w:rPr>
      </w:pPr>
      <w:r>
        <w:rPr>
          <w:color w:val="auto"/>
          <w:highlight w:val="none"/>
        </w:rPr>
        <w:t>3.1 第一个信封初步评审</w:t>
      </w:r>
    </w:p>
    <w:p w14:paraId="1AF90AE3">
      <w:pPr>
        <w:spacing w:before="54" w:line="359" w:lineRule="auto"/>
        <w:ind w:left="12" w:right="2" w:firstLine="483"/>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3.1.1 评标委员会可以要求投标人提交第二章“投标人须知</w:t>
      </w:r>
      <w:r>
        <w:rPr>
          <w:rFonts w:ascii="宋体" w:hAnsi="宋体" w:eastAsia="宋体" w:cs="宋体"/>
          <w:color w:val="auto"/>
          <w:spacing w:val="-74"/>
          <w:sz w:val="24"/>
          <w:szCs w:val="24"/>
          <w:highlight w:val="none"/>
        </w:rPr>
        <w:t xml:space="preserve"> </w:t>
      </w:r>
      <w:r>
        <w:rPr>
          <w:rFonts w:ascii="宋体" w:hAnsi="宋体" w:eastAsia="宋体" w:cs="宋体"/>
          <w:color w:val="auto"/>
          <w:spacing w:val="8"/>
          <w:sz w:val="24"/>
          <w:szCs w:val="24"/>
          <w:highlight w:val="none"/>
        </w:rPr>
        <w:t>”第</w:t>
      </w:r>
      <w:r>
        <w:rPr>
          <w:rFonts w:ascii="宋体" w:hAnsi="宋体" w:eastAsia="宋体" w:cs="宋体"/>
          <w:color w:val="auto"/>
          <w:spacing w:val="-29"/>
          <w:sz w:val="24"/>
          <w:szCs w:val="24"/>
          <w:highlight w:val="none"/>
        </w:rPr>
        <w:t xml:space="preserve"> </w:t>
      </w:r>
      <w:r>
        <w:rPr>
          <w:rFonts w:ascii="宋体" w:hAnsi="宋体" w:eastAsia="宋体" w:cs="宋体"/>
          <w:color w:val="auto"/>
          <w:spacing w:val="8"/>
          <w:sz w:val="24"/>
          <w:szCs w:val="24"/>
          <w:highlight w:val="none"/>
        </w:rPr>
        <w:t>3.5.1</w:t>
      </w:r>
      <w:r>
        <w:rPr>
          <w:rFonts w:ascii="宋体" w:hAnsi="宋体" w:eastAsia="宋体" w:cs="宋体"/>
          <w:color w:val="auto"/>
          <w:spacing w:val="-33"/>
          <w:sz w:val="24"/>
          <w:szCs w:val="24"/>
          <w:highlight w:val="none"/>
        </w:rPr>
        <w:t xml:space="preserve"> </w:t>
      </w:r>
      <w:r>
        <w:rPr>
          <w:rFonts w:ascii="宋体" w:hAnsi="宋体" w:eastAsia="宋体" w:cs="宋体"/>
          <w:color w:val="auto"/>
          <w:spacing w:val="8"/>
          <w:sz w:val="24"/>
          <w:szCs w:val="24"/>
          <w:highlight w:val="none"/>
        </w:rPr>
        <w:t>项至第</w:t>
      </w:r>
      <w:r>
        <w:rPr>
          <w:rFonts w:ascii="宋体" w:hAnsi="宋体" w:eastAsia="宋体" w:cs="宋体"/>
          <w:color w:val="auto"/>
          <w:spacing w:val="-1"/>
          <w:sz w:val="24"/>
          <w:szCs w:val="24"/>
          <w:highlight w:val="none"/>
        </w:rPr>
        <w:t>3.5.5</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项规定的有关证明和证件的原件，以便核验。评标委员会依据本章第</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2.1</w:t>
      </w:r>
      <w:r>
        <w:rPr>
          <w:rFonts w:ascii="宋体" w:hAnsi="宋体" w:eastAsia="宋体" w:cs="宋体"/>
          <w:color w:val="auto"/>
          <w:spacing w:val="-50"/>
          <w:sz w:val="24"/>
          <w:szCs w:val="24"/>
          <w:highlight w:val="none"/>
        </w:rPr>
        <w:t xml:space="preserve"> </w:t>
      </w:r>
      <w:r>
        <w:rPr>
          <w:rFonts w:ascii="宋体" w:hAnsi="宋体" w:eastAsia="宋体" w:cs="宋体"/>
          <w:color w:val="auto"/>
          <w:spacing w:val="-1"/>
          <w:sz w:val="24"/>
          <w:szCs w:val="24"/>
          <w:highlight w:val="none"/>
        </w:rPr>
        <w:t>款规定</w:t>
      </w:r>
      <w:r>
        <w:rPr>
          <w:rFonts w:ascii="宋体" w:hAnsi="宋体" w:eastAsia="宋体" w:cs="宋体"/>
          <w:color w:val="auto"/>
          <w:spacing w:val="5"/>
          <w:sz w:val="24"/>
          <w:szCs w:val="24"/>
          <w:highlight w:val="none"/>
        </w:rPr>
        <w:t>的标准对投标文件第一个信封（商务及技术文件）进行初步评审。有一项</w:t>
      </w:r>
      <w:r>
        <w:rPr>
          <w:rFonts w:ascii="宋体" w:hAnsi="宋体" w:eastAsia="宋体" w:cs="宋体"/>
          <w:color w:val="auto"/>
          <w:spacing w:val="4"/>
          <w:sz w:val="24"/>
          <w:szCs w:val="24"/>
          <w:highlight w:val="none"/>
        </w:rPr>
        <w:t>不符合评审</w:t>
      </w:r>
      <w:r>
        <w:rPr>
          <w:rFonts w:ascii="宋体" w:hAnsi="宋体" w:eastAsia="宋体" w:cs="宋体"/>
          <w:color w:val="auto"/>
          <w:spacing w:val="-1"/>
          <w:sz w:val="24"/>
          <w:szCs w:val="24"/>
          <w:highlight w:val="none"/>
        </w:rPr>
        <w:t>标准的，评标委员会应否决其投标。（适用于未进行资格预审的）</w:t>
      </w:r>
    </w:p>
    <w:p w14:paraId="1FCB9716">
      <w:pPr>
        <w:spacing w:before="3" w:line="359" w:lineRule="auto"/>
        <w:ind w:left="10" w:right="2" w:firstLine="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3.1.1 评标委员会依据本章第</w:t>
      </w:r>
      <w:r>
        <w:rPr>
          <w:rFonts w:ascii="宋体" w:hAnsi="宋体" w:eastAsia="宋体" w:cs="宋体"/>
          <w:color w:val="auto"/>
          <w:spacing w:val="-26"/>
          <w:sz w:val="24"/>
          <w:szCs w:val="24"/>
          <w:highlight w:val="none"/>
        </w:rPr>
        <w:t xml:space="preserve"> </w:t>
      </w:r>
      <w:r>
        <w:rPr>
          <w:rFonts w:ascii="宋体" w:hAnsi="宋体" w:eastAsia="宋体" w:cs="宋体"/>
          <w:color w:val="auto"/>
          <w:spacing w:val="2"/>
          <w:sz w:val="24"/>
          <w:szCs w:val="24"/>
          <w:highlight w:val="none"/>
        </w:rPr>
        <w:t>2.1.1</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项、第</w:t>
      </w:r>
      <w:r>
        <w:rPr>
          <w:rFonts w:ascii="宋体" w:hAnsi="宋体" w:eastAsia="宋体" w:cs="宋体"/>
          <w:color w:val="auto"/>
          <w:spacing w:val="-43"/>
          <w:sz w:val="24"/>
          <w:szCs w:val="24"/>
          <w:highlight w:val="none"/>
        </w:rPr>
        <w:t xml:space="preserve"> </w:t>
      </w:r>
      <w:r>
        <w:rPr>
          <w:rFonts w:ascii="宋体" w:hAnsi="宋体" w:eastAsia="宋体" w:cs="宋体"/>
          <w:color w:val="auto"/>
          <w:spacing w:val="2"/>
          <w:sz w:val="24"/>
          <w:szCs w:val="24"/>
          <w:highlight w:val="none"/>
        </w:rPr>
        <w:t>2.1.3</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项规定的评审标准对投标文件</w:t>
      </w:r>
      <w:r>
        <w:rPr>
          <w:rFonts w:ascii="宋体" w:hAnsi="宋体" w:eastAsia="宋体" w:cs="宋体"/>
          <w:color w:val="auto"/>
          <w:spacing w:val="5"/>
          <w:sz w:val="24"/>
          <w:szCs w:val="24"/>
          <w:highlight w:val="none"/>
        </w:rPr>
        <w:t>第一个信封（商务及技术文件）进行初步评审。有一项不符合评审标准的，评</w:t>
      </w:r>
      <w:r>
        <w:rPr>
          <w:rFonts w:ascii="宋体" w:hAnsi="宋体" w:eastAsia="宋体" w:cs="宋体"/>
          <w:color w:val="auto"/>
          <w:spacing w:val="4"/>
          <w:sz w:val="24"/>
          <w:szCs w:val="24"/>
          <w:highlight w:val="none"/>
        </w:rPr>
        <w:t>标委员</w:t>
      </w:r>
      <w:r>
        <w:rPr>
          <w:rFonts w:ascii="宋体" w:hAnsi="宋体" w:eastAsia="宋体" w:cs="宋体"/>
          <w:color w:val="auto"/>
          <w:spacing w:val="5"/>
          <w:sz w:val="24"/>
          <w:szCs w:val="24"/>
          <w:highlight w:val="none"/>
        </w:rPr>
        <w:t>会应否决其投标。当投标人资格预审申请文件的内容发生重大变化时，评标委</w:t>
      </w:r>
      <w:r>
        <w:rPr>
          <w:rFonts w:ascii="宋体" w:hAnsi="宋体" w:eastAsia="宋体" w:cs="宋体"/>
          <w:color w:val="auto"/>
          <w:spacing w:val="4"/>
          <w:sz w:val="24"/>
          <w:szCs w:val="24"/>
          <w:highlight w:val="none"/>
        </w:rPr>
        <w:t>员会依</w:t>
      </w:r>
      <w:r>
        <w:rPr>
          <w:rFonts w:ascii="宋体" w:hAnsi="宋体" w:eastAsia="宋体" w:cs="宋体"/>
          <w:color w:val="auto"/>
          <w:spacing w:val="-1"/>
          <w:sz w:val="24"/>
          <w:szCs w:val="24"/>
          <w:highlight w:val="none"/>
        </w:rPr>
        <w:t>据本章第</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2.1.2</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项规定的标准对其更新资料进行评审。（适用于已进行资格预审的）</w:t>
      </w:r>
    </w:p>
    <w:p w14:paraId="62CDDAB3">
      <w:pPr>
        <w:pStyle w:val="4"/>
        <w:bidi w:val="0"/>
        <w:rPr>
          <w:color w:val="auto"/>
          <w:highlight w:val="none"/>
        </w:rPr>
      </w:pPr>
      <w:r>
        <w:rPr>
          <w:color w:val="auto"/>
          <w:highlight w:val="none"/>
        </w:rPr>
        <w:t>3.2 第一个信封详细评审</w:t>
      </w:r>
    </w:p>
    <w:p w14:paraId="0C13CDD2">
      <w:pPr>
        <w:spacing w:before="51" w:line="359" w:lineRule="auto"/>
        <w:ind w:left="14" w:firstLine="48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3.2.1 评标委员会按本章第</w:t>
      </w:r>
      <w:r>
        <w:rPr>
          <w:rFonts w:ascii="宋体" w:hAnsi="宋体" w:eastAsia="宋体" w:cs="宋体"/>
          <w:color w:val="auto"/>
          <w:spacing w:val="-43"/>
          <w:sz w:val="24"/>
          <w:szCs w:val="24"/>
          <w:highlight w:val="none"/>
        </w:rPr>
        <w:t xml:space="preserve"> </w:t>
      </w:r>
      <w:r>
        <w:rPr>
          <w:rFonts w:ascii="宋体" w:hAnsi="宋体" w:eastAsia="宋体" w:cs="宋体"/>
          <w:color w:val="auto"/>
          <w:spacing w:val="4"/>
          <w:sz w:val="24"/>
          <w:szCs w:val="24"/>
          <w:highlight w:val="none"/>
        </w:rPr>
        <w:t>2.2</w:t>
      </w:r>
      <w:r>
        <w:rPr>
          <w:rFonts w:ascii="宋体" w:hAnsi="宋体" w:eastAsia="宋体" w:cs="宋体"/>
          <w:color w:val="auto"/>
          <w:spacing w:val="-42"/>
          <w:sz w:val="24"/>
          <w:szCs w:val="24"/>
          <w:highlight w:val="none"/>
        </w:rPr>
        <w:t xml:space="preserve"> </w:t>
      </w:r>
      <w:r>
        <w:rPr>
          <w:rFonts w:ascii="宋体" w:hAnsi="宋体" w:eastAsia="宋体" w:cs="宋体"/>
          <w:color w:val="auto"/>
          <w:spacing w:val="4"/>
          <w:sz w:val="24"/>
          <w:szCs w:val="24"/>
          <w:highlight w:val="none"/>
        </w:rPr>
        <w:t>款规定的量化因素和</w:t>
      </w:r>
      <w:r>
        <w:rPr>
          <w:rFonts w:ascii="宋体" w:hAnsi="宋体" w:eastAsia="宋体" w:cs="宋体"/>
          <w:color w:val="auto"/>
          <w:spacing w:val="3"/>
          <w:sz w:val="24"/>
          <w:szCs w:val="24"/>
          <w:highlight w:val="none"/>
        </w:rPr>
        <w:t>分值进行打分，并计算出各</w:t>
      </w:r>
      <w:r>
        <w:rPr>
          <w:rFonts w:ascii="宋体" w:hAnsi="宋体" w:eastAsia="宋体" w:cs="宋体"/>
          <w:color w:val="auto"/>
          <w:spacing w:val="-2"/>
          <w:sz w:val="24"/>
          <w:szCs w:val="24"/>
          <w:highlight w:val="none"/>
        </w:rPr>
        <w:t>投标人的商务和技术得分。</w:t>
      </w:r>
    </w:p>
    <w:p w14:paraId="7546A645">
      <w:pPr>
        <w:spacing w:line="359" w:lineRule="auto"/>
        <w:ind w:left="12" w:right="2" w:firstLine="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（1）按本章第</w:t>
      </w:r>
      <w:r>
        <w:rPr>
          <w:rFonts w:ascii="宋体" w:hAnsi="宋体" w:eastAsia="宋体" w:cs="宋体"/>
          <w:color w:val="auto"/>
          <w:spacing w:val="-43"/>
          <w:sz w:val="24"/>
          <w:szCs w:val="24"/>
          <w:highlight w:val="none"/>
        </w:rPr>
        <w:t xml:space="preserve"> </w:t>
      </w:r>
      <w:r>
        <w:rPr>
          <w:rFonts w:ascii="宋体" w:hAnsi="宋体" w:eastAsia="宋体" w:cs="宋体"/>
          <w:color w:val="auto"/>
          <w:spacing w:val="2"/>
          <w:sz w:val="24"/>
          <w:szCs w:val="24"/>
          <w:highlight w:val="none"/>
        </w:rPr>
        <w:t>2.2.4</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项（1）</w:t>
      </w:r>
      <w:r>
        <w:rPr>
          <w:rFonts w:ascii="宋体" w:hAnsi="宋体" w:eastAsia="宋体" w:cs="宋体"/>
          <w:color w:val="auto"/>
          <w:spacing w:val="-55"/>
          <w:sz w:val="24"/>
          <w:szCs w:val="24"/>
          <w:highlight w:val="none"/>
        </w:rPr>
        <w:t xml:space="preserve"> </w:t>
      </w:r>
      <w:r>
        <w:rPr>
          <w:rFonts w:ascii="宋体" w:hAnsi="宋体" w:eastAsia="宋体" w:cs="宋体"/>
          <w:color w:val="auto"/>
          <w:spacing w:val="2"/>
          <w:sz w:val="24"/>
          <w:szCs w:val="24"/>
          <w:highlight w:val="none"/>
        </w:rPr>
        <w:t>目规定的评审因素和分值对技</w:t>
      </w:r>
      <w:r>
        <w:rPr>
          <w:rFonts w:ascii="宋体" w:hAnsi="宋体" w:eastAsia="宋体" w:cs="宋体"/>
          <w:color w:val="auto"/>
          <w:spacing w:val="1"/>
          <w:sz w:val="24"/>
          <w:szCs w:val="24"/>
          <w:highlight w:val="none"/>
        </w:rPr>
        <w:t>术建议书部分计算出</w:t>
      </w:r>
      <w:r>
        <w:rPr>
          <w:rFonts w:ascii="宋体" w:hAnsi="宋体" w:eastAsia="宋体" w:cs="宋体"/>
          <w:color w:val="auto"/>
          <w:spacing w:val="-4"/>
          <w:sz w:val="24"/>
          <w:szCs w:val="24"/>
          <w:highlight w:val="none"/>
        </w:rPr>
        <w:t>得分</w:t>
      </w:r>
      <w:r>
        <w:rPr>
          <w:rFonts w:ascii="宋体" w:hAnsi="宋体" w:eastAsia="宋体" w:cs="宋体"/>
          <w:color w:val="auto"/>
          <w:spacing w:val="-56"/>
          <w:sz w:val="24"/>
          <w:szCs w:val="24"/>
          <w:highlight w:val="none"/>
        </w:rPr>
        <w:t xml:space="preserve"> </w:t>
      </w:r>
      <w:r>
        <w:rPr>
          <w:rFonts w:ascii="宋体" w:hAnsi="宋体" w:eastAsia="宋体" w:cs="宋体"/>
          <w:color w:val="auto"/>
          <w:spacing w:val="-4"/>
          <w:sz w:val="24"/>
          <w:szCs w:val="24"/>
          <w:highlight w:val="none"/>
        </w:rPr>
        <w:t>A；</w:t>
      </w:r>
    </w:p>
    <w:p w14:paraId="32FA01CC">
      <w:pPr>
        <w:spacing w:line="359" w:lineRule="auto"/>
        <w:ind w:left="14" w:right="2" w:firstLine="48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（2）按本章第</w:t>
      </w:r>
      <w:r>
        <w:rPr>
          <w:rFonts w:ascii="宋体" w:hAnsi="宋体" w:eastAsia="宋体" w:cs="宋体"/>
          <w:color w:val="auto"/>
          <w:spacing w:val="-43"/>
          <w:sz w:val="24"/>
          <w:szCs w:val="24"/>
          <w:highlight w:val="none"/>
        </w:rPr>
        <w:t xml:space="preserve"> </w:t>
      </w:r>
      <w:r>
        <w:rPr>
          <w:rFonts w:ascii="宋体" w:hAnsi="宋体" w:eastAsia="宋体" w:cs="宋体"/>
          <w:color w:val="auto"/>
          <w:spacing w:val="2"/>
          <w:sz w:val="24"/>
          <w:szCs w:val="24"/>
          <w:highlight w:val="none"/>
        </w:rPr>
        <w:t>2.2.4</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项（2）</w:t>
      </w:r>
      <w:r>
        <w:rPr>
          <w:rFonts w:ascii="宋体" w:hAnsi="宋体" w:eastAsia="宋体" w:cs="宋体"/>
          <w:color w:val="auto"/>
          <w:spacing w:val="-55"/>
          <w:sz w:val="24"/>
          <w:szCs w:val="24"/>
          <w:highlight w:val="none"/>
        </w:rPr>
        <w:t xml:space="preserve"> </w:t>
      </w:r>
      <w:r>
        <w:rPr>
          <w:rFonts w:ascii="宋体" w:hAnsi="宋体" w:eastAsia="宋体" w:cs="宋体"/>
          <w:color w:val="auto"/>
          <w:spacing w:val="2"/>
          <w:sz w:val="24"/>
          <w:szCs w:val="24"/>
          <w:highlight w:val="none"/>
        </w:rPr>
        <w:t>目规定的评审因素和分值对主</w:t>
      </w:r>
      <w:r>
        <w:rPr>
          <w:rFonts w:ascii="宋体" w:hAnsi="宋体" w:eastAsia="宋体" w:cs="宋体"/>
          <w:color w:val="auto"/>
          <w:spacing w:val="1"/>
          <w:sz w:val="24"/>
          <w:szCs w:val="24"/>
          <w:highlight w:val="none"/>
        </w:rPr>
        <w:t>要人员部分计算出得</w:t>
      </w:r>
      <w:r>
        <w:rPr>
          <w:rFonts w:ascii="宋体" w:hAnsi="宋体" w:eastAsia="宋体" w:cs="宋体"/>
          <w:color w:val="auto"/>
          <w:spacing w:val="15"/>
          <w:sz w:val="24"/>
          <w:szCs w:val="24"/>
          <w:highlight w:val="none"/>
        </w:rPr>
        <w:t>分B；</w:t>
      </w:r>
    </w:p>
    <w:p w14:paraId="3D97F52A">
      <w:pPr>
        <w:spacing w:before="1" w:line="218" w:lineRule="auto"/>
        <w:ind w:right="14"/>
        <w:jc w:val="center"/>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（3）按本章第</w:t>
      </w:r>
      <w:r>
        <w:rPr>
          <w:rFonts w:ascii="宋体" w:hAnsi="宋体" w:eastAsia="宋体" w:cs="宋体"/>
          <w:color w:val="auto"/>
          <w:spacing w:val="-39"/>
          <w:sz w:val="24"/>
          <w:szCs w:val="24"/>
          <w:highlight w:val="none"/>
        </w:rPr>
        <w:t xml:space="preserve"> </w:t>
      </w:r>
      <w:r>
        <w:rPr>
          <w:rFonts w:ascii="宋体" w:hAnsi="宋体" w:eastAsia="宋体" w:cs="宋体"/>
          <w:color w:val="auto"/>
          <w:spacing w:val="-3"/>
          <w:sz w:val="24"/>
          <w:szCs w:val="24"/>
          <w:highlight w:val="none"/>
        </w:rPr>
        <w:t>2.2.4</w:t>
      </w:r>
      <w:r>
        <w:rPr>
          <w:rFonts w:ascii="宋体" w:hAnsi="宋体" w:eastAsia="宋体" w:cs="宋体"/>
          <w:color w:val="auto"/>
          <w:spacing w:val="-46"/>
          <w:sz w:val="24"/>
          <w:szCs w:val="24"/>
          <w:highlight w:val="none"/>
        </w:rPr>
        <w:t xml:space="preserve"> </w:t>
      </w:r>
      <w:r>
        <w:rPr>
          <w:rFonts w:ascii="宋体" w:hAnsi="宋体" w:eastAsia="宋体" w:cs="宋体"/>
          <w:color w:val="auto"/>
          <w:spacing w:val="-3"/>
          <w:sz w:val="24"/>
          <w:szCs w:val="24"/>
          <w:highlight w:val="none"/>
        </w:rPr>
        <w:t>项（4）</w:t>
      </w:r>
      <w:r>
        <w:rPr>
          <w:rFonts w:ascii="宋体" w:hAnsi="宋体" w:eastAsia="宋体" w:cs="宋体"/>
          <w:color w:val="auto"/>
          <w:spacing w:val="-65"/>
          <w:sz w:val="24"/>
          <w:szCs w:val="24"/>
          <w:highlight w:val="none"/>
        </w:rPr>
        <w:t xml:space="preserve"> </w:t>
      </w:r>
      <w:r>
        <w:rPr>
          <w:rFonts w:ascii="宋体" w:hAnsi="宋体" w:eastAsia="宋体" w:cs="宋体"/>
          <w:color w:val="auto"/>
          <w:spacing w:val="-3"/>
          <w:sz w:val="24"/>
          <w:szCs w:val="24"/>
          <w:highlight w:val="none"/>
        </w:rPr>
        <w:t>目规定的评审因素和分值对其他部分计算出得分</w:t>
      </w:r>
      <w:r>
        <w:rPr>
          <w:rFonts w:ascii="宋体" w:hAnsi="宋体" w:eastAsia="宋体" w:cs="宋体"/>
          <w:color w:val="auto"/>
          <w:spacing w:val="-55"/>
          <w:sz w:val="24"/>
          <w:szCs w:val="24"/>
          <w:highlight w:val="none"/>
        </w:rPr>
        <w:t xml:space="preserve"> </w:t>
      </w:r>
      <w:r>
        <w:rPr>
          <w:rFonts w:ascii="宋体" w:hAnsi="宋体" w:eastAsia="宋体" w:cs="宋体"/>
          <w:color w:val="auto"/>
          <w:spacing w:val="-3"/>
          <w:sz w:val="24"/>
          <w:szCs w:val="24"/>
          <w:highlight w:val="none"/>
        </w:rPr>
        <w:t>D。</w:t>
      </w:r>
    </w:p>
    <w:p w14:paraId="5CA66F9B">
      <w:pPr>
        <w:spacing w:before="184" w:line="359" w:lineRule="auto"/>
        <w:ind w:right="2" w:firstLine="496"/>
        <w:rPr>
          <w:rFonts w:ascii="宋体" w:hAnsi="宋体" w:eastAsia="宋体" w:cs="宋体"/>
          <w:color w:val="auto"/>
          <w:sz w:val="24"/>
          <w:szCs w:val="24"/>
          <w:highlight w:val="none"/>
        </w:rPr>
      </w:pPr>
      <w:r>
        <w:rPr>
          <w:rFonts w:ascii="宋体" w:hAnsi="宋体" w:eastAsia="宋体" w:cs="宋体"/>
          <w:color w:val="auto"/>
          <w:spacing w:val="11"/>
          <w:sz w:val="24"/>
          <w:szCs w:val="24"/>
          <w:highlight w:val="none"/>
        </w:rPr>
        <w:t>3.2.2 投标人的商务和技术得分分值计算保留小数点后四位，小数点后第五位</w:t>
      </w:r>
      <w:r>
        <w:rPr>
          <w:rFonts w:ascii="宋体" w:hAnsi="宋体" w:eastAsia="宋体" w:cs="宋体"/>
          <w:color w:val="auto"/>
          <w:spacing w:val="-5"/>
          <w:sz w:val="24"/>
          <w:szCs w:val="24"/>
          <w:highlight w:val="none"/>
        </w:rPr>
        <w:t>“</w:t>
      </w:r>
      <w:r>
        <w:rPr>
          <w:rFonts w:ascii="宋体" w:hAnsi="宋体" w:eastAsia="宋体" w:cs="宋体"/>
          <w:color w:val="auto"/>
          <w:spacing w:val="-83"/>
          <w:sz w:val="24"/>
          <w:szCs w:val="24"/>
          <w:highlight w:val="none"/>
        </w:rPr>
        <w:t xml:space="preserve"> </w:t>
      </w:r>
      <w:r>
        <w:rPr>
          <w:rFonts w:ascii="宋体" w:hAnsi="宋体" w:eastAsia="宋体" w:cs="宋体"/>
          <w:color w:val="auto"/>
          <w:spacing w:val="-5"/>
          <w:sz w:val="24"/>
          <w:szCs w:val="24"/>
          <w:highlight w:val="none"/>
        </w:rPr>
        <w:t>四舍五入</w:t>
      </w:r>
      <w:r>
        <w:rPr>
          <w:rFonts w:ascii="宋体" w:hAnsi="宋体" w:eastAsia="宋体" w:cs="宋体"/>
          <w:color w:val="auto"/>
          <w:spacing w:val="-88"/>
          <w:sz w:val="24"/>
          <w:szCs w:val="24"/>
          <w:highlight w:val="none"/>
        </w:rPr>
        <w:t xml:space="preserve"> </w:t>
      </w:r>
      <w:r>
        <w:rPr>
          <w:rFonts w:ascii="宋体" w:hAnsi="宋体" w:eastAsia="宋体" w:cs="宋体"/>
          <w:color w:val="auto"/>
          <w:spacing w:val="-5"/>
          <w:sz w:val="24"/>
          <w:szCs w:val="24"/>
          <w:highlight w:val="none"/>
        </w:rPr>
        <w:t>”。</w:t>
      </w:r>
    </w:p>
    <w:p w14:paraId="56EFB381">
      <w:pPr>
        <w:spacing w:before="1" w:line="219" w:lineRule="auto"/>
        <w:ind w:left="496"/>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3.2.3 投标人的商务和技术得分=A+B+D。</w:t>
      </w:r>
    </w:p>
    <w:p w14:paraId="0DA79936">
      <w:pPr>
        <w:spacing w:before="184" w:line="359" w:lineRule="auto"/>
        <w:ind w:right="162" w:firstLine="490"/>
        <w:jc w:val="both"/>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除履约信誉得分外，投标文件第一信封各评分因素细分项得分均不应低于其权重分的60%，评分低于权重分值 60%的，评标委员会成员应当在评标报告中作出说明。</w:t>
      </w:r>
    </w:p>
    <w:p w14:paraId="32917A6B">
      <w:pPr>
        <w:spacing w:before="184" w:line="359" w:lineRule="auto"/>
        <w:ind w:right="162" w:firstLine="490"/>
        <w:jc w:val="both"/>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评标委员会人数为 9 人时，计算投标人技术得分时:首先在评委技术评分中，采用</w:t>
      </w:r>
      <w:r>
        <w:rPr>
          <w:rFonts w:ascii="宋体" w:hAnsi="宋体" w:eastAsia="宋体" w:cs="宋体"/>
          <w:color w:val="auto"/>
          <w:spacing w:val="5"/>
          <w:sz w:val="24"/>
          <w:szCs w:val="24"/>
          <w:highlight w:val="none"/>
        </w:rPr>
        <w:t>取消同一评委对同一标段各投标人评分总分的差值最大的</w:t>
      </w:r>
      <w:r>
        <w:rPr>
          <w:rFonts w:ascii="宋体" w:hAnsi="宋体" w:eastAsia="宋体" w:cs="宋体"/>
          <w:color w:val="auto"/>
          <w:spacing w:val="-25"/>
          <w:sz w:val="24"/>
          <w:szCs w:val="24"/>
          <w:highlight w:val="none"/>
        </w:rPr>
        <w:t xml:space="preserve"> </w:t>
      </w:r>
      <w:r>
        <w:rPr>
          <w:rFonts w:ascii="宋体" w:hAnsi="宋体" w:eastAsia="宋体" w:cs="宋体"/>
          <w:color w:val="auto"/>
          <w:spacing w:val="5"/>
          <w:sz w:val="24"/>
          <w:szCs w:val="24"/>
          <w:highlight w:val="none"/>
        </w:rPr>
        <w:t>1</w:t>
      </w:r>
      <w:r>
        <w:rPr>
          <w:rFonts w:ascii="宋体" w:hAnsi="宋体" w:eastAsia="宋体" w:cs="宋体"/>
          <w:color w:val="auto"/>
          <w:spacing w:val="-41"/>
          <w:sz w:val="24"/>
          <w:szCs w:val="24"/>
          <w:highlight w:val="none"/>
        </w:rPr>
        <w:t xml:space="preserve"> </w:t>
      </w:r>
      <w:r>
        <w:rPr>
          <w:rFonts w:ascii="宋体" w:hAnsi="宋体" w:eastAsia="宋体" w:cs="宋体"/>
          <w:color w:val="auto"/>
          <w:spacing w:val="5"/>
          <w:sz w:val="24"/>
          <w:szCs w:val="24"/>
          <w:highlight w:val="none"/>
        </w:rPr>
        <w:t>名评委评分</w:t>
      </w:r>
      <w:r>
        <w:rPr>
          <w:rFonts w:ascii="宋体" w:hAnsi="宋体" w:eastAsia="宋体" w:cs="宋体"/>
          <w:color w:val="auto"/>
          <w:spacing w:val="4"/>
          <w:sz w:val="24"/>
          <w:szCs w:val="24"/>
          <w:highlight w:val="none"/>
        </w:rPr>
        <w:t>分值（若有</w:t>
      </w:r>
      <w:r>
        <w:rPr>
          <w:rFonts w:ascii="宋体" w:hAnsi="宋体" w:eastAsia="宋体" w:cs="宋体"/>
          <w:color w:val="auto"/>
          <w:spacing w:val="-40"/>
          <w:sz w:val="24"/>
          <w:szCs w:val="24"/>
          <w:highlight w:val="none"/>
        </w:rPr>
        <w:t xml:space="preserve"> </w:t>
      </w:r>
      <w:r>
        <w:rPr>
          <w:rFonts w:ascii="宋体" w:hAnsi="宋体" w:eastAsia="宋体" w:cs="宋体"/>
          <w:color w:val="auto"/>
          <w:spacing w:val="4"/>
          <w:sz w:val="24"/>
          <w:szCs w:val="24"/>
          <w:highlight w:val="none"/>
        </w:rPr>
        <w:t>2名或以上评委技术评分总分差值最大值相等时，则取消其中</w:t>
      </w:r>
      <w:r>
        <w:rPr>
          <w:rFonts w:ascii="宋体" w:hAnsi="宋体" w:eastAsia="宋体" w:cs="宋体"/>
          <w:color w:val="auto"/>
          <w:spacing w:val="-28"/>
          <w:sz w:val="24"/>
          <w:szCs w:val="24"/>
          <w:highlight w:val="none"/>
        </w:rPr>
        <w:t xml:space="preserve"> </w:t>
      </w:r>
      <w:r>
        <w:rPr>
          <w:rFonts w:ascii="宋体" w:hAnsi="宋体" w:eastAsia="宋体" w:cs="宋体"/>
          <w:color w:val="auto"/>
          <w:spacing w:val="4"/>
          <w:sz w:val="24"/>
          <w:szCs w:val="24"/>
          <w:highlight w:val="none"/>
        </w:rPr>
        <w:t>1</w:t>
      </w:r>
      <w:r>
        <w:rPr>
          <w:rFonts w:ascii="宋体" w:hAnsi="宋体" w:eastAsia="宋体" w:cs="宋体"/>
          <w:color w:val="auto"/>
          <w:spacing w:val="-43"/>
          <w:sz w:val="24"/>
          <w:szCs w:val="24"/>
          <w:highlight w:val="none"/>
        </w:rPr>
        <w:t xml:space="preserve"> </w:t>
      </w:r>
      <w:r>
        <w:rPr>
          <w:rFonts w:ascii="宋体" w:hAnsi="宋体" w:eastAsia="宋体" w:cs="宋体"/>
          <w:color w:val="auto"/>
          <w:spacing w:val="4"/>
          <w:sz w:val="24"/>
          <w:szCs w:val="24"/>
          <w:highlight w:val="none"/>
        </w:rPr>
        <w:t>名评委的所有</w:t>
      </w:r>
      <w:r>
        <w:rPr>
          <w:rFonts w:ascii="宋体" w:hAnsi="宋体" w:eastAsia="宋体" w:cs="宋体"/>
          <w:color w:val="auto"/>
          <w:spacing w:val="3"/>
          <w:sz w:val="24"/>
          <w:szCs w:val="24"/>
          <w:highlight w:val="none"/>
        </w:rPr>
        <w:t>评分，具</w:t>
      </w:r>
      <w:r>
        <w:rPr>
          <w:rFonts w:ascii="宋体" w:hAnsi="宋体" w:eastAsia="宋体" w:cs="宋体"/>
          <w:color w:val="auto"/>
          <w:spacing w:val="5"/>
          <w:sz w:val="24"/>
          <w:szCs w:val="24"/>
          <w:highlight w:val="none"/>
        </w:rPr>
        <w:t>体办法如下</w:t>
      </w:r>
      <w:r>
        <w:rPr>
          <w:rFonts w:ascii="宋体" w:hAnsi="宋体" w:eastAsia="宋体" w:cs="宋体"/>
          <w:color w:val="auto"/>
          <w:spacing w:val="14"/>
          <w:sz w:val="24"/>
          <w:szCs w:val="24"/>
          <w:highlight w:val="none"/>
        </w:rPr>
        <w:t>），</w:t>
      </w:r>
      <w:r>
        <w:rPr>
          <w:rFonts w:ascii="宋体" w:hAnsi="宋体" w:eastAsia="宋体" w:cs="宋体"/>
          <w:color w:val="auto"/>
          <w:spacing w:val="5"/>
          <w:sz w:val="24"/>
          <w:szCs w:val="24"/>
          <w:highlight w:val="none"/>
        </w:rPr>
        <w:t>再对各评分因素细分项[ 评分因素</w:t>
      </w:r>
      <w:r>
        <w:rPr>
          <w:rFonts w:ascii="宋体" w:hAnsi="宋体" w:eastAsia="宋体" w:cs="宋体"/>
          <w:color w:val="auto"/>
          <w:spacing w:val="4"/>
          <w:sz w:val="24"/>
          <w:szCs w:val="24"/>
          <w:highlight w:val="none"/>
        </w:rPr>
        <w:t>细分项是指“监理大纲（或监理方</w:t>
      </w:r>
      <w:r>
        <w:rPr>
          <w:rFonts w:ascii="宋体" w:hAnsi="宋体" w:eastAsia="宋体" w:cs="宋体"/>
          <w:color w:val="auto"/>
          <w:spacing w:val="2"/>
          <w:sz w:val="24"/>
          <w:szCs w:val="24"/>
          <w:highlight w:val="none"/>
        </w:rPr>
        <w:t>案）和措施</w:t>
      </w:r>
      <w:r>
        <w:rPr>
          <w:rFonts w:ascii="宋体" w:hAnsi="宋体" w:eastAsia="宋体" w:cs="宋体"/>
          <w:color w:val="auto"/>
          <w:spacing w:val="-77"/>
          <w:sz w:val="24"/>
          <w:szCs w:val="24"/>
          <w:highlight w:val="none"/>
        </w:rPr>
        <w:t xml:space="preserve"> </w:t>
      </w:r>
      <w:r>
        <w:rPr>
          <w:rFonts w:ascii="宋体" w:hAnsi="宋体" w:eastAsia="宋体" w:cs="宋体"/>
          <w:color w:val="auto"/>
          <w:spacing w:val="2"/>
          <w:sz w:val="24"/>
          <w:szCs w:val="24"/>
          <w:highlight w:val="none"/>
        </w:rPr>
        <w:t>”、“本工程监理工作的重点与难点分析</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”、“对本工程的建议</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”三项，</w:t>
      </w:r>
      <w:r>
        <w:rPr>
          <w:rFonts w:ascii="宋体" w:hAnsi="宋体" w:eastAsia="宋体" w:cs="宋体"/>
          <w:color w:val="auto"/>
          <w:sz w:val="24"/>
          <w:szCs w:val="24"/>
          <w:highlight w:val="none"/>
        </w:rPr>
        <w:t xml:space="preserve"> </w:t>
      </w:r>
      <w:r>
        <w:rPr>
          <w:rFonts w:ascii="宋体" w:hAnsi="宋体" w:eastAsia="宋体" w:cs="宋体"/>
          <w:color w:val="auto"/>
          <w:spacing w:val="4"/>
          <w:sz w:val="24"/>
          <w:szCs w:val="24"/>
          <w:highlight w:val="none"/>
        </w:rPr>
        <w:t>“监理大纲（或监理方案）和措施</w:t>
      </w:r>
      <w:r>
        <w:rPr>
          <w:rFonts w:ascii="宋体" w:hAnsi="宋体" w:eastAsia="宋体" w:cs="宋体"/>
          <w:color w:val="auto"/>
          <w:spacing w:val="-75"/>
          <w:sz w:val="24"/>
          <w:szCs w:val="24"/>
          <w:highlight w:val="none"/>
        </w:rPr>
        <w:t xml:space="preserve"> </w:t>
      </w:r>
      <w:r>
        <w:rPr>
          <w:rFonts w:ascii="宋体" w:hAnsi="宋体" w:eastAsia="宋体" w:cs="宋体"/>
          <w:color w:val="auto"/>
          <w:spacing w:val="4"/>
          <w:sz w:val="24"/>
          <w:szCs w:val="24"/>
          <w:highlight w:val="none"/>
        </w:rPr>
        <w:t>”中的质量和安全监理、进度监理、费用和合同监</w:t>
      </w:r>
      <w:r>
        <w:rPr>
          <w:rFonts w:ascii="宋体" w:hAnsi="宋体" w:eastAsia="宋体" w:cs="宋体"/>
          <w:color w:val="auto"/>
          <w:spacing w:val="2"/>
          <w:sz w:val="24"/>
          <w:szCs w:val="24"/>
          <w:highlight w:val="none"/>
        </w:rPr>
        <w:t>理、、施工环境保护管理不属于细分项。]中取消一个最高、一个最低分后计算</w:t>
      </w:r>
      <w:r>
        <w:rPr>
          <w:rFonts w:ascii="宋体" w:hAnsi="宋体" w:eastAsia="宋体" w:cs="宋体"/>
          <w:color w:val="auto"/>
          <w:spacing w:val="1"/>
          <w:sz w:val="24"/>
          <w:szCs w:val="24"/>
          <w:highlight w:val="none"/>
        </w:rPr>
        <w:t>其算术</w:t>
      </w:r>
      <w:r>
        <w:rPr>
          <w:rFonts w:ascii="宋体" w:hAnsi="宋体" w:eastAsia="宋体" w:cs="宋体"/>
          <w:color w:val="auto"/>
          <w:spacing w:val="5"/>
          <w:sz w:val="24"/>
          <w:szCs w:val="24"/>
          <w:highlight w:val="none"/>
        </w:rPr>
        <w:t>平均值的和为投标人的最终技术得分，平均值计算保留小数点后四位，小数点后第五</w:t>
      </w:r>
      <w:r>
        <w:rPr>
          <w:rFonts w:ascii="宋体" w:hAnsi="宋体" w:eastAsia="宋体" w:cs="宋体"/>
          <w:color w:val="auto"/>
          <w:spacing w:val="-4"/>
          <w:sz w:val="24"/>
          <w:szCs w:val="24"/>
          <w:highlight w:val="none"/>
        </w:rPr>
        <w:t>位“</w:t>
      </w:r>
      <w:r>
        <w:rPr>
          <w:rFonts w:ascii="宋体" w:hAnsi="宋体" w:eastAsia="宋体" w:cs="宋体"/>
          <w:color w:val="auto"/>
          <w:spacing w:val="-86"/>
          <w:sz w:val="24"/>
          <w:szCs w:val="24"/>
          <w:highlight w:val="none"/>
        </w:rPr>
        <w:t xml:space="preserve"> </w:t>
      </w:r>
      <w:r>
        <w:rPr>
          <w:rFonts w:ascii="宋体" w:hAnsi="宋体" w:eastAsia="宋体" w:cs="宋体"/>
          <w:color w:val="auto"/>
          <w:spacing w:val="-4"/>
          <w:sz w:val="24"/>
          <w:szCs w:val="24"/>
          <w:highlight w:val="none"/>
        </w:rPr>
        <w:t>四舍五入</w:t>
      </w:r>
      <w:r>
        <w:rPr>
          <w:rFonts w:ascii="宋体" w:hAnsi="宋体" w:eastAsia="宋体" w:cs="宋体"/>
          <w:color w:val="auto"/>
          <w:spacing w:val="-88"/>
          <w:sz w:val="24"/>
          <w:szCs w:val="24"/>
          <w:highlight w:val="none"/>
        </w:rPr>
        <w:t xml:space="preserve"> </w:t>
      </w:r>
      <w:r>
        <w:rPr>
          <w:rFonts w:ascii="宋体" w:hAnsi="宋体" w:eastAsia="宋体" w:cs="宋体"/>
          <w:color w:val="auto"/>
          <w:spacing w:val="-4"/>
          <w:sz w:val="24"/>
          <w:szCs w:val="24"/>
          <w:highlight w:val="none"/>
        </w:rPr>
        <w:t>”。</w:t>
      </w:r>
    </w:p>
    <w:p w14:paraId="703347E2">
      <w:pPr>
        <w:spacing w:line="219" w:lineRule="auto"/>
        <w:ind w:left="49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取消其中</w:t>
      </w:r>
      <w:r>
        <w:rPr>
          <w:rFonts w:ascii="宋体" w:hAnsi="宋体" w:eastAsia="宋体" w:cs="宋体"/>
          <w:color w:val="auto"/>
          <w:spacing w:val="-33"/>
          <w:sz w:val="24"/>
          <w:szCs w:val="24"/>
          <w:highlight w:val="none"/>
        </w:rPr>
        <w:t xml:space="preserve"> </w:t>
      </w:r>
      <w:r>
        <w:rPr>
          <w:rFonts w:ascii="宋体" w:hAnsi="宋体" w:eastAsia="宋体" w:cs="宋体"/>
          <w:color w:val="auto"/>
          <w:spacing w:val="-1"/>
          <w:sz w:val="24"/>
          <w:szCs w:val="24"/>
          <w:highlight w:val="none"/>
        </w:rPr>
        <w:t>1</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名评委所有评分的办法[ 办法一、办法</w:t>
      </w:r>
      <w:r>
        <w:rPr>
          <w:rFonts w:ascii="宋体" w:hAnsi="宋体" w:eastAsia="宋体" w:cs="宋体"/>
          <w:color w:val="auto"/>
          <w:spacing w:val="-2"/>
          <w:sz w:val="24"/>
          <w:szCs w:val="24"/>
          <w:highlight w:val="none"/>
        </w:rPr>
        <w:t>二任选一个。]</w:t>
      </w:r>
    </w:p>
    <w:p w14:paraId="5BE22164">
      <w:pPr>
        <w:spacing w:before="181" w:line="359" w:lineRule="auto"/>
        <w:ind w:left="10" w:right="160" w:firstLine="48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办法一：依次按照以下流程</w:t>
      </w:r>
      <w:r>
        <w:rPr>
          <w:rFonts w:ascii="宋体" w:hAnsi="宋体" w:eastAsia="宋体" w:cs="宋体"/>
          <w:color w:val="auto"/>
          <w:spacing w:val="-23"/>
          <w:sz w:val="24"/>
          <w:szCs w:val="24"/>
          <w:highlight w:val="none"/>
        </w:rPr>
        <w:t>，（</w:t>
      </w:r>
      <w:r>
        <w:rPr>
          <w:rFonts w:ascii="宋体" w:hAnsi="宋体" w:eastAsia="宋体" w:cs="宋体"/>
          <w:color w:val="auto"/>
          <w:spacing w:val="3"/>
          <w:sz w:val="24"/>
          <w:szCs w:val="24"/>
          <w:highlight w:val="none"/>
        </w:rPr>
        <w:t>1）对比上述出现技术评分总分差值最大值相等的</w:t>
      </w:r>
      <w:r>
        <w:rPr>
          <w:rFonts w:ascii="宋体" w:hAnsi="宋体" w:eastAsia="宋体" w:cs="宋体"/>
          <w:color w:val="auto"/>
          <w:spacing w:val="5"/>
          <w:sz w:val="24"/>
          <w:szCs w:val="24"/>
          <w:highlight w:val="none"/>
        </w:rPr>
        <w:t>评委的次分差值（次分差值＝某一评委技术评分总分的最高分－该评委技术评</w:t>
      </w:r>
      <w:r>
        <w:rPr>
          <w:rFonts w:ascii="宋体" w:hAnsi="宋体" w:eastAsia="宋体" w:cs="宋体"/>
          <w:color w:val="auto"/>
          <w:spacing w:val="4"/>
          <w:sz w:val="24"/>
          <w:szCs w:val="24"/>
          <w:highlight w:val="none"/>
        </w:rPr>
        <w:t>分总分</w:t>
      </w:r>
      <w:r>
        <w:rPr>
          <w:rFonts w:ascii="宋体" w:hAnsi="宋体" w:eastAsia="宋体" w:cs="宋体"/>
          <w:color w:val="auto"/>
          <w:spacing w:val="2"/>
          <w:sz w:val="24"/>
          <w:szCs w:val="24"/>
          <w:highlight w:val="none"/>
        </w:rPr>
        <w:t>的次低分</w:t>
      </w:r>
      <w:r>
        <w:rPr>
          <w:rFonts w:ascii="宋体" w:hAnsi="宋体" w:eastAsia="宋体" w:cs="宋体"/>
          <w:color w:val="auto"/>
          <w:spacing w:val="-1"/>
          <w:sz w:val="24"/>
          <w:szCs w:val="24"/>
          <w:highlight w:val="none"/>
        </w:rPr>
        <w:t>），</w:t>
      </w:r>
      <w:r>
        <w:rPr>
          <w:rFonts w:ascii="宋体" w:hAnsi="宋体" w:eastAsia="宋体" w:cs="宋体"/>
          <w:color w:val="auto"/>
          <w:spacing w:val="2"/>
          <w:sz w:val="24"/>
          <w:szCs w:val="24"/>
          <w:highlight w:val="none"/>
        </w:rPr>
        <w:t>取消次分差值最大的评委所有评分</w:t>
      </w:r>
      <w:r>
        <w:rPr>
          <w:rFonts w:ascii="宋体" w:hAnsi="宋体" w:eastAsia="宋体" w:cs="宋体"/>
          <w:color w:val="auto"/>
          <w:spacing w:val="-1"/>
          <w:sz w:val="24"/>
          <w:szCs w:val="24"/>
          <w:highlight w:val="none"/>
        </w:rPr>
        <w:t>；（</w:t>
      </w:r>
      <w:r>
        <w:rPr>
          <w:rFonts w:ascii="宋体" w:hAnsi="宋体" w:eastAsia="宋体" w:cs="宋体"/>
          <w:color w:val="auto"/>
          <w:spacing w:val="2"/>
          <w:sz w:val="24"/>
          <w:szCs w:val="24"/>
          <w:highlight w:val="none"/>
        </w:rPr>
        <w:t>2）如次分差值仍相同，则按随机</w:t>
      </w:r>
      <w:r>
        <w:rPr>
          <w:rFonts w:ascii="宋体" w:hAnsi="宋体" w:eastAsia="宋体" w:cs="宋体"/>
          <w:color w:val="auto"/>
          <w:spacing w:val="4"/>
          <w:sz w:val="24"/>
          <w:szCs w:val="24"/>
          <w:highlight w:val="none"/>
        </w:rPr>
        <w:t>抽取的方式选定取消</w:t>
      </w:r>
      <w:r>
        <w:rPr>
          <w:rFonts w:ascii="宋体" w:hAnsi="宋体" w:eastAsia="宋体" w:cs="宋体"/>
          <w:color w:val="auto"/>
          <w:spacing w:val="-23"/>
          <w:sz w:val="24"/>
          <w:szCs w:val="24"/>
          <w:highlight w:val="none"/>
        </w:rPr>
        <w:t xml:space="preserve"> </w:t>
      </w:r>
      <w:r>
        <w:rPr>
          <w:rFonts w:ascii="宋体" w:hAnsi="宋体" w:eastAsia="宋体" w:cs="宋体"/>
          <w:color w:val="auto"/>
          <w:spacing w:val="4"/>
          <w:sz w:val="24"/>
          <w:szCs w:val="24"/>
          <w:highlight w:val="none"/>
        </w:rPr>
        <w:t>1</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名评委评分。示例</w:t>
      </w:r>
      <w:r>
        <w:rPr>
          <w:rFonts w:ascii="宋体" w:hAnsi="宋体" w:eastAsia="宋体" w:cs="宋体"/>
          <w:color w:val="auto"/>
          <w:spacing w:val="-65"/>
          <w:sz w:val="24"/>
          <w:szCs w:val="24"/>
          <w:highlight w:val="none"/>
        </w:rPr>
        <w:t xml:space="preserve"> </w:t>
      </w:r>
      <w:r>
        <w:rPr>
          <w:rFonts w:ascii="宋体" w:hAnsi="宋体" w:eastAsia="宋体" w:cs="宋体"/>
          <w:color w:val="auto"/>
          <w:spacing w:val="4"/>
          <w:sz w:val="24"/>
          <w:szCs w:val="24"/>
          <w:highlight w:val="none"/>
        </w:rPr>
        <w:t>:同一评委对</w:t>
      </w:r>
      <w:r>
        <w:rPr>
          <w:rFonts w:ascii="宋体" w:hAnsi="宋体" w:eastAsia="宋体" w:cs="宋体"/>
          <w:color w:val="auto"/>
          <w:spacing w:val="-36"/>
          <w:sz w:val="24"/>
          <w:szCs w:val="24"/>
          <w:highlight w:val="none"/>
        </w:rPr>
        <w:t xml:space="preserve"> </w:t>
      </w:r>
      <w:r>
        <w:rPr>
          <w:rFonts w:ascii="宋体" w:hAnsi="宋体" w:eastAsia="宋体" w:cs="宋体"/>
          <w:color w:val="auto"/>
          <w:spacing w:val="4"/>
          <w:sz w:val="24"/>
          <w:szCs w:val="24"/>
          <w:highlight w:val="none"/>
        </w:rPr>
        <w:t>5</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名投标人技术评分总分分别</w:t>
      </w:r>
      <w:r>
        <w:rPr>
          <w:rFonts w:ascii="宋体" w:hAnsi="宋体" w:eastAsia="宋体" w:cs="宋体"/>
          <w:color w:val="auto"/>
          <w:spacing w:val="2"/>
          <w:sz w:val="24"/>
          <w:szCs w:val="24"/>
          <w:highlight w:val="none"/>
        </w:rPr>
        <w:t>为</w:t>
      </w:r>
      <w:r>
        <w:rPr>
          <w:rFonts w:ascii="宋体" w:hAnsi="宋体" w:eastAsia="宋体" w:cs="宋体"/>
          <w:color w:val="auto"/>
          <w:spacing w:val="-68"/>
          <w:sz w:val="24"/>
          <w:szCs w:val="24"/>
          <w:highlight w:val="none"/>
        </w:rPr>
        <w:t xml:space="preserve"> </w:t>
      </w:r>
      <w:r>
        <w:rPr>
          <w:rFonts w:ascii="宋体" w:hAnsi="宋体" w:eastAsia="宋体" w:cs="宋体"/>
          <w:color w:val="auto"/>
          <w:spacing w:val="2"/>
          <w:sz w:val="24"/>
          <w:szCs w:val="24"/>
          <w:highlight w:val="none"/>
        </w:rPr>
        <w:t>:27.3（最高分)、27.1、26.5、26.1（次低分）、25.5（最低分</w:t>
      </w:r>
      <w:r>
        <w:rPr>
          <w:rFonts w:ascii="宋体" w:hAnsi="宋体" w:eastAsia="宋体" w:cs="宋体"/>
          <w:color w:val="auto"/>
          <w:spacing w:val="19"/>
          <w:sz w:val="24"/>
          <w:szCs w:val="24"/>
          <w:highlight w:val="none"/>
        </w:rPr>
        <w:t>），</w:t>
      </w:r>
      <w:r>
        <w:rPr>
          <w:rFonts w:ascii="宋体" w:hAnsi="宋体" w:eastAsia="宋体" w:cs="宋体"/>
          <w:color w:val="auto"/>
          <w:spacing w:val="2"/>
          <w:sz w:val="24"/>
          <w:szCs w:val="24"/>
          <w:highlight w:val="none"/>
        </w:rPr>
        <w:t>则其最大差值</w:t>
      </w:r>
      <w:r>
        <w:rPr>
          <w:rFonts w:ascii="宋体" w:hAnsi="宋体" w:eastAsia="宋体" w:cs="宋体"/>
          <w:color w:val="auto"/>
          <w:spacing w:val="-2"/>
          <w:sz w:val="24"/>
          <w:szCs w:val="24"/>
          <w:highlight w:val="none"/>
        </w:rPr>
        <w:t>为</w:t>
      </w:r>
      <w:r>
        <w:rPr>
          <w:rFonts w:ascii="宋体" w:hAnsi="宋体" w:eastAsia="宋体" w:cs="宋体"/>
          <w:color w:val="auto"/>
          <w:spacing w:val="-32"/>
          <w:sz w:val="24"/>
          <w:szCs w:val="24"/>
          <w:highlight w:val="none"/>
        </w:rPr>
        <w:t xml:space="preserve"> </w:t>
      </w:r>
      <w:r>
        <w:rPr>
          <w:rFonts w:ascii="宋体" w:hAnsi="宋体" w:eastAsia="宋体" w:cs="宋体"/>
          <w:color w:val="auto"/>
          <w:spacing w:val="-2"/>
          <w:sz w:val="24"/>
          <w:szCs w:val="24"/>
          <w:highlight w:val="none"/>
        </w:rPr>
        <w:t>1.8、次大差值为</w:t>
      </w:r>
      <w:r>
        <w:rPr>
          <w:rFonts w:ascii="宋体" w:hAnsi="宋体" w:eastAsia="宋体" w:cs="宋体"/>
          <w:color w:val="auto"/>
          <w:spacing w:val="-48"/>
          <w:sz w:val="24"/>
          <w:szCs w:val="24"/>
          <w:highlight w:val="none"/>
        </w:rPr>
        <w:t xml:space="preserve"> </w:t>
      </w:r>
      <w:r>
        <w:rPr>
          <w:rFonts w:ascii="宋体" w:hAnsi="宋体" w:eastAsia="宋体" w:cs="宋体"/>
          <w:color w:val="auto"/>
          <w:spacing w:val="-2"/>
          <w:sz w:val="24"/>
          <w:szCs w:val="24"/>
          <w:highlight w:val="none"/>
        </w:rPr>
        <w:t>27.3-26.1=1.2）。</w:t>
      </w:r>
    </w:p>
    <w:p w14:paraId="5C07CEFD">
      <w:pPr>
        <w:spacing w:line="218" w:lineRule="auto"/>
        <w:ind w:left="49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办法二：按随机抽取的方式选定取消</w:t>
      </w:r>
      <w:r>
        <w:rPr>
          <w:rFonts w:ascii="宋体" w:hAnsi="宋体" w:eastAsia="宋体" w:cs="宋体"/>
          <w:color w:val="auto"/>
          <w:spacing w:val="-19"/>
          <w:sz w:val="24"/>
          <w:szCs w:val="24"/>
          <w:highlight w:val="none"/>
        </w:rPr>
        <w:t xml:space="preserve"> </w:t>
      </w:r>
      <w:r>
        <w:rPr>
          <w:rFonts w:ascii="宋体" w:hAnsi="宋体" w:eastAsia="宋体" w:cs="宋体"/>
          <w:color w:val="auto"/>
          <w:spacing w:val="-3"/>
          <w:sz w:val="24"/>
          <w:szCs w:val="24"/>
          <w:highlight w:val="none"/>
        </w:rPr>
        <w:t>1</w:t>
      </w:r>
      <w:r>
        <w:rPr>
          <w:rFonts w:ascii="宋体" w:hAnsi="宋体" w:eastAsia="宋体" w:cs="宋体"/>
          <w:color w:val="auto"/>
          <w:spacing w:val="-48"/>
          <w:sz w:val="24"/>
          <w:szCs w:val="24"/>
          <w:highlight w:val="none"/>
        </w:rPr>
        <w:t xml:space="preserve"> </w:t>
      </w:r>
      <w:r>
        <w:rPr>
          <w:rFonts w:ascii="宋体" w:hAnsi="宋体" w:eastAsia="宋体" w:cs="宋体"/>
          <w:color w:val="auto"/>
          <w:spacing w:val="-3"/>
          <w:sz w:val="24"/>
          <w:szCs w:val="24"/>
          <w:highlight w:val="none"/>
        </w:rPr>
        <w:t>名评委评分。</w:t>
      </w:r>
    </w:p>
    <w:p w14:paraId="2C41937A">
      <w:pPr>
        <w:spacing w:before="185" w:line="359" w:lineRule="auto"/>
        <w:ind w:left="14" w:right="163" w:firstLine="47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评标委员会人数为</w:t>
      </w:r>
      <w:r>
        <w:rPr>
          <w:rFonts w:ascii="宋体" w:hAnsi="宋体" w:eastAsia="宋体" w:cs="宋体"/>
          <w:color w:val="auto"/>
          <w:spacing w:val="-43"/>
          <w:sz w:val="24"/>
          <w:szCs w:val="24"/>
          <w:highlight w:val="none"/>
        </w:rPr>
        <w:t xml:space="preserve"> </w:t>
      </w:r>
      <w:r>
        <w:rPr>
          <w:rFonts w:ascii="宋体" w:hAnsi="宋体" w:eastAsia="宋体" w:cs="宋体"/>
          <w:color w:val="auto"/>
          <w:spacing w:val="1"/>
          <w:sz w:val="24"/>
          <w:szCs w:val="24"/>
          <w:highlight w:val="none"/>
        </w:rPr>
        <w:t>7</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人时，计算投标人技术得分时:各评分因素细分项</w:t>
      </w:r>
      <w:r>
        <w:rPr>
          <w:rFonts w:ascii="宋体" w:hAnsi="宋体" w:eastAsia="宋体" w:cs="宋体"/>
          <w:color w:val="auto"/>
          <w:sz w:val="24"/>
          <w:szCs w:val="24"/>
          <w:highlight w:val="none"/>
        </w:rPr>
        <w:t>中取消一个</w:t>
      </w:r>
      <w:r>
        <w:rPr>
          <w:rFonts w:ascii="宋体" w:hAnsi="宋体" w:eastAsia="宋体" w:cs="宋体"/>
          <w:color w:val="auto"/>
          <w:spacing w:val="5"/>
          <w:sz w:val="24"/>
          <w:szCs w:val="24"/>
          <w:highlight w:val="none"/>
        </w:rPr>
        <w:t>最高、一个最低分后计算算术平均值的和为投标人的最终技术得分，</w:t>
      </w:r>
      <w:r>
        <w:rPr>
          <w:rFonts w:ascii="宋体" w:hAnsi="宋体" w:eastAsia="宋体" w:cs="宋体"/>
          <w:color w:val="auto"/>
          <w:spacing w:val="4"/>
          <w:sz w:val="24"/>
          <w:szCs w:val="24"/>
          <w:highlight w:val="none"/>
        </w:rPr>
        <w:t>平均值计算保留</w:t>
      </w:r>
      <w:r>
        <w:rPr>
          <w:rFonts w:ascii="宋体" w:hAnsi="宋体" w:eastAsia="宋体" w:cs="宋体"/>
          <w:color w:val="auto"/>
          <w:spacing w:val="-4"/>
          <w:sz w:val="24"/>
          <w:szCs w:val="24"/>
          <w:highlight w:val="none"/>
        </w:rPr>
        <w:t>小数点后四位，小数点后第五位“</w:t>
      </w:r>
      <w:r>
        <w:rPr>
          <w:rFonts w:ascii="宋体" w:hAnsi="宋体" w:eastAsia="宋体" w:cs="宋体"/>
          <w:color w:val="auto"/>
          <w:spacing w:val="-78"/>
          <w:sz w:val="24"/>
          <w:szCs w:val="24"/>
          <w:highlight w:val="none"/>
        </w:rPr>
        <w:t xml:space="preserve"> </w:t>
      </w:r>
      <w:r>
        <w:rPr>
          <w:rFonts w:ascii="宋体" w:hAnsi="宋体" w:eastAsia="宋体" w:cs="宋体"/>
          <w:color w:val="auto"/>
          <w:spacing w:val="-4"/>
          <w:sz w:val="24"/>
          <w:szCs w:val="24"/>
          <w:highlight w:val="none"/>
        </w:rPr>
        <w:t>四舍五入</w:t>
      </w:r>
      <w:r>
        <w:rPr>
          <w:rFonts w:ascii="宋体" w:hAnsi="宋体" w:eastAsia="宋体" w:cs="宋体"/>
          <w:color w:val="auto"/>
          <w:spacing w:val="-88"/>
          <w:sz w:val="24"/>
          <w:szCs w:val="24"/>
          <w:highlight w:val="none"/>
        </w:rPr>
        <w:t xml:space="preserve"> </w:t>
      </w:r>
      <w:r>
        <w:rPr>
          <w:rFonts w:ascii="宋体" w:hAnsi="宋体" w:eastAsia="宋体" w:cs="宋体"/>
          <w:color w:val="auto"/>
          <w:spacing w:val="-4"/>
          <w:sz w:val="24"/>
          <w:szCs w:val="24"/>
          <w:highlight w:val="none"/>
        </w:rPr>
        <w:t>”。</w:t>
      </w:r>
    </w:p>
    <w:p w14:paraId="0285657A">
      <w:pPr>
        <w:spacing w:line="218" w:lineRule="auto"/>
        <w:ind w:left="51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以上评标委员会人数以实际参与评审的评标委</w:t>
      </w:r>
      <w:r>
        <w:rPr>
          <w:rFonts w:ascii="宋体" w:hAnsi="宋体" w:eastAsia="宋体" w:cs="宋体"/>
          <w:color w:val="auto"/>
          <w:spacing w:val="-2"/>
          <w:sz w:val="24"/>
          <w:szCs w:val="24"/>
          <w:highlight w:val="none"/>
        </w:rPr>
        <w:t>员会人数数量为准。</w:t>
      </w:r>
    </w:p>
    <w:p w14:paraId="673DAA56">
      <w:pPr>
        <w:spacing w:line="246" w:lineRule="auto"/>
        <w:rPr>
          <w:rFonts w:ascii="Arial"/>
          <w:color w:val="auto"/>
          <w:sz w:val="21"/>
          <w:highlight w:val="none"/>
        </w:rPr>
      </w:pPr>
    </w:p>
    <w:p w14:paraId="17DCEDFA">
      <w:pPr>
        <w:pStyle w:val="4"/>
        <w:bidi w:val="0"/>
        <w:rPr>
          <w:color w:val="auto"/>
          <w:highlight w:val="none"/>
        </w:rPr>
      </w:pPr>
      <w:r>
        <w:rPr>
          <w:color w:val="auto"/>
          <w:highlight w:val="none"/>
        </w:rPr>
        <w:t>3.3 第二个信封开标</w:t>
      </w:r>
    </w:p>
    <w:p w14:paraId="2F330F37">
      <w:pPr>
        <w:spacing w:before="50" w:line="361" w:lineRule="auto"/>
        <w:ind w:left="11" w:firstLine="480"/>
        <w:jc w:val="both"/>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第一个信封（商务及技术文件）评审结束后，招标人将按照第二章“投标人须知</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w:t>
      </w:r>
      <w:r>
        <w:rPr>
          <w:rFonts w:ascii="宋体" w:hAnsi="宋体" w:eastAsia="宋体" w:cs="宋体"/>
          <w:color w:val="auto"/>
          <w:spacing w:val="4"/>
          <w:sz w:val="24"/>
          <w:szCs w:val="24"/>
          <w:highlight w:val="none"/>
        </w:rPr>
        <w:t>第</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5.1</w:t>
      </w:r>
      <w:r>
        <w:rPr>
          <w:rFonts w:ascii="宋体" w:hAnsi="宋体" w:eastAsia="宋体" w:cs="宋体"/>
          <w:color w:val="auto"/>
          <w:spacing w:val="-42"/>
          <w:sz w:val="24"/>
          <w:szCs w:val="24"/>
          <w:highlight w:val="none"/>
        </w:rPr>
        <w:t xml:space="preserve"> </w:t>
      </w:r>
      <w:r>
        <w:rPr>
          <w:rFonts w:ascii="宋体" w:hAnsi="宋体" w:eastAsia="宋体" w:cs="宋体"/>
          <w:color w:val="auto"/>
          <w:spacing w:val="4"/>
          <w:sz w:val="24"/>
          <w:szCs w:val="24"/>
          <w:highlight w:val="none"/>
        </w:rPr>
        <w:t>款规定的时间和地点对通过投标文件第一个信封（商务及技</w:t>
      </w:r>
      <w:r>
        <w:rPr>
          <w:rFonts w:ascii="宋体" w:hAnsi="宋体" w:eastAsia="宋体" w:cs="宋体"/>
          <w:color w:val="auto"/>
          <w:spacing w:val="3"/>
          <w:sz w:val="24"/>
          <w:szCs w:val="24"/>
          <w:highlight w:val="none"/>
        </w:rPr>
        <w:t>术文件）评审的投</w:t>
      </w:r>
      <w:r>
        <w:rPr>
          <w:rFonts w:ascii="宋体" w:hAnsi="宋体" w:eastAsia="宋体" w:cs="宋体"/>
          <w:color w:val="auto"/>
          <w:spacing w:val="-1"/>
          <w:sz w:val="24"/>
          <w:szCs w:val="24"/>
          <w:highlight w:val="none"/>
        </w:rPr>
        <w:t>标文件第二个信封（报价文件）进行开标。</w:t>
      </w:r>
    </w:p>
    <w:p w14:paraId="28F63A00">
      <w:pPr>
        <w:pStyle w:val="4"/>
        <w:bidi w:val="0"/>
        <w:rPr>
          <w:color w:val="auto"/>
          <w:highlight w:val="none"/>
        </w:rPr>
      </w:pPr>
      <w:bookmarkStart w:id="57" w:name="bookmark165"/>
      <w:bookmarkEnd w:id="57"/>
      <w:r>
        <w:rPr>
          <w:color w:val="auto"/>
          <w:highlight w:val="none"/>
        </w:rPr>
        <w:t>3.4 第二个信封初步评审</w:t>
      </w:r>
    </w:p>
    <w:p w14:paraId="21A2CDEB">
      <w:pPr>
        <w:spacing w:before="53" w:line="219" w:lineRule="auto"/>
        <w:ind w:left="49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3.4.1 评标委员会依据本章第</w:t>
      </w:r>
      <w:r>
        <w:rPr>
          <w:rFonts w:ascii="宋体" w:hAnsi="宋体" w:eastAsia="宋体" w:cs="宋体"/>
          <w:color w:val="auto"/>
          <w:spacing w:val="-26"/>
          <w:sz w:val="24"/>
          <w:szCs w:val="24"/>
          <w:highlight w:val="none"/>
        </w:rPr>
        <w:t xml:space="preserve"> </w:t>
      </w:r>
      <w:r>
        <w:rPr>
          <w:rFonts w:ascii="宋体" w:hAnsi="宋体" w:eastAsia="宋体" w:cs="宋体"/>
          <w:color w:val="auto"/>
          <w:spacing w:val="2"/>
          <w:sz w:val="24"/>
          <w:szCs w:val="24"/>
          <w:highlight w:val="none"/>
        </w:rPr>
        <w:t>2.1.1</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项、第</w:t>
      </w:r>
      <w:r>
        <w:rPr>
          <w:rFonts w:ascii="宋体" w:hAnsi="宋体" w:eastAsia="宋体" w:cs="宋体"/>
          <w:color w:val="auto"/>
          <w:spacing w:val="-43"/>
          <w:sz w:val="24"/>
          <w:szCs w:val="24"/>
          <w:highlight w:val="none"/>
        </w:rPr>
        <w:t xml:space="preserve"> </w:t>
      </w:r>
      <w:r>
        <w:rPr>
          <w:rFonts w:ascii="宋体" w:hAnsi="宋体" w:eastAsia="宋体" w:cs="宋体"/>
          <w:color w:val="auto"/>
          <w:spacing w:val="2"/>
          <w:sz w:val="24"/>
          <w:szCs w:val="24"/>
          <w:highlight w:val="none"/>
        </w:rPr>
        <w:t>2.1.3</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项规定的评审标准对投标文件</w:t>
      </w:r>
    </w:p>
    <w:p w14:paraId="7F8792E0">
      <w:pPr>
        <w:spacing w:before="78" w:line="359" w:lineRule="auto"/>
        <w:ind w:left="15" w:right="128" w:hanging="7"/>
        <w:rPr>
          <w:rFonts w:ascii="宋体" w:hAnsi="宋体" w:eastAsia="宋体" w:cs="宋体"/>
          <w:color w:val="auto"/>
          <w:sz w:val="24"/>
          <w:szCs w:val="24"/>
          <w:highlight w:val="none"/>
        </w:rPr>
      </w:pPr>
      <w:bookmarkStart w:id="58" w:name="bookmark166"/>
      <w:bookmarkEnd w:id="58"/>
      <w:r>
        <w:rPr>
          <w:rFonts w:ascii="宋体" w:hAnsi="宋体" w:eastAsia="宋体" w:cs="宋体"/>
          <w:color w:val="auto"/>
          <w:spacing w:val="5"/>
          <w:sz w:val="24"/>
          <w:szCs w:val="24"/>
          <w:highlight w:val="none"/>
        </w:rPr>
        <w:t>第二个信封（报价文件）进行初步评审。有一项不符合评审标准的，评标委</w:t>
      </w:r>
      <w:r>
        <w:rPr>
          <w:rFonts w:ascii="宋体" w:hAnsi="宋体" w:eastAsia="宋体" w:cs="宋体"/>
          <w:color w:val="auto"/>
          <w:spacing w:val="4"/>
          <w:sz w:val="24"/>
          <w:szCs w:val="24"/>
          <w:highlight w:val="none"/>
        </w:rPr>
        <w:t>员会应否</w:t>
      </w:r>
      <w:r>
        <w:rPr>
          <w:rFonts w:ascii="宋体" w:hAnsi="宋体" w:eastAsia="宋体" w:cs="宋体"/>
          <w:color w:val="auto"/>
          <w:spacing w:val="-4"/>
          <w:sz w:val="24"/>
          <w:szCs w:val="24"/>
          <w:highlight w:val="none"/>
        </w:rPr>
        <w:t>决其投标。</w:t>
      </w:r>
    </w:p>
    <w:p w14:paraId="5A28D776">
      <w:pPr>
        <w:spacing w:before="2" w:line="358" w:lineRule="auto"/>
        <w:ind w:left="13" w:right="128" w:firstLine="480"/>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3.4.2 投标报价有算术错误的，评标委员会按以</w:t>
      </w:r>
      <w:r>
        <w:rPr>
          <w:rFonts w:ascii="宋体" w:hAnsi="宋体" w:eastAsia="宋体" w:cs="宋体"/>
          <w:color w:val="auto"/>
          <w:spacing w:val="4"/>
          <w:sz w:val="24"/>
          <w:szCs w:val="24"/>
          <w:highlight w:val="none"/>
        </w:rPr>
        <w:t>下原则对投标报价进行修正，修</w:t>
      </w:r>
      <w:r>
        <w:rPr>
          <w:rFonts w:ascii="宋体" w:hAnsi="宋体" w:eastAsia="宋体" w:cs="宋体"/>
          <w:color w:val="auto"/>
          <w:spacing w:val="5"/>
          <w:sz w:val="24"/>
          <w:szCs w:val="24"/>
          <w:highlight w:val="none"/>
        </w:rPr>
        <w:t>正的价格经投标人书面确认后具有约束力。投标人不接受修正价</w:t>
      </w:r>
      <w:r>
        <w:rPr>
          <w:rFonts w:ascii="宋体" w:hAnsi="宋体" w:eastAsia="宋体" w:cs="宋体"/>
          <w:color w:val="auto"/>
          <w:spacing w:val="4"/>
          <w:sz w:val="24"/>
          <w:szCs w:val="24"/>
          <w:highlight w:val="none"/>
        </w:rPr>
        <w:t>格的，评标委员会应</w:t>
      </w:r>
      <w:r>
        <w:rPr>
          <w:rFonts w:ascii="宋体" w:hAnsi="宋体" w:eastAsia="宋体" w:cs="宋体"/>
          <w:color w:val="auto"/>
          <w:spacing w:val="-3"/>
          <w:sz w:val="24"/>
          <w:szCs w:val="24"/>
          <w:highlight w:val="none"/>
        </w:rPr>
        <w:t>否决其投标。</w:t>
      </w:r>
    </w:p>
    <w:p w14:paraId="5C6C35E0">
      <w:pPr>
        <w:spacing w:line="219"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（1）投标文件中的大写金额与小写金额不一致的，以大写金额为准；</w:t>
      </w:r>
    </w:p>
    <w:p w14:paraId="08DA241D">
      <w:pPr>
        <w:spacing w:before="183" w:line="359" w:lineRule="auto"/>
        <w:ind w:left="10" w:right="128" w:firstLine="48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（2）总价金额与依据单价计算出的结果不一致的，以单价金额为准修正总价，但</w:t>
      </w:r>
      <w:r>
        <w:rPr>
          <w:rFonts w:ascii="宋体" w:hAnsi="宋体" w:eastAsia="宋体" w:cs="宋体"/>
          <w:color w:val="auto"/>
          <w:spacing w:val="-1"/>
          <w:sz w:val="24"/>
          <w:szCs w:val="24"/>
          <w:highlight w:val="none"/>
        </w:rPr>
        <w:t>单价金额小数点有明显错误的除外；</w:t>
      </w:r>
    </w:p>
    <w:p w14:paraId="6C62495D">
      <w:pPr>
        <w:spacing w:line="359" w:lineRule="auto"/>
        <w:ind w:left="20" w:right="128" w:firstLine="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（3）当单价与数量相乘不等于合价时，以单价计算为准，如果单价有明显的小数</w:t>
      </w:r>
      <w:r>
        <w:rPr>
          <w:rFonts w:ascii="宋体" w:hAnsi="宋体" w:eastAsia="宋体" w:cs="宋体"/>
          <w:color w:val="auto"/>
          <w:spacing w:val="-1"/>
          <w:sz w:val="24"/>
          <w:szCs w:val="24"/>
          <w:highlight w:val="none"/>
        </w:rPr>
        <w:t>点位置差错，应以标出的合价为准，同时对单价予以修正；</w:t>
      </w:r>
    </w:p>
    <w:p w14:paraId="2DC1E789">
      <w:pPr>
        <w:spacing w:before="1" w:line="217" w:lineRule="auto"/>
        <w:jc w:val="right"/>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（4）当各子目的合价累计不等于总价时，应以各子目合价累计数为准，修正总价。</w:t>
      </w:r>
    </w:p>
    <w:p w14:paraId="1E7372B2">
      <w:pPr>
        <w:spacing w:before="182" w:line="360" w:lineRule="auto"/>
        <w:ind w:left="9" w:right="128" w:firstLine="483"/>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3.4.3 修正后的最终投标报价若超过最高投标限价（如有</w:t>
      </w:r>
      <w:r>
        <w:rPr>
          <w:rFonts w:ascii="宋体" w:hAnsi="宋体" w:eastAsia="宋体" w:cs="宋体"/>
          <w:color w:val="auto"/>
          <w:spacing w:val="16"/>
          <w:sz w:val="24"/>
          <w:szCs w:val="24"/>
          <w:highlight w:val="none"/>
        </w:rPr>
        <w:t>），</w:t>
      </w:r>
      <w:r>
        <w:rPr>
          <w:rFonts w:ascii="宋体" w:hAnsi="宋体" w:eastAsia="宋体" w:cs="宋体"/>
          <w:color w:val="auto"/>
          <w:spacing w:val="4"/>
          <w:sz w:val="24"/>
          <w:szCs w:val="24"/>
          <w:highlight w:val="none"/>
        </w:rPr>
        <w:t>评标委员会应否决</w:t>
      </w:r>
      <w:r>
        <w:rPr>
          <w:rFonts w:ascii="宋体" w:hAnsi="宋体" w:eastAsia="宋体" w:cs="宋体"/>
          <w:color w:val="auto"/>
          <w:spacing w:val="-3"/>
          <w:sz w:val="24"/>
          <w:szCs w:val="24"/>
          <w:highlight w:val="none"/>
        </w:rPr>
        <w:t>其投标。</w:t>
      </w:r>
    </w:p>
    <w:p w14:paraId="2C1CFF89">
      <w:pPr>
        <w:spacing w:before="1" w:line="360" w:lineRule="auto"/>
        <w:ind w:left="8" w:right="128" w:firstLine="48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3.4.4 修正后的最终投标报价仅作为签订合同的</w:t>
      </w:r>
      <w:r>
        <w:rPr>
          <w:rFonts w:ascii="宋体" w:hAnsi="宋体" w:eastAsia="宋体" w:cs="宋体"/>
          <w:color w:val="auto"/>
          <w:spacing w:val="4"/>
          <w:sz w:val="24"/>
          <w:szCs w:val="24"/>
          <w:highlight w:val="none"/>
        </w:rPr>
        <w:t>一个依据，不参与评标价得分的</w:t>
      </w:r>
      <w:r>
        <w:rPr>
          <w:rFonts w:ascii="宋体" w:hAnsi="宋体" w:eastAsia="宋体" w:cs="宋体"/>
          <w:color w:val="auto"/>
          <w:spacing w:val="-4"/>
          <w:sz w:val="24"/>
          <w:szCs w:val="24"/>
          <w:highlight w:val="none"/>
        </w:rPr>
        <w:t>计算。</w:t>
      </w:r>
    </w:p>
    <w:p w14:paraId="7A1DB481">
      <w:pPr>
        <w:pStyle w:val="4"/>
        <w:bidi w:val="0"/>
        <w:rPr>
          <w:color w:val="auto"/>
          <w:highlight w:val="none"/>
        </w:rPr>
      </w:pPr>
      <w:r>
        <w:rPr>
          <w:color w:val="auto"/>
          <w:highlight w:val="none"/>
        </w:rPr>
        <w:t>3.5 第二个信封详细评审</w:t>
      </w:r>
    </w:p>
    <w:p w14:paraId="1378C510">
      <w:pPr>
        <w:spacing w:before="53" w:line="358" w:lineRule="auto"/>
        <w:ind w:left="28" w:right="128" w:firstLine="46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3.5.1 评标委员会按本章第</w:t>
      </w:r>
      <w:r>
        <w:rPr>
          <w:rFonts w:ascii="宋体" w:hAnsi="宋体" w:eastAsia="宋体" w:cs="宋体"/>
          <w:color w:val="auto"/>
          <w:spacing w:val="-38"/>
          <w:sz w:val="24"/>
          <w:szCs w:val="24"/>
          <w:highlight w:val="none"/>
        </w:rPr>
        <w:t xml:space="preserve"> </w:t>
      </w:r>
      <w:r>
        <w:rPr>
          <w:rFonts w:ascii="宋体" w:hAnsi="宋体" w:eastAsia="宋体" w:cs="宋体"/>
          <w:color w:val="auto"/>
          <w:spacing w:val="-1"/>
          <w:sz w:val="24"/>
          <w:szCs w:val="24"/>
          <w:highlight w:val="none"/>
        </w:rPr>
        <w:t>2.2.4</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项（3）</w:t>
      </w:r>
      <w:r>
        <w:rPr>
          <w:rFonts w:ascii="宋体" w:hAnsi="宋体" w:eastAsia="宋体" w:cs="宋体"/>
          <w:color w:val="auto"/>
          <w:spacing w:val="-60"/>
          <w:sz w:val="24"/>
          <w:szCs w:val="24"/>
          <w:highlight w:val="none"/>
        </w:rPr>
        <w:t xml:space="preserve"> </w:t>
      </w:r>
      <w:r>
        <w:rPr>
          <w:rFonts w:ascii="宋体" w:hAnsi="宋体" w:eastAsia="宋体" w:cs="宋体"/>
          <w:color w:val="auto"/>
          <w:spacing w:val="-1"/>
          <w:sz w:val="24"/>
          <w:szCs w:val="24"/>
          <w:highlight w:val="none"/>
        </w:rPr>
        <w:t>目规定的评审因素和分值对评标价计算</w:t>
      </w:r>
      <w:r>
        <w:rPr>
          <w:rFonts w:ascii="宋体" w:hAnsi="宋体" w:eastAsia="宋体" w:cs="宋体"/>
          <w:color w:val="auto"/>
          <w:spacing w:val="-2"/>
          <w:sz w:val="24"/>
          <w:szCs w:val="24"/>
          <w:highlight w:val="none"/>
        </w:rPr>
        <w:t>出得分</w:t>
      </w:r>
      <w:r>
        <w:rPr>
          <w:rFonts w:ascii="宋体" w:hAnsi="宋体" w:eastAsia="宋体" w:cs="宋体"/>
          <w:color w:val="auto"/>
          <w:spacing w:val="-48"/>
          <w:sz w:val="24"/>
          <w:szCs w:val="24"/>
          <w:highlight w:val="none"/>
        </w:rPr>
        <w:t xml:space="preserve"> </w:t>
      </w:r>
      <w:r>
        <w:rPr>
          <w:rFonts w:ascii="宋体" w:hAnsi="宋体" w:eastAsia="宋体" w:cs="宋体"/>
          <w:color w:val="auto"/>
          <w:spacing w:val="-2"/>
          <w:sz w:val="24"/>
          <w:szCs w:val="24"/>
          <w:highlight w:val="none"/>
        </w:rPr>
        <w:t>C。评标价得分分值计算保留小数点后四位，小数点后第五位“</w:t>
      </w:r>
      <w:r>
        <w:rPr>
          <w:rFonts w:ascii="宋体" w:hAnsi="宋体" w:eastAsia="宋体" w:cs="宋体"/>
          <w:color w:val="auto"/>
          <w:spacing w:val="-89"/>
          <w:sz w:val="24"/>
          <w:szCs w:val="24"/>
          <w:highlight w:val="none"/>
        </w:rPr>
        <w:t xml:space="preserve"> </w:t>
      </w:r>
      <w:r>
        <w:rPr>
          <w:rFonts w:ascii="宋体" w:hAnsi="宋体" w:eastAsia="宋体" w:cs="宋体"/>
          <w:color w:val="auto"/>
          <w:spacing w:val="-2"/>
          <w:sz w:val="24"/>
          <w:szCs w:val="24"/>
          <w:highlight w:val="none"/>
        </w:rPr>
        <w:t>四舍五入</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w:t>
      </w:r>
    </w:p>
    <w:p w14:paraId="036C3944">
      <w:pPr>
        <w:spacing w:before="1" w:line="219" w:lineRule="auto"/>
        <w:ind w:left="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3.5.2 投标人综合得分=投标人的商务和技术得分+C。</w:t>
      </w:r>
    </w:p>
    <w:p w14:paraId="25BE76DB">
      <w:pPr>
        <w:spacing w:before="183" w:line="360" w:lineRule="auto"/>
        <w:ind w:left="9" w:right="128"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3.5.3 评标委员会发现投标人的报价明显低于其</w:t>
      </w:r>
      <w:r>
        <w:rPr>
          <w:rFonts w:ascii="宋体" w:hAnsi="宋体" w:eastAsia="宋体" w:cs="宋体"/>
          <w:color w:val="auto"/>
          <w:spacing w:val="4"/>
          <w:sz w:val="24"/>
          <w:szCs w:val="24"/>
          <w:highlight w:val="none"/>
        </w:rPr>
        <w:t>他投标报价，使得其投标报价可</w:t>
      </w:r>
      <w:r>
        <w:rPr>
          <w:rFonts w:ascii="宋体" w:hAnsi="宋体" w:eastAsia="宋体" w:cs="宋体"/>
          <w:color w:val="auto"/>
          <w:spacing w:val="5"/>
          <w:sz w:val="24"/>
          <w:szCs w:val="24"/>
          <w:highlight w:val="none"/>
        </w:rPr>
        <w:t>能低于其个别成本的，应要求该投标人作出书面说明并提供相应的证明材</w:t>
      </w:r>
      <w:r>
        <w:rPr>
          <w:rFonts w:ascii="宋体" w:hAnsi="宋体" w:eastAsia="宋体" w:cs="宋体"/>
          <w:color w:val="auto"/>
          <w:spacing w:val="4"/>
          <w:sz w:val="24"/>
          <w:szCs w:val="24"/>
          <w:highlight w:val="none"/>
        </w:rPr>
        <w:t>料。投标人</w:t>
      </w:r>
      <w:r>
        <w:rPr>
          <w:rFonts w:ascii="宋体" w:hAnsi="宋体" w:eastAsia="宋体" w:cs="宋体"/>
          <w:color w:val="auto"/>
          <w:spacing w:val="5"/>
          <w:sz w:val="24"/>
          <w:szCs w:val="24"/>
          <w:highlight w:val="none"/>
        </w:rPr>
        <w:t>不能合理说明或不能提供相应证明材料的，评标委员会应认定该投标人以</w:t>
      </w:r>
      <w:r>
        <w:rPr>
          <w:rFonts w:ascii="宋体" w:hAnsi="宋体" w:eastAsia="宋体" w:cs="宋体"/>
          <w:color w:val="auto"/>
          <w:spacing w:val="4"/>
          <w:sz w:val="24"/>
          <w:szCs w:val="24"/>
          <w:highlight w:val="none"/>
        </w:rPr>
        <w:t>低于成本报</w:t>
      </w:r>
      <w:r>
        <w:rPr>
          <w:rFonts w:ascii="宋体" w:hAnsi="宋体" w:eastAsia="宋体" w:cs="宋体"/>
          <w:color w:val="auto"/>
          <w:spacing w:val="-1"/>
          <w:sz w:val="24"/>
          <w:szCs w:val="24"/>
          <w:highlight w:val="none"/>
        </w:rPr>
        <w:t>价竞标，并否决其投标。</w:t>
      </w:r>
    </w:p>
    <w:p w14:paraId="74E36FB3">
      <w:pPr>
        <w:pStyle w:val="4"/>
        <w:bidi w:val="0"/>
        <w:rPr>
          <w:color w:val="auto"/>
          <w:highlight w:val="none"/>
        </w:rPr>
      </w:pPr>
      <w:r>
        <w:rPr>
          <w:color w:val="auto"/>
          <w:highlight w:val="none"/>
        </w:rPr>
        <w:t>3.6 投标文件相关信息的核查</w:t>
      </w:r>
    </w:p>
    <w:p w14:paraId="0912943E">
      <w:pPr>
        <w:spacing w:before="15" w:line="364" w:lineRule="auto"/>
        <w:ind w:left="14" w:right="125" w:firstLine="479"/>
        <w:jc w:val="both"/>
        <w:rPr>
          <w:rFonts w:ascii="宋体" w:hAnsi="宋体" w:eastAsia="宋体" w:cs="宋体"/>
          <w:color w:val="auto"/>
          <w:spacing w:val="4"/>
          <w:sz w:val="24"/>
          <w:szCs w:val="24"/>
          <w:highlight w:val="none"/>
        </w:rPr>
      </w:pPr>
      <w:r>
        <w:rPr>
          <w:rFonts w:ascii="宋体" w:hAnsi="宋体" w:eastAsia="宋体" w:cs="宋体"/>
          <w:color w:val="auto"/>
          <w:spacing w:val="1"/>
          <w:sz w:val="24"/>
          <w:szCs w:val="24"/>
          <w:highlight w:val="none"/>
        </w:rPr>
        <w:t>3.6.1 在评标过程中，评标委员会应查询交通运输主管部门“公路建设市场监督</w:t>
      </w:r>
      <w:r>
        <w:rPr>
          <w:rFonts w:ascii="宋体" w:hAnsi="宋体" w:eastAsia="宋体" w:cs="宋体"/>
          <w:color w:val="auto"/>
          <w:spacing w:val="4"/>
          <w:sz w:val="24"/>
          <w:szCs w:val="24"/>
          <w:highlight w:val="none"/>
        </w:rPr>
        <w:t>管理系统</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”，对投标人的资质、业绩、主要人员资历和目前在</w:t>
      </w:r>
      <w:r>
        <w:rPr>
          <w:rFonts w:ascii="宋体" w:hAnsi="宋体" w:eastAsia="宋体" w:cs="宋体"/>
          <w:color w:val="auto"/>
          <w:spacing w:val="3"/>
          <w:sz w:val="24"/>
          <w:szCs w:val="24"/>
          <w:highlight w:val="none"/>
        </w:rPr>
        <w:t>岗情况、信用等级等信</w:t>
      </w:r>
      <w:r>
        <w:rPr>
          <w:rFonts w:ascii="宋体" w:hAnsi="宋体" w:eastAsia="宋体" w:cs="宋体"/>
          <w:color w:val="auto"/>
          <w:spacing w:val="5"/>
          <w:sz w:val="24"/>
          <w:szCs w:val="24"/>
          <w:highlight w:val="none"/>
        </w:rPr>
        <w:t>息进行核实。若投标文件载明的信息与交通运输主管部门“公</w:t>
      </w:r>
      <w:r>
        <w:rPr>
          <w:rFonts w:ascii="宋体" w:hAnsi="宋体" w:eastAsia="宋体" w:cs="宋体"/>
          <w:color w:val="auto"/>
          <w:spacing w:val="4"/>
          <w:sz w:val="24"/>
          <w:szCs w:val="24"/>
          <w:highlight w:val="none"/>
        </w:rPr>
        <w:t>路建设市场监督管理系统</w:t>
      </w:r>
      <w:r>
        <w:rPr>
          <w:rFonts w:ascii="宋体" w:hAnsi="宋体" w:eastAsia="宋体" w:cs="宋体"/>
          <w:color w:val="auto"/>
          <w:spacing w:val="-83"/>
          <w:sz w:val="24"/>
          <w:szCs w:val="24"/>
          <w:highlight w:val="none"/>
        </w:rPr>
        <w:t xml:space="preserve"> </w:t>
      </w:r>
      <w:r>
        <w:rPr>
          <w:rFonts w:ascii="宋体" w:hAnsi="宋体" w:eastAsia="宋体" w:cs="宋体"/>
          <w:color w:val="auto"/>
          <w:spacing w:val="4"/>
          <w:sz w:val="24"/>
          <w:szCs w:val="24"/>
          <w:highlight w:val="none"/>
        </w:rPr>
        <w:t>”发布</w:t>
      </w:r>
    </w:p>
    <w:p w14:paraId="44571133">
      <w:pPr>
        <w:spacing w:before="15" w:line="364" w:lineRule="auto"/>
        <w:ind w:left="14" w:right="125" w:firstLine="479"/>
        <w:jc w:val="both"/>
        <w:rPr>
          <w:rFonts w:hint="eastAsia" w:ascii="宋体" w:hAnsi="宋体" w:eastAsia="宋体" w:cs="宋体"/>
          <w:color w:val="auto"/>
          <w:spacing w:val="4"/>
          <w:sz w:val="24"/>
          <w:szCs w:val="24"/>
          <w:highlight w:val="none"/>
          <w:lang w:eastAsia="zh-CN"/>
        </w:rPr>
      </w:pPr>
      <w:r>
        <w:rPr>
          <w:rFonts w:ascii="宋体" w:hAnsi="宋体" w:eastAsia="宋体" w:cs="宋体"/>
          <w:color w:val="auto"/>
          <w:spacing w:val="4"/>
          <w:sz w:val="24"/>
          <w:szCs w:val="24"/>
          <w:highlight w:val="none"/>
        </w:rPr>
        <w:t>的信息不符，使得投标人的资格条件不符合招标文件规定的，评标委员会应</w:t>
      </w:r>
      <w:bookmarkStart w:id="59" w:name="bookmark167"/>
      <w:bookmarkEnd w:id="59"/>
      <w:r>
        <w:rPr>
          <w:rFonts w:ascii="宋体" w:hAnsi="宋体" w:eastAsia="宋体" w:cs="宋体"/>
          <w:color w:val="auto"/>
          <w:spacing w:val="4"/>
          <w:sz w:val="24"/>
          <w:szCs w:val="24"/>
          <w:highlight w:val="none"/>
        </w:rPr>
        <w:t>否决其投标。</w:t>
      </w:r>
      <w:bookmarkStart w:id="60" w:name="bookmark168"/>
      <w:bookmarkEnd w:id="60"/>
      <w:r>
        <w:rPr>
          <w:rFonts w:hint="eastAsia" w:ascii="宋体" w:hAnsi="宋体" w:eastAsia="宋体" w:cs="宋体"/>
          <w:color w:val="auto"/>
          <w:spacing w:val="4"/>
          <w:sz w:val="24"/>
          <w:szCs w:val="24"/>
          <w:highlight w:val="none"/>
          <w:lang w:eastAsia="zh-CN"/>
        </w:rPr>
        <w:t>（注：本条款</w:t>
      </w:r>
      <w:r>
        <w:rPr>
          <w:rFonts w:ascii="宋体" w:hAnsi="宋体" w:eastAsia="宋体" w:cs="宋体"/>
          <w:color w:val="auto"/>
          <w:spacing w:val="4"/>
          <w:sz w:val="24"/>
          <w:szCs w:val="24"/>
          <w:highlight w:val="none"/>
        </w:rPr>
        <w:t>适用于使用“公路建设市场监督管理系统 ”的情形。</w:t>
      </w:r>
      <w:r>
        <w:rPr>
          <w:rFonts w:hint="eastAsia" w:ascii="宋体" w:hAnsi="宋体" w:eastAsia="宋体" w:cs="宋体"/>
          <w:color w:val="auto"/>
          <w:spacing w:val="4"/>
          <w:sz w:val="24"/>
          <w:szCs w:val="24"/>
          <w:highlight w:val="none"/>
          <w:lang w:eastAsia="zh-CN"/>
        </w:rPr>
        <w:t>）</w:t>
      </w:r>
    </w:p>
    <w:p w14:paraId="73042E49">
      <w:pPr>
        <w:spacing w:before="78" w:line="359" w:lineRule="auto"/>
        <w:ind w:firstLine="485"/>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3.6.2 评标委员会应对在评标过程中发现的投标</w:t>
      </w:r>
      <w:r>
        <w:rPr>
          <w:rFonts w:ascii="宋体" w:hAnsi="宋体" w:eastAsia="宋体" w:cs="宋体"/>
          <w:color w:val="auto"/>
          <w:spacing w:val="4"/>
          <w:sz w:val="24"/>
          <w:szCs w:val="24"/>
          <w:highlight w:val="none"/>
        </w:rPr>
        <w:t>人与投标人之间、投标人与招标</w:t>
      </w:r>
      <w:r>
        <w:rPr>
          <w:rFonts w:ascii="宋体" w:hAnsi="宋体" w:eastAsia="宋体" w:cs="宋体"/>
          <w:color w:val="auto"/>
          <w:spacing w:val="5"/>
          <w:sz w:val="24"/>
          <w:szCs w:val="24"/>
          <w:highlight w:val="none"/>
        </w:rPr>
        <w:t>人之间存在的串通投标的情形进行评审和认定。投标人存在串通投标、弄虚作</w:t>
      </w:r>
      <w:r>
        <w:rPr>
          <w:rFonts w:ascii="宋体" w:hAnsi="宋体" w:eastAsia="宋体" w:cs="宋体"/>
          <w:color w:val="auto"/>
          <w:spacing w:val="4"/>
          <w:sz w:val="24"/>
          <w:szCs w:val="24"/>
          <w:highlight w:val="none"/>
        </w:rPr>
        <w:t>假、行</w:t>
      </w:r>
      <w:r>
        <w:rPr>
          <w:rFonts w:ascii="宋体" w:hAnsi="宋体" w:eastAsia="宋体" w:cs="宋体"/>
          <w:color w:val="auto"/>
          <w:spacing w:val="-1"/>
          <w:sz w:val="24"/>
          <w:szCs w:val="24"/>
          <w:highlight w:val="none"/>
        </w:rPr>
        <w:t>贿等违法行为的，评标委员会应否决其投标。</w:t>
      </w:r>
    </w:p>
    <w:p w14:paraId="7F74F7E7">
      <w:pPr>
        <w:spacing w:line="220"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（1）有下列情形之一的，属于投标人相互串通投标：</w:t>
      </w:r>
    </w:p>
    <w:p w14:paraId="0D6E986C">
      <w:pPr>
        <w:spacing w:before="181" w:line="218"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a.投标人之间协商投标报价等投标文件的实质性内容；</w:t>
      </w:r>
    </w:p>
    <w:p w14:paraId="567C8D2E">
      <w:pPr>
        <w:spacing w:before="182" w:line="220" w:lineRule="auto"/>
        <w:ind w:left="47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b.投标人之间约定中标人；</w:t>
      </w:r>
    </w:p>
    <w:p w14:paraId="02E95CE0">
      <w:pPr>
        <w:spacing w:before="182"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c.投标人之间约定部分投标人放弃投标或中标；</w:t>
      </w:r>
    </w:p>
    <w:p w14:paraId="2ECD7ACC">
      <w:pPr>
        <w:spacing w:before="179" w:line="219" w:lineRule="auto"/>
        <w:ind w:left="485"/>
        <w:rPr>
          <w:rFonts w:ascii="宋体" w:hAnsi="宋体" w:eastAsia="宋体" w:cs="宋体"/>
          <w:color w:val="auto"/>
          <w:sz w:val="24"/>
          <w:szCs w:val="24"/>
          <w:highlight w:val="none"/>
        </w:rPr>
      </w:pPr>
      <w:r>
        <w:rPr>
          <w:rFonts w:ascii="宋体" w:hAnsi="宋体" w:eastAsia="宋体" w:cs="宋体"/>
          <w:color w:val="auto"/>
          <w:sz w:val="24"/>
          <w:szCs w:val="24"/>
          <w:highlight w:val="none"/>
        </w:rPr>
        <w:t>d.属于同一集团、协会、商会等组织成员</w:t>
      </w:r>
      <w:r>
        <w:rPr>
          <w:rFonts w:ascii="宋体" w:hAnsi="宋体" w:eastAsia="宋体" w:cs="宋体"/>
          <w:color w:val="auto"/>
          <w:spacing w:val="-1"/>
          <w:sz w:val="24"/>
          <w:szCs w:val="24"/>
          <w:highlight w:val="none"/>
        </w:rPr>
        <w:t>的投标人按照该组织要求协同投标；</w:t>
      </w:r>
    </w:p>
    <w:p w14:paraId="34BC81E0">
      <w:pPr>
        <w:spacing w:before="184" w:line="219"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e.投标人之间为谋取中标或排斥特定投标人而采取的其他联合行动。</w:t>
      </w:r>
    </w:p>
    <w:p w14:paraId="2828778F">
      <w:pPr>
        <w:spacing w:before="181" w:line="220"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（2）有下列情形之一的，视为投标人相互串通投标：</w:t>
      </w:r>
    </w:p>
    <w:p w14:paraId="3ED066AB">
      <w:pPr>
        <w:spacing w:before="183"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a.不同投标人的投标文件由同一单位或个人编制；</w:t>
      </w:r>
    </w:p>
    <w:p w14:paraId="69BD3388">
      <w:pPr>
        <w:spacing w:before="181" w:line="219" w:lineRule="auto"/>
        <w:ind w:left="47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b.不同投标人委托同一单位或个人办理投标事宜；</w:t>
      </w:r>
    </w:p>
    <w:p w14:paraId="79CAC998">
      <w:pPr>
        <w:spacing w:before="183"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c.不同投标人的投标文件载明的项目管理成员为同一人；</w:t>
      </w:r>
    </w:p>
    <w:p w14:paraId="2BEAF2D7">
      <w:pPr>
        <w:spacing w:before="183" w:line="218"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d.不同投标人的投标文件异常一致或投标报价呈规律性差异；</w:t>
      </w:r>
    </w:p>
    <w:p w14:paraId="53E13562">
      <w:pPr>
        <w:spacing w:before="182" w:line="219"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e.不同投标人的投标文件相互混装；</w:t>
      </w:r>
    </w:p>
    <w:p w14:paraId="01EE1101">
      <w:pPr>
        <w:spacing w:before="184" w:line="219" w:lineRule="auto"/>
        <w:ind w:left="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f.不同投标人的投标保证金从同一单位或个人的账户转出。</w:t>
      </w:r>
    </w:p>
    <w:p w14:paraId="0E02CC4B">
      <w:pPr>
        <w:spacing w:before="179" w:line="214" w:lineRule="auto"/>
        <w:ind w:left="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g.广东省实施《中华人民共和国招标投标法》办法第十六条规定的情形。</w:t>
      </w:r>
    </w:p>
    <w:p w14:paraId="7AEFAA24">
      <w:pPr>
        <w:spacing w:before="189" w:line="220"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（3）有下列情形之一的，属于招标人与投标人串通投标：</w:t>
      </w:r>
    </w:p>
    <w:p w14:paraId="1D95DD47">
      <w:pPr>
        <w:spacing w:before="182"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a.招标人在开标前开启投标文件并将有关信息泄露给其他投标人；</w:t>
      </w:r>
    </w:p>
    <w:p w14:paraId="21F58793">
      <w:pPr>
        <w:spacing w:before="182" w:line="219" w:lineRule="auto"/>
        <w:ind w:left="477"/>
        <w:rPr>
          <w:rFonts w:ascii="宋体" w:hAnsi="宋体" w:eastAsia="宋体" w:cs="宋体"/>
          <w:color w:val="auto"/>
          <w:sz w:val="24"/>
          <w:szCs w:val="24"/>
          <w:highlight w:val="none"/>
        </w:rPr>
      </w:pPr>
      <w:r>
        <w:rPr>
          <w:rFonts w:ascii="宋体" w:hAnsi="宋体" w:eastAsia="宋体" w:cs="宋体"/>
          <w:color w:val="auto"/>
          <w:sz w:val="24"/>
          <w:szCs w:val="24"/>
          <w:highlight w:val="none"/>
        </w:rPr>
        <w:t>b.招标人直接或间接向投标人泄露标底、评标委员</w:t>
      </w:r>
      <w:r>
        <w:rPr>
          <w:rFonts w:ascii="宋体" w:hAnsi="宋体" w:eastAsia="宋体" w:cs="宋体"/>
          <w:color w:val="auto"/>
          <w:spacing w:val="-1"/>
          <w:sz w:val="24"/>
          <w:szCs w:val="24"/>
          <w:highlight w:val="none"/>
        </w:rPr>
        <w:t>会成员等信息；</w:t>
      </w:r>
    </w:p>
    <w:p w14:paraId="647C2957">
      <w:pPr>
        <w:spacing w:before="182" w:line="218"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c.招标人明示或暗示投标人压低或抬高投标报价；</w:t>
      </w:r>
    </w:p>
    <w:p w14:paraId="65E9386E">
      <w:pPr>
        <w:spacing w:before="185"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d.招标人授意投标人撤换、修改投标文件；</w:t>
      </w:r>
    </w:p>
    <w:p w14:paraId="47DCBB01">
      <w:pPr>
        <w:spacing w:before="180" w:line="219"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e.招标人明示或暗示投标人为特定投标人中标提供方便；</w:t>
      </w:r>
    </w:p>
    <w:p w14:paraId="392E1868">
      <w:pPr>
        <w:spacing w:before="183" w:line="219" w:lineRule="auto"/>
        <w:ind w:left="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f.招标人与投标人为谋求特定投标人中标而采取的其他串通行为。</w:t>
      </w:r>
    </w:p>
    <w:p w14:paraId="4484C818">
      <w:pPr>
        <w:spacing w:before="18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（4）投标人有下列情形之一的，属于弄虚作假的行为：</w:t>
      </w:r>
    </w:p>
    <w:p w14:paraId="5ABDE3D3">
      <w:pPr>
        <w:spacing w:before="181"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a.使用通过受让或租借等方式获取的资格、资质证书投标；</w:t>
      </w:r>
    </w:p>
    <w:p w14:paraId="6AB0FA4F">
      <w:pPr>
        <w:spacing w:before="182" w:line="219" w:lineRule="auto"/>
        <w:ind w:left="47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b.使用伪造、变造的许可证件；</w:t>
      </w:r>
    </w:p>
    <w:p w14:paraId="729BF845">
      <w:pPr>
        <w:spacing w:before="182" w:line="219" w:lineRule="auto"/>
        <w:ind w:left="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c.提供虚假的业绩；</w:t>
      </w:r>
    </w:p>
    <w:p w14:paraId="2464A8FF">
      <w:pPr>
        <w:spacing w:before="181" w:line="219"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d.提供虚假的项目负责人或主要技术人员简历、劳动关系证明；</w:t>
      </w:r>
    </w:p>
    <w:p w14:paraId="36BFA2E6">
      <w:pPr>
        <w:spacing w:before="184" w:line="219" w:lineRule="auto"/>
        <w:ind w:left="486"/>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e.提供虚假的信用状况；</w:t>
      </w:r>
    </w:p>
    <w:p w14:paraId="5AE439C1">
      <w:pPr>
        <w:spacing w:before="184" w:line="219" w:lineRule="auto"/>
        <w:ind w:left="48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f.其他弄虚作假的行为。</w:t>
      </w:r>
    </w:p>
    <w:p w14:paraId="77F00E83">
      <w:pPr>
        <w:spacing w:before="182" w:line="360" w:lineRule="auto"/>
        <w:ind w:left="2" w:right="8" w:firstLine="482"/>
        <w:rPr>
          <w:rFonts w:ascii="宋体" w:hAnsi="宋体" w:eastAsia="宋体" w:cs="宋体"/>
          <w:color w:val="auto"/>
          <w:sz w:val="24"/>
          <w:szCs w:val="24"/>
          <w:highlight w:val="none"/>
        </w:rPr>
      </w:pPr>
      <w:r>
        <w:rPr>
          <w:rFonts w:ascii="宋体" w:hAnsi="宋体" w:eastAsia="宋体" w:cs="宋体"/>
          <w:color w:val="auto"/>
          <w:sz w:val="24"/>
          <w:szCs w:val="24"/>
          <w:highlight w:val="none"/>
        </w:rPr>
        <w:t>3.6.3</w:t>
      </w:r>
      <w:r>
        <w:rPr>
          <w:rFonts w:ascii="宋体" w:hAnsi="宋体" w:eastAsia="宋体" w:cs="宋体"/>
          <w:color w:val="auto"/>
          <w:spacing w:val="-49"/>
          <w:sz w:val="24"/>
          <w:szCs w:val="24"/>
          <w:highlight w:val="none"/>
        </w:rPr>
        <w:t xml:space="preserve"> </w:t>
      </w:r>
      <w:r>
        <w:rPr>
          <w:rFonts w:ascii="宋体" w:hAnsi="宋体" w:eastAsia="宋体" w:cs="宋体"/>
          <w:color w:val="auto"/>
          <w:sz w:val="24"/>
          <w:szCs w:val="24"/>
          <w:highlight w:val="none"/>
        </w:rPr>
        <w:t>依法必须进行招标的项目，除第一中标候</w:t>
      </w:r>
      <w:r>
        <w:rPr>
          <w:rFonts w:ascii="宋体" w:hAnsi="宋体" w:eastAsia="宋体" w:cs="宋体"/>
          <w:color w:val="auto"/>
          <w:spacing w:val="-1"/>
          <w:sz w:val="24"/>
          <w:szCs w:val="24"/>
          <w:highlight w:val="none"/>
        </w:rPr>
        <w:t>选人或者中标人，其他投标人存在</w:t>
      </w:r>
      <w:r>
        <w:rPr>
          <w:rFonts w:ascii="宋体" w:hAnsi="宋体" w:eastAsia="宋体" w:cs="宋体"/>
          <w:color w:val="auto"/>
          <w:spacing w:val="5"/>
          <w:sz w:val="24"/>
          <w:szCs w:val="24"/>
          <w:highlight w:val="none"/>
        </w:rPr>
        <w:t>串通投标、弄虚作假、行贿情形且在评标过程中未被发现的，视为对中</w:t>
      </w:r>
      <w:r>
        <w:rPr>
          <w:rFonts w:ascii="宋体" w:hAnsi="宋体" w:eastAsia="宋体" w:cs="宋体"/>
          <w:color w:val="auto"/>
          <w:spacing w:val="4"/>
          <w:sz w:val="24"/>
          <w:szCs w:val="24"/>
          <w:highlight w:val="none"/>
        </w:rPr>
        <w:t>标结果没有造</w:t>
      </w:r>
      <w:r>
        <w:rPr>
          <w:rFonts w:ascii="宋体" w:hAnsi="宋体" w:eastAsia="宋体" w:cs="宋体"/>
          <w:color w:val="auto"/>
          <w:spacing w:val="5"/>
          <w:sz w:val="24"/>
          <w:szCs w:val="24"/>
          <w:highlight w:val="none"/>
        </w:rPr>
        <w:t>成实质性影响，招标人可以依法继续开展招标活动。投标人的违法行为</w:t>
      </w:r>
      <w:r>
        <w:rPr>
          <w:rFonts w:ascii="宋体" w:hAnsi="宋体" w:eastAsia="宋体" w:cs="宋体"/>
          <w:color w:val="auto"/>
          <w:spacing w:val="4"/>
          <w:sz w:val="24"/>
          <w:szCs w:val="24"/>
          <w:highlight w:val="none"/>
        </w:rPr>
        <w:t>由行政监督部</w:t>
      </w:r>
      <w:r>
        <w:rPr>
          <w:rFonts w:ascii="宋体" w:hAnsi="宋体" w:eastAsia="宋体" w:cs="宋体"/>
          <w:color w:val="auto"/>
          <w:spacing w:val="-2"/>
          <w:sz w:val="24"/>
          <w:szCs w:val="24"/>
          <w:highlight w:val="none"/>
        </w:rPr>
        <w:t>门依法处理。</w:t>
      </w:r>
    </w:p>
    <w:p w14:paraId="62B46BE1">
      <w:pPr>
        <w:pStyle w:val="4"/>
        <w:bidi w:val="0"/>
        <w:rPr>
          <w:color w:val="auto"/>
          <w:highlight w:val="none"/>
        </w:rPr>
      </w:pPr>
      <w:r>
        <w:rPr>
          <w:color w:val="auto"/>
          <w:highlight w:val="none"/>
        </w:rPr>
        <w:t>3.7 投标文件的澄清和说明</w:t>
      </w:r>
    </w:p>
    <w:p w14:paraId="66ECBBB1">
      <w:pPr>
        <w:spacing w:before="52" w:line="359" w:lineRule="auto"/>
        <w:ind w:right="8" w:firstLine="48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3.7.1 在评标过程中，评标委员会可以要求投标</w:t>
      </w:r>
      <w:r>
        <w:rPr>
          <w:rFonts w:ascii="宋体" w:hAnsi="宋体" w:eastAsia="宋体" w:cs="宋体"/>
          <w:color w:val="auto"/>
          <w:spacing w:val="4"/>
          <w:sz w:val="24"/>
          <w:szCs w:val="24"/>
          <w:highlight w:val="none"/>
        </w:rPr>
        <w:t>人对投标文件中含义不明确的内</w:t>
      </w:r>
      <w:r>
        <w:rPr>
          <w:rFonts w:ascii="宋体" w:hAnsi="宋体" w:eastAsia="宋体" w:cs="宋体"/>
          <w:color w:val="auto"/>
          <w:spacing w:val="5"/>
          <w:sz w:val="24"/>
          <w:szCs w:val="24"/>
          <w:highlight w:val="none"/>
        </w:rPr>
        <w:t>容、明显文字或计算错误进行书面澄清或说明。评标委员会不接受投标人主</w:t>
      </w:r>
      <w:r>
        <w:rPr>
          <w:rFonts w:ascii="宋体" w:hAnsi="宋体" w:eastAsia="宋体" w:cs="宋体"/>
          <w:color w:val="auto"/>
          <w:spacing w:val="4"/>
          <w:sz w:val="24"/>
          <w:szCs w:val="24"/>
          <w:highlight w:val="none"/>
        </w:rPr>
        <w:t>动提出的</w:t>
      </w:r>
      <w:r>
        <w:rPr>
          <w:rFonts w:ascii="宋体" w:hAnsi="宋体" w:eastAsia="宋体" w:cs="宋体"/>
          <w:color w:val="auto"/>
          <w:sz w:val="24"/>
          <w:szCs w:val="24"/>
          <w:highlight w:val="none"/>
        </w:rPr>
        <w:t>澄清、说明。投标人不按评标委员会要求澄清或说明的，评</w:t>
      </w:r>
      <w:r>
        <w:rPr>
          <w:rFonts w:ascii="宋体" w:hAnsi="宋体" w:eastAsia="宋体" w:cs="宋体"/>
          <w:color w:val="auto"/>
          <w:spacing w:val="-1"/>
          <w:sz w:val="24"/>
          <w:szCs w:val="24"/>
          <w:highlight w:val="none"/>
        </w:rPr>
        <w:t>标委员会应否决其投标。</w:t>
      </w:r>
    </w:p>
    <w:p w14:paraId="2430DB70">
      <w:pPr>
        <w:spacing w:line="359" w:lineRule="auto"/>
        <w:ind w:left="3" w:right="8" w:firstLine="48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3.7.2 澄清和说明不得超出投标文件的范围或改</w:t>
      </w:r>
      <w:r>
        <w:rPr>
          <w:rFonts w:ascii="宋体" w:hAnsi="宋体" w:eastAsia="宋体" w:cs="宋体"/>
          <w:color w:val="auto"/>
          <w:spacing w:val="4"/>
          <w:sz w:val="24"/>
          <w:szCs w:val="24"/>
          <w:highlight w:val="none"/>
        </w:rPr>
        <w:t>变投标文件的实质性内容（算术</w:t>
      </w:r>
      <w:r>
        <w:rPr>
          <w:rFonts w:ascii="宋体" w:hAnsi="宋体" w:eastAsia="宋体" w:cs="宋体"/>
          <w:color w:val="auto"/>
          <w:sz w:val="24"/>
          <w:szCs w:val="24"/>
          <w:highlight w:val="none"/>
        </w:rPr>
        <w:t>性错误的修正除外）。投标人的书面澄清、</w:t>
      </w:r>
      <w:r>
        <w:rPr>
          <w:rFonts w:ascii="宋体" w:hAnsi="宋体" w:eastAsia="宋体" w:cs="宋体"/>
          <w:color w:val="auto"/>
          <w:spacing w:val="-1"/>
          <w:sz w:val="24"/>
          <w:szCs w:val="24"/>
          <w:highlight w:val="none"/>
        </w:rPr>
        <w:t>说明属于投标文件的组成部分。</w:t>
      </w:r>
    </w:p>
    <w:p w14:paraId="28E51428">
      <w:pPr>
        <w:spacing w:line="359" w:lineRule="auto"/>
        <w:ind w:left="3" w:firstLine="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3.7.3 评标委员会不得暗示或诱导投标人作出</w:t>
      </w:r>
      <w:r>
        <w:rPr>
          <w:rFonts w:ascii="宋体" w:hAnsi="宋体" w:eastAsia="宋体" w:cs="宋体"/>
          <w:color w:val="auto"/>
          <w:spacing w:val="-2"/>
          <w:sz w:val="24"/>
          <w:szCs w:val="24"/>
          <w:highlight w:val="none"/>
        </w:rPr>
        <w:t>澄清、说明，对投标人提交的澄清、</w:t>
      </w:r>
      <w:r>
        <w:rPr>
          <w:rFonts w:ascii="宋体" w:hAnsi="宋体" w:eastAsia="宋体" w:cs="宋体"/>
          <w:color w:val="auto"/>
          <w:sz w:val="24"/>
          <w:szCs w:val="24"/>
          <w:highlight w:val="none"/>
        </w:rPr>
        <w:t>说明有疑问的，可以要求投标人进一步澄清或说明</w:t>
      </w:r>
      <w:r>
        <w:rPr>
          <w:rFonts w:ascii="宋体" w:hAnsi="宋体" w:eastAsia="宋体" w:cs="宋体"/>
          <w:color w:val="auto"/>
          <w:spacing w:val="-1"/>
          <w:sz w:val="24"/>
          <w:szCs w:val="24"/>
          <w:highlight w:val="none"/>
        </w:rPr>
        <w:t>，直至满足评标委员会的要求。</w:t>
      </w:r>
    </w:p>
    <w:p w14:paraId="61865988">
      <w:pPr>
        <w:spacing w:before="2" w:line="361" w:lineRule="auto"/>
        <w:ind w:right="8" w:firstLine="48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3.7.4 凡超出招标文件规定的或给委托人带来未</w:t>
      </w:r>
      <w:r>
        <w:rPr>
          <w:rFonts w:ascii="宋体" w:hAnsi="宋体" w:eastAsia="宋体" w:cs="宋体"/>
          <w:color w:val="auto"/>
          <w:spacing w:val="4"/>
          <w:sz w:val="24"/>
          <w:szCs w:val="24"/>
          <w:highlight w:val="none"/>
        </w:rPr>
        <w:t>曾要求的利益的变化、偏差或其</w:t>
      </w:r>
      <w:r>
        <w:rPr>
          <w:rFonts w:ascii="宋体" w:hAnsi="宋体" w:eastAsia="宋体" w:cs="宋体"/>
          <w:color w:val="auto"/>
          <w:spacing w:val="-1"/>
          <w:sz w:val="24"/>
          <w:szCs w:val="24"/>
          <w:highlight w:val="none"/>
        </w:rPr>
        <w:t>他因素在评标时不予考虑。</w:t>
      </w:r>
    </w:p>
    <w:p w14:paraId="0204792A">
      <w:pPr>
        <w:pStyle w:val="4"/>
        <w:bidi w:val="0"/>
        <w:rPr>
          <w:color w:val="auto"/>
          <w:highlight w:val="none"/>
        </w:rPr>
      </w:pPr>
      <w:r>
        <w:rPr>
          <w:color w:val="auto"/>
          <w:highlight w:val="none"/>
        </w:rPr>
        <w:t>3.8 不得否决投标的情形</w:t>
      </w:r>
    </w:p>
    <w:p w14:paraId="3B22255B">
      <w:pPr>
        <w:spacing w:before="49" w:line="361" w:lineRule="auto"/>
        <w:ind w:right="8" w:firstLine="483"/>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投标文件存在第二章“投标人须知</w:t>
      </w:r>
      <w:r>
        <w:rPr>
          <w:rFonts w:ascii="宋体" w:hAnsi="宋体" w:eastAsia="宋体" w:cs="宋体"/>
          <w:color w:val="auto"/>
          <w:spacing w:val="-88"/>
          <w:sz w:val="24"/>
          <w:szCs w:val="24"/>
          <w:highlight w:val="none"/>
        </w:rPr>
        <w:t xml:space="preserve"> </w:t>
      </w:r>
      <w:r>
        <w:rPr>
          <w:rFonts w:ascii="宋体" w:hAnsi="宋体" w:eastAsia="宋体" w:cs="宋体"/>
          <w:color w:val="auto"/>
          <w:sz w:val="24"/>
          <w:szCs w:val="24"/>
          <w:highlight w:val="none"/>
        </w:rPr>
        <w:t>”第</w:t>
      </w:r>
      <w:r>
        <w:rPr>
          <w:rFonts w:ascii="宋体" w:hAnsi="宋体" w:eastAsia="宋体" w:cs="宋体"/>
          <w:color w:val="auto"/>
          <w:spacing w:val="-30"/>
          <w:sz w:val="24"/>
          <w:szCs w:val="24"/>
          <w:highlight w:val="none"/>
        </w:rPr>
        <w:t xml:space="preserve"> </w:t>
      </w:r>
      <w:r>
        <w:rPr>
          <w:rFonts w:ascii="宋体" w:hAnsi="宋体" w:eastAsia="宋体" w:cs="宋体"/>
          <w:color w:val="auto"/>
          <w:sz w:val="24"/>
          <w:szCs w:val="24"/>
          <w:highlight w:val="none"/>
        </w:rPr>
        <w:t>1.</w:t>
      </w:r>
      <w:r>
        <w:rPr>
          <w:rFonts w:ascii="宋体" w:hAnsi="宋体" w:eastAsia="宋体" w:cs="宋体"/>
          <w:color w:val="auto"/>
          <w:spacing w:val="-1"/>
          <w:sz w:val="24"/>
          <w:szCs w:val="24"/>
          <w:highlight w:val="none"/>
        </w:rPr>
        <w:t>12.3</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项所列情形的，均视为细微偏差，</w:t>
      </w:r>
      <w:r>
        <w:rPr>
          <w:rFonts w:ascii="宋体" w:hAnsi="宋体" w:eastAsia="宋体" w:cs="宋体"/>
          <w:color w:val="auto"/>
          <w:sz w:val="24"/>
          <w:szCs w:val="24"/>
          <w:highlight w:val="none"/>
        </w:rPr>
        <w:t>评标委员会不得否决投标人的投标，应按照第二章“投标</w:t>
      </w:r>
      <w:r>
        <w:rPr>
          <w:rFonts w:ascii="宋体" w:hAnsi="宋体" w:eastAsia="宋体" w:cs="宋体"/>
          <w:color w:val="auto"/>
          <w:spacing w:val="-1"/>
          <w:sz w:val="24"/>
          <w:szCs w:val="24"/>
          <w:highlight w:val="none"/>
        </w:rPr>
        <w:t>人须知</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”第</w:t>
      </w:r>
      <w:r>
        <w:rPr>
          <w:rFonts w:ascii="宋体" w:hAnsi="宋体" w:eastAsia="宋体" w:cs="宋体"/>
          <w:color w:val="auto"/>
          <w:spacing w:val="-30"/>
          <w:sz w:val="24"/>
          <w:szCs w:val="24"/>
          <w:highlight w:val="none"/>
        </w:rPr>
        <w:t xml:space="preserve"> </w:t>
      </w:r>
      <w:r>
        <w:rPr>
          <w:rFonts w:ascii="宋体" w:hAnsi="宋体" w:eastAsia="宋体" w:cs="宋体"/>
          <w:color w:val="auto"/>
          <w:spacing w:val="-1"/>
          <w:sz w:val="24"/>
          <w:szCs w:val="24"/>
          <w:highlight w:val="none"/>
        </w:rPr>
        <w:t>1.12.4</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项规定的</w:t>
      </w:r>
      <w:r>
        <w:rPr>
          <w:rFonts w:ascii="宋体" w:hAnsi="宋体" w:eastAsia="宋体" w:cs="宋体"/>
          <w:color w:val="auto"/>
          <w:spacing w:val="-2"/>
          <w:sz w:val="24"/>
          <w:szCs w:val="24"/>
          <w:highlight w:val="none"/>
        </w:rPr>
        <w:t>原则处理。</w:t>
      </w:r>
    </w:p>
    <w:p w14:paraId="1A18688E">
      <w:pPr>
        <w:pStyle w:val="4"/>
        <w:bidi w:val="0"/>
        <w:rPr>
          <w:color w:val="auto"/>
          <w:highlight w:val="none"/>
        </w:rPr>
      </w:pPr>
      <w:r>
        <w:rPr>
          <w:color w:val="auto"/>
          <w:highlight w:val="none"/>
        </w:rPr>
        <w:t>3.9 评标结果</w:t>
      </w:r>
    </w:p>
    <w:p w14:paraId="508C5493">
      <w:pPr>
        <w:spacing w:before="50" w:line="360" w:lineRule="auto"/>
        <w:ind w:left="1" w:right="8" w:firstLine="483"/>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3.9.1 除第二章“投标人须知</w:t>
      </w:r>
      <w:r>
        <w:rPr>
          <w:rFonts w:ascii="宋体" w:hAnsi="宋体" w:eastAsia="宋体" w:cs="宋体"/>
          <w:color w:val="auto"/>
          <w:spacing w:val="-81"/>
          <w:sz w:val="24"/>
          <w:szCs w:val="24"/>
          <w:highlight w:val="none"/>
        </w:rPr>
        <w:t xml:space="preserve"> </w:t>
      </w:r>
      <w:r>
        <w:rPr>
          <w:rFonts w:ascii="宋体" w:hAnsi="宋体" w:eastAsia="宋体" w:cs="宋体"/>
          <w:color w:val="auto"/>
          <w:spacing w:val="4"/>
          <w:sz w:val="24"/>
          <w:szCs w:val="24"/>
          <w:highlight w:val="none"/>
        </w:rPr>
        <w:t>”前附表授权直</w:t>
      </w:r>
      <w:r>
        <w:rPr>
          <w:rFonts w:ascii="宋体" w:hAnsi="宋体" w:eastAsia="宋体" w:cs="宋体"/>
          <w:color w:val="auto"/>
          <w:spacing w:val="3"/>
          <w:sz w:val="24"/>
          <w:szCs w:val="24"/>
          <w:highlight w:val="none"/>
        </w:rPr>
        <w:t>接确定中标人外，评标委员会按照</w:t>
      </w:r>
      <w:r>
        <w:rPr>
          <w:rFonts w:ascii="宋体" w:hAnsi="宋体" w:eastAsia="宋体" w:cs="宋体"/>
          <w:color w:val="auto"/>
          <w:spacing w:val="-1"/>
          <w:sz w:val="24"/>
          <w:szCs w:val="24"/>
          <w:highlight w:val="none"/>
        </w:rPr>
        <w:t>得分由高到低的顺序推荐中标候选人，并标明排序。</w:t>
      </w:r>
    </w:p>
    <w:p w14:paraId="769338A0">
      <w:pPr>
        <w:spacing w:before="1" w:line="217"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3.9.2 评标委员会完成评标后，应向招标人提交评标报告。</w:t>
      </w:r>
    </w:p>
    <w:p w14:paraId="328B9080">
      <w:pPr>
        <w:spacing w:before="184" w:line="359" w:lineRule="auto"/>
        <w:ind w:right="8" w:firstLine="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3.9.3</w:t>
      </w:r>
      <w:r>
        <w:rPr>
          <w:rFonts w:ascii="宋体" w:hAnsi="宋体" w:eastAsia="宋体" w:cs="宋体"/>
          <w:color w:val="auto"/>
          <w:spacing w:val="-51"/>
          <w:sz w:val="24"/>
          <w:szCs w:val="24"/>
          <w:highlight w:val="none"/>
        </w:rPr>
        <w:t xml:space="preserve"> </w:t>
      </w:r>
      <w:r>
        <w:rPr>
          <w:rFonts w:ascii="宋体" w:hAnsi="宋体" w:eastAsia="宋体" w:cs="宋体"/>
          <w:color w:val="auto"/>
          <w:spacing w:val="-1"/>
          <w:sz w:val="24"/>
          <w:szCs w:val="24"/>
          <w:highlight w:val="none"/>
        </w:rPr>
        <w:t>通过第一个信封商务和技术文件评审的投标人少于</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3</w:t>
      </w:r>
      <w:r>
        <w:rPr>
          <w:rFonts w:ascii="宋体" w:hAnsi="宋体" w:eastAsia="宋体" w:cs="宋体"/>
          <w:color w:val="auto"/>
          <w:spacing w:val="-51"/>
          <w:sz w:val="24"/>
          <w:szCs w:val="24"/>
          <w:highlight w:val="none"/>
        </w:rPr>
        <w:t xml:space="preserve"> </w:t>
      </w:r>
      <w:r>
        <w:rPr>
          <w:rFonts w:ascii="宋体" w:hAnsi="宋体" w:eastAsia="宋体" w:cs="宋体"/>
          <w:color w:val="auto"/>
          <w:spacing w:val="-1"/>
          <w:sz w:val="24"/>
          <w:szCs w:val="24"/>
          <w:highlight w:val="none"/>
        </w:rPr>
        <w:t>个的，评标委员会可以</w:t>
      </w:r>
      <w:r>
        <w:rPr>
          <w:rFonts w:ascii="宋体" w:hAnsi="宋体" w:eastAsia="宋体" w:cs="宋体"/>
          <w:color w:val="auto"/>
          <w:spacing w:val="5"/>
          <w:sz w:val="24"/>
          <w:szCs w:val="24"/>
          <w:highlight w:val="none"/>
        </w:rPr>
        <w:t>否决全部投标；未否决全部投标的，评标委员会应当在评标报告中阐明理由，</w:t>
      </w:r>
      <w:r>
        <w:rPr>
          <w:rFonts w:ascii="宋体" w:hAnsi="宋体" w:eastAsia="宋体" w:cs="宋体"/>
          <w:color w:val="auto"/>
          <w:spacing w:val="4"/>
          <w:sz w:val="24"/>
          <w:szCs w:val="24"/>
          <w:highlight w:val="none"/>
        </w:rPr>
        <w:t>招标人</w:t>
      </w:r>
      <w:r>
        <w:rPr>
          <w:rFonts w:ascii="宋体" w:hAnsi="宋体" w:eastAsia="宋体" w:cs="宋体"/>
          <w:color w:val="auto"/>
          <w:spacing w:val="5"/>
          <w:sz w:val="24"/>
          <w:szCs w:val="24"/>
          <w:highlight w:val="none"/>
        </w:rPr>
        <w:t>应当按照招标文件规定的程序进行第二个信封报价开标，但评标委员会在进行</w:t>
      </w:r>
      <w:r>
        <w:rPr>
          <w:rFonts w:ascii="宋体" w:hAnsi="宋体" w:eastAsia="宋体" w:cs="宋体"/>
          <w:color w:val="auto"/>
          <w:spacing w:val="4"/>
          <w:sz w:val="24"/>
          <w:szCs w:val="24"/>
          <w:highlight w:val="none"/>
        </w:rPr>
        <w:t>报价评</w:t>
      </w:r>
      <w:r>
        <w:rPr>
          <w:rFonts w:ascii="宋体" w:hAnsi="宋体" w:eastAsia="宋体" w:cs="宋体"/>
          <w:color w:val="auto"/>
          <w:spacing w:val="5"/>
          <w:sz w:val="24"/>
          <w:szCs w:val="24"/>
          <w:highlight w:val="none"/>
        </w:rPr>
        <w:t>审时仍有权否决全部投标；评标委员会未在报价文件评审时否决全部投标的，</w:t>
      </w:r>
      <w:r>
        <w:rPr>
          <w:rFonts w:ascii="宋体" w:hAnsi="宋体" w:eastAsia="宋体" w:cs="宋体"/>
          <w:color w:val="auto"/>
          <w:spacing w:val="4"/>
          <w:sz w:val="24"/>
          <w:szCs w:val="24"/>
          <w:highlight w:val="none"/>
        </w:rPr>
        <w:t>应当在</w:t>
      </w:r>
      <w:r>
        <w:rPr>
          <w:rFonts w:ascii="宋体" w:hAnsi="宋体" w:eastAsia="宋体" w:cs="宋体"/>
          <w:color w:val="auto"/>
          <w:spacing w:val="-1"/>
          <w:sz w:val="24"/>
          <w:szCs w:val="24"/>
          <w:highlight w:val="none"/>
        </w:rPr>
        <w:t>评标报告中阐明理由并推荐中标候选人。</w:t>
      </w:r>
    </w:p>
    <w:p w14:paraId="0D362FE1">
      <w:pPr>
        <w:spacing w:before="1" w:line="359" w:lineRule="auto"/>
        <w:ind w:left="2" w:right="5" w:firstLine="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3.9.4</w:t>
      </w:r>
      <w:r>
        <w:rPr>
          <w:rFonts w:ascii="宋体" w:hAnsi="宋体" w:eastAsia="宋体" w:cs="宋体"/>
          <w:color w:val="auto"/>
          <w:spacing w:val="-49"/>
          <w:sz w:val="24"/>
          <w:szCs w:val="24"/>
          <w:highlight w:val="none"/>
        </w:rPr>
        <w:t xml:space="preserve"> </w:t>
      </w:r>
      <w:r>
        <w:rPr>
          <w:rFonts w:ascii="宋体" w:hAnsi="宋体" w:eastAsia="宋体" w:cs="宋体"/>
          <w:color w:val="auto"/>
          <w:spacing w:val="-1"/>
          <w:sz w:val="24"/>
          <w:szCs w:val="24"/>
          <w:highlight w:val="none"/>
        </w:rPr>
        <w:t>通过第一个信封商务和技术文件评审的投标人在</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3</w:t>
      </w:r>
      <w:r>
        <w:rPr>
          <w:rFonts w:ascii="宋体" w:hAnsi="宋体" w:eastAsia="宋体" w:cs="宋体"/>
          <w:color w:val="auto"/>
          <w:spacing w:val="-50"/>
          <w:sz w:val="24"/>
          <w:szCs w:val="24"/>
          <w:highlight w:val="none"/>
        </w:rPr>
        <w:t xml:space="preserve"> </w:t>
      </w:r>
      <w:r>
        <w:rPr>
          <w:rFonts w:ascii="宋体" w:hAnsi="宋体" w:eastAsia="宋体" w:cs="宋体"/>
          <w:color w:val="auto"/>
          <w:spacing w:val="-1"/>
          <w:sz w:val="24"/>
          <w:szCs w:val="24"/>
          <w:highlight w:val="none"/>
        </w:rPr>
        <w:t>个及以上的，招标人应当</w:t>
      </w:r>
      <w:r>
        <w:rPr>
          <w:rFonts w:ascii="宋体" w:hAnsi="宋体" w:eastAsia="宋体" w:cs="宋体"/>
          <w:color w:val="auto"/>
          <w:spacing w:val="5"/>
          <w:sz w:val="24"/>
          <w:szCs w:val="24"/>
          <w:highlight w:val="none"/>
        </w:rPr>
        <w:t>按照招标文件规定的程序进行第二个信封报价文件开标；在</w:t>
      </w:r>
      <w:r>
        <w:rPr>
          <w:rFonts w:ascii="宋体" w:hAnsi="宋体" w:eastAsia="宋体" w:cs="宋体"/>
          <w:color w:val="auto"/>
          <w:spacing w:val="4"/>
          <w:sz w:val="24"/>
          <w:szCs w:val="24"/>
          <w:highlight w:val="none"/>
        </w:rPr>
        <w:t>对报价文件进行评审后，有效投标不足</w:t>
      </w:r>
      <w:r>
        <w:rPr>
          <w:rFonts w:ascii="宋体" w:hAnsi="宋体" w:eastAsia="宋体" w:cs="宋体"/>
          <w:color w:val="auto"/>
          <w:spacing w:val="-41"/>
          <w:sz w:val="24"/>
          <w:szCs w:val="24"/>
          <w:highlight w:val="none"/>
        </w:rPr>
        <w:t xml:space="preserve"> </w:t>
      </w:r>
      <w:r>
        <w:rPr>
          <w:rFonts w:ascii="宋体" w:hAnsi="宋体" w:eastAsia="宋体" w:cs="宋体"/>
          <w:color w:val="auto"/>
          <w:spacing w:val="4"/>
          <w:sz w:val="24"/>
          <w:szCs w:val="24"/>
          <w:highlight w:val="none"/>
        </w:rPr>
        <w:t>3</w:t>
      </w:r>
      <w:r>
        <w:rPr>
          <w:rFonts w:ascii="宋体" w:hAnsi="宋体" w:eastAsia="宋体" w:cs="宋体"/>
          <w:color w:val="auto"/>
          <w:spacing w:val="-43"/>
          <w:sz w:val="24"/>
          <w:szCs w:val="24"/>
          <w:highlight w:val="none"/>
        </w:rPr>
        <w:t xml:space="preserve"> </w:t>
      </w:r>
      <w:r>
        <w:rPr>
          <w:rFonts w:ascii="宋体" w:hAnsi="宋体" w:eastAsia="宋体" w:cs="宋体"/>
          <w:color w:val="auto"/>
          <w:spacing w:val="4"/>
          <w:sz w:val="24"/>
          <w:szCs w:val="24"/>
          <w:highlight w:val="none"/>
        </w:rPr>
        <w:t>个的，评标委员会可以否决全部投标。未否决全部投标的，</w:t>
      </w:r>
      <w:r>
        <w:rPr>
          <w:rFonts w:ascii="宋体" w:hAnsi="宋体" w:eastAsia="宋体" w:cs="宋体"/>
          <w:color w:val="auto"/>
          <w:spacing w:val="3"/>
          <w:sz w:val="24"/>
          <w:szCs w:val="24"/>
          <w:highlight w:val="none"/>
        </w:rPr>
        <w:t>评标委员</w:t>
      </w:r>
      <w:r>
        <w:rPr>
          <w:rFonts w:ascii="宋体" w:hAnsi="宋体" w:eastAsia="宋体" w:cs="宋体"/>
          <w:color w:val="auto"/>
          <w:spacing w:val="-1"/>
          <w:sz w:val="24"/>
          <w:szCs w:val="24"/>
          <w:highlight w:val="none"/>
        </w:rPr>
        <w:t>会应当在评标报告中阐明理由并推荐中标候选人。</w:t>
      </w:r>
    </w:p>
    <w:p w14:paraId="0A69BDBC">
      <w:pPr>
        <w:spacing w:line="359" w:lineRule="auto"/>
        <w:ind w:left="2" w:firstLine="482"/>
        <w:rPr>
          <w:rFonts w:ascii="宋体" w:hAnsi="宋体" w:eastAsia="宋体" w:cs="宋体"/>
          <w:color w:val="auto"/>
          <w:sz w:val="24"/>
          <w:szCs w:val="24"/>
          <w:highlight w:val="none"/>
        </w:rPr>
      </w:pPr>
      <w:r>
        <w:rPr>
          <w:rFonts w:ascii="宋体" w:hAnsi="宋体" w:eastAsia="宋体" w:cs="宋体"/>
          <w:color w:val="auto"/>
          <w:sz w:val="24"/>
          <w:szCs w:val="24"/>
          <w:highlight w:val="none"/>
        </w:rPr>
        <w:t>3.9.5</w:t>
      </w:r>
      <w:r>
        <w:rPr>
          <w:rFonts w:ascii="宋体" w:hAnsi="宋体" w:eastAsia="宋体" w:cs="宋体"/>
          <w:color w:val="auto"/>
          <w:spacing w:val="-47"/>
          <w:sz w:val="24"/>
          <w:szCs w:val="24"/>
          <w:highlight w:val="none"/>
        </w:rPr>
        <w:t xml:space="preserve"> </w:t>
      </w:r>
      <w:r>
        <w:rPr>
          <w:rFonts w:ascii="宋体" w:hAnsi="宋体" w:eastAsia="宋体" w:cs="宋体"/>
          <w:color w:val="auto"/>
          <w:sz w:val="24"/>
          <w:szCs w:val="24"/>
          <w:highlight w:val="none"/>
        </w:rPr>
        <w:t>如果发生无法确定推荐中标候选人的</w:t>
      </w:r>
      <w:r>
        <w:rPr>
          <w:rFonts w:ascii="宋体" w:hAnsi="宋体" w:eastAsia="宋体" w:cs="宋体"/>
          <w:color w:val="auto"/>
          <w:spacing w:val="-1"/>
          <w:sz w:val="24"/>
          <w:szCs w:val="24"/>
          <w:highlight w:val="none"/>
        </w:rPr>
        <w:t>其他意外情况，评标委员会可建议招标</w:t>
      </w:r>
      <w:r>
        <w:rPr>
          <w:rFonts w:ascii="宋体" w:hAnsi="宋体" w:eastAsia="宋体" w:cs="宋体"/>
          <w:color w:val="auto"/>
          <w:spacing w:val="-2"/>
          <w:sz w:val="24"/>
          <w:szCs w:val="24"/>
          <w:highlight w:val="none"/>
        </w:rPr>
        <w:t>人重新招标。</w:t>
      </w:r>
    </w:p>
    <w:p w14:paraId="3E2B90C6">
      <w:pPr>
        <w:spacing w:line="218" w:lineRule="auto"/>
        <w:ind w:left="4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3.9.6</w:t>
      </w:r>
      <w:r>
        <w:rPr>
          <w:rFonts w:ascii="宋体" w:hAnsi="宋体" w:eastAsia="宋体" w:cs="宋体"/>
          <w:color w:val="auto"/>
          <w:spacing w:val="-49"/>
          <w:sz w:val="24"/>
          <w:szCs w:val="24"/>
          <w:highlight w:val="none"/>
        </w:rPr>
        <w:t xml:space="preserve"> </w:t>
      </w:r>
      <w:r>
        <w:rPr>
          <w:rFonts w:ascii="宋体" w:hAnsi="宋体" w:eastAsia="宋体" w:cs="宋体"/>
          <w:color w:val="auto"/>
          <w:spacing w:val="-1"/>
          <w:sz w:val="24"/>
          <w:szCs w:val="24"/>
          <w:highlight w:val="none"/>
        </w:rPr>
        <w:t>本招标文件规定的否决投标条款包含在以下条款：</w:t>
      </w:r>
    </w:p>
    <w:p w14:paraId="2E22849A">
      <w:pPr>
        <w:spacing w:before="180"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（1）投标人须知前附表后附录资格审查条件；</w:t>
      </w:r>
    </w:p>
    <w:p w14:paraId="2EB5389C">
      <w:pPr>
        <w:spacing w:before="184" w:line="359" w:lineRule="auto"/>
        <w:ind w:left="5" w:right="39" w:firstLine="48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（2）投标人须知</w:t>
      </w:r>
      <w:r>
        <w:rPr>
          <w:rFonts w:ascii="宋体" w:hAnsi="宋体" w:eastAsia="宋体" w:cs="宋体"/>
          <w:color w:val="auto"/>
          <w:spacing w:val="-31"/>
          <w:sz w:val="24"/>
          <w:szCs w:val="24"/>
          <w:highlight w:val="none"/>
        </w:rPr>
        <w:t xml:space="preserve"> </w:t>
      </w:r>
      <w:r>
        <w:rPr>
          <w:rFonts w:ascii="宋体" w:hAnsi="宋体" w:eastAsia="宋体" w:cs="宋体"/>
          <w:color w:val="auto"/>
          <w:spacing w:val="-3"/>
          <w:sz w:val="24"/>
          <w:szCs w:val="24"/>
          <w:highlight w:val="none"/>
        </w:rPr>
        <w:t>1.4.3</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项、1.4.4</w:t>
      </w:r>
      <w:r>
        <w:rPr>
          <w:rFonts w:ascii="宋体" w:hAnsi="宋体" w:eastAsia="宋体" w:cs="宋体"/>
          <w:color w:val="auto"/>
          <w:spacing w:val="-46"/>
          <w:sz w:val="24"/>
          <w:szCs w:val="24"/>
          <w:highlight w:val="none"/>
        </w:rPr>
        <w:t xml:space="preserve"> </w:t>
      </w:r>
      <w:r>
        <w:rPr>
          <w:rFonts w:ascii="宋体" w:hAnsi="宋体" w:eastAsia="宋体" w:cs="宋体"/>
          <w:color w:val="auto"/>
          <w:spacing w:val="-3"/>
          <w:sz w:val="24"/>
          <w:szCs w:val="24"/>
          <w:highlight w:val="none"/>
        </w:rPr>
        <w:t>项、1.4.5</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项、1.12.2</w:t>
      </w:r>
      <w:r>
        <w:rPr>
          <w:rFonts w:ascii="宋体" w:hAnsi="宋体" w:eastAsia="宋体" w:cs="宋体"/>
          <w:color w:val="auto"/>
          <w:spacing w:val="-47"/>
          <w:sz w:val="24"/>
          <w:szCs w:val="24"/>
          <w:highlight w:val="none"/>
        </w:rPr>
        <w:t xml:space="preserve"> </w:t>
      </w:r>
      <w:r>
        <w:rPr>
          <w:rFonts w:ascii="宋体" w:hAnsi="宋体" w:eastAsia="宋体" w:cs="宋体"/>
          <w:color w:val="auto"/>
          <w:spacing w:val="-4"/>
          <w:sz w:val="24"/>
          <w:szCs w:val="24"/>
          <w:highlight w:val="none"/>
        </w:rPr>
        <w:t>项、3.4.2</w:t>
      </w:r>
      <w:r>
        <w:rPr>
          <w:rFonts w:ascii="宋体" w:hAnsi="宋体" w:eastAsia="宋体" w:cs="宋体"/>
          <w:color w:val="auto"/>
          <w:spacing w:val="-44"/>
          <w:sz w:val="24"/>
          <w:szCs w:val="24"/>
          <w:highlight w:val="none"/>
        </w:rPr>
        <w:t xml:space="preserve"> </w:t>
      </w:r>
      <w:r>
        <w:rPr>
          <w:rFonts w:ascii="宋体" w:hAnsi="宋体" w:eastAsia="宋体" w:cs="宋体"/>
          <w:color w:val="auto"/>
          <w:spacing w:val="-4"/>
          <w:sz w:val="24"/>
          <w:szCs w:val="24"/>
          <w:highlight w:val="none"/>
        </w:rPr>
        <w:t>项、3.5</w:t>
      </w:r>
      <w:r>
        <w:rPr>
          <w:rFonts w:ascii="宋体" w:hAnsi="宋体" w:eastAsia="宋体" w:cs="宋体"/>
          <w:color w:val="auto"/>
          <w:spacing w:val="-47"/>
          <w:sz w:val="24"/>
          <w:szCs w:val="24"/>
          <w:highlight w:val="none"/>
        </w:rPr>
        <w:t xml:space="preserve"> </w:t>
      </w:r>
      <w:r>
        <w:rPr>
          <w:rFonts w:ascii="宋体" w:hAnsi="宋体" w:eastAsia="宋体" w:cs="宋体"/>
          <w:color w:val="auto"/>
          <w:spacing w:val="-4"/>
          <w:sz w:val="24"/>
          <w:szCs w:val="24"/>
          <w:highlight w:val="none"/>
        </w:rPr>
        <w:t>项、3.6.1</w:t>
      </w:r>
      <w:r>
        <w:rPr>
          <w:rFonts w:ascii="宋体" w:hAnsi="宋体" w:eastAsia="宋体" w:cs="宋体"/>
          <w:color w:val="auto"/>
          <w:spacing w:val="-47"/>
          <w:sz w:val="24"/>
          <w:szCs w:val="24"/>
          <w:highlight w:val="none"/>
        </w:rPr>
        <w:t xml:space="preserve"> </w:t>
      </w:r>
      <w:r>
        <w:rPr>
          <w:rFonts w:ascii="宋体" w:hAnsi="宋体" w:eastAsia="宋体" w:cs="宋体"/>
          <w:color w:val="auto"/>
          <w:spacing w:val="-4"/>
          <w:sz w:val="24"/>
          <w:szCs w:val="24"/>
          <w:highlight w:val="none"/>
        </w:rPr>
        <w:t>项；</w:t>
      </w:r>
    </w:p>
    <w:p w14:paraId="696E1A44">
      <w:pPr>
        <w:spacing w:before="1" w:line="218" w:lineRule="auto"/>
        <w:ind w:left="492"/>
        <w:rPr>
          <w:rFonts w:ascii="宋体" w:hAnsi="宋体" w:eastAsia="宋体" w:cs="宋体"/>
          <w:color w:val="auto"/>
          <w:sz w:val="24"/>
          <w:szCs w:val="24"/>
          <w:highlight w:val="none"/>
        </w:rPr>
      </w:pPr>
      <w:bookmarkStart w:id="61" w:name="bookmark9"/>
      <w:bookmarkEnd w:id="61"/>
      <w:r>
        <w:rPr>
          <w:rFonts w:ascii="宋体" w:hAnsi="宋体" w:eastAsia="宋体" w:cs="宋体"/>
          <w:color w:val="auto"/>
          <w:spacing w:val="-2"/>
          <w:sz w:val="24"/>
          <w:szCs w:val="24"/>
          <w:highlight w:val="none"/>
        </w:rPr>
        <w:t>（3）本评标办法的否决条款。</w:t>
      </w:r>
    </w:p>
    <w:p w14:paraId="36A336AE">
      <w:pPr>
        <w:spacing w:line="218" w:lineRule="auto"/>
        <w:rPr>
          <w:rFonts w:ascii="宋体" w:hAnsi="宋体" w:eastAsia="宋体" w:cs="宋体"/>
          <w:color w:val="auto"/>
          <w:sz w:val="24"/>
          <w:szCs w:val="24"/>
          <w:highlight w:val="none"/>
        </w:rPr>
        <w:sectPr>
          <w:footerReference r:id="rId19" w:type="default"/>
          <w:pgSz w:w="11905" w:h="16838"/>
          <w:pgMar w:top="1134" w:right="1134" w:bottom="1134" w:left="1134" w:header="0" w:footer="1066" w:gutter="0"/>
          <w:pgNumType w:fmt="decimal"/>
          <w:cols w:space="0" w:num="1"/>
          <w:rtlGutter w:val="0"/>
          <w:docGrid w:linePitch="0" w:charSpace="0"/>
        </w:sectPr>
      </w:pPr>
    </w:p>
    <w:p w14:paraId="4D8E29BF">
      <w:pPr>
        <w:spacing w:line="246" w:lineRule="auto"/>
        <w:rPr>
          <w:rFonts w:ascii="Arial"/>
          <w:color w:val="auto"/>
          <w:sz w:val="21"/>
          <w:highlight w:val="none"/>
        </w:rPr>
      </w:pPr>
    </w:p>
    <w:p w14:paraId="5DC3BAD5">
      <w:pPr>
        <w:spacing w:line="246" w:lineRule="auto"/>
        <w:rPr>
          <w:rFonts w:ascii="Arial"/>
          <w:color w:val="auto"/>
          <w:sz w:val="21"/>
          <w:highlight w:val="none"/>
        </w:rPr>
      </w:pPr>
    </w:p>
    <w:p w14:paraId="2D9F6B19">
      <w:pPr>
        <w:spacing w:line="246" w:lineRule="auto"/>
        <w:rPr>
          <w:rFonts w:ascii="Arial"/>
          <w:color w:val="auto"/>
          <w:sz w:val="21"/>
          <w:highlight w:val="none"/>
        </w:rPr>
      </w:pPr>
    </w:p>
    <w:p w14:paraId="1927B9F2">
      <w:pPr>
        <w:spacing w:line="246" w:lineRule="auto"/>
        <w:rPr>
          <w:rFonts w:ascii="Arial"/>
          <w:color w:val="auto"/>
          <w:sz w:val="21"/>
          <w:highlight w:val="none"/>
        </w:rPr>
      </w:pPr>
    </w:p>
    <w:p w14:paraId="5239A9CE">
      <w:pPr>
        <w:spacing w:line="246" w:lineRule="auto"/>
        <w:rPr>
          <w:rFonts w:ascii="Arial"/>
          <w:color w:val="auto"/>
          <w:sz w:val="21"/>
          <w:highlight w:val="none"/>
        </w:rPr>
      </w:pPr>
    </w:p>
    <w:p w14:paraId="774D1A5A">
      <w:pPr>
        <w:spacing w:line="246" w:lineRule="auto"/>
        <w:rPr>
          <w:rFonts w:ascii="Arial"/>
          <w:color w:val="auto"/>
          <w:sz w:val="21"/>
          <w:highlight w:val="none"/>
        </w:rPr>
      </w:pPr>
    </w:p>
    <w:p w14:paraId="2A5AEA7D">
      <w:pPr>
        <w:spacing w:line="246" w:lineRule="auto"/>
        <w:rPr>
          <w:rFonts w:ascii="Arial"/>
          <w:color w:val="auto"/>
          <w:sz w:val="21"/>
          <w:highlight w:val="none"/>
        </w:rPr>
      </w:pPr>
    </w:p>
    <w:p w14:paraId="45A25543">
      <w:pPr>
        <w:spacing w:line="246" w:lineRule="auto"/>
        <w:rPr>
          <w:rFonts w:ascii="Arial"/>
          <w:color w:val="auto"/>
          <w:sz w:val="21"/>
          <w:highlight w:val="none"/>
        </w:rPr>
      </w:pPr>
    </w:p>
    <w:p w14:paraId="3431F406">
      <w:pPr>
        <w:spacing w:line="246" w:lineRule="auto"/>
        <w:rPr>
          <w:rFonts w:ascii="Arial"/>
          <w:color w:val="auto"/>
          <w:sz w:val="21"/>
          <w:highlight w:val="none"/>
        </w:rPr>
      </w:pPr>
    </w:p>
    <w:p w14:paraId="135D830B">
      <w:pPr>
        <w:spacing w:line="247" w:lineRule="auto"/>
        <w:rPr>
          <w:rFonts w:ascii="Arial"/>
          <w:color w:val="auto"/>
          <w:sz w:val="21"/>
          <w:highlight w:val="none"/>
        </w:rPr>
      </w:pPr>
    </w:p>
    <w:p w14:paraId="5C8ADB81">
      <w:pPr>
        <w:spacing w:line="247" w:lineRule="auto"/>
        <w:rPr>
          <w:rFonts w:ascii="Arial"/>
          <w:color w:val="auto"/>
          <w:sz w:val="21"/>
          <w:highlight w:val="none"/>
        </w:rPr>
      </w:pPr>
    </w:p>
    <w:p w14:paraId="7EA56420">
      <w:pPr>
        <w:spacing w:line="247" w:lineRule="auto"/>
        <w:rPr>
          <w:rFonts w:ascii="Arial"/>
          <w:color w:val="auto"/>
          <w:sz w:val="21"/>
          <w:highlight w:val="none"/>
        </w:rPr>
      </w:pPr>
    </w:p>
    <w:p w14:paraId="77F09899">
      <w:pPr>
        <w:spacing w:line="247" w:lineRule="auto"/>
        <w:rPr>
          <w:rFonts w:ascii="Arial"/>
          <w:color w:val="auto"/>
          <w:sz w:val="21"/>
          <w:highlight w:val="none"/>
        </w:rPr>
      </w:pPr>
    </w:p>
    <w:p w14:paraId="4AF2BD2A">
      <w:pPr>
        <w:spacing w:line="247" w:lineRule="auto"/>
        <w:rPr>
          <w:rFonts w:ascii="Arial"/>
          <w:color w:val="auto"/>
          <w:sz w:val="21"/>
          <w:highlight w:val="none"/>
        </w:rPr>
      </w:pPr>
    </w:p>
    <w:p w14:paraId="3BFEB833">
      <w:pPr>
        <w:spacing w:line="247" w:lineRule="auto"/>
        <w:rPr>
          <w:rFonts w:ascii="Arial"/>
          <w:color w:val="auto"/>
          <w:sz w:val="21"/>
          <w:highlight w:val="none"/>
        </w:rPr>
      </w:pPr>
    </w:p>
    <w:p w14:paraId="3DEE5F69">
      <w:pPr>
        <w:spacing w:line="247" w:lineRule="auto"/>
        <w:rPr>
          <w:rFonts w:ascii="Arial"/>
          <w:color w:val="auto"/>
          <w:sz w:val="21"/>
          <w:highlight w:val="none"/>
        </w:rPr>
      </w:pPr>
    </w:p>
    <w:p w14:paraId="46B25E47">
      <w:pPr>
        <w:spacing w:line="247" w:lineRule="auto"/>
        <w:rPr>
          <w:rFonts w:ascii="Arial"/>
          <w:color w:val="auto"/>
          <w:sz w:val="21"/>
          <w:highlight w:val="none"/>
        </w:rPr>
      </w:pPr>
    </w:p>
    <w:p w14:paraId="61C50C7D">
      <w:pPr>
        <w:spacing w:line="247" w:lineRule="auto"/>
        <w:rPr>
          <w:rFonts w:ascii="Arial"/>
          <w:color w:val="auto"/>
          <w:sz w:val="21"/>
          <w:highlight w:val="none"/>
        </w:rPr>
      </w:pPr>
    </w:p>
    <w:p w14:paraId="0A1ADFE4">
      <w:pPr>
        <w:spacing w:line="247" w:lineRule="auto"/>
        <w:rPr>
          <w:rFonts w:ascii="Arial"/>
          <w:color w:val="auto"/>
          <w:sz w:val="21"/>
          <w:highlight w:val="none"/>
        </w:rPr>
      </w:pPr>
    </w:p>
    <w:p w14:paraId="4656732C">
      <w:pPr>
        <w:spacing w:line="247" w:lineRule="auto"/>
        <w:rPr>
          <w:rFonts w:ascii="Arial"/>
          <w:color w:val="auto"/>
          <w:sz w:val="21"/>
          <w:highlight w:val="none"/>
        </w:rPr>
      </w:pPr>
    </w:p>
    <w:p w14:paraId="04C5ECFE">
      <w:pPr>
        <w:spacing w:line="247" w:lineRule="auto"/>
        <w:rPr>
          <w:rFonts w:ascii="Arial"/>
          <w:color w:val="auto"/>
          <w:sz w:val="21"/>
          <w:highlight w:val="none"/>
        </w:rPr>
      </w:pPr>
    </w:p>
    <w:p w14:paraId="3D0FEA26">
      <w:pPr>
        <w:spacing w:before="169" w:line="219" w:lineRule="auto"/>
        <w:jc w:val="center"/>
        <w:outlineLvl w:val="0"/>
        <w:rPr>
          <w:rFonts w:ascii="宋体" w:hAnsi="宋体" w:eastAsia="宋体" w:cs="宋体"/>
          <w:color w:val="auto"/>
          <w:sz w:val="52"/>
          <w:szCs w:val="52"/>
          <w:highlight w:val="none"/>
        </w:rPr>
      </w:pPr>
      <w:bookmarkStart w:id="62" w:name="bookmark169"/>
      <w:bookmarkEnd w:id="62"/>
      <w:bookmarkStart w:id="63" w:name="_Toc23475"/>
      <w:r>
        <w:rPr>
          <w:rFonts w:ascii="宋体" w:hAnsi="宋体" w:eastAsia="宋体" w:cs="宋体"/>
          <w:b/>
          <w:bCs/>
          <w:color w:val="auto"/>
          <w:spacing w:val="-5"/>
          <w:sz w:val="52"/>
          <w:szCs w:val="52"/>
          <w:highlight w:val="none"/>
        </w:rPr>
        <w:t>第四章</w:t>
      </w:r>
      <w:r>
        <w:rPr>
          <w:rFonts w:ascii="宋体" w:hAnsi="宋体" w:eastAsia="宋体" w:cs="宋体"/>
          <w:color w:val="auto"/>
          <w:spacing w:val="-5"/>
          <w:sz w:val="52"/>
          <w:szCs w:val="52"/>
          <w:highlight w:val="none"/>
        </w:rPr>
        <w:t xml:space="preserve">  </w:t>
      </w:r>
      <w:r>
        <w:rPr>
          <w:rFonts w:ascii="宋体" w:hAnsi="宋体" w:eastAsia="宋体" w:cs="宋体"/>
          <w:b/>
          <w:bCs/>
          <w:color w:val="auto"/>
          <w:spacing w:val="-5"/>
          <w:sz w:val="52"/>
          <w:szCs w:val="52"/>
          <w:highlight w:val="none"/>
        </w:rPr>
        <w:t>合同条款及格式</w:t>
      </w:r>
      <w:bookmarkEnd w:id="63"/>
    </w:p>
    <w:p w14:paraId="217105AB">
      <w:pPr>
        <w:spacing w:line="219" w:lineRule="auto"/>
        <w:rPr>
          <w:rFonts w:ascii="宋体" w:hAnsi="宋体" w:eastAsia="宋体" w:cs="宋体"/>
          <w:color w:val="auto"/>
          <w:sz w:val="52"/>
          <w:szCs w:val="52"/>
          <w:highlight w:val="none"/>
        </w:rPr>
        <w:sectPr>
          <w:footerReference r:id="rId20" w:type="default"/>
          <w:pgSz w:w="11905" w:h="16838"/>
          <w:pgMar w:top="1134" w:right="1134" w:bottom="1134" w:left="1134" w:header="0" w:footer="1066" w:gutter="0"/>
          <w:pgNumType w:fmt="decimal"/>
          <w:cols w:space="0" w:num="1"/>
          <w:rtlGutter w:val="0"/>
          <w:docGrid w:linePitch="0" w:charSpace="0"/>
        </w:sectPr>
      </w:pPr>
    </w:p>
    <w:p w14:paraId="73F06751">
      <w:pPr>
        <w:spacing w:line="288" w:lineRule="auto"/>
        <w:rPr>
          <w:rFonts w:ascii="Arial"/>
          <w:color w:val="auto"/>
          <w:sz w:val="21"/>
          <w:highlight w:val="none"/>
        </w:rPr>
      </w:pPr>
    </w:p>
    <w:p w14:paraId="48CBA107">
      <w:pPr>
        <w:pStyle w:val="3"/>
        <w:bidi w:val="0"/>
        <w:jc w:val="center"/>
        <w:rPr>
          <w:color w:val="auto"/>
          <w:highlight w:val="none"/>
        </w:rPr>
      </w:pPr>
      <w:r>
        <w:rPr>
          <w:color w:val="auto"/>
          <w:highlight w:val="none"/>
        </w:rPr>
        <w:t>第一节 通用合同条款</w:t>
      </w:r>
    </w:p>
    <w:p w14:paraId="50E3F7ED">
      <w:pPr>
        <w:spacing w:line="246" w:lineRule="auto"/>
        <w:rPr>
          <w:rFonts w:ascii="Arial"/>
          <w:color w:val="auto"/>
          <w:sz w:val="21"/>
          <w:highlight w:val="none"/>
        </w:rPr>
      </w:pPr>
    </w:p>
    <w:p w14:paraId="1B936AD4">
      <w:pPr>
        <w:spacing w:line="247" w:lineRule="auto"/>
        <w:rPr>
          <w:rFonts w:ascii="Arial"/>
          <w:color w:val="auto"/>
          <w:sz w:val="21"/>
          <w:highlight w:val="none"/>
        </w:rPr>
      </w:pPr>
    </w:p>
    <w:p w14:paraId="3A3CB05E">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64" w:name="_Toc492300639"/>
      <w:bookmarkStart w:id="65" w:name="_Toc503518000"/>
      <w:bookmarkStart w:id="66" w:name="_Toc482188546"/>
      <w:r>
        <w:rPr>
          <w:rFonts w:hint="eastAsia" w:ascii="宋体" w:hAnsi="宋体"/>
          <w:b/>
          <w:color w:val="auto"/>
          <w:kern w:val="21"/>
          <w:sz w:val="28"/>
          <w:highlight w:val="none"/>
        </w:rPr>
        <w:t>1. 一般约定</w:t>
      </w:r>
      <w:bookmarkEnd w:id="64"/>
      <w:bookmarkEnd w:id="65"/>
      <w:bookmarkEnd w:id="66"/>
    </w:p>
    <w:p w14:paraId="201D3931">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67" w:name="_Toc482188547"/>
      <w:bookmarkStart w:id="68" w:name="_Toc492300640"/>
      <w:r>
        <w:rPr>
          <w:rFonts w:hint="eastAsia" w:ascii="宋体" w:hAnsi="宋体"/>
          <w:b/>
          <w:color w:val="auto"/>
          <w:kern w:val="21"/>
          <w:sz w:val="24"/>
          <w:highlight w:val="none"/>
        </w:rPr>
        <w:t>1.1 词语定义</w:t>
      </w:r>
      <w:bookmarkEnd w:id="67"/>
      <w:bookmarkEnd w:id="68"/>
    </w:p>
    <w:p w14:paraId="2D206DB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通用合同条款、专用合同条款中的下列词语应具有本款所赋予的含义。</w:t>
      </w:r>
    </w:p>
    <w:p w14:paraId="3C7657A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 合同</w:t>
      </w:r>
    </w:p>
    <w:p w14:paraId="63C8787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1.1.1.1 合同文件（或称合同）：指合同协议书、中标通知书、投标函和投标函附录、专用合同条款、通用合同条款、委托人要求、监理报酬清单、监理大纲，以及其他构成合同组成部分的文件。</w:t>
      </w:r>
    </w:p>
    <w:p w14:paraId="4B04C15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1.1.1.2 合同协议书：指委托人和监理人共同签署的合同协议书。</w:t>
      </w:r>
    </w:p>
    <w:p w14:paraId="5E630E4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1.1.1.3 中标通知书：指委托人通知监理人中标的函件。</w:t>
      </w:r>
    </w:p>
    <w:p w14:paraId="3B011F4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1.1.1.4 投标函：指由监理人填写并签署的，名为“投标函”的函件。</w:t>
      </w:r>
    </w:p>
    <w:p w14:paraId="00E80B0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1.1.1.5 投标函附录：指由监理人填写并签署的、附在投标函后，名为“投标函附录”的函件。</w:t>
      </w:r>
    </w:p>
    <w:p w14:paraId="2DF63FC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1.1.1.6 委托人要求：指合同文件中名为“委托人要求”的文件。</w:t>
      </w:r>
    </w:p>
    <w:p w14:paraId="587FF28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1.1.1.7 监理大纲：指监理人在投标文件中的监理大纲。</w:t>
      </w:r>
    </w:p>
    <w:p w14:paraId="0EDD269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1.1.1.8 监理报酬清单：指监理人投标文件中的监理报酬清单。</w:t>
      </w:r>
    </w:p>
    <w:p w14:paraId="0A13663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1.1.1.9 其他合同文件：指经合同双方当事人确认构成合同文件的其他文件。</w:t>
      </w:r>
    </w:p>
    <w:p w14:paraId="6C5BB87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 合同当事人和人员</w:t>
      </w:r>
    </w:p>
    <w:p w14:paraId="4175D70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1.1.2.1 合同当事人：指委托人和（或）监理人。</w:t>
      </w:r>
    </w:p>
    <w:p w14:paraId="374C6ED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1.1.2.2 委托人：指与监理人签订合同协议书的当事人，及其合法继承人。</w:t>
      </w:r>
    </w:p>
    <w:p w14:paraId="66783BD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1.1.2.3 监理人：指与委托人签订合同协议书的当事人，及其合法继承人。</w:t>
      </w:r>
    </w:p>
    <w:p w14:paraId="5B451B9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1.1.2.4 委托人代表：指由委托人任命，并在授权范围和期限内代表委托人行使权利和履行义务的全权负责人。</w:t>
      </w:r>
    </w:p>
    <w:p w14:paraId="567CBE4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1.1.2.5 总监理工程师：指由监理人任命，代表监理人行使权利和履行义务的全权负责人。</w:t>
      </w:r>
    </w:p>
    <w:p w14:paraId="73B201F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1.1.2.6 承包人：指在本工程监理范围内，与委托人签订勘察、设计、施工承包合同的当事人。</w:t>
      </w:r>
    </w:p>
    <w:p w14:paraId="59D2D2F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1.1.3 工程和监理</w:t>
      </w:r>
    </w:p>
    <w:p w14:paraId="21ACD5E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1.1.3.1 工程：指永久工程和（或）临时工程。</w:t>
      </w:r>
    </w:p>
    <w:p w14:paraId="627A3DE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1.1.3.2 监理服务：指监理人接受委托人的委托，依照法律、规范标准和监理合同等，对建设工程勘察、设计或施工等阶段进行质量控制、进度控制、投资控制、合同管理、信息管理、组织协调和安全监理、环保监理的服务活动。</w:t>
      </w:r>
    </w:p>
    <w:p w14:paraId="01D4206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1.1.3.3 监理资料：是委托人按合同约定向监理人提供的，用于完成监理范围与内容所需要的资料。</w:t>
      </w:r>
    </w:p>
    <w:p w14:paraId="456EB7B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1.1.3.4 监理文件：指监理人按合同约定向委托人提交的监理大纲、监理规划、监理实施细则、监理日志、监理报告、工程质量评估报告、事故处理文件、监理工作总结和其他文件等，包括阶段性文件和最终文件，且应当采用合同中双方约定的格式和载体。</w:t>
      </w:r>
    </w:p>
    <w:p w14:paraId="5C15A46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 日期</w:t>
      </w:r>
    </w:p>
    <w:p w14:paraId="3E3F7AA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1.1.4.1 开始监理通知：指委托人按第6.1款通知监理人开始监理的函件。</w:t>
      </w:r>
    </w:p>
    <w:p w14:paraId="5CDEB24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1.1.4.2 开始监理日期：指委托人按第6.1款发出的开始监理通知中写明的开始监理日期。</w:t>
      </w:r>
    </w:p>
    <w:p w14:paraId="4EE319D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1.1.4.3 监理服务期限：指监理人在投标函中承诺的完成合同监理服务所需的期限，包括按第6.2款约定所作的调整。</w:t>
      </w:r>
    </w:p>
    <w:p w14:paraId="6E11D40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1.1.4.4 完成监理日期：指第1.1.4.3目约定监理服务期限届满时的日期。</w:t>
      </w:r>
    </w:p>
    <w:p w14:paraId="54FBB24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1.1.4.5 基准日：指投标截止时间前28天的日期。</w:t>
      </w:r>
    </w:p>
    <w:p w14:paraId="1362B4C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1.1.4.6 天：除特别指明外，指日历天。合同中按天计算时间的，开始当天不计入，从次日开始计算。期限最后一天的截止时间为当天24:00。</w:t>
      </w:r>
    </w:p>
    <w:p w14:paraId="5011DAA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1.1.5 合同价格和费用</w:t>
      </w:r>
    </w:p>
    <w:p w14:paraId="5BDBFC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1.1.5.1 签约合同价：指签订合同时合同协议书中写明的监理报酬总金额。</w:t>
      </w:r>
    </w:p>
    <w:p w14:paraId="617F422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1.1.5.2 合同价格：指监理人按合同约定完成了全部监理工作后，委托人应付给监理人的金额，包括在履行合同过程中按合同约定进行的变更和调整。</w:t>
      </w:r>
    </w:p>
    <w:p w14:paraId="652DD8A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1.1.5.3 费用：指为履行合同所发生的或将要发生的所有合理开支，包括管理费和应分摊的其他费用，但不包括利润。</w:t>
      </w:r>
    </w:p>
    <w:p w14:paraId="6221B29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1.1.6 其他</w:t>
      </w:r>
    </w:p>
    <w:p w14:paraId="6F24870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1.1.6.1 书面形式：指合同文件、信件和数据电文（包括电报、电传、传真、电子数据交换和电子邮件）等可以有形地表现所载内容的形式。</w:t>
      </w:r>
    </w:p>
    <w:p w14:paraId="202B5BF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69" w:name="_Toc492300641"/>
      <w:bookmarkStart w:id="70" w:name="_Toc482188548"/>
      <w:r>
        <w:rPr>
          <w:rFonts w:hint="eastAsia" w:ascii="宋体" w:hAnsi="宋体"/>
          <w:b/>
          <w:color w:val="auto"/>
          <w:kern w:val="21"/>
          <w:sz w:val="24"/>
          <w:highlight w:val="none"/>
        </w:rPr>
        <w:t>1.2 语言文字</w:t>
      </w:r>
      <w:bookmarkEnd w:id="69"/>
      <w:bookmarkEnd w:id="70"/>
    </w:p>
    <w:p w14:paraId="2B732ED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合同使用的语言文字为中文。专用术语使用外文的，应附有中文注释。</w:t>
      </w:r>
    </w:p>
    <w:p w14:paraId="5EE4BA97">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71" w:name="_Toc482188549"/>
      <w:bookmarkStart w:id="72" w:name="_Toc492300642"/>
      <w:r>
        <w:rPr>
          <w:rFonts w:hint="eastAsia" w:ascii="宋体" w:hAnsi="宋体"/>
          <w:b/>
          <w:color w:val="auto"/>
          <w:kern w:val="21"/>
          <w:sz w:val="24"/>
          <w:highlight w:val="none"/>
        </w:rPr>
        <w:t>1.3 适用法律</w:t>
      </w:r>
      <w:bookmarkEnd w:id="71"/>
      <w:bookmarkEnd w:id="72"/>
    </w:p>
    <w:p w14:paraId="212465C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适用于合同的法律包括中华人民共和国法律、行政法规、部门规章，以及工程所在地的地方法规、自治条例、单行条例和地方政府规章。</w:t>
      </w:r>
    </w:p>
    <w:p w14:paraId="46C3232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本合同适用的其他规范性文件，可在专用合同条款中约定。</w:t>
      </w:r>
    </w:p>
    <w:p w14:paraId="4B8F5782">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73" w:name="_Toc482188550"/>
      <w:bookmarkStart w:id="74" w:name="_Toc492300643"/>
      <w:r>
        <w:rPr>
          <w:rFonts w:hint="eastAsia" w:ascii="宋体" w:hAnsi="宋体"/>
          <w:b/>
          <w:color w:val="auto"/>
          <w:kern w:val="21"/>
          <w:sz w:val="24"/>
          <w:highlight w:val="none"/>
        </w:rPr>
        <w:t>1.4 合同文件的优先顺序</w:t>
      </w:r>
      <w:bookmarkEnd w:id="73"/>
      <w:bookmarkEnd w:id="74"/>
    </w:p>
    <w:p w14:paraId="048992F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组成合同的各项文件应互相解释，互为说明。除专用合同条款另有约定外，解释合同文件的优先顺序如下：</w:t>
      </w:r>
    </w:p>
    <w:p w14:paraId="5369C44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（1）合同协议书；</w:t>
      </w:r>
    </w:p>
    <w:p w14:paraId="4C52279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（2）中标通知书；</w:t>
      </w:r>
    </w:p>
    <w:p w14:paraId="2E979B1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（3）投标函及投标函附录；</w:t>
      </w:r>
    </w:p>
    <w:p w14:paraId="52D5C16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（4）专用合同条款；</w:t>
      </w:r>
    </w:p>
    <w:p w14:paraId="779E0EA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（5）通用合同条款；</w:t>
      </w:r>
    </w:p>
    <w:p w14:paraId="307C002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（6）委托人要求；</w:t>
      </w:r>
    </w:p>
    <w:p w14:paraId="6D549EF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（7）监理报酬清单；</w:t>
      </w:r>
    </w:p>
    <w:p w14:paraId="6D79213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（8）监理大纲；</w:t>
      </w:r>
    </w:p>
    <w:p w14:paraId="0229BC6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（9）其他合同文件。</w:t>
      </w:r>
    </w:p>
    <w:p w14:paraId="41C22ADD">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75" w:name="_Toc482188551"/>
      <w:bookmarkStart w:id="76" w:name="_Toc492300644"/>
      <w:r>
        <w:rPr>
          <w:rFonts w:hint="eastAsia" w:ascii="宋体" w:hAnsi="宋体"/>
          <w:b/>
          <w:color w:val="auto"/>
          <w:kern w:val="21"/>
          <w:sz w:val="24"/>
          <w:highlight w:val="none"/>
        </w:rPr>
        <w:t>1.5 合同协议书</w:t>
      </w:r>
      <w:bookmarkEnd w:id="75"/>
      <w:bookmarkEnd w:id="76"/>
    </w:p>
    <w:p w14:paraId="6B933AE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监理人按中标通知书规定的时间与委托人签订合同协议书。除法律另有规定或合同另有约定外，委托人和监理人的法定代表人或其委托代理人在合同协议书上签字并盖单位章后，合同生效。</w:t>
      </w:r>
    </w:p>
    <w:p w14:paraId="7E4CDB5C">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77" w:name="_Toc492300645"/>
      <w:bookmarkStart w:id="78" w:name="_Toc482188552"/>
      <w:r>
        <w:rPr>
          <w:rFonts w:hint="eastAsia" w:ascii="宋体" w:hAnsi="宋体"/>
          <w:b/>
          <w:color w:val="auto"/>
          <w:kern w:val="21"/>
          <w:sz w:val="24"/>
          <w:highlight w:val="none"/>
        </w:rPr>
        <w:t>1.6 文件的提供和照管</w:t>
      </w:r>
      <w:bookmarkEnd w:id="77"/>
      <w:bookmarkEnd w:id="78"/>
    </w:p>
    <w:p w14:paraId="068FAC9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1.6.1 监理文件的提供</w:t>
      </w:r>
    </w:p>
    <w:p w14:paraId="0D59E7C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除专用合同条款另有约定外，监理人应在合理的期限内按照合同约定的数量向委托人提供监理文件。合同约定监理文件应经委托人批复的，委托人应当在合同约定的期限内批复或提出修改意见。</w:t>
      </w:r>
    </w:p>
    <w:p w14:paraId="37A828C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1.6.2 委托人提供的文件</w:t>
      </w:r>
    </w:p>
    <w:p w14:paraId="7D443B4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按专用合同条款约定由委托人提供的文件，包括规范标准、承包合同、勘察文件、设计文件等，委托人应按约定的数量和期限交给监理人。由于委托人未按时提供文件造成监理服务期限延误的，按第6.2款约定执行。</w:t>
      </w:r>
    </w:p>
    <w:p w14:paraId="3E2C088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1.6.3 文件错误的通知</w:t>
      </w:r>
    </w:p>
    <w:p w14:paraId="3E61799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任何一方当事人发现文件中存在的明显错误或疏忽，均应及时通知对方当事人，并应立即采取适当的措施防止损失扩大。</w:t>
      </w:r>
    </w:p>
    <w:p w14:paraId="60805A6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1.6.4 文件的照管</w:t>
      </w:r>
    </w:p>
    <w:p w14:paraId="6D25F41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监理人应在现场保留一份合同文件、监理文件、委托人要求中的所列文件、以及其他根据合同收发的往来信函，以备委托人和行政管理部门查阅使用。</w:t>
      </w:r>
    </w:p>
    <w:p w14:paraId="13DF61F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79" w:name="_Toc482188553"/>
      <w:bookmarkStart w:id="80" w:name="_Toc492300646"/>
      <w:r>
        <w:rPr>
          <w:rFonts w:hint="eastAsia" w:ascii="宋体" w:hAnsi="宋体"/>
          <w:b/>
          <w:color w:val="auto"/>
          <w:kern w:val="21"/>
          <w:sz w:val="24"/>
          <w:highlight w:val="none"/>
        </w:rPr>
        <w:t>1.7 联络</w:t>
      </w:r>
      <w:bookmarkEnd w:id="79"/>
      <w:bookmarkEnd w:id="80"/>
    </w:p>
    <w:p w14:paraId="0828AFA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1.7.1 与合同有关的通知、批准、证明、证书、指示、要求、请求、同意、意见、确定和决定等，均应采用书面形式。</w:t>
      </w:r>
    </w:p>
    <w:p w14:paraId="5A8314A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1.7.2 上述通知、批准、证明、证书、指示、要求、请求、同意、意见、确定和决定等来往函件，均应在合同约定的期限内送达指定的地点和指定的接收人，并办理签收手续。</w:t>
      </w:r>
    </w:p>
    <w:p w14:paraId="77B2C7DF">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81" w:name="_Toc482188554"/>
      <w:bookmarkStart w:id="82" w:name="_Toc492300647"/>
      <w:r>
        <w:rPr>
          <w:rFonts w:hint="eastAsia" w:ascii="宋体" w:hAnsi="宋体"/>
          <w:b/>
          <w:color w:val="auto"/>
          <w:kern w:val="21"/>
          <w:sz w:val="24"/>
          <w:highlight w:val="none"/>
        </w:rPr>
        <w:t>1.8 转让</w:t>
      </w:r>
      <w:bookmarkEnd w:id="81"/>
      <w:bookmarkEnd w:id="82"/>
    </w:p>
    <w:p w14:paraId="12B0B97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除专用合同条款另有约定外，未经对方当事人同意，一方当事人不得将合同权利全部或部分转让给第三人，也不得全部或部分转移合同义务。</w:t>
      </w:r>
    </w:p>
    <w:p w14:paraId="42FC63FD">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83" w:name="_Toc482188555"/>
      <w:bookmarkStart w:id="84" w:name="_Toc492300648"/>
      <w:r>
        <w:rPr>
          <w:rFonts w:hint="eastAsia" w:ascii="宋体" w:hAnsi="宋体"/>
          <w:b/>
          <w:color w:val="auto"/>
          <w:kern w:val="21"/>
          <w:sz w:val="24"/>
          <w:highlight w:val="none"/>
        </w:rPr>
        <w:t>1.9 严禁贿赂</w:t>
      </w:r>
      <w:bookmarkEnd w:id="83"/>
      <w:bookmarkEnd w:id="84"/>
    </w:p>
    <w:p w14:paraId="239F67D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合同双方当事人不得以贿赂或变相贿赂的方式，谋取不当利益或损害对方权益。因贿赂造成对方当事人损失的，行为人应当赔偿损失，并承担相应的法律责任。</w:t>
      </w:r>
    </w:p>
    <w:p w14:paraId="2AC05706">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85" w:name="_Toc492300649"/>
      <w:bookmarkStart w:id="86" w:name="_Toc482188556"/>
      <w:r>
        <w:rPr>
          <w:rFonts w:hint="eastAsia" w:ascii="宋体" w:hAnsi="宋体"/>
          <w:b/>
          <w:color w:val="auto"/>
          <w:kern w:val="21"/>
          <w:sz w:val="24"/>
          <w:highlight w:val="none"/>
        </w:rPr>
        <w:t>1.10 知识产权</w:t>
      </w:r>
      <w:bookmarkEnd w:id="85"/>
      <w:bookmarkEnd w:id="86"/>
    </w:p>
    <w:p w14:paraId="14AD735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1.10.1除专用合同条款另有约定外，监理人完成的监理工作成果，除署名权以外的著作权和其他知识产权均归委托人享有。</w:t>
      </w:r>
    </w:p>
    <w:p w14:paraId="5C053FA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1.10.2 监理人从事监理活动时不得侵犯他人的知识产权。因侵犯专利权或其他知识产权所引起的责任，由监理人自行承担。因委托人提供的监理资料导致侵权的，由委托人承担责任。</w:t>
      </w:r>
    </w:p>
    <w:p w14:paraId="060E8AD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1.10.3 监理人在投标文件中采用专利技术、专有技术的，相应的使用费视为已包含在投标报价之中。</w:t>
      </w:r>
    </w:p>
    <w:p w14:paraId="3714FDB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87" w:name="_Toc492300650"/>
      <w:bookmarkStart w:id="88" w:name="_Toc482188557"/>
      <w:r>
        <w:rPr>
          <w:rFonts w:hint="eastAsia" w:ascii="宋体" w:hAnsi="宋体"/>
          <w:b/>
          <w:color w:val="auto"/>
          <w:kern w:val="21"/>
          <w:sz w:val="24"/>
          <w:highlight w:val="none"/>
        </w:rPr>
        <w:t>1.11 文件及信息的保密</w:t>
      </w:r>
      <w:bookmarkEnd w:id="87"/>
      <w:bookmarkEnd w:id="88"/>
    </w:p>
    <w:p w14:paraId="02A162E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未经对方同意，任何一方当事人不得将有关文件、技术秘密、需要保密的资料和信息泄露给他人或公开发表与引用。</w:t>
      </w:r>
    </w:p>
    <w:p w14:paraId="08E67889">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89" w:name="_Toc482188558"/>
      <w:bookmarkStart w:id="90" w:name="_Toc492300651"/>
      <w:r>
        <w:rPr>
          <w:rFonts w:hint="eastAsia" w:ascii="宋体" w:hAnsi="宋体"/>
          <w:b/>
          <w:color w:val="auto"/>
          <w:kern w:val="21"/>
          <w:sz w:val="24"/>
          <w:highlight w:val="none"/>
        </w:rPr>
        <w:t xml:space="preserve">1.12 </w:t>
      </w:r>
      <w:bookmarkEnd w:id="89"/>
      <w:r>
        <w:rPr>
          <w:rFonts w:hint="eastAsia" w:ascii="宋体" w:hAnsi="宋体"/>
          <w:b/>
          <w:color w:val="auto"/>
          <w:kern w:val="21"/>
          <w:sz w:val="24"/>
          <w:highlight w:val="none"/>
        </w:rPr>
        <w:t>委托人要求</w:t>
      </w:r>
      <w:bookmarkEnd w:id="90"/>
    </w:p>
    <w:p w14:paraId="445D2BE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1.12.1 监理人应认真阅读、复核委托人要求，发现错误的，应及时书面通知委托人。无论是否存在错误，委托人均有权修改委托人要求，并在修改后3天内通知监理人。除专用合同</w:t>
      </w:r>
      <w:bookmarkStart w:id="91" w:name="_Toc300835045"/>
      <w:bookmarkStart w:id="92" w:name="_Toc247514048"/>
      <w:bookmarkStart w:id="93" w:name="_Toc247527649"/>
      <w:bookmarkStart w:id="94" w:name="_Toc265955390"/>
      <w:r>
        <w:rPr>
          <w:rFonts w:hint="eastAsia" w:ascii="宋体" w:hAnsi="宋体"/>
          <w:color w:val="auto"/>
          <w:kern w:val="21"/>
          <w:sz w:val="24"/>
          <w:highlight w:val="none"/>
        </w:rPr>
        <w:t>条款另有约定外，由此</w:t>
      </w:r>
      <w:bookmarkEnd w:id="91"/>
      <w:bookmarkEnd w:id="92"/>
      <w:bookmarkEnd w:id="93"/>
      <w:bookmarkEnd w:id="94"/>
      <w:r>
        <w:rPr>
          <w:rFonts w:hint="eastAsia" w:ascii="宋体" w:hAnsi="宋体"/>
          <w:color w:val="auto"/>
          <w:kern w:val="21"/>
          <w:sz w:val="24"/>
          <w:highlight w:val="none"/>
        </w:rPr>
        <w:t>导致监理人费用增加和（或）周期延误的，委托人应当相应地增加费用和（或）延长周期。</w:t>
      </w:r>
    </w:p>
    <w:p w14:paraId="5430677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1.12.2 如果委托人要求违反法律规定，监理人应在发现后及时书面通知委托人，要求其改正。委托人收到通知书后不予改正或不予答复的，监理人有权拒绝履行合同义务，直至解除合同；由此引起的监理人的全部损失由委托人承担。</w:t>
      </w:r>
    </w:p>
    <w:p w14:paraId="20FFA35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1.12.3 委托人要求采用国外规范和标准进行监理时，应由委托人负责提供该规范和标准的外国文本和中文译本，提供的时间、份数和其他要求在专用合同条款中约定。</w:t>
      </w:r>
    </w:p>
    <w:p w14:paraId="6DC0E63B">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95" w:name="_Toc492300652"/>
      <w:bookmarkStart w:id="96" w:name="_Toc482188559"/>
      <w:bookmarkStart w:id="97" w:name="_Toc503518001"/>
      <w:r>
        <w:rPr>
          <w:rFonts w:hint="eastAsia" w:ascii="宋体" w:hAnsi="宋体"/>
          <w:b/>
          <w:color w:val="auto"/>
          <w:kern w:val="21"/>
          <w:sz w:val="28"/>
          <w:highlight w:val="none"/>
        </w:rPr>
        <w:t>2. 委托人义务</w:t>
      </w:r>
      <w:bookmarkEnd w:id="95"/>
      <w:bookmarkEnd w:id="96"/>
      <w:bookmarkEnd w:id="97"/>
    </w:p>
    <w:p w14:paraId="41B5052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98" w:name="_Toc492300653"/>
      <w:bookmarkStart w:id="99" w:name="_Toc482188560"/>
      <w:r>
        <w:rPr>
          <w:rFonts w:hint="eastAsia" w:ascii="宋体" w:hAnsi="宋体"/>
          <w:b/>
          <w:color w:val="auto"/>
          <w:kern w:val="21"/>
          <w:sz w:val="24"/>
          <w:highlight w:val="none"/>
        </w:rPr>
        <w:t>2.1 遵守法律</w:t>
      </w:r>
      <w:bookmarkEnd w:id="98"/>
      <w:bookmarkEnd w:id="99"/>
    </w:p>
    <w:p w14:paraId="5B80CD9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委托人在履行合同过程中应遵守法律，并保证监理人免于承担因委托人违反法律而引起的</w:t>
      </w:r>
      <w:bookmarkStart w:id="100" w:name="_Toc370281722"/>
      <w:bookmarkStart w:id="101" w:name="_Toc184635099"/>
      <w:bookmarkStart w:id="102" w:name="_Toc300835048"/>
      <w:bookmarkStart w:id="103" w:name="_Toc385592087"/>
      <w:bookmarkStart w:id="104" w:name="_Toc247527650"/>
      <w:bookmarkStart w:id="105" w:name="_Toc385942918"/>
      <w:bookmarkStart w:id="106" w:name="_Toc247514049"/>
      <w:r>
        <w:rPr>
          <w:rFonts w:hint="eastAsia" w:ascii="宋体" w:hAnsi="宋体"/>
          <w:color w:val="auto"/>
          <w:kern w:val="21"/>
          <w:sz w:val="24"/>
          <w:highlight w:val="none"/>
        </w:rPr>
        <w:t>任何责任。</w:t>
      </w:r>
    </w:p>
    <w:p w14:paraId="5931C4A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07" w:name="_Toc482188561"/>
      <w:bookmarkStart w:id="108" w:name="_Toc492300654"/>
      <w:r>
        <w:rPr>
          <w:rFonts w:hint="eastAsia" w:ascii="宋体" w:hAnsi="宋体"/>
          <w:b/>
          <w:color w:val="auto"/>
          <w:kern w:val="21"/>
          <w:sz w:val="24"/>
          <w:highlight w:val="none"/>
        </w:rPr>
        <w:t>2</w:t>
      </w:r>
      <w:bookmarkEnd w:id="100"/>
      <w:bookmarkEnd w:id="101"/>
      <w:bookmarkEnd w:id="102"/>
      <w:bookmarkEnd w:id="103"/>
      <w:bookmarkEnd w:id="104"/>
      <w:bookmarkEnd w:id="105"/>
      <w:bookmarkEnd w:id="106"/>
      <w:r>
        <w:rPr>
          <w:rFonts w:hint="eastAsia" w:ascii="宋体" w:hAnsi="宋体"/>
          <w:b/>
          <w:color w:val="auto"/>
          <w:kern w:val="21"/>
          <w:sz w:val="24"/>
          <w:highlight w:val="none"/>
        </w:rPr>
        <w:t>.2</w:t>
      </w:r>
      <w:bookmarkStart w:id="109" w:name="_Toc300835049"/>
      <w:bookmarkStart w:id="110" w:name="_Toc247527651"/>
      <w:bookmarkStart w:id="111" w:name="_Toc247514050"/>
      <w:bookmarkStart w:id="112" w:name="_Toc370281723"/>
      <w:bookmarkStart w:id="113" w:name="_Toc385942919"/>
      <w:bookmarkStart w:id="114" w:name="_Toc247514053"/>
      <w:bookmarkStart w:id="115" w:name="_Toc247527654"/>
      <w:bookmarkStart w:id="116" w:name="_Toc300835052"/>
      <w:r>
        <w:rPr>
          <w:rFonts w:hint="eastAsia" w:ascii="宋体" w:hAnsi="宋体"/>
          <w:b/>
          <w:color w:val="auto"/>
          <w:kern w:val="21"/>
          <w:sz w:val="24"/>
          <w:highlight w:val="none"/>
        </w:rPr>
        <w:t xml:space="preserve"> 发出开始监理通</w:t>
      </w:r>
      <w:bookmarkEnd w:id="109"/>
      <w:bookmarkEnd w:id="110"/>
      <w:bookmarkEnd w:id="111"/>
      <w:r>
        <w:rPr>
          <w:rFonts w:hint="eastAsia" w:ascii="宋体" w:hAnsi="宋体"/>
          <w:b/>
          <w:color w:val="auto"/>
          <w:kern w:val="21"/>
          <w:sz w:val="24"/>
          <w:highlight w:val="none"/>
        </w:rPr>
        <w:t>知</w:t>
      </w:r>
      <w:bookmarkEnd w:id="107"/>
      <w:bookmarkEnd w:id="108"/>
    </w:p>
    <w:p w14:paraId="3970156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委托人应按第6.1款的约定向监理人发出开始监理通知。</w:t>
      </w:r>
    </w:p>
    <w:p w14:paraId="5BCCC66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2.3 提供设备、设施</w:t>
      </w:r>
    </w:p>
    <w:p w14:paraId="557F615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除专用合同条款另有约定外，委托人应为监理人的现场人员，在监理期间提供办公房间、办公桌椅、互联网接口、冷暖设施、生活设施、进出现场交通服务和其他便利条件。</w:t>
      </w:r>
    </w:p>
    <w:p w14:paraId="30751C78">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17" w:name="_Toc492300655"/>
      <w:bookmarkStart w:id="118" w:name="_Toc482188562"/>
      <w:r>
        <w:rPr>
          <w:rFonts w:hint="eastAsia" w:ascii="宋体" w:hAnsi="宋体"/>
          <w:b/>
          <w:color w:val="auto"/>
          <w:kern w:val="21"/>
          <w:sz w:val="24"/>
          <w:highlight w:val="none"/>
        </w:rPr>
        <w:t>2.</w:t>
      </w:r>
      <w:bookmarkStart w:id="119" w:name="_Toc247527653"/>
      <w:bookmarkStart w:id="120" w:name="_Toc300835051"/>
      <w:bookmarkStart w:id="121" w:name="_Toc247514052"/>
      <w:r>
        <w:rPr>
          <w:rFonts w:hint="eastAsia" w:ascii="宋体" w:hAnsi="宋体"/>
          <w:b/>
          <w:color w:val="auto"/>
          <w:kern w:val="21"/>
          <w:sz w:val="24"/>
          <w:highlight w:val="none"/>
        </w:rPr>
        <w:t>4 办理证件</w:t>
      </w:r>
      <w:bookmarkEnd w:id="119"/>
      <w:bookmarkEnd w:id="120"/>
      <w:bookmarkEnd w:id="121"/>
      <w:r>
        <w:rPr>
          <w:rFonts w:hint="eastAsia" w:ascii="宋体" w:hAnsi="宋体"/>
          <w:b/>
          <w:color w:val="auto"/>
          <w:kern w:val="21"/>
          <w:sz w:val="24"/>
          <w:highlight w:val="none"/>
        </w:rPr>
        <w:t>和批件</w:t>
      </w:r>
      <w:bookmarkEnd w:id="117"/>
      <w:bookmarkEnd w:id="118"/>
    </w:p>
    <w:p w14:paraId="458ED0B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法律规定和（或）合同约定由委托人负责办理的工程建设项目必须履行的各类审批、核准或备案手续，委托人应当按时办理，监理人应给予必要的协助。</w:t>
      </w:r>
    </w:p>
    <w:p w14:paraId="23A5ACB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法律规定和（或）合同约定由监理人负责办理的监理所需的证件和批件，委托人应给予必要的协助。</w:t>
      </w:r>
    </w:p>
    <w:p w14:paraId="4C68825F">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22" w:name="_Toc482188563"/>
      <w:bookmarkStart w:id="123" w:name="_Toc492300656"/>
      <w:r>
        <w:rPr>
          <w:rFonts w:hint="eastAsia" w:ascii="宋体" w:hAnsi="宋体"/>
          <w:b/>
          <w:color w:val="auto"/>
          <w:kern w:val="21"/>
          <w:sz w:val="24"/>
          <w:highlight w:val="none"/>
        </w:rPr>
        <w:t>2.5 支付合同价款</w:t>
      </w:r>
      <w:bookmarkEnd w:id="122"/>
      <w:bookmarkEnd w:id="123"/>
    </w:p>
    <w:p w14:paraId="5A17063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委托人应按合同约定向监理人及时支付合同价款。</w:t>
      </w:r>
    </w:p>
    <w:p w14:paraId="63C7E1BA">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24" w:name="_Toc482188564"/>
      <w:bookmarkStart w:id="125" w:name="_Toc492300657"/>
      <w:bookmarkStart w:id="126" w:name="_Toc474833987"/>
      <w:r>
        <w:rPr>
          <w:rFonts w:hint="eastAsia" w:ascii="宋体" w:hAnsi="宋体"/>
          <w:b/>
          <w:color w:val="auto"/>
          <w:kern w:val="21"/>
          <w:sz w:val="24"/>
          <w:highlight w:val="none"/>
        </w:rPr>
        <w:t>2.6 提供监理资料</w:t>
      </w:r>
      <w:bookmarkEnd w:id="124"/>
      <w:bookmarkEnd w:id="125"/>
      <w:bookmarkEnd w:id="126"/>
    </w:p>
    <w:p w14:paraId="2CB0ADF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委托人应按第1.6.2项的约定向监理人提供监理资料。</w:t>
      </w:r>
    </w:p>
    <w:bookmarkEnd w:id="112"/>
    <w:bookmarkEnd w:id="113"/>
    <w:bookmarkEnd w:id="114"/>
    <w:bookmarkEnd w:id="115"/>
    <w:bookmarkEnd w:id="116"/>
    <w:p w14:paraId="6CF618A7">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27" w:name="_Toc482188565"/>
      <w:bookmarkStart w:id="128" w:name="_Toc492300658"/>
      <w:r>
        <w:rPr>
          <w:rFonts w:hint="eastAsia" w:ascii="宋体" w:hAnsi="宋体"/>
          <w:b/>
          <w:color w:val="auto"/>
          <w:kern w:val="21"/>
          <w:sz w:val="24"/>
          <w:highlight w:val="none"/>
        </w:rPr>
        <w:t>2.7 其他义务</w:t>
      </w:r>
      <w:bookmarkEnd w:id="127"/>
      <w:bookmarkEnd w:id="128"/>
    </w:p>
    <w:p w14:paraId="4AD54F1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委托人应履行合同约定的其他义务</w:t>
      </w:r>
      <w:bookmarkStart w:id="129" w:name="_Toc385942924"/>
      <w:bookmarkStart w:id="130" w:name="_Toc370281728"/>
      <w:r>
        <w:rPr>
          <w:rFonts w:hint="eastAsia" w:ascii="宋体" w:hAnsi="宋体"/>
          <w:color w:val="auto"/>
          <w:kern w:val="21"/>
          <w:sz w:val="24"/>
          <w:highlight w:val="none"/>
        </w:rPr>
        <w:t>。</w:t>
      </w:r>
    </w:p>
    <w:p w14:paraId="1198D657">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131" w:name="_Toc492300659"/>
      <w:bookmarkStart w:id="132" w:name="_Toc503518002"/>
      <w:bookmarkStart w:id="133" w:name="_Toc482188566"/>
      <w:r>
        <w:rPr>
          <w:rFonts w:hint="eastAsia" w:ascii="宋体" w:hAnsi="宋体"/>
          <w:b/>
          <w:color w:val="auto"/>
          <w:kern w:val="21"/>
          <w:sz w:val="28"/>
          <w:highlight w:val="none"/>
        </w:rPr>
        <w:t>3. 委托人管</w:t>
      </w:r>
      <w:bookmarkEnd w:id="129"/>
      <w:bookmarkEnd w:id="130"/>
      <w:r>
        <w:rPr>
          <w:rFonts w:hint="eastAsia" w:ascii="宋体" w:hAnsi="宋体"/>
          <w:b/>
          <w:color w:val="auto"/>
          <w:kern w:val="21"/>
          <w:sz w:val="28"/>
          <w:highlight w:val="none"/>
        </w:rPr>
        <w:t>理</w:t>
      </w:r>
      <w:bookmarkEnd w:id="131"/>
      <w:bookmarkEnd w:id="132"/>
      <w:bookmarkEnd w:id="133"/>
    </w:p>
    <w:p w14:paraId="7E7B9296">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34" w:name="_Toc492300660"/>
      <w:bookmarkStart w:id="135" w:name="_Toc482188567"/>
      <w:r>
        <w:rPr>
          <w:rFonts w:hint="eastAsia" w:ascii="宋体" w:hAnsi="宋体"/>
          <w:b/>
          <w:color w:val="auto"/>
          <w:kern w:val="21"/>
          <w:sz w:val="24"/>
          <w:highlight w:val="none"/>
        </w:rPr>
        <w:t>3.1 委托人代表</w:t>
      </w:r>
      <w:bookmarkEnd w:id="134"/>
      <w:bookmarkEnd w:id="135"/>
    </w:p>
    <w:p w14:paraId="7342398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3.1.1除专用合同条款</w:t>
      </w:r>
      <w:bookmarkStart w:id="136" w:name="_Toc300835055"/>
      <w:bookmarkStart w:id="137" w:name="_Toc247514057"/>
      <w:bookmarkStart w:id="138" w:name="_Toc370281729"/>
      <w:bookmarkStart w:id="139" w:name="_Toc385942925"/>
      <w:bookmarkStart w:id="140" w:name="_Toc247527658"/>
      <w:r>
        <w:rPr>
          <w:rFonts w:hint="eastAsia" w:ascii="宋体" w:hAnsi="宋体"/>
          <w:color w:val="auto"/>
          <w:kern w:val="21"/>
          <w:sz w:val="24"/>
          <w:highlight w:val="none"/>
        </w:rPr>
        <w:t>另有约定外，</w:t>
      </w:r>
      <w:bookmarkEnd w:id="136"/>
      <w:bookmarkEnd w:id="137"/>
      <w:bookmarkEnd w:id="138"/>
      <w:bookmarkEnd w:id="139"/>
      <w:bookmarkEnd w:id="140"/>
      <w:r>
        <w:rPr>
          <w:rFonts w:hint="eastAsia" w:ascii="宋体" w:hAnsi="宋体"/>
          <w:color w:val="auto"/>
          <w:kern w:val="21"/>
          <w:sz w:val="24"/>
          <w:highlight w:val="none"/>
        </w:rPr>
        <w:t>委托人应在合同签订后14天内，将委托人代</w:t>
      </w:r>
      <w:bookmarkStart w:id="141" w:name="_Toc247514058"/>
      <w:bookmarkStart w:id="142" w:name="_Toc300835056"/>
      <w:bookmarkStart w:id="143" w:name="_Toc184635100"/>
      <w:bookmarkStart w:id="144" w:name="_Toc247527659"/>
      <w:r>
        <w:rPr>
          <w:rFonts w:hint="eastAsia" w:ascii="宋体" w:hAnsi="宋体"/>
          <w:color w:val="auto"/>
          <w:kern w:val="21"/>
          <w:sz w:val="24"/>
          <w:highlight w:val="none"/>
        </w:rPr>
        <w:t>表的姓名、职</w:t>
      </w:r>
      <w:bookmarkEnd w:id="141"/>
      <w:bookmarkEnd w:id="142"/>
      <w:bookmarkEnd w:id="143"/>
      <w:bookmarkEnd w:id="144"/>
      <w:r>
        <w:rPr>
          <w:rFonts w:hint="eastAsia" w:ascii="宋体" w:hAnsi="宋体"/>
          <w:color w:val="auto"/>
          <w:kern w:val="21"/>
          <w:sz w:val="24"/>
          <w:highlight w:val="none"/>
        </w:rPr>
        <w:t>务、联</w:t>
      </w:r>
      <w:bookmarkStart w:id="145" w:name="_Toc351203511"/>
      <w:r>
        <w:rPr>
          <w:rFonts w:hint="eastAsia" w:ascii="宋体" w:hAnsi="宋体"/>
          <w:color w:val="auto"/>
          <w:kern w:val="21"/>
          <w:sz w:val="24"/>
          <w:highlight w:val="none"/>
        </w:rPr>
        <w:t>系方式、授权范围和</w:t>
      </w:r>
      <w:bookmarkEnd w:id="145"/>
      <w:r>
        <w:rPr>
          <w:rFonts w:hint="eastAsia" w:ascii="宋体" w:hAnsi="宋体"/>
          <w:color w:val="auto"/>
          <w:kern w:val="21"/>
          <w:sz w:val="24"/>
          <w:highlight w:val="none"/>
        </w:rPr>
        <w:t>授权期限书面通知监理人，由委托人代表在其授权范围和授权期限内，代表委托人行使权利、履行义务和处理合同履行中的具体事宜。委托人代表在授权范围内的行为由委托人承担法律责任。</w:t>
      </w:r>
    </w:p>
    <w:p w14:paraId="768CCE0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3.1.2委托人代表违反法律法规、违背职业道德守则或者不按合同约定履行职责及义务，导致合同无法继续正常履行的，监理人有权通知委托人更换委托人代表。委托人收到通知后7天内，应当核实完毕并将处理结果通知监理人。</w:t>
      </w:r>
    </w:p>
    <w:p w14:paraId="55BE319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3.1.3 委托人更换委托人代表的，应提前14天将更换人员的姓名、职务、联系方式、授权范围和授权期限书面通知监理人。委托人代表超过2天不能履行职责的，应委派代表代行其职责，并通知监理人。</w:t>
      </w:r>
    </w:p>
    <w:p w14:paraId="3C6629B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46" w:name="_Toc492300661"/>
      <w:bookmarkStart w:id="147" w:name="_Toc482188569"/>
      <w:r>
        <w:rPr>
          <w:rFonts w:hint="eastAsia" w:ascii="宋体" w:hAnsi="宋体"/>
          <w:b/>
          <w:color w:val="auto"/>
          <w:kern w:val="21"/>
          <w:sz w:val="24"/>
          <w:highlight w:val="none"/>
        </w:rPr>
        <w:t>3.2 委托人的指示</w:t>
      </w:r>
      <w:bookmarkEnd w:id="146"/>
      <w:bookmarkEnd w:id="147"/>
    </w:p>
    <w:p w14:paraId="1EEBA5F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3.2.1 委托人应按合同约定向监理人发出指示，委托人的指示应盖有委托人单位章</w:t>
      </w:r>
      <w:bookmarkStart w:id="148" w:name="_Toc247514062"/>
      <w:bookmarkStart w:id="149" w:name="_Toc247527663"/>
      <w:bookmarkStart w:id="150" w:name="_Toc300835060"/>
      <w:r>
        <w:rPr>
          <w:rFonts w:hint="eastAsia" w:ascii="宋体" w:hAnsi="宋体"/>
          <w:color w:val="auto"/>
          <w:kern w:val="21"/>
          <w:sz w:val="24"/>
          <w:highlight w:val="none"/>
        </w:rPr>
        <w:t>，并由</w:t>
      </w:r>
      <w:bookmarkEnd w:id="148"/>
      <w:bookmarkEnd w:id="149"/>
      <w:bookmarkEnd w:id="150"/>
      <w:r>
        <w:rPr>
          <w:rFonts w:hint="eastAsia" w:ascii="宋体" w:hAnsi="宋体"/>
          <w:color w:val="auto"/>
          <w:kern w:val="21"/>
          <w:sz w:val="24"/>
          <w:highlight w:val="none"/>
        </w:rPr>
        <w:t>委托人代表签字确认。</w:t>
      </w:r>
    </w:p>
    <w:p w14:paraId="63D535A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3.2.2 监理人收到委托人作出的指示后应遵照执行。指示构成变更的，应按第8条执行。</w:t>
      </w:r>
    </w:p>
    <w:p w14:paraId="3E5FB73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3.2.3 在紧急情况下，委托人代表或其授权人员可以当场签发临时书面指示，监理人应遵照执行。委托人代表应在临时书面指示发出后24小时内发出书面确认函，逾期未发出书面确认函的，该临时书面指示应被视为委托人的正式指示。</w:t>
      </w:r>
    </w:p>
    <w:p w14:paraId="2DB332C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3.2.4 由于委托人未能按合同约定发出指示、指示延误或指示错误而导致监理人费用增加和（或）周期延误的，委托人应承担由此增加的费用和（或）周期延误。</w:t>
      </w:r>
    </w:p>
    <w:p w14:paraId="6A03F50E">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51" w:name="_Toc482188570"/>
      <w:bookmarkStart w:id="152" w:name="_Toc492300662"/>
      <w:r>
        <w:rPr>
          <w:rFonts w:hint="eastAsia" w:ascii="宋体" w:hAnsi="宋体"/>
          <w:b/>
          <w:color w:val="auto"/>
          <w:kern w:val="21"/>
          <w:sz w:val="24"/>
          <w:highlight w:val="none"/>
        </w:rPr>
        <w:t>3.3 决定或答复</w:t>
      </w:r>
      <w:bookmarkEnd w:id="151"/>
      <w:bookmarkEnd w:id="152"/>
    </w:p>
    <w:p w14:paraId="2011C2C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3.3.1 委托人在法律允许的范围内有权对监理人的监理工作和（或）监理文件作出处理决定</w:t>
      </w:r>
      <w:bookmarkStart w:id="153" w:name="_Toc184635101"/>
      <w:bookmarkStart w:id="154" w:name="_Toc385592088"/>
      <w:bookmarkStart w:id="155" w:name="_Toc247527665"/>
      <w:bookmarkStart w:id="156" w:name="_Toc247514064"/>
      <w:bookmarkStart w:id="157" w:name="_Toc370281730"/>
      <w:bookmarkStart w:id="158" w:name="_Toc385942926"/>
      <w:bookmarkStart w:id="159" w:name="_Toc300835062"/>
      <w:r>
        <w:rPr>
          <w:rFonts w:hint="eastAsia" w:ascii="宋体" w:hAnsi="宋体"/>
          <w:color w:val="auto"/>
          <w:kern w:val="21"/>
          <w:sz w:val="24"/>
          <w:highlight w:val="none"/>
        </w:rPr>
        <w:t>，监理人应按照委托人的决定执行，涉及监理服务期限或监理报酬等问题按第8条的约定处理。</w:t>
      </w:r>
    </w:p>
    <w:p w14:paraId="54E1D4E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3.3.2 委托人应在专用合同条款约定的时间之内，对监理人书面提出的事项作出书面答复；逾期没有作出答复的，视为已获得委托人的批准。</w:t>
      </w:r>
    </w:p>
    <w:p w14:paraId="7F8DE5FB">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160" w:name="_Toc503518003"/>
      <w:bookmarkStart w:id="161" w:name="_Toc482188571"/>
      <w:bookmarkStart w:id="162" w:name="_Toc492300663"/>
      <w:r>
        <w:rPr>
          <w:rFonts w:hint="eastAsia" w:ascii="宋体" w:hAnsi="宋体"/>
          <w:b/>
          <w:color w:val="auto"/>
          <w:kern w:val="21"/>
          <w:sz w:val="28"/>
          <w:highlight w:val="none"/>
        </w:rPr>
        <w:t>4. 监理人义务</w:t>
      </w:r>
      <w:bookmarkEnd w:id="160"/>
      <w:bookmarkEnd w:id="161"/>
      <w:bookmarkEnd w:id="162"/>
    </w:p>
    <w:p w14:paraId="39F7D1D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63" w:name="_Toc482188572"/>
      <w:bookmarkStart w:id="164" w:name="_Toc492300664"/>
      <w:r>
        <w:rPr>
          <w:rFonts w:hint="eastAsia" w:ascii="宋体" w:hAnsi="宋体"/>
          <w:b/>
          <w:color w:val="auto"/>
          <w:kern w:val="21"/>
          <w:sz w:val="24"/>
          <w:highlight w:val="none"/>
        </w:rPr>
        <w:t>4.1 监理人的一般义务</w:t>
      </w:r>
      <w:bookmarkEnd w:id="163"/>
      <w:bookmarkEnd w:id="164"/>
    </w:p>
    <w:p w14:paraId="4385121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4.1.1 遵守法律</w:t>
      </w:r>
    </w:p>
    <w:p w14:paraId="7995D4C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监理人在履行合同过程中应遵守法律，并保证委托人免于承担因</w:t>
      </w:r>
      <w:bookmarkEnd w:id="153"/>
      <w:bookmarkEnd w:id="154"/>
      <w:bookmarkEnd w:id="155"/>
      <w:bookmarkEnd w:id="156"/>
      <w:bookmarkEnd w:id="157"/>
      <w:bookmarkEnd w:id="158"/>
      <w:bookmarkEnd w:id="159"/>
      <w:r>
        <w:rPr>
          <w:rFonts w:hint="eastAsia" w:ascii="宋体" w:hAnsi="宋体"/>
          <w:color w:val="auto"/>
          <w:kern w:val="21"/>
          <w:sz w:val="24"/>
          <w:highlight w:val="none"/>
        </w:rPr>
        <w:t>监理人</w:t>
      </w:r>
      <w:bookmarkStart w:id="165" w:name="_Toc247527666"/>
      <w:bookmarkStart w:id="166" w:name="_Toc370281731"/>
      <w:bookmarkStart w:id="167" w:name="_Toc300835063"/>
      <w:bookmarkStart w:id="168" w:name="_Toc247514065"/>
      <w:bookmarkStart w:id="169" w:name="_Toc385942927"/>
      <w:r>
        <w:rPr>
          <w:rFonts w:hint="eastAsia" w:ascii="宋体" w:hAnsi="宋体"/>
          <w:color w:val="auto"/>
          <w:kern w:val="21"/>
          <w:sz w:val="24"/>
          <w:highlight w:val="none"/>
        </w:rPr>
        <w:t>违反法律而引起的任何责任。</w:t>
      </w:r>
    </w:p>
    <w:bookmarkEnd w:id="165"/>
    <w:bookmarkEnd w:id="166"/>
    <w:bookmarkEnd w:id="167"/>
    <w:bookmarkEnd w:id="168"/>
    <w:bookmarkEnd w:id="169"/>
    <w:p w14:paraId="133C9D0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4.1.2 依法纳税</w:t>
      </w:r>
    </w:p>
    <w:p w14:paraId="499640A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监理人应按有关法律规定纳税，应缴纳的税金（含增值税）包括在合同价格之中。</w:t>
      </w:r>
    </w:p>
    <w:p w14:paraId="4F8A4E5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4.1.3 完成全部监理工作</w:t>
      </w:r>
    </w:p>
    <w:p w14:paraId="2CCBCBB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监理人应按合同约定以及委托人要求，完成合同约定的全部工作，并对工作中的任何缺陷进行整改，使其满足合同约定的目的。</w:t>
      </w:r>
    </w:p>
    <w:p w14:paraId="16AA6AB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4.1.4 其他义务</w:t>
      </w:r>
    </w:p>
    <w:p w14:paraId="16CF515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监理人应履行合同约定的其他义务。</w:t>
      </w:r>
    </w:p>
    <w:p w14:paraId="56EBA6C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70" w:name="_Toc382920065"/>
      <w:bookmarkStart w:id="171" w:name="_Toc492300665"/>
      <w:bookmarkStart w:id="172" w:name="_Toc13239"/>
      <w:bookmarkStart w:id="173" w:name="_Toc485303383"/>
      <w:bookmarkStart w:id="174" w:name="_Toc482188573"/>
      <w:bookmarkStart w:id="175" w:name="_Toc247514076"/>
      <w:bookmarkStart w:id="176" w:name="_Toc247527677"/>
      <w:bookmarkStart w:id="177" w:name="_Toc300835075"/>
      <w:bookmarkStart w:id="178" w:name="_Toc300835076"/>
      <w:r>
        <w:rPr>
          <w:rFonts w:hint="eastAsia" w:ascii="宋体" w:hAnsi="宋体"/>
          <w:b/>
          <w:color w:val="auto"/>
          <w:kern w:val="21"/>
          <w:sz w:val="24"/>
          <w:highlight w:val="none"/>
        </w:rPr>
        <w:t>4.2 履约保证金</w:t>
      </w:r>
      <w:bookmarkEnd w:id="170"/>
      <w:bookmarkEnd w:id="171"/>
      <w:bookmarkEnd w:id="172"/>
      <w:bookmarkEnd w:id="173"/>
    </w:p>
    <w:p w14:paraId="1D1DCC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履约保证金自合同生效之日起生效，在委托人签发竣工验收证书之日起28天后失效。如果监理人不履行合同约定的义务或其履行不符合合同的约定，委托人有权扣划相应金额的履约保证金。</w:t>
      </w:r>
    </w:p>
    <w:bookmarkEnd w:id="174"/>
    <w:p w14:paraId="232B9232">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79" w:name="_Toc492300666"/>
      <w:bookmarkStart w:id="180" w:name="_Toc482188574"/>
      <w:r>
        <w:rPr>
          <w:rFonts w:hint="eastAsia" w:ascii="宋体" w:hAnsi="宋体"/>
          <w:b/>
          <w:color w:val="auto"/>
          <w:kern w:val="21"/>
          <w:sz w:val="24"/>
          <w:highlight w:val="none"/>
        </w:rPr>
        <w:t>4.3 联合体</w:t>
      </w:r>
      <w:bookmarkEnd w:id="179"/>
      <w:bookmarkEnd w:id="180"/>
    </w:p>
    <w:p w14:paraId="2ED234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4.3.1 联合体各方应共同与委托人签订合同。联合体各方应为履行合同承担连带责任。</w:t>
      </w:r>
    </w:p>
    <w:p w14:paraId="2FFEAC6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4.3.2 联合体协议经委托人确认后作为合同附件。在履行合同过程中，未经委托人同意，不得修改联合体协议。</w:t>
      </w:r>
    </w:p>
    <w:p w14:paraId="6FB973E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4.3.3 联合体牵头人负责与委托人联系，并接受指示，负责组织联合体各成员全面履行合同。</w:t>
      </w:r>
    </w:p>
    <w:p w14:paraId="7E602051">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81" w:name="_Toc482188575"/>
      <w:bookmarkStart w:id="182" w:name="_Toc492300667"/>
      <w:r>
        <w:rPr>
          <w:rFonts w:hint="eastAsia" w:ascii="宋体" w:hAnsi="宋体"/>
          <w:b/>
          <w:color w:val="auto"/>
          <w:kern w:val="21"/>
          <w:sz w:val="24"/>
          <w:highlight w:val="none"/>
        </w:rPr>
        <w:t xml:space="preserve">4.4 </w:t>
      </w:r>
      <w:bookmarkEnd w:id="181"/>
      <w:r>
        <w:rPr>
          <w:rFonts w:hint="eastAsia" w:ascii="宋体" w:hAnsi="宋体"/>
          <w:b/>
          <w:color w:val="auto"/>
          <w:kern w:val="21"/>
          <w:sz w:val="24"/>
          <w:highlight w:val="none"/>
        </w:rPr>
        <w:t>总监理工程师</w:t>
      </w:r>
      <w:bookmarkEnd w:id="182"/>
    </w:p>
    <w:p w14:paraId="166E241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4.4.1 监理人应按合同协议书的约定指派总监理工程师，并在约定的期限内到职。监理人更换</w:t>
      </w:r>
      <w:bookmarkStart w:id="183" w:name="_Toc300835067"/>
      <w:bookmarkStart w:id="184" w:name="_Toc247514069"/>
      <w:bookmarkStart w:id="185" w:name="_Toc247527670"/>
      <w:r>
        <w:rPr>
          <w:rFonts w:hint="eastAsia" w:ascii="宋体" w:hAnsi="宋体"/>
          <w:color w:val="auto"/>
          <w:kern w:val="21"/>
          <w:sz w:val="24"/>
          <w:highlight w:val="none"/>
        </w:rPr>
        <w:t>总监理工程师应事先征得</w:t>
      </w:r>
      <w:bookmarkEnd w:id="183"/>
      <w:bookmarkEnd w:id="184"/>
      <w:bookmarkEnd w:id="185"/>
      <w:r>
        <w:rPr>
          <w:rFonts w:hint="eastAsia" w:ascii="宋体" w:hAnsi="宋体"/>
          <w:color w:val="auto"/>
          <w:kern w:val="21"/>
          <w:sz w:val="24"/>
          <w:highlight w:val="none"/>
        </w:rPr>
        <w:t>委托人同意，并应在更换14天前将拟更换的总监理工程师的姓名和详细资料提交委托人。总监理工程师2天内不能履行职责的，应事先征得委托人同意，并委派代表代行其职责。</w:t>
      </w:r>
    </w:p>
    <w:p w14:paraId="0DFB042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4.4.2总监理工程师应按合同约定以及委托人要求，负责组织合同工作的实施。在情况紧急且无法与委托人取得联系时，可采取保证工程和人员生命财产安全的紧急措施，并在采取措施后24小时内向委托人提交书面报告。</w:t>
      </w:r>
    </w:p>
    <w:p w14:paraId="7C707C0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4.4.3 监理人为履行合同发出的一切函件均应盖有监理人单位章或由监理人授权的项目机构章，并由监理人的总监理工程师签字确认。</w:t>
      </w:r>
    </w:p>
    <w:p w14:paraId="63B0FA7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4.4.4 按照专用合同条款约定，总监理工程师可以授权其下属人员履行其某项职责，但事先应将这些人员的姓名和授权范围书面通知委托人和承包人。</w:t>
      </w:r>
    </w:p>
    <w:p w14:paraId="457AAD15">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86" w:name="_Toc492300668"/>
      <w:bookmarkStart w:id="187" w:name="_Toc482188576"/>
      <w:r>
        <w:rPr>
          <w:rFonts w:hint="eastAsia" w:ascii="宋体" w:hAnsi="宋体"/>
          <w:b/>
          <w:color w:val="auto"/>
          <w:kern w:val="21"/>
          <w:sz w:val="24"/>
          <w:highlight w:val="none"/>
        </w:rPr>
        <w:t>4.5 监理人员的管理</w:t>
      </w:r>
      <w:bookmarkEnd w:id="186"/>
      <w:bookmarkEnd w:id="187"/>
    </w:p>
    <w:p w14:paraId="0D0C7B13">
      <w:pPr>
        <w:spacing w:line="360" w:lineRule="auto"/>
        <w:ind w:firstLine="480" w:firstLineChars="200"/>
        <w:rPr>
          <w:rFonts w:hint="eastAsia"/>
          <w:color w:val="auto"/>
          <w:sz w:val="24"/>
          <w:highlight w:val="none"/>
        </w:rPr>
      </w:pPr>
      <w:r>
        <w:rPr>
          <w:rFonts w:hint="eastAsia"/>
          <w:color w:val="auto"/>
          <w:sz w:val="24"/>
          <w:highlight w:val="none"/>
        </w:rPr>
        <w:t>4.5.1监理人应在接到开始监理通知之日起 7 天内，向委托人提交监理项目机构以及人员安排的报告，其内容应包括项目机构设置、主要监理人员和其他人员的名单及资格条件。主要监理人员应相对稳定，更换主要监理人员的，应取得委托人的同意，并向委托人提交继任人员的资格、管理经验等资料。总监理工程师的更换，应按照本章第 4.4.1 项规定执行。</w:t>
      </w:r>
    </w:p>
    <w:p w14:paraId="45F50D26">
      <w:pPr>
        <w:spacing w:line="360" w:lineRule="auto"/>
        <w:ind w:firstLine="480" w:firstLineChars="200"/>
        <w:rPr>
          <w:rFonts w:hint="eastAsia"/>
          <w:color w:val="auto"/>
          <w:sz w:val="24"/>
          <w:highlight w:val="none"/>
        </w:rPr>
      </w:pPr>
      <w:r>
        <w:rPr>
          <w:rFonts w:hint="eastAsia"/>
          <w:color w:val="auto"/>
          <w:sz w:val="24"/>
          <w:highlight w:val="none"/>
        </w:rPr>
        <w:t>4.5.2除专用合同条款另有约定外，主要监理人员包括总监理工程师、专业监理工程师等；其他人员包括各专业的监理员、资料员等。</w:t>
      </w:r>
    </w:p>
    <w:p w14:paraId="5BE4225C">
      <w:pPr>
        <w:spacing w:line="360" w:lineRule="auto"/>
        <w:ind w:firstLine="480" w:firstLineChars="200"/>
        <w:rPr>
          <w:rFonts w:hint="eastAsia"/>
          <w:color w:val="auto"/>
          <w:sz w:val="24"/>
          <w:highlight w:val="none"/>
        </w:rPr>
      </w:pPr>
      <w:r>
        <w:rPr>
          <w:rFonts w:hint="eastAsia"/>
          <w:color w:val="auto"/>
          <w:sz w:val="24"/>
          <w:highlight w:val="none"/>
        </w:rPr>
        <w:t>4.5.3监理人应保证其主要监理人员在合同期限内的任何时候，都能按时参加委托人组织的工作会议。</w:t>
      </w:r>
    </w:p>
    <w:p w14:paraId="3781CAD3">
      <w:pPr>
        <w:spacing w:line="360" w:lineRule="auto"/>
        <w:ind w:firstLine="480" w:firstLineChars="200"/>
        <w:rPr>
          <w:rFonts w:hint="eastAsia"/>
          <w:color w:val="auto"/>
          <w:sz w:val="24"/>
          <w:highlight w:val="none"/>
        </w:rPr>
      </w:pPr>
      <w:r>
        <w:rPr>
          <w:rFonts w:hint="eastAsia"/>
          <w:color w:val="auto"/>
          <w:sz w:val="24"/>
          <w:highlight w:val="none"/>
        </w:rPr>
        <w:t>4.5.4国家规定应当持证上岗的工作人员均应持有相应的资格证明，委托人有权随时检查。委托人认为有必要时，可以进行现场考核。</w:t>
      </w:r>
    </w:p>
    <w:p w14:paraId="2FF7738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88" w:name="_Toc492300669"/>
      <w:bookmarkStart w:id="189" w:name="_Toc482188577"/>
      <w:r>
        <w:rPr>
          <w:rFonts w:hint="eastAsia" w:ascii="宋体" w:hAnsi="宋体"/>
          <w:b/>
          <w:color w:val="auto"/>
          <w:kern w:val="21"/>
          <w:sz w:val="24"/>
          <w:highlight w:val="none"/>
        </w:rPr>
        <w:t>4.6 撤换总监理工程师和其他人员</w:t>
      </w:r>
      <w:bookmarkEnd w:id="188"/>
      <w:bookmarkEnd w:id="189"/>
    </w:p>
    <w:p w14:paraId="50BC4BA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监理人应对其总监理工程师和其他人员进行有效管理。委托人要求撤换不能胜任本职工作、行</w:t>
      </w:r>
      <w:bookmarkStart w:id="190" w:name="_Toc300835069"/>
      <w:bookmarkStart w:id="191" w:name="_Toc247527672"/>
      <w:bookmarkStart w:id="192" w:name="_Toc247514071"/>
      <w:r>
        <w:rPr>
          <w:rFonts w:hint="eastAsia" w:ascii="宋体" w:hAnsi="宋体"/>
          <w:color w:val="auto"/>
          <w:kern w:val="21"/>
          <w:sz w:val="24"/>
          <w:highlight w:val="none"/>
        </w:rPr>
        <w:t>为不端或玩忽职守的总监理工程师和其</w:t>
      </w:r>
      <w:bookmarkEnd w:id="190"/>
      <w:bookmarkEnd w:id="191"/>
      <w:bookmarkEnd w:id="192"/>
      <w:r>
        <w:rPr>
          <w:rFonts w:hint="eastAsia" w:ascii="宋体" w:hAnsi="宋体"/>
          <w:color w:val="auto"/>
          <w:kern w:val="21"/>
          <w:sz w:val="24"/>
          <w:highlight w:val="none"/>
        </w:rPr>
        <w:t>他人员的，监理人应予以撤换。</w:t>
      </w:r>
    </w:p>
    <w:p w14:paraId="6924AB92">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93" w:name="_Toc482188578"/>
      <w:bookmarkStart w:id="194" w:name="_Toc492300670"/>
      <w:r>
        <w:rPr>
          <w:rFonts w:hint="eastAsia" w:ascii="宋体" w:hAnsi="宋体"/>
          <w:b/>
          <w:color w:val="auto"/>
          <w:kern w:val="21"/>
          <w:sz w:val="24"/>
          <w:highlight w:val="none"/>
        </w:rPr>
        <w:t>4.7 保障人员的合法权益</w:t>
      </w:r>
      <w:bookmarkEnd w:id="193"/>
      <w:bookmarkEnd w:id="194"/>
    </w:p>
    <w:p w14:paraId="23E66F3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4.7.1 监理人应与其雇用的人员签订劳动合同，并按时发放工资。</w:t>
      </w:r>
    </w:p>
    <w:p w14:paraId="49CFD2F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4.7.2 监理人应</w:t>
      </w:r>
      <w:bookmarkStart w:id="195" w:name="_Toc247514072"/>
      <w:bookmarkStart w:id="196" w:name="_Toc247527673"/>
      <w:bookmarkStart w:id="197" w:name="_Toc300835070"/>
      <w:r>
        <w:rPr>
          <w:rFonts w:hint="eastAsia" w:ascii="宋体" w:hAnsi="宋体"/>
          <w:color w:val="auto"/>
          <w:kern w:val="21"/>
          <w:sz w:val="24"/>
          <w:highlight w:val="none"/>
        </w:rPr>
        <w:t>按劳动法的规定安排工作时间</w:t>
      </w:r>
      <w:bookmarkEnd w:id="195"/>
      <w:bookmarkEnd w:id="196"/>
      <w:bookmarkEnd w:id="197"/>
      <w:r>
        <w:rPr>
          <w:rFonts w:hint="eastAsia" w:ascii="宋体" w:hAnsi="宋体"/>
          <w:color w:val="auto"/>
          <w:kern w:val="21"/>
          <w:sz w:val="24"/>
          <w:highlight w:val="none"/>
        </w:rPr>
        <w:t>，保证其雇用人员享有休息和休假的权利。因监理需要占用休假日或延长工作时间的，应不超过法律规定的限度，并按法律规定给予补休或付酬。</w:t>
      </w:r>
    </w:p>
    <w:p w14:paraId="386CC0B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4.7.3 监理人应按有关法律规定和合同约定，为其雇用人员办理保险。</w:t>
      </w:r>
    </w:p>
    <w:p w14:paraId="6EB32FFA">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198" w:name="_Toc482188579"/>
      <w:bookmarkStart w:id="199" w:name="_Toc492300671"/>
      <w:r>
        <w:rPr>
          <w:rFonts w:hint="eastAsia" w:ascii="宋体" w:hAnsi="宋体"/>
          <w:b/>
          <w:color w:val="auto"/>
          <w:kern w:val="21"/>
          <w:sz w:val="24"/>
          <w:highlight w:val="none"/>
        </w:rPr>
        <w:t>4.8 合同价款应专款专用</w:t>
      </w:r>
      <w:bookmarkEnd w:id="198"/>
      <w:bookmarkEnd w:id="199"/>
    </w:p>
    <w:p w14:paraId="42F7380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委托人按合同约定支付给监理人的各项价款，应专用于合同监理工作。</w:t>
      </w:r>
    </w:p>
    <w:bookmarkEnd w:id="175"/>
    <w:bookmarkEnd w:id="176"/>
    <w:bookmarkEnd w:id="177"/>
    <w:p w14:paraId="1576C5FA">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00" w:name="_Toc503518004"/>
      <w:bookmarkStart w:id="201" w:name="_Toc482188580"/>
      <w:bookmarkStart w:id="202" w:name="_Toc492300672"/>
      <w:r>
        <w:rPr>
          <w:rFonts w:hint="eastAsia" w:ascii="宋体" w:hAnsi="宋体"/>
          <w:b/>
          <w:color w:val="auto"/>
          <w:kern w:val="21"/>
          <w:sz w:val="28"/>
          <w:highlight w:val="none"/>
        </w:rPr>
        <w:t>5. 监理要求</w:t>
      </w:r>
      <w:bookmarkEnd w:id="200"/>
      <w:bookmarkEnd w:id="201"/>
      <w:bookmarkEnd w:id="202"/>
    </w:p>
    <w:p w14:paraId="500342D6">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03" w:name="_Toc492300673"/>
      <w:bookmarkStart w:id="204" w:name="_Toc482188581"/>
      <w:r>
        <w:rPr>
          <w:rFonts w:hint="eastAsia" w:ascii="宋体" w:hAnsi="宋体"/>
          <w:b/>
          <w:color w:val="auto"/>
          <w:kern w:val="21"/>
          <w:sz w:val="24"/>
          <w:highlight w:val="none"/>
        </w:rPr>
        <w:t>5.1 监理范围</w:t>
      </w:r>
      <w:bookmarkEnd w:id="203"/>
    </w:p>
    <w:p w14:paraId="29F14E9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5.1.1 本合同的监理范围包括工程范围、阶段范围和工作范围，具体监理范围应当根据三者之间的关联内容进行确定。</w:t>
      </w:r>
    </w:p>
    <w:p w14:paraId="6229488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5.1.2 工程范围指所监理工程的建设内容，具体范围在专用合同条款中约定。</w:t>
      </w:r>
    </w:p>
    <w:p w14:paraId="6D3F461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5.1.3 阶段范围指工程建设程序中的勘察阶段、设计阶段、施工阶段、缺陷责任期及保修阶段中的一个或者多个阶段，具体范围在专用合同条款中约定。</w:t>
      </w:r>
    </w:p>
    <w:p w14:paraId="0B2FB8B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5.1.4 工作范围指监理工作中的质量控制、进度控制、投资控制、合同管理、信息管理、组织协调和安全监理、环保监理中的一项或者多项工作，具体范围在专用合同条款中约定。</w:t>
      </w:r>
    </w:p>
    <w:bookmarkEnd w:id="204"/>
    <w:p w14:paraId="2D61715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05" w:name="_Toc482188582"/>
      <w:bookmarkStart w:id="206" w:name="_Toc492300674"/>
      <w:r>
        <w:rPr>
          <w:rFonts w:hint="eastAsia" w:ascii="宋体" w:hAnsi="宋体"/>
          <w:b/>
          <w:color w:val="auto"/>
          <w:kern w:val="21"/>
          <w:sz w:val="24"/>
          <w:highlight w:val="none"/>
        </w:rPr>
        <w:t>5.2 监理依据</w:t>
      </w:r>
      <w:bookmarkEnd w:id="205"/>
      <w:bookmarkEnd w:id="206"/>
    </w:p>
    <w:p w14:paraId="41AA884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除专用合同条款另有约定外，本工程的监理依据如下：</w:t>
      </w:r>
    </w:p>
    <w:p w14:paraId="7D24B84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（1）适用的法律、行政法规及部门规章；</w:t>
      </w:r>
    </w:p>
    <w:p w14:paraId="52644C4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（2）与工程有关的规范、标准、规程；</w:t>
      </w:r>
    </w:p>
    <w:p w14:paraId="382E324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（3）工程勘察文件、设计文件及其他文件；</w:t>
      </w:r>
    </w:p>
    <w:p w14:paraId="266456A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（4）本工程监理的委托合同及补充合同；</w:t>
      </w:r>
    </w:p>
    <w:p w14:paraId="233E4FF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（5）委托人签订的勘察、设计和施工承包合同；</w:t>
      </w:r>
    </w:p>
    <w:p w14:paraId="2DF70EB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（6）合同履行中与监理服务有关的来往函件；</w:t>
      </w:r>
    </w:p>
    <w:p w14:paraId="3A145B7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（7）其他监理依据。</w:t>
      </w:r>
    </w:p>
    <w:p w14:paraId="49545E9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07" w:name="_Toc482188583"/>
      <w:bookmarkStart w:id="208" w:name="_Toc492300675"/>
      <w:r>
        <w:rPr>
          <w:rFonts w:hint="eastAsia" w:ascii="宋体" w:hAnsi="宋体"/>
          <w:b/>
          <w:color w:val="auto"/>
          <w:kern w:val="21"/>
          <w:sz w:val="24"/>
          <w:highlight w:val="none"/>
        </w:rPr>
        <w:t>5.3 监理内容</w:t>
      </w:r>
      <w:bookmarkEnd w:id="207"/>
      <w:bookmarkEnd w:id="208"/>
    </w:p>
    <w:p w14:paraId="4A94AE5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除专用合同条款另有约定外，监理工作内容包括：</w:t>
      </w:r>
    </w:p>
    <w:p w14:paraId="79852DC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（1）收到工程设计文件后编制监理规划，并在第一次工地会议7天前报委托人。根据有关规定和监理工作需要，编制监理实施细则；</w:t>
      </w:r>
    </w:p>
    <w:p w14:paraId="3A3D9FF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（2）熟悉工程设计文件，并参加由委托人主持的图纸会审和设计交底会议；</w:t>
      </w:r>
    </w:p>
    <w:p w14:paraId="63C4F6D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（3）参加由委托人主持的第一次工地会议；主持监理例会并根据工程需要主持或参加专题会议；</w:t>
      </w:r>
    </w:p>
    <w:p w14:paraId="797F318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（4）审查施工承包人提交的施工组织设计，重点审查其中的质量安全技术措施、专项施工方案与工程建设强制性标准的符合性；</w:t>
      </w:r>
    </w:p>
    <w:p w14:paraId="4E8C49E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（5）检查施工承包人工程质量、安全生产管理制度及组织机构和人员资格；</w:t>
      </w:r>
    </w:p>
    <w:p w14:paraId="21E173C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（6）检查施工承包人专职安全生产管理人员的配备情况；</w:t>
      </w:r>
    </w:p>
    <w:p w14:paraId="4A14519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（7）审查施工承包人提交的施工进度计划，核查承包人对施工进度计划的调整；</w:t>
      </w:r>
    </w:p>
    <w:p w14:paraId="4B17FBE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（8）检查施工承包人的试验室；</w:t>
      </w:r>
    </w:p>
    <w:p w14:paraId="5B2C53C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（9）审核施工分包人资质条件；</w:t>
      </w:r>
    </w:p>
    <w:p w14:paraId="166FBB4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（10）查验施工承包人的施工测量放线成果；</w:t>
      </w:r>
    </w:p>
    <w:p w14:paraId="0154A01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（11）审查工程开工条件，对条件具备的签发开工令；</w:t>
      </w:r>
    </w:p>
    <w:p w14:paraId="4576F4A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（12）审查施工承包人报送的工程材料、构配件、设备质量证明文件的有效性和符合性，并按规定对用于工程的材料采取平行检验或见证取样方式进行抽检；</w:t>
      </w:r>
    </w:p>
    <w:p w14:paraId="28E32B4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（13）审核施工承包人提交的工程款支付申请，签发或出具工程款支付证书，并报委托人审核、批准；</w:t>
      </w:r>
    </w:p>
    <w:p w14:paraId="637B71B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（14）在巡视、旁站和检验过程中，发现工程质量、施工安全存在事故隐患的，要求施工承包人整改并报委托人；</w:t>
      </w:r>
    </w:p>
    <w:p w14:paraId="5BA40E6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（15）经委托人同意，签发工程暂停令和复工令；</w:t>
      </w:r>
    </w:p>
    <w:p w14:paraId="43564BD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（16）审查施工承包人提交的采用新材料、新工艺、新技术、新设备的论证材料及相关验收标准；</w:t>
      </w:r>
    </w:p>
    <w:p w14:paraId="5E25934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（17）验收隐蔽工程、分部分项工程；</w:t>
      </w:r>
    </w:p>
    <w:p w14:paraId="1A16C65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（18）审查施工承包人提交的工程变更申请，协调处理施工进度调整、费用索赔、合同争议等事项；</w:t>
      </w:r>
    </w:p>
    <w:p w14:paraId="6D21F4E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（19）审查施工承包人提交的竣工验收申请，编写工程质量评估报告；</w:t>
      </w:r>
    </w:p>
    <w:p w14:paraId="4BDD956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（20）参加工程竣工验收，签署竣工验收意见；</w:t>
      </w:r>
    </w:p>
    <w:p w14:paraId="460EB41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（21）审查施工承包人提交的竣工结算申请并报委托人；</w:t>
      </w:r>
    </w:p>
    <w:p w14:paraId="054F1D3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（22）编制、整理工程监理归档文件并报委托人。</w:t>
      </w:r>
    </w:p>
    <w:p w14:paraId="7948537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09" w:name="_Toc492300676"/>
      <w:r>
        <w:rPr>
          <w:rFonts w:hint="eastAsia" w:ascii="宋体" w:hAnsi="宋体"/>
          <w:b/>
          <w:color w:val="auto"/>
          <w:kern w:val="21"/>
          <w:sz w:val="24"/>
          <w:highlight w:val="none"/>
        </w:rPr>
        <w:t>5.4 监理文件要求</w:t>
      </w:r>
      <w:bookmarkEnd w:id="209"/>
    </w:p>
    <w:p w14:paraId="3B4806C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5.4.1 监理文件的编制应符合法律、规范标准的强制性规定和委托人要求，相关的监理依据应当完整准确，文件内容和相应数据应当真实可靠。</w:t>
      </w:r>
    </w:p>
    <w:p w14:paraId="54AC720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5.4.2 监理文件的深度应满足本阶段相应监理工作的规定要求，满足委托人的下步工作需要，并应符合国家和行业现行规定。</w:t>
      </w:r>
    </w:p>
    <w:p w14:paraId="0262100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5.4.3本工程监理文件的具体类别、编制要求、编制内容和提交时间等，在专用合同条款中约定。</w:t>
      </w:r>
    </w:p>
    <w:bookmarkEnd w:id="178"/>
    <w:p w14:paraId="1C9B23D6">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10" w:name="_Toc482188591"/>
      <w:bookmarkStart w:id="211" w:name="_Toc503518005"/>
      <w:bookmarkStart w:id="212" w:name="_Toc492300677"/>
      <w:r>
        <w:rPr>
          <w:rFonts w:hint="eastAsia" w:ascii="宋体" w:hAnsi="宋体"/>
          <w:b/>
          <w:color w:val="auto"/>
          <w:kern w:val="21"/>
          <w:sz w:val="28"/>
          <w:highlight w:val="none"/>
        </w:rPr>
        <w:t>6. 开始监理和完成</w:t>
      </w:r>
      <w:bookmarkEnd w:id="210"/>
      <w:r>
        <w:rPr>
          <w:rFonts w:hint="eastAsia" w:ascii="宋体" w:hAnsi="宋体"/>
          <w:b/>
          <w:color w:val="auto"/>
          <w:kern w:val="21"/>
          <w:sz w:val="28"/>
          <w:highlight w:val="none"/>
        </w:rPr>
        <w:t>监理</w:t>
      </w:r>
      <w:bookmarkEnd w:id="211"/>
      <w:bookmarkEnd w:id="212"/>
    </w:p>
    <w:p w14:paraId="12D8D12F">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13" w:name="_Toc482188592"/>
      <w:bookmarkStart w:id="214" w:name="_Toc492300678"/>
      <w:r>
        <w:rPr>
          <w:rFonts w:hint="eastAsia" w:ascii="宋体" w:hAnsi="宋体"/>
          <w:b/>
          <w:color w:val="auto"/>
          <w:kern w:val="21"/>
          <w:sz w:val="24"/>
          <w:highlight w:val="none"/>
        </w:rPr>
        <w:t>6.1 开始</w:t>
      </w:r>
      <w:bookmarkEnd w:id="213"/>
      <w:r>
        <w:rPr>
          <w:rFonts w:hint="eastAsia" w:ascii="宋体" w:hAnsi="宋体"/>
          <w:b/>
          <w:color w:val="auto"/>
          <w:kern w:val="21"/>
          <w:sz w:val="24"/>
          <w:highlight w:val="none"/>
        </w:rPr>
        <w:t>监理</w:t>
      </w:r>
      <w:bookmarkEnd w:id="214"/>
    </w:p>
    <w:p w14:paraId="71737C8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6.1.1符合专用合同条款约定的开始监理条件的，委托人应提前7</w:t>
      </w:r>
      <w:bookmarkStart w:id="215" w:name="_Toc300835117"/>
      <w:bookmarkStart w:id="216" w:name="_Toc247527715"/>
      <w:bookmarkStart w:id="217" w:name="_Toc184635108"/>
      <w:bookmarkStart w:id="218" w:name="_Toc247514114"/>
      <w:r>
        <w:rPr>
          <w:rFonts w:hint="eastAsia" w:ascii="宋体" w:hAnsi="宋体"/>
          <w:color w:val="auto"/>
          <w:kern w:val="21"/>
          <w:sz w:val="24"/>
          <w:highlight w:val="none"/>
        </w:rPr>
        <w:t>天向监理人发出开始</w:t>
      </w:r>
      <w:bookmarkEnd w:id="215"/>
      <w:bookmarkEnd w:id="216"/>
      <w:bookmarkEnd w:id="217"/>
      <w:bookmarkEnd w:id="218"/>
      <w:r>
        <w:rPr>
          <w:rFonts w:hint="eastAsia" w:ascii="宋体" w:hAnsi="宋体"/>
          <w:color w:val="auto"/>
          <w:kern w:val="21"/>
          <w:sz w:val="24"/>
          <w:highlight w:val="none"/>
        </w:rPr>
        <w:t>监理通知。</w:t>
      </w:r>
      <w:bookmarkStart w:id="219" w:name="_Toc300835118"/>
      <w:bookmarkStart w:id="220" w:name="_Toc247527716"/>
      <w:bookmarkStart w:id="221" w:name="_Toc247514115"/>
      <w:bookmarkStart w:id="222" w:name="_Toc247514117"/>
      <w:bookmarkStart w:id="223" w:name="_Toc247527718"/>
      <w:bookmarkStart w:id="224" w:name="_Toc300835120"/>
      <w:r>
        <w:rPr>
          <w:rFonts w:hint="eastAsia" w:ascii="宋体" w:hAnsi="宋体"/>
          <w:color w:val="auto"/>
          <w:kern w:val="21"/>
          <w:sz w:val="24"/>
          <w:highlight w:val="none"/>
        </w:rPr>
        <w:t>监理服务期限自开始</w:t>
      </w:r>
      <w:bookmarkEnd w:id="219"/>
      <w:bookmarkEnd w:id="220"/>
      <w:bookmarkEnd w:id="221"/>
      <w:r>
        <w:rPr>
          <w:rFonts w:hint="eastAsia" w:ascii="宋体" w:hAnsi="宋体"/>
          <w:color w:val="auto"/>
          <w:kern w:val="21"/>
          <w:sz w:val="24"/>
          <w:highlight w:val="none"/>
        </w:rPr>
        <w:t>监理通知中载明的开始监理日期起计算。</w:t>
      </w:r>
    </w:p>
    <w:p w14:paraId="0E2EE41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6.1.2除专用合同条款另有约定外，因委托人原因造成合同签订之日起90天内未能发出开始监理通知的，监理人有权提出价格调整要求，或者解除合同。委托人应当承担由此增加的费用和（或）周期延误。</w:t>
      </w:r>
    </w:p>
    <w:p w14:paraId="27F7F928">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25" w:name="_Toc492300679"/>
      <w:bookmarkStart w:id="226" w:name="_Toc482188593"/>
      <w:r>
        <w:rPr>
          <w:rFonts w:hint="eastAsia" w:ascii="宋体" w:hAnsi="宋体"/>
          <w:b/>
          <w:color w:val="auto"/>
          <w:kern w:val="21"/>
          <w:sz w:val="24"/>
          <w:highlight w:val="none"/>
        </w:rPr>
        <w:t>6.2 监理周期延误</w:t>
      </w:r>
      <w:bookmarkEnd w:id="225"/>
      <w:bookmarkEnd w:id="226"/>
    </w:p>
    <w:p w14:paraId="73235DE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在履行合同过程中，由于下列原因造成监理服务期限延误且属于非监理人责任的，委托人应当延长监理服务期限并增加监理报酬，具体方法在专用合同条款中约定。</w:t>
      </w:r>
      <w:bookmarkEnd w:id="222"/>
      <w:bookmarkEnd w:id="223"/>
      <w:bookmarkEnd w:id="224"/>
    </w:p>
    <w:p w14:paraId="4825AE9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（1）合同变更；</w:t>
      </w:r>
    </w:p>
    <w:p w14:paraId="1F0231FE">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 xml:space="preserve">（2）因委托人原因导致的监理工作暂停； </w:t>
      </w:r>
    </w:p>
    <w:p w14:paraId="40095DF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（3）未按合同约定及时支付监理报酬；</w:t>
      </w:r>
    </w:p>
    <w:p w14:paraId="31D5E5A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（4）未及时履行合同约定的相关义务；</w:t>
      </w:r>
    </w:p>
    <w:p w14:paraId="0D58A42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（5）由于承包人延误、行政管理造成的监理服务期延误；</w:t>
      </w:r>
    </w:p>
    <w:p w14:paraId="15FAE95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（6）造成监理服务期限延误的其他原因。</w:t>
      </w:r>
    </w:p>
    <w:p w14:paraId="01C923AE">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27" w:name="_Toc492300680"/>
      <w:bookmarkStart w:id="228" w:name="_Toc467651004"/>
      <w:bookmarkStart w:id="229" w:name="_Toc482188601"/>
      <w:r>
        <w:rPr>
          <w:rFonts w:hint="eastAsia" w:ascii="宋体" w:hAnsi="宋体"/>
          <w:b/>
          <w:color w:val="auto"/>
          <w:kern w:val="21"/>
          <w:sz w:val="24"/>
          <w:highlight w:val="none"/>
        </w:rPr>
        <w:t>6.3 完成监理</w:t>
      </w:r>
      <w:bookmarkEnd w:id="227"/>
    </w:p>
    <w:p w14:paraId="4F4BA46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6.3.1 监理人应当根据法律、规范标准、合同约定和委托人要求实施和完成监理，并编制和移交监理文件。</w:t>
      </w:r>
    </w:p>
    <w:p w14:paraId="7D1CA2D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6.3.2 缺陷修复监理指缺陷责任期间，监理人对承包人修复质量缺陷进行的监理。缺陷修复监理的责任由监理人负责。</w:t>
      </w:r>
    </w:p>
    <w:p w14:paraId="3005FF9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6.3.3 委托人应当及时接收监理人提交的监理文件。如无正当理由拒收的，视为委托人已经接收监理文件。接收监理文件时，委托人应向监理人出具文件签收凭证，凭证内容包括文件名称、文件内容、文件形式、份数、提交和接收日期、提交人与接收人的亲笔签名等。</w:t>
      </w:r>
    </w:p>
    <w:p w14:paraId="1B7A273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6.3.4 除专用合同条款另有约定外，监理文件包括纸质文件和电子文件两种形式，两者若有不一致时，应以纸质文件为准。纸质文件应当加盖单位章和总监理工程师的注册执业印章，具体份数、纸幅、装订格式等要求，应在专用合同条款中约定；电子文件应使用光盘和U盘分别贮存。</w:t>
      </w:r>
    </w:p>
    <w:bookmarkEnd w:id="228"/>
    <w:bookmarkEnd w:id="229"/>
    <w:p w14:paraId="762B9FD1">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30" w:name="_Toc482188607"/>
      <w:bookmarkStart w:id="231" w:name="_Toc503518006"/>
      <w:bookmarkStart w:id="232" w:name="_Toc492300681"/>
      <w:bookmarkStart w:id="233" w:name="_Toc247527728"/>
      <w:bookmarkStart w:id="234" w:name="_Toc247514127"/>
      <w:bookmarkStart w:id="235" w:name="_Toc184635110"/>
      <w:r>
        <w:rPr>
          <w:rFonts w:hint="eastAsia" w:ascii="宋体" w:hAnsi="宋体"/>
          <w:b/>
          <w:color w:val="auto"/>
          <w:kern w:val="21"/>
          <w:sz w:val="28"/>
          <w:highlight w:val="none"/>
        </w:rPr>
        <w:t>7. 监理责任与保险</w:t>
      </w:r>
      <w:bookmarkEnd w:id="230"/>
      <w:bookmarkEnd w:id="231"/>
      <w:bookmarkEnd w:id="232"/>
    </w:p>
    <w:bookmarkEnd w:id="233"/>
    <w:bookmarkEnd w:id="234"/>
    <w:bookmarkEnd w:id="235"/>
    <w:p w14:paraId="65C23A08">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36" w:name="_Toc482188610"/>
      <w:bookmarkStart w:id="237" w:name="_Toc492300682"/>
      <w:r>
        <w:rPr>
          <w:rFonts w:hint="eastAsia" w:ascii="宋体" w:hAnsi="宋体"/>
          <w:b/>
          <w:color w:val="auto"/>
          <w:kern w:val="21"/>
          <w:sz w:val="24"/>
          <w:highlight w:val="none"/>
        </w:rPr>
        <w:t>7.1 监理责任主体</w:t>
      </w:r>
      <w:bookmarkEnd w:id="236"/>
      <w:bookmarkEnd w:id="237"/>
    </w:p>
    <w:p w14:paraId="7013EDE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7.1.1 监理人应运用一切合理的专业技术、知识技能和项目经验，按照职业道德准则和行业公认标准尽其全部职责，勤勉、谨慎、公正地履行其在本合同项下的责任和义务。</w:t>
      </w:r>
    </w:p>
    <w:p w14:paraId="35FC271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7.1.2 监理责任为监理单位项目负责人终身责任制。总监理工程师应当按照法律法规、有关技术标准、设计文件和工程承包合同进行监理，对施工质量承担监理责任。</w:t>
      </w:r>
    </w:p>
    <w:p w14:paraId="638ECFB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7.1.3 总监理工程师应当按照有关规定在办理工程质量监督手续前签署工程质量终身责任承诺书，连同法定代表人出具的授权书，报工程质量监督机构备案。</w:t>
      </w:r>
    </w:p>
    <w:p w14:paraId="3FF08C0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38" w:name="_Toc482188611"/>
      <w:bookmarkStart w:id="239" w:name="_Toc492300683"/>
      <w:r>
        <w:rPr>
          <w:rFonts w:hint="eastAsia" w:ascii="宋体" w:hAnsi="宋体"/>
          <w:b/>
          <w:color w:val="auto"/>
          <w:kern w:val="21"/>
          <w:sz w:val="24"/>
          <w:highlight w:val="none"/>
        </w:rPr>
        <w:t>7.2 监理责任保险</w:t>
      </w:r>
      <w:bookmarkEnd w:id="238"/>
      <w:bookmarkEnd w:id="239"/>
    </w:p>
    <w:p w14:paraId="5D97288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除专用合同条款另有约定外，监理人应根据工程情况对监理责任进行保险，并在合同履行期间保持足额、有效。</w:t>
      </w:r>
    </w:p>
    <w:p w14:paraId="071939B3">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40" w:name="_Toc492300684"/>
      <w:bookmarkStart w:id="241" w:name="_Toc482188615"/>
      <w:bookmarkStart w:id="242" w:name="_Toc503518007"/>
      <w:r>
        <w:rPr>
          <w:rFonts w:hint="eastAsia" w:ascii="宋体" w:hAnsi="宋体"/>
          <w:b/>
          <w:color w:val="auto"/>
          <w:kern w:val="21"/>
          <w:sz w:val="28"/>
          <w:highlight w:val="none"/>
        </w:rPr>
        <w:t>8. 合同变更</w:t>
      </w:r>
      <w:bookmarkEnd w:id="240"/>
      <w:bookmarkEnd w:id="241"/>
      <w:bookmarkEnd w:id="242"/>
    </w:p>
    <w:p w14:paraId="1F735787">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43" w:name="_Toc482188616"/>
      <w:bookmarkStart w:id="244" w:name="_Toc492300685"/>
      <w:bookmarkStart w:id="245" w:name="_Toc467651025"/>
      <w:r>
        <w:rPr>
          <w:rFonts w:hint="eastAsia" w:ascii="宋体" w:hAnsi="宋体"/>
          <w:b/>
          <w:color w:val="auto"/>
          <w:kern w:val="21"/>
          <w:sz w:val="24"/>
          <w:highlight w:val="none"/>
        </w:rPr>
        <w:t>8.1 变更情形</w:t>
      </w:r>
      <w:bookmarkEnd w:id="243"/>
      <w:bookmarkEnd w:id="244"/>
      <w:bookmarkEnd w:id="245"/>
    </w:p>
    <w:p w14:paraId="762A004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8.1.1 合同履行中发生下述情形时，合同一方均可向对方提出变更请求，经双方协商一致后进行变更，监理服务期限和监理报酬的调整方法在专用合同条款中约定。</w:t>
      </w:r>
    </w:p>
    <w:p w14:paraId="16C8B22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（1）监理范围发生变化；</w:t>
      </w:r>
    </w:p>
    <w:p w14:paraId="5BC45E7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（2）除不可抗力外，非监理人的原因引起的周期延误；</w:t>
      </w:r>
    </w:p>
    <w:p w14:paraId="48569F1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（3）非监理人的原因，对工程同一部分重复进行监理；</w:t>
      </w:r>
    </w:p>
    <w:p w14:paraId="1049585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（4）非监理人的原因，对工程暂停监理及恢复监理。</w:t>
      </w:r>
    </w:p>
    <w:p w14:paraId="30D88CB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8.1.2 基准日后，因颁布新的或修订原有法律、法规、规范和标准等引发合同变更情形的，按照上述约定进行调整。</w:t>
      </w:r>
    </w:p>
    <w:p w14:paraId="15BFDE9C">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46" w:name="_Toc492300686"/>
      <w:bookmarkStart w:id="247" w:name="_Toc482188617"/>
      <w:bookmarkStart w:id="248" w:name="_Toc467651026"/>
      <w:r>
        <w:rPr>
          <w:rFonts w:hint="eastAsia" w:ascii="宋体" w:hAnsi="宋体"/>
          <w:b/>
          <w:color w:val="auto"/>
          <w:kern w:val="21"/>
          <w:sz w:val="24"/>
          <w:highlight w:val="none"/>
        </w:rPr>
        <w:t>8.2 合理化建议</w:t>
      </w:r>
      <w:bookmarkEnd w:id="246"/>
      <w:bookmarkEnd w:id="247"/>
      <w:bookmarkEnd w:id="248"/>
    </w:p>
    <w:p w14:paraId="73036E4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8.2.1 合同履行中，监理人可对委托人要求提出合理化建议。合理化建议应以书面形式提交委托人，被委托人采纳并构成变更的，执行第8.1款约定。</w:t>
      </w:r>
    </w:p>
    <w:p w14:paraId="14BBCF2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8.2.2 监理人提出的合理化建议降低了工程投资、缩短了施工期限或者提高了工程经济效益的，委托人应按专用合同条款中的约定给予奖励。</w:t>
      </w:r>
    </w:p>
    <w:p w14:paraId="4C3C76FF">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49" w:name="_Toc503518008"/>
      <w:bookmarkStart w:id="250" w:name="_Toc482188618"/>
      <w:bookmarkStart w:id="251" w:name="_Toc492300687"/>
      <w:r>
        <w:rPr>
          <w:rFonts w:hint="eastAsia" w:ascii="宋体" w:hAnsi="宋体"/>
          <w:b/>
          <w:color w:val="auto"/>
          <w:kern w:val="21"/>
          <w:sz w:val="28"/>
          <w:highlight w:val="none"/>
        </w:rPr>
        <w:t>9. 合同价格与支付</w:t>
      </w:r>
      <w:bookmarkEnd w:id="249"/>
      <w:bookmarkEnd w:id="250"/>
      <w:bookmarkEnd w:id="251"/>
    </w:p>
    <w:p w14:paraId="14BDF50B">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52" w:name="_Toc492300688"/>
      <w:bookmarkStart w:id="253" w:name="_Toc482188619"/>
      <w:r>
        <w:rPr>
          <w:rFonts w:hint="eastAsia" w:ascii="宋体" w:hAnsi="宋体"/>
          <w:b/>
          <w:color w:val="auto"/>
          <w:kern w:val="21"/>
          <w:sz w:val="24"/>
          <w:highlight w:val="none"/>
        </w:rPr>
        <w:t>9.1 合同价格</w:t>
      </w:r>
      <w:bookmarkEnd w:id="252"/>
      <w:bookmarkEnd w:id="253"/>
    </w:p>
    <w:p w14:paraId="603B2C1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9.1.1 本合同的价款确定方式、调整方式和风险范围划分，在专用合同条款中约定。</w:t>
      </w:r>
    </w:p>
    <w:p w14:paraId="6B39032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9.1.2 除专用合同条款另有约定外，合同价格应当包括收集资料、踏勘现场、制订纲要、实施监理、编制监理文件等全部费用和国家规定的增值税税金。</w:t>
      </w:r>
    </w:p>
    <w:p w14:paraId="4BD7067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9.1.3 委托人要求监理人进行外出考察、试验检测、专项咨询或专家评审时，相应费用不含在合同价格之中，由委托人另行支付。</w:t>
      </w:r>
    </w:p>
    <w:p w14:paraId="06A4009A">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54" w:name="_Toc482188620"/>
      <w:bookmarkStart w:id="255" w:name="_Toc492300689"/>
      <w:r>
        <w:rPr>
          <w:rFonts w:hint="eastAsia" w:ascii="宋体" w:hAnsi="宋体"/>
          <w:b/>
          <w:color w:val="auto"/>
          <w:kern w:val="21"/>
          <w:sz w:val="24"/>
          <w:highlight w:val="none"/>
        </w:rPr>
        <w:t xml:space="preserve">9.2 </w:t>
      </w:r>
      <w:bookmarkEnd w:id="254"/>
      <w:r>
        <w:rPr>
          <w:rFonts w:hint="eastAsia" w:ascii="宋体" w:hAnsi="宋体"/>
          <w:b/>
          <w:color w:val="auto"/>
          <w:kern w:val="21"/>
          <w:sz w:val="24"/>
          <w:highlight w:val="none"/>
        </w:rPr>
        <w:t>预付款</w:t>
      </w:r>
      <w:bookmarkEnd w:id="255"/>
    </w:p>
    <w:p w14:paraId="33434EE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9.2.1预付款应专用于本工程的监理。预付款的额度、支付方式及抵扣方式在专用合同条款中约定。</w:t>
      </w:r>
    </w:p>
    <w:p w14:paraId="593E9EF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9.2.2 委托人应在收到预付款支付申请后28天内，将预付款支付给监理人；监理人应当提供等额的增值税发票。</w:t>
      </w:r>
    </w:p>
    <w:p w14:paraId="0E15DA1A">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56" w:name="_Toc467651035"/>
      <w:bookmarkStart w:id="257" w:name="_Toc482188621"/>
      <w:bookmarkStart w:id="258" w:name="_Toc492300690"/>
      <w:r>
        <w:rPr>
          <w:rFonts w:hint="eastAsia" w:ascii="宋体" w:hAnsi="宋体"/>
          <w:b/>
          <w:color w:val="auto"/>
          <w:kern w:val="21"/>
          <w:sz w:val="24"/>
          <w:highlight w:val="none"/>
        </w:rPr>
        <w:t>9.3 中期支付</w:t>
      </w:r>
      <w:bookmarkEnd w:id="256"/>
      <w:bookmarkEnd w:id="257"/>
      <w:bookmarkEnd w:id="258"/>
    </w:p>
    <w:p w14:paraId="41D67E2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9.3.1 监理人应按委托人批准或专用合同条款约定的格式及份数，向委托人提交中期支付申请，并附相应的支持性证明文件。</w:t>
      </w:r>
    </w:p>
    <w:p w14:paraId="641E8B3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9.3.2 委托人应在收到中期支付申请后的28天内，将应付款项支付给监理人；监理人应当提供等额的增值税发票。委托人未能在前述时间内完成审批或不予答复的，视为委托人同意中期支付申请。委托人不按期支付的，按专用合同条款的约定支付逾期付款违约金。</w:t>
      </w:r>
    </w:p>
    <w:p w14:paraId="5F1A1DE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9.3.3 中期支付涉及政府投资资金的，按照国库集中支付等国家相关规定和专用合同条款的约定执行。</w:t>
      </w:r>
    </w:p>
    <w:p w14:paraId="10F11470">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59" w:name="_Toc482188622"/>
      <w:bookmarkStart w:id="260" w:name="_Toc492300691"/>
      <w:bookmarkStart w:id="261" w:name="_Toc467651036"/>
      <w:r>
        <w:rPr>
          <w:rFonts w:hint="eastAsia" w:ascii="宋体" w:hAnsi="宋体"/>
          <w:b/>
          <w:color w:val="auto"/>
          <w:kern w:val="21"/>
          <w:sz w:val="24"/>
          <w:highlight w:val="none"/>
        </w:rPr>
        <w:t>9.4 费用结算</w:t>
      </w:r>
      <w:bookmarkEnd w:id="259"/>
      <w:bookmarkEnd w:id="260"/>
      <w:bookmarkEnd w:id="261"/>
    </w:p>
    <w:p w14:paraId="3FA4EE6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9.4.1 合同工作完成后，监理人可按专用合同条款约定的份数和期限，向委托人提交监理费用结算申请，并提供相关证明材料。</w:t>
      </w:r>
    </w:p>
    <w:p w14:paraId="513FDB8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9.4.2 委托人应在收到费用结算申请后的28天内，将应付款项支付给监理人；监理人应当提供等额的增值税发票。委托人未能在前述时间内完成审批或不予答复的，视为委托人同意费用结算申请。委托人不按期支付的，按专用合同条款的约定支付逾期付款违约金。</w:t>
      </w:r>
    </w:p>
    <w:p w14:paraId="26029BD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9.4.3 委托人对费用结算申请内容有异议的，有权要求监理人进行修正和提供补充资料，由监理人重新提交。监理人对此有异议的，按第12条的约定执行。</w:t>
      </w:r>
    </w:p>
    <w:p w14:paraId="6056BBA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9.4.4 最终结清付款涉及政府投资资金的，按第9.3.3项的约定执行。</w:t>
      </w:r>
    </w:p>
    <w:p w14:paraId="15620CFD">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62" w:name="_Toc503518009"/>
      <w:bookmarkStart w:id="263" w:name="_Toc482188623"/>
      <w:bookmarkStart w:id="264" w:name="_Toc492300692"/>
      <w:r>
        <w:rPr>
          <w:rFonts w:hint="eastAsia" w:ascii="宋体" w:hAnsi="宋体"/>
          <w:b/>
          <w:color w:val="auto"/>
          <w:kern w:val="21"/>
          <w:sz w:val="28"/>
          <w:highlight w:val="none"/>
        </w:rPr>
        <w:t>10. 不可抗力</w:t>
      </w:r>
      <w:bookmarkEnd w:id="262"/>
      <w:bookmarkEnd w:id="263"/>
      <w:bookmarkEnd w:id="264"/>
    </w:p>
    <w:p w14:paraId="28BAEF05">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65" w:name="_Toc482188624"/>
      <w:bookmarkStart w:id="266" w:name="_Toc492300693"/>
      <w:r>
        <w:rPr>
          <w:rFonts w:hint="eastAsia" w:ascii="宋体" w:hAnsi="宋体"/>
          <w:b/>
          <w:color w:val="auto"/>
          <w:kern w:val="21"/>
          <w:sz w:val="24"/>
          <w:highlight w:val="none"/>
        </w:rPr>
        <w:t>10.1 不可抗力的确认</w:t>
      </w:r>
      <w:bookmarkEnd w:id="265"/>
      <w:bookmarkEnd w:id="266"/>
    </w:p>
    <w:p w14:paraId="5BF3E6E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10.1.1 不可抗力是指监理人和委托人在订立合同时不可预见，在履行合</w:t>
      </w:r>
      <w:bookmarkStart w:id="267" w:name="_Toc247514180"/>
      <w:bookmarkStart w:id="268" w:name="_Toc184635118"/>
      <w:bookmarkStart w:id="269" w:name="_Toc247527781"/>
      <w:bookmarkStart w:id="270" w:name="_Toc300835182"/>
      <w:r>
        <w:rPr>
          <w:rFonts w:hint="eastAsia" w:ascii="宋体" w:hAnsi="宋体"/>
          <w:color w:val="auto"/>
          <w:kern w:val="21"/>
          <w:sz w:val="24"/>
          <w:highlight w:val="none"/>
        </w:rPr>
        <w:t>同过程中不可避免</w:t>
      </w:r>
      <w:bookmarkEnd w:id="267"/>
      <w:bookmarkEnd w:id="268"/>
      <w:bookmarkEnd w:id="269"/>
      <w:bookmarkEnd w:id="270"/>
      <w:r>
        <w:rPr>
          <w:rFonts w:hint="eastAsia" w:ascii="宋体" w:hAnsi="宋体"/>
          <w:color w:val="auto"/>
          <w:kern w:val="21"/>
          <w:sz w:val="24"/>
          <w:highlight w:val="none"/>
        </w:rPr>
        <w:t>发</w:t>
      </w:r>
      <w:bookmarkStart w:id="271" w:name="_Toc247527782"/>
      <w:bookmarkStart w:id="272" w:name="_Toc247514181"/>
      <w:bookmarkStart w:id="273" w:name="_Toc300835183"/>
      <w:r>
        <w:rPr>
          <w:rFonts w:hint="eastAsia" w:ascii="宋体" w:hAnsi="宋体"/>
          <w:color w:val="auto"/>
          <w:kern w:val="21"/>
          <w:sz w:val="24"/>
          <w:highlight w:val="none"/>
        </w:rPr>
        <w:t>生并不能克服的自然灾害和</w:t>
      </w:r>
      <w:bookmarkEnd w:id="271"/>
      <w:bookmarkEnd w:id="272"/>
      <w:bookmarkEnd w:id="273"/>
      <w:r>
        <w:rPr>
          <w:rFonts w:hint="eastAsia" w:ascii="宋体" w:hAnsi="宋体"/>
          <w:color w:val="auto"/>
          <w:kern w:val="21"/>
          <w:sz w:val="24"/>
          <w:highlight w:val="none"/>
        </w:rPr>
        <w:t>社会性突发事件，如地震、海啸、瘟疫、水灾、骚乱、暴动、战争和专用合同条款约定的其他情形。</w:t>
      </w:r>
    </w:p>
    <w:p w14:paraId="646195B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10.1.2 不可抗力发生后，委托人和监理人应及时认真统计所造成的损失，收集不可抗力造成损失的证据。合同双方对是否属于不可抗力或其损失的意见不一致的，由合同双方协商确定。</w:t>
      </w:r>
    </w:p>
    <w:p w14:paraId="51B62140">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74" w:name="_Toc492300694"/>
      <w:bookmarkStart w:id="275" w:name="_Toc482188625"/>
      <w:r>
        <w:rPr>
          <w:rFonts w:hint="eastAsia" w:ascii="宋体" w:hAnsi="宋体"/>
          <w:b/>
          <w:color w:val="auto"/>
          <w:kern w:val="21"/>
          <w:sz w:val="24"/>
          <w:highlight w:val="none"/>
        </w:rPr>
        <w:t>10.2 不可抗力的通知</w:t>
      </w:r>
      <w:bookmarkEnd w:id="274"/>
      <w:bookmarkEnd w:id="275"/>
    </w:p>
    <w:p w14:paraId="08D83E1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10.2.1 合同一方当事人遇到不可抗力事件，使其履行合同义务受到阻碍时，应立即通知合同</w:t>
      </w:r>
      <w:bookmarkStart w:id="276" w:name="_Toc247527783"/>
      <w:bookmarkStart w:id="277" w:name="_Toc247514182"/>
      <w:bookmarkStart w:id="278" w:name="_Toc300835184"/>
      <w:r>
        <w:rPr>
          <w:rFonts w:hint="eastAsia" w:ascii="宋体" w:hAnsi="宋体"/>
          <w:color w:val="auto"/>
          <w:kern w:val="21"/>
          <w:sz w:val="24"/>
          <w:highlight w:val="none"/>
        </w:rPr>
        <w:t>另一方当事人，书面说明不</w:t>
      </w:r>
      <w:bookmarkEnd w:id="276"/>
      <w:bookmarkEnd w:id="277"/>
      <w:bookmarkEnd w:id="278"/>
      <w:r>
        <w:rPr>
          <w:rFonts w:hint="eastAsia" w:ascii="宋体" w:hAnsi="宋体"/>
          <w:color w:val="auto"/>
          <w:kern w:val="21"/>
          <w:sz w:val="24"/>
          <w:highlight w:val="none"/>
        </w:rPr>
        <w:t>可抗力和受阻碍的详细情况，并提供必要的证明。</w:t>
      </w:r>
    </w:p>
    <w:p w14:paraId="271C30C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10.2.2 如不可抗力持续发生，合同一方当事人应及时向合同另一方当事人提交中间报告，说明不可抗力和履行合同受阻的情况，并于不可抗力事件结束后28天内提交最终报告及有关资料。</w:t>
      </w:r>
    </w:p>
    <w:p w14:paraId="4C660E33">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79" w:name="_Toc482188626"/>
      <w:bookmarkStart w:id="280" w:name="_Toc492300695"/>
      <w:r>
        <w:rPr>
          <w:rFonts w:hint="eastAsia" w:ascii="宋体" w:hAnsi="宋体"/>
          <w:b/>
          <w:color w:val="auto"/>
          <w:kern w:val="21"/>
          <w:sz w:val="24"/>
          <w:highlight w:val="none"/>
        </w:rPr>
        <w:t>10.3 不可抗力后果及其处理</w:t>
      </w:r>
      <w:bookmarkEnd w:id="279"/>
      <w:bookmarkEnd w:id="280"/>
    </w:p>
    <w:p w14:paraId="39EF836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10.3.1 不可抗力引起的后果及其损失，应由合同当事人依据法律规定各自承担。不可抗力发生前已完成的监理工作，应当按照合同约定进行支付。</w:t>
      </w:r>
    </w:p>
    <w:p w14:paraId="7AA5C22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10.3.2 不可抗力发生后，合同当事人应当采取有效措施避免损失进一步扩大，如未采取有效措施致使损失扩大的，应当自行承担扩大部分的损失。</w:t>
      </w:r>
    </w:p>
    <w:p w14:paraId="1601FCC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10.3.3 因一方当事人迟延履行合同义务，致使迟延履行期间遭遇不可抗力的，应由该当事人承担全部损失。</w:t>
      </w:r>
    </w:p>
    <w:p w14:paraId="6C512645">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81" w:name="_Toc492300696"/>
      <w:bookmarkStart w:id="282" w:name="_Toc482188627"/>
      <w:bookmarkStart w:id="283" w:name="_Toc503518010"/>
      <w:r>
        <w:rPr>
          <w:rFonts w:hint="eastAsia" w:ascii="宋体" w:hAnsi="宋体"/>
          <w:b/>
          <w:color w:val="auto"/>
          <w:kern w:val="21"/>
          <w:sz w:val="28"/>
          <w:highlight w:val="none"/>
        </w:rPr>
        <w:t>11. 违约</w:t>
      </w:r>
      <w:bookmarkEnd w:id="281"/>
      <w:bookmarkEnd w:id="282"/>
      <w:bookmarkEnd w:id="283"/>
    </w:p>
    <w:p w14:paraId="0DE36441">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84" w:name="_Toc482188628"/>
      <w:bookmarkStart w:id="285" w:name="_Toc492300697"/>
      <w:r>
        <w:rPr>
          <w:rFonts w:hint="eastAsia" w:ascii="宋体" w:hAnsi="宋体"/>
          <w:b/>
          <w:color w:val="auto"/>
          <w:kern w:val="21"/>
          <w:sz w:val="24"/>
          <w:highlight w:val="none"/>
        </w:rPr>
        <w:t>11.1 监理人违约</w:t>
      </w:r>
      <w:bookmarkEnd w:id="284"/>
      <w:bookmarkEnd w:id="285"/>
    </w:p>
    <w:p w14:paraId="7D5521C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11.1.1合同履行中发生下列情况之一的，属监理人违约：</w:t>
      </w:r>
    </w:p>
    <w:p w14:paraId="39512DB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（1）监理文件不符合规范标准以及合同约定；</w:t>
      </w:r>
    </w:p>
    <w:p w14:paraId="734B6A2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（2）监理人转让监理工作；</w:t>
      </w:r>
    </w:p>
    <w:p w14:paraId="2B242F9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（3）监理人未按合同约定实施监理并造成工程损失；</w:t>
      </w:r>
    </w:p>
    <w:p w14:paraId="1592D8E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（4）监理人无法履行或停止履行合同；</w:t>
      </w:r>
    </w:p>
    <w:p w14:paraId="1ED5899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（5）监理人不履行合同约定的其他义务。</w:t>
      </w:r>
    </w:p>
    <w:p w14:paraId="390A9BC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11.1.2 监理人发生违约情况时，委托人可向监理人发出整改通知，要求其在限定期限内纠正；逾期仍不纠正的，委托人有权解除合同并向监理人发出解除合同通知。监理人应当承担由于违约所造成的费用增加、周期延误和委托人损失等。</w:t>
      </w:r>
    </w:p>
    <w:p w14:paraId="2D8D6F84">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86" w:name="_Toc482188629"/>
      <w:bookmarkStart w:id="287" w:name="_Toc492300698"/>
      <w:r>
        <w:rPr>
          <w:rFonts w:hint="eastAsia" w:ascii="宋体" w:hAnsi="宋体"/>
          <w:b/>
          <w:color w:val="auto"/>
          <w:kern w:val="21"/>
          <w:sz w:val="24"/>
          <w:highlight w:val="none"/>
        </w:rPr>
        <w:t>11.2 委托人违约</w:t>
      </w:r>
      <w:bookmarkEnd w:id="286"/>
      <w:bookmarkEnd w:id="287"/>
    </w:p>
    <w:p w14:paraId="1DB685C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11.2.1合同履行中发生下列情况之一的，属委托人违约：</w:t>
      </w:r>
    </w:p>
    <w:p w14:paraId="17D1494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w:t>
      </w:r>
      <w:bookmarkStart w:id="288" w:name="_Toc247527787"/>
      <w:bookmarkStart w:id="289" w:name="_Toc247514186"/>
      <w:bookmarkStart w:id="290" w:name="_Toc300835188"/>
      <w:r>
        <w:rPr>
          <w:rFonts w:hint="eastAsia" w:ascii="宋体" w:hAnsi="宋体"/>
          <w:color w:val="auto"/>
          <w:kern w:val="21"/>
          <w:sz w:val="24"/>
          <w:highlight w:val="none"/>
        </w:rPr>
        <w:t>委托人未按合同约定支</w:t>
      </w:r>
      <w:bookmarkEnd w:id="288"/>
      <w:bookmarkEnd w:id="289"/>
      <w:bookmarkEnd w:id="290"/>
      <w:r>
        <w:rPr>
          <w:rFonts w:hint="eastAsia" w:ascii="宋体" w:hAnsi="宋体"/>
          <w:color w:val="auto"/>
          <w:kern w:val="21"/>
          <w:sz w:val="24"/>
          <w:highlight w:val="none"/>
        </w:rPr>
        <w:t>付监理报酬；</w:t>
      </w:r>
    </w:p>
    <w:p w14:paraId="2A752E9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（2）委托人原因造成监理停止；</w:t>
      </w:r>
    </w:p>
    <w:p w14:paraId="2393E85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（3）委托人无法履行或停止履行合同；</w:t>
      </w:r>
    </w:p>
    <w:p w14:paraId="07C3075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（4）委托人不履行合同约定的其他义务。</w:t>
      </w:r>
    </w:p>
    <w:p w14:paraId="3F5CF51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11.2.2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w:t>
      </w:r>
    </w:p>
    <w:p w14:paraId="2ACD7720">
      <w:pPr>
        <w:widowControl w:val="0"/>
        <w:autoSpaceDE w:val="0"/>
        <w:autoSpaceDN w:val="0"/>
        <w:adjustRightInd w:val="0"/>
        <w:spacing w:before="240" w:beforeLines="100" w:after="120" w:afterLines="50" w:line="360" w:lineRule="auto"/>
        <w:outlineLvl w:val="4"/>
        <w:rPr>
          <w:rFonts w:hint="eastAsia" w:ascii="宋体"/>
          <w:b/>
          <w:color w:val="auto"/>
          <w:kern w:val="21"/>
          <w:sz w:val="24"/>
          <w:highlight w:val="none"/>
        </w:rPr>
      </w:pPr>
      <w:bookmarkStart w:id="291" w:name="_Toc482188630"/>
      <w:bookmarkStart w:id="292" w:name="_Toc492300699"/>
      <w:r>
        <w:rPr>
          <w:rFonts w:hint="eastAsia" w:ascii="宋体" w:hAnsi="宋体"/>
          <w:b/>
          <w:color w:val="auto"/>
          <w:kern w:val="21"/>
          <w:sz w:val="24"/>
          <w:highlight w:val="none"/>
        </w:rPr>
        <w:t>11.3 第三人造成的违约</w:t>
      </w:r>
      <w:bookmarkEnd w:id="291"/>
      <w:bookmarkEnd w:id="292"/>
    </w:p>
    <w:p w14:paraId="7877866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在履行合同过程中，一方当事人因第三人的原因造成违约的，应当向对方当事人承担违约责任。一</w:t>
      </w:r>
      <w:bookmarkStart w:id="293" w:name="_Toc300835189"/>
      <w:bookmarkStart w:id="294" w:name="_Toc247514187"/>
      <w:bookmarkStart w:id="295" w:name="_Toc247527788"/>
      <w:r>
        <w:rPr>
          <w:rFonts w:hint="eastAsia" w:ascii="宋体" w:hAnsi="宋体"/>
          <w:color w:val="auto"/>
          <w:kern w:val="21"/>
          <w:sz w:val="24"/>
          <w:highlight w:val="none"/>
        </w:rPr>
        <w:t>方当事人和第三人之间的纠纷</w:t>
      </w:r>
      <w:bookmarkEnd w:id="293"/>
      <w:bookmarkEnd w:id="294"/>
      <w:bookmarkEnd w:id="295"/>
      <w:r>
        <w:rPr>
          <w:rFonts w:hint="eastAsia" w:ascii="宋体" w:hAnsi="宋体"/>
          <w:color w:val="auto"/>
          <w:kern w:val="21"/>
          <w:sz w:val="24"/>
          <w:highlight w:val="none"/>
        </w:rPr>
        <w:t>，依照法律规定或者按照约定解决。</w:t>
      </w:r>
    </w:p>
    <w:p w14:paraId="5B621B7E">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296" w:name="_Toc482188631"/>
      <w:bookmarkStart w:id="297" w:name="_Toc492300700"/>
      <w:bookmarkStart w:id="298" w:name="_Toc503518011"/>
      <w:r>
        <w:rPr>
          <w:rFonts w:hint="eastAsia" w:ascii="宋体" w:hAnsi="宋体"/>
          <w:b/>
          <w:color w:val="auto"/>
          <w:kern w:val="21"/>
          <w:sz w:val="28"/>
          <w:highlight w:val="none"/>
        </w:rPr>
        <w:t>12. 争议的解决</w:t>
      </w:r>
      <w:bookmarkEnd w:id="296"/>
      <w:bookmarkEnd w:id="297"/>
      <w:bookmarkEnd w:id="298"/>
    </w:p>
    <w:p w14:paraId="51FFBDF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委托人和监理人在履行合同中发生争议的，可以友好协商解决</w:t>
      </w:r>
      <w:bookmarkStart w:id="299" w:name="_Toc247514193"/>
      <w:bookmarkStart w:id="300" w:name="_Toc184635121"/>
      <w:bookmarkStart w:id="301" w:name="_Toc300835195"/>
      <w:bookmarkStart w:id="302" w:name="_Toc247527794"/>
      <w:r>
        <w:rPr>
          <w:rFonts w:hint="eastAsia" w:ascii="宋体" w:hAnsi="宋体"/>
          <w:color w:val="auto"/>
          <w:kern w:val="21"/>
          <w:sz w:val="24"/>
          <w:highlight w:val="none"/>
        </w:rPr>
        <w:t>。合同当事</w:t>
      </w:r>
      <w:bookmarkEnd w:id="299"/>
      <w:bookmarkEnd w:id="300"/>
      <w:bookmarkEnd w:id="301"/>
      <w:bookmarkEnd w:id="302"/>
      <w:r>
        <w:rPr>
          <w:rFonts w:hint="eastAsia" w:ascii="宋体" w:hAnsi="宋体"/>
          <w:color w:val="auto"/>
          <w:kern w:val="21"/>
          <w:sz w:val="24"/>
          <w:highlight w:val="none"/>
        </w:rPr>
        <w:t>人</w:t>
      </w:r>
      <w:bookmarkStart w:id="303" w:name="_Toc247514194"/>
      <w:bookmarkStart w:id="304" w:name="_Toc247527795"/>
      <w:bookmarkStart w:id="305" w:name="_Toc300835196"/>
      <w:r>
        <w:rPr>
          <w:rFonts w:hint="eastAsia" w:ascii="宋体" w:hAnsi="宋体"/>
          <w:color w:val="auto"/>
          <w:kern w:val="21"/>
          <w:sz w:val="24"/>
          <w:highlight w:val="none"/>
        </w:rPr>
        <w:t>友好协商解决不成</w:t>
      </w:r>
      <w:bookmarkEnd w:id="303"/>
      <w:bookmarkEnd w:id="304"/>
      <w:bookmarkEnd w:id="305"/>
      <w:r>
        <w:rPr>
          <w:rFonts w:hint="eastAsia" w:ascii="宋体" w:hAnsi="宋体"/>
          <w:color w:val="auto"/>
          <w:kern w:val="21"/>
          <w:sz w:val="24"/>
          <w:highlight w:val="none"/>
        </w:rPr>
        <w:t>的，可在专用合同条款中约定下列一种方式解决：</w:t>
      </w:r>
    </w:p>
    <w:p w14:paraId="3E6A154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（1）向约定的仲裁委员会申请仲裁；</w:t>
      </w:r>
    </w:p>
    <w:p w14:paraId="79394F36">
      <w:pPr>
        <w:spacing w:before="78" w:line="219" w:lineRule="auto"/>
        <w:jc w:val="both"/>
        <w:rPr>
          <w:rFonts w:ascii="宋体" w:hAnsi="宋体" w:eastAsia="宋体" w:cs="宋体"/>
          <w:color w:val="auto"/>
          <w:sz w:val="24"/>
          <w:szCs w:val="24"/>
          <w:highlight w:val="none"/>
        </w:rPr>
      </w:pPr>
      <w:r>
        <w:rPr>
          <w:rFonts w:hint="eastAsia" w:ascii="宋体" w:hAnsi="宋体"/>
          <w:color w:val="auto"/>
          <w:kern w:val="21"/>
          <w:sz w:val="24"/>
          <w:highlight w:val="none"/>
        </w:rPr>
        <w:t>（2）向有管辖权的人民法院提起诉讼。</w:t>
      </w:r>
    </w:p>
    <w:p w14:paraId="79B31812">
      <w:pPr>
        <w:spacing w:line="219" w:lineRule="auto"/>
        <w:rPr>
          <w:rFonts w:ascii="宋体" w:hAnsi="宋体" w:eastAsia="宋体" w:cs="宋体"/>
          <w:color w:val="auto"/>
          <w:sz w:val="24"/>
          <w:szCs w:val="24"/>
          <w:highlight w:val="none"/>
        </w:rPr>
        <w:sectPr>
          <w:footerReference r:id="rId21" w:type="default"/>
          <w:pgSz w:w="11905" w:h="16838"/>
          <w:pgMar w:top="1134" w:right="1134" w:bottom="1134" w:left="1134" w:header="0" w:footer="1066" w:gutter="0"/>
          <w:pgNumType w:fmt="decimal"/>
          <w:cols w:space="0" w:num="1"/>
          <w:rtlGutter w:val="0"/>
          <w:docGrid w:linePitch="0" w:charSpace="0"/>
        </w:sectPr>
      </w:pPr>
    </w:p>
    <w:p w14:paraId="61EB8CD3">
      <w:pPr>
        <w:pStyle w:val="3"/>
        <w:bidi w:val="0"/>
        <w:jc w:val="center"/>
        <w:rPr>
          <w:color w:val="auto"/>
          <w:highlight w:val="none"/>
        </w:rPr>
      </w:pPr>
      <w:r>
        <w:rPr>
          <w:color w:val="auto"/>
          <w:highlight w:val="none"/>
        </w:rPr>
        <w:t>第二节  专用合同条款</w:t>
      </w:r>
    </w:p>
    <w:p w14:paraId="7921896D">
      <w:pPr>
        <w:spacing w:before="269" w:line="223" w:lineRule="auto"/>
        <w:rPr>
          <w:rFonts w:ascii="宋体" w:hAnsi="宋体" w:eastAsia="宋体" w:cs="宋体"/>
          <w:color w:val="auto"/>
          <w:sz w:val="28"/>
          <w:szCs w:val="28"/>
          <w:highlight w:val="none"/>
        </w:rPr>
      </w:pPr>
      <w:r>
        <w:rPr>
          <w:rFonts w:ascii="宋体" w:hAnsi="宋体" w:eastAsia="宋体" w:cs="宋体"/>
          <w:b/>
          <w:bCs/>
          <w:color w:val="auto"/>
          <w:spacing w:val="-6"/>
          <w:sz w:val="28"/>
          <w:szCs w:val="28"/>
          <w:highlight w:val="none"/>
        </w:rPr>
        <w:t>包括：</w:t>
      </w:r>
    </w:p>
    <w:p w14:paraId="2A50D62B">
      <w:pPr>
        <w:spacing w:before="204" w:line="360" w:lineRule="auto"/>
        <w:ind w:left="1" w:firstLine="551"/>
        <w:rPr>
          <w:rFonts w:ascii="宋体" w:hAnsi="宋体" w:eastAsia="宋体" w:cs="宋体"/>
          <w:color w:val="auto"/>
          <w:sz w:val="28"/>
          <w:szCs w:val="28"/>
          <w:highlight w:val="none"/>
        </w:rPr>
      </w:pPr>
      <w:r>
        <w:rPr>
          <w:rFonts w:ascii="宋体" w:hAnsi="宋体" w:eastAsia="宋体" w:cs="宋体"/>
          <w:b/>
          <w:bCs/>
          <w:color w:val="auto"/>
          <w:spacing w:val="5"/>
          <w:sz w:val="28"/>
          <w:szCs w:val="28"/>
          <w:highlight w:val="none"/>
        </w:rPr>
        <w:t>A</w:t>
      </w:r>
      <w:r>
        <w:rPr>
          <w:rFonts w:ascii="宋体" w:hAnsi="宋体" w:eastAsia="宋体" w:cs="宋体"/>
          <w:color w:val="auto"/>
          <w:spacing w:val="5"/>
          <w:sz w:val="28"/>
          <w:szCs w:val="28"/>
          <w:highlight w:val="none"/>
        </w:rPr>
        <w:t xml:space="preserve">  </w:t>
      </w:r>
      <w:r>
        <w:rPr>
          <w:rFonts w:ascii="宋体" w:hAnsi="宋体" w:eastAsia="宋体" w:cs="宋体"/>
          <w:b/>
          <w:bCs/>
          <w:color w:val="auto"/>
          <w:spacing w:val="5"/>
          <w:sz w:val="28"/>
          <w:szCs w:val="28"/>
          <w:highlight w:val="none"/>
        </w:rPr>
        <w:t>公路工程专用合同条款详见《交通运输部公路工程标准施工监理</w:t>
      </w:r>
      <w:r>
        <w:rPr>
          <w:rFonts w:ascii="宋体" w:hAnsi="宋体" w:eastAsia="宋体" w:cs="宋体"/>
          <w:b/>
          <w:bCs/>
          <w:color w:val="auto"/>
          <w:spacing w:val="-2"/>
          <w:sz w:val="28"/>
          <w:szCs w:val="28"/>
          <w:highlight w:val="none"/>
        </w:rPr>
        <w:t>招标文件（2018</w:t>
      </w:r>
      <w:r>
        <w:rPr>
          <w:rFonts w:ascii="宋体" w:hAnsi="宋体" w:eastAsia="宋体" w:cs="宋体"/>
          <w:color w:val="auto"/>
          <w:spacing w:val="-57"/>
          <w:sz w:val="28"/>
          <w:szCs w:val="28"/>
          <w:highlight w:val="none"/>
        </w:rPr>
        <w:t xml:space="preserve"> </w:t>
      </w:r>
      <w:r>
        <w:rPr>
          <w:rFonts w:ascii="宋体" w:hAnsi="宋体" w:eastAsia="宋体" w:cs="宋体"/>
          <w:b/>
          <w:bCs/>
          <w:color w:val="auto"/>
          <w:spacing w:val="-2"/>
          <w:sz w:val="28"/>
          <w:szCs w:val="28"/>
          <w:highlight w:val="none"/>
        </w:rPr>
        <w:t>年版）》</w:t>
      </w:r>
    </w:p>
    <w:p w14:paraId="501A0243">
      <w:pPr>
        <w:spacing w:before="1" w:line="219" w:lineRule="auto"/>
        <w:ind w:left="557"/>
        <w:rPr>
          <w:rFonts w:ascii="宋体" w:hAnsi="宋体" w:eastAsia="宋体" w:cs="宋体"/>
          <w:color w:val="auto"/>
          <w:sz w:val="28"/>
          <w:szCs w:val="28"/>
          <w:highlight w:val="none"/>
        </w:rPr>
      </w:pPr>
      <w:r>
        <w:rPr>
          <w:rFonts w:ascii="宋体" w:hAnsi="宋体" w:eastAsia="宋体" w:cs="宋体"/>
          <w:b/>
          <w:bCs/>
          <w:color w:val="auto"/>
          <w:spacing w:val="-2"/>
          <w:sz w:val="28"/>
          <w:szCs w:val="28"/>
          <w:highlight w:val="none"/>
        </w:rPr>
        <w:t>B</w:t>
      </w:r>
      <w:r>
        <w:rPr>
          <w:rFonts w:ascii="宋体" w:hAnsi="宋体" w:eastAsia="宋体" w:cs="宋体"/>
          <w:color w:val="auto"/>
          <w:spacing w:val="-2"/>
          <w:sz w:val="28"/>
          <w:szCs w:val="28"/>
          <w:highlight w:val="none"/>
        </w:rPr>
        <w:t xml:space="preserve">  </w:t>
      </w:r>
      <w:r>
        <w:rPr>
          <w:rFonts w:ascii="宋体" w:hAnsi="宋体" w:eastAsia="宋体" w:cs="宋体"/>
          <w:b/>
          <w:bCs/>
          <w:color w:val="auto"/>
          <w:spacing w:val="-2"/>
          <w:sz w:val="28"/>
          <w:szCs w:val="28"/>
          <w:highlight w:val="none"/>
        </w:rPr>
        <w:t>项目专用合同条款</w:t>
      </w:r>
    </w:p>
    <w:p w14:paraId="4E6C76CF">
      <w:pPr>
        <w:spacing w:line="219" w:lineRule="auto"/>
        <w:rPr>
          <w:rFonts w:ascii="宋体" w:hAnsi="宋体" w:eastAsia="宋体" w:cs="宋体"/>
          <w:color w:val="auto"/>
          <w:sz w:val="28"/>
          <w:szCs w:val="28"/>
          <w:highlight w:val="none"/>
        </w:rPr>
        <w:sectPr>
          <w:footerReference r:id="rId22" w:type="default"/>
          <w:pgSz w:w="11905" w:h="16838"/>
          <w:pgMar w:top="1134" w:right="1134" w:bottom="1134" w:left="1134" w:header="0" w:footer="1066" w:gutter="0"/>
          <w:pgNumType w:fmt="decimal"/>
          <w:cols w:space="0" w:num="1"/>
          <w:rtlGutter w:val="0"/>
          <w:docGrid w:linePitch="0" w:charSpace="0"/>
        </w:sectPr>
      </w:pPr>
    </w:p>
    <w:p w14:paraId="165FA12B">
      <w:pPr>
        <w:pStyle w:val="4"/>
        <w:bidi w:val="0"/>
        <w:jc w:val="center"/>
        <w:rPr>
          <w:rFonts w:hint="eastAsia"/>
          <w:color w:val="auto"/>
          <w:highlight w:val="none"/>
        </w:rPr>
      </w:pPr>
      <w:bookmarkStart w:id="306" w:name="_Toc9975"/>
      <w:r>
        <w:rPr>
          <w:rFonts w:hint="eastAsia"/>
          <w:color w:val="auto"/>
          <w:highlight w:val="none"/>
        </w:rPr>
        <w:t>A. 公路工程专用合同条款</w:t>
      </w:r>
      <w:bookmarkEnd w:id="306"/>
    </w:p>
    <w:p w14:paraId="5E4778F5">
      <w:pPr>
        <w:widowControl w:val="0"/>
        <w:kinsoku w:val="0"/>
        <w:overflowPunct w:val="0"/>
        <w:autoSpaceDE w:val="0"/>
        <w:autoSpaceDN w:val="0"/>
        <w:adjustRightInd w:val="0"/>
        <w:spacing w:line="200" w:lineRule="exact"/>
        <w:jc w:val="left"/>
        <w:rPr>
          <w:rFonts w:hint="eastAsia" w:ascii="宋体"/>
          <w:color w:val="auto"/>
          <w:sz w:val="20"/>
          <w:highlight w:val="none"/>
        </w:rPr>
      </w:pPr>
    </w:p>
    <w:p w14:paraId="51095A06">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07" w:name="_Toc503518013"/>
      <w:r>
        <w:rPr>
          <w:rFonts w:hint="eastAsia" w:ascii="宋体" w:hAnsi="宋体"/>
          <w:b/>
          <w:color w:val="auto"/>
          <w:kern w:val="21"/>
          <w:sz w:val="28"/>
          <w:highlight w:val="none"/>
        </w:rPr>
        <w:t>1. 一般约定</w:t>
      </w:r>
      <w:bookmarkEnd w:id="307"/>
    </w:p>
    <w:p w14:paraId="5961F431">
      <w:pPr>
        <w:widowControl w:val="0"/>
        <w:autoSpaceDE w:val="0"/>
        <w:autoSpaceDN w:val="0"/>
        <w:adjustRightInd w:val="0"/>
        <w:spacing w:before="120" w:beforeLines="50"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1.1 词语定义</w:t>
      </w:r>
    </w:p>
    <w:p w14:paraId="0F9D2AFB">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1.1.1 合同</w:t>
      </w:r>
    </w:p>
    <w:p w14:paraId="4F3CB32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第1.1.1.1目细化为：</w:t>
      </w:r>
    </w:p>
    <w:p w14:paraId="7B89323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合同文件（或称合同）：指合同协议书及各种合同附件、中标通知书、投标函、项目专用合同条款、公路工程专用合同条款、通用合同条款、委托人要求、监理服务费用清单、监理人有关人员和试验检测设备投入的承诺，以及其他构成合同组成部分的文件。</w:t>
      </w:r>
    </w:p>
    <w:p w14:paraId="109581C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第1.1.1.5目不适用。</w:t>
      </w:r>
    </w:p>
    <w:p w14:paraId="2206478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第1.1.1.8目细化为：</w:t>
      </w:r>
    </w:p>
    <w:p w14:paraId="025FEF2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监理服务费用清单：指监理人投标文件中的监理服务费用清单。</w:t>
      </w:r>
    </w:p>
    <w:p w14:paraId="6C667008">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1.1.2 合同当事人和人员</w:t>
      </w:r>
    </w:p>
    <w:p w14:paraId="0ED3B0C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本项补充第1.1.2.7目至第1.1.2.9目：</w:t>
      </w:r>
    </w:p>
    <w:p w14:paraId="57AA3D6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1.1.2.7 监理机构：指由监理人在项目现场设立的履行监理职责的组织，包括总监理工程师办公室（简称总监办）及驻地监理工程师办公室（简称驻地办）。</w:t>
      </w:r>
    </w:p>
    <w:p w14:paraId="3365043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1.1.2.8 行政管理部门：指交通运输主管部门或对本工程依法享有行政监督权限的其他政府部门。</w:t>
      </w:r>
    </w:p>
    <w:p w14:paraId="4FEE626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1.1.2.9 第三方：指除委托人、监理人之外，与本工程建设有关的其他当事人（包括承包人）。</w:t>
      </w:r>
    </w:p>
    <w:p w14:paraId="3F20E4E6">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1.1.3 工程和监理</w:t>
      </w:r>
    </w:p>
    <w:p w14:paraId="7F9068B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第1.1.3.1目细化为：</w:t>
      </w:r>
    </w:p>
    <w:p w14:paraId="529DD4E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工程：指为完成项目所实施的一项或若干项永久或临时工程（包括向委托人提供的物资和设备），具体情况在项目专用合同条款中指明。</w:t>
      </w:r>
    </w:p>
    <w:p w14:paraId="670101F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第1.1.3.2目细化为：</w:t>
      </w:r>
    </w:p>
    <w:p w14:paraId="7A4017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服务：指监理人接受委托人的委托，依照法律、规范标准和监理合同等，对公路工程施工准备、施工、验收与缺陷责任期等阶段进行质量控制、进度控制、投资控制、合同管理、信息管理、组织协调和安全监理、环保监理的服务活动。</w:t>
      </w:r>
    </w:p>
    <w:p w14:paraId="0DE3D9B2">
      <w:pPr>
        <w:widowControl w:val="0"/>
        <w:autoSpaceDE w:val="0"/>
        <w:autoSpaceDN w:val="0"/>
        <w:adjustRightInd w:val="0"/>
        <w:spacing w:line="360" w:lineRule="auto"/>
        <w:outlineLvl w:val="4"/>
        <w:rPr>
          <w:rFonts w:hint="eastAsia" w:ascii="宋体"/>
          <w:b/>
          <w:color w:val="auto"/>
          <w:kern w:val="21"/>
          <w:sz w:val="24"/>
          <w:highlight w:val="none"/>
        </w:rPr>
      </w:pPr>
      <w:bookmarkStart w:id="308" w:name="_Toc493143919"/>
      <w:r>
        <w:rPr>
          <w:rFonts w:hint="eastAsia" w:ascii="宋体" w:hAnsi="宋体"/>
          <w:b/>
          <w:color w:val="auto"/>
          <w:kern w:val="21"/>
          <w:sz w:val="24"/>
          <w:highlight w:val="none"/>
        </w:rPr>
        <w:t>1.4 合同文件的优先顺序</w:t>
      </w:r>
    </w:p>
    <w:p w14:paraId="67FEB65D">
      <w:pPr>
        <w:widowControl w:val="0"/>
        <w:kinsoku w:val="0"/>
        <w:overflowPunct w:val="0"/>
        <w:autoSpaceDE w:val="0"/>
        <w:autoSpaceDN w:val="0"/>
        <w:adjustRightInd w:val="0"/>
        <w:spacing w:before="10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本款细化为：</w:t>
      </w:r>
    </w:p>
    <w:p w14:paraId="320F2BD5">
      <w:pPr>
        <w:widowControl w:val="0"/>
        <w:kinsoku w:val="0"/>
        <w:overflowPunct w:val="0"/>
        <w:autoSpaceDE w:val="0"/>
        <w:autoSpaceDN w:val="0"/>
        <w:adjustRightInd w:val="0"/>
        <w:spacing w:before="132" w:line="350" w:lineRule="auto"/>
        <w:ind w:left="144" w:right="97"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组成合同的各项文件应互相解释，互为说明。除项目专用合同条款另有约定外，解释合同文件的优先顺序如下：</w:t>
      </w:r>
    </w:p>
    <w:p w14:paraId="6DE7B27D">
      <w:pPr>
        <w:widowControl w:val="0"/>
        <w:kinsoku w:val="0"/>
        <w:overflowPunct w:val="0"/>
        <w:autoSpaceDE w:val="0"/>
        <w:autoSpaceDN w:val="0"/>
        <w:adjustRightInd w:val="0"/>
        <w:spacing w:before="31"/>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（1）合同协议书及各种合同附件；</w:t>
      </w:r>
    </w:p>
    <w:p w14:paraId="30D4839F">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（2）中标通知书；</w:t>
      </w:r>
    </w:p>
    <w:p w14:paraId="6D2AE963">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（3）投标函；</w:t>
      </w:r>
    </w:p>
    <w:p w14:paraId="19C50117">
      <w:pPr>
        <w:widowControl w:val="0"/>
        <w:kinsoku w:val="0"/>
        <w:overflowPunct w:val="0"/>
        <w:autoSpaceDE w:val="0"/>
        <w:autoSpaceDN w:val="0"/>
        <w:adjustRightInd w:val="0"/>
        <w:spacing w:before="116"/>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（4）项目专用合同条款；</w:t>
      </w:r>
    </w:p>
    <w:p w14:paraId="3F22F153">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（5）公路工程专用合同条款；</w:t>
      </w:r>
    </w:p>
    <w:p w14:paraId="66C62F97">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（6）通用合同条款；</w:t>
      </w:r>
    </w:p>
    <w:p w14:paraId="2E4683B1">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（7）委托人要求；</w:t>
      </w:r>
    </w:p>
    <w:p w14:paraId="57A5A6BE">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（8）监理服务费用清单；</w:t>
      </w:r>
    </w:p>
    <w:p w14:paraId="488BF0D7">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（9）监理人有关人员、试验检测设备投入的承诺；</w:t>
      </w:r>
    </w:p>
    <w:p w14:paraId="48AC4AF0">
      <w:pPr>
        <w:widowControl w:val="0"/>
        <w:kinsoku w:val="0"/>
        <w:overflowPunct w:val="0"/>
        <w:autoSpaceDE w:val="0"/>
        <w:autoSpaceDN w:val="0"/>
        <w:adjustRightInd w:val="0"/>
        <w:spacing w:before="115"/>
        <w:ind w:left="58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（10）其他合同文件。</w:t>
      </w:r>
    </w:p>
    <w:p w14:paraId="5EE2C146">
      <w:pPr>
        <w:keepNext w:val="0"/>
        <w:keepLines w:val="0"/>
        <w:pageBreakBefore w:val="0"/>
        <w:widowControl w:val="0"/>
        <w:kinsoku w:val="0"/>
        <w:wordWrap/>
        <w:overflowPunct w:val="0"/>
        <w:topLinePunct w:val="0"/>
        <w:autoSpaceDE w:val="0"/>
        <w:autoSpaceDN w:val="0"/>
        <w:bidi w:val="0"/>
        <w:adjustRightInd w:val="0"/>
        <w:snapToGrid/>
        <w:spacing w:before="115" w:line="360" w:lineRule="auto"/>
        <w:ind w:left="584"/>
        <w:textAlignment w:val="auto"/>
        <w:rPr>
          <w:rFonts w:hint="eastAsia" w:ascii="宋体" w:hAnsi="宋体" w:eastAsia="宋体" w:cs="宋体"/>
          <w:color w:val="auto"/>
          <w:kern w:val="21"/>
          <w:sz w:val="24"/>
          <w:szCs w:val="24"/>
          <w:highlight w:val="none"/>
        </w:rPr>
      </w:pPr>
      <w:r>
        <w:rPr>
          <w:rFonts w:hint="eastAsia" w:ascii="宋体" w:hAnsi="宋体" w:eastAsia="宋体" w:cs="宋体"/>
          <w:color w:val="auto"/>
          <w:sz w:val="24"/>
          <w:szCs w:val="24"/>
          <w:highlight w:val="none"/>
        </w:rPr>
        <w:t>合同当事人针对各类合同文件所作出的补充和修改亦属于合同文件的组成部分，属于同一类内容的文件，应以最新签署的为准。</w:t>
      </w:r>
    </w:p>
    <w:p w14:paraId="04B43C2A">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0C14F8F4">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b/>
          <w:color w:val="auto"/>
          <w:kern w:val="21"/>
          <w:sz w:val="24"/>
          <w:highlight w:val="none"/>
        </w:rPr>
        <w:t>1.6 文件的提供和照管</w:t>
      </w:r>
    </w:p>
    <w:p w14:paraId="18C4DB8E">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1.6.1 监理文件的提供</w:t>
      </w:r>
    </w:p>
    <w:p w14:paraId="52AACEA3">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本项细化为：</w:t>
      </w:r>
    </w:p>
    <w:p w14:paraId="08F97EE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在合理的期限内按照国家、公路行业现行标准、规范、规定，《公路工程施工监理规范》及施工承包合同约定向委托人提供监理文件。合同约定监理文件应经委托人批复的，委托人应当在合同约定的期限内批复或提出修改意见。</w:t>
      </w:r>
    </w:p>
    <w:p w14:paraId="7199E3EC">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1.6.2 委托人提供的文件</w:t>
      </w:r>
    </w:p>
    <w:p w14:paraId="1AA2F6A0">
      <w:pPr>
        <w:widowControl w:val="0"/>
        <w:numPr>
          <w:ilvl w:val="2"/>
          <w:numId w:val="3"/>
        </w:numPr>
        <w:tabs>
          <w:tab w:val="left" w:pos="1136"/>
        </w:tabs>
        <w:kinsoku w:val="0"/>
        <w:overflowPunct w:val="0"/>
        <w:autoSpaceDE w:val="0"/>
        <w:autoSpaceDN w:val="0"/>
        <w:adjustRightInd w:val="0"/>
        <w:spacing w:before="31" w:line="331" w:lineRule="auto"/>
        <w:ind w:left="583" w:right="6047" w:firstLine="0"/>
        <w:rPr>
          <w:rFonts w:hint="eastAsia" w:ascii="宋体" w:hAnsi="宋体"/>
          <w:color w:val="auto"/>
          <w:spacing w:val="-3"/>
          <w:sz w:val="22"/>
          <w:szCs w:val="24"/>
          <w:highlight w:val="none"/>
        </w:rPr>
      </w:pPr>
      <w:r>
        <w:rPr>
          <w:rFonts w:hint="eastAsia" w:ascii="宋体" w:hAnsi="宋体"/>
          <w:color w:val="auto"/>
          <w:spacing w:val="-3"/>
          <w:sz w:val="22"/>
          <w:szCs w:val="24"/>
          <w:highlight w:val="none"/>
        </w:rPr>
        <w:t>本项细化为：</w:t>
      </w:r>
    </w:p>
    <w:p w14:paraId="0117BECF">
      <w:pPr>
        <w:widowControl w:val="0"/>
        <w:kinsoku w:val="0"/>
        <w:overflowPunct w:val="0"/>
        <w:autoSpaceDE w:val="0"/>
        <w:autoSpaceDN w:val="0"/>
        <w:adjustRightInd w:val="0"/>
        <w:spacing w:before="48"/>
        <w:ind w:left="583"/>
        <w:rPr>
          <w:rFonts w:eastAsia="Times New Roman"/>
          <w:color w:val="auto"/>
          <w:sz w:val="22"/>
          <w:szCs w:val="24"/>
          <w:highlight w:val="none"/>
        </w:rPr>
      </w:pPr>
      <w:r>
        <w:rPr>
          <w:rFonts w:hint="eastAsia" w:ascii="宋体" w:hAnsi="宋体"/>
          <w:color w:val="auto"/>
          <w:sz w:val="22"/>
          <w:szCs w:val="24"/>
          <w:highlight w:val="none"/>
        </w:rPr>
        <w:t xml:space="preserve">除项目专用合同条款另有约定外，委托人应在监理合同生效且取得相关文件、资料后 </w:t>
      </w:r>
      <w:r>
        <w:rPr>
          <w:rFonts w:eastAsia="Times New Roman"/>
          <w:color w:val="auto"/>
          <w:sz w:val="22"/>
          <w:szCs w:val="24"/>
          <w:highlight w:val="none"/>
        </w:rPr>
        <w:t>7</w:t>
      </w:r>
    </w:p>
    <w:p w14:paraId="54D116A5">
      <w:pPr>
        <w:widowControl w:val="0"/>
        <w:kinsoku w:val="0"/>
        <w:overflowPunct w:val="0"/>
        <w:autoSpaceDE w:val="0"/>
        <w:autoSpaceDN w:val="0"/>
        <w:adjustRightInd w:val="0"/>
        <w:spacing w:before="115"/>
        <w:ind w:left="144"/>
        <w:rPr>
          <w:rFonts w:hint="eastAsia" w:ascii="宋体" w:hAnsi="宋体"/>
          <w:color w:val="auto"/>
          <w:sz w:val="22"/>
          <w:szCs w:val="24"/>
          <w:highlight w:val="none"/>
        </w:rPr>
      </w:pPr>
      <w:r>
        <w:rPr>
          <w:rFonts w:hint="eastAsia" w:ascii="宋体" w:hAnsi="宋体"/>
          <w:color w:val="auto"/>
          <w:sz w:val="22"/>
          <w:szCs w:val="24"/>
          <w:highlight w:val="none"/>
        </w:rPr>
        <w:t>天内，向监理人免费提供下述文件、资料：</w:t>
      </w:r>
    </w:p>
    <w:p w14:paraId="7E5E5D31">
      <w:pPr>
        <w:widowControl w:val="0"/>
        <w:kinsoku w:val="0"/>
        <w:overflowPunct w:val="0"/>
        <w:autoSpaceDE w:val="0"/>
        <w:autoSpaceDN w:val="0"/>
        <w:adjustRightInd w:val="0"/>
        <w:spacing w:before="131"/>
        <w:ind w:left="583"/>
        <w:rPr>
          <w:rFonts w:hint="eastAsia" w:ascii="宋体" w:hAnsi="宋体"/>
          <w:color w:val="auto"/>
          <w:sz w:val="22"/>
          <w:szCs w:val="24"/>
          <w:highlight w:val="none"/>
        </w:rPr>
      </w:pPr>
      <w:r>
        <w:rPr>
          <w:rFonts w:hint="eastAsia" w:ascii="宋体" w:hAnsi="宋体"/>
          <w:color w:val="auto"/>
          <w:sz w:val="22"/>
          <w:szCs w:val="24"/>
          <w:highlight w:val="none"/>
        </w:rPr>
        <w:t>（</w:t>
      </w:r>
      <w:r>
        <w:rPr>
          <w:rFonts w:eastAsia="Times New Roman"/>
          <w:color w:val="auto"/>
          <w:sz w:val="22"/>
          <w:szCs w:val="24"/>
          <w:highlight w:val="none"/>
        </w:rPr>
        <w:t>1</w:t>
      </w:r>
      <w:r>
        <w:rPr>
          <w:rFonts w:hint="eastAsia" w:ascii="宋体" w:hAnsi="宋体"/>
          <w:color w:val="auto"/>
          <w:sz w:val="22"/>
          <w:szCs w:val="24"/>
          <w:highlight w:val="none"/>
        </w:rPr>
        <w:t xml:space="preserve">）委托人与承包人签订的施工承包合同 </w:t>
      </w:r>
      <w:r>
        <w:rPr>
          <w:rFonts w:eastAsia="Times New Roman"/>
          <w:color w:val="auto"/>
          <w:sz w:val="22"/>
          <w:szCs w:val="24"/>
          <w:highlight w:val="none"/>
        </w:rPr>
        <w:t xml:space="preserve">1 </w:t>
      </w:r>
      <w:r>
        <w:rPr>
          <w:rFonts w:hint="eastAsia" w:ascii="宋体" w:hAnsi="宋体"/>
          <w:color w:val="auto"/>
          <w:sz w:val="22"/>
          <w:szCs w:val="24"/>
          <w:highlight w:val="none"/>
        </w:rPr>
        <w:t>份。</w:t>
      </w:r>
    </w:p>
    <w:p w14:paraId="0C201539">
      <w:pPr>
        <w:widowControl w:val="0"/>
        <w:kinsoku w:val="0"/>
        <w:overflowPunct w:val="0"/>
        <w:autoSpaceDE w:val="0"/>
        <w:autoSpaceDN w:val="0"/>
        <w:adjustRightInd w:val="0"/>
        <w:spacing w:before="115"/>
        <w:ind w:left="583"/>
        <w:rPr>
          <w:rFonts w:hint="eastAsia" w:ascii="宋体" w:hAnsi="宋体"/>
          <w:color w:val="auto"/>
          <w:sz w:val="22"/>
          <w:szCs w:val="24"/>
          <w:highlight w:val="none"/>
        </w:rPr>
      </w:pPr>
      <w:r>
        <w:rPr>
          <w:rFonts w:hint="eastAsia" w:ascii="宋体" w:hAnsi="宋体"/>
          <w:color w:val="auto"/>
          <w:sz w:val="22"/>
          <w:szCs w:val="24"/>
          <w:highlight w:val="none"/>
        </w:rPr>
        <w:t>（</w:t>
      </w:r>
      <w:r>
        <w:rPr>
          <w:rFonts w:eastAsia="Times New Roman"/>
          <w:color w:val="auto"/>
          <w:sz w:val="22"/>
          <w:szCs w:val="24"/>
          <w:highlight w:val="none"/>
        </w:rPr>
        <w:t>2</w:t>
      </w:r>
      <w:r>
        <w:rPr>
          <w:rFonts w:hint="eastAsia" w:ascii="宋体" w:hAnsi="宋体"/>
          <w:color w:val="auto"/>
          <w:sz w:val="22"/>
          <w:szCs w:val="24"/>
          <w:highlight w:val="none"/>
        </w:rPr>
        <w:t xml:space="preserve">）委托人与承包人共同确认的已标价的工程量清单及其说明 </w:t>
      </w:r>
      <w:r>
        <w:rPr>
          <w:rFonts w:eastAsia="Times New Roman"/>
          <w:color w:val="auto"/>
          <w:sz w:val="22"/>
          <w:szCs w:val="24"/>
          <w:highlight w:val="none"/>
        </w:rPr>
        <w:t xml:space="preserve">1 </w:t>
      </w:r>
      <w:r>
        <w:rPr>
          <w:rFonts w:hint="eastAsia" w:ascii="宋体" w:hAnsi="宋体"/>
          <w:color w:val="auto"/>
          <w:sz w:val="22"/>
          <w:szCs w:val="24"/>
          <w:highlight w:val="none"/>
        </w:rPr>
        <w:t>份。</w:t>
      </w:r>
    </w:p>
    <w:p w14:paraId="6E1FA365">
      <w:pPr>
        <w:widowControl w:val="0"/>
        <w:kinsoku w:val="0"/>
        <w:overflowPunct w:val="0"/>
        <w:autoSpaceDE w:val="0"/>
        <w:autoSpaceDN w:val="0"/>
        <w:adjustRightInd w:val="0"/>
        <w:spacing w:before="115"/>
        <w:ind w:left="583"/>
        <w:rPr>
          <w:rFonts w:hint="eastAsia" w:ascii="宋体" w:hAnsi="宋体"/>
          <w:color w:val="auto"/>
          <w:sz w:val="22"/>
          <w:szCs w:val="24"/>
          <w:highlight w:val="none"/>
        </w:rPr>
      </w:pPr>
      <w:r>
        <w:rPr>
          <w:rFonts w:hint="eastAsia" w:ascii="宋体" w:hAnsi="宋体"/>
          <w:color w:val="auto"/>
          <w:sz w:val="22"/>
          <w:szCs w:val="24"/>
          <w:highlight w:val="none"/>
        </w:rPr>
        <w:t>（</w:t>
      </w:r>
      <w:r>
        <w:rPr>
          <w:rFonts w:eastAsia="Times New Roman"/>
          <w:color w:val="auto"/>
          <w:sz w:val="22"/>
          <w:szCs w:val="24"/>
          <w:highlight w:val="none"/>
        </w:rPr>
        <w:t>3</w:t>
      </w:r>
      <w:r>
        <w:rPr>
          <w:rFonts w:hint="eastAsia" w:ascii="宋体" w:hAnsi="宋体"/>
          <w:color w:val="auto"/>
          <w:sz w:val="22"/>
          <w:szCs w:val="24"/>
          <w:highlight w:val="none"/>
        </w:rPr>
        <w:t xml:space="preserve">）合同图纸和相关的标准图纸及说明 </w:t>
      </w:r>
      <w:r>
        <w:rPr>
          <w:rFonts w:eastAsia="Times New Roman"/>
          <w:color w:val="auto"/>
          <w:sz w:val="22"/>
          <w:szCs w:val="24"/>
          <w:highlight w:val="none"/>
        </w:rPr>
        <w:t xml:space="preserve">1 </w:t>
      </w:r>
      <w:r>
        <w:rPr>
          <w:rFonts w:hint="eastAsia" w:ascii="宋体" w:hAnsi="宋体"/>
          <w:color w:val="auto"/>
          <w:sz w:val="22"/>
          <w:szCs w:val="24"/>
          <w:highlight w:val="none"/>
        </w:rPr>
        <w:t>套。</w:t>
      </w:r>
    </w:p>
    <w:p w14:paraId="4A9C0162">
      <w:pPr>
        <w:widowControl w:val="0"/>
        <w:kinsoku w:val="0"/>
        <w:overflowPunct w:val="0"/>
        <w:autoSpaceDE w:val="0"/>
        <w:autoSpaceDN w:val="0"/>
        <w:adjustRightInd w:val="0"/>
        <w:spacing w:before="115"/>
        <w:ind w:left="583"/>
        <w:rPr>
          <w:rFonts w:hint="eastAsia" w:ascii="宋体" w:hAnsi="宋体"/>
          <w:color w:val="auto"/>
          <w:sz w:val="22"/>
          <w:szCs w:val="24"/>
          <w:highlight w:val="none"/>
        </w:rPr>
      </w:pPr>
      <w:r>
        <w:rPr>
          <w:rFonts w:hint="eastAsia" w:ascii="宋体" w:hAnsi="宋体"/>
          <w:color w:val="auto"/>
          <w:sz w:val="22"/>
          <w:szCs w:val="24"/>
          <w:highlight w:val="none"/>
        </w:rPr>
        <w:t>（</w:t>
      </w:r>
      <w:r>
        <w:rPr>
          <w:rFonts w:eastAsia="Times New Roman"/>
          <w:color w:val="auto"/>
          <w:sz w:val="22"/>
          <w:szCs w:val="24"/>
          <w:highlight w:val="none"/>
        </w:rPr>
        <w:t>4</w:t>
      </w:r>
      <w:r>
        <w:rPr>
          <w:rFonts w:hint="eastAsia" w:ascii="宋体" w:hAnsi="宋体"/>
          <w:color w:val="auto"/>
          <w:sz w:val="22"/>
          <w:szCs w:val="24"/>
          <w:highlight w:val="none"/>
        </w:rPr>
        <w:t xml:space="preserve">）合同指定使用的技术规范、检验评定标准、操作规程 </w:t>
      </w:r>
      <w:r>
        <w:rPr>
          <w:rFonts w:eastAsia="Times New Roman"/>
          <w:color w:val="auto"/>
          <w:sz w:val="22"/>
          <w:szCs w:val="24"/>
          <w:highlight w:val="none"/>
        </w:rPr>
        <w:t xml:space="preserve">1 </w:t>
      </w:r>
      <w:r>
        <w:rPr>
          <w:rFonts w:hint="eastAsia" w:ascii="宋体" w:hAnsi="宋体"/>
          <w:color w:val="auto"/>
          <w:sz w:val="22"/>
          <w:szCs w:val="24"/>
          <w:highlight w:val="none"/>
        </w:rPr>
        <w:t>套。</w:t>
      </w:r>
    </w:p>
    <w:p w14:paraId="1E253B61">
      <w:pPr>
        <w:widowControl w:val="0"/>
        <w:kinsoku w:val="0"/>
        <w:overflowPunct w:val="0"/>
        <w:autoSpaceDE w:val="0"/>
        <w:autoSpaceDN w:val="0"/>
        <w:adjustRightInd w:val="0"/>
        <w:spacing w:before="115"/>
        <w:ind w:left="583"/>
        <w:rPr>
          <w:rFonts w:hint="eastAsia" w:ascii="宋体" w:hAnsi="宋体"/>
          <w:color w:val="auto"/>
          <w:sz w:val="22"/>
          <w:szCs w:val="24"/>
          <w:highlight w:val="none"/>
        </w:rPr>
      </w:pPr>
      <w:r>
        <w:rPr>
          <w:rFonts w:hint="eastAsia" w:ascii="宋体" w:hAnsi="宋体"/>
          <w:color w:val="auto"/>
          <w:sz w:val="22"/>
          <w:szCs w:val="24"/>
          <w:highlight w:val="none"/>
        </w:rPr>
        <w:t>（</w:t>
      </w:r>
      <w:r>
        <w:rPr>
          <w:rFonts w:eastAsia="Times New Roman"/>
          <w:color w:val="auto"/>
          <w:sz w:val="22"/>
          <w:szCs w:val="24"/>
          <w:highlight w:val="none"/>
        </w:rPr>
        <w:t>5</w:t>
      </w:r>
      <w:r>
        <w:rPr>
          <w:rFonts w:hint="eastAsia" w:ascii="宋体" w:hAnsi="宋体"/>
          <w:color w:val="auto"/>
          <w:sz w:val="22"/>
          <w:szCs w:val="24"/>
          <w:highlight w:val="none"/>
        </w:rPr>
        <w:t>）其他相关资料。</w:t>
      </w:r>
    </w:p>
    <w:p w14:paraId="7DFF0B4C">
      <w:pPr>
        <w:keepNext w:val="0"/>
        <w:keepLines w:val="0"/>
        <w:pageBreakBefore w:val="0"/>
        <w:widowControl w:val="0"/>
        <w:kinsoku/>
        <w:wordWrap/>
        <w:overflowPunct/>
        <w:topLinePunct w:val="0"/>
        <w:autoSpaceDE w:val="0"/>
        <w:autoSpaceDN w:val="0"/>
        <w:bidi w:val="0"/>
        <w:adjustRightInd w:val="0"/>
        <w:snapToGrid/>
        <w:spacing w:before="0" w:beforeLines="50" w:line="360" w:lineRule="auto"/>
        <w:ind w:firstLine="440" w:firstLineChars="200"/>
        <w:textAlignment w:val="auto"/>
        <w:rPr>
          <w:rFonts w:hint="eastAsia" w:ascii="宋体"/>
          <w:color w:val="auto"/>
          <w:kern w:val="21"/>
          <w:sz w:val="24"/>
          <w:highlight w:val="none"/>
        </w:rPr>
      </w:pPr>
      <w:r>
        <w:rPr>
          <w:rFonts w:hint="eastAsia" w:ascii="宋体" w:hAnsi="宋体"/>
          <w:color w:val="auto"/>
          <w:sz w:val="22"/>
          <w:szCs w:val="24"/>
          <w:highlight w:val="none"/>
        </w:rPr>
        <w:t xml:space="preserve">由于委托人未按时提供文件造成监理服务期限延误的，按第 </w:t>
      </w:r>
      <w:r>
        <w:rPr>
          <w:rFonts w:eastAsia="Times New Roman"/>
          <w:color w:val="auto"/>
          <w:sz w:val="22"/>
          <w:szCs w:val="24"/>
          <w:highlight w:val="none"/>
        </w:rPr>
        <w:t xml:space="preserve">6.2 </w:t>
      </w:r>
      <w:r>
        <w:rPr>
          <w:rFonts w:hint="eastAsia" w:ascii="宋体" w:hAnsi="宋体"/>
          <w:color w:val="auto"/>
          <w:sz w:val="22"/>
          <w:szCs w:val="24"/>
          <w:highlight w:val="none"/>
        </w:rPr>
        <w:t>款约定执行。</w:t>
      </w:r>
    </w:p>
    <w:bookmarkEnd w:id="308"/>
    <w:p w14:paraId="3B7AFC73">
      <w:pPr>
        <w:widowControl w:val="0"/>
        <w:autoSpaceDE w:val="0"/>
        <w:autoSpaceDN w:val="0"/>
        <w:adjustRightInd w:val="0"/>
        <w:spacing w:line="360" w:lineRule="auto"/>
        <w:outlineLvl w:val="4"/>
        <w:rPr>
          <w:rFonts w:hint="eastAsia" w:ascii="宋体"/>
          <w:b/>
          <w:color w:val="auto"/>
          <w:kern w:val="21"/>
          <w:sz w:val="24"/>
          <w:highlight w:val="none"/>
        </w:rPr>
      </w:pPr>
      <w:bookmarkStart w:id="309" w:name="_Toc493143920"/>
      <w:r>
        <w:rPr>
          <w:rFonts w:hint="eastAsia" w:ascii="宋体" w:hAnsi="宋体"/>
          <w:b/>
          <w:color w:val="auto"/>
          <w:kern w:val="21"/>
          <w:sz w:val="24"/>
          <w:highlight w:val="none"/>
        </w:rPr>
        <w:t>1.8 转让和分包</w:t>
      </w:r>
    </w:p>
    <w:p w14:paraId="1908DCE4">
      <w:pPr>
        <w:widowControl w:val="0"/>
        <w:autoSpaceDE w:val="0"/>
        <w:autoSpaceDN w:val="0"/>
        <w:adjustRightInd w:val="0"/>
        <w:spacing w:line="360" w:lineRule="auto"/>
        <w:ind w:firstLine="480" w:firstLineChars="200"/>
        <w:rPr>
          <w:rFonts w:hint="eastAsia" w:ascii="宋体" w:hAnsi="宋体"/>
          <w:b/>
          <w:color w:val="auto"/>
          <w:kern w:val="21"/>
          <w:sz w:val="24"/>
          <w:highlight w:val="none"/>
        </w:rPr>
      </w:pPr>
      <w:r>
        <w:rPr>
          <w:rFonts w:hint="eastAsia" w:ascii="宋体" w:hAnsi="宋体"/>
          <w:bCs/>
          <w:color w:val="auto"/>
          <w:kern w:val="21"/>
          <w:sz w:val="24"/>
          <w:highlight w:val="none"/>
        </w:rPr>
        <w:t>本款细化为：</w:t>
      </w:r>
    </w:p>
    <w:p w14:paraId="4099A45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1.8.1 </w:t>
      </w:r>
      <w:r>
        <w:rPr>
          <w:rFonts w:hint="eastAsia" w:ascii="宋体" w:hAnsi="宋体"/>
          <w:color w:val="auto"/>
          <w:kern w:val="21"/>
          <w:sz w:val="24"/>
          <w:highlight w:val="none"/>
        </w:rPr>
        <w:t>除项目专用合同条款另有约定外，未经对方当事人同意，一方当事人不得将合同权利全部或部分转让给第三人，也不得全部或部分转移合同义务。</w:t>
      </w:r>
    </w:p>
    <w:p w14:paraId="61CBF6C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1.8.2 </w:t>
      </w:r>
      <w:r>
        <w:rPr>
          <w:rFonts w:hint="eastAsia" w:ascii="宋体" w:hAnsi="宋体"/>
          <w:color w:val="auto"/>
          <w:kern w:val="21"/>
          <w:sz w:val="24"/>
          <w:highlight w:val="none"/>
        </w:rPr>
        <w:t>监理人不得将监理服务的任何部分分包。监理人因监理服务的需要，聘用专业技术人员和辅助工作人员不属于分包。</w:t>
      </w:r>
    </w:p>
    <w:p w14:paraId="32C79AD0">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3A8DC5F5">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1.10 知识产权</w:t>
      </w:r>
    </w:p>
    <w:p w14:paraId="0BDE4924">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本款补充第 1.10.4 项：</w:t>
      </w:r>
    </w:p>
    <w:p w14:paraId="3C42C73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1.10.4 除项目专用合同条款另有约定外，监理人有权出版与本项目或本工程监理服务有关的资料。但未经委托人同意，上述出版物中不得涉及委托人的专利、专有技术以及经济情报。</w:t>
      </w:r>
    </w:p>
    <w:p w14:paraId="3D122CBB">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492F6863">
      <w:pPr>
        <w:widowControl w:val="0"/>
        <w:autoSpaceDE w:val="0"/>
        <w:autoSpaceDN w:val="0"/>
        <w:adjustRightInd w:val="0"/>
        <w:spacing w:line="360" w:lineRule="auto"/>
        <w:ind w:firstLine="480" w:firstLineChars="200"/>
        <w:outlineLvl w:val="4"/>
        <w:rPr>
          <w:rFonts w:hint="eastAsia" w:ascii="宋体"/>
          <w:color w:val="auto"/>
          <w:kern w:val="21"/>
          <w:sz w:val="24"/>
          <w:highlight w:val="none"/>
        </w:rPr>
      </w:pPr>
      <w:r>
        <w:rPr>
          <w:rFonts w:hint="eastAsia" w:ascii="宋体" w:hAnsi="宋体"/>
          <w:color w:val="auto"/>
          <w:kern w:val="21"/>
          <w:sz w:val="24"/>
          <w:highlight w:val="none"/>
        </w:rPr>
        <w:t>本条补充第 1.13 款：</w:t>
      </w:r>
    </w:p>
    <w:p w14:paraId="4D343C30">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1.13 避免利益冲突</w:t>
      </w:r>
    </w:p>
    <w:p w14:paraId="23B6FB0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未经委托人书面同意，监理人不得获取本监理合同约定以外的与本工程有关的任何利益，不得参与与本监理合同约定的委托人利益相冲突的任何活动。</w:t>
      </w:r>
    </w:p>
    <w:p w14:paraId="55FEE518">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4886D05F">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10" w:name="_Toc503518014"/>
      <w:r>
        <w:rPr>
          <w:rFonts w:hint="eastAsia" w:ascii="宋体" w:hAnsi="宋体"/>
          <w:b/>
          <w:color w:val="auto"/>
          <w:kern w:val="21"/>
          <w:sz w:val="28"/>
          <w:highlight w:val="none"/>
        </w:rPr>
        <w:t>2. 委托人义务</w:t>
      </w:r>
      <w:bookmarkEnd w:id="310"/>
    </w:p>
    <w:p w14:paraId="2D0C2BF8">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color w:val="auto"/>
          <w:kern w:val="21"/>
          <w:sz w:val="24"/>
          <w:highlight w:val="none"/>
        </w:rPr>
        <w:t>本条补充第 2.7 款至第 2.10 款：</w:t>
      </w:r>
    </w:p>
    <w:p w14:paraId="487C38DC">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2.7 协助</w:t>
      </w:r>
    </w:p>
    <w:p w14:paraId="0829BF9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委托人在工程所在地向监理人提供进驻现场的相关条件，解决非监理人原因而发生意外事件时，监理工作人员的撤场和相关事宜；并避免监理人根据监理合同提供监理服务而导致的第三方收费（不含税金）。</w:t>
      </w:r>
    </w:p>
    <w:p w14:paraId="035F4A8D">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0BBEE891">
      <w:pPr>
        <w:widowControl w:val="0"/>
        <w:autoSpaceDE w:val="0"/>
        <w:autoSpaceDN w:val="0"/>
        <w:adjustRightInd w:val="0"/>
        <w:spacing w:line="360" w:lineRule="auto"/>
        <w:outlineLvl w:val="4"/>
        <w:rPr>
          <w:rFonts w:hint="eastAsia" w:ascii="宋体"/>
          <w:b/>
          <w:color w:val="auto"/>
          <w:kern w:val="21"/>
          <w:sz w:val="24"/>
          <w:highlight w:val="none"/>
        </w:rPr>
      </w:pPr>
      <w:bookmarkStart w:id="311" w:name="_Toc493143930"/>
      <w:r>
        <w:rPr>
          <w:rFonts w:hint="eastAsia" w:ascii="宋体" w:hAnsi="宋体"/>
          <w:b/>
          <w:color w:val="auto"/>
          <w:kern w:val="21"/>
          <w:sz w:val="24"/>
          <w:highlight w:val="none"/>
        </w:rPr>
        <w:t>2.8 授权通知</w:t>
      </w:r>
    </w:p>
    <w:p w14:paraId="23A2A06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委托人必须将履行监理服务的监理人及委托人授予监理人的权力，及时用书面形式通知第三方。</w:t>
      </w:r>
    </w:p>
    <w:p w14:paraId="3A0225EC">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9049C46">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2.9 委托人指令的下达</w:t>
      </w:r>
    </w:p>
    <w:p w14:paraId="7448F4D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委托人在本合同约定的服务范围内对承包人的任何意见或要求，应通过监理人向承包人提出。</w:t>
      </w:r>
    </w:p>
    <w:p w14:paraId="46840347">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0E0DF740">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2.10 保障</w:t>
      </w:r>
    </w:p>
    <w:p w14:paraId="3455E02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在监理人不违反有关法律、法规的前提下，委托人应保障监理人免受因履行本监理合同而引起的外界索赔或干扰。</w:t>
      </w:r>
    </w:p>
    <w:p w14:paraId="79A4BDBF">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148E87FD">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12" w:name="_Toc503518015"/>
      <w:r>
        <w:rPr>
          <w:rFonts w:hint="eastAsia" w:ascii="宋体" w:hAnsi="宋体"/>
          <w:b/>
          <w:color w:val="auto"/>
          <w:kern w:val="21"/>
          <w:sz w:val="28"/>
          <w:highlight w:val="none"/>
        </w:rPr>
        <w:t>3. 委托人管理</w:t>
      </w:r>
      <w:bookmarkEnd w:id="312"/>
    </w:p>
    <w:p w14:paraId="5ECBD307">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3.3 决定或答复</w:t>
      </w:r>
    </w:p>
    <w:p w14:paraId="3262A2E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第3.3.2项细化为：</w:t>
      </w:r>
    </w:p>
    <w:bookmarkEnd w:id="311"/>
    <w:p w14:paraId="0D3F8111">
      <w:pPr>
        <w:widowControl w:val="0"/>
        <w:autoSpaceDE w:val="0"/>
        <w:autoSpaceDN w:val="0"/>
        <w:adjustRightInd w:val="0"/>
        <w:spacing w:line="360" w:lineRule="auto"/>
        <w:ind w:firstLine="480" w:firstLineChars="200"/>
        <w:rPr>
          <w:rFonts w:hint="eastAsia" w:ascii="宋体"/>
          <w:color w:val="auto"/>
          <w:kern w:val="21"/>
          <w:sz w:val="24"/>
          <w:highlight w:val="none"/>
        </w:rPr>
      </w:pPr>
      <w:bookmarkStart w:id="313" w:name="_Toc493143931"/>
      <w:r>
        <w:rPr>
          <w:rFonts w:hint="eastAsia" w:ascii="宋体" w:hAnsi="宋体"/>
          <w:color w:val="auto"/>
          <w:kern w:val="21"/>
          <w:sz w:val="24"/>
          <w:highlight w:val="none"/>
        </w:rPr>
        <w:t>委托人对监理人关于本工程的工期、质量、投资、合约和安全等问题提出的请示应及时作出书面答复。除项目专用合同条款另有约定外，对上述请示给予书面答复的期限，自收到书面请示之日起最长不超过 7 天，重大问题不得超过 28 天。逾期没有作出答复的，视为已获得委托人的批准。</w:t>
      </w:r>
    </w:p>
    <w:bookmarkEnd w:id="313"/>
    <w:p w14:paraId="263ABB4C">
      <w:pPr>
        <w:widowControl w:val="0"/>
        <w:autoSpaceDE w:val="0"/>
        <w:autoSpaceDN w:val="0"/>
        <w:adjustRightInd w:val="0"/>
        <w:spacing w:line="360" w:lineRule="auto"/>
        <w:ind w:firstLine="480" w:firstLineChars="200"/>
        <w:rPr>
          <w:rFonts w:hint="eastAsia" w:ascii="宋体"/>
          <w:color w:val="auto"/>
          <w:kern w:val="21"/>
          <w:sz w:val="24"/>
          <w:highlight w:val="none"/>
        </w:rPr>
      </w:pPr>
      <w:bookmarkStart w:id="314" w:name="_Toc493143932"/>
    </w:p>
    <w:bookmarkEnd w:id="314"/>
    <w:p w14:paraId="5A9058C6">
      <w:pPr>
        <w:widowControl w:val="0"/>
        <w:autoSpaceDE w:val="0"/>
        <w:autoSpaceDN w:val="0"/>
        <w:adjustRightInd w:val="0"/>
        <w:spacing w:before="240" w:beforeLines="100" w:after="120" w:afterLines="50" w:line="360" w:lineRule="auto"/>
        <w:outlineLvl w:val="3"/>
        <w:rPr>
          <w:rFonts w:hint="eastAsia" w:ascii="宋体"/>
          <w:color w:val="auto"/>
          <w:kern w:val="21"/>
          <w:sz w:val="24"/>
          <w:highlight w:val="none"/>
        </w:rPr>
      </w:pPr>
      <w:bookmarkStart w:id="315" w:name="_Toc503518016"/>
      <w:r>
        <w:rPr>
          <w:rFonts w:hint="eastAsia" w:ascii="宋体" w:hAnsi="宋体"/>
          <w:b/>
          <w:color w:val="auto"/>
          <w:kern w:val="21"/>
          <w:sz w:val="28"/>
          <w:highlight w:val="none"/>
        </w:rPr>
        <w:t>4. 监理人义务</w:t>
      </w:r>
      <w:bookmarkEnd w:id="315"/>
    </w:p>
    <w:p w14:paraId="40D1D8AC">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4.2 履约保证金</w:t>
      </w:r>
    </w:p>
    <w:p w14:paraId="0A34C036">
      <w:pPr>
        <w:widowControl w:val="0"/>
        <w:autoSpaceDE w:val="0"/>
        <w:autoSpaceDN w:val="0"/>
        <w:adjustRightInd w:val="0"/>
        <w:spacing w:line="360" w:lineRule="auto"/>
        <w:ind w:firstLine="480" w:firstLineChars="200"/>
        <w:rPr>
          <w:rFonts w:hint="eastAsia" w:ascii="宋体" w:hAnsi="宋体"/>
          <w:b/>
          <w:color w:val="auto"/>
          <w:kern w:val="21"/>
          <w:sz w:val="24"/>
          <w:highlight w:val="none"/>
        </w:rPr>
      </w:pPr>
      <w:r>
        <w:rPr>
          <w:rFonts w:hint="eastAsia" w:ascii="宋体" w:hAnsi="宋体"/>
          <w:bCs/>
          <w:color w:val="auto"/>
          <w:kern w:val="21"/>
          <w:sz w:val="24"/>
          <w:highlight w:val="none"/>
        </w:rPr>
        <w:t>本款细化为：</w:t>
      </w:r>
    </w:p>
    <w:p w14:paraId="4E6B58E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4.2.1</w:t>
      </w:r>
      <w:r>
        <w:rPr>
          <w:rFonts w:hint="eastAsia" w:ascii="宋体" w:hAnsi="宋体"/>
          <w:color w:val="auto"/>
          <w:kern w:val="21"/>
          <w:sz w:val="24"/>
          <w:highlight w:val="none"/>
        </w:rPr>
        <w:t xml:space="preserve"> 履约保证金自合同生效之日起生效。在签发合同工程交工证书后，监理人应按委托人要求的格式，以项目专用合同条款规定的额度向委托人提交缺陷责任期保函。委托人在收到监理人提交的缺陷责任期保函后 7 天内向监理人返还履约保证金。在签发工程缺陷责任终止证书后 14 天内，委托人向监理人返还缺陷责任期保函。</w:t>
      </w:r>
    </w:p>
    <w:p w14:paraId="08F1024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4.2.2</w:t>
      </w:r>
      <w:r>
        <w:rPr>
          <w:rFonts w:hint="eastAsia" w:ascii="宋体" w:hAnsi="宋体"/>
          <w:color w:val="auto"/>
          <w:kern w:val="21"/>
          <w:sz w:val="24"/>
          <w:highlight w:val="none"/>
        </w:rPr>
        <w:t xml:space="preserve"> 如果监理人不履行合同约定的义务或其履行不符合合同的约定，委托人有权扣划相应金额的履约保证金或缺陷责任期保函，但不影响监理人根据监理合同应当得到的其他款项的支付。</w:t>
      </w:r>
    </w:p>
    <w:p w14:paraId="370E0A4F">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05D4314E">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4.3 联合体</w:t>
      </w:r>
    </w:p>
    <w:p w14:paraId="3350D30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第4.3.3项细化为：</w:t>
      </w:r>
    </w:p>
    <w:p w14:paraId="78F37E6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联合体牵头人负责与委托人联系并接受指示，负责组织联合体各成员全面履行合同。委托人就本合同工程向联合体牵头人发布的任何指令、指示、通知等均对联合体其他成员具有同等效力。</w:t>
      </w:r>
    </w:p>
    <w:p w14:paraId="53D7543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补充第4.3.4项：</w:t>
      </w:r>
    </w:p>
    <w:p w14:paraId="50650B5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4.3.4</w:t>
      </w:r>
      <w:r>
        <w:rPr>
          <w:rFonts w:hint="eastAsia" w:ascii="宋体" w:hAnsi="宋体"/>
          <w:color w:val="auto"/>
          <w:kern w:val="21"/>
          <w:sz w:val="24"/>
          <w:highlight w:val="none"/>
        </w:rPr>
        <w:t xml:space="preserve"> 未经委托人同意，联合体的组成、结构与业务分工均不得变动。</w:t>
      </w:r>
    </w:p>
    <w:p w14:paraId="4486159C">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11AE4762">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4.4 总监理工程师</w:t>
      </w:r>
    </w:p>
    <w:p w14:paraId="36FD8C3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第4.4.1项细化为：</w:t>
      </w:r>
    </w:p>
    <w:p w14:paraId="1D441EE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按合同协议书的约定指派总监理工程师，并在约定的期限内到职。监理人更换总监理工程师应事先征得委托人同意，并应在更换14天前将拟更换的总监理工程师的姓名和详细资料提交委托人，拟更换的总监理工程师资历应不低于原总监理工程师。总监理工程师2天内不能履行职责的，应事先征得委托人同意，并委派代表代行其职责。</w:t>
      </w:r>
    </w:p>
    <w:p w14:paraId="17D24B3F">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1B9B2812">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4.5 监理人员的管理</w:t>
      </w:r>
    </w:p>
    <w:p w14:paraId="0EF16F4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第4.5.1项、4.5.2项细化为：</w:t>
      </w:r>
    </w:p>
    <w:p w14:paraId="764E5E7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4.5.1</w:t>
      </w:r>
      <w:r>
        <w:rPr>
          <w:rFonts w:hint="eastAsia" w:ascii="宋体" w:hAnsi="宋体"/>
          <w:color w:val="auto"/>
          <w:kern w:val="21"/>
          <w:sz w:val="24"/>
          <w:highlight w:val="none"/>
        </w:rPr>
        <w:t xml:space="preserve"> 监理人应在接到开始监理通知之日起7天内，向委托人提交监理项目机构以及人员安排的报告，其内容应包括项目机构设置、主要监理人员和其他人员的名单及资格条件。主要监理人员应常驻现场并相对稳定。更换主要监理人员的，应取得委托人的同意，并向委托人提交继任人员的资格、管理经验等资料，继任人员的资历应不低于原监理人员。总监理工程师的更换，应按照本章第4.4.1项规定执行。</w:t>
      </w:r>
    </w:p>
    <w:p w14:paraId="00EE0B9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4.5.2 </w:t>
      </w:r>
      <w:r>
        <w:rPr>
          <w:rFonts w:hint="eastAsia" w:ascii="宋体" w:hAnsi="宋体"/>
          <w:color w:val="auto"/>
          <w:kern w:val="21"/>
          <w:sz w:val="24"/>
          <w:highlight w:val="none"/>
        </w:rPr>
        <w:t>除项目专用合同条款另有约定外，主要监理人员包括总监理工程师、专业监理工程师等；其他人员包括各专业的监理员、试验员、资料员等。</w:t>
      </w:r>
    </w:p>
    <w:p w14:paraId="0EB751A6">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193093E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本条补充第 4.9 款：</w:t>
      </w:r>
    </w:p>
    <w:p w14:paraId="1D7320C2">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4.9 党建工作要求</w:t>
      </w:r>
    </w:p>
    <w:p w14:paraId="79B8C95A">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对于政府投资的国家高速公路项目，或监理人为国有控股或参股企业的，监理人应按规定在项目现场设立基层党组织。不满足上述情形的，监理人应创造条件使党员能够参加党组织生活并接受相应管理。</w:t>
      </w:r>
    </w:p>
    <w:p w14:paraId="09C0C99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14:paraId="2B7AD3BE">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2AF3D69B">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16" w:name="_Toc503518017"/>
      <w:r>
        <w:rPr>
          <w:rFonts w:hint="eastAsia" w:ascii="宋体" w:hAnsi="宋体"/>
          <w:b/>
          <w:color w:val="auto"/>
          <w:kern w:val="21"/>
          <w:sz w:val="28"/>
          <w:highlight w:val="none"/>
        </w:rPr>
        <w:t>5. 监理要求</w:t>
      </w:r>
      <w:bookmarkEnd w:id="316"/>
    </w:p>
    <w:p w14:paraId="3A009B36">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5.1 监理范围</w:t>
      </w:r>
    </w:p>
    <w:p w14:paraId="7C464A1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第5.1.3项细化为：</w:t>
      </w:r>
    </w:p>
    <w:p w14:paraId="1B56636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阶段范围指公路工程建设程序中的施工准备阶段、施工阶段、验收与缺陷责任期阶段中的一个或者多个阶段，具体范围在项目专用合同条款中约定。</w:t>
      </w:r>
    </w:p>
    <w:p w14:paraId="2E5D3190">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5.2 监理依据</w:t>
      </w:r>
    </w:p>
    <w:p w14:paraId="1514ED45">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除项目专用合同条款另有约定外，本工程的监理依据如下：</w:t>
      </w:r>
    </w:p>
    <w:p w14:paraId="64E3F5E6">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（1）适用的法律、行政法规及部门规章；</w:t>
      </w:r>
    </w:p>
    <w:p w14:paraId="6D44A367">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（2）与工程有关的规范、标准、规程；</w:t>
      </w:r>
    </w:p>
    <w:p w14:paraId="49FBAD9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（3）工程前期有关文件；</w:t>
      </w:r>
    </w:p>
    <w:p w14:paraId="0B21F5BE">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（4）工程勘察文件、设计文件及其他文件；</w:t>
      </w:r>
    </w:p>
    <w:p w14:paraId="0CDF1179">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（5）本工程监理的委托合同及补充合同；</w:t>
      </w:r>
    </w:p>
    <w:p w14:paraId="33F6FA0E">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（6）委托人签订的施工承包合同；</w:t>
      </w:r>
    </w:p>
    <w:p w14:paraId="41062E34">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（7）合同履行中与监理服务有关的来往函件；</w:t>
      </w:r>
    </w:p>
    <w:p w14:paraId="47CD6F6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（8）其他监理依据。</w:t>
      </w:r>
    </w:p>
    <w:p w14:paraId="76464271">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5.3 监理内容</w:t>
      </w:r>
    </w:p>
    <w:p w14:paraId="3845E705">
      <w:pPr>
        <w:widowControl w:val="0"/>
        <w:autoSpaceDE w:val="0"/>
        <w:autoSpaceDN w:val="0"/>
        <w:adjustRightInd w:val="0"/>
        <w:spacing w:line="360" w:lineRule="auto"/>
        <w:ind w:firstLine="480" w:firstLineChars="200"/>
        <w:rPr>
          <w:rFonts w:hint="eastAsia" w:ascii="宋体" w:hAnsi="宋体"/>
          <w:color w:val="auto"/>
          <w:kern w:val="21"/>
          <w:sz w:val="24"/>
          <w:highlight w:val="none"/>
        </w:rPr>
      </w:pPr>
      <w:r>
        <w:rPr>
          <w:rFonts w:hint="eastAsia" w:ascii="宋体" w:hAnsi="宋体"/>
          <w:color w:val="auto"/>
          <w:kern w:val="21"/>
          <w:sz w:val="24"/>
          <w:highlight w:val="none"/>
        </w:rPr>
        <w:t>本款细化为：</w:t>
      </w:r>
    </w:p>
    <w:p w14:paraId="221B89F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按照《公路工程施工监理规范》及相关法律、法规开展监理服务。委托人须依据《公路工程施工监理规范》要求对监理机构的设置方式进行选择，并在项目专用合同条款中予以约定。各阶段监理服务包括但不限于以下内容，委托人可根据工程实际情况在项目专用合同条款中对其进行调整。</w:t>
      </w:r>
    </w:p>
    <w:p w14:paraId="38F58E7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5.3.1</w:t>
      </w:r>
      <w:r>
        <w:rPr>
          <w:rFonts w:hint="eastAsia" w:ascii="宋体" w:hAnsi="宋体"/>
          <w:color w:val="auto"/>
          <w:kern w:val="21"/>
          <w:sz w:val="24"/>
          <w:highlight w:val="none"/>
        </w:rPr>
        <w:t xml:space="preserve"> 在工程同时设置总监办和驻地办时，总监办的监理服务内容为：</w:t>
      </w:r>
    </w:p>
    <w:p w14:paraId="583FABB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（1）总监办工地试验室按监理合同要求配备常规的试验检测设备，并须达到项目专用合同条款中约定的检查项目及频率要求；</w:t>
      </w:r>
    </w:p>
    <w:p w14:paraId="241D336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（2）熟悉合同文件，调查施工环境条件；</w:t>
      </w:r>
    </w:p>
    <w:p w14:paraId="563D9C7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（3）在合同约定的期限内主持编制监理计划；</w:t>
      </w:r>
    </w:p>
    <w:p w14:paraId="183C7EC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（4）审批各驻地办主持编制的监理细则；</w:t>
      </w:r>
    </w:p>
    <w:p w14:paraId="7FD1BF7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（5）参加设计交底；</w:t>
      </w:r>
    </w:p>
    <w:p w14:paraId="0277D38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（6）在合同约定的期限内审批承包人提交的施工组织设计（含安全技术措施、应急救援抢险方案、专项施工方案及施工环境保护措施）；</w:t>
      </w:r>
    </w:p>
    <w:p w14:paraId="348F1A4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（7）审批承包人提交的总体进度计划，核批承包人对总体进度计划的调整计划；</w:t>
      </w:r>
    </w:p>
    <w:p w14:paraId="12B80FB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（8）签发开工预付款支付证书；</w:t>
      </w:r>
    </w:p>
    <w:p w14:paraId="0D3CA3E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（9）审批承包人提交的分项、分部、单位工程划分；</w:t>
      </w:r>
    </w:p>
    <w:p w14:paraId="1226364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（10）检查承包人的质量、安全和环保等保证体系，审核工地试验室，抽查控制桩点复测、测定地面线和工程划分及驻地办工作；</w:t>
      </w:r>
    </w:p>
    <w:p w14:paraId="622844E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（11）主持召开监理交底会；</w:t>
      </w:r>
    </w:p>
    <w:p w14:paraId="21368D2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（12）主持召开第一次工地会议；</w:t>
      </w:r>
    </w:p>
    <w:p w14:paraId="216B902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（13）签发合同工程开工令；</w:t>
      </w:r>
    </w:p>
    <w:p w14:paraId="431985B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（14）审批重要工程材料及混合料配合比；</w:t>
      </w:r>
    </w:p>
    <w:p w14:paraId="64F52C4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（15）审核工程中期支付申请，签发中期支付证书；</w:t>
      </w:r>
    </w:p>
    <w:p w14:paraId="599459A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（16）签发单位工程或合同工程的暂停令和复工令；</w:t>
      </w:r>
    </w:p>
    <w:p w14:paraId="38B0A98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（17）受理合同其他事项的有关事宜，按合同约定审核、评估和处理工程变更、工程延期、费用索赔、价格调整、保险、违约、争端等合同事项；</w:t>
      </w:r>
    </w:p>
    <w:p w14:paraId="7809FA4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（18）组织编写监理月报；</w:t>
      </w:r>
    </w:p>
    <w:p w14:paraId="5DE6B4B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（19）根据工程需要主持召开专题工地会议；</w:t>
      </w:r>
    </w:p>
    <w:p w14:paraId="139854E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（20）对发生的质量缺陷、质量隐患和质量事故进行调查、处理或督促承包人按规定报告有关部门；</w:t>
      </w:r>
    </w:p>
    <w:p w14:paraId="509D058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（21）协助委托人审查交工验收申请，评定工程质量；</w:t>
      </w:r>
    </w:p>
    <w:p w14:paraId="55BF873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（22）参加委托人组织的合同工程交工验收；</w:t>
      </w:r>
    </w:p>
    <w:p w14:paraId="54FB105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（23）编写监理工作报告，并提交委托人；</w:t>
      </w:r>
    </w:p>
    <w:p w14:paraId="6E3D664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（24）签认交工结账证书；</w:t>
      </w:r>
    </w:p>
    <w:p w14:paraId="10E70EE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（25）组织编制工程监理竣工文件，并督促承包人按合同约定编制和整理竣工资料；</w:t>
      </w:r>
    </w:p>
    <w:p w14:paraId="3F343E1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（26）在合同工程的缺陷责任期内，检查承包人剩余工程的实施；巡视检查已完工程，指示承包人修复发生的工程缺陷，调查、确认缺陷责任及修复费用；</w:t>
      </w:r>
    </w:p>
    <w:p w14:paraId="1F557A6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（27）缺陷责任期结束，经检查符合条件时，签发合同工程缺陷责任终止证书；</w:t>
      </w:r>
    </w:p>
    <w:p w14:paraId="2F1D119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（28）签认最后支付证书；</w:t>
      </w:r>
    </w:p>
    <w:p w14:paraId="10DBAC2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（29）参加工程竣工验收；</w:t>
      </w:r>
    </w:p>
    <w:p w14:paraId="5EABBAA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（30）按照项目专用合同条款约定提供其他工程管理咨询服务。</w:t>
      </w:r>
    </w:p>
    <w:p w14:paraId="5CBAAAC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5.3.2 </w:t>
      </w:r>
      <w:r>
        <w:rPr>
          <w:rFonts w:hint="eastAsia" w:ascii="宋体" w:hAnsi="宋体"/>
          <w:color w:val="auto"/>
          <w:kern w:val="21"/>
          <w:sz w:val="24"/>
          <w:highlight w:val="none"/>
        </w:rPr>
        <w:t>在工程同时设置总监办和驻地办时，驻地办的监理服务内容为：</w:t>
      </w:r>
    </w:p>
    <w:p w14:paraId="7982B56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（1）按项目专用合同条款的约定建立（或不建立）工地试验室，如需驻地办建立工地试验室，应配备现场抽查常用的试验检测设备，并在项目专用合同条款中明确检查项目和频率的要求；</w:t>
      </w:r>
    </w:p>
    <w:p w14:paraId="54117B5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（2）熟悉合同文件，调查施工环境条件；</w:t>
      </w:r>
    </w:p>
    <w:p w14:paraId="4D4B46C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（3）在总监办的安排下，参与编制监理计划，提供本驻地办相关资料；</w:t>
      </w:r>
    </w:p>
    <w:p w14:paraId="4DECC79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（4）根据监理计划在相应工程开工前主持编制监理细则；</w:t>
      </w:r>
    </w:p>
    <w:p w14:paraId="3A6BE3F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（5）参加设计交底；</w:t>
      </w:r>
    </w:p>
    <w:p w14:paraId="20F364D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（6）按规定程序初审本驻地监理标段承包人提交的施工组织设计（含安全技术措施、应急救援抢险方案、专项施工方案及施工环境保护措施）；</w:t>
      </w:r>
    </w:p>
    <w:p w14:paraId="5DE10A2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（7）初审本驻地监理标段承包人提交的总体进度计划以及施工中进行的调整计划；</w:t>
      </w:r>
    </w:p>
    <w:p w14:paraId="30BEE6E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（8）对承包人提交的原始基准点、基准线和基准高程的复测结果进行平行复测，审核后予以批复；</w:t>
      </w:r>
    </w:p>
    <w:p w14:paraId="69AB0B5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（9）验收承包人测定的地面线；</w:t>
      </w:r>
    </w:p>
    <w:p w14:paraId="542AA08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（10）确认承包人提交的场地占用计划；</w:t>
      </w:r>
    </w:p>
    <w:p w14:paraId="2455D5E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（11）核算承包人对工程量清单的复核结果；</w:t>
      </w:r>
    </w:p>
    <w:p w14:paraId="35758BE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（12）按合同约定对工程分包计划和协议进行审查，审查分包合同中是否明确了承包人与分包人各自在安全生产方面的责任；</w:t>
      </w:r>
    </w:p>
    <w:p w14:paraId="7F1A776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（13）审批施工测量放线；</w:t>
      </w:r>
    </w:p>
    <w:p w14:paraId="22577FC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（14）审批一般工程原材料和混合料配合比；</w:t>
      </w:r>
    </w:p>
    <w:p w14:paraId="2782E18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（15）审查施工组织及人员配备；</w:t>
      </w:r>
    </w:p>
    <w:p w14:paraId="3053099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（16）审查承包人进场的施工机械设备；</w:t>
      </w:r>
    </w:p>
    <w:p w14:paraId="214F563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（17）审查承包人提交的分项、分部工程的施工方案及主要工艺；</w:t>
      </w:r>
    </w:p>
    <w:p w14:paraId="7DE4111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（18）审批承包人月进度计划，检查和监督进度计划的实施；</w:t>
      </w:r>
    </w:p>
    <w:p w14:paraId="723B963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（19）审批分项（部）工程的开工申请，签发分项、分部工程暂停令和复工令；</w:t>
      </w:r>
    </w:p>
    <w:p w14:paraId="14F257B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（20）验收构配件或设备；</w:t>
      </w:r>
    </w:p>
    <w:p w14:paraId="457F7A1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（21）按有关规定和要求对工程进行巡视、旁站和抽检，并做好记录；</w:t>
      </w:r>
    </w:p>
    <w:p w14:paraId="51BE916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（22）对关键工序进行签认；</w:t>
      </w:r>
    </w:p>
    <w:p w14:paraId="28932C7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（23）对发生的质量缺陷、质量隐患和质量事故进行调查、处理或对不属于监理人权限处理的质量事故督促承包人按规定报告有关部门；</w:t>
      </w:r>
    </w:p>
    <w:p w14:paraId="31B537B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（24）对交工的单位、分部、分项工程进行检验和质量等级评定并签发《中间交工证书》；</w:t>
      </w:r>
    </w:p>
    <w:p w14:paraId="18F500A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（25）对已完工程按合同约定的方法进行计量；</w:t>
      </w:r>
    </w:p>
    <w:p w14:paraId="601BD23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（26）按有关规定及时对已完分部工程、单位工程及合同工程进行质量评定；</w:t>
      </w:r>
    </w:p>
    <w:p w14:paraId="449DC45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（27）编写本标段的监理月报；</w:t>
      </w:r>
    </w:p>
    <w:p w14:paraId="7D45BF1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（28）主持召开工地会议和根据工程需要主持召开专题工地会议；</w:t>
      </w:r>
    </w:p>
    <w:p w14:paraId="1152EEB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（29）编制标段监理竣工文件；</w:t>
      </w:r>
    </w:p>
    <w:p w14:paraId="31E5DAC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（30）编写本驻地监理标段的监理工作报告；</w:t>
      </w:r>
    </w:p>
    <w:p w14:paraId="5F12BD3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（31）参加本驻地监理标段合同工程的交工验收；</w:t>
      </w:r>
    </w:p>
    <w:p w14:paraId="24D0225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（32）初审交工结账证书。</w:t>
      </w:r>
    </w:p>
    <w:p w14:paraId="1A75053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（33）按照项目专用合同条款约定提供其他工程管理咨询服务。</w:t>
      </w:r>
    </w:p>
    <w:p w14:paraId="5A27666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5.3.3 </w:t>
      </w:r>
      <w:r>
        <w:rPr>
          <w:rFonts w:hint="eastAsia" w:ascii="宋体" w:hAnsi="宋体"/>
          <w:color w:val="auto"/>
          <w:kern w:val="21"/>
          <w:sz w:val="24"/>
          <w:highlight w:val="none"/>
        </w:rPr>
        <w:t>在工程只设置总监办一级监理机构时，其监理服务内容为：</w:t>
      </w:r>
    </w:p>
    <w:p w14:paraId="7D271DF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（1）按监理合同要求建立总监办工地试验室，按监理合同要求配备常规的试验检测设备，并须达到项目专用合同条款中约定的检查项目及频率要求；</w:t>
      </w:r>
    </w:p>
    <w:p w14:paraId="3B8A960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（2）熟悉合同文件，调查施工环境条件；</w:t>
      </w:r>
    </w:p>
    <w:p w14:paraId="4D65155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（3）在合同约定的期限内编制监理计划，根据监理计划在相应工程开工前编制监理细则；</w:t>
      </w:r>
    </w:p>
    <w:p w14:paraId="607DE85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（4）在合同约定的期限内审批承包人提交的施工组织设计（含安全技术措施、应急救援抢险方案、专项施工方案及施工环境保护措施）；</w:t>
      </w:r>
    </w:p>
    <w:p w14:paraId="651D6AE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（5）参加设计交底；</w:t>
      </w:r>
    </w:p>
    <w:p w14:paraId="1ABE071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（6）审批承包人提交的总体进度计划，核批承包人对总体进度计划的调整计划；</w:t>
      </w:r>
    </w:p>
    <w:p w14:paraId="6C1E1B6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（7）检查承包人工程质量、施工安全和施工环境保护等保证体系；</w:t>
      </w:r>
    </w:p>
    <w:p w14:paraId="01C324D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（8）审核承包人的工地试验室；</w:t>
      </w:r>
    </w:p>
    <w:p w14:paraId="61F4ACF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（9）对承包人提交的原始基准点、基准线和基准高程的复测结果进行平行复测，审核后予以批复；</w:t>
      </w:r>
    </w:p>
    <w:p w14:paraId="4AA3099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（10）验收承包人测定的地面线；</w:t>
      </w:r>
    </w:p>
    <w:p w14:paraId="78C1411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（11）审批承包人提交的分项、分部、单位工程划分；</w:t>
      </w:r>
    </w:p>
    <w:p w14:paraId="11C752C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（12）确认承包人提交的场地占用计划；</w:t>
      </w:r>
    </w:p>
    <w:p w14:paraId="2390535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（13）核算承包人对工程量清单的复核结果；</w:t>
      </w:r>
    </w:p>
    <w:p w14:paraId="6CF64E3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（14）签发开工预付款支付证书；</w:t>
      </w:r>
    </w:p>
    <w:p w14:paraId="47DD096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（15）主持召开监理交底会；</w:t>
      </w:r>
    </w:p>
    <w:p w14:paraId="39E7CC7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（16）主持召开第一次工地会议；</w:t>
      </w:r>
    </w:p>
    <w:p w14:paraId="25821E6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（17）签发合同工程开工令；</w:t>
      </w:r>
    </w:p>
    <w:p w14:paraId="7B6780A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（18）按合同约定对工程分包计划和协议进行审查，并审查分包合同中是否明确了承包人与分包单位各自在安全生产方面的责任；</w:t>
      </w:r>
    </w:p>
    <w:p w14:paraId="2872F24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（19）审批施工测量放线；</w:t>
      </w:r>
    </w:p>
    <w:p w14:paraId="1F36103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（20）审批工程原材料及混合料配合比；</w:t>
      </w:r>
    </w:p>
    <w:p w14:paraId="1DD5605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（21）审查施工组织及人员配备；</w:t>
      </w:r>
    </w:p>
    <w:p w14:paraId="418DC64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（22）审查承包人进场的施工机械设备；</w:t>
      </w:r>
    </w:p>
    <w:p w14:paraId="1FF91B6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（23）审查承包人提交的分项、分部工程的施工方案及主要工艺；</w:t>
      </w:r>
    </w:p>
    <w:p w14:paraId="6220466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（24）审批承包人月进度计划，检查和监督进度计划的实施；</w:t>
      </w:r>
    </w:p>
    <w:p w14:paraId="40DB69C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（25）审批分项（分部）工程的开工申请；</w:t>
      </w:r>
    </w:p>
    <w:p w14:paraId="51AAB01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（26）验收构配件或设备；</w:t>
      </w:r>
    </w:p>
    <w:p w14:paraId="428A915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（27）按有关规定和要求对工程进行巡视、旁站和抽检，并做好记录；</w:t>
      </w:r>
    </w:p>
    <w:p w14:paraId="76DBDCF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（28）对关键工序进行签认；</w:t>
      </w:r>
    </w:p>
    <w:p w14:paraId="6ADFE01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（29）对发生的质量缺陷、质量隐患和质量事故进行调查、处理或对不属于监理人权限处理的质量事故督促承包人按规定报告有关部门；</w:t>
      </w:r>
    </w:p>
    <w:p w14:paraId="446E09D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（30）签发单位或合同工程及分部（分项）工程的暂停令和复工令；</w:t>
      </w:r>
    </w:p>
    <w:p w14:paraId="10A9934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（31）对交工的单位、分部、分项工程进行检验和质量等级评定并签发《中间交工证书》；</w:t>
      </w:r>
    </w:p>
    <w:p w14:paraId="49EF92B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（32）对已完工程按合同约定的方法进行计量；</w:t>
      </w:r>
    </w:p>
    <w:p w14:paraId="60CFDD6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（33）审核工程中期支付申请，签发中期支付证书；</w:t>
      </w:r>
    </w:p>
    <w:p w14:paraId="4AE3BDA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（34）按有关规定及时对已完分部工程、单位工程及合同工程进行质量评定；</w:t>
      </w:r>
    </w:p>
    <w:p w14:paraId="11A229B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（35）受理合同其他事项的有关事宜，按合同约定审核、评估和处理工程变更、延期、费用索赔、价格调整、保险、违约、争端等合同事项；</w:t>
      </w:r>
    </w:p>
    <w:p w14:paraId="5B383A8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（36）组织编写监理月报；</w:t>
      </w:r>
    </w:p>
    <w:p w14:paraId="53F4E53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（37）主持召开工地例会或根据工程需要主持召开专题工地会议；</w:t>
      </w:r>
    </w:p>
    <w:p w14:paraId="467E2BD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（38）协助委托人审查交工验收申请，评定工程质量；</w:t>
      </w:r>
    </w:p>
    <w:p w14:paraId="7590EF1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（39）参加委托人组织的合同工程交工验收；</w:t>
      </w:r>
    </w:p>
    <w:p w14:paraId="5232114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（40）编写监理工作报告，并提交委托人；</w:t>
      </w:r>
    </w:p>
    <w:p w14:paraId="61BD187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（41）签认交工结账证书；</w:t>
      </w:r>
    </w:p>
    <w:p w14:paraId="7F88D4D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（42）组织编制工程监理竣工文件，并督促承包人按合同约定编制和整理竣工资料；</w:t>
      </w:r>
    </w:p>
    <w:p w14:paraId="0338DC0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（43）在合同工程的缺陷责任期内，检查承包人剩余工程的实施；巡视检查已完工程，指示承包人修复发生的工程缺陷，调查、确认缺陷责任及修复费用；</w:t>
      </w:r>
    </w:p>
    <w:p w14:paraId="3FBEF13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（44）缺陷责任期结束，经检查符合条件时，签发合同工程缺陷责任终止证书；</w:t>
      </w:r>
    </w:p>
    <w:p w14:paraId="0BD40B5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（45）签认最后支付证书；</w:t>
      </w:r>
    </w:p>
    <w:p w14:paraId="48BC178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（46）参加工程竣工验收；</w:t>
      </w:r>
    </w:p>
    <w:p w14:paraId="72CB7B1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（47）按照项目专用合同条款约定提供其他工程管理咨询服务。</w:t>
      </w:r>
    </w:p>
    <w:p w14:paraId="023FEF2D">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666C4302">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5.4 监理文件要求</w:t>
      </w:r>
    </w:p>
    <w:p w14:paraId="2096DE1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第5.4.3项细化为：</w:t>
      </w:r>
    </w:p>
    <w:p w14:paraId="360CA58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项目专用合同条款另有约定外，本工程监理文件包括监理管理文件、质量监理文件、安全监理文件、环保监理文件、费用与进度监理文件、合同事项管理文件，以及监理日志、巡视记录、旁站记录、监理月报、监理工作报告等其他监理文件和影像资料，具体类别、编制要求、编制内容、提交时间和份数等应满足《公路工程施工监理规范》的规定。</w:t>
      </w:r>
    </w:p>
    <w:p w14:paraId="34EEC2AD">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3619B21">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color w:val="auto"/>
          <w:kern w:val="21"/>
          <w:sz w:val="24"/>
          <w:highlight w:val="none"/>
        </w:rPr>
        <w:t>本条补充第5.5款至第5.7款：</w:t>
      </w:r>
    </w:p>
    <w:p w14:paraId="47CB6272">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5.5 监理服务形式</w:t>
      </w:r>
    </w:p>
    <w:p w14:paraId="637A575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监理人应根据工程规模、难易程度、合同工期安排、现场条件等因素设置现场监理的组织机构并满足合同要求。委托人对监理人的机构设置要求在项目专用合同条款中约定。</w:t>
      </w:r>
      <w:bookmarkEnd w:id="309"/>
    </w:p>
    <w:p w14:paraId="1BC30725">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ADDE6DD">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5.6 监理服务目标</w:t>
      </w:r>
    </w:p>
    <w:p w14:paraId="2D7435F5">
      <w:pPr>
        <w:widowControl w:val="0"/>
        <w:autoSpaceDE w:val="0"/>
        <w:autoSpaceDN w:val="0"/>
        <w:adjustRightInd w:val="0"/>
        <w:spacing w:line="360" w:lineRule="auto"/>
        <w:ind w:firstLine="480" w:firstLineChars="200"/>
        <w:rPr>
          <w:rFonts w:hint="eastAsia" w:ascii="宋体"/>
          <w:color w:val="auto"/>
          <w:kern w:val="21"/>
          <w:sz w:val="24"/>
          <w:highlight w:val="none"/>
        </w:rPr>
      </w:pPr>
      <w:bookmarkStart w:id="317" w:name="_Toc493143922"/>
      <w:r>
        <w:rPr>
          <w:rFonts w:hint="eastAsia" w:ascii="宋体" w:hAnsi="宋体"/>
          <w:b/>
          <w:color w:val="auto"/>
          <w:kern w:val="21"/>
          <w:sz w:val="24"/>
          <w:highlight w:val="none"/>
        </w:rPr>
        <w:t>5.6.1</w:t>
      </w:r>
      <w:r>
        <w:rPr>
          <w:rFonts w:hint="eastAsia" w:ascii="宋体" w:hAnsi="宋体"/>
          <w:color w:val="auto"/>
          <w:kern w:val="21"/>
          <w:sz w:val="24"/>
          <w:highlight w:val="none"/>
        </w:rPr>
        <w:t xml:space="preserve"> 监理服务履约目标：除项目专用合同条款另有约定外，监理人提供的监理服务，应当符合国家有关法律、法规和标准规范，满足合同约定的服务内容和质量等要求。</w:t>
      </w:r>
    </w:p>
    <w:p w14:paraId="551E10A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5.6.2</w:t>
      </w:r>
      <w:r>
        <w:rPr>
          <w:rFonts w:hint="eastAsia" w:ascii="宋体" w:hAnsi="宋体"/>
          <w:color w:val="auto"/>
          <w:kern w:val="21"/>
          <w:sz w:val="24"/>
          <w:highlight w:val="none"/>
        </w:rPr>
        <w:t xml:space="preserve"> 对第三方履约管理的服务目标：在项目专用合同条款中约定。</w:t>
      </w:r>
    </w:p>
    <w:p w14:paraId="0DA0F32C">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2AC66BEB">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5.7 委托人对监理人的授权</w:t>
      </w:r>
    </w:p>
    <w:p w14:paraId="1D0FCD2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5.7.1 </w:t>
      </w:r>
      <w:r>
        <w:rPr>
          <w:rFonts w:hint="eastAsia" w:ascii="宋体" w:hAnsi="宋体"/>
          <w:color w:val="auto"/>
          <w:kern w:val="21"/>
          <w:sz w:val="24"/>
          <w:highlight w:val="none"/>
        </w:rPr>
        <w:t>监理人根据监理合同提供监理服务时，在委托人授权权限范围内开展工作。授权权限在项目专用合同条款中约定。</w:t>
      </w:r>
    </w:p>
    <w:p w14:paraId="517E37F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5.7.2 </w:t>
      </w:r>
      <w:r>
        <w:rPr>
          <w:rFonts w:hint="eastAsia" w:ascii="宋体" w:hAnsi="宋体"/>
          <w:color w:val="auto"/>
          <w:kern w:val="21"/>
          <w:sz w:val="24"/>
          <w:highlight w:val="none"/>
        </w:rPr>
        <w:t>如果监理人在监理服务过程中行使的权力或所需的授权，来自于委托人和第三方签订的工程合同文件，该合同文件应成为本监理合同的组成部分，两者之间如出现矛盾，则应编制补充说明文件一并列入监理合同。监理人应：</w:t>
      </w:r>
    </w:p>
    <w:p w14:paraId="30E1B5B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（1）根据监理合同文件和工程合同文件提供监理服务；</w:t>
      </w:r>
    </w:p>
    <w:p w14:paraId="16F1B9E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（2）根据职责范围，在委托人和第三方之间独立公正地行使上述合同文件赋予的权力；</w:t>
      </w:r>
    </w:p>
    <w:p w14:paraId="1A434F5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（3）根据上述合同文件的授权，对相应的工程和合同事宜进行变更，但未经委托人的书面批准，不得变更工程合同文件中约定的工程标准和第三方的责任与义务。</w:t>
      </w:r>
    </w:p>
    <w:p w14:paraId="74DCAC51">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2D6B98E">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18" w:name="_Toc503518018"/>
      <w:r>
        <w:rPr>
          <w:rFonts w:hint="eastAsia" w:ascii="宋体" w:hAnsi="宋体"/>
          <w:b/>
          <w:color w:val="auto"/>
          <w:kern w:val="21"/>
          <w:sz w:val="28"/>
          <w:highlight w:val="none"/>
        </w:rPr>
        <w:t>6. 开始监理和完成监理</w:t>
      </w:r>
      <w:bookmarkEnd w:id="318"/>
    </w:p>
    <w:p w14:paraId="25462F05">
      <w:pPr>
        <w:widowControl w:val="0"/>
        <w:autoSpaceDE w:val="0"/>
        <w:autoSpaceDN w:val="0"/>
        <w:adjustRightInd w:val="0"/>
        <w:spacing w:line="360" w:lineRule="auto"/>
        <w:outlineLvl w:val="4"/>
        <w:rPr>
          <w:rFonts w:hint="eastAsia" w:ascii="宋体"/>
          <w:b/>
          <w:color w:val="auto"/>
          <w:kern w:val="21"/>
          <w:sz w:val="24"/>
          <w:highlight w:val="none"/>
        </w:rPr>
      </w:pPr>
      <w:bookmarkStart w:id="319" w:name="_Toc493143944"/>
      <w:r>
        <w:rPr>
          <w:rFonts w:hint="eastAsia" w:ascii="宋体" w:hAnsi="宋体"/>
          <w:b/>
          <w:color w:val="auto"/>
          <w:kern w:val="21"/>
          <w:sz w:val="24"/>
          <w:highlight w:val="none"/>
        </w:rPr>
        <w:t>6.1 开始监理</w:t>
      </w:r>
    </w:p>
    <w:p w14:paraId="5C22810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第6.1.1项细化为：</w:t>
      </w:r>
    </w:p>
    <w:p w14:paraId="21B5A67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 xml:space="preserve"> 符合项目专用合同条款约定的开始监理条件的，委托人应提前7天向监理人发出开始监理通知。监理服务期限自开始监理通知中载明的开始监理日期及监理人首批人员实际进场日期起算，以时间在后者为准。</w:t>
      </w:r>
    </w:p>
    <w:bookmarkEnd w:id="319"/>
    <w:p w14:paraId="168E315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监理人应按照监理合同约定的时间和有关期限履行和完成监理服务，根据本项目工程的进展情况和委托人批准的人员进场计划，安排监理人员及时进场。</w:t>
      </w:r>
    </w:p>
    <w:p w14:paraId="19C6515A">
      <w:pPr>
        <w:widowControl w:val="0"/>
        <w:autoSpaceDE w:val="0"/>
        <w:autoSpaceDN w:val="0"/>
        <w:adjustRightInd w:val="0"/>
        <w:spacing w:line="360" w:lineRule="auto"/>
        <w:ind w:firstLine="480" w:firstLineChars="200"/>
        <w:rPr>
          <w:rFonts w:hint="eastAsia" w:ascii="宋体"/>
          <w:color w:val="auto"/>
          <w:kern w:val="21"/>
          <w:sz w:val="24"/>
          <w:highlight w:val="none"/>
        </w:rPr>
      </w:pPr>
      <w:bookmarkStart w:id="320" w:name="_Toc493143947"/>
    </w:p>
    <w:p w14:paraId="0310ADE3">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color w:val="auto"/>
          <w:kern w:val="21"/>
          <w:sz w:val="24"/>
          <w:highlight w:val="none"/>
        </w:rPr>
        <w:t>本条补充第 6.4 款：</w:t>
      </w:r>
    </w:p>
    <w:p w14:paraId="6CB00A15">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6.4 监理工作的暂停与</w:t>
      </w:r>
      <w:bookmarkEnd w:id="320"/>
      <w:r>
        <w:rPr>
          <w:rFonts w:hint="eastAsia" w:ascii="宋体" w:hAnsi="宋体"/>
          <w:b/>
          <w:color w:val="auto"/>
          <w:kern w:val="21"/>
          <w:sz w:val="24"/>
          <w:highlight w:val="none"/>
        </w:rPr>
        <w:t>监理合同的解除</w:t>
      </w:r>
    </w:p>
    <w:p w14:paraId="7BF1756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6.4.1 </w:t>
      </w:r>
      <w:r>
        <w:rPr>
          <w:rFonts w:hint="eastAsia" w:ascii="宋体" w:hAnsi="宋体"/>
          <w:color w:val="auto"/>
          <w:kern w:val="21"/>
          <w:sz w:val="24"/>
          <w:highlight w:val="none"/>
        </w:rPr>
        <w:t>出现根据本监理合同的约定不应由监理人负责的情况，且该情况已使监理人不能继续履行全部或部分监理服务时，监理人应立即书面通知委托人，并视情况采取相应措施：</w:t>
      </w:r>
    </w:p>
    <w:p w14:paraId="0AF11F2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（1）不得不暂停或减缓某些监理服务时，则上述服务的完成期限应予以延长，因此增加的监理服务工作量或延长的服务期限，委托人应按合同条款约定进行调整。</w:t>
      </w:r>
    </w:p>
    <w:p w14:paraId="5E2852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全部监理服务已无法继续履行时，监理人在书面通知委托人28天之后，有权单方面解除本监理合同，因此增加的监理服务工作量所涉及费用，委托人应按合同条款约定进行调整，同时应及时向监理人返还全部或剩余部分的履约保证金。</w:t>
      </w:r>
    </w:p>
    <w:p w14:paraId="6EE5B3D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（3）因不可抗力致使本监理合同不能履行或只能部分履行时，应按照本合同第10条规定的程序暂停监理服务或解除监理合同。</w:t>
      </w:r>
    </w:p>
    <w:p w14:paraId="02485023">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6.4.2</w:t>
      </w:r>
      <w:r>
        <w:rPr>
          <w:rFonts w:hint="eastAsia" w:ascii="宋体" w:hAnsi="宋体"/>
          <w:color w:val="auto"/>
          <w:kern w:val="21"/>
          <w:sz w:val="24"/>
          <w:highlight w:val="none"/>
        </w:rPr>
        <w:t xml:space="preserve"> 委托人要求监理人全部或部分暂停监理服务或解除本监理合同时，必须在56日之前发出书面通知。监理人在接到通知后，应立即安排停止全部或部分监理服务并将相关费用开支减至最小。因此增加的监理服务工作量所涉及的费用，委托人应按合同条款约定进行调整，同时及时向监理人返还全部或剩余部分的履约保证金。</w:t>
      </w:r>
    </w:p>
    <w:p w14:paraId="7639EFC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6.4.3</w:t>
      </w:r>
      <w:r>
        <w:rPr>
          <w:rFonts w:hint="eastAsia" w:ascii="宋体" w:hAnsi="宋体"/>
          <w:color w:val="auto"/>
          <w:kern w:val="21"/>
          <w:sz w:val="24"/>
          <w:highlight w:val="none"/>
        </w:rPr>
        <w:t xml:space="preserve"> 监理人无正当的理由，未根据监理合同的约定履行全部或部分监理服务，委托人可书面要求监理人予以解释。若监理人在28日内未能根据本监理合同给予合理的答复，委托人可在进一步发出书面通知14日后，单方面解除本监理合同，并视情况没收监理人的全部或部分履约保证金。</w:t>
      </w:r>
    </w:p>
    <w:p w14:paraId="0E427EC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6.4.4</w:t>
      </w:r>
      <w:r>
        <w:rPr>
          <w:rFonts w:hint="eastAsia" w:ascii="宋体" w:hAnsi="宋体"/>
          <w:color w:val="auto"/>
          <w:kern w:val="21"/>
          <w:sz w:val="24"/>
          <w:highlight w:val="none"/>
        </w:rPr>
        <w:t xml:space="preserve"> 委托人拖延支付监理服务费用，并已超过合同条款约定支付期限后28日，或根据本合同第6.4.1款（1）目或第6.4.2项的约定，暂停监理服务已超过6个月，监理人可书面要求委托人予以解释。若委托人在28日内未能根据本监理合同给予合理的答复，监理人可在进一步发出书面通知14日后，单方面解除本监理合同或自行暂停全部或部分监理服务。因此增加的监理服务工作量所涉及的费用，委托人应按合同条款约定进行调整，同时应及时向监理人返还全部或剩余部分的履约保证金。</w:t>
      </w:r>
    </w:p>
    <w:p w14:paraId="2D003B8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6.4.5 </w:t>
      </w:r>
      <w:r>
        <w:rPr>
          <w:rFonts w:hint="eastAsia" w:ascii="宋体" w:hAnsi="宋体"/>
          <w:color w:val="auto"/>
          <w:kern w:val="21"/>
          <w:sz w:val="24"/>
          <w:highlight w:val="none"/>
        </w:rPr>
        <w:t>监理合同的解除，不得损害或影响双方根据本监理合同应有的义务、责任、权力和利益。</w:t>
      </w:r>
    </w:p>
    <w:p w14:paraId="03FEE0F2">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4457C291">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21" w:name="_Toc503518019"/>
      <w:r>
        <w:rPr>
          <w:rFonts w:hint="eastAsia" w:ascii="宋体" w:hAnsi="宋体"/>
          <w:b/>
          <w:color w:val="auto"/>
          <w:kern w:val="21"/>
          <w:sz w:val="28"/>
          <w:highlight w:val="none"/>
        </w:rPr>
        <w:t>7. 监理责任与保险</w:t>
      </w:r>
      <w:bookmarkEnd w:id="321"/>
    </w:p>
    <w:p w14:paraId="4C486CC4">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7.1 监理责任主体</w:t>
      </w:r>
    </w:p>
    <w:p w14:paraId="7CC3EE7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第7.1.2项、7.1.3项细化为：</w:t>
      </w:r>
    </w:p>
    <w:p w14:paraId="71BCEF9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7.1.2 </w:t>
      </w:r>
      <w:r>
        <w:rPr>
          <w:rFonts w:hint="eastAsia" w:ascii="宋体" w:hAnsi="宋体"/>
          <w:color w:val="auto"/>
          <w:kern w:val="21"/>
          <w:sz w:val="24"/>
          <w:highlight w:val="none"/>
        </w:rPr>
        <w:t>监理人应当建立健全工程质量保证体系，制定质量管理制度，强化工程质量管理措施，完善工程质量目标保障机制。</w:t>
      </w:r>
    </w:p>
    <w:p w14:paraId="4F4BF99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本工程施行质量责任终身制。监理人应当书面明确相应的总监理工程师和质量负责人。监理人的相关人员按照国家法律法规和有关规定在工程合理使用年限内承担相应的质量责任。</w:t>
      </w:r>
    </w:p>
    <w:p w14:paraId="68E9B51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7.1.3 </w:t>
      </w:r>
      <w:r>
        <w:rPr>
          <w:rFonts w:hint="eastAsia" w:ascii="宋体" w:hAnsi="宋体"/>
          <w:color w:val="auto"/>
          <w:kern w:val="21"/>
          <w:sz w:val="24"/>
          <w:highlight w:val="none"/>
        </w:rPr>
        <w:t>监理人对施工质量负监理责任，应当按合同约定设立现场监理机构，按规定程序和标准进行工程质量检查、检测和验收，对发现的质量问题及时督促整改，不得降低工程质量标准。</w:t>
      </w:r>
    </w:p>
    <w:p w14:paraId="29D95D5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本工程交工验收前，监理人应当根据有关标准和规范要求对工程质量进行检查验证，编制工程质量评定或者评估报告，并提交委托人。</w:t>
      </w:r>
    </w:p>
    <w:p w14:paraId="7C56B29D">
      <w:pPr>
        <w:widowControl w:val="0"/>
        <w:autoSpaceDE w:val="0"/>
        <w:autoSpaceDN w:val="0"/>
        <w:adjustRightInd w:val="0"/>
        <w:spacing w:line="360" w:lineRule="auto"/>
        <w:ind w:firstLine="480" w:firstLineChars="200"/>
        <w:rPr>
          <w:rFonts w:hint="eastAsia" w:ascii="宋体" w:hAnsi="宋体"/>
          <w:bCs/>
          <w:color w:val="auto"/>
          <w:kern w:val="21"/>
          <w:sz w:val="24"/>
          <w:highlight w:val="none"/>
        </w:rPr>
      </w:pPr>
      <w:r>
        <w:rPr>
          <w:rFonts w:hint="eastAsia" w:ascii="宋体" w:hAnsi="宋体"/>
          <w:bCs/>
          <w:color w:val="auto"/>
          <w:kern w:val="21"/>
          <w:sz w:val="24"/>
          <w:highlight w:val="none"/>
        </w:rPr>
        <w:t>本款补充第 7.1.4 项：</w:t>
      </w:r>
    </w:p>
    <w:p w14:paraId="26935DC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7.1.4 </w:t>
      </w:r>
      <w:r>
        <w:rPr>
          <w:rFonts w:hint="eastAsia" w:ascii="宋体" w:hAnsi="宋体"/>
          <w:color w:val="auto"/>
          <w:kern w:val="21"/>
          <w:sz w:val="24"/>
          <w:highlight w:val="none"/>
        </w:rPr>
        <w:t>监理人应当按照合同约定设立工地临时试验室，严格按照工程技术标准、检测规范和规程，在核定的试验检测参数范围内开展试验检测活动。</w:t>
      </w:r>
    </w:p>
    <w:p w14:paraId="17AD9DD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监理人应当对其设立的工地临时试验室所出具的试验检测数据和报告的真实性、客观性、准确性负责。</w:t>
      </w:r>
    </w:p>
    <w:p w14:paraId="1A93628B">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EC999F7">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color w:val="auto"/>
          <w:kern w:val="21"/>
          <w:sz w:val="24"/>
          <w:highlight w:val="none"/>
        </w:rPr>
        <w:t>本条补充第 7.3 款：</w:t>
      </w:r>
    </w:p>
    <w:p w14:paraId="28D7F6F8">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7.3 人员和设备保险</w:t>
      </w:r>
    </w:p>
    <w:p w14:paraId="06CF3CE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在监理服务期内，自费办理派驻到工程所在地人员的人身和自备财产的有关保险，保险时间应随服务时间的延长而顺延，并在出险后自行办理索赔。如果监理人不办理上述保险，则应对有关风险及后果自负其责。</w:t>
      </w:r>
    </w:p>
    <w:p w14:paraId="48EEDC54">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3C722C01">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22" w:name="_Toc503518020"/>
      <w:r>
        <w:rPr>
          <w:rFonts w:hint="eastAsia" w:ascii="宋体" w:hAnsi="宋体"/>
          <w:b/>
          <w:color w:val="auto"/>
          <w:kern w:val="21"/>
          <w:sz w:val="28"/>
          <w:highlight w:val="none"/>
        </w:rPr>
        <w:t>8. 合同变更</w:t>
      </w:r>
      <w:bookmarkEnd w:id="322"/>
    </w:p>
    <w:p w14:paraId="563F4EC9">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8.1 变更情形</w:t>
      </w:r>
    </w:p>
    <w:p w14:paraId="0BF29BA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第8.1.1项细化为：</w:t>
      </w:r>
    </w:p>
    <w:p w14:paraId="03B9AB5C">
      <w:pPr>
        <w:widowControl w:val="0"/>
        <w:kinsoku w:val="0"/>
        <w:overflowPunct w:val="0"/>
        <w:autoSpaceDE w:val="0"/>
        <w:autoSpaceDN w:val="0"/>
        <w:adjustRightInd w:val="0"/>
        <w:spacing w:before="115" w:line="350" w:lineRule="auto"/>
        <w:ind w:left="144" w:right="97" w:firstLine="439"/>
        <w:rPr>
          <w:rFonts w:hint="eastAsia" w:ascii="宋体" w:hAnsi="宋体"/>
          <w:color w:val="auto"/>
          <w:sz w:val="24"/>
          <w:szCs w:val="28"/>
          <w:highlight w:val="none"/>
        </w:rPr>
      </w:pPr>
      <w:r>
        <w:rPr>
          <w:rFonts w:hint="eastAsia" w:ascii="宋体" w:hAnsi="宋体"/>
          <w:color w:val="auto"/>
          <w:sz w:val="24"/>
          <w:szCs w:val="28"/>
          <w:highlight w:val="none"/>
        </w:rPr>
        <w:t>合同履行中发生下述情形时，合同一方均可向对方提出变更请求，经双方协商一致后进行变更，监理服务期限和监理报酬的调整方法在项目专用合同条款中约定。</w:t>
      </w:r>
    </w:p>
    <w:p w14:paraId="4B83EF2E">
      <w:pPr>
        <w:widowControl w:val="0"/>
        <w:kinsoku w:val="0"/>
        <w:overflowPunct w:val="0"/>
        <w:autoSpaceDE w:val="0"/>
        <w:autoSpaceDN w:val="0"/>
        <w:adjustRightInd w:val="0"/>
        <w:spacing w:before="30"/>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1</w:t>
      </w:r>
      <w:r>
        <w:rPr>
          <w:rFonts w:hint="eastAsia" w:ascii="宋体" w:hAnsi="宋体"/>
          <w:color w:val="auto"/>
          <w:sz w:val="24"/>
          <w:szCs w:val="28"/>
          <w:highlight w:val="none"/>
        </w:rPr>
        <w:t>）监理范围发生变化；</w:t>
      </w:r>
    </w:p>
    <w:p w14:paraId="44CAEB75">
      <w:pPr>
        <w:widowControl w:val="0"/>
        <w:kinsoku w:val="0"/>
        <w:overflowPunct w:val="0"/>
        <w:autoSpaceDE w:val="0"/>
        <w:autoSpaceDN w:val="0"/>
        <w:adjustRightInd w:val="0"/>
        <w:spacing w:before="114"/>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2</w:t>
      </w:r>
      <w:r>
        <w:rPr>
          <w:rFonts w:hint="eastAsia" w:ascii="宋体" w:hAnsi="宋体"/>
          <w:color w:val="auto"/>
          <w:sz w:val="24"/>
          <w:szCs w:val="28"/>
          <w:highlight w:val="none"/>
        </w:rPr>
        <w:t>）除不可抗力外，非监理人的原因引起的周期延误；</w:t>
      </w:r>
    </w:p>
    <w:p w14:paraId="187AEC9D">
      <w:pPr>
        <w:widowControl w:val="0"/>
        <w:kinsoku w:val="0"/>
        <w:overflowPunct w:val="0"/>
        <w:autoSpaceDE w:val="0"/>
        <w:autoSpaceDN w:val="0"/>
        <w:adjustRightInd w:val="0"/>
        <w:spacing w:before="114"/>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3</w:t>
      </w:r>
      <w:r>
        <w:rPr>
          <w:rFonts w:hint="eastAsia" w:ascii="宋体" w:hAnsi="宋体"/>
          <w:color w:val="auto"/>
          <w:sz w:val="24"/>
          <w:szCs w:val="28"/>
          <w:highlight w:val="none"/>
        </w:rPr>
        <w:t>）非监理人的原因，对工程同一部分重复进行监理；</w:t>
      </w:r>
    </w:p>
    <w:p w14:paraId="5E86ED29">
      <w:pPr>
        <w:widowControl w:val="0"/>
        <w:kinsoku w:val="0"/>
        <w:overflowPunct w:val="0"/>
        <w:autoSpaceDE w:val="0"/>
        <w:autoSpaceDN w:val="0"/>
        <w:adjustRightInd w:val="0"/>
        <w:spacing w:before="115"/>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4</w:t>
      </w:r>
      <w:r>
        <w:rPr>
          <w:rFonts w:hint="eastAsia" w:ascii="宋体" w:hAnsi="宋体"/>
          <w:color w:val="auto"/>
          <w:sz w:val="24"/>
          <w:szCs w:val="28"/>
          <w:highlight w:val="none"/>
        </w:rPr>
        <w:t>）非监理人的原因，对工程暂停监理及恢复监理；</w:t>
      </w:r>
    </w:p>
    <w:p w14:paraId="4967BEFB">
      <w:pPr>
        <w:widowControl w:val="0"/>
        <w:kinsoku w:val="0"/>
        <w:overflowPunct w:val="0"/>
        <w:autoSpaceDE w:val="0"/>
        <w:autoSpaceDN w:val="0"/>
        <w:adjustRightInd w:val="0"/>
        <w:spacing w:before="115"/>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5</w:t>
      </w:r>
      <w:r>
        <w:rPr>
          <w:rFonts w:hint="eastAsia" w:ascii="宋体" w:hAnsi="宋体"/>
          <w:color w:val="auto"/>
          <w:sz w:val="24"/>
          <w:szCs w:val="28"/>
          <w:highlight w:val="none"/>
        </w:rPr>
        <w:t>）监理服务的形式与内容发生变化；</w:t>
      </w:r>
    </w:p>
    <w:p w14:paraId="40877271">
      <w:pPr>
        <w:widowControl w:val="0"/>
        <w:kinsoku w:val="0"/>
        <w:overflowPunct w:val="0"/>
        <w:autoSpaceDE w:val="0"/>
        <w:autoSpaceDN w:val="0"/>
        <w:adjustRightInd w:val="0"/>
        <w:spacing w:before="115"/>
        <w:ind w:left="583"/>
        <w:rPr>
          <w:rFonts w:hint="eastAsia" w:ascii="宋体" w:hAnsi="宋体"/>
          <w:color w:val="auto"/>
          <w:sz w:val="24"/>
          <w:szCs w:val="28"/>
          <w:highlight w:val="none"/>
        </w:rPr>
      </w:pPr>
      <w:r>
        <w:rPr>
          <w:rFonts w:hint="eastAsia" w:ascii="宋体" w:hAnsi="宋体"/>
          <w:color w:val="auto"/>
          <w:sz w:val="24"/>
          <w:szCs w:val="28"/>
          <w:highlight w:val="none"/>
        </w:rPr>
        <w:t>（</w:t>
      </w:r>
      <w:r>
        <w:rPr>
          <w:rFonts w:eastAsia="Times New Roman"/>
          <w:color w:val="auto"/>
          <w:sz w:val="24"/>
          <w:szCs w:val="28"/>
          <w:highlight w:val="none"/>
        </w:rPr>
        <w:t>6</w:t>
      </w:r>
      <w:r>
        <w:rPr>
          <w:rFonts w:hint="eastAsia" w:ascii="宋体" w:hAnsi="宋体"/>
          <w:color w:val="auto"/>
          <w:sz w:val="24"/>
          <w:szCs w:val="28"/>
          <w:highlight w:val="none"/>
        </w:rPr>
        <w:t>）因委托人或第三方的责任，阻碍或延误了监理人履行监理服务；</w:t>
      </w:r>
    </w:p>
    <w:p w14:paraId="5707313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sz w:val="24"/>
          <w:szCs w:val="28"/>
          <w:highlight w:val="none"/>
        </w:rPr>
        <w:t>（</w:t>
      </w:r>
      <w:r>
        <w:rPr>
          <w:rFonts w:eastAsia="Times New Roman"/>
          <w:color w:val="auto"/>
          <w:sz w:val="24"/>
          <w:szCs w:val="28"/>
          <w:highlight w:val="none"/>
        </w:rPr>
        <w:t>7</w:t>
      </w:r>
      <w:r>
        <w:rPr>
          <w:rFonts w:hint="eastAsia" w:ascii="宋体" w:hAnsi="宋体"/>
          <w:color w:val="auto"/>
          <w:sz w:val="24"/>
          <w:szCs w:val="28"/>
          <w:highlight w:val="none"/>
        </w:rPr>
        <w:t>）委托人提出高于监理合同约定的服务目标，监理人为完成此目标导致投入增加。</w:t>
      </w:r>
    </w:p>
    <w:p w14:paraId="3B3DFAE3">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23" w:name="_Toc503518021"/>
      <w:r>
        <w:rPr>
          <w:rFonts w:hint="eastAsia" w:ascii="宋体" w:hAnsi="宋体"/>
          <w:b/>
          <w:color w:val="auto"/>
          <w:kern w:val="21"/>
          <w:sz w:val="28"/>
          <w:highlight w:val="none"/>
        </w:rPr>
        <w:t>9. 合同价格与支付</w:t>
      </w:r>
      <w:bookmarkEnd w:id="323"/>
    </w:p>
    <w:p w14:paraId="07CC16E5">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9.1 合同价格</w:t>
      </w:r>
    </w:p>
    <w:p w14:paraId="14A0D63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第9.1.1项细化为：</w:t>
      </w:r>
    </w:p>
    <w:p w14:paraId="726D3E3D">
      <w:pPr>
        <w:widowControl w:val="0"/>
        <w:autoSpaceDE w:val="0"/>
        <w:autoSpaceDN w:val="0"/>
        <w:adjustRightInd w:val="0"/>
        <w:spacing w:line="360" w:lineRule="auto"/>
        <w:ind w:firstLine="480" w:firstLineChars="200"/>
        <w:rPr>
          <w:rFonts w:hint="eastAsia" w:ascii="宋体"/>
          <w:color w:val="auto"/>
          <w:kern w:val="21"/>
          <w:sz w:val="24"/>
          <w:highlight w:val="none"/>
        </w:rPr>
      </w:pPr>
      <w:bookmarkStart w:id="324" w:name="_Toc493143950"/>
      <w:r>
        <w:rPr>
          <w:rFonts w:hint="eastAsia" w:ascii="宋体" w:hAnsi="宋体"/>
          <w:color w:val="auto"/>
          <w:kern w:val="21"/>
          <w:sz w:val="24"/>
          <w:highlight w:val="none"/>
        </w:rPr>
        <w:t>合同价格是监理人按照合同约定完成施工准备阶段、施工阶段、验收与缺陷责任期阶段监理服务所需的全部费用</w:t>
      </w:r>
      <w:bookmarkEnd w:id="324"/>
      <w:r>
        <w:rPr>
          <w:rFonts w:hint="eastAsia" w:ascii="宋体" w:hAnsi="宋体"/>
          <w:color w:val="auto"/>
          <w:kern w:val="21"/>
          <w:sz w:val="24"/>
          <w:highlight w:val="none"/>
        </w:rPr>
        <w:t>，应按投标文件格式中报价清单的内容和格式填报。</w:t>
      </w:r>
    </w:p>
    <w:p w14:paraId="1130612A">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监理服务费用包括以下组成部分：</w:t>
      </w:r>
    </w:p>
    <w:p w14:paraId="1BF1291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（1）监理人员服务费；</w:t>
      </w:r>
    </w:p>
    <w:p w14:paraId="484A8AE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（2）监理办公设施费；</w:t>
      </w:r>
    </w:p>
    <w:p w14:paraId="34827B90">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（3）监理交通设施费；</w:t>
      </w:r>
    </w:p>
    <w:p w14:paraId="0A9EA61B">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（4）监理试验设施费；</w:t>
      </w:r>
    </w:p>
    <w:p w14:paraId="3DB9C42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（5）监理生活设施费。</w:t>
      </w:r>
    </w:p>
    <w:p w14:paraId="50D0331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（6）利润。</w:t>
      </w:r>
    </w:p>
    <w:p w14:paraId="2D64A76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利润外，以上各项费用应分别按施工期（涵盖施工准备阶段和施工阶段）和缺陷责任期两个阶段填报，其中监理人员服务费应填报各级监理人员的人月单价及为完成监理服务所需要的总人月数量。各类监理人员的人月单价应包括监理人员履行监理服务时由于施工工艺的连续性导致不可避免的加班费用，在上述情况发生时，委托人将不考虑另行支付监理人员的加班费用。</w:t>
      </w:r>
    </w:p>
    <w:p w14:paraId="78BEA25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监理人因完成本项目施工监理服务需计取的企业管理费及需缴纳的一切税费均由监理人承担，并包含在所报的各项监理服务费用之内，委托人不单独支付。</w:t>
      </w:r>
    </w:p>
    <w:p w14:paraId="0DE6A97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除本合同第8条约定的变更情形和项目专用合同条款约定的其他情形外，本监理合同的监理服务费用在合同实施期间一律不予调整。</w:t>
      </w:r>
    </w:p>
    <w:p w14:paraId="2B46408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除项目专用合同条款另有约定外，因工程提前完成导致监理服务期限缩短，且在监理人已履行本合同规定义务的情况下，委托人不能以监理人提前完成监理为由而减少监理报酬。</w:t>
      </w:r>
    </w:p>
    <w:p w14:paraId="2801FA55">
      <w:pPr>
        <w:bidi w:val="0"/>
        <w:rPr>
          <w:rFonts w:hint="eastAsia"/>
          <w:color w:val="auto"/>
          <w:highlight w:val="none"/>
        </w:rPr>
      </w:pPr>
    </w:p>
    <w:p w14:paraId="52DDA2EE">
      <w:pPr>
        <w:widowControl w:val="0"/>
        <w:autoSpaceDE w:val="0"/>
        <w:autoSpaceDN w:val="0"/>
        <w:adjustRightInd w:val="0"/>
        <w:spacing w:line="360" w:lineRule="auto"/>
        <w:outlineLvl w:val="4"/>
        <w:rPr>
          <w:rFonts w:hint="eastAsia" w:ascii="宋体" w:hAnsi="宋体"/>
          <w:b/>
          <w:color w:val="auto"/>
          <w:kern w:val="21"/>
          <w:sz w:val="24"/>
          <w:highlight w:val="none"/>
        </w:rPr>
      </w:pPr>
      <w:r>
        <w:rPr>
          <w:rFonts w:hint="eastAsia" w:ascii="宋体" w:hAnsi="宋体"/>
          <w:b/>
          <w:color w:val="auto"/>
          <w:kern w:val="21"/>
          <w:sz w:val="24"/>
          <w:highlight w:val="none"/>
        </w:rPr>
        <w:t>9.2 预付款</w:t>
      </w:r>
    </w:p>
    <w:p w14:paraId="2FB8D67E">
      <w:pPr>
        <w:spacing w:line="360" w:lineRule="auto"/>
        <w:ind w:firstLine="480" w:firstLineChars="200"/>
        <w:rPr>
          <w:rFonts w:hint="eastAsia" w:cs="宋体"/>
          <w:color w:val="auto"/>
          <w:kern w:val="21"/>
          <w:sz w:val="24"/>
          <w:szCs w:val="22"/>
          <w:highlight w:val="none"/>
        </w:rPr>
      </w:pPr>
      <w:r>
        <w:rPr>
          <w:rFonts w:hint="eastAsia" w:cs="宋体"/>
          <w:color w:val="auto"/>
          <w:kern w:val="21"/>
          <w:sz w:val="24"/>
          <w:szCs w:val="22"/>
          <w:highlight w:val="none"/>
        </w:rPr>
        <w:t>本款细化为：</w:t>
      </w:r>
    </w:p>
    <w:p w14:paraId="35F9B9FB">
      <w:pPr>
        <w:spacing w:line="360" w:lineRule="auto"/>
        <w:ind w:firstLine="480" w:firstLineChars="200"/>
        <w:rPr>
          <w:rFonts w:hint="eastAsia" w:cs="宋体"/>
          <w:color w:val="auto"/>
          <w:kern w:val="21"/>
          <w:sz w:val="24"/>
          <w:szCs w:val="22"/>
          <w:highlight w:val="none"/>
        </w:rPr>
      </w:pPr>
      <w:r>
        <w:rPr>
          <w:rFonts w:hint="eastAsia" w:cs="宋体"/>
          <w:color w:val="auto"/>
          <w:kern w:val="21"/>
          <w:sz w:val="24"/>
          <w:szCs w:val="22"/>
          <w:highlight w:val="none"/>
        </w:rPr>
        <w:t>为使监理服务能够及时开展，委托人应在监理合同签订后 7天内按监理服务费总额的10%向监理人支付预付款，项目专用合同条款另有约定的除外。</w:t>
      </w:r>
    </w:p>
    <w:p w14:paraId="74ECFC04">
      <w:pPr>
        <w:spacing w:line="360" w:lineRule="auto"/>
        <w:ind w:firstLine="480" w:firstLineChars="200"/>
        <w:rPr>
          <w:rFonts w:hint="eastAsia" w:cs="宋体"/>
          <w:color w:val="auto"/>
          <w:kern w:val="21"/>
          <w:sz w:val="24"/>
          <w:szCs w:val="22"/>
          <w:highlight w:val="none"/>
        </w:rPr>
      </w:pPr>
      <w:r>
        <w:rPr>
          <w:rFonts w:hint="eastAsia" w:cs="宋体"/>
          <w:color w:val="auto"/>
          <w:kern w:val="21"/>
          <w:sz w:val="24"/>
          <w:szCs w:val="22"/>
          <w:highlight w:val="none"/>
        </w:rPr>
        <w:t>预付款在施工阶段监理服务费支付的累计金额达到签约合同价的30%时开始抵扣，全部预付款应在施工阶段监理服务费累计支付到签约合同价的 80%时扣完。</w:t>
      </w:r>
    </w:p>
    <w:p w14:paraId="3B2E8D31">
      <w:pPr>
        <w:spacing w:line="360" w:lineRule="auto"/>
        <w:ind w:firstLine="480" w:firstLineChars="200"/>
        <w:rPr>
          <w:rFonts w:hint="eastAsia" w:cs="宋体"/>
          <w:color w:val="auto"/>
          <w:kern w:val="21"/>
          <w:sz w:val="24"/>
          <w:szCs w:val="22"/>
          <w:highlight w:val="none"/>
        </w:rPr>
      </w:pPr>
      <w:r>
        <w:rPr>
          <w:rFonts w:hint="eastAsia" w:cs="宋体"/>
          <w:color w:val="auto"/>
          <w:kern w:val="21"/>
          <w:sz w:val="24"/>
          <w:szCs w:val="22"/>
          <w:highlight w:val="none"/>
        </w:rPr>
        <w:t>预付款应专用于本工程的监理。监理人无须向委托人提交预付款保函，但监理人提交的履约保证金对预付款的正常使用承担保证责任。</w:t>
      </w:r>
    </w:p>
    <w:p w14:paraId="194A219D">
      <w:pPr>
        <w:spacing w:line="360" w:lineRule="auto"/>
        <w:ind w:firstLine="480" w:firstLineChars="200"/>
        <w:rPr>
          <w:rFonts w:hint="eastAsia" w:cs="宋体"/>
          <w:color w:val="auto"/>
          <w:kern w:val="21"/>
          <w:sz w:val="24"/>
          <w:szCs w:val="22"/>
          <w:highlight w:val="none"/>
        </w:rPr>
      </w:pPr>
    </w:p>
    <w:p w14:paraId="0068BA14">
      <w:pPr>
        <w:spacing w:line="360" w:lineRule="auto"/>
        <w:outlineLvl w:val="4"/>
        <w:rPr>
          <w:rFonts w:hint="eastAsia" w:cs="宋体"/>
          <w:b/>
          <w:bCs/>
          <w:color w:val="auto"/>
          <w:kern w:val="21"/>
          <w:sz w:val="24"/>
          <w:szCs w:val="24"/>
          <w:highlight w:val="none"/>
        </w:rPr>
      </w:pPr>
      <w:r>
        <w:rPr>
          <w:rFonts w:hint="eastAsia" w:cs="宋体"/>
          <w:b/>
          <w:bCs/>
          <w:color w:val="auto"/>
          <w:kern w:val="21"/>
          <w:sz w:val="24"/>
          <w:szCs w:val="24"/>
          <w:highlight w:val="none"/>
        </w:rPr>
        <w:t>9.3 中期支付</w:t>
      </w:r>
    </w:p>
    <w:p w14:paraId="00E08FF0">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本款细化为：</w:t>
      </w:r>
    </w:p>
    <w:p w14:paraId="31332633">
      <w:pPr>
        <w:spacing w:line="360" w:lineRule="auto"/>
        <w:ind w:firstLine="480" w:firstLineChars="200"/>
        <w:rPr>
          <w:rFonts w:hint="eastAsia" w:cs="宋体"/>
          <w:color w:val="auto"/>
          <w:kern w:val="21"/>
          <w:sz w:val="24"/>
          <w:szCs w:val="24"/>
          <w:highlight w:val="none"/>
        </w:rPr>
      </w:pPr>
      <w:r>
        <w:rPr>
          <w:rFonts w:hint="eastAsia" w:cs="宋体"/>
          <w:b/>
          <w:bCs/>
          <w:color w:val="auto"/>
          <w:kern w:val="21"/>
          <w:sz w:val="24"/>
          <w:szCs w:val="24"/>
          <w:highlight w:val="none"/>
        </w:rPr>
        <w:t xml:space="preserve">9.3.1 </w:t>
      </w:r>
      <w:r>
        <w:rPr>
          <w:rFonts w:hint="eastAsia" w:cs="宋体"/>
          <w:color w:val="auto"/>
          <w:kern w:val="21"/>
          <w:sz w:val="24"/>
          <w:szCs w:val="24"/>
          <w:highlight w:val="none"/>
        </w:rPr>
        <w:t>监理人应在各月末向委托人提交由总监理工程师签署的按委托人批准格式填写的监理服务费付款申请单一式三份，该付款申请单包括以下栏目，监理人应逐项填写清楚：</w:t>
      </w:r>
    </w:p>
    <w:p w14:paraId="7A66E9EA">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（1）本月应向监理人支付的（结算的）监理服务费用；</w:t>
      </w:r>
    </w:p>
    <w:p w14:paraId="3995A880">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（2）本月应支付的监理服务变更费用；</w:t>
      </w:r>
    </w:p>
    <w:p w14:paraId="2E301CFC">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（3）本月应支付的预付款；</w:t>
      </w:r>
    </w:p>
    <w:p w14:paraId="0A927BE6">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（4）根据合同规定，本月应结算的其他款项；</w:t>
      </w:r>
    </w:p>
    <w:p w14:paraId="40417A82">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（5）本月应扣回的预付款；</w:t>
      </w:r>
    </w:p>
    <w:p w14:paraId="7CF5ACCE">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（6）根据合同规定，本月应扣除的其他款项。</w:t>
      </w:r>
    </w:p>
    <w:p w14:paraId="5DB13C2A">
      <w:pPr>
        <w:spacing w:line="360" w:lineRule="auto"/>
        <w:ind w:firstLine="480" w:firstLineChars="200"/>
        <w:rPr>
          <w:rFonts w:hint="eastAsia" w:cs="宋体"/>
          <w:color w:val="auto"/>
          <w:kern w:val="21"/>
          <w:sz w:val="24"/>
          <w:szCs w:val="24"/>
          <w:highlight w:val="none"/>
        </w:rPr>
      </w:pPr>
      <w:r>
        <w:rPr>
          <w:rFonts w:hint="eastAsia" w:cs="宋体"/>
          <w:b/>
          <w:bCs/>
          <w:color w:val="auto"/>
          <w:kern w:val="21"/>
          <w:sz w:val="24"/>
          <w:szCs w:val="24"/>
          <w:highlight w:val="none"/>
        </w:rPr>
        <w:t xml:space="preserve">9.3.2 </w:t>
      </w:r>
      <w:r>
        <w:rPr>
          <w:rFonts w:hint="eastAsia" w:cs="宋体"/>
          <w:color w:val="auto"/>
          <w:kern w:val="21"/>
          <w:sz w:val="24"/>
          <w:szCs w:val="24"/>
          <w:highlight w:val="none"/>
        </w:rPr>
        <w:t>委托人将在收到监理人提交的监理服务费付款申请单后28日内进行核实并予以支付。除项目专用条款另有约定外，支付原则如下：</w:t>
      </w:r>
    </w:p>
    <w:p w14:paraId="270CD239">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1）施工期间的监理人员服务费根据各级监理人员的人月单价及本月实际完成的监理服务时间计算并支付（各岗位监理人员的人月数以监理人记录并经委托人签字确认的监理人员出勤情况为依据）。本项目各月累计支付的监理人员服务费总额不得超过监理人在监理服务费报价清单中填报的施工期监理人员服务费合计金额，超过部分委托人将不再予以支付。</w:t>
      </w:r>
    </w:p>
    <w:p w14:paraId="1F1752C1">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2）施工期间的监理办公设施费、交通设施费、试验设施费及生活设施费由监理人包干使用，上述四项设施费的报价总额按月度等额支付给监理人。监理人必须保证实际投入本项目的办公设施、交通设施、试验设施及生活设施能满足本招标文件的要求和实际工作的需要，且不低于监理人投标文件中所列设施，否则委托人将根据本合同第11.1.2项的规定从其报价总额中扣除违约赔偿金。</w:t>
      </w:r>
    </w:p>
    <w:p w14:paraId="6B5CCD99">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（3）缺陷责任期内的监理人员服务费、监理办公设施费、交通设施费、试验设施费及生活设施费将在本项目的缺陷责任期开始后，分四次等额支付给监理人。</w:t>
      </w:r>
    </w:p>
    <w:p w14:paraId="144E20A9">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（4）监理服务变更费用经双方协商确认后，在监理服务所对应工作期限内按月平均支付或按双方所签订补充协议约定的支付方式进行支付。</w:t>
      </w:r>
    </w:p>
    <w:p w14:paraId="4238B9C3">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（5）根据合同条款第8.2.2项约定对监理人的奖励，委托人应于对监理人的当期支付费用中一次性支付；</w:t>
      </w:r>
    </w:p>
    <w:p w14:paraId="76FBB59A">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6）根据合同条款第11.1款确定的监理人对委托人的违约赔偿金，由委托人从对监理人的当期监理服务费计量支付报表中予以核减；当期监理服务费不足以抵扣违约赔偿金时，则从后续监理服务费计量支付报表或履约保证金中扣回；</w:t>
      </w:r>
    </w:p>
    <w:p w14:paraId="482F318E">
      <w:pPr>
        <w:spacing w:line="360" w:lineRule="auto"/>
        <w:ind w:firstLine="480" w:firstLineChars="200"/>
        <w:rPr>
          <w:rFonts w:hint="eastAsia" w:cs="宋体"/>
          <w:color w:val="auto"/>
          <w:kern w:val="21"/>
          <w:sz w:val="24"/>
          <w:szCs w:val="24"/>
          <w:highlight w:val="none"/>
        </w:rPr>
      </w:pPr>
      <w:r>
        <w:rPr>
          <w:rFonts w:hint="eastAsia" w:cs="宋体"/>
          <w:color w:val="auto"/>
          <w:kern w:val="21"/>
          <w:sz w:val="24"/>
          <w:szCs w:val="24"/>
          <w:highlight w:val="none"/>
        </w:rPr>
        <w:t>（7）根据通用合同条款第11.2款确定的委托人对监理人的赔偿金，应由委托人与监理人协商确定后在对监理人当期支付费用中一次性支付。</w:t>
      </w:r>
    </w:p>
    <w:p w14:paraId="467B4BB5">
      <w:pPr>
        <w:spacing w:line="360" w:lineRule="auto"/>
        <w:ind w:firstLine="480" w:firstLineChars="200"/>
        <w:rPr>
          <w:rFonts w:hint="eastAsia" w:cs="宋体"/>
          <w:color w:val="auto"/>
          <w:kern w:val="21"/>
          <w:sz w:val="24"/>
          <w:szCs w:val="24"/>
          <w:highlight w:val="none"/>
        </w:rPr>
      </w:pPr>
      <w:r>
        <w:rPr>
          <w:rFonts w:hint="eastAsia" w:cs="宋体"/>
          <w:b/>
          <w:bCs/>
          <w:color w:val="auto"/>
          <w:kern w:val="21"/>
          <w:sz w:val="24"/>
          <w:szCs w:val="24"/>
          <w:highlight w:val="none"/>
        </w:rPr>
        <w:t xml:space="preserve">9.3.3 </w:t>
      </w:r>
      <w:r>
        <w:rPr>
          <w:rFonts w:hint="eastAsia" w:cs="宋体"/>
          <w:color w:val="auto"/>
          <w:kern w:val="21"/>
          <w:sz w:val="24"/>
          <w:szCs w:val="24"/>
          <w:highlight w:val="none"/>
        </w:rPr>
        <w:t>委托人在收到监理人提交的书面支付申请且监理人提交了合格的增值税专用发票后，应按上述条款约定的支付期限内支付监理服务费用。委托人未能在前述时间内完成审批或不予答复的，视为委托人同意中期支付申请。委托人未按期支付到期应付的款项，应承担违约责任，并支付逾期付款违约金，逾期付款的违约金以到期应付而未付的款项，按照银行同期贷款利率加计算相应的利息，时间自未付款项的应付之日起算。</w:t>
      </w:r>
    </w:p>
    <w:p w14:paraId="1A2D13B0">
      <w:pPr>
        <w:spacing w:line="360" w:lineRule="auto"/>
        <w:ind w:firstLine="480" w:firstLineChars="200"/>
        <w:rPr>
          <w:rFonts w:hint="eastAsia" w:cs="宋体"/>
          <w:color w:val="auto"/>
          <w:kern w:val="21"/>
          <w:sz w:val="24"/>
          <w:szCs w:val="24"/>
          <w:highlight w:val="none"/>
        </w:rPr>
      </w:pPr>
      <w:r>
        <w:rPr>
          <w:rFonts w:hint="eastAsia" w:cs="宋体"/>
          <w:b/>
          <w:bCs/>
          <w:color w:val="auto"/>
          <w:kern w:val="21"/>
          <w:sz w:val="24"/>
          <w:szCs w:val="24"/>
          <w:highlight w:val="none"/>
        </w:rPr>
        <w:t xml:space="preserve">9.3.4 </w:t>
      </w:r>
      <w:r>
        <w:rPr>
          <w:rFonts w:hint="eastAsia" w:cs="宋体"/>
          <w:color w:val="auto"/>
          <w:kern w:val="21"/>
          <w:sz w:val="24"/>
          <w:szCs w:val="24"/>
          <w:highlight w:val="none"/>
        </w:rPr>
        <w:t>委托人对监理人要求支付的款项中的任何部分有异议的，应在收到监理人提交的书面支付申请7日内发出书面通知说明理由，但不得借此延误对监理人其他应得款项的支付。</w:t>
      </w:r>
    </w:p>
    <w:p w14:paraId="59626837">
      <w:pPr>
        <w:spacing w:line="360" w:lineRule="auto"/>
        <w:ind w:firstLine="480" w:firstLineChars="200"/>
        <w:rPr>
          <w:rFonts w:hint="eastAsia" w:cs="宋体"/>
          <w:color w:val="auto"/>
          <w:kern w:val="21"/>
          <w:sz w:val="24"/>
          <w:szCs w:val="24"/>
          <w:highlight w:val="none"/>
        </w:rPr>
      </w:pPr>
      <w:r>
        <w:rPr>
          <w:rFonts w:hint="eastAsia" w:cs="宋体"/>
          <w:b/>
          <w:bCs/>
          <w:color w:val="auto"/>
          <w:kern w:val="21"/>
          <w:sz w:val="24"/>
          <w:szCs w:val="24"/>
          <w:highlight w:val="none"/>
        </w:rPr>
        <w:t xml:space="preserve">9.3.5 </w:t>
      </w:r>
      <w:r>
        <w:rPr>
          <w:rFonts w:hint="eastAsia" w:cs="宋体"/>
          <w:color w:val="auto"/>
          <w:kern w:val="21"/>
          <w:sz w:val="24"/>
          <w:szCs w:val="24"/>
          <w:highlight w:val="none"/>
        </w:rPr>
        <w:t>中期支付涉及政府投资资金的，按照国库集中支付等国家相关规定和项目专用合同条款的约定执行。</w:t>
      </w:r>
    </w:p>
    <w:p w14:paraId="3D1764F3">
      <w:pPr>
        <w:spacing w:line="360" w:lineRule="auto"/>
        <w:rPr>
          <w:rFonts w:hint="eastAsia" w:cs="宋体"/>
          <w:color w:val="auto"/>
          <w:kern w:val="21"/>
          <w:sz w:val="24"/>
          <w:szCs w:val="24"/>
          <w:highlight w:val="none"/>
        </w:rPr>
      </w:pPr>
    </w:p>
    <w:p w14:paraId="4FE79453">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9.4 费用结算</w:t>
      </w:r>
    </w:p>
    <w:p w14:paraId="4A11384A">
      <w:pPr>
        <w:widowControl w:val="0"/>
        <w:autoSpaceDE w:val="0"/>
        <w:autoSpaceDN w:val="0"/>
        <w:adjustRightInd w:val="0"/>
        <w:spacing w:line="360" w:lineRule="auto"/>
        <w:ind w:firstLine="480" w:firstLineChars="200"/>
        <w:rPr>
          <w:rFonts w:hint="eastAsia" w:ascii="宋体" w:hAnsi="宋体"/>
          <w:bCs/>
          <w:color w:val="auto"/>
          <w:kern w:val="21"/>
          <w:sz w:val="24"/>
          <w:highlight w:val="none"/>
        </w:rPr>
      </w:pPr>
      <w:r>
        <w:rPr>
          <w:rFonts w:hint="eastAsia" w:ascii="宋体" w:hAnsi="宋体"/>
          <w:bCs/>
          <w:color w:val="auto"/>
          <w:kern w:val="21"/>
          <w:sz w:val="24"/>
          <w:highlight w:val="none"/>
        </w:rPr>
        <w:t>本款细化为：</w:t>
      </w:r>
    </w:p>
    <w:p w14:paraId="51C3C2A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9.4.1 </w:t>
      </w:r>
      <w:r>
        <w:rPr>
          <w:rFonts w:hint="eastAsia" w:ascii="宋体" w:hAnsi="宋体"/>
          <w:color w:val="auto"/>
          <w:kern w:val="21"/>
          <w:sz w:val="24"/>
          <w:highlight w:val="none"/>
        </w:rPr>
        <w:t>在施工阶段监理服务工作结束后7日内，监理人应将至交工证书申请之日前实际发生的监理服务费用，扣减预付款和监理人赔偿金后余额的支付申请上报至委托人，委托人应在收到该支付申请后7日内予以审批，在批复后14日内向监理人支付费用。监理人在提交支付申请的同时，应按合同条款第4.2.1项的约定向委托人提交缺陷责任期保函，委托人在收到监理人提交的缺陷责任期保函后7日内向监理人返还履约保证金。</w:t>
      </w:r>
    </w:p>
    <w:p w14:paraId="52EB6C9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9.4.2 </w:t>
      </w:r>
      <w:r>
        <w:rPr>
          <w:rFonts w:hint="eastAsia" w:ascii="宋体" w:hAnsi="宋体"/>
          <w:color w:val="auto"/>
          <w:kern w:val="21"/>
          <w:sz w:val="24"/>
          <w:highlight w:val="none"/>
        </w:rPr>
        <w:t>在签发工程缺陷责任终止证书后7日内，监理人应将工程缺陷责任期内未结清的监理服务费用和其他应由委托人向监理人支付的剩余款项，扣减其他应由委托人从监理人扣回的款项的支付申请上报至委托人，委托人应在收到该支付申请后7日内予以审批，在批复后14日内向监理人支付费用，同时委托人向监理人返还缺陷责任期保函。</w:t>
      </w:r>
    </w:p>
    <w:p w14:paraId="6BF5ECD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9.4.3 </w:t>
      </w:r>
      <w:r>
        <w:rPr>
          <w:rFonts w:hint="eastAsia" w:ascii="宋体" w:hAnsi="宋体"/>
          <w:color w:val="auto"/>
          <w:kern w:val="21"/>
          <w:sz w:val="24"/>
          <w:highlight w:val="none"/>
        </w:rPr>
        <w:t>委托人在收到监理人提交的书面支付申请且监理人提交了合格的增值税专用发票后，应按上述条款约定的支付期限内支付监理服务费用。委托人未能在前述时间内完成审批或不予答复的，视为委托人同意费用结算申请。委托人未按期支付到期应付的款项，应承担违约责任，并支付逾期付款违约金，逾期付款的违约金以到期应付而未付的款项，按照银行同期贷款利率计算相应的利息，时间自未付款项的应付之日起算。</w:t>
      </w:r>
    </w:p>
    <w:p w14:paraId="0FE272A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9.4.4 </w:t>
      </w:r>
      <w:r>
        <w:rPr>
          <w:rFonts w:hint="eastAsia" w:ascii="宋体" w:hAnsi="宋体"/>
          <w:color w:val="auto"/>
          <w:kern w:val="21"/>
          <w:sz w:val="24"/>
          <w:highlight w:val="none"/>
        </w:rPr>
        <w:t>委托人对费用结算申请内容有异议的，有权要求监理人进行修正和提供补充资料，由监理人重新提交。监理人对此有异议的，按第12条的约定执行。</w:t>
      </w:r>
    </w:p>
    <w:p w14:paraId="0022549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9.4.5 </w:t>
      </w:r>
      <w:r>
        <w:rPr>
          <w:rFonts w:hint="eastAsia" w:ascii="宋体" w:hAnsi="宋体"/>
          <w:color w:val="auto"/>
          <w:kern w:val="21"/>
          <w:sz w:val="24"/>
          <w:highlight w:val="none"/>
        </w:rPr>
        <w:t>最终结清付款涉及政府投资资金的，按第9.3.5项的约定执行。</w:t>
      </w:r>
    </w:p>
    <w:p w14:paraId="59F11210">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48313CA9">
      <w:pPr>
        <w:widowControl w:val="0"/>
        <w:autoSpaceDE w:val="0"/>
        <w:autoSpaceDN w:val="0"/>
        <w:adjustRightInd w:val="0"/>
        <w:spacing w:line="360" w:lineRule="auto"/>
        <w:outlineLvl w:val="4"/>
        <w:rPr>
          <w:rFonts w:hint="eastAsia" w:ascii="宋体"/>
          <w:color w:val="auto"/>
          <w:kern w:val="21"/>
          <w:sz w:val="24"/>
          <w:highlight w:val="none"/>
        </w:rPr>
      </w:pPr>
      <w:r>
        <w:rPr>
          <w:rFonts w:hint="eastAsia" w:ascii="宋体" w:hAnsi="宋体"/>
          <w:color w:val="auto"/>
          <w:kern w:val="21"/>
          <w:sz w:val="24"/>
          <w:highlight w:val="none"/>
        </w:rPr>
        <w:t>本条补充第 9.5 款、第 9.6 款：</w:t>
      </w:r>
    </w:p>
    <w:p w14:paraId="4089B195">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9.5 暂列金额</w:t>
      </w:r>
    </w:p>
    <w:p w14:paraId="73811FC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本合同的暂列金额在项目专用合同条款中约定。暂列金额应按委托人的书面指示全部或部分地使用，或根本不予动用。暂列金额主要用于支付监理服务的变更费用。</w:t>
      </w:r>
    </w:p>
    <w:p w14:paraId="3EDD4B38">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44506AA8">
      <w:pPr>
        <w:widowControl w:val="0"/>
        <w:autoSpaceDE w:val="0"/>
        <w:autoSpaceDN w:val="0"/>
        <w:adjustRightInd w:val="0"/>
        <w:spacing w:line="360" w:lineRule="auto"/>
        <w:outlineLvl w:val="4"/>
        <w:rPr>
          <w:rFonts w:hint="eastAsia" w:ascii="宋体"/>
          <w:b/>
          <w:color w:val="auto"/>
          <w:kern w:val="21"/>
          <w:sz w:val="24"/>
          <w:highlight w:val="none"/>
        </w:rPr>
      </w:pPr>
      <w:bookmarkStart w:id="325" w:name="_Toc493143952"/>
      <w:r>
        <w:rPr>
          <w:rFonts w:hint="eastAsia" w:ascii="宋体" w:hAnsi="宋体"/>
          <w:b/>
          <w:color w:val="auto"/>
          <w:kern w:val="21"/>
          <w:sz w:val="24"/>
          <w:highlight w:val="none"/>
        </w:rPr>
        <w:t>9.6 货币</w:t>
      </w:r>
      <w:bookmarkEnd w:id="325"/>
    </w:p>
    <w:p w14:paraId="4CD0BC1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除项目专用合同条款另有约定外，委托人采用人民币支付监理服务费用。涉及外币支付的，其货币种类、比例和汇率等事宜，在项目专用合同条款中约定。</w:t>
      </w:r>
    </w:p>
    <w:p w14:paraId="5B6ED27E">
      <w:pPr>
        <w:widowControl w:val="0"/>
        <w:autoSpaceDE w:val="0"/>
        <w:autoSpaceDN w:val="0"/>
        <w:adjustRightInd w:val="0"/>
        <w:spacing w:line="360" w:lineRule="auto"/>
        <w:ind w:firstLine="480" w:firstLineChars="200"/>
        <w:rPr>
          <w:rFonts w:hint="eastAsia" w:ascii="宋体"/>
          <w:color w:val="auto"/>
          <w:kern w:val="21"/>
          <w:sz w:val="24"/>
          <w:highlight w:val="none"/>
        </w:rPr>
      </w:pPr>
    </w:p>
    <w:bookmarkEnd w:id="317"/>
    <w:p w14:paraId="5E820083">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26" w:name="_Toc503518022"/>
      <w:r>
        <w:rPr>
          <w:rFonts w:hint="eastAsia" w:ascii="宋体" w:hAnsi="宋体"/>
          <w:b/>
          <w:color w:val="auto"/>
          <w:kern w:val="21"/>
          <w:sz w:val="28"/>
          <w:highlight w:val="none"/>
        </w:rPr>
        <w:t>11. 违约</w:t>
      </w:r>
      <w:bookmarkEnd w:id="326"/>
    </w:p>
    <w:p w14:paraId="5716DDDA">
      <w:pPr>
        <w:widowControl w:val="0"/>
        <w:autoSpaceDE w:val="0"/>
        <w:autoSpaceDN w:val="0"/>
        <w:adjustRightInd w:val="0"/>
        <w:spacing w:line="360" w:lineRule="auto"/>
        <w:outlineLvl w:val="4"/>
        <w:rPr>
          <w:rFonts w:hint="eastAsia" w:ascii="宋体"/>
          <w:b/>
          <w:color w:val="auto"/>
          <w:kern w:val="21"/>
          <w:sz w:val="24"/>
          <w:highlight w:val="none"/>
        </w:rPr>
      </w:pPr>
      <w:r>
        <w:rPr>
          <w:rFonts w:hint="eastAsia" w:ascii="宋体" w:hAnsi="宋体"/>
          <w:b/>
          <w:color w:val="auto"/>
          <w:kern w:val="21"/>
          <w:sz w:val="24"/>
          <w:highlight w:val="none"/>
        </w:rPr>
        <w:t>11.1 监理人违约</w:t>
      </w:r>
    </w:p>
    <w:p w14:paraId="2BCD7F3A">
      <w:pPr>
        <w:widowControl w:val="0"/>
        <w:autoSpaceDE w:val="0"/>
        <w:autoSpaceDN w:val="0"/>
        <w:adjustRightInd w:val="0"/>
        <w:spacing w:line="360" w:lineRule="auto"/>
        <w:ind w:firstLine="480" w:firstLineChars="200"/>
        <w:rPr>
          <w:rFonts w:hint="eastAsia" w:ascii="宋体" w:hAnsi="宋体"/>
          <w:b/>
          <w:color w:val="auto"/>
          <w:kern w:val="21"/>
          <w:sz w:val="24"/>
          <w:highlight w:val="none"/>
        </w:rPr>
      </w:pPr>
      <w:r>
        <w:rPr>
          <w:rFonts w:hint="eastAsia" w:ascii="宋体" w:hAnsi="宋体"/>
          <w:bCs/>
          <w:color w:val="auto"/>
          <w:kern w:val="21"/>
          <w:sz w:val="24"/>
          <w:highlight w:val="none"/>
        </w:rPr>
        <w:t>本款细化为：</w:t>
      </w:r>
    </w:p>
    <w:p w14:paraId="0CC0AC0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11.1.1 </w:t>
      </w:r>
      <w:r>
        <w:rPr>
          <w:rFonts w:hint="eastAsia" w:ascii="宋体" w:hAnsi="宋体"/>
          <w:color w:val="auto"/>
          <w:kern w:val="21"/>
          <w:sz w:val="24"/>
          <w:highlight w:val="none"/>
        </w:rPr>
        <w:t>合同履行中发生下列情况之一的，属监理人违约：</w:t>
      </w:r>
    </w:p>
    <w:p w14:paraId="3FFDAAE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（1）监理文件不符合规范标准以及合同约定；</w:t>
      </w:r>
    </w:p>
    <w:p w14:paraId="3002B50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（2）监理人转让或分包监理工作；</w:t>
      </w:r>
    </w:p>
    <w:p w14:paraId="17E228C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（3）监理人未按合同约定实施监理并造成工程损失；</w:t>
      </w:r>
    </w:p>
    <w:p w14:paraId="46CD3A1E">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（4）监理人向承包人索贿、谋取私利，或与承包人串通损害委托人利益，给委托人造成损失；</w:t>
      </w:r>
    </w:p>
    <w:p w14:paraId="25D669F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（5）监理人未按《公路工程施工监理规范》的规定对主要工程或关键工序进行旁站、巡视或抽检；</w:t>
      </w:r>
    </w:p>
    <w:p w14:paraId="0B80931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（6）监理人未能按照投标文件的承诺或合同文件的约定配备满足监理服务需求的人员或设备；</w:t>
      </w:r>
    </w:p>
    <w:p w14:paraId="718DE72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（7）监理人无法履行或停止履行合同；</w:t>
      </w:r>
    </w:p>
    <w:p w14:paraId="5203684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（8）监理人不履行合同约定的其他义务。</w:t>
      </w:r>
    </w:p>
    <w:p w14:paraId="1F1050F6">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11.1.2 </w:t>
      </w:r>
      <w:r>
        <w:rPr>
          <w:rFonts w:hint="eastAsia" w:ascii="宋体" w:hAnsi="宋体"/>
          <w:color w:val="auto"/>
          <w:kern w:val="21"/>
          <w:sz w:val="24"/>
          <w:highlight w:val="none"/>
        </w:rPr>
        <w:t>监理人发生违约情况时，委托人可向监理人发出整改通知，要求其在限定期限内纠正；逾期仍不纠正的，委托人有权解除合同并向监理人发出解除合同通知。发生第11.1.1（2）目或（4）目情形时，委托人可直接发出解除合同通知。</w:t>
      </w:r>
    </w:p>
    <w:p w14:paraId="7593EBD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应当承担由于违约所造成的费用增加、周期延误和委托人损失等。委托人有权向监理人课以项目专用合同条款中约定的违约金，并由委托人将其违约行为上报省级交通运输主管部门，作为不良记录纳入公路建设市场信用信息管理系统。</w:t>
      </w:r>
    </w:p>
    <w:p w14:paraId="23609CC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11.1.3 </w:t>
      </w:r>
      <w:r>
        <w:rPr>
          <w:rFonts w:hint="eastAsia" w:ascii="宋体" w:hAnsi="宋体"/>
          <w:color w:val="auto"/>
          <w:kern w:val="21"/>
          <w:sz w:val="24"/>
          <w:highlight w:val="none"/>
        </w:rPr>
        <w:t>监理人对委托人损失的赔偿责任</w:t>
      </w:r>
    </w:p>
    <w:p w14:paraId="15EE9D1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监理人违反监理合同的约定并造成委托人的经济损失，应向委托人赔偿，除项目专用合同条款另有约定外，赔偿金应按下式计算：</w:t>
      </w:r>
    </w:p>
    <w:p w14:paraId="6744A76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赔偿金=委托人直接经济损失所对应的监理费×监理人应承担责任的比例</w:t>
      </w:r>
    </w:p>
    <w:p w14:paraId="5EBB0F6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监理人对由于第三方责任造成的任何经济损失，不承担责任。如果监理人与委托人或第三方对有关经济损失共负责任时，应按责任比例计算赔偿。监理人的上述责任赔偿，均应按照本合同条款第11.5款的约定办理。</w:t>
      </w:r>
    </w:p>
    <w:p w14:paraId="66FBD4C9">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11.1.4 </w:t>
      </w:r>
      <w:r>
        <w:rPr>
          <w:rFonts w:hint="eastAsia" w:ascii="宋体" w:hAnsi="宋体"/>
          <w:color w:val="auto"/>
          <w:kern w:val="21"/>
          <w:sz w:val="24"/>
          <w:highlight w:val="none"/>
        </w:rPr>
        <w:t>监理人对委托人未授权的监理服务范围不承担监理责任。</w:t>
      </w:r>
    </w:p>
    <w:p w14:paraId="52FDB2E3">
      <w:pPr>
        <w:widowControl w:val="0"/>
        <w:autoSpaceDE w:val="0"/>
        <w:autoSpaceDN w:val="0"/>
        <w:adjustRightInd w:val="0"/>
        <w:spacing w:line="360" w:lineRule="auto"/>
        <w:ind w:firstLine="480" w:firstLineChars="200"/>
        <w:rPr>
          <w:rFonts w:hint="eastAsia" w:ascii="宋体"/>
          <w:b/>
          <w:color w:val="auto"/>
          <w:kern w:val="21"/>
          <w:sz w:val="24"/>
          <w:highlight w:val="none"/>
        </w:rPr>
      </w:pPr>
      <w:r>
        <w:rPr>
          <w:rFonts w:hint="eastAsia" w:ascii="宋体" w:hAnsi="宋体"/>
          <w:b/>
          <w:color w:val="auto"/>
          <w:kern w:val="21"/>
          <w:sz w:val="24"/>
          <w:highlight w:val="none"/>
        </w:rPr>
        <w:t>11.2 委托人违约</w:t>
      </w:r>
    </w:p>
    <w:p w14:paraId="288D2695">
      <w:pPr>
        <w:widowControl w:val="0"/>
        <w:autoSpaceDE w:val="0"/>
        <w:autoSpaceDN w:val="0"/>
        <w:adjustRightInd w:val="0"/>
        <w:spacing w:line="360" w:lineRule="auto"/>
        <w:ind w:firstLine="480" w:firstLineChars="200"/>
        <w:rPr>
          <w:rFonts w:hint="eastAsia" w:ascii="宋体" w:hAnsi="宋体"/>
          <w:bCs/>
          <w:color w:val="auto"/>
          <w:kern w:val="21"/>
          <w:sz w:val="24"/>
          <w:highlight w:val="none"/>
        </w:rPr>
      </w:pPr>
      <w:r>
        <w:rPr>
          <w:rFonts w:hint="eastAsia" w:ascii="宋体" w:hAnsi="宋体"/>
          <w:bCs/>
          <w:color w:val="auto"/>
          <w:kern w:val="21"/>
          <w:sz w:val="24"/>
          <w:highlight w:val="none"/>
        </w:rPr>
        <w:t>本款细化为：</w:t>
      </w:r>
    </w:p>
    <w:p w14:paraId="101F0CF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11.2.1</w:t>
      </w:r>
      <w:r>
        <w:rPr>
          <w:rFonts w:hint="eastAsia" w:ascii="宋体" w:hAnsi="宋体"/>
          <w:color w:val="auto"/>
          <w:kern w:val="21"/>
          <w:sz w:val="24"/>
          <w:highlight w:val="none"/>
        </w:rPr>
        <w:t xml:space="preserve"> 合同履行中发生下列情况之一的，属委托人违约：</w:t>
      </w:r>
    </w:p>
    <w:p w14:paraId="7AA6FBB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（1）委托人未按合同约定支付监理报酬；</w:t>
      </w:r>
    </w:p>
    <w:p w14:paraId="567BA7E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（2）委托人原因造成监理停止；</w:t>
      </w:r>
    </w:p>
    <w:p w14:paraId="2C585A0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（3）委托人无法履行或停止履行合同；</w:t>
      </w:r>
    </w:p>
    <w:p w14:paraId="6B2F659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（4）委托人无正当理由不按时返还履约保证金或缺陷责任期保函；</w:t>
      </w:r>
    </w:p>
    <w:p w14:paraId="250F0582">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（5）委托人不履行合同约定的其他义务。</w:t>
      </w:r>
    </w:p>
    <w:p w14:paraId="5984B437">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11.2.2</w:t>
      </w:r>
      <w:r>
        <w:rPr>
          <w:rFonts w:hint="eastAsia" w:ascii="宋体" w:hAnsi="宋体"/>
          <w:color w:val="auto"/>
          <w:kern w:val="21"/>
          <w:sz w:val="24"/>
          <w:highlight w:val="none"/>
        </w:rPr>
        <w:t xml:space="preserve"> 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监理人有权向委托人课以专用合同条款中约定的违约金。</w:t>
      </w:r>
    </w:p>
    <w:p w14:paraId="711A4A6D">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b/>
          <w:color w:val="auto"/>
          <w:kern w:val="21"/>
          <w:sz w:val="24"/>
          <w:highlight w:val="none"/>
        </w:rPr>
        <w:t xml:space="preserve">11.2.3 </w:t>
      </w:r>
      <w:r>
        <w:rPr>
          <w:rFonts w:hint="eastAsia" w:ascii="宋体" w:hAnsi="宋体"/>
          <w:color w:val="auto"/>
          <w:kern w:val="21"/>
          <w:sz w:val="24"/>
          <w:highlight w:val="none"/>
        </w:rPr>
        <w:t>委托人对监理人损失的赔偿责任</w:t>
      </w:r>
    </w:p>
    <w:p w14:paraId="6F65698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委托人违反监理合同的约定并造成监理人的经济损失，除项目专用合同条款另有约定外，委托人应据实赔偿监理人的直接经济损失。</w:t>
      </w:r>
    </w:p>
    <w:p w14:paraId="1D406EA8">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本条补充第 11.4 款、第 11.5 款：</w:t>
      </w:r>
    </w:p>
    <w:p w14:paraId="51AFEE5E">
      <w:pPr>
        <w:widowControl w:val="0"/>
        <w:autoSpaceDE w:val="0"/>
        <w:autoSpaceDN w:val="0"/>
        <w:adjustRightInd w:val="0"/>
        <w:spacing w:line="360" w:lineRule="auto"/>
        <w:outlineLvl w:val="4"/>
        <w:rPr>
          <w:rFonts w:hint="eastAsia" w:ascii="宋体"/>
          <w:b/>
          <w:color w:val="auto"/>
          <w:kern w:val="21"/>
          <w:sz w:val="24"/>
          <w:highlight w:val="none"/>
        </w:rPr>
      </w:pPr>
      <w:bookmarkStart w:id="327" w:name="_Toc493143938"/>
      <w:r>
        <w:rPr>
          <w:rFonts w:hint="eastAsia" w:ascii="宋体" w:hAnsi="宋体"/>
          <w:b/>
          <w:color w:val="auto"/>
          <w:kern w:val="21"/>
          <w:sz w:val="24"/>
          <w:highlight w:val="none"/>
        </w:rPr>
        <w:t>11.4 赔偿责任的期限</w:t>
      </w:r>
      <w:bookmarkEnd w:id="327"/>
    </w:p>
    <w:p w14:paraId="4ABF4CB4">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委托人或监理人任何一方向另一方要求的赔偿，均应在赔偿事件发生后的28日之内以书面形式提出索赔。如果该事件具有持续性，则应在事件首次发生后7日之内提出索赔意向，并每隔7日提供一次该事件仍在持续发展的证明材料，直至该事件结束后28日之内提出正式的索赔文件。无论是委托人还是监理人，逾期未提出书面索赔意向书，均失去索赔权利。</w:t>
      </w:r>
    </w:p>
    <w:p w14:paraId="0EB1B2E5">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16A969FC">
      <w:pPr>
        <w:widowControl w:val="0"/>
        <w:autoSpaceDE w:val="0"/>
        <w:autoSpaceDN w:val="0"/>
        <w:adjustRightInd w:val="0"/>
        <w:spacing w:line="360" w:lineRule="auto"/>
        <w:outlineLvl w:val="4"/>
        <w:rPr>
          <w:rFonts w:hint="eastAsia" w:ascii="宋体"/>
          <w:b/>
          <w:color w:val="auto"/>
          <w:kern w:val="21"/>
          <w:sz w:val="24"/>
          <w:highlight w:val="none"/>
        </w:rPr>
      </w:pPr>
      <w:bookmarkStart w:id="328" w:name="_Toc493143939"/>
      <w:r>
        <w:rPr>
          <w:rFonts w:hint="eastAsia" w:ascii="宋体" w:hAnsi="宋体"/>
          <w:b/>
          <w:color w:val="auto"/>
          <w:kern w:val="21"/>
          <w:sz w:val="24"/>
          <w:highlight w:val="none"/>
        </w:rPr>
        <w:t>11.5 赔偿的限额</w:t>
      </w:r>
      <w:bookmarkEnd w:id="328"/>
    </w:p>
    <w:p w14:paraId="59581D1C">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除项目专用合同条款另有约定外，合同一方当事人向对方当事人依据本合同条款第11.1款和第11.2款支付赔偿的最高限额为：</w:t>
      </w:r>
    </w:p>
    <w:p w14:paraId="18FA65D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（1）监理人的累计赔偿限额为监理服务费总额的30%，当达到此限额时，委托人有权单方面终止监理合同，没收监理人的履约保证金。</w:t>
      </w:r>
    </w:p>
    <w:p w14:paraId="2770B985">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（2）委托人赔偿监理人的直接经济损失的累计限额为监理服务费总额。</w:t>
      </w:r>
    </w:p>
    <w:p w14:paraId="4A0C81D1">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合同双方同意放弃超过上述限额的剩余赔偿要求，但本合同其他条款约定的补偿和由于任何一方故意违约而引起的索赔，不受该限额的限制。</w:t>
      </w:r>
    </w:p>
    <w:p w14:paraId="553AD499">
      <w:pPr>
        <w:widowControl w:val="0"/>
        <w:autoSpaceDE w:val="0"/>
        <w:autoSpaceDN w:val="0"/>
        <w:adjustRightInd w:val="0"/>
        <w:spacing w:line="360" w:lineRule="auto"/>
        <w:ind w:firstLine="480" w:firstLineChars="200"/>
        <w:rPr>
          <w:rFonts w:hint="eastAsia" w:ascii="宋体"/>
          <w:color w:val="auto"/>
          <w:kern w:val="21"/>
          <w:sz w:val="24"/>
          <w:highlight w:val="none"/>
        </w:rPr>
      </w:pPr>
    </w:p>
    <w:p w14:paraId="72B5D5B7">
      <w:pPr>
        <w:widowControl w:val="0"/>
        <w:autoSpaceDE w:val="0"/>
        <w:autoSpaceDN w:val="0"/>
        <w:adjustRightInd w:val="0"/>
        <w:spacing w:before="240" w:beforeLines="100" w:after="120" w:afterLines="50" w:line="360" w:lineRule="auto"/>
        <w:outlineLvl w:val="3"/>
        <w:rPr>
          <w:rFonts w:hint="eastAsia" w:ascii="宋体"/>
          <w:b/>
          <w:color w:val="auto"/>
          <w:kern w:val="21"/>
          <w:sz w:val="28"/>
          <w:highlight w:val="none"/>
        </w:rPr>
      </w:pPr>
      <w:bookmarkStart w:id="329" w:name="_Toc503518023"/>
      <w:r>
        <w:rPr>
          <w:rFonts w:hint="eastAsia" w:ascii="宋体" w:hAnsi="宋体"/>
          <w:b/>
          <w:color w:val="auto"/>
          <w:kern w:val="21"/>
          <w:sz w:val="28"/>
          <w:highlight w:val="none"/>
        </w:rPr>
        <w:t>12. 争议的解决</w:t>
      </w:r>
      <w:bookmarkEnd w:id="329"/>
    </w:p>
    <w:p w14:paraId="07F8892F">
      <w:pPr>
        <w:widowControl w:val="0"/>
        <w:autoSpaceDE w:val="0"/>
        <w:autoSpaceDN w:val="0"/>
        <w:adjustRightInd w:val="0"/>
        <w:spacing w:line="360" w:lineRule="auto"/>
        <w:ind w:firstLine="480" w:firstLineChars="200"/>
        <w:rPr>
          <w:rFonts w:hint="eastAsia" w:ascii="宋体"/>
          <w:color w:val="auto"/>
          <w:kern w:val="21"/>
          <w:sz w:val="24"/>
          <w:highlight w:val="none"/>
        </w:rPr>
      </w:pPr>
      <w:r>
        <w:rPr>
          <w:rFonts w:hint="eastAsia" w:ascii="宋体" w:hAnsi="宋体"/>
          <w:color w:val="auto"/>
          <w:kern w:val="21"/>
          <w:sz w:val="24"/>
          <w:highlight w:val="none"/>
        </w:rPr>
        <w:t>本条补充：</w:t>
      </w:r>
    </w:p>
    <w:p w14:paraId="728EA639">
      <w:pPr>
        <w:widowControl w:val="0"/>
        <w:autoSpaceDE w:val="0"/>
        <w:autoSpaceDN w:val="0"/>
        <w:adjustRightInd w:val="0"/>
        <w:spacing w:line="360" w:lineRule="auto"/>
        <w:ind w:firstLine="480" w:firstLineChars="200"/>
        <w:rPr>
          <w:rFonts w:hint="eastAsia" w:ascii="宋体"/>
          <w:color w:val="auto"/>
          <w:sz w:val="22"/>
          <w:highlight w:val="none"/>
        </w:rPr>
      </w:pPr>
      <w:r>
        <w:rPr>
          <w:rFonts w:hint="eastAsia" w:ascii="宋体" w:hAnsi="宋体"/>
          <w:color w:val="auto"/>
          <w:kern w:val="21"/>
          <w:sz w:val="24"/>
          <w:highlight w:val="none"/>
        </w:rPr>
        <w:t>采用仲裁方式最终解决争议的项目，仲裁裁决是终局性的并对委托人和监理人双方均具有约束力。全部仲裁费用应由败诉方承担，或按仲裁委员会裁决的比例分担。</w:t>
      </w:r>
    </w:p>
    <w:p w14:paraId="1258A3FC">
      <w:pPr>
        <w:widowControl w:val="0"/>
        <w:kinsoku w:val="0"/>
        <w:overflowPunct w:val="0"/>
        <w:autoSpaceDE w:val="0"/>
        <w:autoSpaceDN w:val="0"/>
        <w:adjustRightInd w:val="0"/>
        <w:spacing w:before="31"/>
        <w:ind w:left="144"/>
        <w:jc w:val="left"/>
        <w:rPr>
          <w:rFonts w:hint="eastAsia" w:ascii="宋体"/>
          <w:color w:val="auto"/>
          <w:sz w:val="22"/>
          <w:highlight w:val="none"/>
        </w:rPr>
        <w:sectPr>
          <w:footerReference r:id="rId23" w:type="default"/>
          <w:pgSz w:w="11907" w:h="16860"/>
          <w:pgMar w:top="1083" w:right="1480" w:bottom="1259" w:left="1500" w:header="964" w:footer="1077" w:gutter="0"/>
          <w:lnNumType w:countBy="0" w:distance="360"/>
          <w:pgNumType w:fmt="decimal"/>
          <w:cols w:space="720" w:num="1"/>
        </w:sectPr>
      </w:pPr>
    </w:p>
    <w:p w14:paraId="0F71EE03">
      <w:pPr>
        <w:pStyle w:val="4"/>
        <w:bidi w:val="0"/>
        <w:jc w:val="center"/>
        <w:rPr>
          <w:color w:val="auto"/>
          <w:highlight w:val="none"/>
        </w:rPr>
      </w:pPr>
      <w:r>
        <w:rPr>
          <w:color w:val="auto"/>
          <w:highlight w:val="none"/>
        </w:rPr>
        <w:t>B. 项目专用合同条款</w:t>
      </w:r>
    </w:p>
    <w:p w14:paraId="67C5512D">
      <w:pPr>
        <w:spacing w:line="464" w:lineRule="auto"/>
        <w:rPr>
          <w:rFonts w:ascii="Arial"/>
          <w:color w:val="auto"/>
          <w:sz w:val="21"/>
          <w:highlight w:val="none"/>
        </w:rPr>
      </w:pPr>
    </w:p>
    <w:p w14:paraId="6D1DA6EC">
      <w:pPr>
        <w:spacing w:before="78" w:line="219" w:lineRule="auto"/>
        <w:ind w:left="14"/>
        <w:rPr>
          <w:rFonts w:ascii="宋体" w:hAnsi="宋体" w:eastAsia="宋体" w:cs="宋体"/>
          <w:color w:val="auto"/>
          <w:sz w:val="24"/>
          <w:szCs w:val="24"/>
          <w:highlight w:val="none"/>
        </w:rPr>
      </w:pPr>
      <w:r>
        <w:rPr>
          <w:rFonts w:ascii="宋体" w:hAnsi="宋体" w:eastAsia="宋体" w:cs="宋体"/>
          <w:color w:val="auto"/>
          <w:spacing w:val="-15"/>
          <w:sz w:val="24"/>
          <w:szCs w:val="24"/>
          <w:highlight w:val="none"/>
        </w:rPr>
        <w:t>说</w:t>
      </w:r>
      <w:r>
        <w:rPr>
          <w:rFonts w:ascii="宋体" w:hAnsi="宋体" w:eastAsia="宋体" w:cs="宋体"/>
          <w:color w:val="auto"/>
          <w:spacing w:val="15"/>
          <w:sz w:val="24"/>
          <w:szCs w:val="24"/>
          <w:highlight w:val="none"/>
        </w:rPr>
        <w:t xml:space="preserve">  </w:t>
      </w:r>
      <w:r>
        <w:rPr>
          <w:rFonts w:ascii="宋体" w:hAnsi="宋体" w:eastAsia="宋体" w:cs="宋体"/>
          <w:color w:val="auto"/>
          <w:spacing w:val="-15"/>
          <w:sz w:val="24"/>
          <w:szCs w:val="24"/>
          <w:highlight w:val="none"/>
        </w:rPr>
        <w:t>明：</w:t>
      </w:r>
    </w:p>
    <w:p w14:paraId="66B25900">
      <w:pPr>
        <w:spacing w:before="238" w:line="308" w:lineRule="auto"/>
        <w:ind w:right="93" w:firstLine="45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1.招标人在根据《公路工程标准施工监理招标文件》编制项目招标文件中的“项目</w:t>
      </w:r>
      <w:r>
        <w:rPr>
          <w:rFonts w:ascii="宋体" w:hAnsi="宋体" w:eastAsia="宋体" w:cs="宋体"/>
          <w:color w:val="auto"/>
          <w:spacing w:val="3"/>
          <w:sz w:val="24"/>
          <w:szCs w:val="24"/>
          <w:highlight w:val="none"/>
        </w:rPr>
        <w:t>专用合同条款</w:t>
      </w:r>
      <w:r>
        <w:rPr>
          <w:rFonts w:ascii="宋体" w:hAnsi="宋体" w:eastAsia="宋体" w:cs="宋体"/>
          <w:color w:val="auto"/>
          <w:spacing w:val="-75"/>
          <w:sz w:val="24"/>
          <w:szCs w:val="24"/>
          <w:highlight w:val="none"/>
        </w:rPr>
        <w:t xml:space="preserve"> </w:t>
      </w:r>
      <w:r>
        <w:rPr>
          <w:rFonts w:ascii="宋体" w:hAnsi="宋体" w:eastAsia="宋体" w:cs="宋体"/>
          <w:color w:val="auto"/>
          <w:spacing w:val="3"/>
          <w:sz w:val="24"/>
          <w:szCs w:val="24"/>
          <w:highlight w:val="none"/>
        </w:rPr>
        <w:t>”时，可根据招标项目的具体特点和实际需要，对“通用合同条款</w:t>
      </w:r>
      <w:r>
        <w:rPr>
          <w:rFonts w:ascii="宋体" w:hAnsi="宋体" w:eastAsia="宋体" w:cs="宋体"/>
          <w:color w:val="auto"/>
          <w:spacing w:val="-83"/>
          <w:sz w:val="24"/>
          <w:szCs w:val="24"/>
          <w:highlight w:val="none"/>
        </w:rPr>
        <w:t xml:space="preserve"> </w:t>
      </w:r>
      <w:r>
        <w:rPr>
          <w:rFonts w:ascii="宋体" w:hAnsi="宋体" w:eastAsia="宋体" w:cs="宋体"/>
          <w:color w:val="auto"/>
          <w:spacing w:val="3"/>
          <w:sz w:val="24"/>
          <w:szCs w:val="24"/>
          <w:highlight w:val="none"/>
        </w:rPr>
        <w:t>”及“公路工程专用合同条款</w:t>
      </w:r>
      <w:r>
        <w:rPr>
          <w:rFonts w:ascii="宋体" w:hAnsi="宋体" w:eastAsia="宋体" w:cs="宋体"/>
          <w:color w:val="auto"/>
          <w:spacing w:val="-75"/>
          <w:sz w:val="24"/>
          <w:szCs w:val="24"/>
          <w:highlight w:val="none"/>
        </w:rPr>
        <w:t xml:space="preserve"> </w:t>
      </w:r>
      <w:r>
        <w:rPr>
          <w:rFonts w:ascii="宋体" w:hAnsi="宋体" w:eastAsia="宋体" w:cs="宋体"/>
          <w:color w:val="auto"/>
          <w:spacing w:val="3"/>
          <w:sz w:val="24"/>
          <w:szCs w:val="24"/>
          <w:highlight w:val="none"/>
        </w:rPr>
        <w:t>”进行补充和细化，除“通用合同条款</w:t>
      </w:r>
      <w:r>
        <w:rPr>
          <w:rFonts w:ascii="宋体" w:hAnsi="宋体" w:eastAsia="宋体" w:cs="宋体"/>
          <w:color w:val="auto"/>
          <w:spacing w:val="-83"/>
          <w:sz w:val="24"/>
          <w:szCs w:val="24"/>
          <w:highlight w:val="none"/>
        </w:rPr>
        <w:t xml:space="preserve"> </w:t>
      </w:r>
      <w:r>
        <w:rPr>
          <w:rFonts w:ascii="宋体" w:hAnsi="宋体" w:eastAsia="宋体" w:cs="宋体"/>
          <w:color w:val="auto"/>
          <w:spacing w:val="3"/>
          <w:sz w:val="24"/>
          <w:szCs w:val="24"/>
          <w:highlight w:val="none"/>
        </w:rPr>
        <w:t>”明确“专用合同条</w:t>
      </w:r>
      <w:r>
        <w:rPr>
          <w:rFonts w:ascii="宋体" w:hAnsi="宋体" w:eastAsia="宋体" w:cs="宋体"/>
          <w:color w:val="auto"/>
          <w:spacing w:val="2"/>
          <w:sz w:val="24"/>
          <w:szCs w:val="24"/>
          <w:highlight w:val="none"/>
        </w:rPr>
        <w:t>款</w:t>
      </w:r>
      <w:r>
        <w:rPr>
          <w:rFonts w:ascii="宋体" w:hAnsi="宋体" w:eastAsia="宋体" w:cs="宋体"/>
          <w:color w:val="auto"/>
          <w:spacing w:val="-75"/>
          <w:sz w:val="24"/>
          <w:szCs w:val="24"/>
          <w:highlight w:val="none"/>
        </w:rPr>
        <w:t xml:space="preserve"> </w:t>
      </w:r>
      <w:r>
        <w:rPr>
          <w:rFonts w:ascii="宋体" w:hAnsi="宋体" w:eastAsia="宋体" w:cs="宋体"/>
          <w:color w:val="auto"/>
          <w:spacing w:val="2"/>
          <w:sz w:val="24"/>
          <w:szCs w:val="24"/>
          <w:highlight w:val="none"/>
        </w:rPr>
        <w:t>”可作出不同约定以及“公路工程专用合同条款</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”明确“项目专用合同条款</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”可作</w:t>
      </w:r>
      <w:r>
        <w:rPr>
          <w:rFonts w:ascii="宋体" w:hAnsi="宋体" w:eastAsia="宋体" w:cs="宋体"/>
          <w:color w:val="auto"/>
          <w:spacing w:val="4"/>
          <w:sz w:val="24"/>
          <w:szCs w:val="24"/>
          <w:highlight w:val="none"/>
        </w:rPr>
        <w:t>出不同约定外，补充和细化的内容不得与“通用合同条款</w:t>
      </w:r>
      <w:r>
        <w:rPr>
          <w:rFonts w:ascii="宋体" w:hAnsi="宋体" w:eastAsia="宋体" w:cs="宋体"/>
          <w:color w:val="auto"/>
          <w:spacing w:val="-75"/>
          <w:sz w:val="24"/>
          <w:szCs w:val="24"/>
          <w:highlight w:val="none"/>
        </w:rPr>
        <w:t xml:space="preserve"> </w:t>
      </w:r>
      <w:r>
        <w:rPr>
          <w:rFonts w:ascii="宋体" w:hAnsi="宋体" w:eastAsia="宋体" w:cs="宋体"/>
          <w:color w:val="auto"/>
          <w:spacing w:val="4"/>
          <w:sz w:val="24"/>
          <w:szCs w:val="24"/>
          <w:highlight w:val="none"/>
        </w:rPr>
        <w:t>”及“公路工程专用合同条款</w:t>
      </w:r>
      <w:r>
        <w:rPr>
          <w:rFonts w:ascii="宋体" w:hAnsi="宋体" w:eastAsia="宋体" w:cs="宋体"/>
          <w:color w:val="auto"/>
          <w:spacing w:val="-73"/>
          <w:sz w:val="24"/>
          <w:szCs w:val="24"/>
          <w:highlight w:val="none"/>
        </w:rPr>
        <w:t xml:space="preserve"> </w:t>
      </w:r>
      <w:r>
        <w:rPr>
          <w:rFonts w:ascii="宋体" w:hAnsi="宋体" w:eastAsia="宋体" w:cs="宋体"/>
          <w:color w:val="auto"/>
          <w:spacing w:val="4"/>
          <w:sz w:val="24"/>
          <w:szCs w:val="24"/>
          <w:highlight w:val="none"/>
        </w:rPr>
        <w:t>”强制性规定相抵触。同时，补充、细化或约定的内容，不得违反法律、行政法规</w:t>
      </w:r>
      <w:r>
        <w:rPr>
          <w:rFonts w:ascii="宋体" w:hAnsi="宋体" w:eastAsia="宋体" w:cs="宋体"/>
          <w:color w:val="auto"/>
          <w:spacing w:val="-2"/>
          <w:sz w:val="24"/>
          <w:szCs w:val="24"/>
          <w:highlight w:val="none"/>
        </w:rPr>
        <w:t>的强制性规定和平等、</w:t>
      </w:r>
      <w:r>
        <w:rPr>
          <w:rFonts w:ascii="宋体" w:hAnsi="宋体" w:eastAsia="宋体" w:cs="宋体"/>
          <w:color w:val="auto"/>
          <w:spacing w:val="-71"/>
          <w:sz w:val="24"/>
          <w:szCs w:val="24"/>
          <w:highlight w:val="none"/>
        </w:rPr>
        <w:t xml:space="preserve"> </w:t>
      </w:r>
      <w:r>
        <w:rPr>
          <w:rFonts w:ascii="宋体" w:hAnsi="宋体" w:eastAsia="宋体" w:cs="宋体"/>
          <w:color w:val="auto"/>
          <w:spacing w:val="-2"/>
          <w:sz w:val="24"/>
          <w:szCs w:val="24"/>
          <w:highlight w:val="none"/>
        </w:rPr>
        <w:t>自愿、公平和诚实信用原</w:t>
      </w:r>
      <w:r>
        <w:rPr>
          <w:rFonts w:ascii="宋体" w:hAnsi="宋体" w:eastAsia="宋体" w:cs="宋体"/>
          <w:color w:val="auto"/>
          <w:spacing w:val="-3"/>
          <w:sz w:val="24"/>
          <w:szCs w:val="24"/>
          <w:highlight w:val="none"/>
        </w:rPr>
        <w:t>则。</w:t>
      </w:r>
    </w:p>
    <w:p w14:paraId="390752D9">
      <w:pPr>
        <w:spacing w:before="115" w:line="219" w:lineRule="auto"/>
        <w:ind w:left="439"/>
        <w:rPr>
          <w:rFonts w:ascii="宋体" w:hAnsi="宋体" w:eastAsia="宋体" w:cs="宋体"/>
          <w:color w:val="auto"/>
          <w:sz w:val="24"/>
          <w:szCs w:val="24"/>
          <w:highlight w:val="none"/>
        </w:rPr>
      </w:pPr>
      <w:r>
        <w:rPr>
          <w:rFonts w:ascii="宋体" w:hAnsi="宋体" w:eastAsia="宋体" w:cs="宋体"/>
          <w:color w:val="auto"/>
          <w:sz w:val="24"/>
          <w:szCs w:val="24"/>
          <w:highlight w:val="none"/>
        </w:rPr>
        <w:t>2.项目专用合同条款的编号应与通用合同条款</w:t>
      </w:r>
      <w:r>
        <w:rPr>
          <w:rFonts w:ascii="宋体" w:hAnsi="宋体" w:eastAsia="宋体" w:cs="宋体"/>
          <w:color w:val="auto"/>
          <w:spacing w:val="-1"/>
          <w:sz w:val="24"/>
          <w:szCs w:val="24"/>
          <w:highlight w:val="none"/>
        </w:rPr>
        <w:t>和公路工程专用合同条款一致。</w:t>
      </w:r>
    </w:p>
    <w:p w14:paraId="72B61B18">
      <w:pPr>
        <w:spacing w:before="234" w:line="219" w:lineRule="auto"/>
        <w:ind w:left="44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3.项目专用合同条款可对下列内容进行补充和细化：</w:t>
      </w:r>
    </w:p>
    <w:p w14:paraId="2156E31D">
      <w:pPr>
        <w:spacing w:before="234" w:line="309" w:lineRule="auto"/>
        <w:ind w:left="12" w:right="95" w:firstLine="46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(1)“通用合同条款</w:t>
      </w:r>
      <w:r>
        <w:rPr>
          <w:rFonts w:ascii="宋体" w:hAnsi="宋体" w:eastAsia="宋体" w:cs="宋体"/>
          <w:color w:val="auto"/>
          <w:spacing w:val="-78"/>
          <w:sz w:val="24"/>
          <w:szCs w:val="24"/>
          <w:highlight w:val="none"/>
        </w:rPr>
        <w:t xml:space="preserve"> </w:t>
      </w:r>
      <w:r>
        <w:rPr>
          <w:rFonts w:ascii="宋体" w:hAnsi="宋体" w:eastAsia="宋体" w:cs="宋体"/>
          <w:color w:val="auto"/>
          <w:spacing w:val="-1"/>
          <w:sz w:val="24"/>
          <w:szCs w:val="24"/>
          <w:highlight w:val="none"/>
        </w:rPr>
        <w:t>”中明确指出“专用合同条款</w:t>
      </w:r>
      <w:r>
        <w:rPr>
          <w:rFonts w:ascii="宋体" w:hAnsi="宋体" w:eastAsia="宋体" w:cs="宋体"/>
          <w:color w:val="auto"/>
          <w:spacing w:val="-85"/>
          <w:sz w:val="24"/>
          <w:szCs w:val="24"/>
          <w:highlight w:val="none"/>
        </w:rPr>
        <w:t xml:space="preserve"> </w:t>
      </w:r>
      <w:r>
        <w:rPr>
          <w:rFonts w:ascii="宋体" w:hAnsi="宋体" w:eastAsia="宋体" w:cs="宋体"/>
          <w:color w:val="auto"/>
          <w:spacing w:val="-1"/>
          <w:sz w:val="24"/>
          <w:szCs w:val="24"/>
          <w:highlight w:val="none"/>
        </w:rPr>
        <w:t>”可对“通用合同条款</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”进行修改的内容(在“通用合同条款</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”中用“应按合同约定</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”“应按专用合同</w:t>
      </w:r>
      <w:r>
        <w:rPr>
          <w:rFonts w:ascii="宋体" w:hAnsi="宋体" w:eastAsia="宋体" w:cs="宋体"/>
          <w:color w:val="auto"/>
          <w:spacing w:val="-2"/>
          <w:sz w:val="24"/>
          <w:szCs w:val="24"/>
          <w:highlight w:val="none"/>
        </w:rPr>
        <w:t>条款约定</w:t>
      </w:r>
      <w:r>
        <w:rPr>
          <w:rFonts w:ascii="宋体" w:hAnsi="宋体" w:eastAsia="宋体" w:cs="宋体"/>
          <w:color w:val="auto"/>
          <w:spacing w:val="-83"/>
          <w:sz w:val="24"/>
          <w:szCs w:val="24"/>
          <w:highlight w:val="none"/>
        </w:rPr>
        <w:t xml:space="preserve"> </w:t>
      </w:r>
      <w:r>
        <w:rPr>
          <w:rFonts w:ascii="宋体" w:hAnsi="宋体" w:eastAsia="宋体" w:cs="宋体"/>
          <w:color w:val="auto"/>
          <w:spacing w:val="-2"/>
          <w:sz w:val="24"/>
          <w:szCs w:val="24"/>
          <w:highlight w:val="none"/>
        </w:rPr>
        <w:t>”“除</w:t>
      </w:r>
      <w:r>
        <w:rPr>
          <w:rFonts w:ascii="宋体" w:hAnsi="宋体" w:eastAsia="宋体" w:cs="宋体"/>
          <w:color w:val="auto"/>
          <w:spacing w:val="1"/>
          <w:sz w:val="24"/>
          <w:szCs w:val="24"/>
          <w:highlight w:val="none"/>
        </w:rPr>
        <w:t>合同另有约定外</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w:t>
      </w:r>
      <w:r>
        <w:rPr>
          <w:rFonts w:ascii="宋体" w:hAnsi="宋体" w:eastAsia="宋体" w:cs="宋体"/>
          <w:color w:val="auto"/>
          <w:spacing w:val="-91"/>
          <w:sz w:val="24"/>
          <w:szCs w:val="24"/>
          <w:highlight w:val="none"/>
        </w:rPr>
        <w:t xml:space="preserve"> </w:t>
      </w:r>
      <w:r>
        <w:rPr>
          <w:rFonts w:ascii="宋体" w:hAnsi="宋体" w:eastAsia="宋体" w:cs="宋体"/>
          <w:color w:val="auto"/>
          <w:spacing w:val="1"/>
          <w:sz w:val="24"/>
          <w:szCs w:val="24"/>
          <w:highlight w:val="none"/>
        </w:rPr>
        <w:t>除专用合同条款另有约定外</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”“在专用合同条款中约定</w:t>
      </w:r>
      <w:r>
        <w:rPr>
          <w:rFonts w:ascii="宋体" w:hAnsi="宋体" w:eastAsia="宋体" w:cs="宋体"/>
          <w:color w:val="auto"/>
          <w:spacing w:val="-81"/>
          <w:sz w:val="24"/>
          <w:szCs w:val="24"/>
          <w:highlight w:val="none"/>
        </w:rPr>
        <w:t xml:space="preserve"> </w:t>
      </w:r>
      <w:r>
        <w:rPr>
          <w:rFonts w:ascii="宋体" w:hAnsi="宋体" w:eastAsia="宋体" w:cs="宋体"/>
          <w:color w:val="auto"/>
          <w:spacing w:val="1"/>
          <w:sz w:val="24"/>
          <w:szCs w:val="24"/>
          <w:highlight w:val="none"/>
        </w:rPr>
        <w:t>”</w:t>
      </w:r>
      <w:r>
        <w:rPr>
          <w:rFonts w:ascii="宋体" w:hAnsi="宋体" w:eastAsia="宋体" w:cs="宋体"/>
          <w:color w:val="auto"/>
          <w:sz w:val="24"/>
          <w:szCs w:val="24"/>
          <w:highlight w:val="none"/>
        </w:rPr>
        <w:t>等多种</w:t>
      </w:r>
      <w:r>
        <w:rPr>
          <w:rFonts w:ascii="宋体" w:hAnsi="宋体" w:eastAsia="宋体" w:cs="宋体"/>
          <w:color w:val="auto"/>
          <w:spacing w:val="-2"/>
          <w:sz w:val="24"/>
          <w:szCs w:val="24"/>
          <w:highlight w:val="none"/>
        </w:rPr>
        <w:t>文字形式表达)；</w:t>
      </w:r>
    </w:p>
    <w:p w14:paraId="0BEC3E30">
      <w:pPr>
        <w:spacing w:before="114" w:line="309" w:lineRule="auto"/>
        <w:ind w:left="12" w:right="93" w:firstLine="466"/>
        <w:rPr>
          <w:rFonts w:ascii="宋体" w:hAnsi="宋体" w:eastAsia="宋体" w:cs="宋体"/>
          <w:color w:val="auto"/>
          <w:sz w:val="24"/>
          <w:szCs w:val="24"/>
          <w:highlight w:val="none"/>
        </w:rPr>
      </w:pPr>
      <w:r>
        <w:rPr>
          <w:rFonts w:ascii="宋体" w:hAnsi="宋体" w:eastAsia="宋体" w:cs="宋体"/>
          <w:color w:val="auto"/>
          <w:sz w:val="24"/>
          <w:szCs w:val="24"/>
          <w:highlight w:val="none"/>
        </w:rPr>
        <w:t>(2)“公路工程专用合同条款</w:t>
      </w:r>
      <w:r>
        <w:rPr>
          <w:rFonts w:ascii="宋体" w:hAnsi="宋体" w:eastAsia="宋体" w:cs="宋体"/>
          <w:color w:val="auto"/>
          <w:spacing w:val="-80"/>
          <w:sz w:val="24"/>
          <w:szCs w:val="24"/>
          <w:highlight w:val="none"/>
        </w:rPr>
        <w:t xml:space="preserve"> </w:t>
      </w:r>
      <w:r>
        <w:rPr>
          <w:rFonts w:ascii="宋体" w:hAnsi="宋体" w:eastAsia="宋体" w:cs="宋体"/>
          <w:color w:val="auto"/>
          <w:sz w:val="24"/>
          <w:szCs w:val="24"/>
          <w:highlight w:val="none"/>
        </w:rPr>
        <w:t>”中明确指出“项目专用合同条款</w:t>
      </w:r>
      <w:r>
        <w:rPr>
          <w:rFonts w:ascii="宋体" w:hAnsi="宋体" w:eastAsia="宋体" w:cs="宋体"/>
          <w:color w:val="auto"/>
          <w:spacing w:val="-86"/>
          <w:sz w:val="24"/>
          <w:szCs w:val="24"/>
          <w:highlight w:val="none"/>
        </w:rPr>
        <w:t xml:space="preserve"> </w:t>
      </w:r>
      <w:r>
        <w:rPr>
          <w:rFonts w:ascii="宋体" w:hAnsi="宋体" w:eastAsia="宋体" w:cs="宋体"/>
          <w:color w:val="auto"/>
          <w:sz w:val="24"/>
          <w:szCs w:val="24"/>
          <w:highlight w:val="none"/>
        </w:rPr>
        <w:t>”可对“公路工程专用合同条款</w:t>
      </w:r>
      <w:r>
        <w:rPr>
          <w:rFonts w:ascii="宋体" w:hAnsi="宋体" w:eastAsia="宋体" w:cs="宋体"/>
          <w:color w:val="auto"/>
          <w:spacing w:val="-85"/>
          <w:sz w:val="24"/>
          <w:szCs w:val="24"/>
          <w:highlight w:val="none"/>
        </w:rPr>
        <w:t xml:space="preserve"> </w:t>
      </w:r>
      <w:r>
        <w:rPr>
          <w:rFonts w:ascii="宋体" w:hAnsi="宋体" w:eastAsia="宋体" w:cs="宋体"/>
          <w:color w:val="auto"/>
          <w:sz w:val="24"/>
          <w:szCs w:val="24"/>
          <w:highlight w:val="none"/>
        </w:rPr>
        <w:t>”进行修改的内容(在“公路工程专用合同条款</w:t>
      </w:r>
      <w:r>
        <w:rPr>
          <w:rFonts w:ascii="宋体" w:hAnsi="宋体" w:eastAsia="宋体" w:cs="宋体"/>
          <w:color w:val="auto"/>
          <w:spacing w:val="-86"/>
          <w:sz w:val="24"/>
          <w:szCs w:val="24"/>
          <w:highlight w:val="none"/>
        </w:rPr>
        <w:t xml:space="preserve"> </w:t>
      </w:r>
      <w:r>
        <w:rPr>
          <w:rFonts w:ascii="宋体" w:hAnsi="宋体" w:eastAsia="宋体" w:cs="宋体"/>
          <w:color w:val="auto"/>
          <w:sz w:val="24"/>
          <w:szCs w:val="24"/>
          <w:highlight w:val="none"/>
        </w:rPr>
        <w:t>”中</w:t>
      </w:r>
      <w:r>
        <w:rPr>
          <w:rFonts w:ascii="宋体" w:hAnsi="宋体" w:eastAsia="宋体" w:cs="宋体"/>
          <w:color w:val="auto"/>
          <w:spacing w:val="-1"/>
          <w:sz w:val="24"/>
          <w:szCs w:val="24"/>
          <w:highlight w:val="none"/>
        </w:rPr>
        <w:t>用“除项目专用合同</w:t>
      </w:r>
      <w:r>
        <w:rPr>
          <w:rFonts w:ascii="宋体" w:hAnsi="宋体" w:eastAsia="宋体" w:cs="宋体"/>
          <w:color w:val="auto"/>
          <w:spacing w:val="3"/>
          <w:sz w:val="24"/>
          <w:szCs w:val="24"/>
          <w:highlight w:val="none"/>
        </w:rPr>
        <w:t>条款另有约定外</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”“项目专用合同条款可能约定的</w:t>
      </w:r>
      <w:r>
        <w:rPr>
          <w:rFonts w:ascii="宋体" w:hAnsi="宋体" w:eastAsia="宋体" w:cs="宋体"/>
          <w:color w:val="auto"/>
          <w:spacing w:val="-83"/>
          <w:sz w:val="24"/>
          <w:szCs w:val="24"/>
          <w:highlight w:val="none"/>
        </w:rPr>
        <w:t xml:space="preserve"> </w:t>
      </w:r>
      <w:r>
        <w:rPr>
          <w:rFonts w:ascii="宋体" w:hAnsi="宋体" w:eastAsia="宋体" w:cs="宋体"/>
          <w:color w:val="auto"/>
          <w:spacing w:val="3"/>
          <w:sz w:val="24"/>
          <w:szCs w:val="24"/>
          <w:highlight w:val="none"/>
        </w:rPr>
        <w:t>”“项目专用合同条款约</w:t>
      </w:r>
      <w:r>
        <w:rPr>
          <w:rFonts w:ascii="宋体" w:hAnsi="宋体" w:eastAsia="宋体" w:cs="宋体"/>
          <w:color w:val="auto"/>
          <w:spacing w:val="2"/>
          <w:sz w:val="24"/>
          <w:szCs w:val="24"/>
          <w:highlight w:val="none"/>
        </w:rPr>
        <w:t>定的其他</w:t>
      </w:r>
      <w:r>
        <w:rPr>
          <w:rFonts w:ascii="宋体" w:hAnsi="宋体" w:eastAsia="宋体" w:cs="宋体"/>
          <w:color w:val="auto"/>
          <w:spacing w:val="-4"/>
          <w:sz w:val="24"/>
          <w:szCs w:val="24"/>
          <w:highlight w:val="none"/>
        </w:rPr>
        <w:t>情形</w:t>
      </w:r>
      <w:r>
        <w:rPr>
          <w:rFonts w:ascii="宋体" w:hAnsi="宋体" w:eastAsia="宋体" w:cs="宋体"/>
          <w:color w:val="auto"/>
          <w:spacing w:val="-76"/>
          <w:sz w:val="24"/>
          <w:szCs w:val="24"/>
          <w:highlight w:val="none"/>
        </w:rPr>
        <w:t xml:space="preserve"> </w:t>
      </w:r>
      <w:r>
        <w:rPr>
          <w:rFonts w:ascii="宋体" w:hAnsi="宋体" w:eastAsia="宋体" w:cs="宋体"/>
          <w:color w:val="auto"/>
          <w:spacing w:val="-4"/>
          <w:sz w:val="24"/>
          <w:szCs w:val="24"/>
          <w:highlight w:val="none"/>
        </w:rPr>
        <w:t>”等多种文字形式表达)。</w:t>
      </w:r>
    </w:p>
    <w:p w14:paraId="0F5D702C">
      <w:pPr>
        <w:spacing w:before="113" w:line="219" w:lineRule="auto"/>
        <w:ind w:left="478"/>
        <w:rPr>
          <w:rFonts w:ascii="宋体" w:hAnsi="宋体" w:eastAsia="宋体" w:cs="宋体"/>
          <w:color w:val="auto"/>
          <w:sz w:val="24"/>
          <w:szCs w:val="24"/>
          <w:highlight w:val="none"/>
        </w:rPr>
      </w:pPr>
      <w:bookmarkStart w:id="330" w:name="bookmark170"/>
      <w:bookmarkEnd w:id="330"/>
      <w:r>
        <w:rPr>
          <w:rFonts w:ascii="宋体" w:hAnsi="宋体" w:eastAsia="宋体" w:cs="宋体"/>
          <w:color w:val="auto"/>
          <w:spacing w:val="-4"/>
          <w:sz w:val="24"/>
          <w:szCs w:val="24"/>
          <w:highlight w:val="none"/>
        </w:rPr>
        <w:t>(3)其他需要补充、细化的内容。</w:t>
      </w:r>
    </w:p>
    <w:p w14:paraId="322DE2EC">
      <w:pPr>
        <w:spacing w:line="254" w:lineRule="auto"/>
        <w:rPr>
          <w:rFonts w:ascii="Arial"/>
          <w:color w:val="auto"/>
          <w:sz w:val="21"/>
          <w:highlight w:val="none"/>
        </w:rPr>
      </w:pPr>
    </w:p>
    <w:p w14:paraId="0D52ADFB">
      <w:pPr>
        <w:spacing w:line="254" w:lineRule="auto"/>
        <w:rPr>
          <w:rFonts w:ascii="Arial"/>
          <w:color w:val="auto"/>
          <w:sz w:val="21"/>
          <w:highlight w:val="none"/>
        </w:rPr>
      </w:pPr>
    </w:p>
    <w:p w14:paraId="2C85B385">
      <w:pPr>
        <w:spacing w:line="254" w:lineRule="auto"/>
        <w:rPr>
          <w:rFonts w:ascii="Arial"/>
          <w:color w:val="auto"/>
          <w:sz w:val="21"/>
          <w:highlight w:val="none"/>
        </w:rPr>
      </w:pPr>
    </w:p>
    <w:p w14:paraId="6BC38A5A">
      <w:pPr>
        <w:spacing w:line="254" w:lineRule="auto"/>
        <w:rPr>
          <w:rFonts w:ascii="Arial"/>
          <w:color w:val="auto"/>
          <w:sz w:val="21"/>
          <w:highlight w:val="none"/>
        </w:rPr>
      </w:pPr>
    </w:p>
    <w:p w14:paraId="2605359C">
      <w:pPr>
        <w:spacing w:line="254" w:lineRule="auto"/>
        <w:rPr>
          <w:rFonts w:ascii="Arial"/>
          <w:color w:val="auto"/>
          <w:sz w:val="21"/>
          <w:highlight w:val="none"/>
        </w:rPr>
      </w:pPr>
    </w:p>
    <w:p w14:paraId="0D68D648">
      <w:pPr>
        <w:spacing w:line="255" w:lineRule="auto"/>
        <w:rPr>
          <w:rFonts w:ascii="Arial"/>
          <w:color w:val="auto"/>
          <w:sz w:val="21"/>
          <w:highlight w:val="none"/>
        </w:rPr>
      </w:pPr>
    </w:p>
    <w:p w14:paraId="04070D01">
      <w:pPr>
        <w:spacing w:line="255" w:lineRule="auto"/>
        <w:rPr>
          <w:rFonts w:ascii="Arial"/>
          <w:color w:val="auto"/>
          <w:sz w:val="21"/>
          <w:highlight w:val="none"/>
        </w:rPr>
      </w:pPr>
    </w:p>
    <w:p w14:paraId="1CE00C5F">
      <w:pPr>
        <w:spacing w:line="255" w:lineRule="auto"/>
        <w:rPr>
          <w:rFonts w:ascii="Arial"/>
          <w:color w:val="auto"/>
          <w:sz w:val="21"/>
          <w:highlight w:val="none"/>
        </w:rPr>
      </w:pPr>
    </w:p>
    <w:p w14:paraId="3B6F6D5D">
      <w:pPr>
        <w:spacing w:line="255" w:lineRule="auto"/>
        <w:rPr>
          <w:rFonts w:ascii="Arial"/>
          <w:color w:val="auto"/>
          <w:sz w:val="21"/>
          <w:highlight w:val="none"/>
        </w:rPr>
      </w:pPr>
    </w:p>
    <w:p w14:paraId="50EFE15F">
      <w:pPr>
        <w:spacing w:line="255" w:lineRule="auto"/>
        <w:rPr>
          <w:rFonts w:ascii="Arial"/>
          <w:color w:val="auto"/>
          <w:sz w:val="21"/>
          <w:highlight w:val="none"/>
        </w:rPr>
      </w:pPr>
    </w:p>
    <w:p w14:paraId="70B60DDA">
      <w:pPr>
        <w:spacing w:line="255" w:lineRule="auto"/>
        <w:rPr>
          <w:rFonts w:ascii="Arial"/>
          <w:color w:val="auto"/>
          <w:sz w:val="21"/>
          <w:highlight w:val="none"/>
        </w:rPr>
      </w:pPr>
    </w:p>
    <w:p w14:paraId="0A19D26B">
      <w:pPr>
        <w:spacing w:line="255" w:lineRule="auto"/>
        <w:rPr>
          <w:rFonts w:ascii="Arial"/>
          <w:color w:val="auto"/>
          <w:sz w:val="21"/>
          <w:highlight w:val="none"/>
        </w:rPr>
      </w:pPr>
    </w:p>
    <w:p w14:paraId="6C0A5DA1">
      <w:pPr>
        <w:rPr>
          <w:rFonts w:ascii="宋体" w:hAnsi="宋体" w:eastAsia="宋体" w:cs="宋体"/>
          <w:color w:val="auto"/>
          <w:sz w:val="18"/>
          <w:szCs w:val="18"/>
          <w:highlight w:val="none"/>
        </w:rPr>
        <w:sectPr>
          <w:footerReference r:id="rId24" w:type="default"/>
          <w:pgSz w:w="11905" w:h="16838"/>
          <w:pgMar w:top="1134" w:right="1134" w:bottom="1134" w:left="1134" w:header="0" w:footer="1066" w:gutter="0"/>
          <w:pgNumType w:fmt="decimal"/>
          <w:cols w:space="0" w:num="1"/>
          <w:rtlGutter w:val="0"/>
          <w:docGrid w:linePitch="0" w:charSpace="0"/>
        </w:sectPr>
      </w:pPr>
      <w:bookmarkStart w:id="331" w:name="bookmark171"/>
      <w:bookmarkEnd w:id="331"/>
    </w:p>
    <w:p w14:paraId="554BC8F8">
      <w:pPr>
        <w:pStyle w:val="5"/>
        <w:bidi w:val="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1.</w:t>
      </w:r>
      <w:r>
        <w:rPr>
          <w:rFonts w:ascii="宋体" w:hAnsi="宋体" w:eastAsia="宋体" w:cs="宋体"/>
          <w:color w:val="auto"/>
          <w:spacing w:val="15"/>
          <w:sz w:val="24"/>
          <w:szCs w:val="24"/>
          <w:highlight w:val="none"/>
        </w:rPr>
        <w:t xml:space="preserve"> </w:t>
      </w:r>
      <w:r>
        <w:rPr>
          <w:rFonts w:ascii="宋体" w:hAnsi="宋体" w:eastAsia="宋体" w:cs="宋体"/>
          <w:b/>
          <w:bCs/>
          <w:color w:val="auto"/>
          <w:spacing w:val="-9"/>
          <w:sz w:val="24"/>
          <w:szCs w:val="24"/>
          <w:highlight w:val="none"/>
        </w:rPr>
        <w:t>一般约定</w:t>
      </w:r>
    </w:p>
    <w:p w14:paraId="539D3AF8">
      <w:pPr>
        <w:spacing w:before="292" w:line="220" w:lineRule="auto"/>
        <w:ind w:left="26"/>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1.1</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8"/>
          <w:sz w:val="24"/>
          <w:szCs w:val="24"/>
          <w:highlight w:val="none"/>
        </w:rPr>
        <w:t>词语定义</w:t>
      </w:r>
    </w:p>
    <w:p w14:paraId="01468DC5">
      <w:pPr>
        <w:spacing w:line="342" w:lineRule="auto"/>
        <w:rPr>
          <w:rFonts w:ascii="Arial"/>
          <w:color w:val="auto"/>
          <w:sz w:val="21"/>
          <w:highlight w:val="none"/>
        </w:rPr>
      </w:pPr>
    </w:p>
    <w:p w14:paraId="1D2DE99A">
      <w:pPr>
        <w:keepNext w:val="0"/>
        <w:keepLines w:val="0"/>
        <w:pageBreakBefore w:val="0"/>
        <w:widowControl/>
        <w:kinsoku w:val="0"/>
        <w:wordWrap/>
        <w:overflowPunct/>
        <w:topLinePunct w:val="0"/>
        <w:autoSpaceDE w:val="0"/>
        <w:autoSpaceDN w:val="0"/>
        <w:bidi w:val="0"/>
        <w:adjustRightInd w:val="0"/>
        <w:snapToGrid w:val="0"/>
        <w:spacing w:line="360" w:lineRule="auto"/>
        <w:ind w:left="465"/>
        <w:textAlignment w:val="baseline"/>
        <w:rPr>
          <w:rFonts w:ascii="宋体" w:hAnsi="宋体" w:eastAsia="宋体" w:cs="宋体"/>
          <w:color w:val="auto"/>
          <w:spacing w:val="-3"/>
          <w:sz w:val="22"/>
          <w:szCs w:val="22"/>
          <w:highlight w:val="none"/>
        </w:rPr>
      </w:pPr>
      <w:r>
        <w:rPr>
          <w:rFonts w:ascii="宋体" w:hAnsi="宋体" w:eastAsia="宋体" w:cs="宋体"/>
          <w:color w:val="auto"/>
          <w:spacing w:val="-3"/>
          <w:sz w:val="22"/>
          <w:szCs w:val="22"/>
          <w:highlight w:val="none"/>
        </w:rPr>
        <w:t>1.1.2.2 委托人：</w:t>
      </w:r>
      <w:r>
        <w:rPr>
          <w:rFonts w:hint="eastAsia" w:ascii="宋体" w:hAnsi="宋体" w:eastAsia="宋体" w:cs="宋体"/>
          <w:color w:val="auto"/>
          <w:spacing w:val="-3"/>
          <w:sz w:val="22"/>
          <w:szCs w:val="22"/>
          <w:highlight w:val="none"/>
          <w:u w:val="single"/>
          <w:lang w:val="en-US" w:eastAsia="zh-CN"/>
        </w:rPr>
        <w:t>始兴县地方公路事务中心</w:t>
      </w:r>
      <w:r>
        <w:rPr>
          <w:rFonts w:ascii="宋体" w:hAnsi="宋体" w:eastAsia="宋体" w:cs="宋体"/>
          <w:color w:val="auto"/>
          <w:spacing w:val="-3"/>
          <w:sz w:val="22"/>
          <w:szCs w:val="22"/>
          <w:highlight w:val="none"/>
        </w:rPr>
        <w:t>。</w:t>
      </w:r>
    </w:p>
    <w:p w14:paraId="3AC19A92">
      <w:pPr>
        <w:keepNext w:val="0"/>
        <w:keepLines w:val="0"/>
        <w:pageBreakBefore w:val="0"/>
        <w:widowControl/>
        <w:kinsoku w:val="0"/>
        <w:wordWrap/>
        <w:overflowPunct/>
        <w:topLinePunct w:val="0"/>
        <w:autoSpaceDE w:val="0"/>
        <w:autoSpaceDN w:val="0"/>
        <w:bidi w:val="0"/>
        <w:adjustRightInd w:val="0"/>
        <w:snapToGrid w:val="0"/>
        <w:spacing w:line="360" w:lineRule="auto"/>
        <w:ind w:left="465"/>
        <w:textAlignment w:val="baseline"/>
        <w:rPr>
          <w:rFonts w:ascii="宋体" w:hAnsi="宋体" w:eastAsia="宋体" w:cs="宋体"/>
          <w:color w:val="auto"/>
          <w:sz w:val="22"/>
          <w:szCs w:val="22"/>
          <w:highlight w:val="none"/>
          <w:u w:val="none"/>
        </w:rPr>
      </w:pPr>
      <w:r>
        <w:rPr>
          <w:rFonts w:ascii="宋体" w:hAnsi="宋体" w:eastAsia="宋体" w:cs="宋体"/>
          <w:color w:val="auto"/>
          <w:spacing w:val="-1"/>
          <w:sz w:val="22"/>
          <w:szCs w:val="22"/>
          <w:highlight w:val="none"/>
        </w:rPr>
        <w:t>1.1.3.1 本次进行施工监理招标的项目为</w:t>
      </w:r>
      <w:r>
        <w:rPr>
          <w:rFonts w:hint="eastAsia" w:ascii="宋体" w:hAnsi="宋体" w:eastAsia="宋体" w:cs="宋体"/>
          <w:color w:val="auto"/>
          <w:spacing w:val="-1"/>
          <w:sz w:val="22"/>
          <w:szCs w:val="22"/>
          <w:highlight w:val="none"/>
          <w:u w:val="single"/>
          <w:lang w:eastAsia="zh-CN"/>
        </w:rPr>
        <w:t>国道G535线始兴下窖（江西交界）至顿岗段改建工程</w:t>
      </w:r>
      <w:r>
        <w:rPr>
          <w:rFonts w:ascii="宋体" w:hAnsi="宋体" w:eastAsia="宋体" w:cs="宋体"/>
          <w:color w:val="auto"/>
          <w:spacing w:val="-90"/>
          <w:sz w:val="22"/>
          <w:szCs w:val="22"/>
          <w:highlight w:val="none"/>
          <w:u w:val="none"/>
        </w:rPr>
        <w:t xml:space="preserve"> </w:t>
      </w:r>
      <w:r>
        <w:rPr>
          <w:rFonts w:hint="eastAsia" w:ascii="宋体" w:hAnsi="宋体" w:eastAsia="宋体" w:cs="宋体"/>
          <w:color w:val="auto"/>
          <w:spacing w:val="-90"/>
          <w:sz w:val="22"/>
          <w:szCs w:val="22"/>
          <w:highlight w:val="none"/>
          <w:u w:val="none"/>
          <w:lang w:eastAsia="zh-CN"/>
        </w:rPr>
        <w:t>。</w:t>
      </w:r>
    </w:p>
    <w:p w14:paraId="0D0C4BFC">
      <w:pPr>
        <w:keepNext w:val="0"/>
        <w:keepLines w:val="0"/>
        <w:pageBreakBefore w:val="0"/>
        <w:widowControl/>
        <w:kinsoku w:val="0"/>
        <w:wordWrap/>
        <w:overflowPunct/>
        <w:topLinePunct w:val="0"/>
        <w:autoSpaceDE w:val="0"/>
        <w:autoSpaceDN w:val="0"/>
        <w:bidi w:val="0"/>
        <w:adjustRightInd w:val="0"/>
        <w:snapToGrid w:val="0"/>
        <w:spacing w:line="360" w:lineRule="auto"/>
        <w:ind w:left="451"/>
        <w:textAlignment w:val="baseline"/>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工程地点</w:t>
      </w: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u w:val="single"/>
          <w:lang w:val="en-US" w:eastAsia="zh-CN"/>
        </w:rPr>
        <w:t>韶关市始兴县</w:t>
      </w:r>
      <w:r>
        <w:rPr>
          <w:rFonts w:ascii="宋体" w:hAnsi="宋体" w:eastAsia="宋体" w:cs="宋体"/>
          <w:color w:val="auto"/>
          <w:spacing w:val="-1"/>
          <w:sz w:val="22"/>
          <w:szCs w:val="22"/>
          <w:highlight w:val="none"/>
        </w:rPr>
        <w:t>；</w:t>
      </w:r>
    </w:p>
    <w:p w14:paraId="02B59340">
      <w:pPr>
        <w:keepNext w:val="0"/>
        <w:keepLines w:val="0"/>
        <w:pageBreakBefore w:val="0"/>
        <w:widowControl/>
        <w:kinsoku w:val="0"/>
        <w:wordWrap/>
        <w:overflowPunct/>
        <w:topLinePunct w:val="0"/>
        <w:autoSpaceDE w:val="0"/>
        <w:autoSpaceDN w:val="0"/>
        <w:bidi w:val="0"/>
        <w:adjustRightInd w:val="0"/>
        <w:snapToGrid w:val="0"/>
        <w:spacing w:line="360" w:lineRule="auto"/>
        <w:ind w:left="450"/>
        <w:textAlignment w:val="baseline"/>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起讫桩号</w:t>
      </w:r>
      <w:r>
        <w:rPr>
          <w:rFonts w:ascii="宋体" w:hAnsi="宋体" w:eastAsia="宋体" w:cs="宋体"/>
          <w:color w:val="auto"/>
          <w:spacing w:val="-1"/>
          <w:sz w:val="22"/>
          <w:szCs w:val="22"/>
          <w:highlight w:val="none"/>
        </w:rPr>
        <w:t>：</w:t>
      </w:r>
      <w:r>
        <w:rPr>
          <w:rFonts w:ascii="宋体" w:hAnsi="宋体" w:eastAsia="宋体" w:cs="宋体"/>
          <w:color w:val="auto"/>
          <w:spacing w:val="-1"/>
          <w:sz w:val="22"/>
          <w:szCs w:val="22"/>
          <w:highlight w:val="none"/>
          <w:u w:val="single"/>
        </w:rPr>
        <w:t>K111+930.414</w:t>
      </w:r>
      <w:r>
        <w:rPr>
          <w:rFonts w:hint="eastAsia" w:ascii="宋体" w:hAnsi="宋体" w:eastAsia="宋体" w:cs="宋体"/>
          <w:color w:val="auto"/>
          <w:spacing w:val="-1"/>
          <w:sz w:val="22"/>
          <w:szCs w:val="22"/>
          <w:highlight w:val="none"/>
          <w:u w:val="single"/>
          <w:lang w:val="en-US" w:eastAsia="zh-CN"/>
        </w:rPr>
        <w:t>~K146+967.413</w:t>
      </w:r>
      <w:r>
        <w:rPr>
          <w:rFonts w:ascii="宋体" w:hAnsi="宋体" w:eastAsia="宋体" w:cs="宋体"/>
          <w:color w:val="auto"/>
          <w:spacing w:val="-1"/>
          <w:sz w:val="22"/>
          <w:szCs w:val="22"/>
          <w:highlight w:val="none"/>
        </w:rPr>
        <w:t>；</w:t>
      </w:r>
    </w:p>
    <w:p w14:paraId="01D23107">
      <w:pPr>
        <w:keepNext w:val="0"/>
        <w:keepLines w:val="0"/>
        <w:pageBreakBefore w:val="0"/>
        <w:widowControl/>
        <w:kinsoku w:val="0"/>
        <w:wordWrap/>
        <w:overflowPunct/>
        <w:topLinePunct w:val="0"/>
        <w:autoSpaceDE w:val="0"/>
        <w:autoSpaceDN w:val="0"/>
        <w:bidi w:val="0"/>
        <w:adjustRightInd w:val="0"/>
        <w:snapToGrid w:val="0"/>
        <w:spacing w:line="360" w:lineRule="auto"/>
        <w:ind w:left="448"/>
        <w:textAlignment w:val="baseline"/>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施工合同标段划分：</w:t>
      </w:r>
      <w:r>
        <w:rPr>
          <w:rFonts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val="en-US" w:eastAsia="zh-CN"/>
        </w:rPr>
        <w:t>/</w:t>
      </w:r>
      <w:r>
        <w:rPr>
          <w:rFonts w:ascii="宋体" w:hAnsi="宋体" w:eastAsia="宋体" w:cs="宋体"/>
          <w:color w:val="auto"/>
          <w:spacing w:val="2"/>
          <w:sz w:val="22"/>
          <w:szCs w:val="22"/>
          <w:highlight w:val="none"/>
          <w:u w:val="single" w:color="auto"/>
        </w:rPr>
        <w:t xml:space="preserve">  </w:t>
      </w:r>
      <w:r>
        <w:rPr>
          <w:rFonts w:ascii="宋体" w:hAnsi="宋体" w:eastAsia="宋体" w:cs="宋体"/>
          <w:color w:val="auto"/>
          <w:spacing w:val="-1"/>
          <w:sz w:val="22"/>
          <w:szCs w:val="22"/>
          <w:highlight w:val="none"/>
        </w:rPr>
        <w:t>；</w:t>
      </w:r>
    </w:p>
    <w:p w14:paraId="5065304A">
      <w:pPr>
        <w:keepNext w:val="0"/>
        <w:keepLines w:val="0"/>
        <w:pageBreakBefore w:val="0"/>
        <w:widowControl/>
        <w:kinsoku w:val="0"/>
        <w:wordWrap/>
        <w:overflowPunct/>
        <w:topLinePunct w:val="0"/>
        <w:autoSpaceDE w:val="0"/>
        <w:autoSpaceDN w:val="0"/>
        <w:bidi w:val="0"/>
        <w:adjustRightInd w:val="0"/>
        <w:snapToGrid w:val="0"/>
        <w:spacing w:line="360" w:lineRule="auto"/>
        <w:ind w:left="450"/>
        <w:textAlignment w:val="baseline"/>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监理合同标段划分</w:t>
      </w:r>
      <w:r>
        <w:rPr>
          <w:rFonts w:ascii="宋体" w:hAnsi="宋体" w:eastAsia="宋体" w:cs="宋体"/>
          <w:color w:val="auto"/>
          <w:spacing w:val="-2"/>
          <w:sz w:val="22"/>
          <w:szCs w:val="22"/>
          <w:highlight w:val="none"/>
        </w:rPr>
        <w:t>：</w:t>
      </w:r>
      <w:r>
        <w:rPr>
          <w:rFonts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val="en-US" w:eastAsia="zh-CN"/>
        </w:rPr>
        <w:t>/</w:t>
      </w:r>
      <w:r>
        <w:rPr>
          <w:rFonts w:ascii="宋体" w:hAnsi="宋体" w:eastAsia="宋体" w:cs="宋体"/>
          <w:color w:val="auto"/>
          <w:spacing w:val="2"/>
          <w:sz w:val="22"/>
          <w:szCs w:val="22"/>
          <w:highlight w:val="none"/>
          <w:u w:val="single" w:color="auto"/>
        </w:rPr>
        <w:t xml:space="preserve">  </w:t>
      </w:r>
      <w:r>
        <w:rPr>
          <w:rFonts w:ascii="宋体" w:hAnsi="宋体" w:eastAsia="宋体" w:cs="宋体"/>
          <w:color w:val="auto"/>
          <w:spacing w:val="-1"/>
          <w:sz w:val="22"/>
          <w:szCs w:val="22"/>
          <w:highlight w:val="none"/>
        </w:rPr>
        <w:t>；</w:t>
      </w:r>
    </w:p>
    <w:p w14:paraId="353C7361">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试验检测服务标段划分：</w:t>
      </w:r>
      <w:r>
        <w:rPr>
          <w:rFonts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val="en-US" w:eastAsia="zh-CN"/>
        </w:rPr>
        <w:t>/</w:t>
      </w:r>
      <w:r>
        <w:rPr>
          <w:rFonts w:ascii="宋体" w:hAnsi="宋体" w:eastAsia="宋体" w:cs="宋体"/>
          <w:color w:val="auto"/>
          <w:spacing w:val="2"/>
          <w:sz w:val="22"/>
          <w:szCs w:val="22"/>
          <w:highlight w:val="none"/>
          <w:u w:val="single" w:color="auto"/>
        </w:rPr>
        <w:t xml:space="preserve">  </w:t>
      </w:r>
      <w:r>
        <w:rPr>
          <w:rFonts w:ascii="宋体" w:hAnsi="宋体" w:eastAsia="宋体" w:cs="宋体"/>
          <w:color w:val="auto"/>
          <w:spacing w:val="-1"/>
          <w:sz w:val="22"/>
          <w:szCs w:val="22"/>
          <w:highlight w:val="none"/>
        </w:rPr>
        <w:t>；</w:t>
      </w:r>
    </w:p>
    <w:p w14:paraId="54CE7683">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hint="eastAsia" w:ascii="宋体" w:hAnsi="宋体" w:eastAsia="宋体" w:cs="宋体"/>
          <w:color w:val="auto"/>
          <w:sz w:val="22"/>
          <w:szCs w:val="22"/>
          <w:highlight w:val="none"/>
          <w:lang w:eastAsia="zh-CN"/>
        </w:rPr>
      </w:pPr>
      <w:r>
        <w:rPr>
          <w:rFonts w:ascii="宋体" w:hAnsi="宋体" w:eastAsia="宋体" w:cs="宋体"/>
          <w:color w:val="auto"/>
          <w:sz w:val="22"/>
          <w:szCs w:val="22"/>
          <w:highlight w:val="none"/>
        </w:rPr>
        <w:t>工程概况：</w:t>
      </w:r>
      <w:r>
        <w:rPr>
          <w:rFonts w:hint="eastAsia" w:ascii="宋体" w:hAnsi="宋体" w:eastAsia="宋体" w:cs="宋体"/>
          <w:color w:val="auto"/>
          <w:sz w:val="22"/>
          <w:szCs w:val="22"/>
          <w:highlight w:val="none"/>
          <w:u w:val="single"/>
          <w:lang w:eastAsia="zh-CN"/>
        </w:rPr>
        <w:t>本项目</w:t>
      </w:r>
      <w:r>
        <w:rPr>
          <w:rFonts w:hint="eastAsia" w:ascii="宋体" w:hAnsi="宋体" w:eastAsia="宋体" w:cs="宋体"/>
          <w:color w:val="auto"/>
          <w:sz w:val="22"/>
          <w:szCs w:val="22"/>
          <w:highlight w:val="none"/>
          <w:u w:val="single"/>
          <w:lang w:val="en-US" w:eastAsia="zh-CN"/>
        </w:rPr>
        <w:t>路线全长35.037km</w:t>
      </w:r>
      <w:r>
        <w:rPr>
          <w:rFonts w:hint="default" w:ascii="宋体" w:hAnsi="宋体" w:eastAsia="宋体" w:cs="宋体"/>
          <w:color w:val="auto"/>
          <w:sz w:val="22"/>
          <w:szCs w:val="22"/>
          <w:highlight w:val="none"/>
          <w:u w:val="single"/>
          <w:lang w:val="en-US" w:eastAsia="zh-CN"/>
        </w:rPr>
        <w:t>。全线共设桥梁293m/7 座（其中拆除重建中桥138m/4座，新建中桥155m/3座）、涵洞13 2道（其中新建89道，拆除重建43道），设主要平面交叉3处。</w:t>
      </w:r>
      <w:r>
        <w:rPr>
          <w:rFonts w:hint="eastAsia" w:ascii="宋体" w:hAnsi="宋体" w:eastAsia="宋体" w:cs="宋体"/>
          <w:color w:val="auto"/>
          <w:sz w:val="22"/>
          <w:szCs w:val="22"/>
          <w:highlight w:val="none"/>
          <w:u w:val="single"/>
          <w:lang w:val="en-US" w:eastAsia="zh-CN"/>
        </w:rPr>
        <w:t>采用二级公路技术标准；设计速度：40km/h</w:t>
      </w:r>
      <w:r>
        <w:rPr>
          <w:rFonts w:hint="default" w:ascii="宋体" w:hAnsi="宋体" w:eastAsia="宋体" w:cs="宋体"/>
          <w:color w:val="auto"/>
          <w:sz w:val="22"/>
          <w:szCs w:val="22"/>
          <w:highlight w:val="none"/>
          <w:u w:val="single"/>
          <w:lang w:val="en-US" w:eastAsia="zh-CN"/>
        </w:rPr>
        <w:t>（K111+930.414~K119+265、K128+905 ~K141+700段）、60km/h（K119+265~K128+905、K141+700~K 146+967.413段）</w:t>
      </w:r>
      <w:r>
        <w:rPr>
          <w:rFonts w:hint="eastAsia" w:ascii="宋体" w:hAnsi="宋体" w:eastAsia="宋体" w:cs="宋体"/>
          <w:color w:val="auto"/>
          <w:sz w:val="22"/>
          <w:szCs w:val="22"/>
          <w:highlight w:val="none"/>
          <w:u w:val="single"/>
          <w:lang w:val="en-US" w:eastAsia="zh-CN"/>
        </w:rPr>
        <w:t>；路基宽度：10.0m。</w:t>
      </w:r>
    </w:p>
    <w:p w14:paraId="287906B2">
      <w:pPr>
        <w:spacing w:line="329" w:lineRule="auto"/>
        <w:rPr>
          <w:rFonts w:ascii="Arial"/>
          <w:color w:val="auto"/>
          <w:sz w:val="21"/>
          <w:highlight w:val="none"/>
        </w:rPr>
      </w:pPr>
    </w:p>
    <w:p w14:paraId="5DA2291B">
      <w:pPr>
        <w:spacing w:before="79" w:line="219" w:lineRule="auto"/>
        <w:ind w:left="26"/>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1.6</w:t>
      </w:r>
      <w:r>
        <w:rPr>
          <w:rFonts w:ascii="宋体" w:hAnsi="宋体" w:eastAsia="宋体" w:cs="宋体"/>
          <w:color w:val="auto"/>
          <w:spacing w:val="-4"/>
          <w:sz w:val="24"/>
          <w:szCs w:val="24"/>
          <w:highlight w:val="none"/>
        </w:rPr>
        <w:t xml:space="preserve"> </w:t>
      </w:r>
      <w:r>
        <w:rPr>
          <w:rFonts w:ascii="宋体" w:hAnsi="宋体" w:eastAsia="宋体" w:cs="宋体"/>
          <w:b/>
          <w:bCs/>
          <w:color w:val="auto"/>
          <w:spacing w:val="-4"/>
          <w:sz w:val="24"/>
          <w:szCs w:val="24"/>
          <w:highlight w:val="none"/>
        </w:rPr>
        <w:t>文件的提供和照管</w:t>
      </w:r>
    </w:p>
    <w:p w14:paraId="2F1D5001">
      <w:pPr>
        <w:spacing w:before="178" w:line="361" w:lineRule="auto"/>
        <w:ind w:left="10" w:right="2" w:firstLine="45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1.6.2 委托人负责提供的文件包括</w:t>
      </w:r>
      <w:r>
        <w:rPr>
          <w:rFonts w:ascii="宋体" w:hAnsi="宋体" w:eastAsia="宋体" w:cs="宋体"/>
          <w:color w:val="auto"/>
          <w:spacing w:val="-8"/>
          <w:sz w:val="22"/>
          <w:szCs w:val="22"/>
          <w:highlight w:val="none"/>
        </w:rPr>
        <w:t>：</w:t>
      </w:r>
      <w:r>
        <w:rPr>
          <w:rFonts w:ascii="宋体" w:hAnsi="宋体" w:eastAsia="宋体" w:cs="宋体"/>
          <w:color w:val="auto"/>
          <w:spacing w:val="-8"/>
          <w:sz w:val="22"/>
          <w:szCs w:val="22"/>
          <w:highlight w:val="none"/>
          <w:u w:val="single"/>
        </w:rPr>
        <w:t>工程立项与行政审批文件</w:t>
      </w:r>
      <w:r>
        <w:rPr>
          <w:rFonts w:hint="eastAsia" w:ascii="宋体" w:hAnsi="宋体" w:eastAsia="宋体" w:cs="宋体"/>
          <w:color w:val="auto"/>
          <w:spacing w:val="1"/>
          <w:sz w:val="22"/>
          <w:szCs w:val="22"/>
          <w:highlight w:val="none"/>
          <w:u w:val="single" w:color="auto"/>
          <w:lang w:eastAsia="zh-CN"/>
        </w:rPr>
        <w:t>、勘察设计文件、合同文件、现场及原始资料等</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80"/>
          <w:sz w:val="22"/>
          <w:szCs w:val="22"/>
          <w:highlight w:val="none"/>
        </w:rPr>
        <w:t xml:space="preserve"> </w:t>
      </w:r>
      <w:r>
        <w:rPr>
          <w:rFonts w:ascii="宋体" w:hAnsi="宋体" w:eastAsia="宋体" w:cs="宋体"/>
          <w:color w:val="auto"/>
          <w:spacing w:val="-8"/>
          <w:sz w:val="22"/>
          <w:szCs w:val="22"/>
          <w:highlight w:val="none"/>
        </w:rPr>
        <w:t>，</w:t>
      </w:r>
      <w:r>
        <w:rPr>
          <w:rFonts w:ascii="宋体" w:hAnsi="宋体" w:eastAsia="宋体" w:cs="宋体"/>
          <w:color w:val="auto"/>
          <w:spacing w:val="-1"/>
          <w:sz w:val="22"/>
          <w:szCs w:val="22"/>
          <w:highlight w:val="none"/>
        </w:rPr>
        <w:t>提供</w:t>
      </w:r>
      <w:r>
        <w:rPr>
          <w:rFonts w:ascii="宋体" w:hAnsi="宋体" w:eastAsia="宋体" w:cs="宋体"/>
          <w:color w:val="auto"/>
          <w:spacing w:val="-2"/>
          <w:sz w:val="22"/>
          <w:szCs w:val="22"/>
          <w:highlight w:val="none"/>
        </w:rPr>
        <w:t>数量</w:t>
      </w:r>
      <w:r>
        <w:rPr>
          <w:rFonts w:ascii="宋体" w:hAnsi="宋体" w:eastAsia="宋体" w:cs="宋体"/>
          <w:color w:val="auto"/>
          <w:spacing w:val="-8"/>
          <w:sz w:val="22"/>
          <w:szCs w:val="22"/>
          <w:highlight w:val="none"/>
        </w:rPr>
        <w:t>：</w:t>
      </w:r>
      <w:r>
        <w:rPr>
          <w:rFonts w:hint="eastAsia" w:ascii="宋体" w:hAnsi="宋体" w:eastAsia="宋体" w:cs="宋体"/>
          <w:color w:val="auto"/>
          <w:sz w:val="22"/>
          <w:szCs w:val="22"/>
          <w:highlight w:val="none"/>
          <w:u w:val="single" w:color="auto"/>
          <w:lang w:eastAsia="zh-CN"/>
        </w:rPr>
        <w:t>各</w:t>
      </w:r>
      <w:r>
        <w:rPr>
          <w:rFonts w:hint="eastAsia" w:ascii="宋体" w:hAnsi="宋体" w:eastAsia="宋体" w:cs="宋体"/>
          <w:color w:val="auto"/>
          <w:sz w:val="22"/>
          <w:szCs w:val="22"/>
          <w:highlight w:val="none"/>
          <w:u w:val="single" w:color="auto"/>
          <w:lang w:val="en-US" w:eastAsia="zh-CN"/>
        </w:rPr>
        <w:t>1份</w:t>
      </w:r>
      <w:r>
        <w:rPr>
          <w:rFonts w:ascii="宋体" w:hAnsi="宋体" w:eastAsia="宋体" w:cs="宋体"/>
          <w:color w:val="auto"/>
          <w:spacing w:val="-8"/>
          <w:sz w:val="22"/>
          <w:szCs w:val="22"/>
          <w:highlight w:val="none"/>
        </w:rPr>
        <w:t>，</w:t>
      </w:r>
      <w:r>
        <w:rPr>
          <w:rFonts w:ascii="宋体" w:hAnsi="宋体" w:eastAsia="宋体" w:cs="宋体"/>
          <w:color w:val="auto"/>
          <w:spacing w:val="-2"/>
          <w:sz w:val="22"/>
          <w:szCs w:val="22"/>
          <w:highlight w:val="none"/>
        </w:rPr>
        <w:t>提供</w:t>
      </w:r>
      <w:r>
        <w:rPr>
          <w:rFonts w:ascii="宋体" w:hAnsi="宋体" w:eastAsia="宋体" w:cs="宋体"/>
          <w:color w:val="auto"/>
          <w:spacing w:val="-1"/>
          <w:sz w:val="22"/>
          <w:szCs w:val="22"/>
          <w:highlight w:val="none"/>
        </w:rPr>
        <w:t>期限：</w:t>
      </w:r>
      <w:r>
        <w:rPr>
          <w:rFonts w:ascii="宋体" w:hAnsi="宋体" w:eastAsia="宋体" w:cs="宋体"/>
          <w:color w:val="auto"/>
          <w:spacing w:val="-1"/>
          <w:sz w:val="22"/>
          <w:szCs w:val="22"/>
          <w:highlight w:val="none"/>
          <w:u w:val="single" w:color="auto"/>
        </w:rPr>
        <w:t>工程开工前</w:t>
      </w:r>
      <w:r>
        <w:rPr>
          <w:rFonts w:hint="eastAsia" w:ascii="宋体" w:hAnsi="宋体" w:eastAsia="宋体" w:cs="宋体"/>
          <w:color w:val="auto"/>
          <w:spacing w:val="-1"/>
          <w:sz w:val="22"/>
          <w:szCs w:val="22"/>
          <w:highlight w:val="none"/>
          <w:u w:val="single" w:color="auto"/>
          <w:lang w:eastAsia="zh-CN"/>
        </w:rPr>
        <w:t>提供</w:t>
      </w:r>
      <w:r>
        <w:rPr>
          <w:rFonts w:ascii="宋体" w:hAnsi="宋体" w:eastAsia="宋体" w:cs="宋体"/>
          <w:color w:val="auto"/>
          <w:spacing w:val="-1"/>
          <w:sz w:val="22"/>
          <w:szCs w:val="22"/>
          <w:highlight w:val="none"/>
        </w:rPr>
        <w:t>。</w:t>
      </w:r>
    </w:p>
    <w:p w14:paraId="664A004B">
      <w:pPr>
        <w:spacing w:before="239" w:line="221" w:lineRule="auto"/>
        <w:ind w:left="26"/>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1.12</w:t>
      </w:r>
      <w:r>
        <w:rPr>
          <w:rFonts w:ascii="宋体" w:hAnsi="宋体" w:eastAsia="宋体" w:cs="宋体"/>
          <w:color w:val="auto"/>
          <w:spacing w:val="-5"/>
          <w:sz w:val="24"/>
          <w:szCs w:val="24"/>
          <w:highlight w:val="none"/>
        </w:rPr>
        <w:t xml:space="preserve"> </w:t>
      </w:r>
      <w:r>
        <w:rPr>
          <w:rFonts w:ascii="宋体" w:hAnsi="宋体" w:eastAsia="宋体" w:cs="宋体"/>
          <w:b/>
          <w:bCs/>
          <w:color w:val="auto"/>
          <w:spacing w:val="-5"/>
          <w:sz w:val="24"/>
          <w:szCs w:val="24"/>
          <w:highlight w:val="none"/>
        </w:rPr>
        <w:t>委托人要求</w:t>
      </w:r>
    </w:p>
    <w:p w14:paraId="7133DCCE">
      <w:pPr>
        <w:spacing w:before="177" w:line="361" w:lineRule="auto"/>
        <w:ind w:left="8" w:right="2" w:firstLine="45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1.12.3 委托人提供国外规范和标准的时间</w:t>
      </w:r>
      <w:r>
        <w:rPr>
          <w:rFonts w:ascii="宋体" w:hAnsi="宋体" w:eastAsia="宋体" w:cs="宋体"/>
          <w:color w:val="auto"/>
          <w:spacing w:val="-7"/>
          <w:sz w:val="22"/>
          <w:szCs w:val="22"/>
          <w:highlight w:val="none"/>
        </w:rPr>
        <w:t>：</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80"/>
          <w:sz w:val="22"/>
          <w:szCs w:val="22"/>
          <w:highlight w:val="none"/>
        </w:rPr>
        <w:t xml:space="preserve"> </w:t>
      </w:r>
      <w:r>
        <w:rPr>
          <w:rFonts w:ascii="宋体" w:hAnsi="宋体" w:eastAsia="宋体" w:cs="宋体"/>
          <w:color w:val="auto"/>
          <w:spacing w:val="-7"/>
          <w:sz w:val="22"/>
          <w:szCs w:val="22"/>
          <w:highlight w:val="none"/>
        </w:rPr>
        <w:t>，</w:t>
      </w:r>
      <w:r>
        <w:rPr>
          <w:rFonts w:ascii="宋体" w:hAnsi="宋体" w:eastAsia="宋体" w:cs="宋体"/>
          <w:color w:val="auto"/>
          <w:spacing w:val="-1"/>
          <w:sz w:val="22"/>
          <w:szCs w:val="22"/>
          <w:highlight w:val="none"/>
        </w:rPr>
        <w:t>提供数量</w:t>
      </w:r>
      <w:r>
        <w:rPr>
          <w:rFonts w:ascii="宋体" w:hAnsi="宋体" w:eastAsia="宋体" w:cs="宋体"/>
          <w:color w:val="auto"/>
          <w:spacing w:val="-7"/>
          <w:sz w:val="22"/>
          <w:szCs w:val="22"/>
          <w:highlight w:val="none"/>
        </w:rPr>
        <w:t>：</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81"/>
          <w:sz w:val="22"/>
          <w:szCs w:val="22"/>
          <w:highlight w:val="none"/>
        </w:rPr>
        <w:t xml:space="preserve"> </w:t>
      </w:r>
      <w:r>
        <w:rPr>
          <w:rFonts w:ascii="宋体" w:hAnsi="宋体" w:eastAsia="宋体" w:cs="宋体"/>
          <w:color w:val="auto"/>
          <w:spacing w:val="-7"/>
          <w:sz w:val="22"/>
          <w:szCs w:val="22"/>
          <w:highlight w:val="none"/>
        </w:rPr>
        <w:t>，</w:t>
      </w:r>
      <w:r>
        <w:rPr>
          <w:rFonts w:ascii="宋体" w:hAnsi="宋体" w:eastAsia="宋体" w:cs="宋体"/>
          <w:color w:val="auto"/>
          <w:spacing w:val="-1"/>
          <w:sz w:val="22"/>
          <w:szCs w:val="22"/>
          <w:highlight w:val="none"/>
        </w:rPr>
        <w:t>其他要求：</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1"/>
          <w:sz w:val="22"/>
          <w:szCs w:val="22"/>
          <w:highlight w:val="none"/>
        </w:rPr>
        <w:t>。</w:t>
      </w:r>
    </w:p>
    <w:p w14:paraId="349A358F">
      <w:pPr>
        <w:spacing w:line="322" w:lineRule="auto"/>
        <w:rPr>
          <w:rFonts w:ascii="Arial"/>
          <w:color w:val="auto"/>
          <w:sz w:val="21"/>
          <w:highlight w:val="none"/>
        </w:rPr>
      </w:pPr>
    </w:p>
    <w:p w14:paraId="3DFEAC57">
      <w:pPr>
        <w:pStyle w:val="5"/>
        <w:bidi w:val="0"/>
        <w:rPr>
          <w:color w:val="auto"/>
          <w:highlight w:val="none"/>
        </w:rPr>
      </w:pPr>
      <w:bookmarkStart w:id="332" w:name="bookmark172"/>
      <w:bookmarkEnd w:id="332"/>
      <w:r>
        <w:rPr>
          <w:color w:val="auto"/>
          <w:highlight w:val="none"/>
        </w:rPr>
        <w:t>2.委托人义务</w:t>
      </w:r>
    </w:p>
    <w:p w14:paraId="7F3D25B4">
      <w:pPr>
        <w:spacing w:before="48" w:line="220" w:lineRule="auto"/>
        <w:ind w:left="449"/>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第</w:t>
      </w:r>
      <w:r>
        <w:rPr>
          <w:rFonts w:ascii="宋体" w:hAnsi="宋体" w:eastAsia="宋体" w:cs="宋体"/>
          <w:color w:val="auto"/>
          <w:spacing w:val="-40"/>
          <w:sz w:val="22"/>
          <w:szCs w:val="22"/>
          <w:highlight w:val="none"/>
        </w:rPr>
        <w:t xml:space="preserve"> </w:t>
      </w:r>
      <w:r>
        <w:rPr>
          <w:rFonts w:ascii="宋体" w:hAnsi="宋体" w:eastAsia="宋体" w:cs="宋体"/>
          <w:color w:val="auto"/>
          <w:spacing w:val="-4"/>
          <w:sz w:val="22"/>
          <w:szCs w:val="22"/>
          <w:highlight w:val="none"/>
        </w:rPr>
        <w:t>2.3</w:t>
      </w:r>
      <w:r>
        <w:rPr>
          <w:rFonts w:ascii="宋体" w:hAnsi="宋体" w:eastAsia="宋体" w:cs="宋体"/>
          <w:color w:val="auto"/>
          <w:spacing w:val="-43"/>
          <w:sz w:val="22"/>
          <w:szCs w:val="22"/>
          <w:highlight w:val="none"/>
        </w:rPr>
        <w:t xml:space="preserve"> </w:t>
      </w:r>
      <w:r>
        <w:rPr>
          <w:rFonts w:ascii="宋体" w:hAnsi="宋体" w:eastAsia="宋体" w:cs="宋体"/>
          <w:color w:val="auto"/>
          <w:spacing w:val="-4"/>
          <w:sz w:val="22"/>
          <w:szCs w:val="22"/>
          <w:highlight w:val="none"/>
        </w:rPr>
        <w:t>项修改为：</w:t>
      </w:r>
    </w:p>
    <w:p w14:paraId="7AD6BAF0">
      <w:pPr>
        <w:spacing w:before="164" w:line="363" w:lineRule="auto"/>
        <w:ind w:left="9" w:firstLine="43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委托人不提供办公房间、办公桌椅、互联网接口、冷暖设施、生活设施、进出现场交通服</w:t>
      </w:r>
      <w:r>
        <w:rPr>
          <w:rFonts w:ascii="宋体" w:hAnsi="宋体" w:eastAsia="宋体" w:cs="宋体"/>
          <w:color w:val="auto"/>
          <w:spacing w:val="-5"/>
          <w:sz w:val="22"/>
          <w:szCs w:val="22"/>
          <w:highlight w:val="none"/>
        </w:rPr>
        <w:t>务。</w:t>
      </w:r>
    </w:p>
    <w:p w14:paraId="6EFC913B">
      <w:pPr>
        <w:spacing w:line="256" w:lineRule="auto"/>
        <w:rPr>
          <w:rFonts w:ascii="Arial"/>
          <w:color w:val="auto"/>
          <w:sz w:val="21"/>
          <w:highlight w:val="none"/>
        </w:rPr>
      </w:pPr>
    </w:p>
    <w:p w14:paraId="5BE7D3E1">
      <w:pPr>
        <w:pStyle w:val="5"/>
        <w:bidi w:val="0"/>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3.</w:t>
      </w:r>
      <w:r>
        <w:rPr>
          <w:rFonts w:ascii="宋体" w:hAnsi="宋体" w:eastAsia="宋体" w:cs="宋体"/>
          <w:color w:val="auto"/>
          <w:spacing w:val="-4"/>
          <w:sz w:val="24"/>
          <w:szCs w:val="24"/>
          <w:highlight w:val="none"/>
        </w:rPr>
        <w:t xml:space="preserve"> </w:t>
      </w:r>
      <w:r>
        <w:rPr>
          <w:rFonts w:ascii="宋体" w:hAnsi="宋体" w:eastAsia="宋体" w:cs="宋体"/>
          <w:b/>
          <w:bCs/>
          <w:color w:val="auto"/>
          <w:spacing w:val="-4"/>
          <w:sz w:val="24"/>
          <w:szCs w:val="24"/>
          <w:highlight w:val="none"/>
        </w:rPr>
        <w:t>委托人管理</w:t>
      </w:r>
    </w:p>
    <w:p w14:paraId="211C6279">
      <w:pPr>
        <w:spacing w:before="293" w:line="219" w:lineRule="auto"/>
        <w:ind w:left="13"/>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3.3</w:t>
      </w:r>
      <w:r>
        <w:rPr>
          <w:rFonts w:ascii="宋体" w:hAnsi="宋体" w:eastAsia="宋体" w:cs="宋体"/>
          <w:color w:val="auto"/>
          <w:spacing w:val="22"/>
          <w:sz w:val="24"/>
          <w:szCs w:val="24"/>
          <w:highlight w:val="none"/>
        </w:rPr>
        <w:t xml:space="preserve"> </w:t>
      </w:r>
      <w:r>
        <w:rPr>
          <w:rFonts w:ascii="宋体" w:hAnsi="宋体" w:eastAsia="宋体" w:cs="宋体"/>
          <w:b/>
          <w:bCs/>
          <w:color w:val="auto"/>
          <w:spacing w:val="-6"/>
          <w:sz w:val="24"/>
          <w:szCs w:val="24"/>
          <w:highlight w:val="none"/>
        </w:rPr>
        <w:t>决定或答复</w:t>
      </w:r>
    </w:p>
    <w:p w14:paraId="42465826">
      <w:pPr>
        <w:spacing w:before="178" w:line="219" w:lineRule="auto"/>
        <w:ind w:left="45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3.3.2 委托人应在收到监理人书面提出的事项后</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7</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82"/>
          <w:sz w:val="22"/>
          <w:szCs w:val="22"/>
          <w:highlight w:val="none"/>
        </w:rPr>
        <w:t xml:space="preserve"> </w:t>
      </w:r>
      <w:r>
        <w:rPr>
          <w:rFonts w:ascii="宋体" w:hAnsi="宋体" w:eastAsia="宋体" w:cs="宋体"/>
          <w:color w:val="auto"/>
          <w:spacing w:val="-1"/>
          <w:sz w:val="22"/>
          <w:szCs w:val="22"/>
          <w:highlight w:val="none"/>
        </w:rPr>
        <w:t>天内作出书面答复。</w:t>
      </w:r>
    </w:p>
    <w:p w14:paraId="65C60C5C">
      <w:pPr>
        <w:spacing w:line="245" w:lineRule="auto"/>
        <w:rPr>
          <w:rFonts w:ascii="Arial"/>
          <w:color w:val="auto"/>
          <w:sz w:val="21"/>
          <w:highlight w:val="none"/>
        </w:rPr>
      </w:pPr>
    </w:p>
    <w:p w14:paraId="0E135BBF">
      <w:pPr>
        <w:spacing w:line="246" w:lineRule="auto"/>
        <w:rPr>
          <w:rFonts w:ascii="Arial"/>
          <w:color w:val="auto"/>
          <w:sz w:val="21"/>
          <w:highlight w:val="none"/>
        </w:rPr>
      </w:pPr>
    </w:p>
    <w:p w14:paraId="7D27201E">
      <w:pPr>
        <w:pStyle w:val="5"/>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4.</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监理人义务</w:t>
      </w:r>
    </w:p>
    <w:p w14:paraId="7E3722BF">
      <w:pPr>
        <w:spacing w:before="293" w:line="219" w:lineRule="auto"/>
        <w:ind w:left="7"/>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4.1</w:t>
      </w:r>
      <w:r>
        <w:rPr>
          <w:rFonts w:ascii="宋体" w:hAnsi="宋体" w:eastAsia="宋体" w:cs="宋体"/>
          <w:color w:val="auto"/>
          <w:spacing w:val="-44"/>
          <w:sz w:val="24"/>
          <w:szCs w:val="24"/>
          <w:highlight w:val="none"/>
        </w:rPr>
        <w:t xml:space="preserve"> </w:t>
      </w:r>
      <w:r>
        <w:rPr>
          <w:rFonts w:ascii="宋体" w:hAnsi="宋体" w:eastAsia="宋体" w:cs="宋体"/>
          <w:b/>
          <w:bCs/>
          <w:color w:val="auto"/>
          <w:spacing w:val="-4"/>
          <w:sz w:val="24"/>
          <w:szCs w:val="24"/>
          <w:highlight w:val="none"/>
        </w:rPr>
        <w:t>监理人的一般义务</w:t>
      </w:r>
    </w:p>
    <w:p w14:paraId="113A34F3">
      <w:pPr>
        <w:spacing w:before="177" w:line="220" w:lineRule="auto"/>
        <w:ind w:left="450"/>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增加第</w:t>
      </w:r>
      <w:r>
        <w:rPr>
          <w:rFonts w:ascii="宋体" w:hAnsi="宋体" w:eastAsia="宋体" w:cs="宋体"/>
          <w:color w:val="auto"/>
          <w:spacing w:val="-45"/>
          <w:sz w:val="22"/>
          <w:szCs w:val="22"/>
          <w:highlight w:val="none"/>
        </w:rPr>
        <w:t xml:space="preserve"> </w:t>
      </w:r>
      <w:r>
        <w:rPr>
          <w:rFonts w:ascii="宋体" w:hAnsi="宋体" w:eastAsia="宋体" w:cs="宋体"/>
          <w:color w:val="auto"/>
          <w:spacing w:val="-2"/>
          <w:sz w:val="22"/>
          <w:szCs w:val="22"/>
          <w:highlight w:val="none"/>
        </w:rPr>
        <w:t>4.1.5-4.1.7</w:t>
      </w:r>
      <w:r>
        <w:rPr>
          <w:rFonts w:ascii="宋体" w:hAnsi="宋体" w:eastAsia="宋体" w:cs="宋体"/>
          <w:color w:val="auto"/>
          <w:spacing w:val="-43"/>
          <w:sz w:val="22"/>
          <w:szCs w:val="22"/>
          <w:highlight w:val="none"/>
        </w:rPr>
        <w:t xml:space="preserve"> </w:t>
      </w:r>
      <w:r>
        <w:rPr>
          <w:rFonts w:ascii="宋体" w:hAnsi="宋体" w:eastAsia="宋体" w:cs="宋体"/>
          <w:color w:val="auto"/>
          <w:spacing w:val="-2"/>
          <w:sz w:val="22"/>
          <w:szCs w:val="22"/>
          <w:highlight w:val="none"/>
        </w:rPr>
        <w:t>项：</w:t>
      </w:r>
    </w:p>
    <w:p w14:paraId="4C6C0590">
      <w:pPr>
        <w:spacing w:before="168" w:line="359" w:lineRule="auto"/>
        <w:ind w:left="8" w:firstLine="439"/>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4.1.5</w:t>
      </w:r>
      <w:r>
        <w:rPr>
          <w:rFonts w:ascii="宋体" w:hAnsi="宋体" w:eastAsia="宋体" w:cs="宋体"/>
          <w:color w:val="auto"/>
          <w:spacing w:val="-39"/>
          <w:sz w:val="22"/>
          <w:szCs w:val="22"/>
          <w:highlight w:val="none"/>
        </w:rPr>
        <w:t xml:space="preserve"> </w:t>
      </w:r>
      <w:r>
        <w:rPr>
          <w:rFonts w:ascii="宋体" w:hAnsi="宋体" w:eastAsia="宋体" w:cs="宋体"/>
          <w:color w:val="auto"/>
          <w:spacing w:val="2"/>
          <w:sz w:val="22"/>
          <w:szCs w:val="22"/>
          <w:highlight w:val="none"/>
        </w:rPr>
        <w:t>监理人应根据公路建设市场和高质量发展的需要，整合优势资源，构建灵活的服务</w:t>
      </w:r>
      <w:r>
        <w:rPr>
          <w:rFonts w:ascii="宋体" w:hAnsi="宋体" w:eastAsia="宋体" w:cs="宋体"/>
          <w:color w:val="auto"/>
          <w:spacing w:val="1"/>
          <w:sz w:val="22"/>
          <w:szCs w:val="22"/>
          <w:highlight w:val="none"/>
        </w:rPr>
        <w:t>架构和经营模式，丰富监理及咨询服务的内涵，强化技术支持，面向公路建设全产业链，提供</w:t>
      </w:r>
      <w:r>
        <w:rPr>
          <w:rFonts w:ascii="宋体" w:hAnsi="宋体" w:eastAsia="宋体" w:cs="宋体"/>
          <w:color w:val="auto"/>
          <w:spacing w:val="4"/>
          <w:sz w:val="22"/>
          <w:szCs w:val="22"/>
          <w:highlight w:val="none"/>
        </w:rPr>
        <w:t>专业、高水平的咨询服务，形成包括代建、咨询和监理等在内的</w:t>
      </w:r>
      <w:r>
        <w:rPr>
          <w:rFonts w:ascii="宋体" w:hAnsi="宋体" w:eastAsia="宋体" w:cs="宋体"/>
          <w:color w:val="auto"/>
          <w:spacing w:val="3"/>
          <w:sz w:val="22"/>
          <w:szCs w:val="22"/>
          <w:highlight w:val="none"/>
        </w:rPr>
        <w:t>多元化发展方向，提升监理+</w:t>
      </w:r>
      <w:r>
        <w:rPr>
          <w:rFonts w:ascii="宋体" w:hAnsi="宋体" w:eastAsia="宋体" w:cs="宋体"/>
          <w:color w:val="auto"/>
          <w:spacing w:val="-2"/>
          <w:sz w:val="22"/>
          <w:szCs w:val="22"/>
          <w:highlight w:val="none"/>
        </w:rPr>
        <w:t>的服务品质。</w:t>
      </w:r>
    </w:p>
    <w:p w14:paraId="4CEADB53">
      <w:pPr>
        <w:spacing w:before="4" w:line="358" w:lineRule="auto"/>
        <w:ind w:left="6" w:right="2" w:firstLine="44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4.1.6</w:t>
      </w:r>
      <w:r>
        <w:rPr>
          <w:rFonts w:ascii="宋体" w:hAnsi="宋体" w:eastAsia="宋体" w:cs="宋体"/>
          <w:color w:val="auto"/>
          <w:spacing w:val="-28"/>
          <w:sz w:val="22"/>
          <w:szCs w:val="22"/>
          <w:highlight w:val="none"/>
        </w:rPr>
        <w:t xml:space="preserve"> </w:t>
      </w:r>
      <w:r>
        <w:rPr>
          <w:rFonts w:ascii="宋体" w:hAnsi="宋体" w:eastAsia="宋体" w:cs="宋体"/>
          <w:color w:val="auto"/>
          <w:spacing w:val="1"/>
          <w:sz w:val="22"/>
          <w:szCs w:val="22"/>
          <w:highlight w:val="none"/>
        </w:rPr>
        <w:t>监理法人单位应根据《广东省公路工程施工监理指南（试行）》第</w:t>
      </w:r>
      <w:r>
        <w:rPr>
          <w:rFonts w:ascii="宋体" w:hAnsi="宋体" w:eastAsia="宋体" w:cs="宋体"/>
          <w:color w:val="auto"/>
          <w:spacing w:val="-40"/>
          <w:sz w:val="22"/>
          <w:szCs w:val="22"/>
          <w:highlight w:val="none"/>
        </w:rPr>
        <w:t xml:space="preserve"> </w:t>
      </w:r>
      <w:r>
        <w:rPr>
          <w:rFonts w:ascii="宋体" w:hAnsi="宋体" w:eastAsia="宋体" w:cs="宋体"/>
          <w:color w:val="auto"/>
          <w:spacing w:val="1"/>
          <w:sz w:val="22"/>
          <w:szCs w:val="22"/>
          <w:highlight w:val="none"/>
        </w:rPr>
        <w:t>3.4</w:t>
      </w:r>
      <w:r>
        <w:rPr>
          <w:rFonts w:ascii="宋体" w:hAnsi="宋体" w:eastAsia="宋体" w:cs="宋体"/>
          <w:color w:val="auto"/>
          <w:spacing w:val="-43"/>
          <w:sz w:val="22"/>
          <w:szCs w:val="22"/>
          <w:highlight w:val="none"/>
        </w:rPr>
        <w:t xml:space="preserve"> </w:t>
      </w:r>
      <w:r>
        <w:rPr>
          <w:rFonts w:ascii="宋体" w:hAnsi="宋体" w:eastAsia="宋体" w:cs="宋体"/>
          <w:color w:val="auto"/>
          <w:spacing w:val="1"/>
          <w:sz w:val="22"/>
          <w:szCs w:val="22"/>
          <w:highlight w:val="none"/>
        </w:rPr>
        <w:t>款做好项目</w:t>
      </w:r>
      <w:r>
        <w:rPr>
          <w:rFonts w:ascii="宋体" w:hAnsi="宋体" w:eastAsia="宋体" w:cs="宋体"/>
          <w:color w:val="auto"/>
          <w:sz w:val="22"/>
          <w:szCs w:val="22"/>
          <w:highlight w:val="none"/>
        </w:rPr>
        <w:t>总监办的管理，加强对项目总监办的履约管理，不得以“总</w:t>
      </w:r>
      <w:r>
        <w:rPr>
          <w:rFonts w:ascii="宋体" w:hAnsi="宋体" w:eastAsia="宋体" w:cs="宋体"/>
          <w:color w:val="auto"/>
          <w:spacing w:val="-1"/>
          <w:sz w:val="22"/>
          <w:szCs w:val="22"/>
          <w:highlight w:val="none"/>
        </w:rPr>
        <w:t>费用包干</w:t>
      </w:r>
      <w:r>
        <w:rPr>
          <w:rFonts w:ascii="宋体" w:hAnsi="宋体" w:eastAsia="宋体" w:cs="宋体"/>
          <w:color w:val="auto"/>
          <w:spacing w:val="-81"/>
          <w:sz w:val="22"/>
          <w:szCs w:val="22"/>
          <w:highlight w:val="none"/>
        </w:rPr>
        <w:t xml:space="preserve"> </w:t>
      </w:r>
      <w:r>
        <w:rPr>
          <w:rFonts w:ascii="宋体" w:hAnsi="宋体" w:eastAsia="宋体" w:cs="宋体"/>
          <w:color w:val="auto"/>
          <w:spacing w:val="-1"/>
          <w:sz w:val="22"/>
          <w:szCs w:val="22"/>
          <w:highlight w:val="none"/>
        </w:rPr>
        <w:t>”、“重费用轻管理</w:t>
      </w:r>
      <w:r>
        <w:rPr>
          <w:rFonts w:ascii="宋体" w:hAnsi="宋体" w:eastAsia="宋体" w:cs="宋体"/>
          <w:color w:val="auto"/>
          <w:spacing w:val="-81"/>
          <w:sz w:val="22"/>
          <w:szCs w:val="22"/>
          <w:highlight w:val="none"/>
        </w:rPr>
        <w:t xml:space="preserve"> </w:t>
      </w:r>
      <w:r>
        <w:rPr>
          <w:rFonts w:ascii="宋体" w:hAnsi="宋体" w:eastAsia="宋体" w:cs="宋体"/>
          <w:color w:val="auto"/>
          <w:spacing w:val="-1"/>
          <w:sz w:val="22"/>
          <w:szCs w:val="22"/>
          <w:highlight w:val="none"/>
        </w:rPr>
        <w:t>”等</w:t>
      </w:r>
      <w:r>
        <w:rPr>
          <w:rFonts w:ascii="宋体" w:hAnsi="宋体" w:eastAsia="宋体" w:cs="宋体"/>
          <w:color w:val="auto"/>
          <w:sz w:val="22"/>
          <w:szCs w:val="22"/>
          <w:highlight w:val="none"/>
        </w:rPr>
        <w:t>模式进行管理，防止对总监办“脱管、失管</w:t>
      </w:r>
      <w:r>
        <w:rPr>
          <w:rFonts w:ascii="宋体" w:hAnsi="宋体" w:eastAsia="宋体" w:cs="宋体"/>
          <w:color w:val="auto"/>
          <w:spacing w:val="-67"/>
          <w:sz w:val="22"/>
          <w:szCs w:val="22"/>
          <w:highlight w:val="none"/>
        </w:rPr>
        <w:t xml:space="preserve"> </w:t>
      </w:r>
      <w:r>
        <w:rPr>
          <w:rFonts w:ascii="宋体" w:hAnsi="宋体" w:eastAsia="宋体" w:cs="宋体"/>
          <w:color w:val="auto"/>
          <w:sz w:val="22"/>
          <w:szCs w:val="22"/>
          <w:highlight w:val="none"/>
        </w:rPr>
        <w:t>”，保障总监办正常运作的合理经费及人员薪酬待</w:t>
      </w:r>
      <w:r>
        <w:rPr>
          <w:rFonts w:ascii="宋体" w:hAnsi="宋体" w:eastAsia="宋体" w:cs="宋体"/>
          <w:color w:val="auto"/>
          <w:spacing w:val="-1"/>
          <w:sz w:val="22"/>
          <w:szCs w:val="22"/>
          <w:highlight w:val="none"/>
        </w:rPr>
        <w:t>遇，对总监办开展工作提供必要的技术和管理支持。</w:t>
      </w:r>
    </w:p>
    <w:p w14:paraId="1BDFACD6">
      <w:pPr>
        <w:spacing w:before="3" w:line="358" w:lineRule="auto"/>
        <w:ind w:left="6" w:firstLine="443"/>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监理单位应强化对总监及主要监理人员的管理，总监、副总监要切实履行对其他监理人员的管理职责。监理单位应与建设单位共同做好从下而上、从人员到单位的穿透式、联动式信用</w:t>
      </w:r>
      <w:r>
        <w:rPr>
          <w:rFonts w:ascii="宋体" w:hAnsi="宋体" w:eastAsia="宋体" w:cs="宋体"/>
          <w:color w:val="auto"/>
          <w:spacing w:val="-2"/>
          <w:sz w:val="22"/>
          <w:szCs w:val="22"/>
          <w:highlight w:val="none"/>
        </w:rPr>
        <w:t>评价管理工作，承担连带责任，实行“红黑名单</w:t>
      </w:r>
      <w:r>
        <w:rPr>
          <w:rFonts w:ascii="宋体" w:hAnsi="宋体" w:eastAsia="宋体" w:cs="宋体"/>
          <w:color w:val="auto"/>
          <w:spacing w:val="-67"/>
          <w:sz w:val="22"/>
          <w:szCs w:val="22"/>
          <w:highlight w:val="none"/>
        </w:rPr>
        <w:t xml:space="preserve"> </w:t>
      </w:r>
      <w:r>
        <w:rPr>
          <w:rFonts w:ascii="宋体" w:hAnsi="宋体" w:eastAsia="宋体" w:cs="宋体"/>
          <w:color w:val="auto"/>
          <w:spacing w:val="-2"/>
          <w:sz w:val="22"/>
          <w:szCs w:val="22"/>
          <w:highlight w:val="none"/>
        </w:rPr>
        <w:t>”管理。</w:t>
      </w:r>
    </w:p>
    <w:p w14:paraId="02A9E05B">
      <w:pPr>
        <w:spacing w:before="4" w:line="358" w:lineRule="auto"/>
        <w:ind w:left="6" w:right="2" w:firstLine="441"/>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4.1.7 监理法人单位应在建设过程中对“项目现场管理机构 ”的履约情况进行监管和支持，重要事项提级管理，避免“失管失察 ”，建设单位要对该项工作进行专项管理，可在合同中单独列支相关“专项费用 ”，监理单位法人单位的履约情况纳入其年度信用管理。</w:t>
      </w:r>
    </w:p>
    <w:p w14:paraId="20AF4F6A">
      <w:pPr>
        <w:spacing w:before="243" w:line="220" w:lineRule="auto"/>
        <w:ind w:left="7"/>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4.2</w:t>
      </w:r>
      <w:r>
        <w:rPr>
          <w:rFonts w:ascii="宋体" w:hAnsi="宋体" w:eastAsia="宋体" w:cs="宋体"/>
          <w:color w:val="auto"/>
          <w:spacing w:val="20"/>
          <w:sz w:val="24"/>
          <w:szCs w:val="24"/>
          <w:highlight w:val="none"/>
        </w:rPr>
        <w:t xml:space="preserve"> </w:t>
      </w:r>
      <w:r>
        <w:rPr>
          <w:rFonts w:ascii="宋体" w:hAnsi="宋体" w:eastAsia="宋体" w:cs="宋体"/>
          <w:b/>
          <w:bCs/>
          <w:color w:val="auto"/>
          <w:spacing w:val="-5"/>
          <w:sz w:val="24"/>
          <w:szCs w:val="24"/>
          <w:highlight w:val="none"/>
        </w:rPr>
        <w:t>履约保证金</w:t>
      </w:r>
    </w:p>
    <w:p w14:paraId="316DA250">
      <w:pPr>
        <w:spacing w:before="145" w:line="393" w:lineRule="auto"/>
        <w:ind w:left="448"/>
        <w:rPr>
          <w:rFonts w:ascii="宋体" w:hAnsi="宋体" w:eastAsia="宋体" w:cs="宋体"/>
          <w:color w:val="auto"/>
          <w:sz w:val="10"/>
          <w:szCs w:val="10"/>
          <w:highlight w:val="none"/>
        </w:rPr>
      </w:pPr>
      <w:r>
        <w:rPr>
          <w:rFonts w:ascii="宋体" w:hAnsi="宋体" w:eastAsia="宋体" w:cs="宋体"/>
          <w:color w:val="auto"/>
          <w:spacing w:val="-2"/>
          <w:sz w:val="22"/>
          <w:szCs w:val="22"/>
          <w:highlight w:val="none"/>
        </w:rPr>
        <w:t xml:space="preserve">4.2.1 缺陷责任期保函金额： </w:t>
      </w:r>
      <w:r>
        <w:rPr>
          <w:rFonts w:ascii="宋体" w:hAnsi="宋体" w:eastAsia="宋体" w:cs="宋体"/>
          <w:color w:val="auto"/>
          <w:spacing w:val="-2"/>
          <w:sz w:val="22"/>
          <w:szCs w:val="22"/>
          <w:highlight w:val="none"/>
          <w:u w:val="single" w:color="auto"/>
        </w:rPr>
        <w:t xml:space="preserve"> 监理服务费</w:t>
      </w:r>
      <w:r>
        <w:rPr>
          <w:rFonts w:ascii="宋体" w:hAnsi="宋体" w:eastAsia="宋体" w:cs="宋体"/>
          <w:color w:val="auto"/>
          <w:spacing w:val="-3"/>
          <w:sz w:val="22"/>
          <w:szCs w:val="22"/>
          <w:highlight w:val="none"/>
          <w:u w:val="single" w:color="auto"/>
        </w:rPr>
        <w:t>用总额的</w:t>
      </w:r>
      <w:r>
        <w:rPr>
          <w:rFonts w:ascii="宋体" w:hAnsi="宋体" w:eastAsia="宋体" w:cs="宋体"/>
          <w:color w:val="auto"/>
          <w:spacing w:val="-42"/>
          <w:sz w:val="22"/>
          <w:szCs w:val="22"/>
          <w:highlight w:val="none"/>
          <w:u w:val="single" w:color="auto"/>
        </w:rPr>
        <w:t xml:space="preserve"> </w:t>
      </w:r>
      <w:r>
        <w:rPr>
          <w:rFonts w:ascii="宋体" w:hAnsi="宋体" w:eastAsia="宋体" w:cs="宋体"/>
          <w:color w:val="auto"/>
          <w:spacing w:val="-3"/>
          <w:sz w:val="22"/>
          <w:szCs w:val="22"/>
          <w:highlight w:val="none"/>
          <w:u w:val="single" w:color="auto"/>
        </w:rPr>
        <w:t>3％</w:t>
      </w:r>
      <w:r>
        <w:rPr>
          <w:rFonts w:ascii="宋体" w:hAnsi="宋体" w:eastAsia="宋体" w:cs="宋体"/>
          <w:color w:val="auto"/>
          <w:spacing w:val="57"/>
          <w:sz w:val="22"/>
          <w:szCs w:val="22"/>
          <w:highlight w:val="none"/>
          <w:u w:val="single" w:color="auto"/>
        </w:rPr>
        <w:t xml:space="preserve"> </w:t>
      </w:r>
      <w:r>
        <w:rPr>
          <w:rFonts w:ascii="宋体" w:hAnsi="宋体" w:eastAsia="宋体" w:cs="宋体"/>
          <w:color w:val="auto"/>
          <w:spacing w:val="-3"/>
          <w:sz w:val="22"/>
          <w:szCs w:val="22"/>
          <w:highlight w:val="none"/>
        </w:rPr>
        <w:t>。</w:t>
      </w:r>
    </w:p>
    <w:p w14:paraId="239D5D9C">
      <w:pPr>
        <w:spacing w:before="236" w:line="219" w:lineRule="auto"/>
        <w:ind w:left="7"/>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4.5</w:t>
      </w:r>
      <w:r>
        <w:rPr>
          <w:rFonts w:ascii="宋体" w:hAnsi="宋体" w:eastAsia="宋体" w:cs="宋体"/>
          <w:color w:val="auto"/>
          <w:spacing w:val="-48"/>
          <w:sz w:val="24"/>
          <w:szCs w:val="24"/>
          <w:highlight w:val="none"/>
        </w:rPr>
        <w:t xml:space="preserve"> </w:t>
      </w:r>
      <w:r>
        <w:rPr>
          <w:rFonts w:ascii="宋体" w:hAnsi="宋体" w:eastAsia="宋体" w:cs="宋体"/>
          <w:b/>
          <w:bCs/>
          <w:color w:val="auto"/>
          <w:spacing w:val="-4"/>
          <w:sz w:val="24"/>
          <w:szCs w:val="24"/>
          <w:highlight w:val="none"/>
        </w:rPr>
        <w:t>监理人员的管理</w:t>
      </w:r>
    </w:p>
    <w:p w14:paraId="4F8094F8">
      <w:pPr>
        <w:spacing w:before="178" w:line="220" w:lineRule="auto"/>
        <w:ind w:left="449"/>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第</w:t>
      </w:r>
      <w:r>
        <w:rPr>
          <w:rFonts w:ascii="宋体" w:hAnsi="宋体" w:eastAsia="宋体" w:cs="宋体"/>
          <w:color w:val="auto"/>
          <w:spacing w:val="-43"/>
          <w:sz w:val="22"/>
          <w:szCs w:val="22"/>
          <w:highlight w:val="none"/>
        </w:rPr>
        <w:t xml:space="preserve"> </w:t>
      </w:r>
      <w:r>
        <w:rPr>
          <w:rFonts w:ascii="宋体" w:hAnsi="宋体" w:eastAsia="宋体" w:cs="宋体"/>
          <w:color w:val="auto"/>
          <w:spacing w:val="-3"/>
          <w:sz w:val="22"/>
          <w:szCs w:val="22"/>
          <w:highlight w:val="none"/>
        </w:rPr>
        <w:t>4.5.3</w:t>
      </w:r>
      <w:r>
        <w:rPr>
          <w:rFonts w:ascii="宋体" w:hAnsi="宋体" w:eastAsia="宋体" w:cs="宋体"/>
          <w:color w:val="auto"/>
          <w:spacing w:val="-45"/>
          <w:sz w:val="22"/>
          <w:szCs w:val="22"/>
          <w:highlight w:val="none"/>
        </w:rPr>
        <w:t xml:space="preserve"> </w:t>
      </w:r>
      <w:r>
        <w:rPr>
          <w:rFonts w:ascii="宋体" w:hAnsi="宋体" w:eastAsia="宋体" w:cs="宋体"/>
          <w:color w:val="auto"/>
          <w:spacing w:val="-3"/>
          <w:sz w:val="22"/>
          <w:szCs w:val="22"/>
          <w:highlight w:val="none"/>
        </w:rPr>
        <w:t>项修改为：</w:t>
      </w:r>
    </w:p>
    <w:p w14:paraId="5D5ABF4D">
      <w:pPr>
        <w:spacing w:before="168" w:line="360" w:lineRule="auto"/>
        <w:ind w:left="6" w:firstLine="443"/>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监理人派驻到工程所在地进行监理服务的总监理工程师及主要监理人员，必须常驻现场，</w:t>
      </w:r>
      <w:r>
        <w:rPr>
          <w:rFonts w:ascii="宋体" w:hAnsi="宋体" w:eastAsia="宋体" w:cs="宋体"/>
          <w:color w:val="auto"/>
          <w:spacing w:val="3"/>
          <w:sz w:val="22"/>
          <w:szCs w:val="22"/>
          <w:highlight w:val="none"/>
        </w:rPr>
        <w:t>每月不得少于</w:t>
      </w:r>
      <w:r>
        <w:rPr>
          <w:rFonts w:ascii="宋体" w:hAnsi="宋体" w:eastAsia="宋体" w:cs="宋体"/>
          <w:color w:val="auto"/>
          <w:spacing w:val="-41"/>
          <w:sz w:val="22"/>
          <w:szCs w:val="22"/>
          <w:highlight w:val="none"/>
        </w:rPr>
        <w:t xml:space="preserve"> </w:t>
      </w:r>
      <w:r>
        <w:rPr>
          <w:rFonts w:ascii="宋体" w:hAnsi="宋体" w:eastAsia="宋体" w:cs="宋体"/>
          <w:color w:val="auto"/>
          <w:spacing w:val="3"/>
          <w:sz w:val="22"/>
          <w:szCs w:val="22"/>
          <w:highlight w:val="none"/>
        </w:rPr>
        <w:t>22</w:t>
      </w:r>
      <w:r>
        <w:rPr>
          <w:rFonts w:ascii="宋体" w:hAnsi="宋体" w:eastAsia="宋体" w:cs="宋体"/>
          <w:color w:val="auto"/>
          <w:spacing w:val="-37"/>
          <w:sz w:val="22"/>
          <w:szCs w:val="22"/>
          <w:highlight w:val="none"/>
        </w:rPr>
        <w:t xml:space="preserve"> </w:t>
      </w:r>
      <w:r>
        <w:rPr>
          <w:rFonts w:ascii="宋体" w:hAnsi="宋体" w:eastAsia="宋体" w:cs="宋体"/>
          <w:color w:val="auto"/>
          <w:spacing w:val="3"/>
          <w:sz w:val="22"/>
          <w:szCs w:val="22"/>
          <w:highlight w:val="none"/>
        </w:rPr>
        <w:t>天，所有人员一律不得在同一时间内承担其他项目的监理任务。若出于某种</w:t>
      </w:r>
      <w:r>
        <w:rPr>
          <w:rFonts w:ascii="宋体" w:hAnsi="宋体" w:eastAsia="宋体" w:cs="宋体"/>
          <w:color w:val="auto"/>
          <w:spacing w:val="1"/>
          <w:sz w:val="22"/>
          <w:szCs w:val="22"/>
          <w:highlight w:val="none"/>
        </w:rPr>
        <w:t>原因需要暂时离开现场时，必须提请委托人批准后方可离开。如果总监理工程师（驻地监理工</w:t>
      </w:r>
      <w:bookmarkStart w:id="333" w:name="bookmark173"/>
      <w:bookmarkEnd w:id="333"/>
      <w:r>
        <w:rPr>
          <w:rFonts w:ascii="宋体" w:hAnsi="宋体" w:eastAsia="宋体" w:cs="宋体"/>
          <w:color w:val="auto"/>
          <w:spacing w:val="2"/>
          <w:sz w:val="22"/>
          <w:szCs w:val="22"/>
          <w:highlight w:val="none"/>
        </w:rPr>
        <w:t>程师）或其他主要监理人员需离开现场的时间超过</w:t>
      </w:r>
      <w:r>
        <w:rPr>
          <w:rFonts w:ascii="宋体" w:hAnsi="宋体" w:eastAsia="宋体" w:cs="宋体"/>
          <w:color w:val="auto"/>
          <w:spacing w:val="-25"/>
          <w:sz w:val="22"/>
          <w:szCs w:val="22"/>
          <w:highlight w:val="none"/>
        </w:rPr>
        <w:t xml:space="preserve"> </w:t>
      </w:r>
      <w:r>
        <w:rPr>
          <w:rFonts w:ascii="宋体" w:hAnsi="宋体" w:eastAsia="宋体" w:cs="宋体"/>
          <w:color w:val="auto"/>
          <w:spacing w:val="2"/>
          <w:sz w:val="22"/>
          <w:szCs w:val="22"/>
          <w:highlight w:val="none"/>
        </w:rPr>
        <w:t>14</w:t>
      </w:r>
      <w:r>
        <w:rPr>
          <w:rFonts w:ascii="宋体" w:hAnsi="宋体" w:eastAsia="宋体" w:cs="宋体"/>
          <w:color w:val="auto"/>
          <w:spacing w:val="-40"/>
          <w:sz w:val="22"/>
          <w:szCs w:val="22"/>
          <w:highlight w:val="none"/>
        </w:rPr>
        <w:t xml:space="preserve"> </w:t>
      </w:r>
      <w:r>
        <w:rPr>
          <w:rFonts w:ascii="宋体" w:hAnsi="宋体" w:eastAsia="宋体" w:cs="宋体"/>
          <w:color w:val="auto"/>
          <w:spacing w:val="2"/>
          <w:sz w:val="22"/>
          <w:szCs w:val="22"/>
          <w:highlight w:val="none"/>
        </w:rPr>
        <w:t>天，则监理人必须按第</w:t>
      </w:r>
      <w:r>
        <w:rPr>
          <w:rFonts w:ascii="宋体" w:hAnsi="宋体" w:eastAsia="宋体" w:cs="宋体"/>
          <w:color w:val="auto"/>
          <w:spacing w:val="-42"/>
          <w:sz w:val="22"/>
          <w:szCs w:val="22"/>
          <w:highlight w:val="none"/>
        </w:rPr>
        <w:t xml:space="preserve"> </w:t>
      </w:r>
      <w:r>
        <w:rPr>
          <w:rFonts w:ascii="宋体" w:hAnsi="宋体" w:eastAsia="宋体" w:cs="宋体"/>
          <w:color w:val="auto"/>
          <w:spacing w:val="2"/>
          <w:sz w:val="22"/>
          <w:szCs w:val="22"/>
          <w:highlight w:val="none"/>
        </w:rPr>
        <w:t>4.5.1</w:t>
      </w:r>
      <w:r>
        <w:rPr>
          <w:rFonts w:ascii="宋体" w:hAnsi="宋体" w:eastAsia="宋体" w:cs="宋体"/>
          <w:color w:val="auto"/>
          <w:spacing w:val="-43"/>
          <w:sz w:val="22"/>
          <w:szCs w:val="22"/>
          <w:highlight w:val="none"/>
        </w:rPr>
        <w:t xml:space="preserve"> </w:t>
      </w:r>
      <w:r>
        <w:rPr>
          <w:rFonts w:ascii="宋体" w:hAnsi="宋体" w:eastAsia="宋体" w:cs="宋体"/>
          <w:color w:val="auto"/>
          <w:spacing w:val="2"/>
          <w:sz w:val="22"/>
          <w:szCs w:val="22"/>
          <w:highlight w:val="none"/>
        </w:rPr>
        <w:t>规</w:t>
      </w:r>
      <w:r>
        <w:rPr>
          <w:rFonts w:ascii="宋体" w:hAnsi="宋体" w:eastAsia="宋体" w:cs="宋体"/>
          <w:color w:val="auto"/>
          <w:spacing w:val="1"/>
          <w:sz w:val="22"/>
          <w:szCs w:val="22"/>
          <w:highlight w:val="none"/>
        </w:rPr>
        <w:t>定派同</w:t>
      </w:r>
      <w:r>
        <w:rPr>
          <w:rFonts w:ascii="宋体" w:hAnsi="宋体" w:eastAsia="宋体" w:cs="宋体"/>
          <w:color w:val="auto"/>
          <w:spacing w:val="-1"/>
          <w:sz w:val="22"/>
          <w:szCs w:val="22"/>
          <w:highlight w:val="none"/>
        </w:rPr>
        <w:t>样资质的人员来替换。</w:t>
      </w:r>
    </w:p>
    <w:p w14:paraId="57B714F3">
      <w:pPr>
        <w:spacing w:before="168" w:line="360" w:lineRule="auto"/>
        <w:ind w:left="6" w:firstLine="443"/>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监理人应如实记录各监理人员及行政事务人员的出勤情况及工作内容，并在每月月末提交</w:t>
      </w:r>
      <w:r>
        <w:rPr>
          <w:rFonts w:ascii="宋体" w:hAnsi="宋体" w:eastAsia="宋体" w:cs="宋体"/>
          <w:color w:val="auto"/>
          <w:sz w:val="22"/>
          <w:szCs w:val="22"/>
          <w:highlight w:val="none"/>
        </w:rPr>
        <w:t>委托人签字确认。</w:t>
      </w:r>
    </w:p>
    <w:p w14:paraId="5A7D6FE8">
      <w:pPr>
        <w:spacing w:line="220" w:lineRule="auto"/>
        <w:ind w:left="449"/>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第</w:t>
      </w:r>
      <w:r>
        <w:rPr>
          <w:rFonts w:ascii="宋体" w:hAnsi="宋体" w:eastAsia="宋体" w:cs="宋体"/>
          <w:color w:val="auto"/>
          <w:spacing w:val="-43"/>
          <w:sz w:val="22"/>
          <w:szCs w:val="22"/>
          <w:highlight w:val="none"/>
        </w:rPr>
        <w:t xml:space="preserve"> </w:t>
      </w:r>
      <w:r>
        <w:rPr>
          <w:rFonts w:ascii="宋体" w:hAnsi="宋体" w:eastAsia="宋体" w:cs="宋体"/>
          <w:color w:val="auto"/>
          <w:spacing w:val="-3"/>
          <w:sz w:val="22"/>
          <w:szCs w:val="22"/>
          <w:highlight w:val="none"/>
        </w:rPr>
        <w:t>4.5.4</w:t>
      </w:r>
      <w:r>
        <w:rPr>
          <w:rFonts w:ascii="宋体" w:hAnsi="宋体" w:eastAsia="宋体" w:cs="宋体"/>
          <w:color w:val="auto"/>
          <w:spacing w:val="-45"/>
          <w:sz w:val="22"/>
          <w:szCs w:val="22"/>
          <w:highlight w:val="none"/>
        </w:rPr>
        <w:t xml:space="preserve"> </w:t>
      </w:r>
      <w:r>
        <w:rPr>
          <w:rFonts w:ascii="宋体" w:hAnsi="宋体" w:eastAsia="宋体" w:cs="宋体"/>
          <w:color w:val="auto"/>
          <w:spacing w:val="-3"/>
          <w:sz w:val="22"/>
          <w:szCs w:val="22"/>
          <w:highlight w:val="none"/>
        </w:rPr>
        <w:t>项修改为：</w:t>
      </w:r>
    </w:p>
    <w:p w14:paraId="78B676A7">
      <w:pPr>
        <w:spacing w:before="167" w:line="359" w:lineRule="auto"/>
        <w:ind w:left="6" w:right="34" w:firstLine="443"/>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监理人须根据交通运输主管部门的有关规定，完成监理人员从业登记和业绩登记，其中房</w:t>
      </w:r>
      <w:r>
        <w:rPr>
          <w:rFonts w:ascii="宋体" w:hAnsi="宋体" w:eastAsia="宋体" w:cs="宋体"/>
          <w:color w:val="auto"/>
          <w:spacing w:val="-1"/>
          <w:sz w:val="22"/>
          <w:szCs w:val="22"/>
          <w:highlight w:val="none"/>
        </w:rPr>
        <w:t>建工程监理人员应满足《广东省公路房建工程建设管理指</w:t>
      </w:r>
      <w:r>
        <w:rPr>
          <w:rFonts w:ascii="宋体" w:hAnsi="宋体" w:eastAsia="宋体" w:cs="宋体"/>
          <w:color w:val="auto"/>
          <w:spacing w:val="-2"/>
          <w:sz w:val="22"/>
          <w:szCs w:val="22"/>
          <w:highlight w:val="none"/>
        </w:rPr>
        <w:t>南》中的相关要求。监理人员进场后，</w:t>
      </w:r>
      <w:r>
        <w:rPr>
          <w:rFonts w:ascii="宋体" w:hAnsi="宋体" w:eastAsia="宋体" w:cs="宋体"/>
          <w:color w:val="auto"/>
          <w:spacing w:val="4"/>
          <w:sz w:val="22"/>
          <w:szCs w:val="22"/>
          <w:highlight w:val="none"/>
        </w:rPr>
        <w:t>委托人将组织对监理人员进行上岗前考核，同时在监理服务期限内,委托</w:t>
      </w:r>
      <w:r>
        <w:rPr>
          <w:rFonts w:ascii="宋体" w:hAnsi="宋体" w:eastAsia="宋体" w:cs="宋体"/>
          <w:color w:val="auto"/>
          <w:spacing w:val="3"/>
          <w:sz w:val="22"/>
          <w:szCs w:val="22"/>
          <w:highlight w:val="none"/>
        </w:rPr>
        <w:t>人将根据实际情况不</w:t>
      </w:r>
      <w:r>
        <w:rPr>
          <w:rFonts w:ascii="宋体" w:hAnsi="宋体" w:eastAsia="宋体" w:cs="宋体"/>
          <w:color w:val="auto"/>
          <w:sz w:val="22"/>
          <w:szCs w:val="22"/>
          <w:highlight w:val="none"/>
        </w:rPr>
        <w:t>定期对监理人员进行考核，考核不合格的监理人员将不准上岗，全部监理人</w:t>
      </w:r>
      <w:r>
        <w:rPr>
          <w:rFonts w:ascii="宋体" w:hAnsi="宋体" w:eastAsia="宋体" w:cs="宋体"/>
          <w:color w:val="auto"/>
          <w:spacing w:val="-1"/>
          <w:sz w:val="22"/>
          <w:szCs w:val="22"/>
          <w:highlight w:val="none"/>
        </w:rPr>
        <w:t>员均须持证上岗。</w:t>
      </w:r>
    </w:p>
    <w:p w14:paraId="6E754872">
      <w:pPr>
        <w:spacing w:line="220" w:lineRule="auto"/>
        <w:ind w:left="450"/>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增加第</w:t>
      </w:r>
      <w:r>
        <w:rPr>
          <w:rFonts w:ascii="宋体" w:hAnsi="宋体" w:eastAsia="宋体" w:cs="宋体"/>
          <w:color w:val="auto"/>
          <w:spacing w:val="-38"/>
          <w:sz w:val="22"/>
          <w:szCs w:val="22"/>
          <w:highlight w:val="none"/>
        </w:rPr>
        <w:t xml:space="preserve"> </w:t>
      </w:r>
      <w:r>
        <w:rPr>
          <w:rFonts w:ascii="宋体" w:hAnsi="宋体" w:eastAsia="宋体" w:cs="宋体"/>
          <w:color w:val="auto"/>
          <w:spacing w:val="-3"/>
          <w:sz w:val="22"/>
          <w:szCs w:val="22"/>
          <w:highlight w:val="none"/>
        </w:rPr>
        <w:t>4.5.5</w:t>
      </w:r>
      <w:r>
        <w:rPr>
          <w:rFonts w:ascii="宋体" w:hAnsi="宋体" w:eastAsia="宋体" w:cs="宋体"/>
          <w:color w:val="auto"/>
          <w:spacing w:val="-42"/>
          <w:sz w:val="22"/>
          <w:szCs w:val="22"/>
          <w:highlight w:val="none"/>
        </w:rPr>
        <w:t xml:space="preserve"> </w:t>
      </w:r>
      <w:r>
        <w:rPr>
          <w:rFonts w:ascii="宋体" w:hAnsi="宋体" w:eastAsia="宋体" w:cs="宋体"/>
          <w:color w:val="auto"/>
          <w:spacing w:val="-3"/>
          <w:sz w:val="22"/>
          <w:szCs w:val="22"/>
          <w:highlight w:val="none"/>
        </w:rPr>
        <w:t>项-4.5.8</w:t>
      </w:r>
      <w:r>
        <w:rPr>
          <w:rFonts w:ascii="宋体" w:hAnsi="宋体" w:eastAsia="宋体" w:cs="宋体"/>
          <w:color w:val="auto"/>
          <w:spacing w:val="-45"/>
          <w:sz w:val="22"/>
          <w:szCs w:val="22"/>
          <w:highlight w:val="none"/>
        </w:rPr>
        <w:t xml:space="preserve"> </w:t>
      </w:r>
      <w:r>
        <w:rPr>
          <w:rFonts w:ascii="宋体" w:hAnsi="宋体" w:eastAsia="宋体" w:cs="宋体"/>
          <w:color w:val="auto"/>
          <w:spacing w:val="-3"/>
          <w:sz w:val="22"/>
          <w:szCs w:val="22"/>
          <w:highlight w:val="none"/>
        </w:rPr>
        <w:t>项：</w:t>
      </w:r>
    </w:p>
    <w:p w14:paraId="4CF5F441">
      <w:pPr>
        <w:spacing w:before="166" w:line="359" w:lineRule="auto"/>
        <w:ind w:left="6" w:right="152" w:firstLine="44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4.5.5 监理人在投标文件中填报或在合同附件约定的人员必须全部按时到位，对于人员不</w:t>
      </w:r>
      <w:r>
        <w:rPr>
          <w:rFonts w:ascii="宋体" w:hAnsi="宋体" w:eastAsia="宋体" w:cs="宋体"/>
          <w:color w:val="auto"/>
          <w:spacing w:val="-1"/>
          <w:sz w:val="22"/>
          <w:szCs w:val="22"/>
          <w:highlight w:val="none"/>
        </w:rPr>
        <w:t>及时到位的按违约进行：</w:t>
      </w:r>
    </w:p>
    <w:p w14:paraId="15899C70">
      <w:pPr>
        <w:spacing w:line="359" w:lineRule="auto"/>
        <w:ind w:left="7" w:firstLine="447"/>
        <w:jc w:val="both"/>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总监理工程师处违约金</w:t>
      </w:r>
      <w:r>
        <w:rPr>
          <w:rFonts w:ascii="宋体" w:hAnsi="宋体" w:eastAsia="宋体" w:cs="宋体"/>
          <w:color w:val="auto"/>
          <w:spacing w:val="-107"/>
          <w:sz w:val="22"/>
          <w:szCs w:val="22"/>
          <w:highlight w:val="none"/>
        </w:rPr>
        <w:t xml:space="preserve"> </w:t>
      </w:r>
      <w:r>
        <w:rPr>
          <w:rFonts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4"/>
          <w:sz w:val="22"/>
          <w:szCs w:val="22"/>
          <w:highlight w:val="none"/>
          <w:u w:val="single" w:color="auto"/>
          <w:lang w:val="en-US" w:eastAsia="zh-CN"/>
        </w:rPr>
        <w:t>0.8</w:t>
      </w:r>
      <w:r>
        <w:rPr>
          <w:rFonts w:ascii="宋体" w:hAnsi="宋体" w:eastAsia="宋体" w:cs="宋体"/>
          <w:color w:val="auto"/>
          <w:spacing w:val="4"/>
          <w:sz w:val="22"/>
          <w:szCs w:val="22"/>
          <w:highlight w:val="none"/>
          <w:u w:val="single" w:color="auto"/>
        </w:rPr>
        <w:t xml:space="preserve"> </w:t>
      </w:r>
      <w:r>
        <w:rPr>
          <w:rFonts w:ascii="宋体" w:hAnsi="宋体" w:eastAsia="宋体" w:cs="宋体"/>
          <w:color w:val="auto"/>
          <w:spacing w:val="-96"/>
          <w:sz w:val="22"/>
          <w:szCs w:val="22"/>
          <w:highlight w:val="none"/>
        </w:rPr>
        <w:t xml:space="preserve"> </w:t>
      </w:r>
      <w:r>
        <w:rPr>
          <w:rFonts w:ascii="宋体" w:hAnsi="宋体" w:eastAsia="宋体" w:cs="宋体"/>
          <w:color w:val="auto"/>
          <w:spacing w:val="3"/>
          <w:sz w:val="22"/>
          <w:szCs w:val="22"/>
          <w:highlight w:val="none"/>
        </w:rPr>
        <w:t>万元/人次（用备选人替换首选人的调整不受此限）、驻地监</w:t>
      </w:r>
      <w:r>
        <w:rPr>
          <w:rFonts w:ascii="宋体" w:hAnsi="宋体" w:eastAsia="宋体" w:cs="宋体"/>
          <w:color w:val="auto"/>
          <w:sz w:val="22"/>
          <w:szCs w:val="22"/>
          <w:highlight w:val="none"/>
        </w:rPr>
        <w:t>理工程师处违约金</w:t>
      </w:r>
      <w:r>
        <w:rPr>
          <w:rFonts w:ascii="宋体" w:hAnsi="宋体" w:eastAsia="宋体" w:cs="宋体"/>
          <w:color w:val="auto"/>
          <w:sz w:val="22"/>
          <w:szCs w:val="22"/>
          <w:highlight w:val="none"/>
          <w:u w:val="single" w:color="auto"/>
        </w:rPr>
        <w:t xml:space="preserve"> </w:t>
      </w:r>
      <w:r>
        <w:rPr>
          <w:rFonts w:hint="eastAsia" w:ascii="宋体" w:hAnsi="宋体" w:eastAsia="宋体" w:cs="宋体"/>
          <w:color w:val="auto"/>
          <w:sz w:val="22"/>
          <w:szCs w:val="22"/>
          <w:highlight w:val="none"/>
          <w:u w:val="single" w:color="auto"/>
          <w:lang w:val="en-US" w:eastAsia="zh-CN"/>
        </w:rPr>
        <w:t>0.5</w:t>
      </w:r>
      <w:r>
        <w:rPr>
          <w:rFonts w:ascii="宋体" w:hAnsi="宋体" w:eastAsia="宋体" w:cs="宋体"/>
          <w:color w:val="auto"/>
          <w:sz w:val="22"/>
          <w:szCs w:val="22"/>
          <w:highlight w:val="none"/>
          <w:u w:val="single" w:color="auto"/>
        </w:rPr>
        <w:t xml:space="preserve"> </w:t>
      </w:r>
      <w:r>
        <w:rPr>
          <w:rFonts w:ascii="宋体" w:hAnsi="宋体" w:eastAsia="宋体" w:cs="宋体"/>
          <w:color w:val="auto"/>
          <w:spacing w:val="-94"/>
          <w:sz w:val="22"/>
          <w:szCs w:val="22"/>
          <w:highlight w:val="none"/>
        </w:rPr>
        <w:t xml:space="preserve"> </w:t>
      </w:r>
      <w:r>
        <w:rPr>
          <w:rFonts w:ascii="宋体" w:hAnsi="宋体" w:eastAsia="宋体" w:cs="宋体"/>
          <w:color w:val="auto"/>
          <w:sz w:val="22"/>
          <w:szCs w:val="22"/>
          <w:highlight w:val="none"/>
        </w:rPr>
        <w:t>万元/人次（用备选人替换首选人的调整不受此限</w:t>
      </w:r>
      <w:r>
        <w:rPr>
          <w:rFonts w:ascii="宋体" w:hAnsi="宋体" w:eastAsia="宋体" w:cs="宋体"/>
          <w:color w:val="auto"/>
          <w:spacing w:val="13"/>
          <w:sz w:val="22"/>
          <w:szCs w:val="22"/>
          <w:highlight w:val="none"/>
        </w:rPr>
        <w:t>）；</w:t>
      </w:r>
      <w:r>
        <w:rPr>
          <w:rFonts w:ascii="宋体" w:hAnsi="宋体" w:eastAsia="宋体" w:cs="宋体"/>
          <w:color w:val="auto"/>
          <w:sz w:val="22"/>
          <w:szCs w:val="22"/>
          <w:highlight w:val="none"/>
        </w:rPr>
        <w:t>其他主要监理人员</w:t>
      </w:r>
      <w:r>
        <w:rPr>
          <w:rFonts w:ascii="宋体" w:hAnsi="宋体" w:eastAsia="宋体" w:cs="宋体"/>
          <w:color w:val="auto"/>
          <w:spacing w:val="3"/>
          <w:sz w:val="22"/>
          <w:szCs w:val="22"/>
          <w:highlight w:val="none"/>
        </w:rPr>
        <w:t>的到位率必须达到</w:t>
      </w:r>
      <w:r>
        <w:rPr>
          <w:rFonts w:ascii="宋体" w:hAnsi="宋体" w:eastAsia="宋体" w:cs="宋体"/>
          <w:color w:val="auto"/>
          <w:spacing w:val="-41"/>
          <w:sz w:val="22"/>
          <w:szCs w:val="22"/>
          <w:highlight w:val="none"/>
        </w:rPr>
        <w:t xml:space="preserve"> </w:t>
      </w:r>
      <w:r>
        <w:rPr>
          <w:rFonts w:ascii="宋体" w:hAnsi="宋体" w:eastAsia="宋体" w:cs="宋体"/>
          <w:color w:val="auto"/>
          <w:spacing w:val="3"/>
          <w:sz w:val="22"/>
          <w:szCs w:val="22"/>
          <w:highlight w:val="none"/>
          <w:u w:val="single" w:color="auto"/>
        </w:rPr>
        <w:t>80%</w:t>
      </w:r>
      <w:r>
        <w:rPr>
          <w:rFonts w:ascii="宋体" w:hAnsi="宋体" w:eastAsia="宋体" w:cs="宋体"/>
          <w:color w:val="auto"/>
          <w:spacing w:val="3"/>
          <w:sz w:val="22"/>
          <w:szCs w:val="22"/>
          <w:highlight w:val="none"/>
        </w:rPr>
        <w:t>以上，如不足</w:t>
      </w:r>
      <w:r>
        <w:rPr>
          <w:rFonts w:ascii="宋体" w:hAnsi="宋体" w:eastAsia="宋体" w:cs="宋体"/>
          <w:color w:val="auto"/>
          <w:spacing w:val="-44"/>
          <w:sz w:val="22"/>
          <w:szCs w:val="22"/>
          <w:highlight w:val="none"/>
        </w:rPr>
        <w:t xml:space="preserve"> </w:t>
      </w:r>
      <w:r>
        <w:rPr>
          <w:rFonts w:ascii="宋体" w:hAnsi="宋体" w:eastAsia="宋体" w:cs="宋体"/>
          <w:color w:val="auto"/>
          <w:spacing w:val="3"/>
          <w:sz w:val="22"/>
          <w:szCs w:val="22"/>
          <w:highlight w:val="none"/>
          <w:u w:val="single" w:color="auto"/>
        </w:rPr>
        <w:t>80</w:t>
      </w:r>
      <w:r>
        <w:rPr>
          <w:rFonts w:ascii="宋体" w:hAnsi="宋体" w:eastAsia="宋体" w:cs="宋体"/>
          <w:color w:val="auto"/>
          <w:spacing w:val="3"/>
          <w:sz w:val="22"/>
          <w:szCs w:val="22"/>
          <w:highlight w:val="none"/>
        </w:rPr>
        <w:t>%的（其他主要监理人员分批次进场的，以最终进场的所有人员计算</w:t>
      </w:r>
      <w:r>
        <w:rPr>
          <w:rFonts w:ascii="宋体" w:hAnsi="宋体" w:eastAsia="宋体" w:cs="宋体"/>
          <w:color w:val="auto"/>
          <w:spacing w:val="10"/>
          <w:sz w:val="22"/>
          <w:szCs w:val="22"/>
          <w:highlight w:val="none"/>
        </w:rPr>
        <w:t>），</w:t>
      </w:r>
      <w:r>
        <w:rPr>
          <w:rFonts w:ascii="宋体" w:hAnsi="宋体" w:eastAsia="宋体" w:cs="宋体"/>
          <w:color w:val="auto"/>
          <w:spacing w:val="3"/>
          <w:sz w:val="22"/>
          <w:szCs w:val="22"/>
          <w:highlight w:val="none"/>
        </w:rPr>
        <w:t>其差额部分处以违约金</w:t>
      </w:r>
      <w:r>
        <w:rPr>
          <w:rFonts w:ascii="宋体" w:hAnsi="宋体" w:eastAsia="宋体" w:cs="宋体"/>
          <w:color w:val="auto"/>
          <w:spacing w:val="-108"/>
          <w:sz w:val="22"/>
          <w:szCs w:val="22"/>
          <w:highlight w:val="none"/>
        </w:rPr>
        <w:t xml:space="preserve"> </w:t>
      </w:r>
      <w:r>
        <w:rPr>
          <w:rFonts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4"/>
          <w:sz w:val="22"/>
          <w:szCs w:val="22"/>
          <w:highlight w:val="none"/>
          <w:u w:val="single" w:color="auto"/>
          <w:lang w:val="en-US" w:eastAsia="zh-CN"/>
        </w:rPr>
        <w:t>0.3</w:t>
      </w:r>
      <w:r>
        <w:rPr>
          <w:rFonts w:ascii="宋体" w:hAnsi="宋体" w:eastAsia="宋体" w:cs="宋体"/>
          <w:color w:val="auto"/>
          <w:spacing w:val="4"/>
          <w:sz w:val="22"/>
          <w:szCs w:val="22"/>
          <w:highlight w:val="none"/>
          <w:u w:val="single" w:color="auto"/>
        </w:rPr>
        <w:t xml:space="preserve"> </w:t>
      </w:r>
      <w:r>
        <w:rPr>
          <w:rFonts w:ascii="宋体" w:hAnsi="宋体" w:eastAsia="宋体" w:cs="宋体"/>
          <w:color w:val="auto"/>
          <w:spacing w:val="-96"/>
          <w:sz w:val="22"/>
          <w:szCs w:val="22"/>
          <w:highlight w:val="none"/>
        </w:rPr>
        <w:t xml:space="preserve"> </w:t>
      </w:r>
      <w:r>
        <w:rPr>
          <w:rFonts w:ascii="宋体" w:hAnsi="宋体" w:eastAsia="宋体" w:cs="宋体"/>
          <w:color w:val="auto"/>
          <w:spacing w:val="3"/>
          <w:sz w:val="22"/>
          <w:szCs w:val="22"/>
          <w:highlight w:val="none"/>
        </w:rPr>
        <w:t>万元/人次进行处罚。如因</w:t>
      </w:r>
      <w:r>
        <w:rPr>
          <w:rFonts w:ascii="宋体" w:hAnsi="宋体" w:eastAsia="宋体" w:cs="宋体"/>
          <w:color w:val="auto"/>
          <w:spacing w:val="2"/>
          <w:sz w:val="22"/>
          <w:szCs w:val="22"/>
          <w:highlight w:val="none"/>
        </w:rPr>
        <w:t>特殊原因确需对投标文件中的主要监理人员进行调整除按4.5.1</w:t>
      </w:r>
      <w:r>
        <w:rPr>
          <w:rFonts w:ascii="宋体" w:hAnsi="宋体" w:eastAsia="宋体" w:cs="宋体"/>
          <w:color w:val="auto"/>
          <w:spacing w:val="-42"/>
          <w:sz w:val="22"/>
          <w:szCs w:val="22"/>
          <w:highlight w:val="none"/>
        </w:rPr>
        <w:t xml:space="preserve"> </w:t>
      </w:r>
      <w:r>
        <w:rPr>
          <w:rFonts w:ascii="宋体" w:hAnsi="宋体" w:eastAsia="宋体" w:cs="宋体"/>
          <w:color w:val="auto"/>
          <w:spacing w:val="2"/>
          <w:sz w:val="22"/>
          <w:szCs w:val="22"/>
          <w:highlight w:val="none"/>
        </w:rPr>
        <w:t>项规定外，所代替的人选在资格、资历、能力等方</w:t>
      </w:r>
      <w:r>
        <w:rPr>
          <w:rFonts w:ascii="宋体" w:hAnsi="宋体" w:eastAsia="宋体" w:cs="宋体"/>
          <w:color w:val="auto"/>
          <w:spacing w:val="-1"/>
          <w:sz w:val="22"/>
          <w:szCs w:val="22"/>
          <w:highlight w:val="none"/>
        </w:rPr>
        <w:t>面均不得低于原来的人选，监理人须将更换人员的相关资料如任职证明、身份证、专业（执业）</w:t>
      </w:r>
      <w:r>
        <w:rPr>
          <w:rFonts w:ascii="宋体" w:hAnsi="宋体" w:eastAsia="宋体" w:cs="宋体"/>
          <w:color w:val="auto"/>
          <w:sz w:val="22"/>
          <w:szCs w:val="22"/>
          <w:highlight w:val="none"/>
        </w:rPr>
        <w:t>资格证书等复印件报委托人备案，并按上述</w:t>
      </w:r>
      <w:r>
        <w:rPr>
          <w:rFonts w:ascii="宋体" w:hAnsi="宋体" w:eastAsia="宋体" w:cs="宋体"/>
          <w:color w:val="auto"/>
          <w:spacing w:val="-1"/>
          <w:sz w:val="22"/>
          <w:szCs w:val="22"/>
          <w:highlight w:val="none"/>
        </w:rPr>
        <w:t>标准提交违约金。</w:t>
      </w:r>
    </w:p>
    <w:p w14:paraId="17E6B379">
      <w:pPr>
        <w:spacing w:before="1" w:line="359" w:lineRule="auto"/>
        <w:ind w:left="6" w:right="150" w:firstLine="441"/>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4.5.6</w:t>
      </w:r>
      <w:r>
        <w:rPr>
          <w:rFonts w:ascii="宋体" w:hAnsi="宋体" w:eastAsia="宋体" w:cs="宋体"/>
          <w:color w:val="auto"/>
          <w:spacing w:val="-39"/>
          <w:sz w:val="22"/>
          <w:szCs w:val="22"/>
          <w:highlight w:val="none"/>
        </w:rPr>
        <w:t xml:space="preserve"> </w:t>
      </w:r>
      <w:r>
        <w:rPr>
          <w:rFonts w:ascii="宋体" w:hAnsi="宋体" w:eastAsia="宋体" w:cs="宋体"/>
          <w:color w:val="auto"/>
          <w:spacing w:val="2"/>
          <w:sz w:val="22"/>
          <w:szCs w:val="22"/>
          <w:highlight w:val="none"/>
        </w:rPr>
        <w:t>如果监理人需要对其在投标文件中提出的人员进场计划及计划调整，必须事先经过</w:t>
      </w:r>
      <w:r>
        <w:rPr>
          <w:rFonts w:ascii="宋体" w:hAnsi="宋体" w:eastAsia="宋体" w:cs="宋体"/>
          <w:color w:val="auto"/>
          <w:sz w:val="22"/>
          <w:szCs w:val="22"/>
          <w:highlight w:val="none"/>
        </w:rPr>
        <w:t>委托人的批准；所有监理人员需经委托人组织考核</w:t>
      </w:r>
      <w:r>
        <w:rPr>
          <w:rFonts w:ascii="宋体" w:hAnsi="宋体" w:eastAsia="宋体" w:cs="宋体"/>
          <w:color w:val="auto"/>
          <w:spacing w:val="-1"/>
          <w:sz w:val="22"/>
          <w:szCs w:val="22"/>
          <w:highlight w:val="none"/>
        </w:rPr>
        <w:t>合格后方可进场。</w:t>
      </w:r>
    </w:p>
    <w:p w14:paraId="004DAEF7">
      <w:pPr>
        <w:spacing w:line="220" w:lineRule="auto"/>
        <w:ind w:left="448"/>
        <w:rPr>
          <w:rFonts w:ascii="宋体" w:hAnsi="宋体" w:eastAsia="宋体" w:cs="宋体"/>
          <w:color w:val="auto"/>
          <w:sz w:val="22"/>
          <w:szCs w:val="22"/>
          <w:highlight w:val="none"/>
        </w:rPr>
      </w:pPr>
      <w:r>
        <w:rPr>
          <w:rFonts w:ascii="宋体" w:hAnsi="宋体" w:eastAsia="宋体" w:cs="宋体"/>
          <w:color w:val="auto"/>
          <w:sz w:val="22"/>
          <w:szCs w:val="22"/>
          <w:highlight w:val="none"/>
        </w:rPr>
        <w:t>4.5.7 监理人员上岗时必须统一着装、挂牌，做到标志</w:t>
      </w:r>
      <w:r>
        <w:rPr>
          <w:rFonts w:ascii="宋体" w:hAnsi="宋体" w:eastAsia="宋体" w:cs="宋体"/>
          <w:color w:val="auto"/>
          <w:spacing w:val="-1"/>
          <w:sz w:val="22"/>
          <w:szCs w:val="22"/>
          <w:highlight w:val="none"/>
        </w:rPr>
        <w:t>明显，形象分明。</w:t>
      </w:r>
    </w:p>
    <w:p w14:paraId="6EA1D375">
      <w:pPr>
        <w:spacing w:before="166" w:line="359" w:lineRule="auto"/>
        <w:ind w:left="13" w:right="150" w:firstLine="434"/>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4.5.8</w:t>
      </w:r>
      <w:r>
        <w:rPr>
          <w:rFonts w:ascii="宋体" w:hAnsi="宋体" w:eastAsia="宋体" w:cs="宋体"/>
          <w:color w:val="auto"/>
          <w:spacing w:val="-48"/>
          <w:sz w:val="22"/>
          <w:szCs w:val="22"/>
          <w:highlight w:val="none"/>
        </w:rPr>
        <w:t xml:space="preserve"> </w:t>
      </w:r>
      <w:r>
        <w:rPr>
          <w:rFonts w:ascii="宋体" w:hAnsi="宋体" w:eastAsia="宋体" w:cs="宋体"/>
          <w:color w:val="auto"/>
          <w:spacing w:val="5"/>
          <w:sz w:val="22"/>
          <w:szCs w:val="22"/>
          <w:highlight w:val="none"/>
        </w:rPr>
        <w:t>在</w:t>
      </w:r>
      <w:r>
        <w:rPr>
          <w:rFonts w:ascii="宋体" w:hAnsi="宋体" w:eastAsia="宋体" w:cs="宋体"/>
          <w:color w:val="auto"/>
          <w:spacing w:val="2"/>
          <w:sz w:val="22"/>
          <w:szCs w:val="22"/>
          <w:highlight w:val="none"/>
        </w:rPr>
        <w:t>交(竣)工验收及缺</w:t>
      </w:r>
      <w:r>
        <w:rPr>
          <w:rFonts w:ascii="宋体" w:hAnsi="宋体" w:eastAsia="宋体" w:cs="宋体"/>
          <w:color w:val="auto"/>
          <w:spacing w:val="5"/>
          <w:sz w:val="22"/>
          <w:szCs w:val="22"/>
          <w:highlight w:val="none"/>
        </w:rPr>
        <w:t>陷责任期内，监理人应配备</w:t>
      </w:r>
      <w:r>
        <w:rPr>
          <w:rFonts w:ascii="宋体" w:hAnsi="宋体" w:eastAsia="宋体" w:cs="宋体"/>
          <w:color w:val="auto"/>
          <w:spacing w:val="-108"/>
          <w:sz w:val="22"/>
          <w:szCs w:val="22"/>
          <w:highlight w:val="none"/>
        </w:rPr>
        <w:t xml:space="preserve"> </w:t>
      </w:r>
      <w:r>
        <w:rPr>
          <w:rFonts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4"/>
          <w:sz w:val="22"/>
          <w:szCs w:val="22"/>
          <w:highlight w:val="none"/>
          <w:u w:val="single" w:color="auto"/>
          <w:lang w:val="en-US" w:eastAsia="zh-CN"/>
        </w:rPr>
        <w:t>1</w:t>
      </w:r>
      <w:r>
        <w:rPr>
          <w:rFonts w:ascii="宋体" w:hAnsi="宋体" w:eastAsia="宋体" w:cs="宋体"/>
          <w:color w:val="auto"/>
          <w:spacing w:val="4"/>
          <w:sz w:val="22"/>
          <w:szCs w:val="22"/>
          <w:highlight w:val="none"/>
          <w:u w:val="single" w:color="auto"/>
        </w:rPr>
        <w:t xml:space="preserve"> </w:t>
      </w:r>
      <w:r>
        <w:rPr>
          <w:rFonts w:ascii="宋体" w:hAnsi="宋体" w:eastAsia="宋体" w:cs="宋体"/>
          <w:color w:val="auto"/>
          <w:spacing w:val="-96"/>
          <w:sz w:val="22"/>
          <w:szCs w:val="22"/>
          <w:highlight w:val="none"/>
        </w:rPr>
        <w:t xml:space="preserve"> </w:t>
      </w:r>
      <w:r>
        <w:rPr>
          <w:rFonts w:ascii="宋体" w:hAnsi="宋体" w:eastAsia="宋体" w:cs="宋体"/>
          <w:color w:val="auto"/>
          <w:spacing w:val="5"/>
          <w:sz w:val="22"/>
          <w:szCs w:val="22"/>
          <w:highlight w:val="none"/>
        </w:rPr>
        <w:t>名监理人员，且所安排人员应</w:t>
      </w:r>
      <w:r>
        <w:rPr>
          <w:rFonts w:ascii="宋体" w:hAnsi="宋体" w:eastAsia="宋体" w:cs="宋体"/>
          <w:color w:val="auto"/>
          <w:spacing w:val="-2"/>
          <w:sz w:val="22"/>
          <w:szCs w:val="22"/>
          <w:highlight w:val="none"/>
        </w:rPr>
        <w:t>到岗到位，不得随意更换。</w:t>
      </w:r>
    </w:p>
    <w:p w14:paraId="36294525">
      <w:pPr>
        <w:spacing w:line="359" w:lineRule="auto"/>
        <w:ind w:left="10" w:right="150" w:firstLine="43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4.5.9</w:t>
      </w:r>
      <w:r>
        <w:rPr>
          <w:rFonts w:ascii="宋体" w:hAnsi="宋体" w:eastAsia="宋体" w:cs="宋体"/>
          <w:color w:val="auto"/>
          <w:spacing w:val="-39"/>
          <w:sz w:val="22"/>
          <w:szCs w:val="22"/>
          <w:highlight w:val="none"/>
        </w:rPr>
        <w:t xml:space="preserve"> </w:t>
      </w:r>
      <w:r>
        <w:rPr>
          <w:rFonts w:ascii="宋体" w:hAnsi="宋体" w:eastAsia="宋体" w:cs="宋体"/>
          <w:color w:val="auto"/>
          <w:spacing w:val="2"/>
          <w:sz w:val="22"/>
          <w:szCs w:val="22"/>
          <w:highlight w:val="none"/>
        </w:rPr>
        <w:t>监理人应根据广东省交通运输厅关于加强交通建设工程从业人员实名制管理和作业</w:t>
      </w:r>
      <w:r>
        <w:rPr>
          <w:rFonts w:ascii="宋体" w:hAnsi="宋体" w:eastAsia="宋体" w:cs="宋体"/>
          <w:color w:val="auto"/>
          <w:spacing w:val="1"/>
          <w:sz w:val="22"/>
          <w:szCs w:val="22"/>
          <w:highlight w:val="none"/>
        </w:rPr>
        <w:t>工人工资支付管理的通知（粤交基函〔2020〕177 号</w:t>
      </w:r>
      <w:r>
        <w:rPr>
          <w:rFonts w:ascii="宋体" w:hAnsi="宋体" w:eastAsia="宋体" w:cs="宋体"/>
          <w:color w:val="auto"/>
          <w:sz w:val="22"/>
          <w:szCs w:val="22"/>
          <w:highlight w:val="none"/>
        </w:rPr>
        <w:t>）的要求， 做好从业人员实名制管</w:t>
      </w:r>
      <w:r>
        <w:rPr>
          <w:rFonts w:ascii="宋体" w:hAnsi="宋体" w:eastAsia="宋体" w:cs="宋体"/>
          <w:color w:val="auto"/>
          <w:spacing w:val="-1"/>
          <w:sz w:val="22"/>
          <w:szCs w:val="22"/>
          <w:highlight w:val="none"/>
        </w:rPr>
        <w:t>理要求， 具体要求根据委托人发布的相关办法执行。</w:t>
      </w:r>
    </w:p>
    <w:p w14:paraId="11032D5F">
      <w:pPr>
        <w:spacing w:before="1" w:line="358" w:lineRule="auto"/>
        <w:ind w:left="49" w:right="152" w:firstLine="39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4.5.10 委托人可批准部分未持有交通运输部监理</w:t>
      </w:r>
      <w:r>
        <w:rPr>
          <w:rFonts w:ascii="宋体" w:hAnsi="宋体" w:eastAsia="宋体" w:cs="宋体"/>
          <w:color w:val="auto"/>
          <w:spacing w:val="3"/>
          <w:sz w:val="22"/>
          <w:szCs w:val="22"/>
          <w:highlight w:val="none"/>
        </w:rPr>
        <w:t>工程师证人员以专业工程师身份进入项</w:t>
      </w:r>
      <w:r>
        <w:rPr>
          <w:rFonts w:ascii="宋体" w:hAnsi="宋体" w:eastAsia="宋体" w:cs="宋体"/>
          <w:color w:val="auto"/>
          <w:spacing w:val="-2"/>
          <w:sz w:val="22"/>
          <w:szCs w:val="22"/>
          <w:highlight w:val="none"/>
        </w:rPr>
        <w:t>目执业，书面批复并明确其在项目内的职权范围。比例不超</w:t>
      </w:r>
      <w:r>
        <w:rPr>
          <w:rFonts w:ascii="宋体" w:hAnsi="宋体" w:eastAsia="宋体" w:cs="宋体"/>
          <w:color w:val="auto"/>
          <w:spacing w:val="-42"/>
          <w:sz w:val="22"/>
          <w:szCs w:val="22"/>
          <w:highlight w:val="none"/>
        </w:rPr>
        <w:t xml:space="preserve"> </w:t>
      </w:r>
      <w:r>
        <w:rPr>
          <w:rFonts w:ascii="宋体" w:hAnsi="宋体" w:eastAsia="宋体" w:cs="宋体"/>
          <w:color w:val="auto"/>
          <w:spacing w:val="-2"/>
          <w:sz w:val="22"/>
          <w:szCs w:val="22"/>
          <w:highlight w:val="none"/>
        </w:rPr>
        <w:t>30</w:t>
      </w:r>
      <w:r>
        <w:rPr>
          <w:rFonts w:ascii="宋体" w:hAnsi="宋体" w:eastAsia="宋体" w:cs="宋体"/>
          <w:color w:val="auto"/>
          <w:spacing w:val="-3"/>
          <w:sz w:val="22"/>
          <w:szCs w:val="22"/>
          <w:highlight w:val="none"/>
        </w:rPr>
        <w:t>%。</w:t>
      </w:r>
    </w:p>
    <w:p w14:paraId="7CEE78EE">
      <w:pPr>
        <w:spacing w:before="1" w:line="219" w:lineRule="auto"/>
        <w:ind w:left="448"/>
        <w:rPr>
          <w:rFonts w:ascii="宋体" w:hAnsi="宋体" w:eastAsia="宋体" w:cs="宋体"/>
          <w:color w:val="auto"/>
          <w:sz w:val="22"/>
          <w:szCs w:val="22"/>
          <w:highlight w:val="none"/>
        </w:rPr>
      </w:pPr>
      <w:r>
        <w:rPr>
          <w:rFonts w:ascii="宋体" w:hAnsi="宋体" w:eastAsia="宋体" w:cs="宋体"/>
          <w:color w:val="auto"/>
          <w:sz w:val="22"/>
          <w:szCs w:val="22"/>
          <w:highlight w:val="none"/>
        </w:rPr>
        <w:t>4.5.11 监理机构应制定监理人员培训方案，培</w:t>
      </w:r>
      <w:r>
        <w:rPr>
          <w:rFonts w:ascii="宋体" w:hAnsi="宋体" w:eastAsia="宋体" w:cs="宋体"/>
          <w:color w:val="auto"/>
          <w:spacing w:val="-1"/>
          <w:sz w:val="22"/>
          <w:szCs w:val="22"/>
          <w:highlight w:val="none"/>
        </w:rPr>
        <w:t>训内容应包括：</w:t>
      </w:r>
    </w:p>
    <w:p w14:paraId="4356D56F">
      <w:pPr>
        <w:spacing w:before="168" w:line="220" w:lineRule="auto"/>
        <w:ind w:left="45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a）相关法律法规、规范及指南；</w:t>
      </w:r>
    </w:p>
    <w:p w14:paraId="0C22ED7E">
      <w:pPr>
        <w:spacing w:before="165" w:line="220" w:lineRule="auto"/>
        <w:ind w:left="445"/>
        <w:rPr>
          <w:rFonts w:ascii="宋体" w:hAnsi="宋体" w:eastAsia="宋体" w:cs="宋体"/>
          <w:color w:val="auto"/>
          <w:sz w:val="22"/>
          <w:szCs w:val="22"/>
          <w:highlight w:val="none"/>
        </w:rPr>
      </w:pPr>
      <w:bookmarkStart w:id="334" w:name="bookmark175"/>
      <w:bookmarkEnd w:id="334"/>
      <w:r>
        <w:rPr>
          <w:rFonts w:ascii="宋体" w:hAnsi="宋体" w:eastAsia="宋体" w:cs="宋体"/>
          <w:color w:val="auto"/>
          <w:sz w:val="22"/>
          <w:szCs w:val="22"/>
          <w:highlight w:val="none"/>
        </w:rPr>
        <w:t>b）监理基础知识、专业技术知识，分部分项工程质量安全</w:t>
      </w:r>
      <w:r>
        <w:rPr>
          <w:rFonts w:ascii="宋体" w:hAnsi="宋体" w:eastAsia="宋体" w:cs="宋体"/>
          <w:color w:val="auto"/>
          <w:spacing w:val="-1"/>
          <w:sz w:val="22"/>
          <w:szCs w:val="22"/>
          <w:highlight w:val="none"/>
        </w:rPr>
        <w:t>监理要点；</w:t>
      </w:r>
    </w:p>
    <w:p w14:paraId="4636FBAF">
      <w:pPr>
        <w:spacing w:line="242" w:lineRule="auto"/>
        <w:rPr>
          <w:rFonts w:ascii="Arial"/>
          <w:color w:val="auto"/>
          <w:sz w:val="21"/>
          <w:highlight w:val="none"/>
        </w:rPr>
      </w:pPr>
    </w:p>
    <w:p w14:paraId="4BFBBF4C">
      <w:pPr>
        <w:spacing w:before="72" w:line="359" w:lineRule="auto"/>
        <w:ind w:left="2" w:right="118" w:firstLine="445"/>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c）项目建设目标、建设理念、项目管理要求或建设单位下发的项</w:t>
      </w:r>
      <w:r>
        <w:rPr>
          <w:rFonts w:ascii="宋体" w:hAnsi="宋体" w:eastAsia="宋体" w:cs="宋体"/>
          <w:color w:val="auto"/>
          <w:spacing w:val="3"/>
          <w:sz w:val="22"/>
          <w:szCs w:val="22"/>
          <w:highlight w:val="none"/>
        </w:rPr>
        <w:t>目管理办法、工程特点</w:t>
      </w:r>
      <w:r>
        <w:rPr>
          <w:rFonts w:ascii="宋体" w:hAnsi="宋体" w:eastAsia="宋体" w:cs="宋体"/>
          <w:color w:val="auto"/>
          <w:sz w:val="22"/>
          <w:szCs w:val="22"/>
          <w:highlight w:val="none"/>
        </w:rPr>
        <w:t>和施工图设计文件，总体施工组织设计、承包人项目管理方案</w:t>
      </w:r>
      <w:r>
        <w:rPr>
          <w:rFonts w:ascii="宋体" w:hAnsi="宋体" w:eastAsia="宋体" w:cs="宋体"/>
          <w:color w:val="auto"/>
          <w:spacing w:val="-1"/>
          <w:sz w:val="22"/>
          <w:szCs w:val="22"/>
          <w:highlight w:val="none"/>
        </w:rPr>
        <w:t>及专项施工方案等；</w:t>
      </w:r>
    </w:p>
    <w:p w14:paraId="5F5DD58B">
      <w:pPr>
        <w:spacing w:before="1" w:line="220" w:lineRule="auto"/>
        <w:ind w:left="447"/>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d）其他方面。</w:t>
      </w:r>
    </w:p>
    <w:p w14:paraId="44542E30">
      <w:pPr>
        <w:spacing w:line="301" w:lineRule="auto"/>
        <w:rPr>
          <w:rFonts w:ascii="Arial"/>
          <w:color w:val="auto"/>
          <w:sz w:val="21"/>
          <w:highlight w:val="none"/>
        </w:rPr>
      </w:pPr>
    </w:p>
    <w:p w14:paraId="051EA698">
      <w:pPr>
        <w:spacing w:before="78" w:line="219" w:lineRule="auto"/>
        <w:ind w:left="1"/>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4.6</w:t>
      </w:r>
      <w:r>
        <w:rPr>
          <w:rFonts w:ascii="宋体" w:hAnsi="宋体" w:eastAsia="宋体" w:cs="宋体"/>
          <w:color w:val="auto"/>
          <w:spacing w:val="-48"/>
          <w:sz w:val="24"/>
          <w:szCs w:val="24"/>
          <w:highlight w:val="none"/>
        </w:rPr>
        <w:t xml:space="preserve"> </w:t>
      </w:r>
      <w:r>
        <w:rPr>
          <w:rFonts w:ascii="宋体" w:hAnsi="宋体" w:eastAsia="宋体" w:cs="宋体"/>
          <w:b/>
          <w:bCs/>
          <w:color w:val="auto"/>
          <w:spacing w:val="-3"/>
          <w:sz w:val="24"/>
          <w:szCs w:val="24"/>
          <w:highlight w:val="none"/>
        </w:rPr>
        <w:t>撤换总监理工程师和其他人员</w:t>
      </w:r>
    </w:p>
    <w:p w14:paraId="6286119B">
      <w:pPr>
        <w:spacing w:before="175" w:line="220" w:lineRule="auto"/>
        <w:ind w:left="442"/>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在</w:t>
      </w:r>
      <w:r>
        <w:rPr>
          <w:rFonts w:ascii="宋体" w:hAnsi="宋体" w:eastAsia="宋体" w:cs="宋体"/>
          <w:color w:val="auto"/>
          <w:spacing w:val="-48"/>
          <w:sz w:val="22"/>
          <w:szCs w:val="22"/>
          <w:highlight w:val="none"/>
        </w:rPr>
        <w:t xml:space="preserve"> </w:t>
      </w:r>
      <w:r>
        <w:rPr>
          <w:rFonts w:ascii="宋体" w:hAnsi="宋体" w:eastAsia="宋体" w:cs="宋体"/>
          <w:color w:val="auto"/>
          <w:spacing w:val="-2"/>
          <w:sz w:val="22"/>
          <w:szCs w:val="22"/>
          <w:highlight w:val="none"/>
        </w:rPr>
        <w:t>4.6</w:t>
      </w:r>
      <w:r>
        <w:rPr>
          <w:rFonts w:ascii="宋体" w:hAnsi="宋体" w:eastAsia="宋体" w:cs="宋体"/>
          <w:color w:val="auto"/>
          <w:spacing w:val="-43"/>
          <w:sz w:val="22"/>
          <w:szCs w:val="22"/>
          <w:highlight w:val="none"/>
        </w:rPr>
        <w:t xml:space="preserve"> </w:t>
      </w:r>
      <w:r>
        <w:rPr>
          <w:rFonts w:ascii="宋体" w:hAnsi="宋体" w:eastAsia="宋体" w:cs="宋体"/>
          <w:color w:val="auto"/>
          <w:spacing w:val="-2"/>
          <w:sz w:val="22"/>
          <w:szCs w:val="22"/>
          <w:highlight w:val="none"/>
        </w:rPr>
        <w:t>项段后增加如下内容：</w:t>
      </w:r>
    </w:p>
    <w:p w14:paraId="7B5696D7">
      <w:pPr>
        <w:spacing w:before="166" w:line="360" w:lineRule="auto"/>
        <w:ind w:left="1" w:firstLine="442"/>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尽管监理人已按投标文件中的人员进场计划派遣了监理人员，但若委托人认为现场监理人员仍不足以满足施工监理服务的需要而影响了对工程质量及进度的监控时，委托人有权要求监</w:t>
      </w:r>
      <w:r>
        <w:rPr>
          <w:rFonts w:ascii="宋体" w:hAnsi="宋体" w:eastAsia="宋体" w:cs="宋体"/>
          <w:color w:val="auto"/>
          <w:spacing w:val="-1"/>
          <w:sz w:val="22"/>
          <w:szCs w:val="22"/>
          <w:highlight w:val="none"/>
        </w:rPr>
        <w:t>理人另外增派或雇用监理人员。监理人在接到通知后应</w:t>
      </w:r>
      <w:r>
        <w:rPr>
          <w:rFonts w:ascii="宋体" w:hAnsi="宋体" w:eastAsia="宋体" w:cs="宋体"/>
          <w:color w:val="auto"/>
          <w:spacing w:val="-2"/>
          <w:sz w:val="22"/>
          <w:szCs w:val="22"/>
          <w:highlight w:val="none"/>
        </w:rPr>
        <w:t>立即执行委托人的指示，不得无故拖延，</w:t>
      </w:r>
      <w:r>
        <w:rPr>
          <w:rFonts w:ascii="宋体" w:hAnsi="宋体" w:eastAsia="宋体" w:cs="宋体"/>
          <w:color w:val="auto"/>
          <w:spacing w:val="1"/>
          <w:sz w:val="22"/>
          <w:szCs w:val="22"/>
          <w:highlight w:val="none"/>
        </w:rPr>
        <w:t>同时委托人也有权要求监理人减少监理人员。如监理人因此在投标报价的现场监理人员费用总</w:t>
      </w:r>
      <w:r>
        <w:rPr>
          <w:rFonts w:ascii="宋体" w:hAnsi="宋体" w:eastAsia="宋体" w:cs="宋体"/>
          <w:color w:val="auto"/>
          <w:sz w:val="22"/>
          <w:szCs w:val="22"/>
          <w:highlight w:val="none"/>
        </w:rPr>
        <w:t>额上需增减费用，则增加部分由委托人承担，减</w:t>
      </w:r>
      <w:r>
        <w:rPr>
          <w:rFonts w:ascii="宋体" w:hAnsi="宋体" w:eastAsia="宋体" w:cs="宋体"/>
          <w:color w:val="auto"/>
          <w:spacing w:val="-1"/>
          <w:sz w:val="22"/>
          <w:szCs w:val="22"/>
          <w:highlight w:val="none"/>
        </w:rPr>
        <w:t>少部分归委托人所有。</w:t>
      </w:r>
    </w:p>
    <w:p w14:paraId="378120B9">
      <w:pPr>
        <w:spacing w:line="322" w:lineRule="auto"/>
        <w:rPr>
          <w:rFonts w:ascii="Arial"/>
          <w:color w:val="auto"/>
          <w:sz w:val="21"/>
          <w:highlight w:val="none"/>
        </w:rPr>
      </w:pPr>
    </w:p>
    <w:p w14:paraId="7679D493">
      <w:pPr>
        <w:pStyle w:val="5"/>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5.</w:t>
      </w:r>
      <w:r>
        <w:rPr>
          <w:rFonts w:ascii="宋体" w:hAnsi="宋体" w:eastAsia="宋体" w:cs="宋体"/>
          <w:color w:val="auto"/>
          <w:spacing w:val="10"/>
          <w:sz w:val="24"/>
          <w:szCs w:val="24"/>
          <w:highlight w:val="none"/>
        </w:rPr>
        <w:t xml:space="preserve"> </w:t>
      </w:r>
      <w:r>
        <w:rPr>
          <w:rFonts w:ascii="宋体" w:hAnsi="宋体" w:eastAsia="宋体" w:cs="宋体"/>
          <w:b/>
          <w:bCs/>
          <w:color w:val="auto"/>
          <w:spacing w:val="-6"/>
          <w:sz w:val="24"/>
          <w:szCs w:val="24"/>
          <w:highlight w:val="none"/>
        </w:rPr>
        <w:t>监理要求</w:t>
      </w:r>
    </w:p>
    <w:p w14:paraId="28CAFCEC">
      <w:pPr>
        <w:spacing w:before="289" w:line="220" w:lineRule="auto"/>
        <w:ind w:left="7"/>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5.1</w:t>
      </w:r>
      <w:r>
        <w:rPr>
          <w:rFonts w:ascii="宋体" w:hAnsi="宋体" w:eastAsia="宋体" w:cs="宋体"/>
          <w:color w:val="auto"/>
          <w:spacing w:val="16"/>
          <w:sz w:val="24"/>
          <w:szCs w:val="24"/>
          <w:highlight w:val="none"/>
        </w:rPr>
        <w:t xml:space="preserve"> </w:t>
      </w:r>
      <w:r>
        <w:rPr>
          <w:rFonts w:ascii="宋体" w:hAnsi="宋体" w:eastAsia="宋体" w:cs="宋体"/>
          <w:b/>
          <w:bCs/>
          <w:color w:val="auto"/>
          <w:spacing w:val="-6"/>
          <w:sz w:val="24"/>
          <w:szCs w:val="24"/>
          <w:highlight w:val="none"/>
        </w:rPr>
        <w:t>监理范围</w:t>
      </w:r>
    </w:p>
    <w:p w14:paraId="32958945">
      <w:pPr>
        <w:bidi w:val="0"/>
        <w:rPr>
          <w:color w:val="auto"/>
          <w:highlight w:val="none"/>
        </w:rPr>
      </w:pPr>
    </w:p>
    <w:p w14:paraId="583A446E">
      <w:pPr>
        <w:keepNext w:val="0"/>
        <w:keepLines w:val="0"/>
        <w:pageBreakBefore w:val="0"/>
        <w:widowControl/>
        <w:kinsoku w:val="0"/>
        <w:wordWrap/>
        <w:overflowPunct/>
        <w:topLinePunct w:val="0"/>
        <w:autoSpaceDE w:val="0"/>
        <w:autoSpaceDN w:val="0"/>
        <w:bidi w:val="0"/>
        <w:adjustRightInd w:val="0"/>
        <w:snapToGrid w:val="0"/>
        <w:spacing w:line="360" w:lineRule="auto"/>
        <w:ind w:firstLine="440" w:firstLineChars="200"/>
        <w:textAlignment w:val="baseline"/>
        <w:rPr>
          <w:rFonts w:ascii="宋体" w:hAnsi="宋体" w:eastAsia="宋体" w:cs="宋体"/>
          <w:color w:val="auto"/>
          <w:sz w:val="22"/>
          <w:szCs w:val="22"/>
          <w:highlight w:val="none"/>
        </w:rPr>
      </w:pPr>
      <w:r>
        <w:rPr>
          <w:rFonts w:ascii="宋体" w:hAnsi="宋体" w:eastAsia="宋体" w:cs="宋体"/>
          <w:color w:val="auto"/>
          <w:sz w:val="22"/>
          <w:szCs w:val="22"/>
          <w:highlight w:val="none"/>
        </w:rPr>
        <w:t>5.1.2 工程范围包括：</w:t>
      </w:r>
      <w:r>
        <w:rPr>
          <w:rFonts w:hint="eastAsia" w:ascii="宋体" w:hAnsi="宋体" w:eastAsia="宋体" w:cs="宋体"/>
          <w:color w:val="auto"/>
          <w:sz w:val="22"/>
          <w:szCs w:val="22"/>
          <w:highlight w:val="none"/>
          <w:u w:val="single"/>
          <w:lang w:val="en-US" w:eastAsia="zh-CN"/>
        </w:rPr>
        <w:t>本项目路线全长35.037km</w:t>
      </w:r>
      <w:r>
        <w:rPr>
          <w:rFonts w:hint="default" w:ascii="宋体" w:hAnsi="宋体" w:eastAsia="宋体" w:cs="宋体"/>
          <w:color w:val="auto"/>
          <w:sz w:val="22"/>
          <w:szCs w:val="22"/>
          <w:highlight w:val="none"/>
          <w:u w:val="single"/>
          <w:lang w:val="en-US" w:eastAsia="zh-CN"/>
        </w:rPr>
        <w:t>。全线共设桥梁293m/7 座（其中拆除重建中桥138m/4座，新建中桥155m/3座）、涵洞132道（其中新建89道，拆除重建43道），设主要平面交叉3处。</w:t>
      </w:r>
      <w:r>
        <w:rPr>
          <w:rFonts w:hint="eastAsia" w:ascii="宋体" w:hAnsi="宋体" w:eastAsia="宋体" w:cs="宋体"/>
          <w:color w:val="auto"/>
          <w:sz w:val="22"/>
          <w:szCs w:val="22"/>
          <w:highlight w:val="none"/>
          <w:u w:val="single"/>
          <w:lang w:val="en-US" w:eastAsia="zh-CN"/>
        </w:rPr>
        <w:t>采用二级公路技术标准；设计速度：40km/h</w:t>
      </w:r>
      <w:r>
        <w:rPr>
          <w:rFonts w:hint="default" w:ascii="宋体" w:hAnsi="宋体" w:eastAsia="宋体" w:cs="宋体"/>
          <w:color w:val="auto"/>
          <w:sz w:val="22"/>
          <w:szCs w:val="22"/>
          <w:highlight w:val="none"/>
          <w:u w:val="single"/>
          <w:lang w:val="en-US" w:eastAsia="zh-CN"/>
        </w:rPr>
        <w:t>（K111+930.414~K119+265、K128+905 ~K141+700段）、60km/h（K119+265~K128+905、K141+700~K 146+967.413段）</w:t>
      </w:r>
      <w:r>
        <w:rPr>
          <w:rFonts w:hint="eastAsia" w:ascii="宋体" w:hAnsi="宋体" w:eastAsia="宋体" w:cs="宋体"/>
          <w:color w:val="auto"/>
          <w:sz w:val="22"/>
          <w:szCs w:val="22"/>
          <w:highlight w:val="none"/>
          <w:u w:val="single"/>
          <w:lang w:val="en-US" w:eastAsia="zh-CN"/>
        </w:rPr>
        <w:t>；路基宽度：10.0m。</w:t>
      </w:r>
    </w:p>
    <w:p w14:paraId="519D977F">
      <w:pPr>
        <w:keepNext w:val="0"/>
        <w:keepLines w:val="0"/>
        <w:pageBreakBefore w:val="0"/>
        <w:widowControl/>
        <w:kinsoku w:val="0"/>
        <w:wordWrap/>
        <w:overflowPunct/>
        <w:topLinePunct w:val="0"/>
        <w:autoSpaceDE w:val="0"/>
        <w:autoSpaceDN w:val="0"/>
        <w:bidi w:val="0"/>
        <w:adjustRightInd w:val="0"/>
        <w:snapToGrid w:val="0"/>
        <w:spacing w:line="360" w:lineRule="auto"/>
        <w:ind w:firstLine="432" w:firstLineChars="200"/>
        <w:textAlignment w:val="baseline"/>
        <w:rPr>
          <w:rFonts w:hint="eastAsia" w:ascii="宋体" w:hAnsi="宋体" w:eastAsia="宋体" w:cs="宋体"/>
          <w:color w:val="auto"/>
          <w:spacing w:val="-2"/>
          <w:sz w:val="22"/>
          <w:szCs w:val="22"/>
          <w:highlight w:val="none"/>
          <w:u w:val="single"/>
        </w:rPr>
      </w:pPr>
      <w:r>
        <w:rPr>
          <w:rFonts w:ascii="宋体" w:hAnsi="宋体" w:eastAsia="宋体" w:cs="宋体"/>
          <w:color w:val="auto"/>
          <w:spacing w:val="-2"/>
          <w:sz w:val="22"/>
          <w:szCs w:val="22"/>
          <w:highlight w:val="none"/>
        </w:rPr>
        <w:t>5.1.3 阶段范围包括：</w:t>
      </w:r>
      <w:r>
        <w:rPr>
          <w:rFonts w:hint="eastAsia" w:ascii="宋体" w:hAnsi="宋体" w:eastAsia="宋体" w:cs="宋体"/>
          <w:color w:val="auto"/>
          <w:spacing w:val="-2"/>
          <w:sz w:val="22"/>
          <w:szCs w:val="22"/>
          <w:highlight w:val="none"/>
          <w:u w:val="single"/>
        </w:rPr>
        <w:t>施工准备阶段、施工阶段、交(竣)工验收及缺陷责任期阶段的施工监理、施工安全的监理。</w:t>
      </w:r>
    </w:p>
    <w:p w14:paraId="5A8B3053">
      <w:pPr>
        <w:keepNext w:val="0"/>
        <w:keepLines w:val="0"/>
        <w:pageBreakBefore w:val="0"/>
        <w:widowControl/>
        <w:kinsoku w:val="0"/>
        <w:wordWrap/>
        <w:overflowPunct/>
        <w:topLinePunct w:val="0"/>
        <w:autoSpaceDE w:val="0"/>
        <w:autoSpaceDN w:val="0"/>
        <w:bidi w:val="0"/>
        <w:adjustRightInd w:val="0"/>
        <w:snapToGrid w:val="0"/>
        <w:spacing w:line="360" w:lineRule="auto"/>
        <w:ind w:firstLine="440" w:firstLineChars="200"/>
        <w:textAlignment w:val="baseline"/>
        <w:rPr>
          <w:rFonts w:ascii="宋体" w:hAnsi="宋体" w:eastAsia="宋体" w:cs="宋体"/>
          <w:color w:val="auto"/>
          <w:sz w:val="21"/>
          <w:szCs w:val="21"/>
          <w:highlight w:val="none"/>
        </w:rPr>
      </w:pPr>
      <w:r>
        <w:rPr>
          <w:rFonts w:ascii="宋体" w:hAnsi="宋体" w:eastAsia="宋体" w:cs="宋体"/>
          <w:color w:val="auto"/>
          <w:sz w:val="22"/>
          <w:szCs w:val="22"/>
          <w:highlight w:val="none"/>
        </w:rPr>
        <w:t>5.1.4 工作范围包括：</w:t>
      </w:r>
      <w:r>
        <w:rPr>
          <w:color w:val="auto"/>
          <w:spacing w:val="18"/>
          <w:sz w:val="22"/>
          <w:szCs w:val="22"/>
          <w:highlight w:val="none"/>
          <w:u w:val="single" w:color="auto"/>
        </w:rPr>
        <w:t>里程范围内</w:t>
      </w:r>
      <w:r>
        <w:rPr>
          <w:color w:val="auto"/>
          <w:spacing w:val="-77"/>
          <w:sz w:val="22"/>
          <w:szCs w:val="22"/>
          <w:highlight w:val="none"/>
          <w:u w:val="single" w:color="auto"/>
        </w:rPr>
        <w:t xml:space="preserve"> </w:t>
      </w:r>
      <w:r>
        <w:rPr>
          <w:color w:val="auto"/>
          <w:spacing w:val="-89"/>
          <w:sz w:val="22"/>
          <w:szCs w:val="22"/>
          <w:highlight w:val="none"/>
          <w:u w:val="single" w:color="auto"/>
        </w:rPr>
        <w:t xml:space="preserve"> </w:t>
      </w:r>
      <w:r>
        <w:rPr>
          <w:color w:val="auto"/>
          <w:spacing w:val="18"/>
          <w:sz w:val="22"/>
          <w:szCs w:val="22"/>
          <w:highlight w:val="none"/>
          <w:u w:val="single" w:color="auto"/>
        </w:rPr>
        <w:t>路基</w:t>
      </w:r>
      <w:r>
        <w:rPr>
          <w:color w:val="auto"/>
          <w:spacing w:val="-53"/>
          <w:sz w:val="22"/>
          <w:szCs w:val="22"/>
          <w:highlight w:val="none"/>
          <w:u w:val="single" w:color="auto"/>
        </w:rPr>
        <w:t xml:space="preserve"> </w:t>
      </w:r>
      <w:r>
        <w:rPr>
          <w:color w:val="auto"/>
          <w:spacing w:val="18"/>
          <w:sz w:val="22"/>
          <w:szCs w:val="22"/>
          <w:highlight w:val="none"/>
          <w:u w:val="single" w:color="auto"/>
        </w:rPr>
        <w:t>、桥涵</w:t>
      </w:r>
      <w:r>
        <w:rPr>
          <w:color w:val="auto"/>
          <w:spacing w:val="-56"/>
          <w:sz w:val="22"/>
          <w:szCs w:val="22"/>
          <w:highlight w:val="none"/>
          <w:u w:val="single" w:color="auto"/>
        </w:rPr>
        <w:t xml:space="preserve"> </w:t>
      </w:r>
      <w:r>
        <w:rPr>
          <w:color w:val="auto"/>
          <w:spacing w:val="18"/>
          <w:sz w:val="22"/>
          <w:szCs w:val="22"/>
          <w:highlight w:val="none"/>
          <w:u w:val="single" w:color="auto"/>
        </w:rPr>
        <w:t>、路</w:t>
      </w:r>
      <w:r>
        <w:rPr>
          <w:color w:val="auto"/>
          <w:spacing w:val="11"/>
          <w:sz w:val="22"/>
          <w:szCs w:val="22"/>
          <w:highlight w:val="none"/>
          <w:u w:val="single" w:color="auto"/>
        </w:rPr>
        <w:t>面、绿化、交通安全设</w:t>
      </w:r>
      <w:r>
        <w:rPr>
          <w:color w:val="auto"/>
          <w:spacing w:val="25"/>
          <w:sz w:val="22"/>
          <w:szCs w:val="22"/>
          <w:highlight w:val="none"/>
          <w:u w:val="single" w:color="auto"/>
        </w:rPr>
        <w:t>施</w:t>
      </w:r>
      <w:r>
        <w:rPr>
          <w:color w:val="auto"/>
          <w:spacing w:val="-56"/>
          <w:sz w:val="22"/>
          <w:szCs w:val="22"/>
          <w:highlight w:val="none"/>
          <w:u w:val="single" w:color="auto"/>
        </w:rPr>
        <w:t xml:space="preserve"> </w:t>
      </w:r>
      <w:r>
        <w:rPr>
          <w:color w:val="auto"/>
          <w:spacing w:val="25"/>
          <w:sz w:val="22"/>
          <w:szCs w:val="22"/>
          <w:highlight w:val="none"/>
          <w:u w:val="single" w:color="auto"/>
        </w:rPr>
        <w:t>、机电工程三大系统（监</w:t>
      </w:r>
      <w:r>
        <w:rPr>
          <w:color w:val="auto"/>
          <w:spacing w:val="11"/>
          <w:sz w:val="22"/>
          <w:szCs w:val="22"/>
          <w:highlight w:val="none"/>
          <w:u w:val="single" w:color="auto"/>
        </w:rPr>
        <w:t>控、通信和收费）、通信管道</w:t>
      </w:r>
      <w:r>
        <w:rPr>
          <w:color w:val="auto"/>
          <w:sz w:val="22"/>
          <w:szCs w:val="22"/>
          <w:highlight w:val="none"/>
          <w:u w:val="single" w:color="auto"/>
        </w:rPr>
        <w:t>工程、</w:t>
      </w:r>
      <w:r>
        <w:rPr>
          <w:color w:val="auto"/>
          <w:spacing w:val="-47"/>
          <w:sz w:val="22"/>
          <w:szCs w:val="22"/>
          <w:highlight w:val="none"/>
          <w:u w:val="single" w:color="auto"/>
        </w:rPr>
        <w:t xml:space="preserve"> </w:t>
      </w:r>
      <w:r>
        <w:rPr>
          <w:color w:val="auto"/>
          <w:spacing w:val="7"/>
          <w:sz w:val="22"/>
          <w:szCs w:val="22"/>
          <w:highlight w:val="none"/>
          <w:u w:val="single" w:color="auto"/>
        </w:rPr>
        <w:t>供配</w:t>
      </w:r>
      <w:r>
        <w:rPr>
          <w:color w:val="auto"/>
          <w:spacing w:val="11"/>
          <w:sz w:val="22"/>
          <w:szCs w:val="22"/>
          <w:highlight w:val="none"/>
          <w:u w:val="single" w:color="auto"/>
        </w:rPr>
        <w:t>电、照明工程、及沿线附属设施等的施工准备阶段、施工阶段、缺陷责任期阶段的施</w:t>
      </w:r>
      <w:r>
        <w:rPr>
          <w:color w:val="auto"/>
          <w:spacing w:val="10"/>
          <w:sz w:val="22"/>
          <w:szCs w:val="22"/>
          <w:highlight w:val="none"/>
          <w:u w:val="single" w:color="auto"/>
        </w:rPr>
        <w:t>工监理、施工安全的监理，项</w:t>
      </w:r>
      <w:r>
        <w:rPr>
          <w:color w:val="auto"/>
          <w:spacing w:val="11"/>
          <w:sz w:val="22"/>
          <w:szCs w:val="22"/>
          <w:highlight w:val="none"/>
          <w:u w:val="single" w:color="auto"/>
        </w:rPr>
        <w:t>目的环境保护、水土保持的监理，参建各方竣工档案编制工</w:t>
      </w:r>
      <w:r>
        <w:rPr>
          <w:color w:val="auto"/>
          <w:spacing w:val="7"/>
          <w:sz w:val="22"/>
          <w:szCs w:val="22"/>
          <w:highlight w:val="none"/>
          <w:u w:val="single" w:color="auto"/>
        </w:rPr>
        <w:t>作的监理，以及配合业主交、</w:t>
      </w:r>
      <w:r>
        <w:rPr>
          <w:color w:val="auto"/>
          <w:spacing w:val="11"/>
          <w:sz w:val="22"/>
          <w:szCs w:val="22"/>
          <w:highlight w:val="none"/>
          <w:u w:val="single" w:color="auto"/>
        </w:rPr>
        <w:t>竣工验收和配合业主竣工验收前的结算与决算的有关工作。并负责监理中心试验室的筹建</w:t>
      </w:r>
      <w:r>
        <w:rPr>
          <w:color w:val="auto"/>
          <w:spacing w:val="2"/>
          <w:sz w:val="22"/>
          <w:szCs w:val="22"/>
          <w:highlight w:val="none"/>
          <w:u w:val="single" w:color="auto"/>
        </w:rPr>
        <w:t>工作。</w:t>
      </w:r>
    </w:p>
    <w:p w14:paraId="08C95738">
      <w:pPr>
        <w:spacing w:line="329" w:lineRule="auto"/>
        <w:rPr>
          <w:rFonts w:ascii="Arial"/>
          <w:color w:val="auto"/>
          <w:sz w:val="21"/>
          <w:highlight w:val="none"/>
        </w:rPr>
      </w:pPr>
    </w:p>
    <w:p w14:paraId="228B929F">
      <w:pPr>
        <w:spacing w:before="79" w:line="219" w:lineRule="auto"/>
        <w:ind w:left="7"/>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5.3</w:t>
      </w:r>
      <w:r>
        <w:rPr>
          <w:rFonts w:ascii="宋体" w:hAnsi="宋体" w:eastAsia="宋体" w:cs="宋体"/>
          <w:color w:val="auto"/>
          <w:spacing w:val="16"/>
          <w:sz w:val="24"/>
          <w:szCs w:val="24"/>
          <w:highlight w:val="none"/>
        </w:rPr>
        <w:t xml:space="preserve"> </w:t>
      </w:r>
      <w:r>
        <w:rPr>
          <w:rFonts w:ascii="宋体" w:hAnsi="宋体" w:eastAsia="宋体" w:cs="宋体"/>
          <w:b/>
          <w:bCs/>
          <w:color w:val="auto"/>
          <w:spacing w:val="-6"/>
          <w:sz w:val="24"/>
          <w:szCs w:val="24"/>
          <w:highlight w:val="none"/>
        </w:rPr>
        <w:t>监理内容</w:t>
      </w:r>
    </w:p>
    <w:p w14:paraId="6957E154">
      <w:pPr>
        <w:spacing w:before="175" w:line="228" w:lineRule="auto"/>
        <w:ind w:left="472"/>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（以下适用于二级监理管理的情形）</w:t>
      </w:r>
    </w:p>
    <w:p w14:paraId="75914EFE">
      <w:pPr>
        <w:spacing w:before="162" w:line="359" w:lineRule="auto"/>
        <w:ind w:right="115" w:firstLine="442"/>
        <w:jc w:val="both"/>
        <w:rPr>
          <w:rFonts w:ascii="宋体" w:hAnsi="宋体" w:eastAsia="宋体" w:cs="宋体"/>
          <w:color w:val="auto"/>
          <w:sz w:val="22"/>
          <w:szCs w:val="22"/>
          <w:highlight w:val="none"/>
        </w:rPr>
      </w:pPr>
      <w:r>
        <w:rPr>
          <w:rFonts w:ascii="宋体" w:hAnsi="宋体" w:eastAsia="宋体" w:cs="宋体"/>
          <w:color w:val="auto"/>
          <w:spacing w:val="2"/>
          <w:sz w:val="20"/>
          <w:szCs w:val="20"/>
          <w:highlight w:val="none"/>
        </w:rPr>
        <w:t>□</w:t>
      </w:r>
      <w:r>
        <w:rPr>
          <w:rFonts w:ascii="宋体" w:hAnsi="宋体" w:eastAsia="宋体" w:cs="宋体"/>
          <w:color w:val="auto"/>
          <w:spacing w:val="2"/>
          <w:sz w:val="22"/>
          <w:szCs w:val="22"/>
          <w:highlight w:val="none"/>
        </w:rPr>
        <w:t>工程同时设置总监理工程师办公室和驻地监理工程师</w:t>
      </w:r>
      <w:r>
        <w:rPr>
          <w:rFonts w:ascii="宋体" w:hAnsi="宋体" w:eastAsia="宋体" w:cs="宋体"/>
          <w:color w:val="auto"/>
          <w:spacing w:val="1"/>
          <w:sz w:val="22"/>
          <w:szCs w:val="22"/>
          <w:highlight w:val="none"/>
        </w:rPr>
        <w:t>办公室：本项目施工监理机构不设置中心试验室。委托人通过单独招标方式，另行设置中心试验室，原监理机构中心试验室的相</w:t>
      </w:r>
      <w:r>
        <w:rPr>
          <w:rFonts w:ascii="宋体" w:hAnsi="宋体" w:eastAsia="宋体" w:cs="宋体"/>
          <w:color w:val="auto"/>
          <w:spacing w:val="-1"/>
          <w:sz w:val="22"/>
          <w:szCs w:val="22"/>
          <w:highlight w:val="none"/>
        </w:rPr>
        <w:t>关试验检测服务工作由中心试验室试验检测服务单位承担，具体约定见</w:t>
      </w:r>
      <w:r>
        <w:rPr>
          <w:rFonts w:ascii="宋体" w:hAnsi="宋体" w:eastAsia="宋体" w:cs="宋体"/>
          <w:color w:val="auto"/>
          <w:spacing w:val="-30"/>
          <w:sz w:val="22"/>
          <w:szCs w:val="22"/>
          <w:highlight w:val="none"/>
        </w:rPr>
        <w:t xml:space="preserve"> </w:t>
      </w:r>
      <w:r>
        <w:rPr>
          <w:rFonts w:ascii="宋体" w:hAnsi="宋体" w:eastAsia="宋体" w:cs="宋体"/>
          <w:color w:val="auto"/>
          <w:spacing w:val="-1"/>
          <w:sz w:val="22"/>
          <w:szCs w:val="22"/>
          <w:highlight w:val="none"/>
        </w:rPr>
        <w:t>13.6</w:t>
      </w:r>
      <w:r>
        <w:rPr>
          <w:rFonts w:ascii="宋体" w:hAnsi="宋体" w:eastAsia="宋体" w:cs="宋体"/>
          <w:color w:val="auto"/>
          <w:spacing w:val="-48"/>
          <w:sz w:val="22"/>
          <w:szCs w:val="22"/>
          <w:highlight w:val="none"/>
        </w:rPr>
        <w:t xml:space="preserve"> </w:t>
      </w:r>
      <w:r>
        <w:rPr>
          <w:rFonts w:ascii="宋体" w:hAnsi="宋体" w:eastAsia="宋体" w:cs="宋体"/>
          <w:color w:val="auto"/>
          <w:spacing w:val="-2"/>
          <w:sz w:val="22"/>
          <w:szCs w:val="22"/>
          <w:highlight w:val="none"/>
        </w:rPr>
        <w:t>款；</w:t>
      </w:r>
    </w:p>
    <w:p w14:paraId="5235D5C8">
      <w:pPr>
        <w:spacing w:before="1" w:line="227" w:lineRule="auto"/>
        <w:ind w:left="472"/>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（以下适用于一级监理管理的情形）</w:t>
      </w:r>
    </w:p>
    <w:p w14:paraId="092C8EA2">
      <w:pPr>
        <w:spacing w:before="164" w:line="359" w:lineRule="auto"/>
        <w:ind w:left="1" w:right="118" w:firstLine="440"/>
        <w:jc w:val="both"/>
        <w:rPr>
          <w:rFonts w:ascii="宋体" w:hAnsi="宋体" w:eastAsia="宋体" w:cs="宋体"/>
          <w:color w:val="auto"/>
          <w:sz w:val="22"/>
          <w:szCs w:val="22"/>
          <w:highlight w:val="none"/>
        </w:rPr>
      </w:pPr>
      <w:r>
        <w:rPr>
          <w:rFonts w:hint="eastAsia" w:ascii="宋体" w:hAnsi="宋体" w:eastAsia="宋体" w:cs="宋体"/>
          <w:color w:val="auto"/>
          <w:spacing w:val="2"/>
          <w:sz w:val="20"/>
          <w:szCs w:val="20"/>
          <w:highlight w:val="none"/>
          <w:lang w:eastAsia="zh-CN"/>
        </w:rPr>
        <w:t>☑</w:t>
      </w:r>
      <w:r>
        <w:rPr>
          <w:rFonts w:ascii="宋体" w:hAnsi="宋体" w:eastAsia="宋体" w:cs="宋体"/>
          <w:color w:val="auto"/>
          <w:spacing w:val="2"/>
          <w:sz w:val="22"/>
          <w:szCs w:val="22"/>
          <w:highlight w:val="none"/>
        </w:rPr>
        <w:t>工程只设置总监理工程师办公室：监理人可不自行组建中心试验室，本合同约定的全部试验检测工作，监理人</w:t>
      </w:r>
      <w:r>
        <w:rPr>
          <w:rFonts w:hint="eastAsia" w:ascii="宋体" w:hAnsi="宋体" w:eastAsia="宋体" w:cs="宋体"/>
          <w:color w:val="auto"/>
          <w:spacing w:val="2"/>
          <w:sz w:val="22"/>
          <w:szCs w:val="22"/>
          <w:highlight w:val="none"/>
          <w:lang w:eastAsia="zh-CN"/>
        </w:rPr>
        <w:t>可</w:t>
      </w:r>
      <w:r>
        <w:rPr>
          <w:rFonts w:ascii="宋体" w:hAnsi="宋体" w:eastAsia="宋体" w:cs="宋体"/>
          <w:color w:val="auto"/>
          <w:spacing w:val="2"/>
          <w:sz w:val="22"/>
          <w:szCs w:val="22"/>
          <w:highlight w:val="none"/>
        </w:rPr>
        <w:t>通过委托具备相应资质的第三方试验检测机构完成，原监理机构中心试验室的相关试验检测服务工作由中心试验室试验检测服务单位承担，具体约定见 13.6 款。</w:t>
      </w:r>
    </w:p>
    <w:p w14:paraId="716C44CE">
      <w:pPr>
        <w:spacing w:line="220" w:lineRule="auto"/>
        <w:ind w:left="44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5.3.3</w:t>
      </w:r>
      <w:r>
        <w:rPr>
          <w:rFonts w:ascii="宋体" w:hAnsi="宋体" w:eastAsia="宋体" w:cs="宋体"/>
          <w:color w:val="auto"/>
          <w:spacing w:val="-45"/>
          <w:sz w:val="22"/>
          <w:szCs w:val="22"/>
          <w:highlight w:val="none"/>
        </w:rPr>
        <w:t xml:space="preserve"> </w:t>
      </w:r>
      <w:r>
        <w:rPr>
          <w:rFonts w:ascii="宋体" w:hAnsi="宋体" w:eastAsia="宋体" w:cs="宋体"/>
          <w:color w:val="auto"/>
          <w:spacing w:val="-1"/>
          <w:sz w:val="22"/>
          <w:szCs w:val="22"/>
          <w:highlight w:val="none"/>
        </w:rPr>
        <w:t>后增加第（48）~（52）项内容如下：</w:t>
      </w:r>
    </w:p>
    <w:p w14:paraId="58FF0DFD">
      <w:pPr>
        <w:spacing w:before="166" w:line="363" w:lineRule="auto"/>
        <w:ind w:right="115" w:firstLine="448"/>
        <w:jc w:val="both"/>
        <w:rPr>
          <w:rFonts w:ascii="宋体" w:hAnsi="宋体" w:eastAsia="宋体" w:cs="宋体"/>
          <w:color w:val="auto"/>
          <w:spacing w:val="-4"/>
          <w:sz w:val="22"/>
          <w:szCs w:val="22"/>
          <w:highlight w:val="none"/>
        </w:rPr>
      </w:pPr>
      <w:r>
        <w:rPr>
          <w:rFonts w:ascii="宋体" w:hAnsi="宋体" w:eastAsia="宋体" w:cs="宋体"/>
          <w:color w:val="auto"/>
          <w:spacing w:val="1"/>
          <w:sz w:val="22"/>
          <w:szCs w:val="22"/>
          <w:highlight w:val="none"/>
        </w:rPr>
        <w:t>（48）监理人应按照《广东省交通运输厅关于进一步加强公路施工便道取弃土场</w:t>
      </w:r>
      <w:r>
        <w:rPr>
          <w:rFonts w:ascii="宋体" w:hAnsi="宋体" w:eastAsia="宋体" w:cs="宋体"/>
          <w:color w:val="auto"/>
          <w:sz w:val="22"/>
          <w:szCs w:val="22"/>
          <w:highlight w:val="none"/>
        </w:rPr>
        <w:t>的设计和</w:t>
      </w:r>
      <w:r>
        <w:rPr>
          <w:rFonts w:ascii="宋体" w:hAnsi="宋体" w:eastAsia="宋体" w:cs="宋体"/>
          <w:color w:val="auto"/>
          <w:spacing w:val="1"/>
          <w:sz w:val="22"/>
          <w:szCs w:val="22"/>
          <w:highlight w:val="none"/>
        </w:rPr>
        <w:t>施工管理工作的通知》《广东省高速公路工程施工安全标准化指南》和《广东省公路工程施工标准化指南》的要求审核施工便道和取弃土场的选址和建设方案，并对该部分建设内容进行监</w:t>
      </w:r>
      <w:r>
        <w:rPr>
          <w:rFonts w:ascii="宋体" w:hAnsi="宋体" w:eastAsia="宋体" w:cs="宋体"/>
          <w:color w:val="auto"/>
          <w:spacing w:val="-4"/>
          <w:sz w:val="22"/>
          <w:szCs w:val="22"/>
          <w:highlight w:val="none"/>
        </w:rPr>
        <w:t>理。</w:t>
      </w:r>
    </w:p>
    <w:p w14:paraId="07A8FC14">
      <w:pPr>
        <w:spacing w:before="72" w:line="359" w:lineRule="auto"/>
        <w:ind w:left="8" w:firstLine="44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（49）监理人应根据《广东省交通运输厅关于切实加强我省高速公路路堑边坡管理的通知》（粤交基函〔2019〕680 号）要求审核施工承包人的开工报告。</w:t>
      </w:r>
    </w:p>
    <w:p w14:paraId="1D00EFA0">
      <w:pPr>
        <w:spacing w:before="5" w:line="358" w:lineRule="auto"/>
        <w:ind w:left="1" w:right="161" w:firstLine="44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（50）监理机构应按照行业发展的需求，发展自身管理的数字化建设，开放</w:t>
      </w:r>
      <w:r>
        <w:rPr>
          <w:rFonts w:ascii="宋体" w:hAnsi="宋体" w:eastAsia="宋体" w:cs="宋体"/>
          <w:color w:val="auto"/>
          <w:sz w:val="22"/>
          <w:szCs w:val="22"/>
          <w:highlight w:val="none"/>
        </w:rPr>
        <w:t>数字化平台及</w:t>
      </w:r>
      <w:r>
        <w:rPr>
          <w:rFonts w:ascii="宋体" w:hAnsi="宋体" w:eastAsia="宋体" w:cs="宋体"/>
          <w:color w:val="auto"/>
          <w:spacing w:val="1"/>
          <w:sz w:val="22"/>
          <w:szCs w:val="22"/>
          <w:highlight w:val="none"/>
        </w:rPr>
        <w:t>相关数据接口，对接建设单位数字化管理系统，积极配合建设单位对项目管理数字化的统筹和整合，助力建设单位打通各参建单位不同系统之间的信息壁垒，形成适应于项目的综合性数字化管理平台。监理机构的管理应充分利用共享数据的一体化数字化技术和平台，评估保证体系</w:t>
      </w:r>
      <w:r>
        <w:rPr>
          <w:rFonts w:ascii="宋体" w:hAnsi="宋体" w:eastAsia="宋体" w:cs="宋体"/>
          <w:color w:val="auto"/>
          <w:sz w:val="22"/>
          <w:szCs w:val="22"/>
          <w:highlight w:val="none"/>
        </w:rPr>
        <w:t>的运行状况，分析管理的薄弱环节，利用数字化手段和数据为监理</w:t>
      </w:r>
      <w:r>
        <w:rPr>
          <w:rFonts w:ascii="宋体" w:hAnsi="宋体" w:eastAsia="宋体" w:cs="宋体"/>
          <w:color w:val="auto"/>
          <w:spacing w:val="-1"/>
          <w:sz w:val="22"/>
          <w:szCs w:val="22"/>
          <w:highlight w:val="none"/>
        </w:rPr>
        <w:t>管理工作提供支撑。</w:t>
      </w:r>
    </w:p>
    <w:p w14:paraId="24328E1B">
      <w:pPr>
        <w:spacing w:before="1" w:line="359" w:lineRule="auto"/>
        <w:ind w:left="3" w:right="158" w:firstLine="44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（51）施工单位进场之后，对施工单位质量安全等保证体系进行检查，并每半年</w:t>
      </w:r>
      <w:r>
        <w:rPr>
          <w:rFonts w:ascii="宋体" w:hAnsi="宋体" w:eastAsia="宋体" w:cs="宋体"/>
          <w:color w:val="auto"/>
          <w:sz w:val="22"/>
          <w:szCs w:val="22"/>
          <w:highlight w:val="none"/>
        </w:rPr>
        <w:t>对执行情</w:t>
      </w:r>
      <w:r>
        <w:rPr>
          <w:rFonts w:ascii="宋体" w:hAnsi="宋体" w:eastAsia="宋体" w:cs="宋体"/>
          <w:color w:val="auto"/>
          <w:spacing w:val="-2"/>
          <w:sz w:val="22"/>
          <w:szCs w:val="22"/>
          <w:highlight w:val="none"/>
        </w:rPr>
        <w:t>况进行检查。</w:t>
      </w:r>
    </w:p>
    <w:p w14:paraId="7FA5E780">
      <w:pPr>
        <w:spacing w:before="2" w:line="359" w:lineRule="auto"/>
        <w:ind w:right="23" w:firstLine="449"/>
        <w:rPr>
          <w:rFonts w:ascii="宋体" w:hAnsi="宋体" w:eastAsia="宋体" w:cs="宋体"/>
          <w:color w:val="auto"/>
          <w:sz w:val="24"/>
          <w:szCs w:val="24"/>
          <w:highlight w:val="none"/>
        </w:rPr>
      </w:pPr>
      <w:r>
        <w:rPr>
          <w:rFonts w:ascii="宋体" w:hAnsi="宋体" w:eastAsia="宋体" w:cs="宋体"/>
          <w:color w:val="auto"/>
          <w:spacing w:val="1"/>
          <w:sz w:val="22"/>
          <w:szCs w:val="22"/>
          <w:highlight w:val="none"/>
        </w:rPr>
        <w:t>（52）总监办根据《广东省公路工程施工监理指南（试行）》的要求，一是重点</w:t>
      </w:r>
      <w:r>
        <w:rPr>
          <w:rFonts w:ascii="宋体" w:hAnsi="宋体" w:eastAsia="宋体" w:cs="宋体"/>
          <w:color w:val="auto"/>
          <w:sz w:val="22"/>
          <w:szCs w:val="22"/>
          <w:highlight w:val="none"/>
        </w:rPr>
        <w:t>审核施工</w:t>
      </w:r>
      <w:r>
        <w:rPr>
          <w:rFonts w:ascii="宋体" w:hAnsi="宋体" w:eastAsia="宋体" w:cs="宋体"/>
          <w:color w:val="auto"/>
          <w:spacing w:val="1"/>
          <w:sz w:val="22"/>
          <w:szCs w:val="22"/>
          <w:highlight w:val="none"/>
        </w:rPr>
        <w:t>单位的项目管理方案是否落实《广东省交通运输厅关于推进公路建设项目管理改革的指导意见</w:t>
      </w:r>
      <w:r>
        <w:rPr>
          <w:rFonts w:ascii="宋体" w:hAnsi="宋体" w:eastAsia="宋体" w:cs="宋体"/>
          <w:color w:val="auto"/>
          <w:spacing w:val="-1"/>
          <w:sz w:val="22"/>
          <w:szCs w:val="22"/>
          <w:highlight w:val="none"/>
        </w:rPr>
        <w:t>（试行）》和《广东省公路工程施工项目部管理指南（试行）》相关要求，是否满足施工单位、</w:t>
      </w:r>
      <w:r>
        <w:rPr>
          <w:rFonts w:ascii="宋体" w:hAnsi="宋体" w:eastAsia="宋体" w:cs="宋体"/>
          <w:color w:val="auto"/>
          <w:spacing w:val="1"/>
          <w:sz w:val="22"/>
          <w:szCs w:val="22"/>
          <w:highlight w:val="none"/>
        </w:rPr>
        <w:t>项目部、分包单位、劳务合作企业、施工班组、材料供应商与机械设备租赁商的多层次的管理机构，是否建立管监分离的质量保障体系。督促、指导、监管施工单位在施工全过程中落实项</w:t>
      </w:r>
      <w:r>
        <w:rPr>
          <w:rFonts w:ascii="宋体" w:hAnsi="宋体" w:eastAsia="宋体" w:cs="宋体"/>
          <w:color w:val="auto"/>
          <w:spacing w:val="7"/>
          <w:sz w:val="22"/>
          <w:szCs w:val="22"/>
          <w:highlight w:val="none"/>
        </w:rPr>
        <w:t>目管</w:t>
      </w:r>
      <w:r>
        <w:rPr>
          <w:rFonts w:ascii="宋体" w:hAnsi="宋体" w:eastAsia="宋体" w:cs="宋体"/>
          <w:color w:val="auto"/>
          <w:spacing w:val="1"/>
          <w:sz w:val="22"/>
          <w:szCs w:val="22"/>
          <w:highlight w:val="none"/>
        </w:rPr>
        <w:t>理方案；二是重点做好施工单位/项目部对施工分包单位的分包工程质量、安全、进度、资金使用和管理行为等全过程管理行为的监理工作，加强对施工单位/项目部内控管理体系和主要人员履约、设备、材料等穿透式管理的监理工作。</w:t>
      </w:r>
    </w:p>
    <w:p w14:paraId="09C5409A">
      <w:pPr>
        <w:spacing w:before="2" w:line="359" w:lineRule="auto"/>
        <w:ind w:right="161" w:firstLine="442"/>
        <w:jc w:val="both"/>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在实施过程中每季度至少对施工单位</w:t>
      </w:r>
      <w:r>
        <w:rPr>
          <w:rFonts w:ascii="MingLiU-ExtB" w:hAnsi="MingLiU-ExtB" w:eastAsia="MingLiU-ExtB" w:cs="MingLiU-ExtB"/>
          <w:color w:val="auto"/>
          <w:spacing w:val="4"/>
          <w:sz w:val="22"/>
          <w:szCs w:val="22"/>
          <w:highlight w:val="none"/>
        </w:rPr>
        <w:t>/</w:t>
      </w:r>
      <w:r>
        <w:rPr>
          <w:rFonts w:ascii="宋体" w:hAnsi="宋体" w:eastAsia="宋体" w:cs="宋体"/>
          <w:color w:val="auto"/>
          <w:spacing w:val="4"/>
          <w:sz w:val="22"/>
          <w:szCs w:val="22"/>
          <w:highlight w:val="none"/>
        </w:rPr>
        <w:t>项目部上述工作的落实情况进行一次全</w:t>
      </w:r>
      <w:r>
        <w:rPr>
          <w:rFonts w:ascii="宋体" w:hAnsi="宋体" w:eastAsia="宋体" w:cs="宋体"/>
          <w:color w:val="auto"/>
          <w:spacing w:val="3"/>
          <w:sz w:val="22"/>
          <w:szCs w:val="22"/>
          <w:highlight w:val="none"/>
        </w:rPr>
        <w:t>面核查，并</w:t>
      </w:r>
      <w:r>
        <w:rPr>
          <w:rFonts w:ascii="宋体" w:hAnsi="宋体" w:eastAsia="宋体" w:cs="宋体"/>
          <w:color w:val="auto"/>
          <w:spacing w:val="1"/>
          <w:sz w:val="22"/>
          <w:szCs w:val="22"/>
          <w:highlight w:val="none"/>
        </w:rPr>
        <w:t>将核查情况报发包人。施工单位未落实项目管理方案的，监理单位应及时督促整改，未及时整</w:t>
      </w:r>
      <w:r>
        <w:rPr>
          <w:rFonts w:ascii="宋体" w:hAnsi="宋体" w:eastAsia="宋体" w:cs="宋体"/>
          <w:color w:val="auto"/>
          <w:spacing w:val="-1"/>
          <w:sz w:val="22"/>
          <w:szCs w:val="22"/>
          <w:highlight w:val="none"/>
        </w:rPr>
        <w:t>改的，应及时报发包人协调处理。</w:t>
      </w:r>
    </w:p>
    <w:p w14:paraId="2D911C3D">
      <w:pPr>
        <w:spacing w:before="1" w:line="220" w:lineRule="auto"/>
        <w:ind w:left="442"/>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在</w:t>
      </w:r>
      <w:r>
        <w:rPr>
          <w:rFonts w:ascii="宋体" w:hAnsi="宋体" w:eastAsia="宋体" w:cs="宋体"/>
          <w:color w:val="auto"/>
          <w:spacing w:val="-43"/>
          <w:sz w:val="22"/>
          <w:szCs w:val="22"/>
          <w:highlight w:val="none"/>
        </w:rPr>
        <w:t xml:space="preserve"> </w:t>
      </w:r>
      <w:r>
        <w:rPr>
          <w:rFonts w:ascii="宋体" w:hAnsi="宋体" w:eastAsia="宋体" w:cs="宋体"/>
          <w:color w:val="auto"/>
          <w:spacing w:val="-3"/>
          <w:sz w:val="22"/>
          <w:szCs w:val="22"/>
          <w:highlight w:val="none"/>
        </w:rPr>
        <w:t>5.3.3</w:t>
      </w:r>
      <w:r>
        <w:rPr>
          <w:rFonts w:ascii="宋体" w:hAnsi="宋体" w:eastAsia="宋体" w:cs="宋体"/>
          <w:color w:val="auto"/>
          <w:spacing w:val="-47"/>
          <w:sz w:val="22"/>
          <w:szCs w:val="22"/>
          <w:highlight w:val="none"/>
        </w:rPr>
        <w:t xml:space="preserve"> </w:t>
      </w:r>
      <w:r>
        <w:rPr>
          <w:rFonts w:ascii="宋体" w:hAnsi="宋体" w:eastAsia="宋体" w:cs="宋体"/>
          <w:color w:val="auto"/>
          <w:spacing w:val="-3"/>
          <w:sz w:val="22"/>
          <w:szCs w:val="22"/>
          <w:highlight w:val="none"/>
        </w:rPr>
        <w:t>后增加</w:t>
      </w:r>
      <w:r>
        <w:rPr>
          <w:rFonts w:ascii="宋体" w:hAnsi="宋体" w:eastAsia="宋体" w:cs="宋体"/>
          <w:color w:val="auto"/>
          <w:spacing w:val="-42"/>
          <w:sz w:val="22"/>
          <w:szCs w:val="22"/>
          <w:highlight w:val="none"/>
        </w:rPr>
        <w:t xml:space="preserve"> </w:t>
      </w:r>
      <w:r>
        <w:rPr>
          <w:rFonts w:ascii="宋体" w:hAnsi="宋体" w:eastAsia="宋体" w:cs="宋体"/>
          <w:color w:val="auto"/>
          <w:spacing w:val="-3"/>
          <w:sz w:val="22"/>
          <w:szCs w:val="22"/>
          <w:highlight w:val="none"/>
        </w:rPr>
        <w:t>5.3.4</w:t>
      </w:r>
      <w:r>
        <w:rPr>
          <w:rFonts w:ascii="宋体" w:hAnsi="宋体" w:eastAsia="宋体" w:cs="宋体"/>
          <w:color w:val="auto"/>
          <w:spacing w:val="-45"/>
          <w:sz w:val="22"/>
          <w:szCs w:val="22"/>
          <w:highlight w:val="none"/>
        </w:rPr>
        <w:t xml:space="preserve"> </w:t>
      </w:r>
      <w:r>
        <w:rPr>
          <w:rFonts w:ascii="宋体" w:hAnsi="宋体" w:eastAsia="宋体" w:cs="宋体"/>
          <w:color w:val="auto"/>
          <w:spacing w:val="-3"/>
          <w:sz w:val="22"/>
          <w:szCs w:val="22"/>
          <w:highlight w:val="none"/>
        </w:rPr>
        <w:t>项如下：</w:t>
      </w:r>
    </w:p>
    <w:p w14:paraId="36A2FCCB">
      <w:pPr>
        <w:spacing w:before="164" w:line="220" w:lineRule="auto"/>
        <w:ind w:left="447"/>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5.3.4</w:t>
      </w:r>
      <w:r>
        <w:rPr>
          <w:rFonts w:ascii="宋体" w:hAnsi="宋体" w:eastAsia="宋体" w:cs="宋体"/>
          <w:color w:val="auto"/>
          <w:spacing w:val="-24"/>
          <w:sz w:val="22"/>
          <w:szCs w:val="22"/>
          <w:highlight w:val="none"/>
        </w:rPr>
        <w:t xml:space="preserve"> </w:t>
      </w:r>
      <w:r>
        <w:rPr>
          <w:rFonts w:ascii="宋体" w:hAnsi="宋体" w:eastAsia="宋体" w:cs="宋体"/>
          <w:color w:val="auto"/>
          <w:spacing w:val="-2"/>
          <w:sz w:val="22"/>
          <w:szCs w:val="22"/>
          <w:highlight w:val="none"/>
        </w:rPr>
        <w:t>中心试验室与监理服务内容的界面划分</w:t>
      </w:r>
    </w:p>
    <w:p w14:paraId="0787CB00">
      <w:pPr>
        <w:spacing w:before="164" w:line="221" w:lineRule="auto"/>
        <w:ind w:left="447"/>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5.3.4.1</w:t>
      </w:r>
      <w:r>
        <w:rPr>
          <w:rFonts w:ascii="宋体" w:hAnsi="宋体" w:eastAsia="宋体" w:cs="宋体"/>
          <w:color w:val="auto"/>
          <w:spacing w:val="-22"/>
          <w:sz w:val="22"/>
          <w:szCs w:val="22"/>
          <w:highlight w:val="none"/>
        </w:rPr>
        <w:t xml:space="preserve"> </w:t>
      </w:r>
      <w:r>
        <w:rPr>
          <w:rFonts w:ascii="宋体" w:hAnsi="宋体" w:eastAsia="宋体" w:cs="宋体"/>
          <w:color w:val="auto"/>
          <w:spacing w:val="-4"/>
          <w:sz w:val="22"/>
          <w:szCs w:val="22"/>
          <w:highlight w:val="none"/>
        </w:rPr>
        <w:t>中心试验室</w:t>
      </w:r>
    </w:p>
    <w:p w14:paraId="1D55FF4C">
      <w:pPr>
        <w:spacing w:before="166" w:line="359" w:lineRule="auto"/>
        <w:ind w:left="4" w:right="159" w:firstLine="445"/>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（1）承担在项目实施过程中工程原材料、结构物成品、半成品、</w:t>
      </w:r>
      <w:r>
        <w:rPr>
          <w:rFonts w:ascii="宋体" w:hAnsi="宋体" w:eastAsia="宋体" w:cs="宋体"/>
          <w:color w:val="auto"/>
          <w:spacing w:val="3"/>
          <w:sz w:val="22"/>
          <w:szCs w:val="22"/>
          <w:highlight w:val="none"/>
        </w:rPr>
        <w:t>工程实体的抽样（包括</w:t>
      </w:r>
      <w:r>
        <w:rPr>
          <w:rFonts w:ascii="宋体" w:hAnsi="宋体" w:eastAsia="宋体" w:cs="宋体"/>
          <w:color w:val="auto"/>
          <w:spacing w:val="1"/>
          <w:sz w:val="22"/>
          <w:szCs w:val="22"/>
          <w:highlight w:val="none"/>
        </w:rPr>
        <w:t>混凝土试件取样、送样）及试验检测工作，以及需要出具试验检测报告的现场原位测试工作，</w:t>
      </w:r>
      <w:r>
        <w:rPr>
          <w:rFonts w:ascii="宋体" w:hAnsi="宋体" w:eastAsia="宋体" w:cs="宋体"/>
          <w:color w:val="auto"/>
          <w:spacing w:val="-1"/>
          <w:sz w:val="22"/>
          <w:szCs w:val="22"/>
          <w:highlight w:val="none"/>
        </w:rPr>
        <w:t>如压实度、承载力、强度抽芯、混凝土强度回弹。</w:t>
      </w:r>
    </w:p>
    <w:p w14:paraId="785BBC49">
      <w:pPr>
        <w:spacing w:before="2" w:line="358" w:lineRule="auto"/>
        <w:ind w:left="1" w:right="159" w:firstLine="44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（2）中心试验室负责对施工承包人工地试验室试验检测人员和试</w:t>
      </w:r>
      <w:r>
        <w:rPr>
          <w:rFonts w:ascii="宋体" w:hAnsi="宋体" w:eastAsia="宋体" w:cs="宋体"/>
          <w:color w:val="auto"/>
          <w:spacing w:val="3"/>
          <w:sz w:val="22"/>
          <w:szCs w:val="22"/>
          <w:highlight w:val="none"/>
        </w:rPr>
        <w:t>验检测仪器设备的履约</w:t>
      </w:r>
      <w:r>
        <w:rPr>
          <w:rFonts w:ascii="宋体" w:hAnsi="宋体" w:eastAsia="宋体" w:cs="宋体"/>
          <w:color w:val="auto"/>
          <w:spacing w:val="-2"/>
          <w:sz w:val="22"/>
          <w:szCs w:val="22"/>
          <w:highlight w:val="none"/>
        </w:rPr>
        <w:t>检查、变更审核、</w:t>
      </w:r>
      <w:r>
        <w:rPr>
          <w:rFonts w:ascii="宋体" w:hAnsi="宋体" w:eastAsia="宋体" w:cs="宋体"/>
          <w:color w:val="auto"/>
          <w:spacing w:val="-61"/>
          <w:sz w:val="22"/>
          <w:szCs w:val="22"/>
          <w:highlight w:val="none"/>
        </w:rPr>
        <w:t xml:space="preserve"> </w:t>
      </w:r>
      <w:r>
        <w:rPr>
          <w:rFonts w:ascii="宋体" w:hAnsi="宋体" w:eastAsia="宋体" w:cs="宋体"/>
          <w:color w:val="auto"/>
          <w:spacing w:val="-2"/>
          <w:sz w:val="22"/>
          <w:szCs w:val="22"/>
          <w:highlight w:val="none"/>
        </w:rPr>
        <w:t>日常管理等以及工地试验室临时资质备案管理。</w:t>
      </w:r>
    </w:p>
    <w:p w14:paraId="4BF7373C">
      <w:pPr>
        <w:spacing w:before="1" w:line="359" w:lineRule="auto"/>
        <w:ind w:left="39" w:right="133" w:firstLine="410"/>
        <w:rPr>
          <w:rFonts w:ascii="宋体" w:hAnsi="宋体" w:eastAsia="宋体" w:cs="宋体"/>
          <w:color w:val="auto"/>
          <w:spacing w:val="-7"/>
          <w:sz w:val="22"/>
          <w:szCs w:val="22"/>
          <w:highlight w:val="none"/>
        </w:rPr>
      </w:pPr>
      <w:r>
        <w:rPr>
          <w:rFonts w:ascii="宋体" w:hAnsi="宋体" w:eastAsia="宋体" w:cs="宋体"/>
          <w:color w:val="auto"/>
          <w:spacing w:val="-1"/>
          <w:sz w:val="22"/>
          <w:szCs w:val="22"/>
          <w:highlight w:val="none"/>
        </w:rPr>
        <w:t>（3）代表委托人对整个项目的试验检测工作进行管理，代表委托人对</w:t>
      </w:r>
      <w:r>
        <w:rPr>
          <w:rFonts w:ascii="宋体" w:hAnsi="宋体" w:eastAsia="宋体" w:cs="宋体"/>
          <w:color w:val="auto"/>
          <w:spacing w:val="-2"/>
          <w:sz w:val="22"/>
          <w:szCs w:val="22"/>
          <w:highlight w:val="none"/>
        </w:rPr>
        <w:t>工程质量进行抽检、</w:t>
      </w:r>
      <w:r>
        <w:rPr>
          <w:rFonts w:ascii="宋体" w:hAnsi="宋体" w:eastAsia="宋体" w:cs="宋体"/>
          <w:color w:val="auto"/>
          <w:spacing w:val="-7"/>
          <w:sz w:val="22"/>
          <w:szCs w:val="22"/>
          <w:highlight w:val="none"/>
        </w:rPr>
        <w:t>日常质量巡查。</w:t>
      </w:r>
    </w:p>
    <w:p w14:paraId="70009FFE">
      <w:pPr>
        <w:spacing w:before="1" w:line="359" w:lineRule="auto"/>
        <w:ind w:left="39" w:right="133" w:firstLine="410"/>
        <w:rPr>
          <w:rFonts w:ascii="宋体" w:hAnsi="宋体" w:eastAsia="宋体" w:cs="宋体"/>
          <w:color w:val="auto"/>
          <w:spacing w:val="-1"/>
          <w:sz w:val="22"/>
          <w:szCs w:val="22"/>
          <w:highlight w:val="none"/>
        </w:rPr>
      </w:pPr>
      <w:r>
        <w:rPr>
          <w:rFonts w:ascii="宋体" w:hAnsi="宋体" w:eastAsia="宋体" w:cs="宋体"/>
          <w:color w:val="auto"/>
          <w:sz w:val="22"/>
          <w:szCs w:val="22"/>
          <w:highlight w:val="none"/>
        </w:rPr>
        <w:t>（4）负责其代表委托人抽检及试验检测范围内的</w:t>
      </w:r>
      <w:r>
        <w:rPr>
          <w:rFonts w:ascii="宋体" w:hAnsi="宋体" w:eastAsia="宋体" w:cs="宋体"/>
          <w:color w:val="auto"/>
          <w:spacing w:val="-1"/>
          <w:sz w:val="22"/>
          <w:szCs w:val="22"/>
          <w:highlight w:val="none"/>
        </w:rPr>
        <w:t>试验检测资料归档及竣工资料编制。</w:t>
      </w:r>
    </w:p>
    <w:p w14:paraId="097E2E1E">
      <w:pPr>
        <w:spacing w:before="1" w:line="359" w:lineRule="auto"/>
        <w:ind w:left="39" w:right="133" w:firstLine="410"/>
        <w:rPr>
          <w:rFonts w:hint="eastAsia" w:ascii="宋体" w:hAnsi="宋体" w:eastAsia="宋体" w:cs="宋体"/>
          <w:color w:val="auto"/>
          <w:spacing w:val="-5"/>
          <w:sz w:val="22"/>
          <w:szCs w:val="22"/>
          <w:highlight w:val="none"/>
          <w:lang w:eastAsia="zh-CN"/>
        </w:rPr>
      </w:pPr>
      <w:r>
        <w:rPr>
          <w:rFonts w:ascii="宋体" w:hAnsi="宋体" w:eastAsia="宋体" w:cs="宋体"/>
          <w:color w:val="auto"/>
          <w:spacing w:val="4"/>
          <w:sz w:val="22"/>
          <w:szCs w:val="22"/>
          <w:highlight w:val="none"/>
        </w:rPr>
        <w:t>（5）主持编制检测计划和检测细则，检测计划报建设单位审批，</w:t>
      </w:r>
      <w:r>
        <w:rPr>
          <w:rFonts w:ascii="宋体" w:hAnsi="宋体" w:eastAsia="宋体" w:cs="宋体"/>
          <w:color w:val="auto"/>
          <w:spacing w:val="3"/>
          <w:sz w:val="22"/>
          <w:szCs w:val="22"/>
          <w:highlight w:val="none"/>
        </w:rPr>
        <w:t>检测细则报建设单位备</w:t>
      </w:r>
      <w:r>
        <w:rPr>
          <w:rFonts w:ascii="宋体" w:hAnsi="宋体" w:eastAsia="宋体" w:cs="宋体"/>
          <w:color w:val="auto"/>
          <w:spacing w:val="-5"/>
          <w:sz w:val="22"/>
          <w:szCs w:val="22"/>
          <w:highlight w:val="none"/>
        </w:rPr>
        <w:t>案</w:t>
      </w:r>
      <w:r>
        <w:rPr>
          <w:rFonts w:hint="eastAsia" w:ascii="宋体" w:hAnsi="宋体" w:eastAsia="宋体" w:cs="宋体"/>
          <w:color w:val="auto"/>
          <w:spacing w:val="-5"/>
          <w:sz w:val="22"/>
          <w:szCs w:val="22"/>
          <w:highlight w:val="none"/>
          <w:lang w:eastAsia="zh-CN"/>
        </w:rPr>
        <w:t>。</w:t>
      </w:r>
    </w:p>
    <w:p w14:paraId="4CAC6065">
      <w:pPr>
        <w:spacing w:before="1" w:line="359" w:lineRule="auto"/>
        <w:ind w:left="39" w:right="133" w:firstLine="410"/>
        <w:rPr>
          <w:rFonts w:ascii="宋体" w:hAnsi="宋体" w:eastAsia="宋体" w:cs="宋体"/>
          <w:color w:val="auto"/>
          <w:sz w:val="22"/>
          <w:szCs w:val="22"/>
          <w:highlight w:val="none"/>
        </w:rPr>
      </w:pPr>
      <w:r>
        <w:rPr>
          <w:rFonts w:ascii="宋体" w:hAnsi="宋体" w:eastAsia="宋体" w:cs="宋体"/>
          <w:color w:val="auto"/>
          <w:sz w:val="22"/>
          <w:szCs w:val="22"/>
          <w:highlight w:val="none"/>
        </w:rPr>
        <w:t>（6）中心试验室试验检测服务单位负责月</w:t>
      </w:r>
      <w:r>
        <w:rPr>
          <w:rFonts w:ascii="宋体" w:hAnsi="宋体" w:eastAsia="宋体" w:cs="宋体"/>
          <w:color w:val="auto"/>
          <w:spacing w:val="-1"/>
          <w:sz w:val="22"/>
          <w:szCs w:val="22"/>
          <w:highlight w:val="none"/>
        </w:rPr>
        <w:t>度工地试验室检查及督促整改工作。</w:t>
      </w:r>
    </w:p>
    <w:p w14:paraId="651B4251">
      <w:pPr>
        <w:spacing w:before="168" w:line="223" w:lineRule="auto"/>
        <w:ind w:left="446"/>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5.3.4.2</w:t>
      </w:r>
      <w:r>
        <w:rPr>
          <w:rFonts w:ascii="宋体" w:hAnsi="宋体" w:eastAsia="宋体" w:cs="宋体"/>
          <w:color w:val="auto"/>
          <w:spacing w:val="-40"/>
          <w:sz w:val="22"/>
          <w:szCs w:val="22"/>
          <w:highlight w:val="none"/>
        </w:rPr>
        <w:t xml:space="preserve"> </w:t>
      </w:r>
      <w:r>
        <w:rPr>
          <w:rFonts w:ascii="宋体" w:hAnsi="宋体" w:eastAsia="宋体" w:cs="宋体"/>
          <w:color w:val="auto"/>
          <w:spacing w:val="-3"/>
          <w:sz w:val="22"/>
          <w:szCs w:val="22"/>
          <w:highlight w:val="none"/>
        </w:rPr>
        <w:t>监理人</w:t>
      </w:r>
    </w:p>
    <w:p w14:paraId="4AF24A7C">
      <w:pPr>
        <w:spacing w:before="162" w:line="359" w:lineRule="auto"/>
        <w:ind w:left="1" w:right="135" w:firstLine="447"/>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（1）负责混凝土试件制样见证及不需要出具试验检测报告的</w:t>
      </w:r>
      <w:r>
        <w:rPr>
          <w:rFonts w:ascii="宋体" w:hAnsi="宋体" w:eastAsia="宋体" w:cs="宋体"/>
          <w:color w:val="auto"/>
          <w:spacing w:val="3"/>
          <w:sz w:val="22"/>
          <w:szCs w:val="22"/>
          <w:highlight w:val="none"/>
        </w:rPr>
        <w:t>现场原位试验检测工作，如</w:t>
      </w:r>
      <w:r>
        <w:rPr>
          <w:rFonts w:ascii="宋体" w:hAnsi="宋体" w:eastAsia="宋体" w:cs="宋体"/>
          <w:color w:val="auto"/>
          <w:sz w:val="22"/>
          <w:szCs w:val="22"/>
          <w:highlight w:val="none"/>
        </w:rPr>
        <w:t>测量放样复核、结构尺寸、钻孔灌注桩泥浆性能、现场混凝土和易</w:t>
      </w:r>
      <w:r>
        <w:rPr>
          <w:rFonts w:ascii="宋体" w:hAnsi="宋体" w:eastAsia="宋体" w:cs="宋体"/>
          <w:color w:val="auto"/>
          <w:spacing w:val="-1"/>
          <w:sz w:val="22"/>
          <w:szCs w:val="22"/>
          <w:highlight w:val="none"/>
        </w:rPr>
        <w:t>性、钢筋保护层厚度等。</w:t>
      </w:r>
    </w:p>
    <w:p w14:paraId="1C358A9A">
      <w:pPr>
        <w:spacing w:before="1" w:line="358" w:lineRule="auto"/>
        <w:ind w:left="19" w:right="133" w:firstLine="429"/>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（2）监理人不设立中心试验室，但应按要求设置试验检测人员，做好“三检制</w:t>
      </w:r>
      <w:r>
        <w:rPr>
          <w:rFonts w:ascii="宋体" w:hAnsi="宋体" w:eastAsia="宋体" w:cs="宋体"/>
          <w:color w:val="auto"/>
          <w:spacing w:val="-79"/>
          <w:sz w:val="22"/>
          <w:szCs w:val="22"/>
          <w:highlight w:val="none"/>
        </w:rPr>
        <w:t xml:space="preserve"> </w:t>
      </w:r>
      <w:r>
        <w:rPr>
          <w:rFonts w:ascii="宋体" w:hAnsi="宋体" w:eastAsia="宋体" w:cs="宋体"/>
          <w:color w:val="auto"/>
          <w:spacing w:val="3"/>
          <w:sz w:val="22"/>
          <w:szCs w:val="22"/>
          <w:highlight w:val="none"/>
        </w:rPr>
        <w:t>”体</w:t>
      </w:r>
      <w:r>
        <w:rPr>
          <w:rFonts w:ascii="宋体" w:hAnsi="宋体" w:eastAsia="宋体" w:cs="宋体"/>
          <w:color w:val="auto"/>
          <w:spacing w:val="2"/>
          <w:sz w:val="22"/>
          <w:szCs w:val="22"/>
          <w:highlight w:val="none"/>
        </w:rPr>
        <w:t>系中</w:t>
      </w:r>
      <w:r>
        <w:rPr>
          <w:rFonts w:ascii="宋体" w:hAnsi="宋体" w:eastAsia="宋体" w:cs="宋体"/>
          <w:color w:val="auto"/>
          <w:spacing w:val="-1"/>
          <w:sz w:val="22"/>
          <w:szCs w:val="22"/>
          <w:highlight w:val="none"/>
        </w:rPr>
        <w:t>的监理工作。监理人的试验检测工作须接受中心试验室的技术指导。</w:t>
      </w:r>
    </w:p>
    <w:p w14:paraId="2203D103">
      <w:pPr>
        <w:spacing w:line="359" w:lineRule="auto"/>
        <w:ind w:right="133" w:firstLine="44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（3）监理人应按照设计文件及相关规范规定的频率做好测点、试</w:t>
      </w:r>
      <w:r>
        <w:rPr>
          <w:rFonts w:ascii="宋体" w:hAnsi="宋体" w:eastAsia="宋体" w:cs="宋体"/>
          <w:color w:val="auto"/>
          <w:spacing w:val="3"/>
          <w:sz w:val="22"/>
          <w:szCs w:val="22"/>
          <w:highlight w:val="none"/>
        </w:rPr>
        <w:t>样试件的取样送样的见</w:t>
      </w:r>
      <w:r>
        <w:rPr>
          <w:rFonts w:ascii="宋体" w:hAnsi="宋体" w:eastAsia="宋体" w:cs="宋体"/>
          <w:color w:val="auto"/>
          <w:spacing w:val="1"/>
          <w:sz w:val="22"/>
          <w:szCs w:val="22"/>
          <w:highlight w:val="none"/>
        </w:rPr>
        <w:t>证工作，并对试样、试件的真实性、代表性负责。对于无法在现场完成的试验检测项目，监理</w:t>
      </w:r>
      <w:r>
        <w:rPr>
          <w:rFonts w:ascii="宋体" w:hAnsi="宋体" w:eastAsia="宋体" w:cs="宋体"/>
          <w:color w:val="auto"/>
          <w:sz w:val="22"/>
          <w:szCs w:val="22"/>
          <w:highlight w:val="none"/>
        </w:rPr>
        <w:t>人联合中心试验室拟定具体检测项目以及快速、安全的送检</w:t>
      </w:r>
      <w:r>
        <w:rPr>
          <w:rFonts w:ascii="宋体" w:hAnsi="宋体" w:eastAsia="宋体" w:cs="宋体"/>
          <w:color w:val="auto"/>
          <w:spacing w:val="-1"/>
          <w:sz w:val="22"/>
          <w:szCs w:val="22"/>
          <w:highlight w:val="none"/>
        </w:rPr>
        <w:t>措施并报备委托人。</w:t>
      </w:r>
    </w:p>
    <w:p w14:paraId="5BB15265">
      <w:pPr>
        <w:spacing w:before="2" w:line="359" w:lineRule="auto"/>
        <w:ind w:right="142" w:firstLine="44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（4）监理人负责按照最新《公路工程施工监</w:t>
      </w:r>
      <w:r>
        <w:rPr>
          <w:rFonts w:ascii="宋体" w:hAnsi="宋体" w:eastAsia="宋体" w:cs="宋体"/>
          <w:color w:val="auto"/>
          <w:spacing w:val="3"/>
          <w:sz w:val="22"/>
          <w:szCs w:val="22"/>
          <w:highlight w:val="none"/>
        </w:rPr>
        <w:t>理规范》及最新《水运工程施工监理规范》</w:t>
      </w:r>
      <w:r>
        <w:rPr>
          <w:rFonts w:ascii="宋体" w:hAnsi="宋体" w:eastAsia="宋体" w:cs="宋体"/>
          <w:color w:val="auto"/>
          <w:sz w:val="22"/>
          <w:szCs w:val="22"/>
          <w:highlight w:val="none"/>
        </w:rPr>
        <w:t>抽检频率范围内的试验检测质量评定、归档</w:t>
      </w:r>
      <w:r>
        <w:rPr>
          <w:rFonts w:ascii="宋体" w:hAnsi="宋体" w:eastAsia="宋体" w:cs="宋体"/>
          <w:color w:val="auto"/>
          <w:spacing w:val="-1"/>
          <w:sz w:val="22"/>
          <w:szCs w:val="22"/>
          <w:highlight w:val="none"/>
        </w:rPr>
        <w:t>及竣工资料编制。</w:t>
      </w:r>
    </w:p>
    <w:p w14:paraId="1C8D4847">
      <w:pPr>
        <w:spacing w:before="1" w:line="359" w:lineRule="auto"/>
        <w:ind w:left="1" w:right="142" w:firstLine="447"/>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（5）监理人应根据《广东省公路工程造价标</w:t>
      </w:r>
      <w:r>
        <w:rPr>
          <w:rFonts w:ascii="宋体" w:hAnsi="宋体" w:eastAsia="宋体" w:cs="宋体"/>
          <w:color w:val="auto"/>
          <w:spacing w:val="3"/>
          <w:sz w:val="22"/>
          <w:szCs w:val="22"/>
          <w:highlight w:val="none"/>
        </w:rPr>
        <w:t>准化管理指南》《公路工程造价管理指南》</w:t>
      </w:r>
      <w:r>
        <w:rPr>
          <w:rFonts w:ascii="宋体" w:hAnsi="宋体" w:eastAsia="宋体" w:cs="宋体"/>
          <w:color w:val="auto"/>
          <w:spacing w:val="-1"/>
          <w:sz w:val="22"/>
          <w:szCs w:val="22"/>
          <w:highlight w:val="none"/>
        </w:rPr>
        <w:t>和合同履行监理责任。</w:t>
      </w:r>
    </w:p>
    <w:p w14:paraId="0923E711">
      <w:pPr>
        <w:keepNext w:val="0"/>
        <w:keepLines w:val="0"/>
        <w:pageBreakBefore w:val="0"/>
        <w:widowControl/>
        <w:kinsoku w:val="0"/>
        <w:wordWrap/>
        <w:overflowPunct/>
        <w:topLinePunct w:val="0"/>
        <w:autoSpaceDE w:val="0"/>
        <w:autoSpaceDN w:val="0"/>
        <w:bidi w:val="0"/>
        <w:adjustRightInd w:val="0"/>
        <w:snapToGrid w:val="0"/>
        <w:spacing w:line="360" w:lineRule="auto"/>
        <w:ind w:left="448"/>
        <w:textAlignment w:val="baseline"/>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5.3.4.3 试验检测数据</w:t>
      </w:r>
    </w:p>
    <w:p w14:paraId="3AE0773B">
      <w:pPr>
        <w:spacing w:before="2" w:line="359" w:lineRule="auto"/>
        <w:ind w:right="142" w:firstLine="448"/>
        <w:rPr>
          <w:rFonts w:ascii="宋体" w:hAnsi="宋体" w:eastAsia="宋体" w:cs="宋体"/>
          <w:color w:val="auto"/>
          <w:spacing w:val="4"/>
          <w:sz w:val="22"/>
          <w:szCs w:val="22"/>
          <w:highlight w:val="none"/>
        </w:rPr>
      </w:pPr>
      <w:r>
        <w:rPr>
          <w:rFonts w:ascii="宋体" w:hAnsi="宋体" w:eastAsia="宋体" w:cs="宋体"/>
          <w:color w:val="auto"/>
          <w:spacing w:val="4"/>
          <w:sz w:val="22"/>
          <w:szCs w:val="22"/>
          <w:highlight w:val="none"/>
        </w:rPr>
        <w:t>中心试验室的试验检测结果（包括监理人抽样送检和中心试验室代表委托人抽检），中心试验室应及时反馈监理人和上报委托人；如存在异常数据，应及时会同监理人按规范要求抽样复检，并由监理人负责督办不合格品的处理与闭合。</w:t>
      </w:r>
    </w:p>
    <w:p w14:paraId="3FC4EED9">
      <w:pPr>
        <w:spacing w:before="1" w:line="359" w:lineRule="auto"/>
        <w:ind w:left="1" w:right="133" w:firstLine="445"/>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5.3.4.4 监理人和中心试验室关于试验检测工作的工作界面划分详见合同专用条款</w:t>
      </w:r>
      <w:r>
        <w:rPr>
          <w:rFonts w:ascii="宋体" w:hAnsi="宋体" w:eastAsia="宋体" w:cs="宋体"/>
          <w:color w:val="auto"/>
          <w:spacing w:val="-25"/>
          <w:sz w:val="22"/>
          <w:szCs w:val="22"/>
          <w:highlight w:val="none"/>
        </w:rPr>
        <w:t xml:space="preserve"> </w:t>
      </w:r>
      <w:r>
        <w:rPr>
          <w:rFonts w:ascii="宋体" w:hAnsi="宋体" w:eastAsia="宋体" w:cs="宋体"/>
          <w:color w:val="auto"/>
          <w:spacing w:val="4"/>
          <w:sz w:val="22"/>
          <w:szCs w:val="22"/>
          <w:highlight w:val="none"/>
        </w:rPr>
        <w:t>1</w:t>
      </w:r>
      <w:r>
        <w:rPr>
          <w:rFonts w:ascii="宋体" w:hAnsi="宋体" w:eastAsia="宋体" w:cs="宋体"/>
          <w:color w:val="auto"/>
          <w:spacing w:val="3"/>
          <w:sz w:val="22"/>
          <w:szCs w:val="22"/>
          <w:highlight w:val="none"/>
        </w:rPr>
        <w:t>3.6</w:t>
      </w:r>
      <w:r>
        <w:rPr>
          <w:rFonts w:ascii="宋体" w:hAnsi="宋体" w:eastAsia="宋体" w:cs="宋体"/>
          <w:color w:val="auto"/>
          <w:sz w:val="22"/>
          <w:szCs w:val="22"/>
          <w:highlight w:val="none"/>
        </w:rPr>
        <w:t>款</w:t>
      </w:r>
    </w:p>
    <w:p w14:paraId="68B6C784">
      <w:pPr>
        <w:spacing w:before="2" w:line="360" w:lineRule="auto"/>
        <w:ind w:left="2" w:right="133" w:firstLine="444"/>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5.3.4.5 如监理人与中心试验室在试验检测工作界面存在冲突或模糊时，委托</w:t>
      </w:r>
      <w:r>
        <w:rPr>
          <w:rFonts w:ascii="宋体" w:hAnsi="宋体" w:eastAsia="宋体" w:cs="宋体"/>
          <w:color w:val="auto"/>
          <w:sz w:val="22"/>
          <w:szCs w:val="22"/>
          <w:highlight w:val="none"/>
        </w:rPr>
        <w:t>人将予以进</w:t>
      </w:r>
      <w:r>
        <w:rPr>
          <w:rFonts w:ascii="宋体" w:hAnsi="宋体" w:eastAsia="宋体" w:cs="宋体"/>
          <w:color w:val="auto"/>
          <w:spacing w:val="1"/>
          <w:sz w:val="22"/>
          <w:szCs w:val="22"/>
          <w:highlight w:val="none"/>
        </w:rPr>
        <w:t>一步明确或重新调整工作界面划分，监理人与中心试验室均须无条件服从委托人（业主）的协</w:t>
      </w:r>
      <w:r>
        <w:rPr>
          <w:rFonts w:ascii="宋体" w:hAnsi="宋体" w:eastAsia="宋体" w:cs="宋体"/>
          <w:color w:val="auto"/>
          <w:spacing w:val="-2"/>
          <w:sz w:val="22"/>
          <w:szCs w:val="22"/>
          <w:highlight w:val="none"/>
        </w:rPr>
        <w:t>调和安排。</w:t>
      </w:r>
    </w:p>
    <w:p w14:paraId="346065B4">
      <w:pPr>
        <w:spacing w:before="239" w:line="219" w:lineRule="auto"/>
        <w:ind w:left="6"/>
        <w:rPr>
          <w:rFonts w:ascii="宋体" w:hAnsi="宋体" w:eastAsia="宋体" w:cs="宋体"/>
          <w:b/>
          <w:bCs/>
          <w:color w:val="auto"/>
          <w:spacing w:val="-3"/>
          <w:sz w:val="24"/>
          <w:szCs w:val="24"/>
          <w:highlight w:val="none"/>
        </w:rPr>
      </w:pPr>
      <w:r>
        <w:rPr>
          <w:rFonts w:ascii="宋体" w:hAnsi="宋体" w:eastAsia="宋体" w:cs="宋体"/>
          <w:b/>
          <w:bCs/>
          <w:color w:val="auto"/>
          <w:spacing w:val="-3"/>
          <w:sz w:val="24"/>
          <w:szCs w:val="24"/>
          <w:highlight w:val="none"/>
        </w:rPr>
        <w:t>5.5</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监理服务形式</w:t>
      </w:r>
    </w:p>
    <w:p w14:paraId="6072B0EB">
      <w:pPr>
        <w:keepNext w:val="0"/>
        <w:keepLines w:val="0"/>
        <w:pageBreakBefore w:val="0"/>
        <w:widowControl/>
        <w:kinsoku w:val="0"/>
        <w:wordWrap/>
        <w:overflowPunct/>
        <w:topLinePunct w:val="0"/>
        <w:autoSpaceDE w:val="0"/>
        <w:autoSpaceDN w:val="0"/>
        <w:bidi w:val="0"/>
        <w:adjustRightInd w:val="0"/>
        <w:snapToGrid w:val="0"/>
        <w:spacing w:before="0" w:beforeLines="80" w:line="360" w:lineRule="auto"/>
        <w:ind w:left="6" w:firstLine="440" w:firstLineChars="200"/>
        <w:textAlignment w:val="baseline"/>
        <w:rPr>
          <w:rFonts w:ascii="宋体" w:hAnsi="宋体" w:eastAsia="宋体" w:cs="宋体"/>
          <w:color w:val="auto"/>
          <w:spacing w:val="-1"/>
          <w:sz w:val="22"/>
          <w:szCs w:val="22"/>
          <w:highlight w:val="none"/>
        </w:rPr>
      </w:pPr>
      <w:r>
        <w:rPr>
          <w:rFonts w:ascii="宋体" w:hAnsi="宋体" w:eastAsia="宋体" w:cs="宋体"/>
          <w:color w:val="auto"/>
          <w:sz w:val="22"/>
          <w:szCs w:val="22"/>
          <w:highlight w:val="none"/>
        </w:rPr>
        <w:t>监理服务机构设置：</w:t>
      </w:r>
      <w:r>
        <w:rPr>
          <w:rFonts w:hint="eastAsia" w:ascii="宋体" w:hAnsi="宋体" w:eastAsia="宋体" w:cs="宋体"/>
          <w:color w:val="auto"/>
          <w:sz w:val="22"/>
          <w:szCs w:val="22"/>
          <w:highlight w:val="none"/>
          <w:u w:val="single"/>
          <w:lang w:val="en-US" w:eastAsia="zh-CN"/>
        </w:rPr>
        <w:t>一</w:t>
      </w:r>
      <w:r>
        <w:rPr>
          <w:rFonts w:hint="eastAsia" w:ascii="宋体" w:hAnsi="宋体" w:eastAsia="宋体" w:cs="宋体"/>
          <w:color w:val="auto"/>
          <w:sz w:val="22"/>
          <w:szCs w:val="22"/>
          <w:highlight w:val="none"/>
          <w:u w:val="single"/>
        </w:rPr>
        <w:t>级监理机构</w:t>
      </w:r>
      <w:r>
        <w:rPr>
          <w:rFonts w:ascii="宋体" w:hAnsi="宋体" w:eastAsia="宋体" w:cs="宋体"/>
          <w:color w:val="auto"/>
          <w:spacing w:val="-1"/>
          <w:sz w:val="22"/>
          <w:szCs w:val="22"/>
          <w:highlight w:val="none"/>
        </w:rPr>
        <w:t>。</w:t>
      </w:r>
    </w:p>
    <w:p w14:paraId="02755878">
      <w:pPr>
        <w:keepNext w:val="0"/>
        <w:keepLines w:val="0"/>
        <w:pageBreakBefore w:val="0"/>
        <w:widowControl/>
        <w:kinsoku w:val="0"/>
        <w:wordWrap/>
        <w:overflowPunct/>
        <w:topLinePunct w:val="0"/>
        <w:autoSpaceDE w:val="0"/>
        <w:autoSpaceDN w:val="0"/>
        <w:bidi w:val="0"/>
        <w:adjustRightInd w:val="0"/>
        <w:snapToGrid w:val="0"/>
        <w:spacing w:line="360" w:lineRule="auto"/>
        <w:ind w:left="6" w:firstLine="456" w:firstLineChars="200"/>
        <w:textAlignment w:val="baseline"/>
        <w:rPr>
          <w:rFonts w:ascii="宋体" w:hAnsi="宋体" w:eastAsia="宋体" w:cs="宋体"/>
          <w:color w:val="auto"/>
          <w:spacing w:val="4"/>
          <w:sz w:val="22"/>
          <w:szCs w:val="22"/>
          <w:highlight w:val="none"/>
        </w:rPr>
      </w:pPr>
      <w:r>
        <w:rPr>
          <w:rFonts w:ascii="宋体" w:hAnsi="宋体" w:eastAsia="宋体" w:cs="宋体"/>
          <w:color w:val="auto"/>
          <w:spacing w:val="4"/>
          <w:sz w:val="22"/>
          <w:szCs w:val="22"/>
          <w:highlight w:val="none"/>
        </w:rPr>
        <w:t>总监理工程师办公室按</w:t>
      </w:r>
      <w:r>
        <w:rPr>
          <w:rFonts w:hint="eastAsia" w:ascii="宋体" w:hAnsi="宋体" w:eastAsia="宋体" w:cs="宋体"/>
          <w:color w:val="auto"/>
          <w:spacing w:val="4"/>
          <w:sz w:val="22"/>
          <w:szCs w:val="22"/>
          <w:highlight w:val="none"/>
          <w:u w:val="single"/>
        </w:rPr>
        <w:t>高效运行、权责明确、统一管理</w:t>
      </w:r>
      <w:r>
        <w:rPr>
          <w:rFonts w:hint="eastAsia" w:ascii="宋体" w:hAnsi="宋体" w:eastAsia="宋体" w:cs="宋体"/>
          <w:color w:val="auto"/>
          <w:spacing w:val="4"/>
          <w:sz w:val="22"/>
          <w:szCs w:val="22"/>
          <w:highlight w:val="none"/>
          <w:u w:val="single"/>
          <w:lang w:eastAsia="zh-CN"/>
        </w:rPr>
        <w:t>的组建原则</w:t>
      </w:r>
      <w:r>
        <w:rPr>
          <w:rFonts w:ascii="宋体" w:hAnsi="宋体" w:eastAsia="宋体" w:cs="宋体"/>
          <w:color w:val="auto"/>
          <w:spacing w:val="4"/>
          <w:sz w:val="22"/>
          <w:szCs w:val="22"/>
          <w:highlight w:val="none"/>
        </w:rPr>
        <w:t>组建，下设</w:t>
      </w:r>
      <w:r>
        <w:rPr>
          <w:rFonts w:ascii="宋体" w:hAnsi="宋体" w:eastAsia="宋体" w:cs="宋体"/>
          <w:color w:val="auto"/>
          <w:spacing w:val="4"/>
          <w:sz w:val="22"/>
          <w:szCs w:val="22"/>
          <w:highlight w:val="none"/>
          <w:u w:val="single"/>
        </w:rPr>
        <w:t xml:space="preserve"> </w:t>
      </w:r>
      <w:r>
        <w:rPr>
          <w:rFonts w:hint="eastAsia" w:ascii="宋体" w:hAnsi="宋体" w:eastAsia="宋体" w:cs="宋体"/>
          <w:color w:val="auto"/>
          <w:spacing w:val="4"/>
          <w:sz w:val="22"/>
          <w:szCs w:val="22"/>
          <w:highlight w:val="none"/>
          <w:u w:val="single"/>
          <w:lang w:val="en-US" w:eastAsia="zh-CN"/>
        </w:rPr>
        <w:t>/</w:t>
      </w:r>
      <w:r>
        <w:rPr>
          <w:rFonts w:ascii="宋体" w:hAnsi="宋体" w:eastAsia="宋体" w:cs="宋体"/>
          <w:color w:val="auto"/>
          <w:spacing w:val="4"/>
          <w:sz w:val="22"/>
          <w:szCs w:val="22"/>
          <w:highlight w:val="none"/>
          <w:u w:val="single"/>
        </w:rPr>
        <w:t xml:space="preserve"> </w:t>
      </w:r>
      <w:r>
        <w:rPr>
          <w:rFonts w:ascii="宋体" w:hAnsi="宋体" w:eastAsia="宋体" w:cs="宋体"/>
          <w:color w:val="auto"/>
          <w:spacing w:val="4"/>
          <w:sz w:val="22"/>
          <w:szCs w:val="22"/>
          <w:highlight w:val="none"/>
        </w:rPr>
        <w:t>个驻地监理工程师办公室。</w:t>
      </w:r>
    </w:p>
    <w:p w14:paraId="17AEBDD6">
      <w:pPr>
        <w:spacing w:line="328" w:lineRule="auto"/>
        <w:rPr>
          <w:rFonts w:ascii="Arial"/>
          <w:color w:val="auto"/>
          <w:sz w:val="21"/>
          <w:highlight w:val="none"/>
        </w:rPr>
      </w:pPr>
    </w:p>
    <w:p w14:paraId="0420B1D7">
      <w:pPr>
        <w:spacing w:before="78" w:line="219" w:lineRule="auto"/>
        <w:ind w:left="6"/>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5.6</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监理服务目标</w:t>
      </w:r>
    </w:p>
    <w:p w14:paraId="3145DFE2">
      <w:pPr>
        <w:spacing w:before="166" w:line="362" w:lineRule="auto"/>
        <w:ind w:left="22" w:right="133" w:firstLine="424"/>
        <w:rPr>
          <w:rFonts w:hint="eastAsia" w:ascii="宋体" w:hAnsi="宋体" w:eastAsia="宋体" w:cs="宋体"/>
          <w:color w:val="auto"/>
          <w:spacing w:val="-2"/>
          <w:sz w:val="22"/>
          <w:szCs w:val="22"/>
          <w:highlight w:val="none"/>
          <w:u w:val="single"/>
        </w:rPr>
      </w:pPr>
      <w:r>
        <w:rPr>
          <w:rFonts w:ascii="宋体" w:hAnsi="宋体" w:eastAsia="宋体" w:cs="宋体"/>
          <w:color w:val="auto"/>
          <w:spacing w:val="-2"/>
          <w:sz w:val="22"/>
          <w:szCs w:val="22"/>
          <w:highlight w:val="none"/>
        </w:rPr>
        <w:t>5.6.2 对第三方履约管理的服务目标：</w:t>
      </w:r>
      <w:r>
        <w:rPr>
          <w:rFonts w:hint="eastAsia" w:ascii="宋体" w:hAnsi="宋体" w:eastAsia="宋体" w:cs="宋体"/>
          <w:color w:val="auto"/>
          <w:spacing w:val="-2"/>
          <w:sz w:val="22"/>
          <w:szCs w:val="22"/>
          <w:highlight w:val="none"/>
          <w:u w:val="single"/>
        </w:rPr>
        <w:t>确保工期，节省投资，保证安全，工程质量达到交工验收合格、竣工验收合格。</w:t>
      </w:r>
    </w:p>
    <w:p w14:paraId="2B5F56D5">
      <w:pPr>
        <w:spacing w:before="166" w:line="362" w:lineRule="auto"/>
        <w:ind w:left="22" w:right="133" w:firstLine="424"/>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5.6.3</w:t>
      </w:r>
      <w:r>
        <w:rPr>
          <w:rFonts w:ascii="宋体" w:hAnsi="宋体" w:eastAsia="宋体" w:cs="宋体"/>
          <w:color w:val="auto"/>
          <w:spacing w:val="-44"/>
          <w:sz w:val="22"/>
          <w:szCs w:val="22"/>
          <w:highlight w:val="none"/>
        </w:rPr>
        <w:t xml:space="preserve"> </w:t>
      </w:r>
      <w:r>
        <w:rPr>
          <w:rFonts w:ascii="宋体" w:hAnsi="宋体" w:eastAsia="宋体" w:cs="宋体"/>
          <w:color w:val="auto"/>
          <w:spacing w:val="2"/>
          <w:sz w:val="22"/>
          <w:szCs w:val="22"/>
          <w:highlight w:val="none"/>
        </w:rPr>
        <w:t>监理人应根据《公路工程施工监理规范》、广东省《公路工程造价管理指南》、合</w:t>
      </w:r>
      <w:r>
        <w:rPr>
          <w:rFonts w:ascii="宋体" w:hAnsi="宋体" w:eastAsia="宋体" w:cs="宋体"/>
          <w:color w:val="auto"/>
          <w:spacing w:val="-2"/>
          <w:sz w:val="22"/>
          <w:szCs w:val="22"/>
          <w:highlight w:val="none"/>
        </w:rPr>
        <w:t>同约定及工程设计要求和合同履行监理责任。</w:t>
      </w:r>
    </w:p>
    <w:p w14:paraId="7352A7CA">
      <w:pPr>
        <w:spacing w:before="236" w:line="219" w:lineRule="auto"/>
        <w:ind w:left="6"/>
        <w:rPr>
          <w:rFonts w:ascii="宋体" w:hAnsi="宋体" w:eastAsia="宋体" w:cs="宋体"/>
          <w:b/>
          <w:bCs/>
          <w:color w:val="auto"/>
          <w:spacing w:val="-3"/>
          <w:sz w:val="24"/>
          <w:szCs w:val="24"/>
          <w:highlight w:val="none"/>
        </w:rPr>
      </w:pPr>
      <w:r>
        <w:rPr>
          <w:rFonts w:ascii="宋体" w:hAnsi="宋体" w:eastAsia="宋体" w:cs="宋体"/>
          <w:b/>
          <w:bCs/>
          <w:color w:val="auto"/>
          <w:spacing w:val="-3"/>
          <w:sz w:val="24"/>
          <w:szCs w:val="24"/>
          <w:highlight w:val="none"/>
        </w:rPr>
        <w:t>5.7</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委托人对监理人的授权</w:t>
      </w:r>
    </w:p>
    <w:p w14:paraId="7E5A1954">
      <w:pPr>
        <w:spacing w:line="242" w:lineRule="auto"/>
        <w:rPr>
          <w:rFonts w:ascii="Arial"/>
          <w:color w:val="auto"/>
          <w:sz w:val="21"/>
          <w:highlight w:val="none"/>
        </w:rPr>
      </w:pPr>
    </w:p>
    <w:p w14:paraId="79215B6D">
      <w:pPr>
        <w:spacing w:before="72" w:line="359" w:lineRule="auto"/>
        <w:ind w:left="32" w:right="280" w:firstLine="42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5.7.1 委托人对监理人的授权：监理人在行使以下规定的职权之前，应先取</w:t>
      </w:r>
      <w:r>
        <w:rPr>
          <w:rFonts w:ascii="宋体" w:hAnsi="宋体" w:eastAsia="宋体" w:cs="宋体"/>
          <w:color w:val="auto"/>
          <w:sz w:val="22"/>
          <w:szCs w:val="22"/>
          <w:highlight w:val="none"/>
        </w:rPr>
        <w:t>得委托人的专</w:t>
      </w:r>
      <w:r>
        <w:rPr>
          <w:rFonts w:ascii="宋体" w:hAnsi="宋体" w:eastAsia="宋体" w:cs="宋体"/>
          <w:color w:val="auto"/>
          <w:spacing w:val="-9"/>
          <w:sz w:val="22"/>
          <w:szCs w:val="22"/>
          <w:highlight w:val="none"/>
        </w:rPr>
        <w:t>门批准：</w:t>
      </w:r>
    </w:p>
    <w:p w14:paraId="64F4A6CE">
      <w:pPr>
        <w:spacing w:line="219" w:lineRule="auto"/>
        <w:ind w:left="45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（1）审核分包本工程的某非主体部分；</w:t>
      </w:r>
    </w:p>
    <w:p w14:paraId="4110F1C6">
      <w:pPr>
        <w:spacing w:before="166" w:line="359" w:lineRule="auto"/>
        <w:ind w:left="8" w:right="278" w:firstLine="447"/>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（2）核对施工队伍、人员和设备的进场情况是否与承包人投标文</w:t>
      </w:r>
      <w:r>
        <w:rPr>
          <w:rFonts w:ascii="宋体" w:hAnsi="宋体" w:eastAsia="宋体" w:cs="宋体"/>
          <w:color w:val="auto"/>
          <w:spacing w:val="3"/>
          <w:sz w:val="22"/>
          <w:szCs w:val="22"/>
          <w:highlight w:val="none"/>
        </w:rPr>
        <w:t>件承诺一致，发布开工</w:t>
      </w:r>
      <w:r>
        <w:rPr>
          <w:rFonts w:ascii="宋体" w:hAnsi="宋体" w:eastAsia="宋体" w:cs="宋体"/>
          <w:color w:val="auto"/>
          <w:spacing w:val="-1"/>
          <w:sz w:val="22"/>
          <w:szCs w:val="22"/>
          <w:highlight w:val="none"/>
        </w:rPr>
        <w:t>令、暂时停工或复工令；</w:t>
      </w:r>
    </w:p>
    <w:p w14:paraId="2EF0E92C">
      <w:pPr>
        <w:spacing w:line="220" w:lineRule="auto"/>
        <w:ind w:left="45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（3）决定承包人有权得到的工程延期；</w:t>
      </w:r>
    </w:p>
    <w:p w14:paraId="2A33E5F7">
      <w:pPr>
        <w:spacing w:before="165" w:line="220" w:lineRule="auto"/>
        <w:ind w:left="45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（4）审查批准技术规范(规格)或设计的变更；</w:t>
      </w:r>
    </w:p>
    <w:p w14:paraId="11897E7F">
      <w:pPr>
        <w:spacing w:before="165" w:line="219" w:lineRule="auto"/>
        <w:ind w:left="455"/>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（5）下达变更指令；</w:t>
      </w:r>
    </w:p>
    <w:p w14:paraId="3EADDACA">
      <w:pPr>
        <w:spacing w:before="167" w:line="219" w:lineRule="auto"/>
        <w:ind w:left="45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（6）对新增施工细目的单价进行估价；</w:t>
      </w:r>
    </w:p>
    <w:p w14:paraId="4CE43816">
      <w:pPr>
        <w:spacing w:before="167" w:line="220" w:lineRule="auto"/>
        <w:ind w:left="455"/>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（7）审核有关暂列金额的使用；</w:t>
      </w:r>
    </w:p>
    <w:p w14:paraId="648D456F">
      <w:pPr>
        <w:spacing w:before="165" w:line="355" w:lineRule="auto"/>
        <w:ind w:left="5" w:right="145" w:firstLine="441"/>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但如果发生紧急情况，监理人认为将造成人员伤亡，或危及本工程或邻近的财产需立即采</w:t>
      </w:r>
      <w:r>
        <w:rPr>
          <w:rFonts w:ascii="宋体" w:hAnsi="宋体" w:eastAsia="宋体" w:cs="宋体"/>
          <w:color w:val="auto"/>
          <w:spacing w:val="-1"/>
          <w:sz w:val="22"/>
          <w:szCs w:val="22"/>
          <w:highlight w:val="none"/>
        </w:rPr>
        <w:t>取行动，监理人有权在未征得委托人的批准的情况下向承包人发布处理紧急情况所必需的指令。</w:t>
      </w:r>
      <w:r>
        <w:rPr>
          <w:rFonts w:ascii="宋体" w:hAnsi="宋体" w:eastAsia="宋体" w:cs="宋体"/>
          <w:color w:val="auto"/>
          <w:sz w:val="22"/>
          <w:szCs w:val="22"/>
          <w:highlight w:val="none"/>
        </w:rPr>
        <w:t>但监理人随后应及时向委托人报告情况，并与委托人协商进一</w:t>
      </w:r>
      <w:r>
        <w:rPr>
          <w:rFonts w:ascii="宋体" w:hAnsi="宋体" w:eastAsia="宋体" w:cs="宋体"/>
          <w:color w:val="auto"/>
          <w:spacing w:val="-1"/>
          <w:sz w:val="22"/>
          <w:szCs w:val="22"/>
          <w:highlight w:val="none"/>
        </w:rPr>
        <w:t>步应采取的措施。</w:t>
      </w:r>
    </w:p>
    <w:p w14:paraId="3D1E9121">
      <w:pPr>
        <w:spacing w:line="226" w:lineRule="auto"/>
        <w:ind w:left="450"/>
        <w:rPr>
          <w:rFonts w:ascii="宋体" w:hAnsi="宋体" w:eastAsia="宋体" w:cs="宋体"/>
          <w:color w:val="auto"/>
          <w:sz w:val="10"/>
          <w:szCs w:val="10"/>
          <w:highlight w:val="none"/>
        </w:rPr>
      </w:pPr>
      <w:r>
        <w:rPr>
          <w:rFonts w:ascii="宋体" w:hAnsi="宋体" w:eastAsia="宋体" w:cs="宋体"/>
          <w:color w:val="auto"/>
          <w:spacing w:val="-3"/>
          <w:sz w:val="22"/>
          <w:szCs w:val="22"/>
          <w:highlight w:val="none"/>
        </w:rPr>
        <w:t>增加第</w:t>
      </w:r>
      <w:r>
        <w:rPr>
          <w:rFonts w:ascii="宋体" w:hAnsi="宋体" w:eastAsia="宋体" w:cs="宋体"/>
          <w:color w:val="auto"/>
          <w:spacing w:val="-35"/>
          <w:sz w:val="22"/>
          <w:szCs w:val="22"/>
          <w:highlight w:val="none"/>
        </w:rPr>
        <w:t xml:space="preserve"> </w:t>
      </w:r>
      <w:r>
        <w:rPr>
          <w:rFonts w:ascii="宋体" w:hAnsi="宋体" w:eastAsia="宋体" w:cs="宋体"/>
          <w:color w:val="auto"/>
          <w:spacing w:val="-3"/>
          <w:sz w:val="22"/>
          <w:szCs w:val="22"/>
          <w:highlight w:val="none"/>
        </w:rPr>
        <w:t>5.8</w:t>
      </w:r>
      <w:r>
        <w:rPr>
          <w:rFonts w:ascii="宋体" w:hAnsi="宋体" w:eastAsia="宋体" w:cs="宋体"/>
          <w:color w:val="auto"/>
          <w:spacing w:val="-45"/>
          <w:sz w:val="22"/>
          <w:szCs w:val="22"/>
          <w:highlight w:val="none"/>
        </w:rPr>
        <w:t xml:space="preserve"> </w:t>
      </w:r>
      <w:r>
        <w:rPr>
          <w:rFonts w:ascii="宋体" w:hAnsi="宋体" w:eastAsia="宋体" w:cs="宋体"/>
          <w:color w:val="auto"/>
          <w:spacing w:val="-3"/>
          <w:sz w:val="22"/>
          <w:szCs w:val="22"/>
          <w:highlight w:val="none"/>
        </w:rPr>
        <w:t>项-5.</w:t>
      </w:r>
      <w:r>
        <w:rPr>
          <w:rFonts w:hint="eastAsia" w:ascii="宋体" w:hAnsi="宋体" w:eastAsia="宋体" w:cs="宋体"/>
          <w:color w:val="auto"/>
          <w:spacing w:val="-3"/>
          <w:sz w:val="22"/>
          <w:szCs w:val="22"/>
          <w:highlight w:val="none"/>
          <w:lang w:val="en-US" w:eastAsia="zh-CN"/>
        </w:rPr>
        <w:t>9</w:t>
      </w:r>
      <w:r>
        <w:rPr>
          <w:rFonts w:ascii="宋体" w:hAnsi="宋体" w:eastAsia="宋体" w:cs="宋体"/>
          <w:color w:val="auto"/>
          <w:spacing w:val="-46"/>
          <w:sz w:val="22"/>
          <w:szCs w:val="22"/>
          <w:highlight w:val="none"/>
        </w:rPr>
        <w:t xml:space="preserve"> </w:t>
      </w:r>
      <w:r>
        <w:rPr>
          <w:rFonts w:ascii="宋体" w:hAnsi="宋体" w:eastAsia="宋体" w:cs="宋体"/>
          <w:color w:val="auto"/>
          <w:spacing w:val="-3"/>
          <w:sz w:val="22"/>
          <w:szCs w:val="22"/>
          <w:highlight w:val="none"/>
        </w:rPr>
        <w:t>款</w:t>
      </w:r>
    </w:p>
    <w:p w14:paraId="2325F559">
      <w:pPr>
        <w:spacing w:before="1" w:line="221" w:lineRule="auto"/>
        <w:ind w:left="45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5.</w:t>
      </w:r>
      <w:r>
        <w:rPr>
          <w:rFonts w:hint="eastAsia" w:ascii="宋体" w:hAnsi="宋体" w:eastAsia="宋体" w:cs="宋体"/>
          <w:color w:val="auto"/>
          <w:spacing w:val="-2"/>
          <w:sz w:val="22"/>
          <w:szCs w:val="22"/>
          <w:highlight w:val="none"/>
          <w:lang w:val="en-US" w:eastAsia="zh-CN"/>
        </w:rPr>
        <w:t>8</w:t>
      </w:r>
      <w:r>
        <w:rPr>
          <w:rFonts w:ascii="宋体" w:hAnsi="宋体" w:eastAsia="宋体" w:cs="宋体"/>
          <w:color w:val="auto"/>
          <w:spacing w:val="-2"/>
          <w:sz w:val="22"/>
          <w:szCs w:val="22"/>
          <w:highlight w:val="none"/>
        </w:rPr>
        <w:t xml:space="preserve"> 平安工地建设要求</w:t>
      </w:r>
    </w:p>
    <w:p w14:paraId="70133768">
      <w:pPr>
        <w:spacing w:before="164" w:line="359" w:lineRule="auto"/>
        <w:ind w:left="14" w:firstLine="436"/>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本项目执行广东省交通运输厅“关于开展公路水运工程‘平安工地</w:t>
      </w:r>
      <w:r>
        <w:rPr>
          <w:rFonts w:ascii="宋体" w:hAnsi="宋体" w:eastAsia="宋体" w:cs="宋体"/>
          <w:color w:val="auto"/>
          <w:spacing w:val="-79"/>
          <w:sz w:val="22"/>
          <w:szCs w:val="22"/>
          <w:highlight w:val="none"/>
        </w:rPr>
        <w:t xml:space="preserve"> </w:t>
      </w:r>
      <w:r>
        <w:rPr>
          <w:rFonts w:ascii="宋体" w:hAnsi="宋体" w:eastAsia="宋体" w:cs="宋体"/>
          <w:color w:val="auto"/>
          <w:spacing w:val="1"/>
          <w:sz w:val="22"/>
          <w:szCs w:val="22"/>
          <w:highlight w:val="none"/>
        </w:rPr>
        <w:t>’考核评价工作的通知</w:t>
      </w:r>
      <w:r>
        <w:rPr>
          <w:rFonts w:ascii="宋体" w:hAnsi="宋体" w:eastAsia="宋体" w:cs="宋体"/>
          <w:color w:val="auto"/>
          <w:spacing w:val="-81"/>
          <w:sz w:val="22"/>
          <w:szCs w:val="22"/>
          <w:highlight w:val="none"/>
        </w:rPr>
        <w:t xml:space="preserve"> </w:t>
      </w:r>
      <w:r>
        <w:rPr>
          <w:rFonts w:ascii="宋体" w:hAnsi="宋体" w:eastAsia="宋体" w:cs="宋体"/>
          <w:color w:val="auto"/>
          <w:spacing w:val="1"/>
          <w:sz w:val="22"/>
          <w:szCs w:val="22"/>
          <w:highlight w:val="none"/>
        </w:rPr>
        <w:t>”</w:t>
      </w:r>
      <w:r>
        <w:rPr>
          <w:rFonts w:ascii="宋体" w:hAnsi="宋体" w:eastAsia="宋体" w:cs="宋体"/>
          <w:color w:val="auto"/>
          <w:sz w:val="22"/>
          <w:szCs w:val="22"/>
          <w:highlight w:val="none"/>
        </w:rPr>
        <w:t xml:space="preserve"> </w:t>
      </w:r>
      <w:r>
        <w:rPr>
          <w:rFonts w:ascii="宋体" w:hAnsi="宋体" w:eastAsia="宋体" w:cs="宋体"/>
          <w:color w:val="auto"/>
          <w:spacing w:val="-1"/>
          <w:sz w:val="22"/>
          <w:szCs w:val="22"/>
          <w:highlight w:val="none"/>
        </w:rPr>
        <w:t>（交质监发〔2012〕679 号）等文件有关施工监理的要求。</w:t>
      </w:r>
    </w:p>
    <w:p w14:paraId="270692A2">
      <w:pPr>
        <w:spacing w:before="164" w:line="359" w:lineRule="auto"/>
        <w:ind w:left="14" w:firstLine="436"/>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5.</w:t>
      </w:r>
      <w:r>
        <w:rPr>
          <w:rFonts w:hint="eastAsia" w:ascii="宋体" w:hAnsi="宋体" w:eastAsia="宋体" w:cs="宋体"/>
          <w:color w:val="auto"/>
          <w:spacing w:val="-3"/>
          <w:sz w:val="22"/>
          <w:szCs w:val="22"/>
          <w:highlight w:val="none"/>
          <w:lang w:val="en-US" w:eastAsia="zh-CN"/>
        </w:rPr>
        <w:t xml:space="preserve">9 </w:t>
      </w:r>
      <w:r>
        <w:rPr>
          <w:rFonts w:ascii="宋体" w:hAnsi="宋体" w:eastAsia="宋体" w:cs="宋体"/>
          <w:color w:val="auto"/>
          <w:sz w:val="22"/>
          <w:szCs w:val="22"/>
          <w:highlight w:val="none"/>
        </w:rPr>
        <w:t>本项目严格</w:t>
      </w:r>
      <w:r>
        <w:rPr>
          <w:rFonts w:hint="eastAsia" w:ascii="宋体" w:hAnsi="宋体" w:eastAsia="宋体" w:cs="宋体"/>
          <w:color w:val="auto"/>
          <w:sz w:val="22"/>
          <w:szCs w:val="22"/>
          <w:highlight w:val="none"/>
          <w:lang w:eastAsia="zh-CN"/>
        </w:rPr>
        <w:t>执行</w:t>
      </w:r>
      <w:r>
        <w:rPr>
          <w:rFonts w:ascii="宋体" w:hAnsi="宋体" w:eastAsia="宋体" w:cs="宋体"/>
          <w:color w:val="auto"/>
          <w:sz w:val="22"/>
          <w:szCs w:val="22"/>
          <w:highlight w:val="none"/>
        </w:rPr>
        <w:t>广东省交通运输厅印发《广东省公路工程施工标</w:t>
      </w:r>
      <w:r>
        <w:rPr>
          <w:rFonts w:ascii="宋体" w:hAnsi="宋体" w:eastAsia="宋体" w:cs="宋体"/>
          <w:color w:val="auto"/>
          <w:spacing w:val="-1"/>
          <w:sz w:val="22"/>
          <w:szCs w:val="22"/>
          <w:highlight w:val="none"/>
        </w:rPr>
        <w:t>准化指南》（粤交基</w:t>
      </w:r>
      <w:r>
        <w:rPr>
          <w:rFonts w:ascii="宋体" w:hAnsi="宋体" w:eastAsia="宋体" w:cs="宋体"/>
          <w:color w:val="auto"/>
          <w:spacing w:val="-3"/>
          <w:sz w:val="22"/>
          <w:szCs w:val="22"/>
          <w:highlight w:val="none"/>
        </w:rPr>
        <w:t>[</w:t>
      </w:r>
      <w:r>
        <w:rPr>
          <w:color w:val="auto"/>
          <w:highlight w:val="none"/>
        </w:rPr>
        <w:fldChar w:fldCharType="begin"/>
      </w:r>
      <w:r>
        <w:rPr>
          <w:color w:val="auto"/>
          <w:highlight w:val="none"/>
        </w:rPr>
        <w:instrText xml:space="preserve"> HYPERLINK \l "bookmark179" </w:instrText>
      </w:r>
      <w:r>
        <w:rPr>
          <w:color w:val="auto"/>
          <w:highlight w:val="none"/>
        </w:rPr>
        <w:fldChar w:fldCharType="separate"/>
      </w:r>
      <w:r>
        <w:rPr>
          <w:rFonts w:ascii="宋体" w:hAnsi="宋体" w:eastAsia="宋体" w:cs="宋体"/>
          <w:color w:val="auto"/>
          <w:spacing w:val="-3"/>
          <w:sz w:val="22"/>
          <w:szCs w:val="22"/>
          <w:highlight w:val="none"/>
        </w:rPr>
        <w:t>2021</w:t>
      </w:r>
      <w:r>
        <w:rPr>
          <w:rFonts w:ascii="宋体" w:hAnsi="宋体" w:eastAsia="宋体" w:cs="宋体"/>
          <w:color w:val="auto"/>
          <w:spacing w:val="-3"/>
          <w:sz w:val="22"/>
          <w:szCs w:val="22"/>
          <w:highlight w:val="none"/>
        </w:rPr>
        <w:fldChar w:fldCharType="end"/>
      </w:r>
      <w:r>
        <w:rPr>
          <w:rFonts w:ascii="宋体" w:hAnsi="宋体" w:eastAsia="宋体" w:cs="宋体"/>
          <w:color w:val="auto"/>
          <w:spacing w:val="-3"/>
          <w:sz w:val="22"/>
          <w:szCs w:val="22"/>
          <w:highlight w:val="none"/>
        </w:rPr>
        <w:t>]239号</w:t>
      </w:r>
      <w:r>
        <w:rPr>
          <w:rFonts w:ascii="宋体" w:hAnsi="宋体" w:eastAsia="宋体" w:cs="宋体"/>
          <w:color w:val="auto"/>
          <w:spacing w:val="12"/>
          <w:sz w:val="22"/>
          <w:szCs w:val="22"/>
          <w:highlight w:val="none"/>
        </w:rPr>
        <w:t>），</w:t>
      </w:r>
      <w:r>
        <w:rPr>
          <w:rFonts w:ascii="宋体" w:hAnsi="宋体" w:eastAsia="宋体" w:cs="宋体"/>
          <w:color w:val="auto"/>
          <w:spacing w:val="-3"/>
          <w:sz w:val="22"/>
          <w:szCs w:val="22"/>
          <w:highlight w:val="none"/>
        </w:rPr>
        <w:t>投标人应无条件支持配合。</w:t>
      </w:r>
    </w:p>
    <w:p w14:paraId="2DA601E8">
      <w:pPr>
        <w:bidi w:val="0"/>
        <w:rPr>
          <w:color w:val="auto"/>
          <w:highlight w:val="none"/>
        </w:rPr>
      </w:pPr>
    </w:p>
    <w:p w14:paraId="5CDB20E6">
      <w:pPr>
        <w:pStyle w:val="5"/>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6.</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开始监理和完成监理</w:t>
      </w:r>
    </w:p>
    <w:p w14:paraId="026AFA24">
      <w:pPr>
        <w:spacing w:before="290" w:line="221" w:lineRule="auto"/>
        <w:ind w:left="3"/>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6.1</w:t>
      </w:r>
      <w:r>
        <w:rPr>
          <w:rFonts w:ascii="宋体" w:hAnsi="宋体" w:eastAsia="宋体" w:cs="宋体"/>
          <w:color w:val="auto"/>
          <w:spacing w:val="12"/>
          <w:sz w:val="24"/>
          <w:szCs w:val="24"/>
          <w:highlight w:val="none"/>
        </w:rPr>
        <w:t xml:space="preserve"> </w:t>
      </w:r>
      <w:r>
        <w:rPr>
          <w:rFonts w:ascii="宋体" w:hAnsi="宋体" w:eastAsia="宋体" w:cs="宋体"/>
          <w:b/>
          <w:bCs/>
          <w:color w:val="auto"/>
          <w:spacing w:val="-5"/>
          <w:sz w:val="24"/>
          <w:szCs w:val="24"/>
          <w:highlight w:val="none"/>
        </w:rPr>
        <w:t>开始监理</w:t>
      </w:r>
    </w:p>
    <w:p w14:paraId="268D1230">
      <w:pPr>
        <w:spacing w:before="179" w:line="219" w:lineRule="auto"/>
        <w:jc w:val="center"/>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6.1.1 满足以下条件时，监理人应开始监理工作：</w:t>
      </w:r>
      <w:r>
        <w:rPr>
          <w:rFonts w:ascii="宋体" w:hAnsi="宋体" w:eastAsia="宋体" w:cs="宋体"/>
          <w:color w:val="auto"/>
          <w:spacing w:val="-1"/>
          <w:sz w:val="22"/>
          <w:szCs w:val="22"/>
          <w:highlight w:val="none"/>
          <w:u w:val="single" w:color="auto"/>
        </w:rPr>
        <w:t>以委托人发出开始监理的书面通知为准</w:t>
      </w:r>
      <w:r>
        <w:rPr>
          <w:rFonts w:ascii="宋体" w:hAnsi="宋体" w:eastAsia="宋体" w:cs="宋体"/>
          <w:color w:val="auto"/>
          <w:spacing w:val="-1"/>
          <w:sz w:val="22"/>
          <w:szCs w:val="22"/>
          <w:highlight w:val="none"/>
        </w:rPr>
        <w:t>。</w:t>
      </w:r>
    </w:p>
    <w:p w14:paraId="198C158B">
      <w:pPr>
        <w:spacing w:line="328" w:lineRule="auto"/>
        <w:rPr>
          <w:rFonts w:ascii="Arial"/>
          <w:color w:val="auto"/>
          <w:sz w:val="21"/>
          <w:highlight w:val="none"/>
        </w:rPr>
      </w:pPr>
    </w:p>
    <w:p w14:paraId="60CA534C">
      <w:pPr>
        <w:spacing w:before="78" w:line="220" w:lineRule="auto"/>
        <w:ind w:left="3"/>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6.2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监理周期延误</w:t>
      </w:r>
    </w:p>
    <w:p w14:paraId="1EF9B8A3">
      <w:pPr>
        <w:spacing w:before="164" w:line="359" w:lineRule="auto"/>
        <w:ind w:left="14" w:firstLine="436"/>
        <w:rPr>
          <w:rFonts w:ascii="宋体" w:hAnsi="宋体" w:eastAsia="宋体" w:cs="宋体"/>
          <w:color w:val="auto"/>
          <w:sz w:val="22"/>
          <w:szCs w:val="22"/>
          <w:highlight w:val="none"/>
        </w:rPr>
      </w:pPr>
      <w:r>
        <w:rPr>
          <w:rFonts w:ascii="宋体" w:hAnsi="宋体" w:eastAsia="宋体" w:cs="宋体"/>
          <w:color w:val="auto"/>
          <w:sz w:val="22"/>
          <w:szCs w:val="22"/>
          <w:highlight w:val="none"/>
        </w:rPr>
        <w:t>由于非监理人责任造成监理服务期限延误的，延长监理服务期限的计算方法：根据具体的延误原因由发包人与监理人协商确定延长的服务期限；增加监理服务费用的计算方法如下：</w:t>
      </w:r>
    </w:p>
    <w:p w14:paraId="7330BCA1">
      <w:pPr>
        <w:spacing w:before="164" w:line="359" w:lineRule="auto"/>
        <w:ind w:left="14" w:firstLine="436"/>
        <w:rPr>
          <w:rFonts w:ascii="宋体" w:hAnsi="宋体" w:eastAsia="宋体" w:cs="宋体"/>
          <w:color w:val="auto"/>
          <w:sz w:val="22"/>
          <w:szCs w:val="22"/>
          <w:highlight w:val="none"/>
        </w:rPr>
      </w:pPr>
      <w:r>
        <w:rPr>
          <w:rFonts w:ascii="宋体" w:hAnsi="宋体" w:eastAsia="宋体" w:cs="宋体"/>
          <w:color w:val="auto"/>
          <w:sz w:val="22"/>
          <w:szCs w:val="22"/>
          <w:highlight w:val="none"/>
        </w:rPr>
        <w:t>（1）工程延期超过 3 个月以上时，委托人将按照合同工程量清单施工期中监理人员服务费、监理办公设施费、监理交通设施费、试验检测实施费、监理生活设施费施工期的报价，按实（扣除3 个月后）增加上述费用，其他费用不予增加。</w:t>
      </w:r>
    </w:p>
    <w:p w14:paraId="6645FECD">
      <w:pPr>
        <w:spacing w:before="164" w:line="359" w:lineRule="auto"/>
        <w:ind w:left="14" w:firstLine="436"/>
        <w:rPr>
          <w:rFonts w:ascii="宋体" w:hAnsi="宋体" w:eastAsia="宋体" w:cs="宋体"/>
          <w:color w:val="auto"/>
          <w:sz w:val="22"/>
          <w:szCs w:val="22"/>
          <w:highlight w:val="none"/>
        </w:rPr>
      </w:pPr>
      <w:r>
        <w:rPr>
          <w:rFonts w:ascii="宋体" w:hAnsi="宋体" w:eastAsia="宋体" w:cs="宋体"/>
          <w:color w:val="auto"/>
          <w:sz w:val="22"/>
          <w:szCs w:val="22"/>
          <w:highlight w:val="none"/>
        </w:rPr>
        <w:t>（2）工程缩短超过 3 个月以上时，委托人将按照合同工程量清单施工期中监理人员服务费、监理办公设施费、监理交通设施费、试验检测实施费、监理生活设施费施工期的报价，按实（扣除3 个月后）减少上述费用，其他费用不予减少。</w:t>
      </w:r>
    </w:p>
    <w:p w14:paraId="2491E975">
      <w:pPr>
        <w:spacing w:before="164" w:line="359" w:lineRule="auto"/>
        <w:ind w:left="14" w:firstLine="436"/>
        <w:rPr>
          <w:rFonts w:ascii="宋体" w:hAnsi="宋体" w:eastAsia="宋体" w:cs="宋体"/>
          <w:color w:val="auto"/>
          <w:sz w:val="22"/>
          <w:szCs w:val="22"/>
          <w:highlight w:val="none"/>
        </w:rPr>
      </w:pPr>
      <w:r>
        <w:rPr>
          <w:rFonts w:ascii="宋体" w:hAnsi="宋体" w:eastAsia="宋体" w:cs="宋体"/>
          <w:color w:val="auto"/>
          <w:sz w:val="22"/>
          <w:szCs w:val="22"/>
          <w:highlight w:val="none"/>
        </w:rPr>
        <w:t>（3）若因监理人的原因致使监理服务时间延长，延长时间增加费用由监理人承担，若影响工期的并按 11.1.3 款进行违约处理。</w:t>
      </w:r>
    </w:p>
    <w:p w14:paraId="00A64E3C">
      <w:pPr>
        <w:bidi w:val="0"/>
        <w:rPr>
          <w:color w:val="auto"/>
          <w:highlight w:val="none"/>
        </w:rPr>
      </w:pPr>
    </w:p>
    <w:p w14:paraId="4B00C7F8">
      <w:pPr>
        <w:pStyle w:val="5"/>
        <w:bidi w:val="0"/>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8.</w:t>
      </w:r>
      <w:r>
        <w:rPr>
          <w:rFonts w:ascii="宋体" w:hAnsi="宋体" w:eastAsia="宋体" w:cs="宋体"/>
          <w:color w:val="auto"/>
          <w:spacing w:val="14"/>
          <w:sz w:val="24"/>
          <w:szCs w:val="24"/>
          <w:highlight w:val="none"/>
        </w:rPr>
        <w:t xml:space="preserve"> </w:t>
      </w:r>
      <w:r>
        <w:rPr>
          <w:rFonts w:ascii="宋体" w:hAnsi="宋体" w:eastAsia="宋体" w:cs="宋体"/>
          <w:b/>
          <w:bCs/>
          <w:color w:val="auto"/>
          <w:spacing w:val="-6"/>
          <w:sz w:val="24"/>
          <w:szCs w:val="24"/>
          <w:highlight w:val="none"/>
        </w:rPr>
        <w:t>合同变更</w:t>
      </w:r>
    </w:p>
    <w:p w14:paraId="70F3056D">
      <w:pPr>
        <w:spacing w:before="289" w:line="220" w:lineRule="auto"/>
        <w:ind w:left="2"/>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8.1</w:t>
      </w:r>
      <w:r>
        <w:rPr>
          <w:rFonts w:ascii="宋体" w:hAnsi="宋体" w:eastAsia="宋体" w:cs="宋体"/>
          <w:color w:val="auto"/>
          <w:spacing w:val="13"/>
          <w:sz w:val="24"/>
          <w:szCs w:val="24"/>
          <w:highlight w:val="none"/>
        </w:rPr>
        <w:t xml:space="preserve"> </w:t>
      </w:r>
      <w:r>
        <w:rPr>
          <w:rFonts w:ascii="宋体" w:hAnsi="宋体" w:eastAsia="宋体" w:cs="宋体"/>
          <w:b/>
          <w:bCs/>
          <w:color w:val="auto"/>
          <w:spacing w:val="-5"/>
          <w:sz w:val="24"/>
          <w:szCs w:val="24"/>
          <w:highlight w:val="none"/>
        </w:rPr>
        <w:t>变更情形</w:t>
      </w:r>
    </w:p>
    <w:p w14:paraId="1FB99625">
      <w:pPr>
        <w:spacing w:before="180" w:line="360" w:lineRule="auto"/>
        <w:ind w:left="1" w:right="19" w:firstLine="441"/>
        <w:rPr>
          <w:rFonts w:ascii="宋体" w:hAnsi="宋体" w:eastAsia="宋体" w:cs="宋体"/>
          <w:color w:val="auto"/>
          <w:sz w:val="22"/>
          <w:szCs w:val="22"/>
          <w:highlight w:val="none"/>
        </w:rPr>
      </w:pPr>
      <w:r>
        <w:rPr>
          <w:rFonts w:ascii="宋体" w:hAnsi="宋体" w:eastAsia="宋体" w:cs="宋体"/>
          <w:color w:val="auto"/>
          <w:sz w:val="22"/>
          <w:szCs w:val="22"/>
          <w:highlight w:val="none"/>
        </w:rPr>
        <w:t>8.1.1 合同变更时，监理服务期限的调整方法：</w:t>
      </w:r>
      <w:r>
        <w:rPr>
          <w:rFonts w:ascii="宋体" w:hAnsi="宋体" w:eastAsia="宋体" w:cs="宋体"/>
          <w:color w:val="auto"/>
          <w:sz w:val="22"/>
          <w:szCs w:val="22"/>
          <w:highlight w:val="none"/>
          <w:u w:val="single" w:color="auto"/>
        </w:rPr>
        <w:t>增加的监理服</w:t>
      </w:r>
      <w:r>
        <w:rPr>
          <w:rFonts w:ascii="宋体" w:hAnsi="宋体" w:eastAsia="宋体" w:cs="宋体"/>
          <w:color w:val="auto"/>
          <w:spacing w:val="-1"/>
          <w:sz w:val="22"/>
          <w:szCs w:val="22"/>
          <w:highlight w:val="none"/>
          <w:u w:val="single" w:color="auto"/>
        </w:rPr>
        <w:t>务期按6.2</w:t>
      </w:r>
      <w:r>
        <w:rPr>
          <w:rFonts w:ascii="宋体" w:hAnsi="宋体" w:eastAsia="宋体" w:cs="宋体"/>
          <w:color w:val="auto"/>
          <w:spacing w:val="-48"/>
          <w:sz w:val="22"/>
          <w:szCs w:val="22"/>
          <w:highlight w:val="none"/>
          <w:u w:val="single" w:color="auto"/>
        </w:rPr>
        <w:t xml:space="preserve"> </w:t>
      </w:r>
      <w:r>
        <w:rPr>
          <w:rFonts w:ascii="宋体" w:hAnsi="宋体" w:eastAsia="宋体" w:cs="宋体"/>
          <w:color w:val="auto"/>
          <w:spacing w:val="-1"/>
          <w:sz w:val="22"/>
          <w:szCs w:val="22"/>
          <w:highlight w:val="none"/>
          <w:u w:val="single" w:color="auto"/>
        </w:rPr>
        <w:t>款约定进行计算</w:t>
      </w:r>
      <w:r>
        <w:rPr>
          <w:rFonts w:ascii="宋体" w:hAnsi="宋体" w:eastAsia="宋体" w:cs="宋体"/>
          <w:color w:val="auto"/>
          <w:spacing w:val="-1"/>
          <w:sz w:val="22"/>
          <w:szCs w:val="22"/>
          <w:highlight w:val="none"/>
        </w:rPr>
        <w:t>；</w:t>
      </w:r>
      <w:r>
        <w:rPr>
          <w:rFonts w:ascii="宋体" w:hAnsi="宋体" w:eastAsia="宋体" w:cs="宋体"/>
          <w:color w:val="auto"/>
          <w:spacing w:val="2"/>
          <w:sz w:val="22"/>
          <w:szCs w:val="22"/>
          <w:highlight w:val="none"/>
        </w:rPr>
        <w:t>监理服务费用的调整方法：</w:t>
      </w:r>
      <w:r>
        <w:rPr>
          <w:rFonts w:ascii="宋体" w:hAnsi="宋体" w:eastAsia="宋体" w:cs="宋体"/>
          <w:color w:val="auto"/>
          <w:spacing w:val="2"/>
          <w:sz w:val="22"/>
          <w:szCs w:val="22"/>
          <w:highlight w:val="none"/>
          <w:u w:val="single" w:color="auto"/>
        </w:rPr>
        <w:t>增加的监理服务期内的费用按6.2</w:t>
      </w:r>
      <w:r>
        <w:rPr>
          <w:rFonts w:ascii="宋体" w:hAnsi="宋体" w:eastAsia="宋体" w:cs="宋体"/>
          <w:color w:val="auto"/>
          <w:spacing w:val="-48"/>
          <w:sz w:val="22"/>
          <w:szCs w:val="22"/>
          <w:highlight w:val="none"/>
          <w:u w:val="single" w:color="auto"/>
        </w:rPr>
        <w:t xml:space="preserve"> </w:t>
      </w:r>
      <w:r>
        <w:rPr>
          <w:rFonts w:ascii="宋体" w:hAnsi="宋体" w:eastAsia="宋体" w:cs="宋体"/>
          <w:color w:val="auto"/>
          <w:spacing w:val="2"/>
          <w:sz w:val="22"/>
          <w:szCs w:val="22"/>
          <w:highlight w:val="none"/>
          <w:u w:val="single" w:color="auto"/>
        </w:rPr>
        <w:t>款约定进</w:t>
      </w:r>
      <w:r>
        <w:rPr>
          <w:rFonts w:ascii="宋体" w:hAnsi="宋体" w:eastAsia="宋体" w:cs="宋体"/>
          <w:color w:val="auto"/>
          <w:spacing w:val="1"/>
          <w:sz w:val="22"/>
          <w:szCs w:val="22"/>
          <w:highlight w:val="none"/>
          <w:u w:val="single" w:color="auto"/>
        </w:rPr>
        <w:t>行计算。</w:t>
      </w:r>
    </w:p>
    <w:p w14:paraId="68D826F6">
      <w:pPr>
        <w:spacing w:before="240" w:line="220" w:lineRule="auto"/>
        <w:ind w:left="2"/>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8.2.2</w:t>
      </w:r>
      <w:r>
        <w:rPr>
          <w:rFonts w:ascii="宋体" w:hAnsi="宋体" w:eastAsia="宋体" w:cs="宋体"/>
          <w:color w:val="auto"/>
          <w:spacing w:val="-47"/>
          <w:sz w:val="24"/>
          <w:szCs w:val="24"/>
          <w:highlight w:val="none"/>
        </w:rPr>
        <w:t xml:space="preserve"> </w:t>
      </w:r>
      <w:r>
        <w:rPr>
          <w:rFonts w:ascii="宋体" w:hAnsi="宋体" w:eastAsia="宋体" w:cs="宋体"/>
          <w:b/>
          <w:bCs/>
          <w:color w:val="auto"/>
          <w:spacing w:val="-4"/>
          <w:sz w:val="24"/>
          <w:szCs w:val="24"/>
          <w:highlight w:val="none"/>
        </w:rPr>
        <w:t>合理化建议</w:t>
      </w:r>
    </w:p>
    <w:p w14:paraId="58DB57B9">
      <w:pPr>
        <w:spacing w:before="176" w:line="361" w:lineRule="auto"/>
        <w:ind w:left="2" w:right="138" w:firstLine="44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8.2.2 监理人提出的合理化建议降低了工程投资、缩短了施工期限或者提高了工程</w:t>
      </w:r>
      <w:r>
        <w:rPr>
          <w:rFonts w:ascii="宋体" w:hAnsi="宋体" w:eastAsia="宋体" w:cs="宋体"/>
          <w:color w:val="auto"/>
          <w:sz w:val="22"/>
          <w:szCs w:val="22"/>
          <w:highlight w:val="none"/>
        </w:rPr>
        <w:t>经济效益的，委托人给予监理人如下奖励：</w:t>
      </w:r>
      <w:r>
        <w:rPr>
          <w:rFonts w:ascii="宋体" w:hAnsi="宋体" w:eastAsia="宋体" w:cs="宋体"/>
          <w:color w:val="auto"/>
          <w:sz w:val="22"/>
          <w:szCs w:val="22"/>
          <w:highlight w:val="none"/>
          <w:u w:val="single" w:color="auto"/>
        </w:rPr>
        <w:t xml:space="preserve">  </w:t>
      </w:r>
      <w:r>
        <w:rPr>
          <w:rFonts w:hint="eastAsia" w:ascii="宋体" w:hAnsi="宋体" w:eastAsia="宋体" w:cs="宋体"/>
          <w:color w:val="auto"/>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1"/>
          <w:sz w:val="22"/>
          <w:szCs w:val="22"/>
          <w:highlight w:val="none"/>
        </w:rPr>
        <w:t>。</w:t>
      </w:r>
    </w:p>
    <w:p w14:paraId="1CB15840">
      <w:pPr>
        <w:bidi w:val="0"/>
        <w:rPr>
          <w:color w:val="auto"/>
          <w:highlight w:val="none"/>
        </w:rPr>
      </w:pPr>
    </w:p>
    <w:p w14:paraId="1EF8A6F7">
      <w:pPr>
        <w:spacing w:before="78" w:line="219" w:lineRule="auto"/>
        <w:ind w:left="2"/>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增加</w:t>
      </w:r>
      <w:r>
        <w:rPr>
          <w:rFonts w:ascii="宋体" w:hAnsi="宋体" w:eastAsia="宋体" w:cs="宋体"/>
          <w:color w:val="auto"/>
          <w:spacing w:val="-35"/>
          <w:sz w:val="24"/>
          <w:szCs w:val="24"/>
          <w:highlight w:val="none"/>
        </w:rPr>
        <w:t xml:space="preserve"> </w:t>
      </w:r>
      <w:r>
        <w:rPr>
          <w:rFonts w:ascii="宋体" w:hAnsi="宋体" w:eastAsia="宋体" w:cs="宋体"/>
          <w:b/>
          <w:bCs/>
          <w:color w:val="auto"/>
          <w:spacing w:val="-5"/>
          <w:sz w:val="24"/>
          <w:szCs w:val="24"/>
          <w:highlight w:val="none"/>
        </w:rPr>
        <w:t>8.3</w:t>
      </w:r>
      <w:r>
        <w:rPr>
          <w:rFonts w:ascii="宋体" w:hAnsi="宋体" w:eastAsia="宋体" w:cs="宋体"/>
          <w:color w:val="auto"/>
          <w:spacing w:val="-50"/>
          <w:sz w:val="24"/>
          <w:szCs w:val="24"/>
          <w:highlight w:val="none"/>
        </w:rPr>
        <w:t xml:space="preserve"> </w:t>
      </w:r>
      <w:r>
        <w:rPr>
          <w:rFonts w:ascii="宋体" w:hAnsi="宋体" w:eastAsia="宋体" w:cs="宋体"/>
          <w:b/>
          <w:bCs/>
          <w:color w:val="auto"/>
          <w:spacing w:val="-5"/>
          <w:sz w:val="24"/>
          <w:szCs w:val="24"/>
          <w:highlight w:val="none"/>
        </w:rPr>
        <w:t>监理奖励和优监优酬</w:t>
      </w:r>
    </w:p>
    <w:p w14:paraId="3EBBF9B2">
      <w:pPr>
        <w:spacing w:line="219" w:lineRule="auto"/>
        <w:rPr>
          <w:rFonts w:ascii="宋体" w:hAnsi="宋体" w:eastAsia="宋体" w:cs="宋体"/>
          <w:color w:val="auto"/>
          <w:sz w:val="24"/>
          <w:szCs w:val="24"/>
          <w:highlight w:val="none"/>
        </w:rPr>
        <w:sectPr>
          <w:footerReference r:id="rId25" w:type="default"/>
          <w:pgSz w:w="11905" w:h="16838"/>
          <w:pgMar w:top="1134" w:right="1134" w:bottom="1134" w:left="1134" w:header="0" w:footer="1066" w:gutter="0"/>
          <w:pgNumType w:fmt="decimal"/>
          <w:cols w:space="0" w:num="1"/>
          <w:rtlGutter w:val="0"/>
          <w:docGrid w:linePitch="0" w:charSpace="0"/>
        </w:sectPr>
      </w:pPr>
    </w:p>
    <w:p w14:paraId="6C2CBA23">
      <w:pPr>
        <w:spacing w:before="78" w:line="219" w:lineRule="auto"/>
        <w:ind w:left="1"/>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8.3</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工程监理奖励和优监优酬</w:t>
      </w:r>
    </w:p>
    <w:p w14:paraId="39A38DB1">
      <w:pPr>
        <w:spacing w:before="177" w:line="220" w:lineRule="auto"/>
        <w:ind w:left="442"/>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8.3.</w:t>
      </w:r>
      <w:r>
        <w:rPr>
          <w:rFonts w:ascii="宋体" w:hAnsi="宋体" w:eastAsia="宋体" w:cs="宋体"/>
          <w:color w:val="auto"/>
          <w:spacing w:val="35"/>
          <w:sz w:val="22"/>
          <w:szCs w:val="22"/>
          <w:highlight w:val="none"/>
        </w:rPr>
        <w:t xml:space="preserve"> </w:t>
      </w:r>
      <w:r>
        <w:rPr>
          <w:rFonts w:ascii="宋体" w:hAnsi="宋体" w:eastAsia="宋体" w:cs="宋体"/>
          <w:color w:val="auto"/>
          <w:spacing w:val="-5"/>
          <w:sz w:val="22"/>
          <w:szCs w:val="22"/>
          <w:highlight w:val="none"/>
        </w:rPr>
        <w:t>1</w:t>
      </w:r>
      <w:r>
        <w:rPr>
          <w:rFonts w:ascii="宋体" w:hAnsi="宋体" w:eastAsia="宋体" w:cs="宋体"/>
          <w:color w:val="auto"/>
          <w:spacing w:val="-44"/>
          <w:sz w:val="22"/>
          <w:szCs w:val="22"/>
          <w:highlight w:val="none"/>
        </w:rPr>
        <w:t xml:space="preserve"> </w:t>
      </w:r>
      <w:r>
        <w:rPr>
          <w:rFonts w:ascii="宋体" w:hAnsi="宋体" w:eastAsia="宋体" w:cs="宋体"/>
          <w:color w:val="auto"/>
          <w:spacing w:val="-5"/>
          <w:sz w:val="22"/>
          <w:szCs w:val="22"/>
          <w:highlight w:val="none"/>
        </w:rPr>
        <w:t>工程监理奖励</w:t>
      </w:r>
    </w:p>
    <w:p w14:paraId="785217B4">
      <w:pPr>
        <w:spacing w:before="164" w:line="359" w:lineRule="auto"/>
        <w:ind w:right="2" w:firstLine="443"/>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工程监理奖励在“报价文件表</w:t>
      </w:r>
      <w:r>
        <w:rPr>
          <w:rFonts w:ascii="宋体" w:hAnsi="宋体" w:eastAsia="宋体" w:cs="宋体"/>
          <w:color w:val="auto"/>
          <w:spacing w:val="-23"/>
          <w:sz w:val="22"/>
          <w:szCs w:val="22"/>
          <w:highlight w:val="none"/>
        </w:rPr>
        <w:t xml:space="preserve"> </w:t>
      </w:r>
      <w:r>
        <w:rPr>
          <w:rFonts w:ascii="宋体" w:hAnsi="宋体" w:eastAsia="宋体" w:cs="宋体"/>
          <w:color w:val="auto"/>
          <w:spacing w:val="4"/>
          <w:sz w:val="22"/>
          <w:szCs w:val="22"/>
          <w:highlight w:val="none"/>
        </w:rPr>
        <w:t>1 监理服务费</w:t>
      </w:r>
      <w:r>
        <w:rPr>
          <w:rFonts w:ascii="宋体" w:hAnsi="宋体" w:eastAsia="宋体" w:cs="宋体"/>
          <w:color w:val="auto"/>
          <w:spacing w:val="3"/>
          <w:sz w:val="22"/>
          <w:szCs w:val="22"/>
          <w:highlight w:val="none"/>
        </w:rPr>
        <w:t>报价汇总表</w:t>
      </w:r>
      <w:r>
        <w:rPr>
          <w:rFonts w:ascii="宋体" w:hAnsi="宋体" w:eastAsia="宋体" w:cs="宋体"/>
          <w:color w:val="auto"/>
          <w:spacing w:val="-76"/>
          <w:sz w:val="22"/>
          <w:szCs w:val="22"/>
          <w:highlight w:val="none"/>
        </w:rPr>
        <w:t xml:space="preserve"> </w:t>
      </w:r>
      <w:r>
        <w:rPr>
          <w:rFonts w:ascii="宋体" w:hAnsi="宋体" w:eastAsia="宋体" w:cs="宋体"/>
          <w:color w:val="auto"/>
          <w:spacing w:val="3"/>
          <w:sz w:val="22"/>
          <w:szCs w:val="22"/>
          <w:highlight w:val="none"/>
        </w:rPr>
        <w:t>”中单列，该部分费用仅限于本</w:t>
      </w:r>
      <w:r>
        <w:rPr>
          <w:rFonts w:ascii="宋体" w:hAnsi="宋体" w:eastAsia="宋体" w:cs="宋体"/>
          <w:color w:val="auto"/>
          <w:spacing w:val="1"/>
          <w:sz w:val="22"/>
          <w:szCs w:val="22"/>
          <w:highlight w:val="none"/>
        </w:rPr>
        <w:t>合同段使用（或整个项目统筹使用，具体以评比方案为准</w:t>
      </w:r>
      <w:r>
        <w:rPr>
          <w:rFonts w:ascii="宋体" w:hAnsi="宋体" w:eastAsia="宋体" w:cs="宋体"/>
          <w:color w:val="auto"/>
          <w:spacing w:val="7"/>
          <w:sz w:val="22"/>
          <w:szCs w:val="22"/>
          <w:highlight w:val="none"/>
        </w:rPr>
        <w:t>），</w:t>
      </w:r>
      <w:r>
        <w:rPr>
          <w:rFonts w:ascii="宋体" w:hAnsi="宋体" w:eastAsia="宋体" w:cs="宋体"/>
          <w:color w:val="auto"/>
          <w:spacing w:val="1"/>
          <w:sz w:val="22"/>
          <w:szCs w:val="22"/>
          <w:highlight w:val="none"/>
        </w:rPr>
        <w:t>主要</w:t>
      </w:r>
      <w:r>
        <w:rPr>
          <w:rFonts w:ascii="宋体" w:hAnsi="宋体" w:eastAsia="宋体" w:cs="宋体"/>
          <w:color w:val="auto"/>
          <w:sz w:val="22"/>
          <w:szCs w:val="22"/>
          <w:highlight w:val="none"/>
        </w:rPr>
        <w:t>用于工程建设期间委托人对</w:t>
      </w:r>
      <w:r>
        <w:rPr>
          <w:rFonts w:ascii="宋体" w:hAnsi="宋体" w:eastAsia="宋体" w:cs="宋体"/>
          <w:color w:val="auto"/>
          <w:spacing w:val="1"/>
          <w:sz w:val="22"/>
          <w:szCs w:val="22"/>
          <w:highlight w:val="none"/>
        </w:rPr>
        <w:t>现场监理人员的奖励。监理人获得支付的额度取决于其所监理标段对应施工承包人完成进度的</w:t>
      </w:r>
      <w:r>
        <w:rPr>
          <w:rFonts w:ascii="宋体" w:hAnsi="宋体" w:eastAsia="宋体" w:cs="宋体"/>
          <w:color w:val="auto"/>
          <w:sz w:val="22"/>
          <w:szCs w:val="22"/>
          <w:highlight w:val="none"/>
        </w:rPr>
        <w:t>情况及在评比中的名次。有关评比方案委托人将在监理</w:t>
      </w:r>
      <w:r>
        <w:rPr>
          <w:rFonts w:ascii="宋体" w:hAnsi="宋体" w:eastAsia="宋体" w:cs="宋体"/>
          <w:color w:val="auto"/>
          <w:spacing w:val="-1"/>
          <w:sz w:val="22"/>
          <w:szCs w:val="22"/>
          <w:highlight w:val="none"/>
        </w:rPr>
        <w:t>人进场后予以制定。</w:t>
      </w:r>
    </w:p>
    <w:p w14:paraId="59A18328">
      <w:pPr>
        <w:spacing w:before="1" w:line="359" w:lineRule="auto"/>
        <w:ind w:left="1" w:firstLine="43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委托人对监理人的工程监理奖励，监理人除代扣缴法律法规规定的税金外，应全额落实到</w:t>
      </w:r>
      <w:r>
        <w:rPr>
          <w:rFonts w:ascii="宋体" w:hAnsi="宋体" w:eastAsia="宋体" w:cs="宋体"/>
          <w:color w:val="auto"/>
          <w:spacing w:val="-2"/>
          <w:sz w:val="22"/>
          <w:szCs w:val="22"/>
          <w:highlight w:val="none"/>
        </w:rPr>
        <w:t>现场监理人员中。</w:t>
      </w:r>
    </w:p>
    <w:p w14:paraId="26F7A25D">
      <w:pPr>
        <w:spacing w:before="1" w:line="218" w:lineRule="auto"/>
        <w:ind w:left="442"/>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8.3.2</w:t>
      </w:r>
      <w:r>
        <w:rPr>
          <w:rFonts w:ascii="宋体" w:hAnsi="宋体" w:eastAsia="宋体" w:cs="宋体"/>
          <w:color w:val="auto"/>
          <w:spacing w:val="-42"/>
          <w:sz w:val="22"/>
          <w:szCs w:val="22"/>
          <w:highlight w:val="none"/>
        </w:rPr>
        <w:t xml:space="preserve"> </w:t>
      </w:r>
      <w:r>
        <w:rPr>
          <w:rFonts w:ascii="宋体" w:hAnsi="宋体" w:eastAsia="宋体" w:cs="宋体"/>
          <w:color w:val="auto"/>
          <w:spacing w:val="-2"/>
          <w:sz w:val="22"/>
          <w:szCs w:val="22"/>
          <w:highlight w:val="none"/>
        </w:rPr>
        <w:t>优监优酬价款</w:t>
      </w:r>
    </w:p>
    <w:p w14:paraId="2652EA65">
      <w:pPr>
        <w:spacing w:before="164" w:line="360" w:lineRule="auto"/>
        <w:ind w:left="3" w:firstLine="438"/>
        <w:rPr>
          <w:rFonts w:ascii="宋体" w:hAnsi="宋体" w:eastAsia="宋体" w:cs="宋体"/>
          <w:color w:val="auto"/>
          <w:sz w:val="22"/>
          <w:szCs w:val="22"/>
          <w:highlight w:val="none"/>
        </w:rPr>
      </w:pPr>
      <w:r>
        <w:rPr>
          <w:rFonts w:ascii="宋体" w:hAnsi="宋体" w:eastAsia="宋体" w:cs="宋体"/>
          <w:color w:val="auto"/>
          <w:sz w:val="22"/>
          <w:szCs w:val="22"/>
          <w:highlight w:val="none"/>
        </w:rPr>
        <w:t>全面推行“双标管理</w:t>
      </w:r>
      <w:r>
        <w:rPr>
          <w:rFonts w:ascii="宋体" w:hAnsi="宋体" w:eastAsia="宋体" w:cs="宋体"/>
          <w:color w:val="auto"/>
          <w:spacing w:val="-81"/>
          <w:sz w:val="22"/>
          <w:szCs w:val="22"/>
          <w:highlight w:val="none"/>
        </w:rPr>
        <w:t xml:space="preserve"> </w:t>
      </w:r>
      <w:r>
        <w:rPr>
          <w:rFonts w:ascii="宋体" w:hAnsi="宋体" w:eastAsia="宋体" w:cs="宋体"/>
          <w:color w:val="auto"/>
          <w:sz w:val="22"/>
          <w:szCs w:val="22"/>
          <w:highlight w:val="none"/>
        </w:rPr>
        <w:t>”（标准化管理、标杆管理</w:t>
      </w:r>
      <w:r>
        <w:rPr>
          <w:rFonts w:ascii="宋体" w:hAnsi="宋体" w:eastAsia="宋体" w:cs="宋体"/>
          <w:color w:val="auto"/>
          <w:spacing w:val="8"/>
          <w:sz w:val="22"/>
          <w:szCs w:val="22"/>
          <w:highlight w:val="none"/>
        </w:rPr>
        <w:t>），</w:t>
      </w:r>
      <w:r>
        <w:rPr>
          <w:rFonts w:ascii="宋体" w:hAnsi="宋体" w:eastAsia="宋体" w:cs="宋体"/>
          <w:color w:val="auto"/>
          <w:sz w:val="22"/>
          <w:szCs w:val="22"/>
          <w:highlight w:val="none"/>
        </w:rPr>
        <w:t>建立工程施工监理优监优酬制度</w:t>
      </w:r>
      <w:r>
        <w:rPr>
          <w:rFonts w:ascii="宋体" w:hAnsi="宋体" w:eastAsia="宋体" w:cs="宋体"/>
          <w:color w:val="auto"/>
          <w:spacing w:val="-1"/>
          <w:sz w:val="22"/>
          <w:szCs w:val="22"/>
          <w:highlight w:val="none"/>
        </w:rPr>
        <w:t>，提</w:t>
      </w:r>
      <w:r>
        <w:rPr>
          <w:rFonts w:ascii="宋体" w:hAnsi="宋体" w:eastAsia="宋体" w:cs="宋体"/>
          <w:color w:val="auto"/>
          <w:spacing w:val="1"/>
          <w:sz w:val="22"/>
          <w:szCs w:val="22"/>
          <w:highlight w:val="none"/>
        </w:rPr>
        <w:t>高工程施工监理质量管理水平，本合同设立优监优酬价款，具体由委托人参照广东省交</w:t>
      </w:r>
      <w:r>
        <w:rPr>
          <w:rFonts w:ascii="宋体" w:hAnsi="宋体" w:eastAsia="宋体" w:cs="宋体"/>
          <w:color w:val="auto"/>
          <w:sz w:val="22"/>
          <w:szCs w:val="22"/>
          <w:highlight w:val="none"/>
        </w:rPr>
        <w:t>通运输</w:t>
      </w:r>
      <w:r>
        <w:rPr>
          <w:rFonts w:ascii="宋体" w:hAnsi="宋体" w:eastAsia="宋体" w:cs="宋体"/>
          <w:color w:val="auto"/>
          <w:spacing w:val="6"/>
          <w:sz w:val="22"/>
          <w:szCs w:val="22"/>
          <w:highlight w:val="none"/>
        </w:rPr>
        <w:t>厅《关于印发广东省高速公路工程优质优价和施工监理优监优酬实施意见的通知》（粤交基</w:t>
      </w:r>
      <w:r>
        <w:rPr>
          <w:rFonts w:ascii="宋体" w:hAnsi="宋体" w:eastAsia="宋体" w:cs="宋体"/>
          <w:color w:val="auto"/>
          <w:spacing w:val="-1"/>
          <w:sz w:val="22"/>
          <w:szCs w:val="22"/>
          <w:highlight w:val="none"/>
        </w:rPr>
        <w:t>〔2010〕1893</w:t>
      </w:r>
      <w:r>
        <w:rPr>
          <w:rFonts w:ascii="宋体" w:hAnsi="宋体" w:eastAsia="宋体" w:cs="宋体"/>
          <w:color w:val="auto"/>
          <w:spacing w:val="-36"/>
          <w:sz w:val="22"/>
          <w:szCs w:val="22"/>
          <w:highlight w:val="none"/>
        </w:rPr>
        <w:t xml:space="preserve"> </w:t>
      </w:r>
      <w:r>
        <w:rPr>
          <w:rFonts w:ascii="宋体" w:hAnsi="宋体" w:eastAsia="宋体" w:cs="宋体"/>
          <w:color w:val="auto"/>
          <w:spacing w:val="-1"/>
          <w:sz w:val="22"/>
          <w:szCs w:val="22"/>
          <w:highlight w:val="none"/>
        </w:rPr>
        <w:t>号）等文件的规定制订的本项目实施细则执行。</w:t>
      </w:r>
    </w:p>
    <w:p w14:paraId="2A991D8F">
      <w:pPr>
        <w:spacing w:before="1" w:line="359" w:lineRule="auto"/>
        <w:ind w:firstLine="439"/>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委托人将根据工程实际开展各项工程的质量评比和奖罚，项目（如项目采用分段管理，则按项目段计列）用于奖励的金额原则上不超过项目（或项目段）各监理合同段投标报价（中标</w:t>
      </w:r>
      <w:r>
        <w:rPr>
          <w:rFonts w:ascii="宋体" w:hAnsi="宋体" w:eastAsia="宋体" w:cs="宋体"/>
          <w:color w:val="auto"/>
          <w:spacing w:val="-1"/>
          <w:sz w:val="22"/>
          <w:szCs w:val="22"/>
          <w:highlight w:val="none"/>
        </w:rPr>
        <w:t>价）合计金额的</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102"/>
          <w:sz w:val="22"/>
          <w:szCs w:val="22"/>
          <w:highlight w:val="none"/>
        </w:rPr>
        <w:t xml:space="preserve"> </w:t>
      </w:r>
      <w:r>
        <w:rPr>
          <w:rFonts w:ascii="宋体" w:hAnsi="宋体" w:eastAsia="宋体" w:cs="宋体"/>
          <w:color w:val="auto"/>
          <w:spacing w:val="-1"/>
          <w:sz w:val="22"/>
          <w:szCs w:val="22"/>
          <w:highlight w:val="none"/>
        </w:rPr>
        <w:t>%（含税金）。</w:t>
      </w:r>
    </w:p>
    <w:p w14:paraId="2D84AA89">
      <w:pPr>
        <w:spacing w:line="325" w:lineRule="auto"/>
        <w:rPr>
          <w:rFonts w:ascii="Arial"/>
          <w:color w:val="auto"/>
          <w:sz w:val="21"/>
          <w:highlight w:val="none"/>
        </w:rPr>
      </w:pPr>
    </w:p>
    <w:p w14:paraId="4C8C56BD">
      <w:pPr>
        <w:pStyle w:val="5"/>
        <w:bidi w:val="0"/>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9.</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合同价格与支付</w:t>
      </w:r>
    </w:p>
    <w:p w14:paraId="22A7FE1E">
      <w:pPr>
        <w:spacing w:before="293" w:line="218" w:lineRule="auto"/>
        <w:ind w:left="1"/>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9.1</w:t>
      </w:r>
      <w:r>
        <w:rPr>
          <w:rFonts w:ascii="宋体" w:hAnsi="宋体" w:eastAsia="宋体" w:cs="宋体"/>
          <w:color w:val="auto"/>
          <w:spacing w:val="13"/>
          <w:sz w:val="24"/>
          <w:szCs w:val="24"/>
          <w:highlight w:val="none"/>
        </w:rPr>
        <w:t xml:space="preserve"> </w:t>
      </w:r>
      <w:r>
        <w:rPr>
          <w:rFonts w:ascii="宋体" w:hAnsi="宋体" w:eastAsia="宋体" w:cs="宋体"/>
          <w:b/>
          <w:bCs/>
          <w:color w:val="auto"/>
          <w:spacing w:val="-5"/>
          <w:sz w:val="24"/>
          <w:szCs w:val="24"/>
          <w:highlight w:val="none"/>
        </w:rPr>
        <w:t>合同价格</w:t>
      </w:r>
    </w:p>
    <w:p w14:paraId="74714939">
      <w:pPr>
        <w:spacing w:before="182" w:line="219" w:lineRule="auto"/>
        <w:ind w:left="44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9.1.1 本合同的价款确定方式：</w:t>
      </w:r>
      <w:r>
        <w:rPr>
          <w:rFonts w:ascii="宋体" w:hAnsi="宋体" w:eastAsia="宋体" w:cs="宋体"/>
          <w:color w:val="auto"/>
          <w:spacing w:val="-1"/>
          <w:sz w:val="22"/>
          <w:szCs w:val="22"/>
          <w:highlight w:val="none"/>
          <w:u w:val="single" w:color="auto"/>
        </w:rPr>
        <w:t xml:space="preserve">  总价</w:t>
      </w:r>
      <w:r>
        <w:rPr>
          <w:rFonts w:hint="eastAsia" w:ascii="宋体" w:hAnsi="宋体" w:eastAsia="宋体" w:cs="宋体"/>
          <w:color w:val="auto"/>
          <w:spacing w:val="-1"/>
          <w:sz w:val="22"/>
          <w:szCs w:val="22"/>
          <w:highlight w:val="none"/>
          <w:u w:val="single" w:color="auto"/>
          <w:lang w:val="en-US" w:eastAsia="zh-CN"/>
        </w:rPr>
        <w:t xml:space="preserve"> </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1"/>
          <w:sz w:val="22"/>
          <w:szCs w:val="22"/>
          <w:highlight w:val="none"/>
        </w:rPr>
        <w:t>。</w:t>
      </w:r>
    </w:p>
    <w:p w14:paraId="15904530">
      <w:pPr>
        <w:spacing w:before="166" w:line="360" w:lineRule="auto"/>
        <w:ind w:firstLine="44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在合同实施期间，由于人工、材料、设备等因素的市场价格变化导致本项目监理服务费用</w:t>
      </w:r>
      <w:r>
        <w:rPr>
          <w:rFonts w:ascii="宋体" w:hAnsi="宋体" w:eastAsia="宋体" w:cs="宋体"/>
          <w:color w:val="auto"/>
          <w:sz w:val="22"/>
          <w:szCs w:val="22"/>
          <w:highlight w:val="none"/>
        </w:rPr>
        <w:t>变化，合同价格的调整方式和风险范围划分：</w:t>
      </w:r>
      <w:r>
        <w:rPr>
          <w:rFonts w:ascii="宋体" w:hAnsi="宋体" w:eastAsia="宋体" w:cs="宋体"/>
          <w:color w:val="auto"/>
          <w:sz w:val="22"/>
          <w:szCs w:val="22"/>
          <w:highlight w:val="none"/>
          <w:u w:val="single" w:color="auto"/>
        </w:rPr>
        <w:t>监理服</w:t>
      </w:r>
      <w:r>
        <w:rPr>
          <w:rFonts w:ascii="宋体" w:hAnsi="宋体" w:eastAsia="宋体" w:cs="宋体"/>
          <w:color w:val="auto"/>
          <w:spacing w:val="-1"/>
          <w:sz w:val="22"/>
          <w:szCs w:val="22"/>
          <w:highlight w:val="none"/>
          <w:u w:val="single" w:color="auto"/>
        </w:rPr>
        <w:t>务费不进行调整</w:t>
      </w:r>
      <w:r>
        <w:rPr>
          <w:rFonts w:ascii="宋体" w:hAnsi="宋体" w:eastAsia="宋体" w:cs="宋体"/>
          <w:color w:val="auto"/>
          <w:spacing w:val="-1"/>
          <w:sz w:val="22"/>
          <w:szCs w:val="22"/>
          <w:highlight w:val="none"/>
        </w:rPr>
        <w:t>。</w:t>
      </w:r>
    </w:p>
    <w:p w14:paraId="535786B4">
      <w:pPr>
        <w:spacing w:before="243" w:line="219" w:lineRule="auto"/>
        <w:ind w:left="1"/>
        <w:rPr>
          <w:rFonts w:hint="eastAsia" w:ascii="宋体" w:hAnsi="宋体" w:eastAsia="宋体" w:cs="宋体"/>
          <w:b/>
          <w:bCs/>
          <w:color w:val="auto"/>
          <w:spacing w:val="-8"/>
          <w:sz w:val="24"/>
          <w:szCs w:val="24"/>
          <w:highlight w:val="none"/>
          <w:lang w:val="en-US" w:eastAsia="zh-CN"/>
        </w:rPr>
      </w:pPr>
      <w:r>
        <w:rPr>
          <w:rFonts w:ascii="宋体" w:hAnsi="宋体" w:eastAsia="宋体" w:cs="宋体"/>
          <w:b/>
          <w:bCs/>
          <w:color w:val="auto"/>
          <w:spacing w:val="-8"/>
          <w:sz w:val="24"/>
          <w:szCs w:val="24"/>
          <w:highlight w:val="none"/>
        </w:rPr>
        <w:t>9.</w:t>
      </w:r>
      <w:r>
        <w:rPr>
          <w:rFonts w:hint="eastAsia" w:ascii="宋体" w:hAnsi="宋体" w:eastAsia="宋体" w:cs="宋体"/>
          <w:b/>
          <w:bCs/>
          <w:color w:val="auto"/>
          <w:spacing w:val="-8"/>
          <w:sz w:val="24"/>
          <w:szCs w:val="24"/>
          <w:highlight w:val="none"/>
          <w:lang w:val="en-US" w:eastAsia="zh-CN"/>
        </w:rPr>
        <w:t>2</w:t>
      </w:r>
      <w:r>
        <w:rPr>
          <w:rFonts w:ascii="宋体" w:hAnsi="宋体" w:eastAsia="宋体" w:cs="宋体"/>
          <w:b/>
          <w:bCs/>
          <w:color w:val="auto"/>
          <w:spacing w:val="-8"/>
          <w:sz w:val="24"/>
          <w:szCs w:val="24"/>
          <w:highlight w:val="none"/>
        </w:rPr>
        <w:t xml:space="preserve"> </w:t>
      </w:r>
      <w:r>
        <w:rPr>
          <w:rFonts w:hint="eastAsia" w:ascii="宋体" w:hAnsi="宋体" w:eastAsia="宋体" w:cs="宋体"/>
          <w:b/>
          <w:bCs/>
          <w:color w:val="auto"/>
          <w:spacing w:val="-8"/>
          <w:sz w:val="24"/>
          <w:szCs w:val="24"/>
          <w:highlight w:val="none"/>
          <w:lang w:val="en-US" w:eastAsia="zh-CN"/>
        </w:rPr>
        <w:t>预付款</w:t>
      </w:r>
    </w:p>
    <w:p w14:paraId="1686DCCF">
      <w:pPr>
        <w:spacing w:before="166" w:line="360" w:lineRule="auto"/>
        <w:ind w:firstLine="440"/>
        <w:rPr>
          <w:rFonts w:hint="eastAsia"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lang w:eastAsia="zh-CN"/>
        </w:rPr>
        <w:t>为使监理服务能够及时开展，</w:t>
      </w:r>
      <w:r>
        <w:rPr>
          <w:rFonts w:hint="eastAsia" w:ascii="宋体" w:hAnsi="宋体" w:eastAsia="宋体" w:cs="宋体"/>
          <w:color w:val="auto"/>
          <w:spacing w:val="1"/>
          <w:sz w:val="22"/>
          <w:szCs w:val="22"/>
          <w:highlight w:val="none"/>
          <w:lang w:val="en-US" w:eastAsia="zh-CN"/>
        </w:rPr>
        <w:t>合同签订后支付合同金额的30%作为监理的预付款，上述预付款支付以财政资金到位为前提。</w:t>
      </w:r>
    </w:p>
    <w:p w14:paraId="085F27E2">
      <w:pPr>
        <w:spacing w:before="166" w:line="360" w:lineRule="auto"/>
        <w:ind w:firstLine="440"/>
        <w:rPr>
          <w:rFonts w:hint="eastAsia" w:ascii="宋体" w:hAnsi="宋体" w:eastAsia="宋体" w:cs="宋体"/>
          <w:color w:val="auto"/>
          <w:spacing w:val="1"/>
          <w:sz w:val="22"/>
          <w:szCs w:val="22"/>
          <w:highlight w:val="none"/>
          <w:lang w:eastAsia="zh-CN"/>
        </w:rPr>
      </w:pPr>
      <w:r>
        <w:rPr>
          <w:rFonts w:hint="eastAsia" w:ascii="宋体" w:hAnsi="宋体" w:eastAsia="宋体" w:cs="宋体"/>
          <w:color w:val="auto"/>
          <w:spacing w:val="1"/>
          <w:sz w:val="22"/>
          <w:szCs w:val="22"/>
          <w:highlight w:val="none"/>
          <w:lang w:eastAsia="zh-CN"/>
        </w:rPr>
        <w:t>预付款应专用于本工程的监理。监理人无须向委托人提交预付款保函，但监理人提交的履约保证金对预付款的正常使用承担保证责任。</w:t>
      </w:r>
    </w:p>
    <w:p w14:paraId="7E6383B7">
      <w:pPr>
        <w:spacing w:before="242" w:line="219" w:lineRule="auto"/>
        <w:ind w:left="1"/>
        <w:rPr>
          <w:rFonts w:ascii="宋体" w:hAnsi="宋体" w:eastAsia="宋体" w:cs="宋体"/>
          <w:color w:val="auto"/>
          <w:sz w:val="24"/>
          <w:szCs w:val="24"/>
          <w:highlight w:val="none"/>
        </w:rPr>
      </w:pPr>
      <w:r>
        <w:rPr>
          <w:rFonts w:ascii="宋体" w:hAnsi="宋体" w:eastAsia="宋体" w:cs="宋体"/>
          <w:b/>
          <w:bCs/>
          <w:color w:val="auto"/>
          <w:spacing w:val="-8"/>
          <w:sz w:val="24"/>
          <w:szCs w:val="24"/>
          <w:highlight w:val="none"/>
        </w:rPr>
        <w:t>9.3</w:t>
      </w:r>
      <w:r>
        <w:rPr>
          <w:rFonts w:ascii="宋体" w:hAnsi="宋体" w:eastAsia="宋体" w:cs="宋体"/>
          <w:color w:val="auto"/>
          <w:spacing w:val="34"/>
          <w:sz w:val="24"/>
          <w:szCs w:val="24"/>
          <w:highlight w:val="none"/>
        </w:rPr>
        <w:t xml:space="preserve"> </w:t>
      </w:r>
      <w:r>
        <w:rPr>
          <w:rFonts w:ascii="宋体" w:hAnsi="宋体" w:eastAsia="宋体" w:cs="宋体"/>
          <w:b/>
          <w:bCs/>
          <w:color w:val="auto"/>
          <w:spacing w:val="-8"/>
          <w:sz w:val="24"/>
          <w:szCs w:val="24"/>
          <w:highlight w:val="none"/>
        </w:rPr>
        <w:t>中期支付</w:t>
      </w:r>
    </w:p>
    <w:p w14:paraId="784CA4DE">
      <w:pPr>
        <w:bidi w:val="0"/>
        <w:rPr>
          <w:color w:val="auto"/>
          <w:highlight w:val="none"/>
        </w:rPr>
      </w:pPr>
    </w:p>
    <w:p w14:paraId="5F3E363D">
      <w:pPr>
        <w:spacing w:before="1" w:line="359" w:lineRule="auto"/>
        <w:ind w:firstLine="444" w:firstLineChars="200"/>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（在9.3.2 款中增加多一种中期支付方式由招标人根据自身的管理模式选择）</w:t>
      </w:r>
    </w:p>
    <w:p w14:paraId="76F05E0E">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将通用条款9.3.2 项内容修改为：</w:t>
      </w:r>
    </w:p>
    <w:p w14:paraId="1DBBFC2E">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9.3.2 委托人将在收到监理人提交的监理服务费付款申请单后28日内进行审核并予以支付，支付原则如下：</w:t>
      </w:r>
    </w:p>
    <w:p w14:paraId="503812B7">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（1）施工阶段（含施工准备阶段）监理服务费的计量支付方法如下：</w:t>
      </w:r>
    </w:p>
    <w:p w14:paraId="780C5F35">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上一季度的监理服务费将在下一季度的第一个月中旬内支付，监理人应在每季度最后一个月的28日前向委托人提交支付申请，委托人将根据支付申请进行审批支付，支付申请包括以下栏目：</w:t>
      </w:r>
    </w:p>
    <w:p w14:paraId="1D683EC3">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a.正常服务的费用</w:t>
      </w:r>
    </w:p>
    <w:p w14:paraId="7A0DACA2">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计算式：“施工阶段（含施工准备阶段）监理服务费总额（扣除其他费用）×该季度承包人完成工作量费用总额（ 扣除工程变更设计增减的费用和材料调差等费用）/承包人合同价总额（不包括暂列金）；</w:t>
      </w:r>
    </w:p>
    <w:p w14:paraId="0D44062A">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b.按本项目专用合同条款的规定本季应得的奖励及证明资料；</w:t>
      </w:r>
    </w:p>
    <w:p w14:paraId="68D4F183">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c.按本项目专用合同条款规定本季应得的其他费用；</w:t>
      </w:r>
    </w:p>
    <w:p w14:paraId="090C04CD">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d.按本项目专用合同条款的规定本季应扣除的罚款；</w:t>
      </w:r>
    </w:p>
    <w:p w14:paraId="62347674">
      <w:pPr>
        <w:spacing w:before="1" w:line="359" w:lineRule="auto"/>
        <w:ind w:firstLine="439"/>
        <w:jc w:val="both"/>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e.本季应扣除的动员预付款和借款数额；</w:t>
      </w:r>
    </w:p>
    <w:p w14:paraId="545FC2D2">
      <w:pPr>
        <w:spacing w:line="359" w:lineRule="auto"/>
        <w:ind w:left="7" w:right="2"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（2）监理服务费变更费用经双方协商确认后，在监理服务所对应工作期限内按季</w:t>
      </w:r>
      <w:r>
        <w:rPr>
          <w:rFonts w:ascii="宋体" w:hAnsi="宋体" w:eastAsia="宋体" w:cs="宋体"/>
          <w:color w:val="auto"/>
          <w:spacing w:val="5"/>
          <w:sz w:val="22"/>
          <w:szCs w:val="22"/>
          <w:highlight w:val="none"/>
        </w:rPr>
        <w:t>度支付或按双方签订的补充协议约定的支付方式进行支付。</w:t>
      </w:r>
      <w:r>
        <w:rPr>
          <w:rFonts w:ascii="宋体" w:hAnsi="宋体" w:eastAsia="宋体" w:cs="宋体"/>
          <w:color w:val="auto"/>
          <w:spacing w:val="5"/>
          <w:sz w:val="22"/>
          <w:szCs w:val="22"/>
          <w:highlight w:val="none"/>
          <w:u w:val="single" w:color="auto"/>
        </w:rPr>
        <w:t>为保障监理人基本</w:t>
      </w:r>
      <w:r>
        <w:rPr>
          <w:rFonts w:ascii="宋体" w:hAnsi="宋体" w:eastAsia="宋体" w:cs="宋体"/>
          <w:color w:val="auto"/>
          <w:spacing w:val="4"/>
          <w:sz w:val="22"/>
          <w:szCs w:val="22"/>
          <w:highlight w:val="none"/>
          <w:u w:val="single" w:color="auto"/>
        </w:rPr>
        <w:t>工作的</w:t>
      </w:r>
      <w:r>
        <w:rPr>
          <w:rFonts w:ascii="宋体" w:hAnsi="宋体" w:eastAsia="宋体" w:cs="宋体"/>
          <w:color w:val="auto"/>
          <w:spacing w:val="5"/>
          <w:sz w:val="22"/>
          <w:szCs w:val="22"/>
          <w:highlight w:val="none"/>
          <w:u w:val="single" w:color="auto"/>
        </w:rPr>
        <w:t>开展，如本季度计量的监理服务费总额不足50万元，按5</w:t>
      </w:r>
      <w:r>
        <w:rPr>
          <w:rFonts w:ascii="宋体" w:hAnsi="宋体" w:eastAsia="宋体" w:cs="宋体"/>
          <w:color w:val="auto"/>
          <w:spacing w:val="4"/>
          <w:sz w:val="22"/>
          <w:szCs w:val="22"/>
          <w:highlight w:val="none"/>
          <w:u w:val="single" w:color="auto"/>
        </w:rPr>
        <w:t>0万元进行计量，超计量部分</w:t>
      </w:r>
      <w:r>
        <w:rPr>
          <w:rFonts w:ascii="宋体" w:hAnsi="宋体" w:eastAsia="宋体" w:cs="宋体"/>
          <w:color w:val="auto"/>
          <w:spacing w:val="-1"/>
          <w:sz w:val="22"/>
          <w:szCs w:val="22"/>
          <w:highlight w:val="none"/>
          <w:u w:val="single" w:color="auto"/>
        </w:rPr>
        <w:t>在下季度的计量款中予以扣回</w:t>
      </w:r>
      <w:r>
        <w:rPr>
          <w:rFonts w:ascii="宋体" w:hAnsi="宋体" w:eastAsia="宋体" w:cs="宋体"/>
          <w:color w:val="auto"/>
          <w:spacing w:val="-1"/>
          <w:sz w:val="22"/>
          <w:szCs w:val="22"/>
          <w:highlight w:val="none"/>
        </w:rPr>
        <w:t>。</w:t>
      </w:r>
    </w:p>
    <w:p w14:paraId="6FD100F7">
      <w:pPr>
        <w:spacing w:before="1" w:line="219" w:lineRule="auto"/>
        <w:ind w:left="499"/>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（3）交</w:t>
      </w:r>
      <w:r>
        <w:rPr>
          <w:rFonts w:ascii="宋体" w:hAnsi="宋体" w:eastAsia="宋体" w:cs="宋体"/>
          <w:color w:val="auto"/>
          <w:spacing w:val="-68"/>
          <w:sz w:val="22"/>
          <w:szCs w:val="22"/>
          <w:highlight w:val="none"/>
        </w:rPr>
        <w:t xml:space="preserve"> </w:t>
      </w:r>
      <w:r>
        <w:rPr>
          <w:rFonts w:ascii="宋体" w:hAnsi="宋体" w:eastAsia="宋体" w:cs="宋体"/>
          <w:color w:val="auto"/>
          <w:spacing w:val="-2"/>
          <w:sz w:val="22"/>
          <w:szCs w:val="22"/>
          <w:highlight w:val="none"/>
        </w:rPr>
        <w:t>(竣)工验收及缺陷责任期阶段监理服务费的计</w:t>
      </w:r>
      <w:r>
        <w:rPr>
          <w:rFonts w:ascii="宋体" w:hAnsi="宋体" w:eastAsia="宋体" w:cs="宋体"/>
          <w:color w:val="auto"/>
          <w:spacing w:val="-3"/>
          <w:sz w:val="22"/>
          <w:szCs w:val="22"/>
          <w:highlight w:val="none"/>
        </w:rPr>
        <w:t>量支付方法如下：</w:t>
      </w:r>
    </w:p>
    <w:p w14:paraId="172DFB33">
      <w:pPr>
        <w:spacing w:before="183" w:line="358" w:lineRule="auto"/>
        <w:ind w:left="16" w:right="2" w:firstLine="472"/>
        <w:rPr>
          <w:rFonts w:ascii="宋体" w:hAnsi="宋体" w:eastAsia="宋体" w:cs="宋体"/>
          <w:color w:val="auto"/>
          <w:sz w:val="22"/>
          <w:szCs w:val="22"/>
          <w:highlight w:val="none"/>
        </w:rPr>
      </w:pPr>
      <w:r>
        <w:rPr>
          <w:rFonts w:ascii="宋体" w:hAnsi="宋体" w:eastAsia="宋体" w:cs="宋体"/>
          <w:color w:val="auto"/>
          <w:sz w:val="22"/>
          <w:szCs w:val="22"/>
          <w:highlight w:val="none"/>
        </w:rPr>
        <w:t>a. 交</w:t>
      </w:r>
      <w:r>
        <w:rPr>
          <w:rFonts w:ascii="宋体" w:hAnsi="宋体" w:eastAsia="宋体" w:cs="宋体"/>
          <w:color w:val="auto"/>
          <w:spacing w:val="-60"/>
          <w:sz w:val="22"/>
          <w:szCs w:val="22"/>
          <w:highlight w:val="none"/>
        </w:rPr>
        <w:t xml:space="preserve"> </w:t>
      </w:r>
      <w:r>
        <w:rPr>
          <w:rFonts w:ascii="宋体" w:hAnsi="宋体" w:eastAsia="宋体" w:cs="宋体"/>
          <w:color w:val="auto"/>
          <w:sz w:val="22"/>
          <w:szCs w:val="22"/>
          <w:highlight w:val="none"/>
        </w:rPr>
        <w:t>(竣)工验收及缺陷责任期监理包干总费用：按照投标人的报价在交(竣)工验</w:t>
      </w:r>
      <w:r>
        <w:rPr>
          <w:rFonts w:ascii="宋体" w:hAnsi="宋体" w:eastAsia="宋体" w:cs="宋体"/>
          <w:color w:val="auto"/>
          <w:spacing w:val="-1"/>
          <w:sz w:val="22"/>
          <w:szCs w:val="22"/>
          <w:highlight w:val="none"/>
        </w:rPr>
        <w:t>收及缺陷责任期分</w:t>
      </w:r>
      <w:r>
        <w:rPr>
          <w:rFonts w:ascii="宋体" w:hAnsi="宋体" w:eastAsia="宋体" w:cs="宋体"/>
          <w:color w:val="auto"/>
          <w:spacing w:val="-1"/>
          <w:sz w:val="22"/>
          <w:szCs w:val="22"/>
          <w:highlight w:val="none"/>
          <w:u w:val="single" w:color="auto"/>
        </w:rPr>
        <w:t>8次（8个季度）</w:t>
      </w:r>
      <w:r>
        <w:rPr>
          <w:rFonts w:ascii="宋体" w:hAnsi="宋体" w:eastAsia="宋体" w:cs="宋体"/>
          <w:color w:val="auto"/>
          <w:spacing w:val="-1"/>
          <w:sz w:val="22"/>
          <w:szCs w:val="22"/>
          <w:highlight w:val="none"/>
        </w:rPr>
        <w:t>等额计量；</w:t>
      </w:r>
    </w:p>
    <w:p w14:paraId="64B8EAF4">
      <w:pPr>
        <w:spacing w:before="1" w:line="218" w:lineRule="auto"/>
        <w:ind w:left="484"/>
        <w:rPr>
          <w:rFonts w:ascii="宋体" w:hAnsi="宋体" w:eastAsia="宋体" w:cs="宋体"/>
          <w:color w:val="auto"/>
          <w:sz w:val="22"/>
          <w:szCs w:val="22"/>
          <w:highlight w:val="none"/>
        </w:rPr>
      </w:pPr>
      <w:r>
        <w:rPr>
          <w:rFonts w:ascii="宋体" w:hAnsi="宋体" w:eastAsia="宋体" w:cs="宋体"/>
          <w:color w:val="auto"/>
          <w:sz w:val="22"/>
          <w:szCs w:val="22"/>
          <w:highlight w:val="none"/>
        </w:rPr>
        <w:t>b.按本监理合同专用条款规定本季应得的奖</w:t>
      </w:r>
      <w:r>
        <w:rPr>
          <w:rFonts w:ascii="宋体" w:hAnsi="宋体" w:eastAsia="宋体" w:cs="宋体"/>
          <w:color w:val="auto"/>
          <w:spacing w:val="-1"/>
          <w:sz w:val="22"/>
          <w:szCs w:val="22"/>
          <w:highlight w:val="none"/>
        </w:rPr>
        <w:t>励及证明资料；</w:t>
      </w:r>
    </w:p>
    <w:p w14:paraId="5308C9C9">
      <w:pPr>
        <w:spacing w:before="183" w:line="219" w:lineRule="auto"/>
        <w:ind w:left="49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c.按本合同规定本季应得的其他费用；</w:t>
      </w:r>
    </w:p>
    <w:p w14:paraId="371F76C0">
      <w:pPr>
        <w:spacing w:before="181" w:line="219" w:lineRule="auto"/>
        <w:ind w:left="493"/>
        <w:rPr>
          <w:rFonts w:ascii="宋体" w:hAnsi="宋体" w:eastAsia="宋体" w:cs="宋体"/>
          <w:color w:val="auto"/>
          <w:spacing w:val="-1"/>
          <w:sz w:val="22"/>
          <w:szCs w:val="22"/>
          <w:highlight w:val="none"/>
        </w:rPr>
      </w:pPr>
      <w:bookmarkStart w:id="335" w:name="bookmark180"/>
      <w:bookmarkEnd w:id="335"/>
      <w:r>
        <w:rPr>
          <w:rFonts w:ascii="宋体" w:hAnsi="宋体" w:eastAsia="宋体" w:cs="宋体"/>
          <w:color w:val="auto"/>
          <w:spacing w:val="-1"/>
          <w:sz w:val="22"/>
          <w:szCs w:val="22"/>
          <w:highlight w:val="none"/>
        </w:rPr>
        <w:t>d.按本监理合同专用条款的规定本季应扣除的违约金；</w:t>
      </w:r>
    </w:p>
    <w:p w14:paraId="3A83DBD0">
      <w:pPr>
        <w:keepNext w:val="0"/>
        <w:keepLines w:val="0"/>
        <w:pageBreakBefore w:val="0"/>
        <w:widowControl/>
        <w:kinsoku w:val="0"/>
        <w:wordWrap/>
        <w:overflowPunct/>
        <w:topLinePunct w:val="0"/>
        <w:autoSpaceDE w:val="0"/>
        <w:autoSpaceDN w:val="0"/>
        <w:bidi w:val="0"/>
        <w:adjustRightInd w:val="0"/>
        <w:snapToGrid w:val="0"/>
        <w:spacing w:before="181" w:line="360" w:lineRule="auto"/>
        <w:ind w:firstLine="440" w:firstLineChars="200"/>
        <w:textAlignment w:val="baseline"/>
        <w:rPr>
          <w:rFonts w:ascii="宋体" w:hAnsi="宋体" w:eastAsia="宋体" w:cs="宋体"/>
          <w:color w:val="auto"/>
          <w:sz w:val="22"/>
          <w:szCs w:val="22"/>
          <w:highlight w:val="none"/>
          <w:u w:val="single"/>
        </w:rPr>
      </w:pPr>
      <w:r>
        <w:rPr>
          <w:rFonts w:ascii="宋体" w:hAnsi="宋体" w:eastAsia="宋体" w:cs="宋体"/>
          <w:color w:val="auto"/>
          <w:sz w:val="22"/>
          <w:szCs w:val="22"/>
          <w:highlight w:val="none"/>
        </w:rPr>
        <w:t>9.3.5 最终结清付款涉及政府投资资金的，支付规定如下：</w:t>
      </w:r>
      <w:r>
        <w:rPr>
          <w:rFonts w:hint="eastAsia" w:ascii="宋体" w:hAnsi="宋体" w:eastAsia="宋体" w:cs="宋体"/>
          <w:color w:val="auto"/>
          <w:sz w:val="22"/>
          <w:szCs w:val="22"/>
          <w:highlight w:val="none"/>
          <w:u w:val="single"/>
          <w:lang w:eastAsia="zh-CN"/>
        </w:rPr>
        <w:t>按本专业条款缺陷责任期满及竣工验收支付规定执行</w:t>
      </w:r>
      <w:r>
        <w:rPr>
          <w:rFonts w:ascii="宋体" w:hAnsi="宋体" w:eastAsia="宋体" w:cs="宋体"/>
          <w:color w:val="auto"/>
          <w:spacing w:val="-1"/>
          <w:sz w:val="22"/>
          <w:szCs w:val="22"/>
          <w:highlight w:val="none"/>
          <w:u w:val="single"/>
        </w:rPr>
        <w:t>。</w:t>
      </w:r>
    </w:p>
    <w:p w14:paraId="20E14CCE">
      <w:pPr>
        <w:spacing w:line="330" w:lineRule="auto"/>
        <w:rPr>
          <w:rFonts w:ascii="Arial"/>
          <w:color w:val="auto"/>
          <w:sz w:val="21"/>
          <w:highlight w:val="none"/>
          <w:u w:val="single"/>
        </w:rPr>
      </w:pPr>
    </w:p>
    <w:p w14:paraId="78C2A43E">
      <w:pPr>
        <w:spacing w:before="78" w:line="218" w:lineRule="auto"/>
        <w:ind w:left="9"/>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9.5</w:t>
      </w:r>
      <w:r>
        <w:rPr>
          <w:rFonts w:ascii="宋体" w:hAnsi="宋体" w:eastAsia="宋体" w:cs="宋体"/>
          <w:color w:val="auto"/>
          <w:spacing w:val="20"/>
          <w:sz w:val="24"/>
          <w:szCs w:val="24"/>
          <w:highlight w:val="none"/>
        </w:rPr>
        <w:t xml:space="preserve"> </w:t>
      </w:r>
      <w:r>
        <w:rPr>
          <w:rFonts w:ascii="宋体" w:hAnsi="宋体" w:eastAsia="宋体" w:cs="宋体"/>
          <w:b/>
          <w:bCs/>
          <w:color w:val="auto"/>
          <w:spacing w:val="-6"/>
          <w:sz w:val="24"/>
          <w:szCs w:val="24"/>
          <w:highlight w:val="none"/>
        </w:rPr>
        <w:t>暂列金额</w:t>
      </w:r>
    </w:p>
    <w:p w14:paraId="069A8AC4">
      <w:pPr>
        <w:spacing w:before="146" w:line="393" w:lineRule="auto"/>
        <w:ind w:left="450"/>
        <w:rPr>
          <w:rFonts w:ascii="宋体" w:hAnsi="宋体" w:eastAsia="宋体" w:cs="宋体"/>
          <w:color w:val="auto"/>
          <w:sz w:val="10"/>
          <w:szCs w:val="10"/>
          <w:highlight w:val="none"/>
        </w:rPr>
      </w:pPr>
      <w:r>
        <w:rPr>
          <w:rFonts w:ascii="宋体" w:hAnsi="宋体" w:eastAsia="宋体" w:cs="宋体"/>
          <w:color w:val="auto"/>
          <w:spacing w:val="-2"/>
          <w:sz w:val="22"/>
          <w:szCs w:val="22"/>
          <w:highlight w:val="none"/>
        </w:rPr>
        <w:t>本合同的暂列金额为监理服务费的</w:t>
      </w:r>
      <w:r>
        <w:rPr>
          <w:rFonts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val="en-US" w:eastAsia="zh-CN"/>
        </w:rPr>
        <w:t>/</w:t>
      </w:r>
      <w:r>
        <w:rPr>
          <w:rFonts w:ascii="宋体" w:hAnsi="宋体" w:eastAsia="宋体" w:cs="宋体"/>
          <w:color w:val="auto"/>
          <w:spacing w:val="-2"/>
          <w:sz w:val="22"/>
          <w:szCs w:val="22"/>
          <w:highlight w:val="none"/>
          <w:u w:val="single" w:color="auto"/>
        </w:rPr>
        <w:t xml:space="preserve">  </w:t>
      </w:r>
      <w:r>
        <w:rPr>
          <w:rFonts w:ascii="宋体" w:hAnsi="宋体" w:eastAsia="宋体" w:cs="宋体"/>
          <w:color w:val="auto"/>
          <w:spacing w:val="-69"/>
          <w:sz w:val="22"/>
          <w:szCs w:val="22"/>
          <w:highlight w:val="none"/>
        </w:rPr>
        <w:t xml:space="preserve"> </w:t>
      </w:r>
      <w:r>
        <w:rPr>
          <w:rFonts w:ascii="宋体" w:hAnsi="宋体" w:eastAsia="宋体" w:cs="宋体"/>
          <w:color w:val="auto"/>
          <w:spacing w:val="-2"/>
          <w:sz w:val="22"/>
          <w:szCs w:val="22"/>
          <w:highlight w:val="none"/>
        </w:rPr>
        <w:t>％。</w:t>
      </w:r>
    </w:p>
    <w:p w14:paraId="1AF6D7B9">
      <w:pPr>
        <w:spacing w:line="320" w:lineRule="auto"/>
        <w:rPr>
          <w:rFonts w:ascii="Arial"/>
          <w:color w:val="auto"/>
          <w:sz w:val="21"/>
          <w:highlight w:val="none"/>
        </w:rPr>
      </w:pPr>
    </w:p>
    <w:p w14:paraId="28F3EA05">
      <w:pPr>
        <w:pStyle w:val="5"/>
        <w:bidi w:val="0"/>
        <w:rPr>
          <w:rFonts w:ascii="宋体" w:hAnsi="宋体" w:eastAsia="宋体" w:cs="宋体"/>
          <w:color w:val="auto"/>
          <w:sz w:val="24"/>
          <w:szCs w:val="24"/>
          <w:highlight w:val="none"/>
        </w:rPr>
      </w:pPr>
      <w:r>
        <w:rPr>
          <w:rFonts w:ascii="宋体" w:hAnsi="宋体" w:eastAsia="宋体" w:cs="宋体"/>
          <w:b/>
          <w:bCs/>
          <w:color w:val="auto"/>
          <w:spacing w:val="-10"/>
          <w:sz w:val="24"/>
          <w:szCs w:val="24"/>
          <w:highlight w:val="none"/>
        </w:rPr>
        <w:t>11.</w:t>
      </w:r>
      <w:r>
        <w:rPr>
          <w:rFonts w:ascii="宋体" w:hAnsi="宋体" w:eastAsia="宋体" w:cs="宋体"/>
          <w:color w:val="auto"/>
          <w:spacing w:val="14"/>
          <w:sz w:val="24"/>
          <w:szCs w:val="24"/>
          <w:highlight w:val="none"/>
        </w:rPr>
        <w:t xml:space="preserve"> </w:t>
      </w:r>
      <w:r>
        <w:rPr>
          <w:rFonts w:ascii="宋体" w:hAnsi="宋体" w:eastAsia="宋体" w:cs="宋体"/>
          <w:b/>
          <w:bCs/>
          <w:color w:val="auto"/>
          <w:spacing w:val="-10"/>
          <w:sz w:val="24"/>
          <w:szCs w:val="24"/>
          <w:highlight w:val="none"/>
        </w:rPr>
        <w:t>违约</w:t>
      </w:r>
    </w:p>
    <w:p w14:paraId="4E40CAF2">
      <w:pPr>
        <w:spacing w:before="285" w:line="222" w:lineRule="auto"/>
        <w:ind w:left="26"/>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11.1</w:t>
      </w:r>
      <w:r>
        <w:rPr>
          <w:rFonts w:ascii="宋体" w:hAnsi="宋体" w:eastAsia="宋体" w:cs="宋体"/>
          <w:color w:val="auto"/>
          <w:spacing w:val="-5"/>
          <w:sz w:val="24"/>
          <w:szCs w:val="24"/>
          <w:highlight w:val="none"/>
        </w:rPr>
        <w:t xml:space="preserve"> </w:t>
      </w:r>
      <w:r>
        <w:rPr>
          <w:rFonts w:ascii="宋体" w:hAnsi="宋体" w:eastAsia="宋体" w:cs="宋体"/>
          <w:b/>
          <w:bCs/>
          <w:color w:val="auto"/>
          <w:spacing w:val="-5"/>
          <w:sz w:val="24"/>
          <w:szCs w:val="24"/>
          <w:highlight w:val="none"/>
        </w:rPr>
        <w:t>监理人违约</w:t>
      </w:r>
    </w:p>
    <w:p w14:paraId="64CEF82F">
      <w:pPr>
        <w:spacing w:before="173" w:line="221" w:lineRule="auto"/>
        <w:ind w:left="465"/>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11.1.2</w:t>
      </w:r>
      <w:r>
        <w:rPr>
          <w:rFonts w:ascii="宋体" w:hAnsi="宋体" w:eastAsia="宋体" w:cs="宋体"/>
          <w:color w:val="auto"/>
          <w:spacing w:val="-43"/>
          <w:sz w:val="22"/>
          <w:szCs w:val="22"/>
          <w:highlight w:val="none"/>
        </w:rPr>
        <w:t xml:space="preserve"> </w:t>
      </w:r>
      <w:r>
        <w:rPr>
          <w:rFonts w:ascii="宋体" w:hAnsi="宋体" w:eastAsia="宋体" w:cs="宋体"/>
          <w:color w:val="auto"/>
          <w:spacing w:val="-3"/>
          <w:sz w:val="22"/>
          <w:szCs w:val="22"/>
          <w:highlight w:val="none"/>
        </w:rPr>
        <w:t>款细化如下：</w:t>
      </w:r>
    </w:p>
    <w:p w14:paraId="7585C416">
      <w:pPr>
        <w:spacing w:before="167" w:line="220" w:lineRule="auto"/>
        <w:ind w:left="46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11.1.2 监理人发生违约情况时，委托人有权向监理人课以违约金，具体约定如下：</w:t>
      </w:r>
    </w:p>
    <w:p w14:paraId="665F9C8D">
      <w:pPr>
        <w:rPr>
          <w:rFonts w:ascii="Arial"/>
          <w:color w:val="auto"/>
          <w:sz w:val="21"/>
          <w:highlight w:val="none"/>
        </w:rPr>
      </w:pPr>
    </w:p>
    <w:p w14:paraId="476483D4">
      <w:pPr>
        <w:bidi w:val="0"/>
        <w:rPr>
          <w:color w:val="auto"/>
          <w:highlight w:val="none"/>
        </w:rPr>
      </w:pPr>
    </w:p>
    <w:p w14:paraId="693B6084">
      <w:pPr>
        <w:bidi w:val="0"/>
        <w:rPr>
          <w:color w:val="auto"/>
          <w:highlight w:val="none"/>
        </w:rPr>
      </w:pPr>
    </w:p>
    <w:p w14:paraId="720AD1EA">
      <w:pPr>
        <w:spacing w:before="92" w:line="234" w:lineRule="auto"/>
        <w:ind w:left="3212"/>
        <w:rPr>
          <w:rFonts w:ascii="宋体" w:hAnsi="宋体" w:eastAsia="宋体" w:cs="宋体"/>
          <w:color w:val="auto"/>
          <w:sz w:val="13"/>
          <w:szCs w:val="13"/>
          <w:highlight w:val="none"/>
        </w:rPr>
      </w:pPr>
      <w:r>
        <w:rPr>
          <w:rFonts w:ascii="宋体" w:hAnsi="宋体" w:eastAsia="宋体" w:cs="宋体"/>
          <w:b/>
          <w:bCs/>
          <w:color w:val="auto"/>
          <w:spacing w:val="-3"/>
          <w:sz w:val="28"/>
          <w:szCs w:val="28"/>
          <w:highlight w:val="none"/>
        </w:rPr>
        <w:t>监理人违约金一览表</w:t>
      </w:r>
    </w:p>
    <w:p w14:paraId="3E9903D3">
      <w:pPr>
        <w:spacing w:line="229" w:lineRule="exact"/>
        <w:rPr>
          <w:color w:val="auto"/>
          <w:highlight w:val="none"/>
        </w:rPr>
      </w:pPr>
    </w:p>
    <w:tbl>
      <w:tblPr>
        <w:tblStyle w:val="19"/>
        <w:tblW w:w="8895" w:type="dxa"/>
        <w:tblInd w:w="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0"/>
        <w:gridCol w:w="845"/>
        <w:gridCol w:w="7440"/>
      </w:tblGrid>
      <w:tr w14:paraId="2492D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610" w:type="dxa"/>
            <w:textDirection w:val="tbRlV"/>
            <w:vAlign w:val="top"/>
          </w:tcPr>
          <w:p w14:paraId="2A4EA580">
            <w:pPr>
              <w:pStyle w:val="20"/>
              <w:spacing w:before="193" w:line="216" w:lineRule="auto"/>
              <w:ind w:left="193"/>
              <w:rPr>
                <w:color w:val="auto"/>
                <w:highlight w:val="none"/>
              </w:rPr>
            </w:pPr>
            <w:r>
              <w:rPr>
                <w:b/>
                <w:bCs/>
                <w:color w:val="auto"/>
                <w:spacing w:val="6"/>
                <w:highlight w:val="none"/>
              </w:rPr>
              <w:t>类</w:t>
            </w:r>
            <w:r>
              <w:rPr>
                <w:color w:val="auto"/>
                <w:spacing w:val="-7"/>
                <w:highlight w:val="none"/>
              </w:rPr>
              <w:t xml:space="preserve"> </w:t>
            </w:r>
            <w:r>
              <w:rPr>
                <w:b/>
                <w:bCs/>
                <w:color w:val="auto"/>
                <w:spacing w:val="6"/>
                <w:highlight w:val="none"/>
              </w:rPr>
              <w:t>别</w:t>
            </w:r>
          </w:p>
        </w:tc>
        <w:tc>
          <w:tcPr>
            <w:tcW w:w="845" w:type="dxa"/>
            <w:vAlign w:val="top"/>
          </w:tcPr>
          <w:p w14:paraId="020C96FE">
            <w:pPr>
              <w:spacing w:line="249" w:lineRule="auto"/>
              <w:rPr>
                <w:rFonts w:ascii="Arial"/>
                <w:color w:val="auto"/>
                <w:sz w:val="21"/>
                <w:highlight w:val="none"/>
              </w:rPr>
            </w:pPr>
          </w:p>
          <w:p w14:paraId="200D4A33">
            <w:pPr>
              <w:pStyle w:val="20"/>
              <w:spacing w:before="65" w:line="229" w:lineRule="auto"/>
              <w:ind w:left="222"/>
              <w:rPr>
                <w:color w:val="auto"/>
                <w:highlight w:val="none"/>
              </w:rPr>
            </w:pPr>
            <w:r>
              <w:rPr>
                <w:b/>
                <w:bCs/>
                <w:color w:val="auto"/>
                <w:spacing w:val="4"/>
                <w:highlight w:val="none"/>
              </w:rPr>
              <w:t>序号</w:t>
            </w:r>
          </w:p>
        </w:tc>
        <w:tc>
          <w:tcPr>
            <w:tcW w:w="7440" w:type="dxa"/>
            <w:vAlign w:val="top"/>
          </w:tcPr>
          <w:p w14:paraId="30B34C7C">
            <w:pPr>
              <w:spacing w:line="248" w:lineRule="auto"/>
              <w:rPr>
                <w:rFonts w:ascii="Arial"/>
                <w:color w:val="auto"/>
                <w:sz w:val="21"/>
                <w:highlight w:val="none"/>
              </w:rPr>
            </w:pPr>
          </w:p>
          <w:p w14:paraId="1C861B19">
            <w:pPr>
              <w:pStyle w:val="20"/>
              <w:spacing w:before="65" w:line="228" w:lineRule="auto"/>
              <w:ind w:left="3033"/>
              <w:rPr>
                <w:color w:val="auto"/>
                <w:highlight w:val="none"/>
              </w:rPr>
            </w:pPr>
            <w:r>
              <w:rPr>
                <w:b/>
                <w:bCs/>
                <w:color w:val="auto"/>
                <w:spacing w:val="6"/>
                <w:highlight w:val="none"/>
              </w:rPr>
              <w:t>违约项目</w:t>
            </w:r>
          </w:p>
        </w:tc>
      </w:tr>
      <w:tr w14:paraId="4F230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trPr>
        <w:tc>
          <w:tcPr>
            <w:tcW w:w="610" w:type="dxa"/>
            <w:vMerge w:val="restart"/>
            <w:textDirection w:val="tbRlV"/>
            <w:vAlign w:val="center"/>
          </w:tcPr>
          <w:p w14:paraId="110E8CDE">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highlight w:val="none"/>
              </w:rPr>
            </w:pPr>
            <w:r>
              <w:rPr>
                <w:b/>
                <w:bCs/>
                <w:color w:val="auto"/>
                <w:spacing w:val="6"/>
                <w:highlight w:val="none"/>
              </w:rPr>
              <w:t>职</w:t>
            </w:r>
            <w:r>
              <w:rPr>
                <w:color w:val="auto"/>
                <w:spacing w:val="-5"/>
                <w:highlight w:val="none"/>
              </w:rPr>
              <w:t xml:space="preserve"> </w:t>
            </w:r>
            <w:r>
              <w:rPr>
                <w:b/>
                <w:bCs/>
                <w:color w:val="auto"/>
                <w:spacing w:val="6"/>
                <w:highlight w:val="none"/>
              </w:rPr>
              <w:t>业</w:t>
            </w:r>
            <w:r>
              <w:rPr>
                <w:color w:val="auto"/>
                <w:spacing w:val="-6"/>
                <w:highlight w:val="none"/>
              </w:rPr>
              <w:t xml:space="preserve"> </w:t>
            </w:r>
            <w:r>
              <w:rPr>
                <w:b/>
                <w:bCs/>
                <w:color w:val="auto"/>
                <w:spacing w:val="6"/>
                <w:highlight w:val="none"/>
              </w:rPr>
              <w:t>操</w:t>
            </w:r>
            <w:r>
              <w:rPr>
                <w:color w:val="auto"/>
                <w:spacing w:val="-9"/>
                <w:highlight w:val="none"/>
              </w:rPr>
              <w:t xml:space="preserve"> </w:t>
            </w:r>
            <w:r>
              <w:rPr>
                <w:b/>
                <w:bCs/>
                <w:color w:val="auto"/>
                <w:spacing w:val="6"/>
                <w:highlight w:val="none"/>
              </w:rPr>
              <w:t>守</w:t>
            </w:r>
          </w:p>
        </w:tc>
        <w:tc>
          <w:tcPr>
            <w:tcW w:w="845" w:type="dxa"/>
            <w:vAlign w:val="center"/>
          </w:tcPr>
          <w:p w14:paraId="305684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7440" w:type="dxa"/>
            <w:vAlign w:val="top"/>
          </w:tcPr>
          <w:p w14:paraId="6B14A0B7">
            <w:pPr>
              <w:pStyle w:val="20"/>
              <w:spacing w:before="116" w:line="279" w:lineRule="auto"/>
              <w:ind w:left="116" w:right="101" w:firstLine="2"/>
              <w:jc w:val="both"/>
              <w:rPr>
                <w:rFonts w:hint="eastAsia" w:ascii="宋体" w:hAnsi="宋体" w:eastAsia="宋体" w:cs="宋体"/>
                <w:color w:val="auto"/>
                <w:highlight w:val="none"/>
              </w:rPr>
            </w:pPr>
            <w:r>
              <w:rPr>
                <w:rFonts w:hint="eastAsia" w:ascii="宋体" w:hAnsi="宋体" w:eastAsia="宋体" w:cs="宋体"/>
                <w:color w:val="auto"/>
                <w:spacing w:val="12"/>
                <w:highlight w:val="none"/>
              </w:rPr>
              <w:t>监理工程师如在质量及安全管理、计量和变更设计工作中弄虚作假，包括但不仅限于存在质量不合格项目或承包人未实施的项目进入月度计量的情况，每发</w:t>
            </w:r>
            <w:r>
              <w:rPr>
                <w:rFonts w:hint="eastAsia" w:ascii="宋体" w:hAnsi="宋体" w:eastAsia="宋体" w:cs="宋体"/>
                <w:color w:val="auto"/>
                <w:spacing w:val="5"/>
                <w:highlight w:val="none"/>
              </w:rPr>
              <w:t>现一次：</w:t>
            </w:r>
          </w:p>
          <w:p w14:paraId="1BA13377">
            <w:pPr>
              <w:pStyle w:val="20"/>
              <w:spacing w:before="2" w:line="228" w:lineRule="auto"/>
              <w:ind w:left="122"/>
              <w:rPr>
                <w:rFonts w:hint="eastAsia" w:ascii="宋体" w:hAnsi="宋体" w:eastAsia="宋体" w:cs="宋体"/>
                <w:color w:val="auto"/>
                <w:highlight w:val="none"/>
              </w:rPr>
            </w:pPr>
            <w:r>
              <w:rPr>
                <w:rFonts w:hint="eastAsia" w:ascii="宋体" w:hAnsi="宋体" w:eastAsia="宋体" w:cs="宋体"/>
                <w:color w:val="auto"/>
                <w:sz w:val="18"/>
                <w:szCs w:val="18"/>
                <w:highlight w:val="none"/>
              </w:rPr>
              <w:t xml:space="preserve">（1） </w:t>
            </w:r>
            <w:r>
              <w:rPr>
                <w:rFonts w:hint="eastAsia" w:ascii="宋体" w:hAnsi="宋体" w:eastAsia="宋体" w:cs="宋体"/>
                <w:color w:val="auto"/>
                <w:highlight w:val="none"/>
              </w:rPr>
              <w:t>扣除监理服务费</w:t>
            </w:r>
            <w:r>
              <w:rPr>
                <w:rFonts w:hint="eastAsia" w:ascii="宋体" w:hAnsi="宋体" w:eastAsia="宋体" w:cs="宋体"/>
                <w:color w:val="auto"/>
                <w:spacing w:val="-43"/>
                <w:highlight w:val="none"/>
              </w:rPr>
              <w:t xml:space="preserve"> </w:t>
            </w:r>
            <w:r>
              <w:rPr>
                <w:rFonts w:hint="eastAsia" w:ascii="宋体" w:hAnsi="宋体" w:eastAsia="宋体" w:cs="宋体"/>
                <w:color w:val="auto"/>
                <w:highlight w:val="none"/>
                <w:u w:val="single" w:color="auto"/>
              </w:rPr>
              <w:t>5</w:t>
            </w:r>
            <w:r>
              <w:rPr>
                <w:rFonts w:hint="eastAsia" w:ascii="宋体" w:hAnsi="宋体" w:eastAsia="宋体" w:cs="宋体"/>
                <w:color w:val="auto"/>
                <w:highlight w:val="none"/>
              </w:rPr>
              <w:t xml:space="preserve"> 万元，同时替换该监理工程师；</w:t>
            </w:r>
          </w:p>
          <w:p w14:paraId="01E84DAD">
            <w:pPr>
              <w:pStyle w:val="20"/>
              <w:spacing w:before="55" w:line="227" w:lineRule="auto"/>
              <w:ind w:left="122"/>
              <w:rPr>
                <w:rFonts w:hint="eastAsia" w:ascii="宋体" w:hAnsi="宋体" w:eastAsia="宋体" w:cs="宋体"/>
                <w:color w:val="auto"/>
                <w:highlight w:val="none"/>
              </w:rPr>
            </w:pPr>
            <w:r>
              <w:rPr>
                <w:rFonts w:hint="eastAsia" w:ascii="宋体" w:hAnsi="宋体" w:eastAsia="宋体" w:cs="宋体"/>
                <w:color w:val="auto"/>
                <w:spacing w:val="8"/>
                <w:sz w:val="18"/>
                <w:szCs w:val="18"/>
                <w:highlight w:val="none"/>
              </w:rPr>
              <w:t>（2）</w:t>
            </w:r>
            <w:r>
              <w:rPr>
                <w:rFonts w:hint="eastAsia" w:ascii="宋体" w:hAnsi="宋体" w:eastAsia="宋体" w:cs="宋体"/>
                <w:color w:val="auto"/>
                <w:spacing w:val="-11"/>
                <w:sz w:val="18"/>
                <w:szCs w:val="18"/>
                <w:highlight w:val="none"/>
              </w:rPr>
              <w:t xml:space="preserve"> </w:t>
            </w:r>
            <w:r>
              <w:rPr>
                <w:rFonts w:hint="eastAsia" w:ascii="宋体" w:hAnsi="宋体" w:eastAsia="宋体" w:cs="宋体"/>
                <w:color w:val="auto"/>
                <w:spacing w:val="8"/>
                <w:highlight w:val="none"/>
              </w:rPr>
              <w:t>如给委托人造成重大损失、情节严重的将移交司法机关处理。</w:t>
            </w:r>
          </w:p>
        </w:tc>
      </w:tr>
      <w:tr w14:paraId="1EB0E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610" w:type="dxa"/>
            <w:vMerge w:val="continue"/>
            <w:textDirection w:val="tbRlV"/>
            <w:vAlign w:val="top"/>
          </w:tcPr>
          <w:p w14:paraId="7235757F">
            <w:pPr>
              <w:rPr>
                <w:rFonts w:ascii="Arial"/>
                <w:color w:val="auto"/>
                <w:sz w:val="21"/>
                <w:highlight w:val="none"/>
              </w:rPr>
            </w:pPr>
          </w:p>
        </w:tc>
        <w:tc>
          <w:tcPr>
            <w:tcW w:w="845" w:type="dxa"/>
            <w:vAlign w:val="center"/>
          </w:tcPr>
          <w:p w14:paraId="2B8470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7440" w:type="dxa"/>
            <w:vAlign w:val="top"/>
          </w:tcPr>
          <w:p w14:paraId="054C66A9">
            <w:pPr>
              <w:pStyle w:val="20"/>
              <w:spacing w:before="118" w:line="280" w:lineRule="auto"/>
              <w:ind w:left="119" w:right="187" w:hanging="1"/>
              <w:rPr>
                <w:rFonts w:hint="eastAsia" w:ascii="宋体" w:hAnsi="宋体" w:eastAsia="宋体" w:cs="宋体"/>
                <w:color w:val="auto"/>
                <w:highlight w:val="none"/>
              </w:rPr>
            </w:pPr>
            <w:r>
              <w:rPr>
                <w:rFonts w:hint="eastAsia" w:ascii="宋体" w:hAnsi="宋体" w:eastAsia="宋体" w:cs="宋体"/>
                <w:color w:val="auto"/>
                <w:spacing w:val="10"/>
                <w:highlight w:val="none"/>
              </w:rPr>
              <w:t>监理工程师不得借职务之便违规向承包人介绍分</w:t>
            </w:r>
            <w:r>
              <w:rPr>
                <w:rFonts w:hint="eastAsia" w:ascii="宋体" w:hAnsi="宋体" w:eastAsia="宋体" w:cs="宋体"/>
                <w:color w:val="auto"/>
                <w:spacing w:val="9"/>
                <w:highlight w:val="none"/>
              </w:rPr>
              <w:t>包队伍、推销原材料、介绍务</w:t>
            </w:r>
            <w:r>
              <w:rPr>
                <w:rFonts w:hint="eastAsia" w:ascii="宋体" w:hAnsi="宋体" w:eastAsia="宋体" w:cs="宋体"/>
                <w:color w:val="auto"/>
                <w:spacing w:val="7"/>
                <w:highlight w:val="none"/>
              </w:rPr>
              <w:t>工人员，如有发生：</w:t>
            </w:r>
          </w:p>
          <w:p w14:paraId="24B7BDBA">
            <w:pPr>
              <w:pStyle w:val="20"/>
              <w:spacing w:line="227" w:lineRule="auto"/>
              <w:ind w:left="122"/>
              <w:rPr>
                <w:rFonts w:hint="eastAsia" w:ascii="宋体" w:hAnsi="宋体" w:eastAsia="宋体" w:cs="宋体"/>
                <w:color w:val="auto"/>
                <w:highlight w:val="none"/>
              </w:rPr>
            </w:pPr>
            <w:r>
              <w:rPr>
                <w:rFonts w:hint="eastAsia" w:ascii="宋体" w:hAnsi="宋体" w:eastAsia="宋体" w:cs="宋体"/>
                <w:color w:val="auto"/>
                <w:spacing w:val="-2"/>
                <w:sz w:val="18"/>
                <w:szCs w:val="18"/>
                <w:highlight w:val="none"/>
              </w:rPr>
              <w:t xml:space="preserve">（1） </w:t>
            </w:r>
            <w:r>
              <w:rPr>
                <w:rFonts w:hint="eastAsia" w:ascii="宋体" w:hAnsi="宋体" w:eastAsia="宋体" w:cs="宋体"/>
                <w:color w:val="auto"/>
                <w:spacing w:val="-2"/>
                <w:highlight w:val="none"/>
              </w:rPr>
              <w:t>扣除监理服务费</w:t>
            </w:r>
            <w:r>
              <w:rPr>
                <w:rFonts w:hint="eastAsia" w:ascii="宋体" w:hAnsi="宋体" w:eastAsia="宋体" w:cs="宋体"/>
                <w:color w:val="auto"/>
                <w:spacing w:val="-43"/>
                <w:highlight w:val="none"/>
              </w:rPr>
              <w:t xml:space="preserve"> </w:t>
            </w:r>
            <w:r>
              <w:rPr>
                <w:rFonts w:hint="eastAsia" w:ascii="宋体" w:hAnsi="宋体" w:eastAsia="宋体" w:cs="宋体"/>
                <w:color w:val="auto"/>
                <w:spacing w:val="-2"/>
                <w:highlight w:val="none"/>
                <w:u w:val="single" w:color="auto"/>
              </w:rPr>
              <w:t>5</w:t>
            </w:r>
            <w:r>
              <w:rPr>
                <w:rFonts w:hint="eastAsia" w:ascii="宋体" w:hAnsi="宋体" w:eastAsia="宋体" w:cs="宋体"/>
                <w:color w:val="auto"/>
                <w:spacing w:val="-2"/>
                <w:highlight w:val="none"/>
              </w:rPr>
              <w:t xml:space="preserve"> 万元；</w:t>
            </w:r>
          </w:p>
          <w:p w14:paraId="20B53354">
            <w:pPr>
              <w:pStyle w:val="20"/>
              <w:spacing w:before="58" w:line="227" w:lineRule="auto"/>
              <w:ind w:left="122"/>
              <w:rPr>
                <w:rFonts w:hint="eastAsia" w:ascii="宋体" w:hAnsi="宋体" w:eastAsia="宋体" w:cs="宋体"/>
                <w:color w:val="auto"/>
                <w:highlight w:val="none"/>
              </w:rPr>
            </w:pPr>
            <w:r>
              <w:rPr>
                <w:rFonts w:hint="eastAsia" w:ascii="宋体" w:hAnsi="宋体" w:eastAsia="宋体" w:cs="宋体"/>
                <w:color w:val="auto"/>
                <w:spacing w:val="8"/>
                <w:sz w:val="18"/>
                <w:szCs w:val="18"/>
                <w:highlight w:val="none"/>
              </w:rPr>
              <w:t>（2）</w:t>
            </w:r>
            <w:r>
              <w:rPr>
                <w:rFonts w:hint="eastAsia" w:ascii="宋体" w:hAnsi="宋体" w:eastAsia="宋体" w:cs="宋体"/>
                <w:color w:val="auto"/>
                <w:spacing w:val="-7"/>
                <w:sz w:val="18"/>
                <w:szCs w:val="18"/>
                <w:highlight w:val="none"/>
              </w:rPr>
              <w:t xml:space="preserve"> </w:t>
            </w:r>
            <w:r>
              <w:rPr>
                <w:rFonts w:hint="eastAsia" w:ascii="宋体" w:hAnsi="宋体" w:eastAsia="宋体" w:cs="宋体"/>
                <w:color w:val="auto"/>
                <w:spacing w:val="8"/>
                <w:highlight w:val="none"/>
              </w:rPr>
              <w:t>撤换该监理工程师并将分包队伍、材料供应商及有关人员清除出场。</w:t>
            </w:r>
          </w:p>
        </w:tc>
      </w:tr>
      <w:tr w14:paraId="1CA87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8" w:hRule="atLeast"/>
        </w:trPr>
        <w:tc>
          <w:tcPr>
            <w:tcW w:w="610" w:type="dxa"/>
            <w:vMerge w:val="continue"/>
            <w:textDirection w:val="tbRlV"/>
            <w:vAlign w:val="top"/>
          </w:tcPr>
          <w:p w14:paraId="131B83D7">
            <w:pPr>
              <w:rPr>
                <w:rFonts w:ascii="Arial"/>
                <w:color w:val="auto"/>
                <w:sz w:val="21"/>
                <w:highlight w:val="none"/>
              </w:rPr>
            </w:pPr>
          </w:p>
        </w:tc>
        <w:tc>
          <w:tcPr>
            <w:tcW w:w="845" w:type="dxa"/>
            <w:vAlign w:val="center"/>
          </w:tcPr>
          <w:p w14:paraId="67A5C1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1"/>
                <w:highlight w:val="none"/>
              </w:rPr>
            </w:pPr>
          </w:p>
          <w:p w14:paraId="435A5D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1"/>
                <w:highlight w:val="none"/>
              </w:rPr>
            </w:pPr>
          </w:p>
          <w:p w14:paraId="41028C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7440" w:type="dxa"/>
            <w:vAlign w:val="top"/>
          </w:tcPr>
          <w:p w14:paraId="727848DF">
            <w:pPr>
              <w:pStyle w:val="20"/>
              <w:spacing w:before="135" w:line="280" w:lineRule="auto"/>
              <w:ind w:left="117" w:right="91" w:firstLine="1"/>
              <w:jc w:val="both"/>
              <w:rPr>
                <w:rFonts w:hint="eastAsia" w:ascii="宋体" w:hAnsi="宋体" w:eastAsia="宋体" w:cs="宋体"/>
                <w:color w:val="auto"/>
                <w:highlight w:val="none"/>
              </w:rPr>
            </w:pPr>
            <w:r>
              <w:rPr>
                <w:rFonts w:hint="eastAsia" w:ascii="宋体" w:hAnsi="宋体" w:eastAsia="宋体" w:cs="宋体"/>
                <w:color w:val="auto"/>
                <w:spacing w:val="19"/>
                <w:highlight w:val="none"/>
              </w:rPr>
              <w:t>监理工程师在监理工作中发生越权审批或肢解变更</w:t>
            </w:r>
            <w:r>
              <w:rPr>
                <w:rFonts w:hint="eastAsia" w:ascii="宋体" w:hAnsi="宋体" w:eastAsia="宋体" w:cs="宋体"/>
                <w:color w:val="auto"/>
                <w:spacing w:val="18"/>
                <w:highlight w:val="none"/>
              </w:rPr>
              <w:t>项目、变相越权审批等行</w:t>
            </w:r>
            <w:r>
              <w:rPr>
                <w:rFonts w:hint="eastAsia" w:ascii="宋体" w:hAnsi="宋体" w:eastAsia="宋体" w:cs="宋体"/>
                <w:color w:val="auto"/>
                <w:spacing w:val="6"/>
                <w:highlight w:val="none"/>
              </w:rPr>
              <w:t>为，每次处以</w:t>
            </w:r>
            <w:r>
              <w:rPr>
                <w:rFonts w:hint="eastAsia" w:ascii="宋体" w:hAnsi="宋体" w:eastAsia="宋体" w:cs="宋体"/>
                <w:color w:val="auto"/>
                <w:spacing w:val="-63"/>
                <w:highlight w:val="none"/>
              </w:rPr>
              <w:t xml:space="preserve"> </w:t>
            </w:r>
            <w:r>
              <w:rPr>
                <w:rFonts w:hint="eastAsia" w:ascii="宋体" w:hAnsi="宋体" w:eastAsia="宋体" w:cs="宋体"/>
                <w:color w:val="auto"/>
                <w:spacing w:val="-25"/>
                <w:highlight w:val="none"/>
                <w:u w:val="single" w:color="auto"/>
              </w:rPr>
              <w:t xml:space="preserve"> </w:t>
            </w:r>
            <w:r>
              <w:rPr>
                <w:rFonts w:hint="eastAsia" w:ascii="宋体" w:hAnsi="宋体" w:eastAsia="宋体" w:cs="宋体"/>
                <w:color w:val="auto"/>
                <w:spacing w:val="6"/>
                <w:highlight w:val="none"/>
                <w:u w:val="single" w:color="auto"/>
              </w:rPr>
              <w:t>1</w:t>
            </w:r>
            <w:r>
              <w:rPr>
                <w:rFonts w:hint="eastAsia" w:ascii="宋体" w:hAnsi="宋体" w:eastAsia="宋体" w:cs="宋体"/>
                <w:color w:val="auto"/>
                <w:spacing w:val="6"/>
                <w:highlight w:val="none"/>
              </w:rPr>
              <w:t xml:space="preserve"> 万元的违约金，情节特别严重的处以</w:t>
            </w:r>
            <w:r>
              <w:rPr>
                <w:rFonts w:hint="eastAsia" w:ascii="宋体" w:hAnsi="宋体" w:eastAsia="宋体" w:cs="宋体"/>
                <w:color w:val="auto"/>
                <w:spacing w:val="-50"/>
                <w:highlight w:val="none"/>
              </w:rPr>
              <w:t xml:space="preserve"> </w:t>
            </w:r>
            <w:r>
              <w:rPr>
                <w:rFonts w:hint="eastAsia" w:ascii="宋体" w:hAnsi="宋体" w:eastAsia="宋体" w:cs="宋体"/>
                <w:color w:val="auto"/>
                <w:spacing w:val="6"/>
                <w:highlight w:val="none"/>
                <w:u w:val="single" w:color="auto"/>
              </w:rPr>
              <w:t>3</w:t>
            </w:r>
            <w:r>
              <w:rPr>
                <w:rFonts w:hint="eastAsia" w:ascii="宋体" w:hAnsi="宋体" w:eastAsia="宋体" w:cs="宋体"/>
                <w:color w:val="auto"/>
                <w:spacing w:val="6"/>
                <w:highlight w:val="none"/>
              </w:rPr>
              <w:t xml:space="preserve"> </w:t>
            </w:r>
            <w:r>
              <w:rPr>
                <w:rFonts w:hint="eastAsia" w:ascii="宋体" w:hAnsi="宋体" w:eastAsia="宋体" w:cs="宋体"/>
                <w:color w:val="auto"/>
                <w:spacing w:val="5"/>
                <w:highlight w:val="none"/>
              </w:rPr>
              <w:t>万元的违约金，给委托人</w:t>
            </w:r>
            <w:r>
              <w:rPr>
                <w:rFonts w:hint="eastAsia" w:ascii="宋体" w:hAnsi="宋体" w:eastAsia="宋体" w:cs="宋体"/>
                <w:color w:val="auto"/>
                <w:spacing w:val="4"/>
                <w:highlight w:val="none"/>
              </w:rPr>
              <w:t>造成经济损失的，监理人应以损失额的</w:t>
            </w:r>
            <w:r>
              <w:rPr>
                <w:rFonts w:hint="eastAsia" w:ascii="宋体" w:hAnsi="宋体" w:eastAsia="宋体" w:cs="宋体"/>
                <w:color w:val="auto"/>
                <w:spacing w:val="-40"/>
                <w:highlight w:val="none"/>
              </w:rPr>
              <w:t xml:space="preserve"> </w:t>
            </w:r>
            <w:r>
              <w:rPr>
                <w:rFonts w:hint="eastAsia" w:ascii="宋体" w:hAnsi="宋体" w:eastAsia="宋体" w:cs="宋体"/>
                <w:color w:val="auto"/>
                <w:spacing w:val="4"/>
                <w:highlight w:val="none"/>
                <w:u w:val="single" w:color="auto"/>
              </w:rPr>
              <w:t>30</w:t>
            </w:r>
            <w:r>
              <w:rPr>
                <w:rFonts w:hint="eastAsia" w:ascii="宋体" w:hAnsi="宋体" w:eastAsia="宋体" w:cs="宋体"/>
                <w:color w:val="auto"/>
                <w:spacing w:val="4"/>
                <w:highlight w:val="none"/>
              </w:rPr>
              <w:t>%（在合同条款</w:t>
            </w:r>
            <w:r>
              <w:rPr>
                <w:rFonts w:hint="eastAsia" w:ascii="宋体" w:hAnsi="宋体" w:eastAsia="宋体" w:cs="宋体"/>
                <w:color w:val="auto"/>
                <w:spacing w:val="-35"/>
                <w:highlight w:val="none"/>
              </w:rPr>
              <w:t xml:space="preserve"> </w:t>
            </w:r>
            <w:r>
              <w:rPr>
                <w:rFonts w:hint="eastAsia" w:ascii="宋体" w:hAnsi="宋体" w:eastAsia="宋体" w:cs="宋体"/>
                <w:color w:val="auto"/>
                <w:spacing w:val="4"/>
                <w:highlight w:val="none"/>
              </w:rPr>
              <w:t>11.5 款规定的赔偿限额</w:t>
            </w:r>
            <w:r>
              <w:rPr>
                <w:rFonts w:hint="eastAsia" w:ascii="宋体" w:hAnsi="宋体" w:eastAsia="宋体" w:cs="宋体"/>
                <w:color w:val="auto"/>
                <w:spacing w:val="1"/>
                <w:highlight w:val="none"/>
              </w:rPr>
              <w:t>内）赔付给委托人，同</w:t>
            </w:r>
            <w:r>
              <w:rPr>
                <w:rFonts w:hint="eastAsia" w:ascii="宋体" w:hAnsi="宋体" w:eastAsia="宋体" w:cs="宋体"/>
                <w:color w:val="auto"/>
                <w:spacing w:val="-48"/>
                <w:highlight w:val="none"/>
              </w:rPr>
              <w:t xml:space="preserve"> </w:t>
            </w:r>
            <w:r>
              <w:rPr>
                <w:rFonts w:hint="eastAsia" w:ascii="宋体" w:hAnsi="宋体" w:eastAsia="宋体" w:cs="宋体"/>
                <w:color w:val="auto"/>
                <w:spacing w:val="1"/>
                <w:highlight w:val="none"/>
              </w:rPr>
              <w:t>时该人员必须被撤换。</w:t>
            </w:r>
          </w:p>
        </w:tc>
      </w:tr>
      <w:tr w14:paraId="44E34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610" w:type="dxa"/>
            <w:vMerge w:val="continue"/>
            <w:textDirection w:val="tbRlV"/>
            <w:vAlign w:val="top"/>
          </w:tcPr>
          <w:p w14:paraId="6E276EC3">
            <w:pPr>
              <w:rPr>
                <w:rFonts w:ascii="Arial"/>
                <w:color w:val="auto"/>
                <w:sz w:val="21"/>
                <w:highlight w:val="none"/>
              </w:rPr>
            </w:pPr>
          </w:p>
        </w:tc>
        <w:tc>
          <w:tcPr>
            <w:tcW w:w="845" w:type="dxa"/>
            <w:vAlign w:val="center"/>
          </w:tcPr>
          <w:p w14:paraId="22D25B1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7440" w:type="dxa"/>
            <w:vAlign w:val="top"/>
          </w:tcPr>
          <w:p w14:paraId="11975252">
            <w:pPr>
              <w:pStyle w:val="20"/>
              <w:spacing w:before="35" w:line="227" w:lineRule="auto"/>
              <w:ind w:left="121"/>
              <w:rPr>
                <w:rFonts w:hint="eastAsia" w:ascii="宋体" w:hAnsi="宋体" w:eastAsia="宋体" w:cs="宋体"/>
                <w:color w:val="auto"/>
                <w:highlight w:val="none"/>
              </w:rPr>
            </w:pPr>
            <w:r>
              <w:rPr>
                <w:rFonts w:hint="eastAsia" w:ascii="宋体" w:hAnsi="宋体" w:eastAsia="宋体" w:cs="宋体"/>
                <w:color w:val="auto"/>
                <w:spacing w:val="9"/>
                <w:highlight w:val="none"/>
              </w:rPr>
              <w:t>如发现监理人的投标文件中所报业绩资料有弄虚作假的：</w:t>
            </w:r>
          </w:p>
          <w:p w14:paraId="1854915B">
            <w:pPr>
              <w:pStyle w:val="20"/>
              <w:spacing w:before="53" w:line="228" w:lineRule="auto"/>
              <w:ind w:left="128"/>
              <w:rPr>
                <w:rFonts w:hint="eastAsia" w:ascii="宋体" w:hAnsi="宋体" w:eastAsia="宋体" w:cs="宋体"/>
                <w:color w:val="auto"/>
                <w:highlight w:val="none"/>
              </w:rPr>
            </w:pPr>
            <w:r>
              <w:rPr>
                <w:rFonts w:hint="eastAsia" w:ascii="宋体" w:hAnsi="宋体" w:eastAsia="宋体" w:cs="宋体"/>
                <w:color w:val="auto"/>
                <w:spacing w:val="7"/>
                <w:highlight w:val="none"/>
              </w:rPr>
              <w:t>（1）发现一项处以监理服务费</w:t>
            </w:r>
            <w:r>
              <w:rPr>
                <w:rFonts w:hint="eastAsia" w:ascii="宋体" w:hAnsi="宋体" w:eastAsia="宋体" w:cs="宋体"/>
                <w:color w:val="auto"/>
                <w:spacing w:val="7"/>
                <w:highlight w:val="none"/>
                <w:u w:val="single" w:color="auto"/>
              </w:rPr>
              <w:t xml:space="preserve"> 5 </w:t>
            </w:r>
            <w:r>
              <w:rPr>
                <w:rFonts w:hint="eastAsia" w:ascii="宋体" w:hAnsi="宋体" w:eastAsia="宋体" w:cs="宋体"/>
                <w:color w:val="auto"/>
                <w:spacing w:val="7"/>
                <w:highlight w:val="none"/>
              </w:rPr>
              <w:t>万元的违约金；</w:t>
            </w:r>
          </w:p>
          <w:p w14:paraId="6913AB9F">
            <w:pPr>
              <w:pStyle w:val="20"/>
              <w:spacing w:before="56" w:line="260" w:lineRule="auto"/>
              <w:ind w:left="118" w:right="98" w:firstLine="9"/>
              <w:rPr>
                <w:rFonts w:hint="eastAsia" w:ascii="宋体" w:hAnsi="宋体" w:eastAsia="宋体" w:cs="宋体"/>
                <w:color w:val="auto"/>
                <w:highlight w:val="none"/>
              </w:rPr>
            </w:pPr>
            <w:r>
              <w:rPr>
                <w:rFonts w:hint="eastAsia" w:ascii="宋体" w:hAnsi="宋体" w:eastAsia="宋体" w:cs="宋体"/>
                <w:color w:val="auto"/>
                <w:spacing w:val="15"/>
                <w:highlight w:val="none"/>
              </w:rPr>
              <w:t>（2）情况恶劣的，委托人有权单方面终止监理合同，并没收监理人的</w:t>
            </w:r>
            <w:r>
              <w:rPr>
                <w:rFonts w:hint="eastAsia" w:ascii="宋体" w:hAnsi="宋体" w:eastAsia="宋体" w:cs="宋体"/>
                <w:color w:val="auto"/>
                <w:spacing w:val="14"/>
                <w:highlight w:val="none"/>
              </w:rPr>
              <w:t>履约担</w:t>
            </w:r>
            <w:r>
              <w:rPr>
                <w:rFonts w:hint="eastAsia" w:ascii="宋体" w:hAnsi="宋体" w:eastAsia="宋体" w:cs="宋体"/>
                <w:color w:val="auto"/>
                <w:spacing w:val="2"/>
                <w:highlight w:val="none"/>
              </w:rPr>
              <w:t>保金。</w:t>
            </w:r>
          </w:p>
        </w:tc>
      </w:tr>
      <w:tr w14:paraId="7B43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trPr>
        <w:tc>
          <w:tcPr>
            <w:tcW w:w="610" w:type="dxa"/>
            <w:vMerge w:val="continue"/>
            <w:textDirection w:val="tbRlV"/>
            <w:vAlign w:val="top"/>
          </w:tcPr>
          <w:p w14:paraId="70D8973F">
            <w:pPr>
              <w:rPr>
                <w:rFonts w:ascii="Arial"/>
                <w:color w:val="auto"/>
                <w:sz w:val="21"/>
                <w:highlight w:val="none"/>
              </w:rPr>
            </w:pPr>
          </w:p>
        </w:tc>
        <w:tc>
          <w:tcPr>
            <w:tcW w:w="845" w:type="dxa"/>
            <w:vAlign w:val="center"/>
          </w:tcPr>
          <w:p w14:paraId="67B710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7440" w:type="dxa"/>
            <w:vAlign w:val="top"/>
          </w:tcPr>
          <w:p w14:paraId="09CFEF48">
            <w:pPr>
              <w:pStyle w:val="20"/>
              <w:spacing w:before="138" w:line="227" w:lineRule="auto"/>
              <w:ind w:left="120"/>
              <w:rPr>
                <w:rFonts w:hint="eastAsia" w:ascii="宋体" w:hAnsi="宋体" w:eastAsia="宋体" w:cs="宋体"/>
                <w:color w:val="auto"/>
                <w:highlight w:val="none"/>
              </w:rPr>
            </w:pPr>
            <w:r>
              <w:rPr>
                <w:rFonts w:hint="eastAsia" w:ascii="宋体" w:hAnsi="宋体" w:eastAsia="宋体" w:cs="宋体"/>
                <w:color w:val="auto"/>
                <w:spacing w:val="9"/>
                <w:highlight w:val="none"/>
              </w:rPr>
              <w:t>投标文件中所报主要监理人员中的工作经历或证件有弄虚作假的：</w:t>
            </w:r>
          </w:p>
          <w:p w14:paraId="73829BB4">
            <w:pPr>
              <w:pStyle w:val="20"/>
              <w:spacing w:before="56" w:line="228" w:lineRule="auto"/>
              <w:ind w:left="122"/>
              <w:rPr>
                <w:rFonts w:hint="eastAsia" w:ascii="宋体" w:hAnsi="宋体" w:eastAsia="宋体" w:cs="宋体"/>
                <w:color w:val="auto"/>
                <w:highlight w:val="none"/>
              </w:rPr>
            </w:pPr>
            <w:r>
              <w:rPr>
                <w:rFonts w:hint="eastAsia" w:ascii="宋体" w:hAnsi="宋体" w:eastAsia="宋体" w:cs="宋体"/>
                <w:color w:val="auto"/>
                <w:spacing w:val="1"/>
                <w:sz w:val="18"/>
                <w:szCs w:val="18"/>
                <w:highlight w:val="none"/>
              </w:rPr>
              <w:t xml:space="preserve">（1） </w:t>
            </w:r>
            <w:r>
              <w:rPr>
                <w:rFonts w:hint="eastAsia" w:ascii="宋体" w:hAnsi="宋体" w:eastAsia="宋体" w:cs="宋体"/>
                <w:color w:val="auto"/>
                <w:spacing w:val="1"/>
                <w:highlight w:val="none"/>
              </w:rPr>
              <w:t>发现一人处以监理服务费</w:t>
            </w:r>
            <w:r>
              <w:rPr>
                <w:rFonts w:hint="eastAsia" w:ascii="宋体" w:hAnsi="宋体" w:eastAsia="宋体" w:cs="宋体"/>
                <w:color w:val="auto"/>
                <w:spacing w:val="-63"/>
                <w:highlight w:val="none"/>
              </w:rPr>
              <w:t xml:space="preserve"> </w:t>
            </w:r>
            <w:r>
              <w:rPr>
                <w:rFonts w:hint="eastAsia" w:ascii="宋体" w:hAnsi="宋体" w:eastAsia="宋体" w:cs="宋体"/>
                <w:color w:val="auto"/>
                <w:spacing w:val="-25"/>
                <w:highlight w:val="none"/>
                <w:u w:val="single" w:color="auto"/>
              </w:rPr>
              <w:t xml:space="preserve"> </w:t>
            </w:r>
            <w:r>
              <w:rPr>
                <w:rFonts w:hint="eastAsia" w:ascii="宋体" w:hAnsi="宋体" w:eastAsia="宋体" w:cs="宋体"/>
                <w:color w:val="auto"/>
                <w:spacing w:val="1"/>
                <w:highlight w:val="none"/>
                <w:u w:val="single" w:color="auto"/>
              </w:rPr>
              <w:t>1</w:t>
            </w:r>
            <w:r>
              <w:rPr>
                <w:rFonts w:hint="eastAsia" w:ascii="宋体" w:hAnsi="宋体" w:eastAsia="宋体" w:cs="宋体"/>
                <w:color w:val="auto"/>
                <w:spacing w:val="1"/>
                <w:highlight w:val="none"/>
              </w:rPr>
              <w:t xml:space="preserve"> 万元</w:t>
            </w:r>
            <w:r>
              <w:rPr>
                <w:rFonts w:hint="eastAsia" w:ascii="宋体" w:hAnsi="宋体" w:eastAsia="宋体" w:cs="宋体"/>
                <w:color w:val="auto"/>
                <w:highlight w:val="none"/>
              </w:rPr>
              <w:t>的违约金；</w:t>
            </w:r>
          </w:p>
          <w:p w14:paraId="7BCC2E98">
            <w:pPr>
              <w:pStyle w:val="20"/>
              <w:spacing w:before="55" w:line="228" w:lineRule="auto"/>
              <w:ind w:left="122"/>
              <w:rPr>
                <w:rFonts w:hint="eastAsia" w:ascii="宋体" w:hAnsi="宋体" w:eastAsia="宋体" w:cs="宋体"/>
                <w:color w:val="auto"/>
                <w:highlight w:val="none"/>
              </w:rPr>
            </w:pPr>
            <w:r>
              <w:rPr>
                <w:rFonts w:hint="eastAsia" w:ascii="宋体" w:hAnsi="宋体" w:eastAsia="宋体" w:cs="宋体"/>
                <w:color w:val="auto"/>
                <w:spacing w:val="2"/>
                <w:sz w:val="18"/>
                <w:szCs w:val="18"/>
                <w:highlight w:val="none"/>
              </w:rPr>
              <w:t xml:space="preserve">（2） </w:t>
            </w:r>
            <w:r>
              <w:rPr>
                <w:rFonts w:hint="eastAsia" w:ascii="宋体" w:hAnsi="宋体" w:eastAsia="宋体" w:cs="宋体"/>
                <w:color w:val="auto"/>
                <w:spacing w:val="2"/>
                <w:highlight w:val="none"/>
              </w:rPr>
              <w:t>情节恶劣的，委托人有权要求更换该人员。</w:t>
            </w:r>
          </w:p>
        </w:tc>
      </w:tr>
      <w:tr w14:paraId="515F1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1" w:hRule="atLeast"/>
        </w:trPr>
        <w:tc>
          <w:tcPr>
            <w:tcW w:w="610" w:type="dxa"/>
            <w:vMerge w:val="continue"/>
            <w:vAlign w:val="top"/>
          </w:tcPr>
          <w:p w14:paraId="1257C78E">
            <w:pPr>
              <w:rPr>
                <w:rFonts w:ascii="Arial"/>
                <w:color w:val="auto"/>
                <w:sz w:val="21"/>
                <w:highlight w:val="none"/>
              </w:rPr>
            </w:pPr>
          </w:p>
        </w:tc>
        <w:tc>
          <w:tcPr>
            <w:tcW w:w="845" w:type="dxa"/>
            <w:vAlign w:val="center"/>
          </w:tcPr>
          <w:p w14:paraId="3502BD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7440" w:type="dxa"/>
            <w:vAlign w:val="top"/>
          </w:tcPr>
          <w:p w14:paraId="4530FA06">
            <w:pPr>
              <w:pStyle w:val="20"/>
              <w:spacing w:before="190" w:line="279" w:lineRule="auto"/>
              <w:ind w:left="117" w:right="177" w:firstLine="2"/>
              <w:rPr>
                <w:color w:val="auto"/>
                <w:highlight w:val="none"/>
              </w:rPr>
            </w:pPr>
            <w:r>
              <w:rPr>
                <w:color w:val="auto"/>
                <w:spacing w:val="7"/>
                <w:highlight w:val="none"/>
              </w:rPr>
              <w:t>投标时列报的人员不能满足</w:t>
            </w:r>
            <w:r>
              <w:rPr>
                <w:color w:val="auto"/>
                <w:spacing w:val="-33"/>
                <w:highlight w:val="none"/>
              </w:rPr>
              <w:t xml:space="preserve"> </w:t>
            </w:r>
            <w:r>
              <w:rPr>
                <w:rFonts w:ascii="Times New Roman" w:hAnsi="Times New Roman" w:eastAsia="Times New Roman" w:cs="Times New Roman"/>
                <w:color w:val="auto"/>
                <w:spacing w:val="7"/>
                <w:highlight w:val="none"/>
              </w:rPr>
              <w:t>5</w:t>
            </w:r>
            <w:r>
              <w:rPr>
                <w:rFonts w:ascii="Times New Roman" w:hAnsi="Times New Roman" w:eastAsia="Times New Roman" w:cs="Times New Roman"/>
                <w:color w:val="auto"/>
                <w:spacing w:val="7"/>
                <w:highlight w:val="none"/>
                <w:u w:val="single" w:color="auto"/>
              </w:rPr>
              <w:t>0</w:t>
            </w:r>
            <w:r>
              <w:rPr>
                <w:rFonts w:ascii="Calibri" w:hAnsi="Calibri" w:eastAsia="Calibri" w:cs="Calibri"/>
                <w:color w:val="auto"/>
                <w:spacing w:val="7"/>
                <w:highlight w:val="none"/>
              </w:rPr>
              <w:t>%</w:t>
            </w:r>
            <w:r>
              <w:rPr>
                <w:color w:val="auto"/>
                <w:spacing w:val="7"/>
                <w:highlight w:val="none"/>
              </w:rPr>
              <w:t>为本单位自有人员的（</w:t>
            </w:r>
            <w:r>
              <w:rPr>
                <w:color w:val="auto"/>
                <w:spacing w:val="-20"/>
                <w:highlight w:val="none"/>
              </w:rPr>
              <w:t xml:space="preserve"> </w:t>
            </w:r>
            <w:r>
              <w:rPr>
                <w:color w:val="auto"/>
                <w:spacing w:val="7"/>
                <w:highlight w:val="none"/>
              </w:rPr>
              <w:t>自有人员是指为监理人</w:t>
            </w:r>
            <w:r>
              <w:rPr>
                <w:color w:val="auto"/>
                <w:spacing w:val="4"/>
                <w:highlight w:val="none"/>
              </w:rPr>
              <w:t>服务年限不少于</w:t>
            </w:r>
            <w:r>
              <w:rPr>
                <w:color w:val="auto"/>
                <w:spacing w:val="-48"/>
                <w:highlight w:val="none"/>
              </w:rPr>
              <w:t xml:space="preserve"> </w:t>
            </w:r>
            <w:r>
              <w:rPr>
                <w:rFonts w:ascii="Times New Roman" w:hAnsi="Times New Roman" w:eastAsia="Times New Roman" w:cs="Times New Roman"/>
                <w:color w:val="auto"/>
                <w:spacing w:val="4"/>
                <w:highlight w:val="none"/>
              </w:rPr>
              <w:t xml:space="preserve">3 </w:t>
            </w:r>
            <w:r>
              <w:rPr>
                <w:color w:val="auto"/>
                <w:spacing w:val="4"/>
                <w:highlight w:val="none"/>
              </w:rPr>
              <w:t>年的人员</w:t>
            </w:r>
            <w:r>
              <w:rPr>
                <w:color w:val="auto"/>
                <w:spacing w:val="17"/>
                <w:highlight w:val="none"/>
              </w:rPr>
              <w:t>），</w:t>
            </w:r>
            <w:r>
              <w:rPr>
                <w:color w:val="auto"/>
                <w:spacing w:val="4"/>
                <w:highlight w:val="none"/>
              </w:rPr>
              <w:t>按下列条款处理：</w:t>
            </w:r>
          </w:p>
          <w:p w14:paraId="57B0A151">
            <w:pPr>
              <w:pStyle w:val="20"/>
              <w:spacing w:line="228" w:lineRule="auto"/>
              <w:ind w:left="122"/>
              <w:rPr>
                <w:color w:val="auto"/>
                <w:highlight w:val="none"/>
              </w:rPr>
            </w:pPr>
            <w:r>
              <w:rPr>
                <w:color w:val="auto"/>
                <w:spacing w:val="-1"/>
                <w:sz w:val="18"/>
                <w:szCs w:val="18"/>
                <w:highlight w:val="none"/>
              </w:rPr>
              <w:t xml:space="preserve">（1） </w:t>
            </w:r>
            <w:r>
              <w:rPr>
                <w:color w:val="auto"/>
                <w:spacing w:val="-1"/>
                <w:highlight w:val="none"/>
              </w:rPr>
              <w:t>处以</w:t>
            </w:r>
            <w:r>
              <w:rPr>
                <w:rFonts w:ascii="Times New Roman" w:hAnsi="Times New Roman" w:eastAsia="Times New Roman" w:cs="Times New Roman"/>
                <w:color w:val="auto"/>
                <w:spacing w:val="-1"/>
                <w:highlight w:val="none"/>
                <w:u w:val="single" w:color="auto"/>
              </w:rPr>
              <w:t>5</w:t>
            </w:r>
            <w:r>
              <w:rPr>
                <w:rFonts w:ascii="Times New Roman" w:hAnsi="Times New Roman" w:eastAsia="Times New Roman" w:cs="Times New Roman"/>
                <w:color w:val="auto"/>
                <w:spacing w:val="-1"/>
                <w:highlight w:val="none"/>
              </w:rPr>
              <w:t xml:space="preserve"> </w:t>
            </w:r>
            <w:r>
              <w:rPr>
                <w:color w:val="auto"/>
                <w:spacing w:val="-1"/>
                <w:highlight w:val="none"/>
              </w:rPr>
              <w:t>万元的违约金；</w:t>
            </w:r>
          </w:p>
          <w:p w14:paraId="236A4D9E">
            <w:pPr>
              <w:pStyle w:val="20"/>
              <w:spacing w:before="22" w:line="284" w:lineRule="auto"/>
              <w:ind w:left="109" w:right="317" w:firstLine="12"/>
              <w:rPr>
                <w:color w:val="auto"/>
                <w:highlight w:val="none"/>
              </w:rPr>
            </w:pPr>
            <w:r>
              <w:rPr>
                <w:color w:val="auto"/>
                <w:spacing w:val="6"/>
                <w:sz w:val="18"/>
                <w:szCs w:val="18"/>
                <w:highlight w:val="none"/>
              </w:rPr>
              <w:t xml:space="preserve">（2） </w:t>
            </w:r>
            <w:r>
              <w:rPr>
                <w:color w:val="auto"/>
                <w:spacing w:val="6"/>
                <w:highlight w:val="none"/>
              </w:rPr>
              <w:t>同时须按要求补足至最低限度要求，如不执行，委托人将处以</w:t>
            </w:r>
            <w:r>
              <w:rPr>
                <w:color w:val="auto"/>
                <w:spacing w:val="-46"/>
                <w:highlight w:val="none"/>
              </w:rPr>
              <w:t xml:space="preserve"> </w:t>
            </w:r>
            <w:r>
              <w:rPr>
                <w:rFonts w:ascii="Times New Roman" w:hAnsi="Times New Roman" w:eastAsia="Times New Roman" w:cs="Times New Roman"/>
                <w:color w:val="auto"/>
                <w:spacing w:val="6"/>
                <w:highlight w:val="none"/>
                <w:u w:val="single" w:color="auto"/>
              </w:rPr>
              <w:t>500</w:t>
            </w:r>
            <w:r>
              <w:rPr>
                <w:color w:val="auto"/>
                <w:spacing w:val="6"/>
                <w:highlight w:val="none"/>
              </w:rPr>
              <w:t>元</w:t>
            </w:r>
            <w:r>
              <w:rPr>
                <w:rFonts w:ascii="Calibri" w:hAnsi="Calibri" w:eastAsia="Calibri" w:cs="Calibri"/>
                <w:color w:val="auto"/>
                <w:spacing w:val="6"/>
                <w:highlight w:val="none"/>
              </w:rPr>
              <w:t>/</w:t>
            </w:r>
            <w:r>
              <w:rPr>
                <w:color w:val="auto"/>
                <w:spacing w:val="6"/>
                <w:highlight w:val="none"/>
              </w:rPr>
              <w:t>天</w:t>
            </w:r>
            <w:r>
              <w:rPr>
                <w:rFonts w:ascii="Calibri" w:hAnsi="Calibri" w:eastAsia="Calibri" w:cs="Calibri"/>
                <w:color w:val="auto"/>
                <w:spacing w:val="9"/>
                <w:highlight w:val="none"/>
              </w:rPr>
              <w:t>/</w:t>
            </w:r>
            <w:r>
              <w:rPr>
                <w:color w:val="auto"/>
                <w:spacing w:val="9"/>
                <w:highlight w:val="none"/>
              </w:rPr>
              <w:t>人的违约金直至监理人纠正至满足要求为止。</w:t>
            </w:r>
          </w:p>
        </w:tc>
      </w:tr>
      <w:tr w14:paraId="32FCE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10" w:type="dxa"/>
            <w:vMerge w:val="continue"/>
            <w:vAlign w:val="top"/>
          </w:tcPr>
          <w:p w14:paraId="3368072C">
            <w:pPr>
              <w:rPr>
                <w:rFonts w:ascii="Arial"/>
                <w:color w:val="auto"/>
                <w:sz w:val="21"/>
                <w:highlight w:val="none"/>
              </w:rPr>
            </w:pPr>
          </w:p>
        </w:tc>
        <w:tc>
          <w:tcPr>
            <w:tcW w:w="845" w:type="dxa"/>
            <w:vAlign w:val="center"/>
          </w:tcPr>
          <w:p w14:paraId="6682727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7</w:t>
            </w:r>
          </w:p>
        </w:tc>
        <w:tc>
          <w:tcPr>
            <w:tcW w:w="7440" w:type="dxa"/>
            <w:vAlign w:val="top"/>
          </w:tcPr>
          <w:p w14:paraId="3F4A6842">
            <w:pPr>
              <w:pStyle w:val="20"/>
              <w:spacing w:before="130" w:line="267" w:lineRule="auto"/>
              <w:ind w:left="120" w:right="187" w:hanging="2"/>
              <w:rPr>
                <w:color w:val="auto"/>
                <w:highlight w:val="none"/>
              </w:rPr>
            </w:pPr>
            <w:r>
              <w:rPr>
                <w:color w:val="auto"/>
                <w:spacing w:val="10"/>
                <w:highlight w:val="none"/>
              </w:rPr>
              <w:t>监理人或监理人员不得以任何名义向承包人索要</w:t>
            </w:r>
            <w:r>
              <w:rPr>
                <w:color w:val="auto"/>
                <w:spacing w:val="9"/>
                <w:highlight w:val="none"/>
              </w:rPr>
              <w:t>各种费用、物品或器具等，每</w:t>
            </w:r>
            <w:r>
              <w:rPr>
                <w:color w:val="auto"/>
                <w:spacing w:val="7"/>
                <w:highlight w:val="none"/>
              </w:rPr>
              <w:t>发现一次处以监理服务费</w:t>
            </w:r>
            <w:r>
              <w:rPr>
                <w:color w:val="auto"/>
                <w:spacing w:val="-42"/>
                <w:highlight w:val="none"/>
              </w:rPr>
              <w:t xml:space="preserve"> </w:t>
            </w:r>
            <w:r>
              <w:rPr>
                <w:rFonts w:ascii="Times New Roman" w:hAnsi="Times New Roman" w:eastAsia="Times New Roman" w:cs="Times New Roman"/>
                <w:color w:val="auto"/>
                <w:spacing w:val="-24"/>
                <w:highlight w:val="none"/>
                <w:u w:val="single" w:color="auto"/>
              </w:rPr>
              <w:t xml:space="preserve"> </w:t>
            </w:r>
            <w:r>
              <w:rPr>
                <w:rFonts w:ascii="Times New Roman" w:hAnsi="Times New Roman" w:eastAsia="Times New Roman" w:cs="Times New Roman"/>
                <w:color w:val="auto"/>
                <w:spacing w:val="7"/>
                <w:highlight w:val="none"/>
                <w:u w:val="single" w:color="auto"/>
              </w:rPr>
              <w:t>10</w:t>
            </w:r>
            <w:r>
              <w:rPr>
                <w:rFonts w:ascii="Times New Roman" w:hAnsi="Times New Roman" w:eastAsia="Times New Roman" w:cs="Times New Roman"/>
                <w:color w:val="auto"/>
                <w:spacing w:val="7"/>
                <w:highlight w:val="none"/>
              </w:rPr>
              <w:t xml:space="preserve"> </w:t>
            </w:r>
            <w:r>
              <w:rPr>
                <w:color w:val="auto"/>
                <w:spacing w:val="7"/>
                <w:highlight w:val="none"/>
              </w:rPr>
              <w:t>万元的违约金，并撤换该人员。</w:t>
            </w:r>
          </w:p>
        </w:tc>
      </w:tr>
      <w:tr w14:paraId="017B7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10" w:type="dxa"/>
            <w:vMerge w:val="continue"/>
            <w:vAlign w:val="top"/>
          </w:tcPr>
          <w:p w14:paraId="099E6A47">
            <w:pPr>
              <w:rPr>
                <w:rFonts w:ascii="Arial"/>
                <w:color w:val="auto"/>
                <w:sz w:val="21"/>
                <w:highlight w:val="none"/>
              </w:rPr>
            </w:pPr>
          </w:p>
        </w:tc>
        <w:tc>
          <w:tcPr>
            <w:tcW w:w="845" w:type="dxa"/>
            <w:vAlign w:val="center"/>
          </w:tcPr>
          <w:p w14:paraId="2CBEDF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8</w:t>
            </w:r>
          </w:p>
        </w:tc>
        <w:tc>
          <w:tcPr>
            <w:tcW w:w="7440" w:type="dxa"/>
            <w:vAlign w:val="top"/>
          </w:tcPr>
          <w:p w14:paraId="3BFFD636">
            <w:pPr>
              <w:pStyle w:val="20"/>
              <w:spacing w:before="129" w:line="267" w:lineRule="auto"/>
              <w:ind w:left="117" w:right="187" w:firstLine="1"/>
              <w:rPr>
                <w:color w:val="auto"/>
                <w:highlight w:val="none"/>
              </w:rPr>
            </w:pPr>
            <w:r>
              <w:rPr>
                <w:color w:val="auto"/>
                <w:spacing w:val="10"/>
                <w:highlight w:val="none"/>
              </w:rPr>
              <w:t>监理人违反监理合同的规定，将监理服务的任何</w:t>
            </w:r>
            <w:r>
              <w:rPr>
                <w:color w:val="auto"/>
                <w:spacing w:val="9"/>
                <w:highlight w:val="none"/>
              </w:rPr>
              <w:t>部分转让或分包的，委托人有权单方面终止监理合同，并没收监理人的履约担保金。</w:t>
            </w:r>
          </w:p>
        </w:tc>
      </w:tr>
      <w:tr w14:paraId="19AEF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5" w:hRule="atLeast"/>
        </w:trPr>
        <w:tc>
          <w:tcPr>
            <w:tcW w:w="610" w:type="dxa"/>
            <w:vMerge w:val="continue"/>
            <w:vAlign w:val="top"/>
          </w:tcPr>
          <w:p w14:paraId="2C305CE1">
            <w:pPr>
              <w:rPr>
                <w:rFonts w:ascii="Arial"/>
                <w:color w:val="auto"/>
                <w:sz w:val="21"/>
                <w:highlight w:val="none"/>
              </w:rPr>
            </w:pPr>
          </w:p>
        </w:tc>
        <w:tc>
          <w:tcPr>
            <w:tcW w:w="845" w:type="dxa"/>
            <w:vAlign w:val="center"/>
          </w:tcPr>
          <w:p w14:paraId="7C34751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9</w:t>
            </w:r>
          </w:p>
        </w:tc>
        <w:tc>
          <w:tcPr>
            <w:tcW w:w="7440" w:type="dxa"/>
            <w:vAlign w:val="top"/>
          </w:tcPr>
          <w:p w14:paraId="03AA161C">
            <w:pPr>
              <w:pStyle w:val="20"/>
              <w:spacing w:before="118" w:line="279" w:lineRule="auto"/>
              <w:ind w:left="134" w:right="187" w:hanging="16"/>
              <w:rPr>
                <w:color w:val="auto"/>
                <w:highlight w:val="none"/>
              </w:rPr>
            </w:pPr>
            <w:r>
              <w:rPr>
                <w:color w:val="auto"/>
                <w:spacing w:val="10"/>
                <w:highlight w:val="none"/>
              </w:rPr>
              <w:t>监理人不履行职责，造成工程质量、安全事故或</w:t>
            </w:r>
            <w:r>
              <w:rPr>
                <w:color w:val="auto"/>
                <w:spacing w:val="9"/>
                <w:highlight w:val="none"/>
              </w:rPr>
              <w:t>与承包人串通损害委托人利益</w:t>
            </w:r>
            <w:r>
              <w:rPr>
                <w:color w:val="auto"/>
                <w:spacing w:val="7"/>
                <w:highlight w:val="none"/>
              </w:rPr>
              <w:t>的，委托人有权采取以下措施：</w:t>
            </w:r>
          </w:p>
          <w:p w14:paraId="4E2372BC">
            <w:pPr>
              <w:pStyle w:val="20"/>
              <w:spacing w:line="280" w:lineRule="auto"/>
              <w:ind w:left="118" w:right="391" w:firstLine="4"/>
              <w:rPr>
                <w:color w:val="auto"/>
                <w:highlight w:val="none"/>
              </w:rPr>
            </w:pPr>
            <w:r>
              <w:rPr>
                <w:color w:val="auto"/>
                <w:spacing w:val="6"/>
                <w:sz w:val="18"/>
                <w:szCs w:val="18"/>
                <w:highlight w:val="none"/>
              </w:rPr>
              <w:t xml:space="preserve">（1） </w:t>
            </w:r>
            <w:r>
              <w:rPr>
                <w:color w:val="auto"/>
                <w:spacing w:val="6"/>
                <w:highlight w:val="none"/>
              </w:rPr>
              <w:t>处以</w:t>
            </w:r>
            <w:r>
              <w:rPr>
                <w:rFonts w:ascii="Times New Roman" w:hAnsi="Times New Roman" w:eastAsia="Times New Roman" w:cs="Times New Roman"/>
                <w:color w:val="auto"/>
                <w:spacing w:val="6"/>
                <w:highlight w:val="none"/>
                <w:u w:val="single" w:color="auto"/>
              </w:rPr>
              <w:t>2</w:t>
            </w:r>
            <w:r>
              <w:rPr>
                <w:rFonts w:ascii="Times New Roman" w:hAnsi="Times New Roman" w:eastAsia="Times New Roman" w:cs="Times New Roman"/>
                <w:color w:val="auto"/>
                <w:spacing w:val="6"/>
                <w:highlight w:val="none"/>
              </w:rPr>
              <w:t xml:space="preserve"> </w:t>
            </w:r>
            <w:r>
              <w:rPr>
                <w:color w:val="auto"/>
                <w:spacing w:val="6"/>
                <w:highlight w:val="none"/>
              </w:rPr>
              <w:t>万元的违约金。给委托人造成经济损失的，监理人应以损失额的</w:t>
            </w:r>
            <w:r>
              <w:rPr>
                <w:rFonts w:ascii="Times New Roman" w:hAnsi="Times New Roman" w:eastAsia="Times New Roman" w:cs="Times New Roman"/>
                <w:color w:val="auto"/>
                <w:spacing w:val="7"/>
                <w:highlight w:val="none"/>
                <w:u w:val="single" w:color="auto"/>
              </w:rPr>
              <w:t>30</w:t>
            </w:r>
            <w:r>
              <w:rPr>
                <w:rFonts w:ascii="Calibri" w:hAnsi="Calibri" w:eastAsia="Calibri" w:cs="Calibri"/>
                <w:color w:val="auto"/>
                <w:spacing w:val="7"/>
                <w:highlight w:val="none"/>
              </w:rPr>
              <w:t>%</w:t>
            </w:r>
            <w:r>
              <w:rPr>
                <w:color w:val="auto"/>
                <w:spacing w:val="7"/>
                <w:highlight w:val="none"/>
              </w:rPr>
              <w:t>（在合同条款</w:t>
            </w:r>
            <w:r>
              <w:rPr>
                <w:color w:val="auto"/>
                <w:spacing w:val="-26"/>
                <w:highlight w:val="none"/>
              </w:rPr>
              <w:t xml:space="preserve"> </w:t>
            </w:r>
            <w:r>
              <w:rPr>
                <w:rFonts w:ascii="Calibri" w:hAnsi="Calibri" w:eastAsia="Calibri" w:cs="Calibri"/>
                <w:color w:val="auto"/>
                <w:spacing w:val="7"/>
                <w:highlight w:val="none"/>
              </w:rPr>
              <w:t>11.5</w:t>
            </w:r>
            <w:r>
              <w:rPr>
                <w:rFonts w:ascii="Calibri" w:hAnsi="Calibri" w:eastAsia="Calibri" w:cs="Calibri"/>
                <w:color w:val="auto"/>
                <w:spacing w:val="14"/>
                <w:highlight w:val="none"/>
              </w:rPr>
              <w:t xml:space="preserve"> </w:t>
            </w:r>
            <w:r>
              <w:rPr>
                <w:color w:val="auto"/>
                <w:spacing w:val="7"/>
                <w:highlight w:val="none"/>
              </w:rPr>
              <w:t>款规定的赔偿限额内）赔付给委托人。</w:t>
            </w:r>
          </w:p>
          <w:p w14:paraId="6A609A28">
            <w:pPr>
              <w:pStyle w:val="20"/>
              <w:spacing w:before="1" w:line="260" w:lineRule="auto"/>
              <w:ind w:left="118" w:right="463" w:firstLine="6"/>
              <w:rPr>
                <w:color w:val="auto"/>
                <w:highlight w:val="none"/>
              </w:rPr>
            </w:pPr>
            <w:r>
              <w:rPr>
                <w:color w:val="auto"/>
                <w:spacing w:val="9"/>
                <w:sz w:val="18"/>
                <w:szCs w:val="18"/>
                <w:highlight w:val="none"/>
              </w:rPr>
              <w:t xml:space="preserve">（2） </w:t>
            </w:r>
            <w:r>
              <w:rPr>
                <w:color w:val="auto"/>
                <w:spacing w:val="9"/>
                <w:highlight w:val="none"/>
              </w:rPr>
              <w:t>情节严重的，委托人将单方面终止监理合同，并没收监理人的履约担</w:t>
            </w:r>
            <w:r>
              <w:rPr>
                <w:color w:val="auto"/>
                <w:highlight w:val="none"/>
              </w:rPr>
              <w:t>保。</w:t>
            </w:r>
          </w:p>
        </w:tc>
      </w:tr>
      <w:tr w14:paraId="1E778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610" w:type="dxa"/>
            <w:vMerge w:val="restart"/>
            <w:tcBorders>
              <w:bottom w:val="nil"/>
            </w:tcBorders>
            <w:textDirection w:val="tbRlV"/>
            <w:vAlign w:val="top"/>
          </w:tcPr>
          <w:p w14:paraId="78124F5D">
            <w:pPr>
              <w:pStyle w:val="20"/>
              <w:spacing w:before="194" w:line="217" w:lineRule="auto"/>
              <w:ind w:left="3274"/>
              <w:rPr>
                <w:color w:val="auto"/>
                <w:highlight w:val="none"/>
              </w:rPr>
            </w:pPr>
            <w:r>
              <w:rPr>
                <w:b/>
                <w:bCs/>
                <w:color w:val="auto"/>
                <w:spacing w:val="6"/>
                <w:highlight w:val="none"/>
              </w:rPr>
              <w:t>工</w:t>
            </w:r>
            <w:r>
              <w:rPr>
                <w:color w:val="auto"/>
                <w:spacing w:val="-8"/>
                <w:highlight w:val="none"/>
              </w:rPr>
              <w:t xml:space="preserve"> </w:t>
            </w:r>
            <w:r>
              <w:rPr>
                <w:b/>
                <w:bCs/>
                <w:color w:val="auto"/>
                <w:spacing w:val="6"/>
                <w:highlight w:val="none"/>
              </w:rPr>
              <w:t>作</w:t>
            </w:r>
            <w:r>
              <w:rPr>
                <w:color w:val="auto"/>
                <w:spacing w:val="-6"/>
                <w:highlight w:val="none"/>
              </w:rPr>
              <w:t xml:space="preserve"> </w:t>
            </w:r>
            <w:r>
              <w:rPr>
                <w:b/>
                <w:bCs/>
                <w:color w:val="auto"/>
                <w:spacing w:val="6"/>
                <w:highlight w:val="none"/>
              </w:rPr>
              <w:t>态</w:t>
            </w:r>
            <w:r>
              <w:rPr>
                <w:color w:val="auto"/>
                <w:spacing w:val="-6"/>
                <w:highlight w:val="none"/>
              </w:rPr>
              <w:t xml:space="preserve"> </w:t>
            </w:r>
            <w:r>
              <w:rPr>
                <w:b/>
                <w:bCs/>
                <w:color w:val="auto"/>
                <w:spacing w:val="6"/>
                <w:highlight w:val="none"/>
              </w:rPr>
              <w:t>度</w:t>
            </w:r>
          </w:p>
        </w:tc>
        <w:tc>
          <w:tcPr>
            <w:tcW w:w="845" w:type="dxa"/>
            <w:vAlign w:val="center"/>
          </w:tcPr>
          <w:p w14:paraId="21D9CBB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10</w:t>
            </w:r>
          </w:p>
        </w:tc>
        <w:tc>
          <w:tcPr>
            <w:tcW w:w="7440" w:type="dxa"/>
            <w:vAlign w:val="top"/>
          </w:tcPr>
          <w:p w14:paraId="03BB37B0">
            <w:pPr>
              <w:pStyle w:val="20"/>
              <w:spacing w:before="131" w:line="270" w:lineRule="auto"/>
              <w:ind w:left="117" w:right="79" w:firstLine="2"/>
              <w:jc w:val="both"/>
              <w:rPr>
                <w:color w:val="auto"/>
                <w:highlight w:val="none"/>
              </w:rPr>
            </w:pPr>
            <w:r>
              <w:rPr>
                <w:color w:val="auto"/>
                <w:spacing w:val="7"/>
                <w:highlight w:val="none"/>
              </w:rPr>
              <w:t>最新《公路工程施工监理规范》</w:t>
            </w:r>
            <w:r>
              <w:rPr>
                <w:color w:val="auto"/>
                <w:spacing w:val="4"/>
                <w:highlight w:val="none"/>
              </w:rPr>
              <w:t xml:space="preserve"> </w:t>
            </w:r>
            <w:r>
              <w:rPr>
                <w:color w:val="auto"/>
                <w:spacing w:val="7"/>
                <w:highlight w:val="none"/>
              </w:rPr>
              <w:t>附录</w:t>
            </w:r>
            <w:r>
              <w:rPr>
                <w:color w:val="auto"/>
                <w:spacing w:val="-48"/>
                <w:highlight w:val="none"/>
              </w:rPr>
              <w:t xml:space="preserve"> </w:t>
            </w:r>
            <w:r>
              <w:rPr>
                <w:rFonts w:ascii="Times New Roman" w:hAnsi="Times New Roman" w:eastAsia="Times New Roman" w:cs="Times New Roman"/>
                <w:color w:val="auto"/>
                <w:spacing w:val="7"/>
                <w:highlight w:val="none"/>
              </w:rPr>
              <w:t>A</w:t>
            </w:r>
            <w:r>
              <w:rPr>
                <w:rFonts w:ascii="Times New Roman" w:hAnsi="Times New Roman" w:eastAsia="Times New Roman" w:cs="Times New Roman"/>
                <w:color w:val="auto"/>
                <w:spacing w:val="26"/>
                <w:highlight w:val="none"/>
              </w:rPr>
              <w:t xml:space="preserve"> </w:t>
            </w:r>
            <w:r>
              <w:rPr>
                <w:color w:val="auto"/>
                <w:spacing w:val="7"/>
                <w:highlight w:val="none"/>
              </w:rPr>
              <w:t>中规定的工序、部位必须进行旁站，隐</w:t>
            </w:r>
            <w:r>
              <w:rPr>
                <w:color w:val="auto"/>
                <w:spacing w:val="16"/>
                <w:highlight w:val="none"/>
              </w:rPr>
              <w:t>蔽工程必须全过程旁站。若发现无旁站时，每发现一次给予监理人</w:t>
            </w:r>
            <w:r>
              <w:rPr>
                <w:color w:val="auto"/>
                <w:spacing w:val="-24"/>
                <w:highlight w:val="none"/>
              </w:rPr>
              <w:t xml:space="preserve"> </w:t>
            </w:r>
            <w:r>
              <w:rPr>
                <w:rFonts w:ascii="Times New Roman" w:hAnsi="Times New Roman" w:eastAsia="Times New Roman" w:cs="Times New Roman"/>
                <w:color w:val="auto"/>
                <w:spacing w:val="16"/>
                <w:highlight w:val="none"/>
                <w:u w:val="single" w:color="auto"/>
              </w:rPr>
              <w:t>3000</w:t>
            </w:r>
            <w:r>
              <w:rPr>
                <w:color w:val="auto"/>
                <w:spacing w:val="16"/>
                <w:highlight w:val="none"/>
              </w:rPr>
              <w:t>元的</w:t>
            </w:r>
            <w:r>
              <w:rPr>
                <w:color w:val="auto"/>
                <w:spacing w:val="5"/>
                <w:highlight w:val="none"/>
              </w:rPr>
              <w:t>违约金。</w:t>
            </w:r>
          </w:p>
        </w:tc>
      </w:tr>
      <w:tr w14:paraId="21BDE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610" w:type="dxa"/>
            <w:vMerge w:val="continue"/>
            <w:tcBorders>
              <w:top w:val="nil"/>
              <w:bottom w:val="nil"/>
            </w:tcBorders>
            <w:textDirection w:val="tbRlV"/>
            <w:vAlign w:val="top"/>
          </w:tcPr>
          <w:p w14:paraId="62325A80">
            <w:pPr>
              <w:rPr>
                <w:rFonts w:ascii="Arial"/>
                <w:color w:val="auto"/>
                <w:sz w:val="21"/>
                <w:highlight w:val="none"/>
              </w:rPr>
            </w:pPr>
          </w:p>
        </w:tc>
        <w:tc>
          <w:tcPr>
            <w:tcW w:w="845" w:type="dxa"/>
            <w:vAlign w:val="center"/>
          </w:tcPr>
          <w:p w14:paraId="0C2ACE4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11</w:t>
            </w:r>
          </w:p>
        </w:tc>
        <w:tc>
          <w:tcPr>
            <w:tcW w:w="7440" w:type="dxa"/>
            <w:vAlign w:val="top"/>
          </w:tcPr>
          <w:p w14:paraId="47914BCB">
            <w:pPr>
              <w:pStyle w:val="20"/>
              <w:spacing w:before="187" w:line="286" w:lineRule="auto"/>
              <w:ind w:left="118"/>
              <w:rPr>
                <w:color w:val="auto"/>
                <w:highlight w:val="none"/>
              </w:rPr>
            </w:pPr>
            <w:r>
              <w:rPr>
                <w:color w:val="auto"/>
                <w:spacing w:val="8"/>
                <w:highlight w:val="none"/>
              </w:rPr>
              <w:t>监理人员必须及时检查和签认现场资料，如违反处以</w:t>
            </w:r>
            <w:r>
              <w:rPr>
                <w:color w:val="auto"/>
                <w:spacing w:val="-44"/>
                <w:highlight w:val="none"/>
              </w:rPr>
              <w:t xml:space="preserve"> </w:t>
            </w:r>
            <w:r>
              <w:rPr>
                <w:rFonts w:ascii="Times New Roman" w:hAnsi="Times New Roman" w:eastAsia="Times New Roman" w:cs="Times New Roman"/>
                <w:color w:val="auto"/>
                <w:spacing w:val="8"/>
                <w:highlight w:val="none"/>
                <w:u w:val="single" w:color="auto"/>
              </w:rPr>
              <w:t>3000</w:t>
            </w:r>
            <w:r>
              <w:rPr>
                <w:rFonts w:ascii="Times New Roman" w:hAnsi="Times New Roman" w:eastAsia="Times New Roman" w:cs="Times New Roman"/>
                <w:color w:val="auto"/>
                <w:spacing w:val="8"/>
                <w:highlight w:val="none"/>
              </w:rPr>
              <w:t xml:space="preserve"> </w:t>
            </w:r>
            <w:r>
              <w:rPr>
                <w:color w:val="auto"/>
                <w:spacing w:val="8"/>
                <w:highlight w:val="none"/>
              </w:rPr>
              <w:t>元</w:t>
            </w:r>
            <w:r>
              <w:rPr>
                <w:rFonts w:ascii="Calibri" w:hAnsi="Calibri" w:eastAsia="Calibri" w:cs="Calibri"/>
                <w:color w:val="auto"/>
                <w:spacing w:val="8"/>
                <w:highlight w:val="none"/>
              </w:rPr>
              <w:t>/</w:t>
            </w:r>
            <w:r>
              <w:rPr>
                <w:color w:val="auto"/>
                <w:spacing w:val="8"/>
                <w:highlight w:val="none"/>
              </w:rPr>
              <w:t>项</w:t>
            </w:r>
            <w:r>
              <w:rPr>
                <w:rFonts w:ascii="Calibri" w:hAnsi="Calibri" w:eastAsia="Calibri" w:cs="Calibri"/>
                <w:color w:val="auto"/>
                <w:spacing w:val="8"/>
                <w:highlight w:val="none"/>
              </w:rPr>
              <w:t>/</w:t>
            </w:r>
            <w:r>
              <w:rPr>
                <w:color w:val="auto"/>
                <w:spacing w:val="8"/>
                <w:highlight w:val="none"/>
              </w:rPr>
              <w:t>次的违约金。</w:t>
            </w:r>
          </w:p>
        </w:tc>
      </w:tr>
      <w:tr w14:paraId="39D83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10" w:type="dxa"/>
            <w:vMerge w:val="continue"/>
            <w:tcBorders>
              <w:top w:val="nil"/>
              <w:bottom w:val="nil"/>
            </w:tcBorders>
            <w:textDirection w:val="tbRlV"/>
            <w:vAlign w:val="top"/>
          </w:tcPr>
          <w:p w14:paraId="10C9DE2A">
            <w:pPr>
              <w:rPr>
                <w:rFonts w:ascii="Arial"/>
                <w:color w:val="auto"/>
                <w:sz w:val="21"/>
                <w:highlight w:val="none"/>
              </w:rPr>
            </w:pPr>
          </w:p>
        </w:tc>
        <w:tc>
          <w:tcPr>
            <w:tcW w:w="845" w:type="dxa"/>
            <w:vAlign w:val="center"/>
          </w:tcPr>
          <w:p w14:paraId="77548C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12</w:t>
            </w:r>
          </w:p>
        </w:tc>
        <w:tc>
          <w:tcPr>
            <w:tcW w:w="7440" w:type="dxa"/>
            <w:vAlign w:val="top"/>
          </w:tcPr>
          <w:p w14:paraId="454466BC">
            <w:pPr>
              <w:pStyle w:val="20"/>
              <w:spacing w:before="132" w:line="266" w:lineRule="auto"/>
              <w:ind w:left="140" w:right="187" w:hanging="22"/>
              <w:rPr>
                <w:color w:val="auto"/>
                <w:highlight w:val="none"/>
              </w:rPr>
            </w:pPr>
            <w:r>
              <w:rPr>
                <w:color w:val="auto"/>
                <w:spacing w:val="10"/>
                <w:highlight w:val="none"/>
              </w:rPr>
              <w:t>监理人员未发现施工现场严重违规作业或发现但</w:t>
            </w:r>
            <w:r>
              <w:rPr>
                <w:color w:val="auto"/>
                <w:spacing w:val="9"/>
                <w:highlight w:val="none"/>
              </w:rPr>
              <w:t>没有采取有效措施制止的，处</w:t>
            </w:r>
            <w:r>
              <w:rPr>
                <w:color w:val="auto"/>
                <w:spacing w:val="5"/>
                <w:highlight w:val="none"/>
              </w:rPr>
              <w:t>以</w:t>
            </w:r>
            <w:r>
              <w:rPr>
                <w:color w:val="auto"/>
                <w:spacing w:val="-33"/>
                <w:highlight w:val="none"/>
              </w:rPr>
              <w:t xml:space="preserve"> </w:t>
            </w:r>
            <w:r>
              <w:rPr>
                <w:rFonts w:ascii="Times New Roman" w:hAnsi="Times New Roman" w:eastAsia="Times New Roman" w:cs="Times New Roman"/>
                <w:color w:val="auto"/>
                <w:spacing w:val="5"/>
                <w:highlight w:val="none"/>
                <w:u w:val="single" w:color="auto"/>
              </w:rPr>
              <w:t>5000</w:t>
            </w:r>
            <w:r>
              <w:rPr>
                <w:rFonts w:ascii="Times New Roman" w:hAnsi="Times New Roman" w:eastAsia="Times New Roman" w:cs="Times New Roman"/>
                <w:color w:val="auto"/>
                <w:spacing w:val="5"/>
                <w:highlight w:val="none"/>
              </w:rPr>
              <w:t xml:space="preserve"> </w:t>
            </w:r>
            <w:r>
              <w:rPr>
                <w:color w:val="auto"/>
                <w:spacing w:val="5"/>
                <w:highlight w:val="none"/>
              </w:rPr>
              <w:t>元</w:t>
            </w:r>
            <w:r>
              <w:rPr>
                <w:rFonts w:ascii="Calibri" w:hAnsi="Calibri" w:eastAsia="Calibri" w:cs="Calibri"/>
                <w:color w:val="auto"/>
                <w:spacing w:val="5"/>
                <w:highlight w:val="none"/>
              </w:rPr>
              <w:t>/</w:t>
            </w:r>
            <w:r>
              <w:rPr>
                <w:color w:val="auto"/>
                <w:spacing w:val="5"/>
                <w:highlight w:val="none"/>
              </w:rPr>
              <w:t>次的违约金，撤换有关人员。</w:t>
            </w:r>
          </w:p>
        </w:tc>
      </w:tr>
      <w:tr w14:paraId="104FA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10" w:type="dxa"/>
            <w:vMerge w:val="continue"/>
            <w:tcBorders>
              <w:top w:val="nil"/>
              <w:bottom w:val="nil"/>
            </w:tcBorders>
            <w:textDirection w:val="tbRlV"/>
            <w:vAlign w:val="top"/>
          </w:tcPr>
          <w:p w14:paraId="462136A0">
            <w:pPr>
              <w:rPr>
                <w:rFonts w:ascii="Arial"/>
                <w:color w:val="auto"/>
                <w:sz w:val="21"/>
                <w:highlight w:val="none"/>
              </w:rPr>
            </w:pPr>
          </w:p>
        </w:tc>
        <w:tc>
          <w:tcPr>
            <w:tcW w:w="845" w:type="dxa"/>
            <w:vAlign w:val="center"/>
          </w:tcPr>
          <w:p w14:paraId="08BFFD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13</w:t>
            </w:r>
          </w:p>
        </w:tc>
        <w:tc>
          <w:tcPr>
            <w:tcW w:w="7440" w:type="dxa"/>
            <w:vAlign w:val="top"/>
          </w:tcPr>
          <w:p w14:paraId="19ACCAA6">
            <w:pPr>
              <w:pStyle w:val="20"/>
              <w:spacing w:before="134" w:line="265" w:lineRule="auto"/>
              <w:ind w:left="117" w:right="201"/>
              <w:rPr>
                <w:color w:val="auto"/>
                <w:highlight w:val="none"/>
              </w:rPr>
            </w:pPr>
            <w:r>
              <w:rPr>
                <w:color w:val="auto"/>
                <w:spacing w:val="9"/>
                <w:highlight w:val="none"/>
              </w:rPr>
              <w:t>监理工程师抽验频率达不到</w:t>
            </w:r>
            <w:r>
              <w:rPr>
                <w:color w:val="auto"/>
                <w:spacing w:val="-45"/>
                <w:highlight w:val="none"/>
              </w:rPr>
              <w:t xml:space="preserve"> </w:t>
            </w:r>
            <w:r>
              <w:rPr>
                <w:rFonts w:ascii="Times New Roman" w:hAnsi="Times New Roman" w:eastAsia="Times New Roman" w:cs="Times New Roman"/>
                <w:color w:val="auto"/>
                <w:spacing w:val="9"/>
                <w:highlight w:val="none"/>
              </w:rPr>
              <w:t>20</w:t>
            </w:r>
            <w:r>
              <w:rPr>
                <w:rFonts w:ascii="Calibri" w:hAnsi="Calibri" w:eastAsia="Calibri" w:cs="Calibri"/>
                <w:color w:val="auto"/>
                <w:spacing w:val="9"/>
                <w:highlight w:val="none"/>
              </w:rPr>
              <w:t>%</w:t>
            </w:r>
            <w:r>
              <w:rPr>
                <w:color w:val="auto"/>
                <w:spacing w:val="9"/>
                <w:highlight w:val="none"/>
              </w:rPr>
              <w:t>或规范规定的频率的：按被检项目单元每少一</w:t>
            </w:r>
            <w:r>
              <w:rPr>
                <w:color w:val="auto"/>
                <w:spacing w:val="8"/>
                <w:highlight w:val="none"/>
              </w:rPr>
              <w:t>个百分点给予</w:t>
            </w:r>
            <w:r>
              <w:rPr>
                <w:color w:val="auto"/>
                <w:spacing w:val="-43"/>
                <w:highlight w:val="none"/>
              </w:rPr>
              <w:t xml:space="preserve"> </w:t>
            </w:r>
            <w:r>
              <w:rPr>
                <w:rFonts w:ascii="Times New Roman" w:hAnsi="Times New Roman" w:eastAsia="Times New Roman" w:cs="Times New Roman"/>
                <w:color w:val="auto"/>
                <w:spacing w:val="8"/>
                <w:highlight w:val="none"/>
                <w:u w:val="single" w:color="auto"/>
              </w:rPr>
              <w:t>3000</w:t>
            </w:r>
            <w:r>
              <w:rPr>
                <w:rFonts w:ascii="Times New Roman" w:hAnsi="Times New Roman" w:eastAsia="Times New Roman" w:cs="Times New Roman"/>
                <w:color w:val="auto"/>
                <w:spacing w:val="8"/>
                <w:highlight w:val="none"/>
              </w:rPr>
              <w:t xml:space="preserve"> </w:t>
            </w:r>
            <w:r>
              <w:rPr>
                <w:color w:val="auto"/>
                <w:spacing w:val="8"/>
                <w:highlight w:val="none"/>
              </w:rPr>
              <w:t>元的违约金，同时视实际情</w:t>
            </w:r>
            <w:r>
              <w:rPr>
                <w:color w:val="auto"/>
                <w:spacing w:val="7"/>
                <w:highlight w:val="none"/>
              </w:rPr>
              <w:t>况进行补检；</w:t>
            </w:r>
          </w:p>
        </w:tc>
      </w:tr>
      <w:tr w14:paraId="3C4C3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10" w:type="dxa"/>
            <w:vMerge w:val="continue"/>
            <w:tcBorders>
              <w:top w:val="nil"/>
              <w:bottom w:val="nil"/>
            </w:tcBorders>
            <w:textDirection w:val="tbRlV"/>
            <w:vAlign w:val="top"/>
          </w:tcPr>
          <w:p w14:paraId="69953CBE">
            <w:pPr>
              <w:rPr>
                <w:rFonts w:ascii="Arial"/>
                <w:color w:val="auto"/>
                <w:sz w:val="21"/>
                <w:highlight w:val="none"/>
              </w:rPr>
            </w:pPr>
          </w:p>
        </w:tc>
        <w:tc>
          <w:tcPr>
            <w:tcW w:w="845" w:type="dxa"/>
            <w:vAlign w:val="center"/>
          </w:tcPr>
          <w:p w14:paraId="064D32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14</w:t>
            </w:r>
          </w:p>
        </w:tc>
        <w:tc>
          <w:tcPr>
            <w:tcW w:w="7440" w:type="dxa"/>
            <w:vAlign w:val="top"/>
          </w:tcPr>
          <w:p w14:paraId="5D309F69">
            <w:pPr>
              <w:pStyle w:val="20"/>
              <w:spacing w:before="132" w:line="266" w:lineRule="auto"/>
              <w:ind w:left="118" w:right="187"/>
              <w:rPr>
                <w:color w:val="auto"/>
                <w:highlight w:val="none"/>
              </w:rPr>
            </w:pPr>
            <w:r>
              <w:rPr>
                <w:color w:val="auto"/>
                <w:spacing w:val="10"/>
                <w:highlight w:val="none"/>
              </w:rPr>
              <w:t>监理工程师不得利用承包人的试验室和不得使用</w:t>
            </w:r>
            <w:r>
              <w:rPr>
                <w:color w:val="auto"/>
                <w:spacing w:val="9"/>
                <w:highlight w:val="none"/>
              </w:rPr>
              <w:t>承包人仪器设备或采取旁站的</w:t>
            </w:r>
            <w:r>
              <w:rPr>
                <w:color w:val="auto"/>
                <w:spacing w:val="7"/>
                <w:highlight w:val="none"/>
              </w:rPr>
              <w:t>方式采集抽验数据，发现一次给予</w:t>
            </w:r>
            <w:r>
              <w:rPr>
                <w:color w:val="auto"/>
                <w:spacing w:val="-53"/>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7"/>
                <w:highlight w:val="none"/>
                <w:u w:val="single" w:color="auto"/>
              </w:rPr>
              <w:t>1000</w:t>
            </w:r>
            <w:r>
              <w:rPr>
                <w:rFonts w:ascii="Times New Roman" w:hAnsi="Times New Roman" w:eastAsia="Times New Roman" w:cs="Times New Roman"/>
                <w:color w:val="auto"/>
                <w:spacing w:val="7"/>
                <w:highlight w:val="none"/>
              </w:rPr>
              <w:t xml:space="preserve"> </w:t>
            </w:r>
            <w:r>
              <w:rPr>
                <w:color w:val="auto"/>
                <w:spacing w:val="7"/>
                <w:highlight w:val="none"/>
              </w:rPr>
              <w:t>元的违</w:t>
            </w:r>
            <w:r>
              <w:rPr>
                <w:color w:val="auto"/>
                <w:spacing w:val="6"/>
                <w:highlight w:val="none"/>
              </w:rPr>
              <w:t>约金。</w:t>
            </w:r>
          </w:p>
        </w:tc>
      </w:tr>
      <w:tr w14:paraId="2AC59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7" w:hRule="atLeast"/>
        </w:trPr>
        <w:tc>
          <w:tcPr>
            <w:tcW w:w="610" w:type="dxa"/>
            <w:vMerge w:val="continue"/>
            <w:tcBorders>
              <w:top w:val="nil"/>
              <w:bottom w:val="nil"/>
            </w:tcBorders>
            <w:textDirection w:val="tbRlV"/>
            <w:vAlign w:val="top"/>
          </w:tcPr>
          <w:p w14:paraId="52253B55">
            <w:pPr>
              <w:rPr>
                <w:rFonts w:ascii="Arial"/>
                <w:color w:val="auto"/>
                <w:sz w:val="21"/>
                <w:highlight w:val="none"/>
              </w:rPr>
            </w:pPr>
          </w:p>
        </w:tc>
        <w:tc>
          <w:tcPr>
            <w:tcW w:w="845" w:type="dxa"/>
            <w:vAlign w:val="center"/>
          </w:tcPr>
          <w:p w14:paraId="5144E30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15</w:t>
            </w:r>
          </w:p>
        </w:tc>
        <w:tc>
          <w:tcPr>
            <w:tcW w:w="7440" w:type="dxa"/>
            <w:vAlign w:val="top"/>
          </w:tcPr>
          <w:p w14:paraId="59F44BE4">
            <w:pPr>
              <w:pStyle w:val="20"/>
              <w:spacing w:before="189" w:line="274" w:lineRule="auto"/>
              <w:ind w:left="149" w:right="101"/>
              <w:jc w:val="both"/>
              <w:rPr>
                <w:color w:val="auto"/>
                <w:highlight w:val="none"/>
              </w:rPr>
            </w:pPr>
            <w:r>
              <w:rPr>
                <w:color w:val="auto"/>
                <w:spacing w:val="11"/>
                <w:highlight w:val="none"/>
              </w:rPr>
              <w:t>经监理工程师审核后上报的计划统计报表、计量支付报表及工程变更资料，如</w:t>
            </w:r>
            <w:r>
              <w:rPr>
                <w:color w:val="auto"/>
                <w:spacing w:val="8"/>
                <w:highlight w:val="none"/>
              </w:rPr>
              <w:t>出现未按规定时间报送</w:t>
            </w:r>
            <w:r>
              <w:rPr>
                <w:rFonts w:ascii="Calibri" w:hAnsi="Calibri" w:eastAsia="Calibri" w:cs="Calibri"/>
                <w:color w:val="auto"/>
                <w:spacing w:val="8"/>
                <w:highlight w:val="none"/>
              </w:rPr>
              <w:t>,</w:t>
            </w:r>
            <w:r>
              <w:rPr>
                <w:color w:val="auto"/>
                <w:spacing w:val="8"/>
                <w:highlight w:val="none"/>
              </w:rPr>
              <w:t>处以</w:t>
            </w:r>
            <w:r>
              <w:rPr>
                <w:color w:val="auto"/>
                <w:spacing w:val="-58"/>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8"/>
                <w:highlight w:val="none"/>
                <w:u w:val="single" w:color="auto"/>
              </w:rPr>
              <w:t>1000</w:t>
            </w:r>
            <w:r>
              <w:rPr>
                <w:color w:val="auto"/>
                <w:spacing w:val="8"/>
                <w:highlight w:val="none"/>
              </w:rPr>
              <w:t>元</w:t>
            </w:r>
            <w:r>
              <w:rPr>
                <w:rFonts w:ascii="Calibri" w:hAnsi="Calibri" w:eastAsia="Calibri" w:cs="Calibri"/>
                <w:color w:val="auto"/>
                <w:spacing w:val="8"/>
                <w:highlight w:val="none"/>
              </w:rPr>
              <w:t>/</w:t>
            </w:r>
            <w:r>
              <w:rPr>
                <w:color w:val="auto"/>
                <w:spacing w:val="8"/>
                <w:highlight w:val="none"/>
              </w:rPr>
              <w:t>项</w:t>
            </w:r>
            <w:r>
              <w:rPr>
                <w:rFonts w:ascii="Calibri" w:hAnsi="Calibri" w:eastAsia="Calibri" w:cs="Calibri"/>
                <w:color w:val="auto"/>
                <w:spacing w:val="8"/>
                <w:highlight w:val="none"/>
              </w:rPr>
              <w:t>/</w:t>
            </w:r>
            <w:r>
              <w:rPr>
                <w:color w:val="auto"/>
                <w:spacing w:val="8"/>
                <w:highlight w:val="none"/>
              </w:rPr>
              <w:t>次的违约金；出现人为错漏、不负责任</w:t>
            </w:r>
            <w:r>
              <w:rPr>
                <w:color w:val="auto"/>
                <w:spacing w:val="23"/>
                <w:highlight w:val="none"/>
              </w:rPr>
              <w:t>乱签字、不按合同条款规定计量导致出现偏差且单项偏差</w:t>
            </w:r>
            <w:r>
              <w:rPr>
                <w:color w:val="auto"/>
                <w:spacing w:val="22"/>
                <w:highlight w:val="none"/>
              </w:rPr>
              <w:t>达到</w:t>
            </w:r>
            <w:r>
              <w:rPr>
                <w:color w:val="auto"/>
                <w:spacing w:val="-19"/>
                <w:highlight w:val="none"/>
              </w:rPr>
              <w:t xml:space="preserve"> </w:t>
            </w:r>
            <w:r>
              <w:rPr>
                <w:rFonts w:ascii="Times New Roman" w:hAnsi="Times New Roman" w:eastAsia="Times New Roman" w:cs="Times New Roman"/>
                <w:color w:val="auto"/>
                <w:spacing w:val="22"/>
                <w:highlight w:val="none"/>
              </w:rPr>
              <w:t>20</w:t>
            </w:r>
            <w:r>
              <w:rPr>
                <w:rFonts w:ascii="Calibri" w:hAnsi="Calibri" w:eastAsia="Calibri" w:cs="Calibri"/>
                <w:color w:val="auto"/>
                <w:spacing w:val="22"/>
                <w:highlight w:val="none"/>
              </w:rPr>
              <w:t>%</w:t>
            </w:r>
            <w:r>
              <w:rPr>
                <w:color w:val="auto"/>
                <w:spacing w:val="22"/>
                <w:highlight w:val="none"/>
              </w:rPr>
              <w:t>或以上</w:t>
            </w:r>
            <w:r>
              <w:rPr>
                <w:color w:val="auto"/>
                <w:spacing w:val="8"/>
                <w:highlight w:val="none"/>
              </w:rPr>
              <w:t>的，处以</w:t>
            </w:r>
            <w:r>
              <w:rPr>
                <w:rFonts w:ascii="Times New Roman" w:hAnsi="Times New Roman" w:eastAsia="Times New Roman" w:cs="Times New Roman"/>
                <w:color w:val="auto"/>
                <w:spacing w:val="8"/>
                <w:highlight w:val="none"/>
                <w:u w:val="single" w:color="auto"/>
              </w:rPr>
              <w:t>3000</w:t>
            </w:r>
            <w:r>
              <w:rPr>
                <w:color w:val="auto"/>
                <w:spacing w:val="8"/>
                <w:highlight w:val="none"/>
              </w:rPr>
              <w:t>元</w:t>
            </w:r>
            <w:r>
              <w:rPr>
                <w:rFonts w:ascii="Calibri" w:hAnsi="Calibri" w:eastAsia="Calibri" w:cs="Calibri"/>
                <w:color w:val="auto"/>
                <w:spacing w:val="8"/>
                <w:highlight w:val="none"/>
              </w:rPr>
              <w:t>/</w:t>
            </w:r>
            <w:r>
              <w:rPr>
                <w:color w:val="auto"/>
                <w:spacing w:val="8"/>
                <w:highlight w:val="none"/>
              </w:rPr>
              <w:t>项</w:t>
            </w:r>
            <w:r>
              <w:rPr>
                <w:rFonts w:ascii="Calibri" w:hAnsi="Calibri" w:eastAsia="Calibri" w:cs="Calibri"/>
                <w:color w:val="auto"/>
                <w:spacing w:val="8"/>
                <w:highlight w:val="none"/>
              </w:rPr>
              <w:t>/</w:t>
            </w:r>
            <w:r>
              <w:rPr>
                <w:color w:val="auto"/>
                <w:spacing w:val="8"/>
                <w:highlight w:val="none"/>
              </w:rPr>
              <w:t>次的违约金，撤换有关人员。</w:t>
            </w:r>
          </w:p>
        </w:tc>
      </w:tr>
      <w:tr w14:paraId="7584A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7" w:hRule="atLeast"/>
        </w:trPr>
        <w:tc>
          <w:tcPr>
            <w:tcW w:w="610" w:type="dxa"/>
            <w:vMerge w:val="continue"/>
            <w:tcBorders>
              <w:top w:val="nil"/>
              <w:bottom w:val="nil"/>
            </w:tcBorders>
            <w:textDirection w:val="tbRlV"/>
            <w:vAlign w:val="top"/>
          </w:tcPr>
          <w:p w14:paraId="2C953302">
            <w:pPr>
              <w:rPr>
                <w:rFonts w:ascii="Arial"/>
                <w:color w:val="auto"/>
                <w:sz w:val="21"/>
                <w:highlight w:val="none"/>
              </w:rPr>
            </w:pPr>
          </w:p>
        </w:tc>
        <w:tc>
          <w:tcPr>
            <w:tcW w:w="845" w:type="dxa"/>
            <w:vAlign w:val="center"/>
          </w:tcPr>
          <w:p w14:paraId="600798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16</w:t>
            </w:r>
          </w:p>
        </w:tc>
        <w:tc>
          <w:tcPr>
            <w:tcW w:w="7440" w:type="dxa"/>
            <w:vAlign w:val="top"/>
          </w:tcPr>
          <w:p w14:paraId="512F74A5">
            <w:pPr>
              <w:pStyle w:val="20"/>
              <w:spacing w:before="191" w:line="281" w:lineRule="auto"/>
              <w:ind w:left="117" w:right="187"/>
              <w:rPr>
                <w:color w:val="auto"/>
                <w:highlight w:val="none"/>
              </w:rPr>
            </w:pPr>
            <w:r>
              <w:rPr>
                <w:color w:val="auto"/>
                <w:spacing w:val="10"/>
                <w:highlight w:val="none"/>
              </w:rPr>
              <w:t>监理人未按要求建立有关台账及整理有关资料的</w:t>
            </w:r>
            <w:r>
              <w:rPr>
                <w:color w:val="auto"/>
                <w:spacing w:val="9"/>
                <w:highlight w:val="none"/>
              </w:rPr>
              <w:t>，或台账及资料反映的内容与</w:t>
            </w:r>
            <w:r>
              <w:rPr>
                <w:color w:val="auto"/>
                <w:spacing w:val="8"/>
                <w:highlight w:val="none"/>
              </w:rPr>
              <w:t>工程实施进展脱节的，发现一次给予</w:t>
            </w:r>
            <w:r>
              <w:rPr>
                <w:color w:val="auto"/>
                <w:spacing w:val="-25"/>
                <w:highlight w:val="none"/>
              </w:rPr>
              <w:t xml:space="preserve"> </w:t>
            </w:r>
            <w:r>
              <w:rPr>
                <w:rFonts w:ascii="Times New Roman" w:hAnsi="Times New Roman" w:eastAsia="Times New Roman" w:cs="Times New Roman"/>
                <w:color w:val="auto"/>
                <w:spacing w:val="8"/>
                <w:highlight w:val="none"/>
                <w:u w:val="single" w:color="auto"/>
              </w:rPr>
              <w:t>3000</w:t>
            </w:r>
            <w:r>
              <w:rPr>
                <w:rFonts w:ascii="Times New Roman" w:hAnsi="Times New Roman" w:eastAsia="Times New Roman" w:cs="Times New Roman"/>
                <w:color w:val="auto"/>
                <w:spacing w:val="8"/>
                <w:highlight w:val="none"/>
              </w:rPr>
              <w:t xml:space="preserve"> </w:t>
            </w:r>
            <w:r>
              <w:rPr>
                <w:color w:val="auto"/>
                <w:spacing w:val="8"/>
                <w:highlight w:val="none"/>
              </w:rPr>
              <w:t>元的违约金；监理人未按委托人要求提供有关资料及工程汇报材料，或未及时提供的，发现一次处以</w:t>
            </w:r>
            <w:r>
              <w:rPr>
                <w:color w:val="auto"/>
                <w:spacing w:val="-27"/>
                <w:highlight w:val="none"/>
              </w:rPr>
              <w:t xml:space="preserve"> </w:t>
            </w:r>
            <w:r>
              <w:rPr>
                <w:rFonts w:ascii="Times New Roman" w:hAnsi="Times New Roman" w:eastAsia="Times New Roman" w:cs="Times New Roman"/>
                <w:color w:val="auto"/>
                <w:spacing w:val="8"/>
                <w:highlight w:val="none"/>
                <w:u w:val="single" w:color="auto"/>
              </w:rPr>
              <w:t>3000</w:t>
            </w:r>
            <w:r>
              <w:rPr>
                <w:rFonts w:ascii="Times New Roman" w:hAnsi="Times New Roman" w:eastAsia="Times New Roman" w:cs="Times New Roman"/>
                <w:color w:val="auto"/>
                <w:spacing w:val="8"/>
                <w:highlight w:val="none"/>
              </w:rPr>
              <w:t xml:space="preserve"> </w:t>
            </w:r>
            <w:r>
              <w:rPr>
                <w:color w:val="auto"/>
                <w:spacing w:val="8"/>
                <w:highlight w:val="none"/>
              </w:rPr>
              <w:t>元的</w:t>
            </w:r>
            <w:r>
              <w:rPr>
                <w:color w:val="auto"/>
                <w:spacing w:val="5"/>
                <w:highlight w:val="none"/>
              </w:rPr>
              <w:t>违约金。</w:t>
            </w:r>
          </w:p>
        </w:tc>
      </w:tr>
      <w:tr w14:paraId="4BAF7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0" w:hRule="atLeast"/>
        </w:trPr>
        <w:tc>
          <w:tcPr>
            <w:tcW w:w="610" w:type="dxa"/>
            <w:vMerge w:val="continue"/>
            <w:tcBorders>
              <w:top w:val="nil"/>
            </w:tcBorders>
            <w:textDirection w:val="tbRlV"/>
            <w:vAlign w:val="top"/>
          </w:tcPr>
          <w:p w14:paraId="3B071497">
            <w:pPr>
              <w:rPr>
                <w:rFonts w:ascii="Arial"/>
                <w:color w:val="auto"/>
                <w:sz w:val="21"/>
                <w:highlight w:val="none"/>
              </w:rPr>
            </w:pPr>
          </w:p>
        </w:tc>
        <w:tc>
          <w:tcPr>
            <w:tcW w:w="845" w:type="dxa"/>
            <w:vAlign w:val="center"/>
          </w:tcPr>
          <w:p w14:paraId="019B195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17</w:t>
            </w:r>
          </w:p>
        </w:tc>
        <w:tc>
          <w:tcPr>
            <w:tcW w:w="7440" w:type="dxa"/>
            <w:vAlign w:val="top"/>
          </w:tcPr>
          <w:p w14:paraId="3325D7C0">
            <w:pPr>
              <w:pStyle w:val="20"/>
              <w:spacing w:before="192" w:line="280" w:lineRule="auto"/>
              <w:ind w:left="118" w:right="101"/>
              <w:jc w:val="both"/>
              <w:rPr>
                <w:color w:val="auto"/>
                <w:highlight w:val="none"/>
              </w:rPr>
            </w:pPr>
            <w:r>
              <w:rPr>
                <w:color w:val="auto"/>
                <w:spacing w:val="12"/>
                <w:highlight w:val="none"/>
              </w:rPr>
              <w:t>监理人应负责编制竣工档案与结算文件的一致性，重点审查竣工图工程量与结算工程量的一致性，若发现竣工图工程量与结算工程量不一致，每发现一违约</w:t>
            </w:r>
            <w:r>
              <w:rPr>
                <w:color w:val="auto"/>
                <w:spacing w:val="2"/>
                <w:highlight w:val="none"/>
              </w:rPr>
              <w:t>金款</w:t>
            </w:r>
            <w:r>
              <w:rPr>
                <w:color w:val="auto"/>
                <w:spacing w:val="-40"/>
                <w:highlight w:val="none"/>
              </w:rPr>
              <w:t xml:space="preserve"> </w:t>
            </w:r>
            <w:r>
              <w:rPr>
                <w:rFonts w:ascii="Times New Roman" w:hAnsi="Times New Roman" w:eastAsia="Times New Roman" w:cs="Times New Roman"/>
                <w:color w:val="auto"/>
                <w:spacing w:val="2"/>
                <w:highlight w:val="none"/>
                <w:u w:val="single" w:color="auto"/>
              </w:rPr>
              <w:t>500</w:t>
            </w:r>
            <w:r>
              <w:rPr>
                <w:rFonts w:ascii="Times New Roman" w:hAnsi="Times New Roman" w:eastAsia="Times New Roman" w:cs="Times New Roman"/>
                <w:color w:val="auto"/>
                <w:spacing w:val="2"/>
                <w:highlight w:val="none"/>
              </w:rPr>
              <w:t xml:space="preserve"> </w:t>
            </w:r>
            <w:r>
              <w:rPr>
                <w:color w:val="auto"/>
                <w:spacing w:val="2"/>
                <w:highlight w:val="none"/>
              </w:rPr>
              <w:t>元。</w:t>
            </w:r>
          </w:p>
        </w:tc>
      </w:tr>
      <w:tr w14:paraId="65F3D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10" w:type="dxa"/>
            <w:vMerge w:val="restart"/>
            <w:tcBorders>
              <w:bottom w:val="nil"/>
            </w:tcBorders>
            <w:textDirection w:val="tbRlV"/>
            <w:vAlign w:val="top"/>
          </w:tcPr>
          <w:p w14:paraId="70C9929A">
            <w:pPr>
              <w:pStyle w:val="20"/>
              <w:spacing w:before="194" w:line="215" w:lineRule="auto"/>
              <w:ind w:left="2114"/>
              <w:rPr>
                <w:color w:val="auto"/>
                <w:highlight w:val="none"/>
              </w:rPr>
            </w:pPr>
            <w:r>
              <w:rPr>
                <w:b/>
                <w:bCs/>
                <w:color w:val="auto"/>
                <w:spacing w:val="6"/>
                <w:highlight w:val="none"/>
              </w:rPr>
              <w:t>人</w:t>
            </w:r>
            <w:r>
              <w:rPr>
                <w:color w:val="auto"/>
                <w:spacing w:val="-7"/>
                <w:highlight w:val="none"/>
              </w:rPr>
              <w:t xml:space="preserve"> </w:t>
            </w:r>
            <w:r>
              <w:rPr>
                <w:b/>
                <w:bCs/>
                <w:color w:val="auto"/>
                <w:spacing w:val="6"/>
                <w:highlight w:val="none"/>
              </w:rPr>
              <w:t>员</w:t>
            </w:r>
          </w:p>
        </w:tc>
        <w:tc>
          <w:tcPr>
            <w:tcW w:w="845" w:type="dxa"/>
            <w:vAlign w:val="center"/>
          </w:tcPr>
          <w:p w14:paraId="04C38D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highlight w:val="none"/>
              </w:rPr>
            </w:pPr>
          </w:p>
          <w:p w14:paraId="0201C6E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18</w:t>
            </w:r>
          </w:p>
        </w:tc>
        <w:tc>
          <w:tcPr>
            <w:tcW w:w="7440" w:type="dxa"/>
            <w:vAlign w:val="top"/>
          </w:tcPr>
          <w:p w14:paraId="608C8202">
            <w:pPr>
              <w:pStyle w:val="20"/>
              <w:spacing w:before="177" w:line="286" w:lineRule="auto"/>
              <w:ind w:left="118"/>
              <w:rPr>
                <w:color w:val="auto"/>
                <w:highlight w:val="none"/>
              </w:rPr>
            </w:pPr>
            <w:r>
              <w:rPr>
                <w:color w:val="auto"/>
                <w:spacing w:val="9"/>
                <w:highlight w:val="none"/>
              </w:rPr>
              <w:t>监理人未经委托人同意擅自更换档案管理人员</w:t>
            </w:r>
            <w:r>
              <w:rPr>
                <w:color w:val="auto"/>
                <w:spacing w:val="8"/>
                <w:highlight w:val="none"/>
              </w:rPr>
              <w:t>的，处以</w:t>
            </w:r>
            <w:r>
              <w:rPr>
                <w:color w:val="auto"/>
                <w:spacing w:val="-48"/>
                <w:highlight w:val="none"/>
              </w:rPr>
              <w:t xml:space="preserve"> </w:t>
            </w:r>
            <w:r>
              <w:rPr>
                <w:rFonts w:ascii="Times New Roman" w:hAnsi="Times New Roman" w:eastAsia="Times New Roman" w:cs="Times New Roman"/>
                <w:color w:val="auto"/>
                <w:spacing w:val="8"/>
                <w:highlight w:val="none"/>
                <w:u w:val="single" w:color="auto"/>
              </w:rPr>
              <w:t>2</w:t>
            </w:r>
            <w:r>
              <w:rPr>
                <w:rFonts w:ascii="Times New Roman" w:hAnsi="Times New Roman" w:eastAsia="Times New Roman" w:cs="Times New Roman"/>
                <w:color w:val="auto"/>
                <w:spacing w:val="8"/>
                <w:highlight w:val="none"/>
              </w:rPr>
              <w:t xml:space="preserve"> </w:t>
            </w:r>
            <w:r>
              <w:rPr>
                <w:color w:val="auto"/>
                <w:spacing w:val="8"/>
                <w:highlight w:val="none"/>
              </w:rPr>
              <w:t>万元</w:t>
            </w:r>
            <w:r>
              <w:rPr>
                <w:rFonts w:ascii="Calibri" w:hAnsi="Calibri" w:eastAsia="Calibri" w:cs="Calibri"/>
                <w:color w:val="auto"/>
                <w:spacing w:val="8"/>
                <w:highlight w:val="none"/>
              </w:rPr>
              <w:t>/</w:t>
            </w:r>
            <w:r>
              <w:rPr>
                <w:color w:val="auto"/>
                <w:spacing w:val="8"/>
                <w:highlight w:val="none"/>
              </w:rPr>
              <w:t>人的违约金。</w:t>
            </w:r>
          </w:p>
        </w:tc>
      </w:tr>
      <w:tr w14:paraId="0F7C4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7" w:hRule="atLeast"/>
        </w:trPr>
        <w:tc>
          <w:tcPr>
            <w:tcW w:w="610" w:type="dxa"/>
            <w:vMerge w:val="continue"/>
            <w:tcBorders>
              <w:top w:val="nil"/>
              <w:bottom w:val="nil"/>
            </w:tcBorders>
            <w:textDirection w:val="tbRlV"/>
            <w:vAlign w:val="top"/>
          </w:tcPr>
          <w:p w14:paraId="32DB4650">
            <w:pPr>
              <w:rPr>
                <w:rFonts w:ascii="Arial"/>
                <w:color w:val="auto"/>
                <w:sz w:val="21"/>
                <w:highlight w:val="none"/>
              </w:rPr>
            </w:pPr>
          </w:p>
        </w:tc>
        <w:tc>
          <w:tcPr>
            <w:tcW w:w="845" w:type="dxa"/>
            <w:vAlign w:val="center"/>
          </w:tcPr>
          <w:p w14:paraId="44A9A62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19</w:t>
            </w:r>
          </w:p>
        </w:tc>
        <w:tc>
          <w:tcPr>
            <w:tcW w:w="7440" w:type="dxa"/>
            <w:vAlign w:val="top"/>
          </w:tcPr>
          <w:p w14:paraId="0A8F75B0">
            <w:pPr>
              <w:pStyle w:val="20"/>
              <w:spacing w:before="157" w:line="236" w:lineRule="auto"/>
              <w:ind w:left="121" w:right="187" w:hanging="4"/>
              <w:rPr>
                <w:color w:val="auto"/>
                <w:highlight w:val="none"/>
              </w:rPr>
            </w:pPr>
            <w:r>
              <w:rPr>
                <w:color w:val="auto"/>
                <w:spacing w:val="10"/>
                <w:highlight w:val="none"/>
              </w:rPr>
              <w:t>委托人要求核查的监理人员的证件原件（执业资格证</w:t>
            </w:r>
            <w:r>
              <w:rPr>
                <w:color w:val="auto"/>
                <w:spacing w:val="9"/>
                <w:highlight w:val="none"/>
              </w:rPr>
              <w:t>、职称证等）不能提供或</w:t>
            </w:r>
            <w:r>
              <w:rPr>
                <w:color w:val="auto"/>
                <w:spacing w:val="8"/>
                <w:highlight w:val="none"/>
              </w:rPr>
              <w:t>不能按时提供的，按下列条款处理：</w:t>
            </w:r>
          </w:p>
          <w:p w14:paraId="594B99C5">
            <w:pPr>
              <w:pStyle w:val="20"/>
              <w:spacing w:line="282" w:lineRule="auto"/>
              <w:ind w:left="128"/>
              <w:rPr>
                <w:color w:val="auto"/>
                <w:highlight w:val="none"/>
              </w:rPr>
            </w:pPr>
            <w:r>
              <w:rPr>
                <w:color w:val="auto"/>
                <w:spacing w:val="4"/>
                <w:highlight w:val="none"/>
              </w:rPr>
              <w:t>（</w:t>
            </w:r>
            <w:r>
              <w:rPr>
                <w:rFonts w:ascii="Times New Roman" w:hAnsi="Times New Roman" w:eastAsia="Times New Roman" w:cs="Times New Roman"/>
                <w:color w:val="auto"/>
                <w:spacing w:val="4"/>
                <w:highlight w:val="none"/>
              </w:rPr>
              <w:t>1</w:t>
            </w:r>
            <w:r>
              <w:rPr>
                <w:color w:val="auto"/>
                <w:spacing w:val="4"/>
                <w:highlight w:val="none"/>
              </w:rPr>
              <w:t>）处以</w:t>
            </w:r>
            <w:r>
              <w:rPr>
                <w:rFonts w:ascii="Times New Roman" w:hAnsi="Times New Roman" w:eastAsia="Times New Roman" w:cs="Times New Roman"/>
                <w:color w:val="auto"/>
                <w:spacing w:val="37"/>
                <w:highlight w:val="none"/>
                <w:u w:val="single" w:color="auto"/>
              </w:rPr>
              <w:t xml:space="preserve"> </w:t>
            </w:r>
            <w:r>
              <w:rPr>
                <w:rFonts w:ascii="Times New Roman" w:hAnsi="Times New Roman" w:eastAsia="Times New Roman" w:cs="Times New Roman"/>
                <w:color w:val="auto"/>
                <w:spacing w:val="4"/>
                <w:highlight w:val="none"/>
                <w:u w:val="single" w:color="auto"/>
              </w:rPr>
              <w:t xml:space="preserve">1 </w:t>
            </w:r>
            <w:r>
              <w:rPr>
                <w:color w:val="auto"/>
                <w:spacing w:val="4"/>
                <w:highlight w:val="none"/>
              </w:rPr>
              <w:t>万元</w:t>
            </w:r>
            <w:r>
              <w:rPr>
                <w:rFonts w:ascii="Calibri" w:hAnsi="Calibri" w:eastAsia="Calibri" w:cs="Calibri"/>
                <w:color w:val="auto"/>
                <w:spacing w:val="4"/>
                <w:highlight w:val="none"/>
              </w:rPr>
              <w:t>/</w:t>
            </w:r>
            <w:r>
              <w:rPr>
                <w:color w:val="auto"/>
                <w:spacing w:val="4"/>
                <w:highlight w:val="none"/>
              </w:rPr>
              <w:t>人次的违约金；</w:t>
            </w:r>
          </w:p>
          <w:p w14:paraId="2398A2B6">
            <w:pPr>
              <w:pStyle w:val="20"/>
              <w:spacing w:line="253" w:lineRule="auto"/>
              <w:ind w:left="119" w:right="27" w:firstLine="8"/>
              <w:rPr>
                <w:color w:val="auto"/>
                <w:highlight w:val="none"/>
              </w:rPr>
            </w:pPr>
            <w:r>
              <w:rPr>
                <w:color w:val="auto"/>
                <w:spacing w:val="8"/>
                <w:highlight w:val="none"/>
              </w:rPr>
              <w:t>（</w:t>
            </w:r>
            <w:r>
              <w:rPr>
                <w:rFonts w:ascii="Times New Roman" w:hAnsi="Times New Roman" w:eastAsia="Times New Roman" w:cs="Times New Roman"/>
                <w:color w:val="auto"/>
                <w:spacing w:val="8"/>
                <w:highlight w:val="none"/>
              </w:rPr>
              <w:t>2</w:t>
            </w:r>
            <w:r>
              <w:rPr>
                <w:color w:val="auto"/>
                <w:spacing w:val="8"/>
                <w:highlight w:val="none"/>
              </w:rPr>
              <w:t>）同时委托人有权要求监理人进行更换，如不按要求进行更换的，处以</w:t>
            </w:r>
            <w:r>
              <w:rPr>
                <w:color w:val="auto"/>
                <w:spacing w:val="-43"/>
                <w:highlight w:val="none"/>
              </w:rPr>
              <w:t xml:space="preserve"> </w:t>
            </w:r>
            <w:r>
              <w:rPr>
                <w:rFonts w:ascii="Times New Roman" w:hAnsi="Times New Roman" w:eastAsia="Times New Roman" w:cs="Times New Roman"/>
                <w:color w:val="auto"/>
                <w:spacing w:val="-26"/>
                <w:highlight w:val="none"/>
                <w:u w:val="single" w:color="auto"/>
              </w:rPr>
              <w:t xml:space="preserve"> </w:t>
            </w:r>
            <w:r>
              <w:rPr>
                <w:rFonts w:ascii="Times New Roman" w:hAnsi="Times New Roman" w:eastAsia="Times New Roman" w:cs="Times New Roman"/>
                <w:color w:val="auto"/>
                <w:spacing w:val="8"/>
                <w:highlight w:val="none"/>
                <w:u w:val="single" w:color="auto"/>
              </w:rPr>
              <w:t>1000</w:t>
            </w:r>
            <w:r>
              <w:rPr>
                <w:color w:val="auto"/>
                <w:spacing w:val="8"/>
                <w:highlight w:val="none"/>
              </w:rPr>
              <w:t>元</w:t>
            </w:r>
            <w:r>
              <w:rPr>
                <w:rFonts w:ascii="Calibri" w:hAnsi="Calibri" w:eastAsia="Calibri" w:cs="Calibri"/>
                <w:color w:val="auto"/>
                <w:spacing w:val="8"/>
                <w:highlight w:val="none"/>
              </w:rPr>
              <w:t>/</w:t>
            </w:r>
            <w:r>
              <w:rPr>
                <w:color w:val="auto"/>
                <w:spacing w:val="8"/>
                <w:highlight w:val="none"/>
              </w:rPr>
              <w:t>天的违约金直至监理人更换为止。</w:t>
            </w:r>
          </w:p>
        </w:tc>
      </w:tr>
      <w:tr w14:paraId="33D74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610" w:type="dxa"/>
            <w:vMerge w:val="continue"/>
            <w:tcBorders>
              <w:top w:val="nil"/>
              <w:bottom w:val="nil"/>
            </w:tcBorders>
            <w:textDirection w:val="tbRlV"/>
            <w:vAlign w:val="top"/>
          </w:tcPr>
          <w:p w14:paraId="69C6D48A">
            <w:pPr>
              <w:rPr>
                <w:rFonts w:ascii="Arial"/>
                <w:color w:val="auto"/>
                <w:sz w:val="21"/>
                <w:highlight w:val="none"/>
              </w:rPr>
            </w:pPr>
          </w:p>
        </w:tc>
        <w:tc>
          <w:tcPr>
            <w:tcW w:w="845" w:type="dxa"/>
            <w:vAlign w:val="center"/>
          </w:tcPr>
          <w:p w14:paraId="75F963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20</w:t>
            </w:r>
          </w:p>
        </w:tc>
        <w:tc>
          <w:tcPr>
            <w:tcW w:w="7440" w:type="dxa"/>
            <w:vAlign w:val="top"/>
          </w:tcPr>
          <w:p w14:paraId="44AEBBE1">
            <w:pPr>
              <w:pStyle w:val="20"/>
              <w:spacing w:before="35"/>
              <w:ind w:left="120" w:right="187" w:hanging="3"/>
              <w:jc w:val="both"/>
              <w:rPr>
                <w:color w:val="auto"/>
                <w:highlight w:val="none"/>
              </w:rPr>
            </w:pPr>
            <w:r>
              <w:rPr>
                <w:color w:val="auto"/>
                <w:spacing w:val="10"/>
                <w:highlight w:val="none"/>
              </w:rPr>
              <w:t>委托人发现监理人在投标时列报的监理人员不完全满</w:t>
            </w:r>
            <w:r>
              <w:rPr>
                <w:color w:val="auto"/>
                <w:spacing w:val="9"/>
                <w:highlight w:val="none"/>
              </w:rPr>
              <w:t>足相应岗位资格要求（如</w:t>
            </w:r>
            <w:r>
              <w:rPr>
                <w:color w:val="auto"/>
                <w:spacing w:val="10"/>
                <w:highlight w:val="none"/>
              </w:rPr>
              <w:t>工作经验，工作能力、监理服务年限、年龄</w:t>
            </w:r>
            <w:r>
              <w:rPr>
                <w:color w:val="auto"/>
                <w:spacing w:val="9"/>
                <w:highlight w:val="none"/>
              </w:rPr>
              <w:t>、执业资格证等）的，按下列条款</w:t>
            </w:r>
            <w:r>
              <w:rPr>
                <w:color w:val="auto"/>
                <w:spacing w:val="2"/>
                <w:highlight w:val="none"/>
              </w:rPr>
              <w:t>处理：</w:t>
            </w:r>
          </w:p>
          <w:p w14:paraId="7738B828">
            <w:pPr>
              <w:pStyle w:val="20"/>
              <w:spacing w:line="282" w:lineRule="auto"/>
              <w:ind w:left="128"/>
              <w:rPr>
                <w:color w:val="auto"/>
                <w:highlight w:val="none"/>
              </w:rPr>
            </w:pPr>
            <w:r>
              <w:rPr>
                <w:color w:val="auto"/>
                <w:spacing w:val="5"/>
                <w:highlight w:val="none"/>
              </w:rPr>
              <w:t>（</w:t>
            </w:r>
            <w:r>
              <w:rPr>
                <w:rFonts w:ascii="Times New Roman" w:hAnsi="Times New Roman" w:eastAsia="Times New Roman" w:cs="Times New Roman"/>
                <w:color w:val="auto"/>
                <w:spacing w:val="5"/>
                <w:highlight w:val="none"/>
              </w:rPr>
              <w:t>1</w:t>
            </w:r>
            <w:r>
              <w:rPr>
                <w:color w:val="auto"/>
                <w:spacing w:val="5"/>
                <w:highlight w:val="none"/>
              </w:rPr>
              <w:t>）处以</w:t>
            </w:r>
            <w:r>
              <w:rPr>
                <w:rFonts w:ascii="Times New Roman" w:hAnsi="Times New Roman" w:eastAsia="Times New Roman" w:cs="Times New Roman"/>
                <w:color w:val="auto"/>
                <w:spacing w:val="5"/>
                <w:highlight w:val="none"/>
                <w:u w:val="single" w:color="auto"/>
              </w:rPr>
              <w:t xml:space="preserve"> 3 </w:t>
            </w:r>
            <w:r>
              <w:rPr>
                <w:color w:val="auto"/>
                <w:spacing w:val="5"/>
                <w:highlight w:val="none"/>
              </w:rPr>
              <w:t>万元</w:t>
            </w:r>
            <w:r>
              <w:rPr>
                <w:rFonts w:ascii="Calibri" w:hAnsi="Calibri" w:eastAsia="Calibri" w:cs="Calibri"/>
                <w:color w:val="auto"/>
                <w:spacing w:val="5"/>
                <w:highlight w:val="none"/>
              </w:rPr>
              <w:t>/</w:t>
            </w:r>
            <w:r>
              <w:rPr>
                <w:color w:val="auto"/>
                <w:spacing w:val="5"/>
                <w:highlight w:val="none"/>
              </w:rPr>
              <w:t>人的违约金；</w:t>
            </w:r>
          </w:p>
          <w:p w14:paraId="05D4ABED">
            <w:pPr>
              <w:pStyle w:val="20"/>
              <w:spacing w:before="1" w:line="233" w:lineRule="auto"/>
              <w:ind w:left="119" w:right="27" w:firstLine="8"/>
              <w:rPr>
                <w:color w:val="auto"/>
                <w:highlight w:val="none"/>
              </w:rPr>
            </w:pPr>
            <w:r>
              <w:rPr>
                <w:color w:val="auto"/>
                <w:spacing w:val="8"/>
                <w:highlight w:val="none"/>
              </w:rPr>
              <w:t>（</w:t>
            </w:r>
            <w:r>
              <w:rPr>
                <w:rFonts w:ascii="Times New Roman" w:hAnsi="Times New Roman" w:eastAsia="Times New Roman" w:cs="Times New Roman"/>
                <w:color w:val="auto"/>
                <w:spacing w:val="8"/>
                <w:highlight w:val="none"/>
              </w:rPr>
              <w:t>2</w:t>
            </w:r>
            <w:r>
              <w:rPr>
                <w:color w:val="auto"/>
                <w:spacing w:val="8"/>
                <w:highlight w:val="none"/>
              </w:rPr>
              <w:t>）同时委托人有权要求监理人进行更换，如不按要求进行更换的，处以</w:t>
            </w:r>
            <w:r>
              <w:rPr>
                <w:color w:val="auto"/>
                <w:spacing w:val="-43"/>
                <w:highlight w:val="none"/>
              </w:rPr>
              <w:t xml:space="preserve"> </w:t>
            </w:r>
            <w:r>
              <w:rPr>
                <w:rFonts w:ascii="Times New Roman" w:hAnsi="Times New Roman" w:eastAsia="Times New Roman" w:cs="Times New Roman"/>
                <w:color w:val="auto"/>
                <w:spacing w:val="-26"/>
                <w:highlight w:val="none"/>
                <w:u w:val="single" w:color="auto"/>
              </w:rPr>
              <w:t xml:space="preserve"> </w:t>
            </w:r>
            <w:r>
              <w:rPr>
                <w:rFonts w:ascii="Times New Roman" w:hAnsi="Times New Roman" w:eastAsia="Times New Roman" w:cs="Times New Roman"/>
                <w:color w:val="auto"/>
                <w:spacing w:val="8"/>
                <w:highlight w:val="none"/>
                <w:u w:val="single" w:color="auto"/>
              </w:rPr>
              <w:t>1000</w:t>
            </w:r>
            <w:r>
              <w:rPr>
                <w:color w:val="auto"/>
                <w:spacing w:val="8"/>
                <w:highlight w:val="none"/>
              </w:rPr>
              <w:t>元</w:t>
            </w:r>
            <w:r>
              <w:rPr>
                <w:rFonts w:ascii="Calibri" w:hAnsi="Calibri" w:eastAsia="Calibri" w:cs="Calibri"/>
                <w:color w:val="auto"/>
                <w:spacing w:val="8"/>
                <w:highlight w:val="none"/>
              </w:rPr>
              <w:t>/</w:t>
            </w:r>
            <w:r>
              <w:rPr>
                <w:color w:val="auto"/>
                <w:spacing w:val="8"/>
                <w:highlight w:val="none"/>
              </w:rPr>
              <w:t>天</w:t>
            </w:r>
            <w:r>
              <w:rPr>
                <w:rFonts w:ascii="Calibri" w:hAnsi="Calibri" w:eastAsia="Calibri" w:cs="Calibri"/>
                <w:color w:val="auto"/>
                <w:spacing w:val="8"/>
                <w:highlight w:val="none"/>
              </w:rPr>
              <w:t>/</w:t>
            </w:r>
            <w:r>
              <w:rPr>
                <w:color w:val="auto"/>
                <w:spacing w:val="8"/>
                <w:highlight w:val="none"/>
              </w:rPr>
              <w:t>人的违约金直至监理人更换为止。</w:t>
            </w:r>
          </w:p>
        </w:tc>
      </w:tr>
      <w:tr w14:paraId="3ECC5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4" w:hRule="atLeast"/>
        </w:trPr>
        <w:tc>
          <w:tcPr>
            <w:tcW w:w="610" w:type="dxa"/>
            <w:vMerge w:val="continue"/>
            <w:tcBorders>
              <w:top w:val="nil"/>
            </w:tcBorders>
            <w:textDirection w:val="tbRlV"/>
            <w:vAlign w:val="top"/>
          </w:tcPr>
          <w:p w14:paraId="1EC0C52A">
            <w:pPr>
              <w:rPr>
                <w:rFonts w:ascii="Arial"/>
                <w:color w:val="auto"/>
                <w:sz w:val="21"/>
                <w:highlight w:val="none"/>
              </w:rPr>
            </w:pPr>
          </w:p>
        </w:tc>
        <w:tc>
          <w:tcPr>
            <w:tcW w:w="845" w:type="dxa"/>
            <w:vAlign w:val="center"/>
          </w:tcPr>
          <w:p w14:paraId="539AB26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21</w:t>
            </w:r>
          </w:p>
        </w:tc>
        <w:tc>
          <w:tcPr>
            <w:tcW w:w="7440" w:type="dxa"/>
            <w:vAlign w:val="top"/>
          </w:tcPr>
          <w:p w14:paraId="26656E1E">
            <w:pPr>
              <w:spacing w:line="241" w:lineRule="auto"/>
              <w:rPr>
                <w:rFonts w:ascii="Arial"/>
                <w:color w:val="auto"/>
                <w:sz w:val="21"/>
                <w:highlight w:val="none"/>
              </w:rPr>
            </w:pPr>
          </w:p>
          <w:p w14:paraId="46059A84">
            <w:pPr>
              <w:pStyle w:val="20"/>
              <w:spacing w:before="65" w:line="269" w:lineRule="auto"/>
              <w:ind w:left="124" w:right="238" w:hanging="7"/>
              <w:rPr>
                <w:color w:val="auto"/>
                <w:highlight w:val="none"/>
              </w:rPr>
            </w:pPr>
            <w:r>
              <w:rPr>
                <w:color w:val="auto"/>
                <w:spacing w:val="8"/>
                <w:highlight w:val="none"/>
              </w:rPr>
              <w:t>委托人有权根据工程进展和工程建设需要增加监理人员，监理人应配合解决，</w:t>
            </w:r>
            <w:r>
              <w:rPr>
                <w:color w:val="auto"/>
                <w:spacing w:val="7"/>
                <w:highlight w:val="none"/>
              </w:rPr>
              <w:t>否则处以</w:t>
            </w:r>
            <w:r>
              <w:rPr>
                <w:color w:val="auto"/>
                <w:spacing w:val="-53"/>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7"/>
                <w:highlight w:val="none"/>
                <w:u w:val="single" w:color="auto"/>
              </w:rPr>
              <w:t>1000</w:t>
            </w:r>
            <w:r>
              <w:rPr>
                <w:rFonts w:ascii="Times New Roman" w:hAnsi="Times New Roman" w:eastAsia="Times New Roman" w:cs="Times New Roman"/>
                <w:color w:val="auto"/>
                <w:spacing w:val="7"/>
                <w:highlight w:val="none"/>
              </w:rPr>
              <w:t xml:space="preserve"> </w:t>
            </w:r>
            <w:r>
              <w:rPr>
                <w:color w:val="auto"/>
                <w:spacing w:val="7"/>
                <w:highlight w:val="none"/>
              </w:rPr>
              <w:t>元</w:t>
            </w:r>
            <w:r>
              <w:rPr>
                <w:rFonts w:ascii="Calibri" w:hAnsi="Calibri" w:eastAsia="Calibri" w:cs="Calibri"/>
                <w:color w:val="auto"/>
                <w:spacing w:val="7"/>
                <w:highlight w:val="none"/>
              </w:rPr>
              <w:t>/</w:t>
            </w:r>
            <w:r>
              <w:rPr>
                <w:color w:val="auto"/>
                <w:spacing w:val="7"/>
                <w:highlight w:val="none"/>
              </w:rPr>
              <w:t>天</w:t>
            </w:r>
            <w:r>
              <w:rPr>
                <w:rFonts w:ascii="Calibri" w:hAnsi="Calibri" w:eastAsia="Calibri" w:cs="Calibri"/>
                <w:color w:val="auto"/>
                <w:spacing w:val="7"/>
                <w:highlight w:val="none"/>
              </w:rPr>
              <w:t>/</w:t>
            </w:r>
            <w:r>
              <w:rPr>
                <w:color w:val="auto"/>
                <w:spacing w:val="7"/>
                <w:highlight w:val="none"/>
              </w:rPr>
              <w:t>人的违约金直</w:t>
            </w:r>
            <w:r>
              <w:rPr>
                <w:color w:val="auto"/>
                <w:spacing w:val="6"/>
                <w:highlight w:val="none"/>
              </w:rPr>
              <w:t>至监理人员到位为止。</w:t>
            </w:r>
          </w:p>
        </w:tc>
      </w:tr>
      <w:tr w14:paraId="53F56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8" w:hRule="atLeast"/>
        </w:trPr>
        <w:tc>
          <w:tcPr>
            <w:tcW w:w="610" w:type="dxa"/>
            <w:vMerge w:val="restart"/>
            <w:tcBorders>
              <w:bottom w:val="nil"/>
            </w:tcBorders>
            <w:vAlign w:val="top"/>
          </w:tcPr>
          <w:p w14:paraId="14E9CB4A">
            <w:pPr>
              <w:rPr>
                <w:rFonts w:ascii="Arial"/>
                <w:color w:val="auto"/>
                <w:sz w:val="21"/>
                <w:highlight w:val="none"/>
              </w:rPr>
            </w:pPr>
          </w:p>
        </w:tc>
        <w:tc>
          <w:tcPr>
            <w:tcW w:w="845" w:type="dxa"/>
            <w:vAlign w:val="center"/>
          </w:tcPr>
          <w:p w14:paraId="01C179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22</w:t>
            </w:r>
          </w:p>
        </w:tc>
        <w:tc>
          <w:tcPr>
            <w:tcW w:w="7440" w:type="dxa"/>
            <w:vAlign w:val="top"/>
          </w:tcPr>
          <w:p w14:paraId="17C0FFDE">
            <w:pPr>
              <w:pStyle w:val="20"/>
              <w:spacing w:before="125" w:line="277" w:lineRule="auto"/>
              <w:ind w:left="118" w:right="120"/>
              <w:rPr>
                <w:color w:val="auto"/>
                <w:highlight w:val="none"/>
              </w:rPr>
            </w:pPr>
            <w:r>
              <w:rPr>
                <w:color w:val="auto"/>
                <w:spacing w:val="12"/>
                <w:highlight w:val="none"/>
              </w:rPr>
              <w:t>监理人拟投入本项目的总监（驻地）、专业监</w:t>
            </w:r>
            <w:r>
              <w:rPr>
                <w:color w:val="auto"/>
                <w:spacing w:val="11"/>
                <w:highlight w:val="none"/>
              </w:rPr>
              <w:t>理工程师等必须为本项目专职人</w:t>
            </w:r>
            <w:r>
              <w:rPr>
                <w:color w:val="auto"/>
                <w:spacing w:val="10"/>
                <w:highlight w:val="none"/>
              </w:rPr>
              <w:t>员，不得兼任其他项目监理职务；必须保证每月</w:t>
            </w:r>
            <w:r>
              <w:rPr>
                <w:rFonts w:ascii="Times New Roman" w:hAnsi="Times New Roman" w:eastAsia="Times New Roman" w:cs="Times New Roman"/>
                <w:color w:val="auto"/>
                <w:spacing w:val="10"/>
                <w:highlight w:val="none"/>
              </w:rPr>
              <w:t xml:space="preserve">22 </w:t>
            </w:r>
            <w:r>
              <w:rPr>
                <w:color w:val="auto"/>
                <w:spacing w:val="10"/>
                <w:highlight w:val="none"/>
              </w:rPr>
              <w:t>天以上留在施工现场；离</w:t>
            </w:r>
            <w:r>
              <w:rPr>
                <w:color w:val="auto"/>
                <w:spacing w:val="8"/>
                <w:highlight w:val="none"/>
              </w:rPr>
              <w:t>开施工现场超过</w:t>
            </w:r>
            <w:r>
              <w:rPr>
                <w:color w:val="auto"/>
                <w:spacing w:val="-47"/>
                <w:highlight w:val="none"/>
              </w:rPr>
              <w:t xml:space="preserve"> </w:t>
            </w:r>
            <w:r>
              <w:rPr>
                <w:rFonts w:ascii="Times New Roman" w:hAnsi="Times New Roman" w:eastAsia="Times New Roman" w:cs="Times New Roman"/>
                <w:color w:val="auto"/>
                <w:spacing w:val="8"/>
                <w:highlight w:val="none"/>
              </w:rPr>
              <w:t xml:space="preserve">2 </w:t>
            </w:r>
            <w:r>
              <w:rPr>
                <w:color w:val="auto"/>
                <w:spacing w:val="8"/>
                <w:highlight w:val="none"/>
              </w:rPr>
              <w:t>天（含</w:t>
            </w:r>
            <w:r>
              <w:rPr>
                <w:color w:val="auto"/>
                <w:spacing w:val="-48"/>
                <w:highlight w:val="none"/>
              </w:rPr>
              <w:t xml:space="preserve"> </w:t>
            </w:r>
            <w:r>
              <w:rPr>
                <w:rFonts w:ascii="Times New Roman" w:hAnsi="Times New Roman" w:eastAsia="Times New Roman" w:cs="Times New Roman"/>
                <w:color w:val="auto"/>
                <w:spacing w:val="8"/>
                <w:highlight w:val="none"/>
              </w:rPr>
              <w:t xml:space="preserve">2 </w:t>
            </w:r>
            <w:r>
              <w:rPr>
                <w:color w:val="auto"/>
                <w:spacing w:val="8"/>
                <w:highlight w:val="none"/>
              </w:rPr>
              <w:t>天）时间须经委托</w:t>
            </w:r>
            <w:r>
              <w:rPr>
                <w:color w:val="auto"/>
                <w:spacing w:val="7"/>
                <w:highlight w:val="none"/>
              </w:rPr>
              <w:t>人批准。如违反：</w:t>
            </w:r>
          </w:p>
          <w:p w14:paraId="172010A8">
            <w:pPr>
              <w:pStyle w:val="20"/>
              <w:spacing w:line="280" w:lineRule="auto"/>
              <w:ind w:left="119" w:right="142" w:firstLine="5"/>
              <w:rPr>
                <w:color w:val="auto"/>
                <w:highlight w:val="none"/>
              </w:rPr>
            </w:pPr>
            <w:r>
              <w:rPr>
                <w:color w:val="auto"/>
                <w:spacing w:val="4"/>
                <w:sz w:val="18"/>
                <w:szCs w:val="18"/>
                <w:highlight w:val="none"/>
              </w:rPr>
              <w:t xml:space="preserve">（1） </w:t>
            </w:r>
            <w:r>
              <w:rPr>
                <w:color w:val="auto"/>
                <w:spacing w:val="4"/>
                <w:highlight w:val="none"/>
              </w:rPr>
              <w:t>兼任其他项目监理职务的，处以</w:t>
            </w:r>
            <w:r>
              <w:rPr>
                <w:color w:val="auto"/>
                <w:spacing w:val="-50"/>
                <w:highlight w:val="none"/>
              </w:rPr>
              <w:t xml:space="preserve"> </w:t>
            </w:r>
            <w:r>
              <w:rPr>
                <w:rFonts w:ascii="Times New Roman" w:hAnsi="Times New Roman" w:eastAsia="Times New Roman" w:cs="Times New Roman"/>
                <w:color w:val="auto"/>
                <w:spacing w:val="4"/>
                <w:highlight w:val="none"/>
                <w:u w:val="single" w:color="auto"/>
              </w:rPr>
              <w:t>5</w:t>
            </w:r>
            <w:r>
              <w:rPr>
                <w:rFonts w:ascii="Times New Roman" w:hAnsi="Times New Roman" w:eastAsia="Times New Roman" w:cs="Times New Roman"/>
                <w:color w:val="auto"/>
                <w:spacing w:val="4"/>
                <w:highlight w:val="none"/>
              </w:rPr>
              <w:t xml:space="preserve"> </w:t>
            </w:r>
            <w:r>
              <w:rPr>
                <w:color w:val="auto"/>
                <w:spacing w:val="4"/>
                <w:highlight w:val="none"/>
              </w:rPr>
              <w:t>万元</w:t>
            </w:r>
            <w:r>
              <w:rPr>
                <w:rFonts w:ascii="Calibri" w:hAnsi="Calibri" w:eastAsia="Calibri" w:cs="Calibri"/>
                <w:color w:val="auto"/>
                <w:spacing w:val="3"/>
                <w:highlight w:val="none"/>
              </w:rPr>
              <w:t>/</w:t>
            </w:r>
            <w:r>
              <w:rPr>
                <w:color w:val="auto"/>
                <w:spacing w:val="3"/>
                <w:highlight w:val="none"/>
              </w:rPr>
              <w:t>人的违约金，同时处以</w:t>
            </w:r>
            <w:r>
              <w:rPr>
                <w:color w:val="auto"/>
                <w:spacing w:val="-51"/>
                <w:highlight w:val="none"/>
              </w:rPr>
              <w:t xml:space="preserve"> </w:t>
            </w:r>
            <w:r>
              <w:rPr>
                <w:rFonts w:ascii="Times New Roman" w:hAnsi="Times New Roman" w:eastAsia="Times New Roman" w:cs="Times New Roman"/>
                <w:color w:val="auto"/>
                <w:spacing w:val="3"/>
                <w:highlight w:val="none"/>
                <w:u w:val="single" w:color="auto"/>
              </w:rPr>
              <w:t>5000</w:t>
            </w:r>
            <w:r>
              <w:rPr>
                <w:color w:val="auto"/>
                <w:spacing w:val="3"/>
                <w:highlight w:val="none"/>
              </w:rPr>
              <w:t>元</w:t>
            </w:r>
            <w:r>
              <w:rPr>
                <w:rFonts w:ascii="Calibri" w:hAnsi="Calibri" w:eastAsia="Calibri" w:cs="Calibri"/>
                <w:color w:val="auto"/>
                <w:spacing w:val="3"/>
                <w:highlight w:val="none"/>
              </w:rPr>
              <w:t>/</w:t>
            </w:r>
            <w:r>
              <w:rPr>
                <w:color w:val="auto"/>
                <w:spacing w:val="3"/>
                <w:highlight w:val="none"/>
              </w:rPr>
              <w:t>天</w:t>
            </w:r>
            <w:r>
              <w:rPr>
                <w:rFonts w:ascii="Calibri" w:hAnsi="Calibri" w:eastAsia="Calibri" w:cs="Calibri"/>
                <w:color w:val="auto"/>
                <w:spacing w:val="3"/>
                <w:highlight w:val="none"/>
              </w:rPr>
              <w:t>/</w:t>
            </w:r>
            <w:r>
              <w:rPr>
                <w:color w:val="auto"/>
                <w:spacing w:val="8"/>
                <w:highlight w:val="none"/>
              </w:rPr>
              <w:t>人次的违约金直至监理人纠正为止；</w:t>
            </w:r>
          </w:p>
          <w:p w14:paraId="20A427A3">
            <w:pPr>
              <w:pStyle w:val="20"/>
              <w:spacing w:line="286" w:lineRule="auto"/>
              <w:ind w:left="122"/>
              <w:rPr>
                <w:color w:val="auto"/>
                <w:highlight w:val="none"/>
              </w:rPr>
            </w:pPr>
            <w:r>
              <w:rPr>
                <w:color w:val="auto"/>
                <w:spacing w:val="6"/>
                <w:sz w:val="18"/>
                <w:szCs w:val="18"/>
                <w:highlight w:val="none"/>
              </w:rPr>
              <w:t>（2）</w:t>
            </w:r>
            <w:r>
              <w:rPr>
                <w:color w:val="auto"/>
                <w:spacing w:val="-2"/>
                <w:sz w:val="18"/>
                <w:szCs w:val="18"/>
                <w:highlight w:val="none"/>
              </w:rPr>
              <w:t xml:space="preserve"> </w:t>
            </w:r>
            <w:r>
              <w:rPr>
                <w:color w:val="auto"/>
                <w:spacing w:val="6"/>
                <w:highlight w:val="none"/>
              </w:rPr>
              <w:t>不足</w:t>
            </w:r>
            <w:r>
              <w:rPr>
                <w:rFonts w:ascii="Times New Roman" w:hAnsi="Times New Roman" w:eastAsia="Times New Roman" w:cs="Times New Roman"/>
                <w:color w:val="auto"/>
                <w:spacing w:val="6"/>
                <w:highlight w:val="none"/>
              </w:rPr>
              <w:t>22</w:t>
            </w:r>
            <w:r>
              <w:rPr>
                <w:rFonts w:ascii="Times New Roman" w:hAnsi="Times New Roman" w:eastAsia="Times New Roman" w:cs="Times New Roman"/>
                <w:color w:val="auto"/>
                <w:spacing w:val="-17"/>
                <w:highlight w:val="none"/>
              </w:rPr>
              <w:t xml:space="preserve"> </w:t>
            </w:r>
            <w:r>
              <w:rPr>
                <w:color w:val="auto"/>
                <w:spacing w:val="6"/>
                <w:highlight w:val="none"/>
              </w:rPr>
              <w:t>天</w:t>
            </w:r>
            <w:r>
              <w:rPr>
                <w:rFonts w:ascii="Calibri" w:hAnsi="Calibri" w:eastAsia="Calibri" w:cs="Calibri"/>
                <w:color w:val="auto"/>
                <w:spacing w:val="6"/>
                <w:highlight w:val="none"/>
              </w:rPr>
              <w:t>/</w:t>
            </w:r>
            <w:r>
              <w:rPr>
                <w:color w:val="auto"/>
                <w:spacing w:val="6"/>
                <w:highlight w:val="none"/>
              </w:rPr>
              <w:t>月留在现场的，同时处以不足天数的违约金：</w:t>
            </w:r>
            <w:r>
              <w:rPr>
                <w:rFonts w:ascii="Times New Roman" w:hAnsi="Times New Roman" w:eastAsia="Times New Roman" w:cs="Times New Roman"/>
                <w:color w:val="auto"/>
                <w:spacing w:val="6"/>
                <w:highlight w:val="none"/>
                <w:u w:val="single" w:color="auto"/>
              </w:rPr>
              <w:t>5000</w:t>
            </w:r>
            <w:r>
              <w:rPr>
                <w:color w:val="auto"/>
                <w:spacing w:val="6"/>
                <w:highlight w:val="none"/>
              </w:rPr>
              <w:t>元</w:t>
            </w:r>
            <w:r>
              <w:rPr>
                <w:rFonts w:ascii="Calibri" w:hAnsi="Calibri" w:eastAsia="Calibri" w:cs="Calibri"/>
                <w:color w:val="auto"/>
                <w:spacing w:val="6"/>
                <w:highlight w:val="none"/>
              </w:rPr>
              <w:t>/</w:t>
            </w:r>
            <w:r>
              <w:rPr>
                <w:color w:val="auto"/>
                <w:spacing w:val="6"/>
                <w:highlight w:val="none"/>
              </w:rPr>
              <w:t>天；</w:t>
            </w:r>
          </w:p>
          <w:p w14:paraId="459F75FE">
            <w:pPr>
              <w:pStyle w:val="20"/>
              <w:spacing w:before="24" w:line="249" w:lineRule="auto"/>
              <w:ind w:left="109" w:right="429" w:firstLine="12"/>
              <w:rPr>
                <w:color w:val="auto"/>
                <w:highlight w:val="none"/>
              </w:rPr>
            </w:pPr>
            <w:r>
              <w:rPr>
                <w:color w:val="auto"/>
                <w:spacing w:val="4"/>
                <w:sz w:val="18"/>
                <w:szCs w:val="18"/>
                <w:highlight w:val="none"/>
              </w:rPr>
              <w:t xml:space="preserve">（3） </w:t>
            </w:r>
            <w:r>
              <w:rPr>
                <w:color w:val="auto"/>
                <w:spacing w:val="4"/>
                <w:highlight w:val="none"/>
              </w:rPr>
              <w:t>未经委托人同意擅自离开现场超过</w:t>
            </w:r>
            <w:r>
              <w:rPr>
                <w:color w:val="auto"/>
                <w:spacing w:val="-55"/>
                <w:highlight w:val="none"/>
              </w:rPr>
              <w:t xml:space="preserve"> </w:t>
            </w:r>
            <w:r>
              <w:rPr>
                <w:rFonts w:ascii="Times New Roman" w:hAnsi="Times New Roman" w:eastAsia="Times New Roman" w:cs="Times New Roman"/>
                <w:color w:val="auto"/>
                <w:spacing w:val="4"/>
                <w:highlight w:val="none"/>
              </w:rPr>
              <w:t xml:space="preserve">2 </w:t>
            </w:r>
            <w:r>
              <w:rPr>
                <w:color w:val="auto"/>
                <w:spacing w:val="4"/>
                <w:highlight w:val="none"/>
              </w:rPr>
              <w:t>天时间的，按超过天数处</w:t>
            </w:r>
            <w:r>
              <w:rPr>
                <w:color w:val="auto"/>
                <w:spacing w:val="3"/>
                <w:highlight w:val="none"/>
              </w:rPr>
              <w:t>以</w:t>
            </w:r>
            <w:r>
              <w:rPr>
                <w:rFonts w:ascii="Times New Roman" w:hAnsi="Times New Roman" w:eastAsia="Times New Roman" w:cs="Times New Roman"/>
                <w:color w:val="auto"/>
                <w:spacing w:val="3"/>
                <w:highlight w:val="none"/>
                <w:u w:val="single" w:color="auto"/>
              </w:rPr>
              <w:t>5000</w:t>
            </w:r>
            <w:r>
              <w:rPr>
                <w:color w:val="auto"/>
                <w:spacing w:val="3"/>
                <w:highlight w:val="none"/>
              </w:rPr>
              <w:t>元</w:t>
            </w:r>
            <w:r>
              <w:rPr>
                <w:rFonts w:ascii="Calibri" w:hAnsi="Calibri" w:eastAsia="Calibri" w:cs="Calibri"/>
                <w:color w:val="auto"/>
                <w:spacing w:val="7"/>
                <w:highlight w:val="none"/>
              </w:rPr>
              <w:t>/</w:t>
            </w:r>
            <w:r>
              <w:rPr>
                <w:color w:val="auto"/>
                <w:spacing w:val="7"/>
                <w:highlight w:val="none"/>
              </w:rPr>
              <w:t>天的违约金。</w:t>
            </w:r>
          </w:p>
        </w:tc>
      </w:tr>
      <w:tr w14:paraId="56877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610" w:type="dxa"/>
            <w:vMerge w:val="continue"/>
            <w:tcBorders>
              <w:top w:val="nil"/>
            </w:tcBorders>
            <w:vAlign w:val="top"/>
          </w:tcPr>
          <w:p w14:paraId="48DF6E43">
            <w:pPr>
              <w:rPr>
                <w:rFonts w:ascii="Arial"/>
                <w:color w:val="auto"/>
                <w:sz w:val="21"/>
                <w:highlight w:val="none"/>
              </w:rPr>
            </w:pPr>
          </w:p>
        </w:tc>
        <w:tc>
          <w:tcPr>
            <w:tcW w:w="845" w:type="dxa"/>
            <w:vAlign w:val="center"/>
          </w:tcPr>
          <w:p w14:paraId="38886FB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23</w:t>
            </w:r>
          </w:p>
        </w:tc>
        <w:tc>
          <w:tcPr>
            <w:tcW w:w="7440" w:type="dxa"/>
            <w:vAlign w:val="top"/>
          </w:tcPr>
          <w:p w14:paraId="5137DB8D">
            <w:pPr>
              <w:pStyle w:val="20"/>
              <w:spacing w:before="128" w:line="272" w:lineRule="auto"/>
              <w:ind w:left="117" w:right="101"/>
              <w:jc w:val="both"/>
              <w:rPr>
                <w:color w:val="auto"/>
                <w:highlight w:val="none"/>
              </w:rPr>
            </w:pPr>
            <w:r>
              <w:rPr>
                <w:color w:val="auto"/>
                <w:spacing w:val="12"/>
                <w:highlight w:val="none"/>
              </w:rPr>
              <w:t>监理人应按合同规定自行配备试验、检测等必要设备并要按合同规定的规格保质保量按时到位投入使用，否则按不到位仪器设备清单价格或市场价格（如无</w:t>
            </w:r>
            <w:r>
              <w:rPr>
                <w:color w:val="auto"/>
                <w:spacing w:val="6"/>
                <w:highlight w:val="none"/>
              </w:rPr>
              <w:t>清单价格）</w:t>
            </w:r>
            <w:r>
              <w:rPr>
                <w:color w:val="auto"/>
                <w:spacing w:val="-55"/>
                <w:highlight w:val="none"/>
              </w:rPr>
              <w:t xml:space="preserve"> </w:t>
            </w:r>
            <w:r>
              <w:rPr>
                <w:color w:val="auto"/>
                <w:spacing w:val="6"/>
                <w:highlight w:val="none"/>
              </w:rPr>
              <w:t>的两倍从监理服务费总额中予以扣除，并处以</w:t>
            </w:r>
            <w:r>
              <w:rPr>
                <w:color w:val="auto"/>
                <w:spacing w:val="-57"/>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6"/>
                <w:highlight w:val="none"/>
                <w:u w:val="single" w:color="auto"/>
              </w:rPr>
              <w:t>1000</w:t>
            </w:r>
            <w:r>
              <w:rPr>
                <w:color w:val="auto"/>
                <w:spacing w:val="6"/>
                <w:highlight w:val="none"/>
              </w:rPr>
              <w:t>元</w:t>
            </w:r>
            <w:r>
              <w:rPr>
                <w:rFonts w:ascii="Calibri" w:hAnsi="Calibri" w:eastAsia="Calibri" w:cs="Calibri"/>
                <w:color w:val="auto"/>
                <w:spacing w:val="6"/>
                <w:highlight w:val="none"/>
              </w:rPr>
              <w:t>/</w:t>
            </w:r>
            <w:r>
              <w:rPr>
                <w:color w:val="auto"/>
                <w:spacing w:val="6"/>
                <w:highlight w:val="none"/>
              </w:rPr>
              <w:t>天的违约金直</w:t>
            </w:r>
            <w:r>
              <w:rPr>
                <w:color w:val="auto"/>
                <w:spacing w:val="9"/>
                <w:highlight w:val="none"/>
              </w:rPr>
              <w:t>至该仪器或设备到位为止</w:t>
            </w:r>
          </w:p>
        </w:tc>
      </w:tr>
      <w:tr w14:paraId="58A40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610" w:type="dxa"/>
            <w:textDirection w:val="tbRlV"/>
            <w:vAlign w:val="top"/>
          </w:tcPr>
          <w:p w14:paraId="11953F67">
            <w:pPr>
              <w:pStyle w:val="20"/>
              <w:spacing w:before="194" w:line="215" w:lineRule="auto"/>
              <w:ind w:left="259"/>
              <w:rPr>
                <w:color w:val="auto"/>
                <w:highlight w:val="none"/>
              </w:rPr>
            </w:pPr>
            <w:r>
              <w:rPr>
                <w:b/>
                <w:bCs/>
                <w:color w:val="auto"/>
                <w:spacing w:val="6"/>
                <w:highlight w:val="none"/>
              </w:rPr>
              <w:t>设</w:t>
            </w:r>
            <w:r>
              <w:rPr>
                <w:color w:val="auto"/>
                <w:spacing w:val="-7"/>
                <w:highlight w:val="none"/>
              </w:rPr>
              <w:t xml:space="preserve"> </w:t>
            </w:r>
            <w:r>
              <w:rPr>
                <w:b/>
                <w:bCs/>
                <w:color w:val="auto"/>
                <w:spacing w:val="6"/>
                <w:highlight w:val="none"/>
              </w:rPr>
              <w:t>备</w:t>
            </w:r>
          </w:p>
        </w:tc>
        <w:tc>
          <w:tcPr>
            <w:tcW w:w="845" w:type="dxa"/>
            <w:vAlign w:val="center"/>
          </w:tcPr>
          <w:p w14:paraId="04D19FC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24</w:t>
            </w:r>
          </w:p>
        </w:tc>
        <w:tc>
          <w:tcPr>
            <w:tcW w:w="7440" w:type="dxa"/>
            <w:vAlign w:val="top"/>
          </w:tcPr>
          <w:p w14:paraId="6A32AA81">
            <w:pPr>
              <w:pStyle w:val="20"/>
              <w:spacing w:before="134" w:line="269" w:lineRule="auto"/>
              <w:ind w:left="117" w:right="101"/>
              <w:jc w:val="both"/>
              <w:rPr>
                <w:color w:val="auto"/>
                <w:highlight w:val="none"/>
              </w:rPr>
            </w:pPr>
            <w:r>
              <w:rPr>
                <w:color w:val="auto"/>
                <w:spacing w:val="12"/>
                <w:highlight w:val="none"/>
              </w:rPr>
              <w:t>根据工程实际需要，委托人有权要求监理人增加仪器、设备的数量或新增部分仪器或设备，如监理人拒绝执行，委托人将按书面通知要求到位的最后期限起</w:t>
            </w:r>
            <w:r>
              <w:rPr>
                <w:color w:val="auto"/>
                <w:spacing w:val="7"/>
                <w:highlight w:val="none"/>
              </w:rPr>
              <w:t>算，处以</w:t>
            </w:r>
            <w:r>
              <w:rPr>
                <w:color w:val="auto"/>
                <w:spacing w:val="-53"/>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7"/>
                <w:highlight w:val="none"/>
                <w:u w:val="single" w:color="auto"/>
              </w:rPr>
              <w:t>1000</w:t>
            </w:r>
            <w:r>
              <w:rPr>
                <w:rFonts w:ascii="Times New Roman" w:hAnsi="Times New Roman" w:eastAsia="Times New Roman" w:cs="Times New Roman"/>
                <w:color w:val="auto"/>
                <w:spacing w:val="7"/>
                <w:highlight w:val="none"/>
              </w:rPr>
              <w:t xml:space="preserve"> </w:t>
            </w:r>
            <w:r>
              <w:rPr>
                <w:color w:val="auto"/>
                <w:spacing w:val="7"/>
                <w:highlight w:val="none"/>
              </w:rPr>
              <w:t>元</w:t>
            </w:r>
            <w:r>
              <w:rPr>
                <w:rFonts w:ascii="Calibri" w:hAnsi="Calibri" w:eastAsia="Calibri" w:cs="Calibri"/>
                <w:color w:val="auto"/>
                <w:spacing w:val="7"/>
                <w:highlight w:val="none"/>
              </w:rPr>
              <w:t>/</w:t>
            </w:r>
            <w:r>
              <w:rPr>
                <w:color w:val="auto"/>
                <w:spacing w:val="7"/>
                <w:highlight w:val="none"/>
              </w:rPr>
              <w:t>天的违约金直至该仪器或设备到位为止。</w:t>
            </w:r>
          </w:p>
        </w:tc>
      </w:tr>
      <w:tr w14:paraId="4E78A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610" w:type="dxa"/>
            <w:textDirection w:val="tbRlV"/>
            <w:vAlign w:val="top"/>
          </w:tcPr>
          <w:p w14:paraId="5CFD2A4B">
            <w:pPr>
              <w:pStyle w:val="20"/>
              <w:spacing w:before="194" w:line="214" w:lineRule="auto"/>
              <w:ind w:left="262"/>
              <w:rPr>
                <w:color w:val="auto"/>
                <w:highlight w:val="none"/>
              </w:rPr>
            </w:pPr>
            <w:r>
              <w:rPr>
                <w:b/>
                <w:bCs/>
                <w:color w:val="auto"/>
                <w:spacing w:val="6"/>
                <w:highlight w:val="none"/>
              </w:rPr>
              <w:t>工</w:t>
            </w:r>
            <w:r>
              <w:rPr>
                <w:color w:val="auto"/>
                <w:spacing w:val="-9"/>
                <w:highlight w:val="none"/>
              </w:rPr>
              <w:t xml:space="preserve"> </w:t>
            </w:r>
            <w:r>
              <w:rPr>
                <w:b/>
                <w:bCs/>
                <w:color w:val="auto"/>
                <w:spacing w:val="6"/>
                <w:highlight w:val="none"/>
              </w:rPr>
              <w:t>期</w:t>
            </w:r>
          </w:p>
        </w:tc>
        <w:tc>
          <w:tcPr>
            <w:tcW w:w="845" w:type="dxa"/>
            <w:vAlign w:val="center"/>
          </w:tcPr>
          <w:p w14:paraId="09DD12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25</w:t>
            </w:r>
          </w:p>
        </w:tc>
        <w:tc>
          <w:tcPr>
            <w:tcW w:w="7440" w:type="dxa"/>
            <w:vAlign w:val="top"/>
          </w:tcPr>
          <w:p w14:paraId="3FC66332">
            <w:pPr>
              <w:pStyle w:val="20"/>
              <w:spacing w:before="133" w:line="269" w:lineRule="auto"/>
              <w:ind w:left="119" w:right="101" w:firstLine="14"/>
              <w:jc w:val="both"/>
              <w:rPr>
                <w:color w:val="auto"/>
                <w:highlight w:val="none"/>
              </w:rPr>
            </w:pPr>
            <w:r>
              <w:rPr>
                <w:color w:val="auto"/>
                <w:spacing w:val="11"/>
                <w:highlight w:val="none"/>
              </w:rPr>
              <w:t>因监理原因整个工程未按期完工（包括任何一个合同段没有按期完工</w:t>
            </w:r>
            <w:r>
              <w:rPr>
                <w:color w:val="auto"/>
                <w:spacing w:val="2"/>
                <w:highlight w:val="none"/>
              </w:rPr>
              <w:t>）</w:t>
            </w:r>
            <w:r>
              <w:rPr>
                <w:color w:val="auto"/>
                <w:spacing w:val="-58"/>
                <w:highlight w:val="none"/>
              </w:rPr>
              <w:t xml:space="preserve"> </w:t>
            </w:r>
            <w:r>
              <w:rPr>
                <w:color w:val="auto"/>
                <w:spacing w:val="2"/>
                <w:highlight w:val="none"/>
              </w:rPr>
              <w:t>，</w:t>
            </w:r>
            <w:r>
              <w:rPr>
                <w:color w:val="auto"/>
                <w:spacing w:val="11"/>
                <w:highlight w:val="none"/>
              </w:rPr>
              <w:t>监理</w:t>
            </w:r>
            <w:r>
              <w:rPr>
                <w:color w:val="auto"/>
                <w:spacing w:val="12"/>
                <w:highlight w:val="none"/>
              </w:rPr>
              <w:t>人须承担以下责任：每拖延一天，委托人按未按期完工合同段承包人的拖期损</w:t>
            </w:r>
            <w:r>
              <w:rPr>
                <w:color w:val="auto"/>
                <w:spacing w:val="7"/>
                <w:highlight w:val="none"/>
              </w:rPr>
              <w:t>失赔偿金的</w:t>
            </w:r>
            <w:r>
              <w:rPr>
                <w:rFonts w:ascii="Times New Roman" w:hAnsi="Times New Roman" w:eastAsia="Times New Roman" w:cs="Times New Roman"/>
                <w:color w:val="auto"/>
                <w:spacing w:val="7"/>
                <w:highlight w:val="none"/>
                <w:u w:val="single" w:color="auto"/>
              </w:rPr>
              <w:t>5</w:t>
            </w:r>
            <w:r>
              <w:rPr>
                <w:rFonts w:ascii="Calibri" w:hAnsi="Calibri" w:eastAsia="Calibri" w:cs="Calibri"/>
                <w:color w:val="auto"/>
                <w:spacing w:val="7"/>
                <w:highlight w:val="none"/>
                <w:u w:val="single" w:color="auto"/>
              </w:rPr>
              <w:t>%</w:t>
            </w:r>
            <w:r>
              <w:rPr>
                <w:color w:val="auto"/>
                <w:spacing w:val="7"/>
                <w:highlight w:val="none"/>
              </w:rPr>
              <w:t>计罚。</w:t>
            </w:r>
          </w:p>
        </w:tc>
      </w:tr>
      <w:tr w14:paraId="2DA78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610" w:type="dxa"/>
            <w:vMerge w:val="restart"/>
            <w:tcBorders>
              <w:bottom w:val="nil"/>
            </w:tcBorders>
            <w:textDirection w:val="tbRlV"/>
            <w:vAlign w:val="top"/>
          </w:tcPr>
          <w:p w14:paraId="2A3711E2">
            <w:pPr>
              <w:pStyle w:val="20"/>
              <w:spacing w:before="194" w:line="213" w:lineRule="auto"/>
              <w:ind w:left="261"/>
              <w:rPr>
                <w:color w:val="auto"/>
                <w:highlight w:val="none"/>
              </w:rPr>
            </w:pPr>
            <w:r>
              <w:rPr>
                <w:b/>
                <w:bCs/>
                <w:color w:val="auto"/>
                <w:spacing w:val="6"/>
                <w:highlight w:val="none"/>
              </w:rPr>
              <w:t>其</w:t>
            </w:r>
            <w:r>
              <w:rPr>
                <w:color w:val="auto"/>
                <w:spacing w:val="-7"/>
                <w:highlight w:val="none"/>
              </w:rPr>
              <w:t xml:space="preserve"> </w:t>
            </w:r>
            <w:r>
              <w:rPr>
                <w:b/>
                <w:bCs/>
                <w:color w:val="auto"/>
                <w:spacing w:val="6"/>
                <w:highlight w:val="none"/>
              </w:rPr>
              <w:t>他</w:t>
            </w:r>
          </w:p>
        </w:tc>
        <w:tc>
          <w:tcPr>
            <w:tcW w:w="845" w:type="dxa"/>
            <w:vAlign w:val="center"/>
          </w:tcPr>
          <w:p w14:paraId="3B0BFF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26</w:t>
            </w:r>
          </w:p>
        </w:tc>
        <w:tc>
          <w:tcPr>
            <w:tcW w:w="7440" w:type="dxa"/>
            <w:vAlign w:val="top"/>
          </w:tcPr>
          <w:p w14:paraId="39796D67">
            <w:pPr>
              <w:pStyle w:val="20"/>
              <w:spacing w:before="131" w:line="270" w:lineRule="auto"/>
              <w:ind w:left="117" w:right="101" w:firstLine="3"/>
              <w:jc w:val="both"/>
              <w:rPr>
                <w:color w:val="auto"/>
                <w:highlight w:val="none"/>
              </w:rPr>
            </w:pPr>
            <w:r>
              <w:rPr>
                <w:color w:val="auto"/>
                <w:spacing w:val="12"/>
                <w:highlight w:val="none"/>
              </w:rPr>
              <w:t>未按照《广东省公路施工标准化指南》和《广东省高速公路工程施工组织设计和施工方案标准化管理指南》有关规定进行管理或开展监理工作的，每次处以</w:t>
            </w:r>
            <w:r>
              <w:rPr>
                <w:color w:val="auto"/>
                <w:spacing w:val="3"/>
                <w:highlight w:val="none"/>
              </w:rPr>
              <w:t>违约金</w:t>
            </w:r>
            <w:r>
              <w:rPr>
                <w:color w:val="auto"/>
                <w:spacing w:val="-53"/>
                <w:highlight w:val="none"/>
              </w:rPr>
              <w:t xml:space="preserve"> </w:t>
            </w:r>
            <w:r>
              <w:rPr>
                <w:rFonts w:ascii="Times New Roman" w:hAnsi="Times New Roman" w:eastAsia="Times New Roman" w:cs="Times New Roman"/>
                <w:color w:val="auto"/>
                <w:spacing w:val="-25"/>
                <w:highlight w:val="none"/>
                <w:u w:val="single" w:color="auto"/>
              </w:rPr>
              <w:t xml:space="preserve"> </w:t>
            </w:r>
            <w:r>
              <w:rPr>
                <w:rFonts w:ascii="Times New Roman" w:hAnsi="Times New Roman" w:eastAsia="Times New Roman" w:cs="Times New Roman"/>
                <w:color w:val="auto"/>
                <w:spacing w:val="3"/>
                <w:highlight w:val="none"/>
                <w:u w:val="single" w:color="auto"/>
              </w:rPr>
              <w:t>1</w:t>
            </w:r>
            <w:r>
              <w:rPr>
                <w:rFonts w:ascii="Calibri" w:hAnsi="Calibri" w:eastAsia="Calibri" w:cs="Calibri"/>
                <w:color w:val="auto"/>
                <w:spacing w:val="3"/>
                <w:highlight w:val="none"/>
                <w:u w:val="single" w:color="auto"/>
              </w:rPr>
              <w:t>,</w:t>
            </w:r>
            <w:r>
              <w:rPr>
                <w:rFonts w:ascii="Times New Roman" w:hAnsi="Times New Roman" w:eastAsia="Times New Roman" w:cs="Times New Roman"/>
                <w:color w:val="auto"/>
                <w:spacing w:val="3"/>
                <w:highlight w:val="none"/>
                <w:u w:val="single" w:color="auto"/>
              </w:rPr>
              <w:t>000</w:t>
            </w:r>
            <w:r>
              <w:rPr>
                <w:rFonts w:ascii="Calibri" w:hAnsi="Calibri" w:eastAsia="Calibri" w:cs="Calibri"/>
                <w:color w:val="auto"/>
                <w:spacing w:val="3"/>
                <w:highlight w:val="none"/>
                <w:u w:val="single" w:color="auto"/>
              </w:rPr>
              <w:t>--</w:t>
            </w:r>
            <w:r>
              <w:rPr>
                <w:rFonts w:ascii="Times New Roman" w:hAnsi="Times New Roman" w:eastAsia="Times New Roman" w:cs="Times New Roman"/>
                <w:color w:val="auto"/>
                <w:spacing w:val="3"/>
                <w:highlight w:val="none"/>
                <w:u w:val="single" w:color="auto"/>
              </w:rPr>
              <w:t>10</w:t>
            </w:r>
            <w:r>
              <w:rPr>
                <w:rFonts w:ascii="Calibri" w:hAnsi="Calibri" w:eastAsia="Calibri" w:cs="Calibri"/>
                <w:color w:val="auto"/>
                <w:spacing w:val="3"/>
                <w:highlight w:val="none"/>
                <w:u w:val="single" w:color="auto"/>
              </w:rPr>
              <w:t>,</w:t>
            </w:r>
            <w:r>
              <w:rPr>
                <w:rFonts w:ascii="Times New Roman" w:hAnsi="Times New Roman" w:eastAsia="Times New Roman" w:cs="Times New Roman"/>
                <w:color w:val="auto"/>
                <w:spacing w:val="3"/>
                <w:highlight w:val="none"/>
                <w:u w:val="single" w:color="auto"/>
              </w:rPr>
              <w:t>000</w:t>
            </w:r>
            <w:r>
              <w:rPr>
                <w:rFonts w:ascii="Times New Roman" w:hAnsi="Times New Roman" w:eastAsia="Times New Roman" w:cs="Times New Roman"/>
                <w:color w:val="auto"/>
                <w:spacing w:val="3"/>
                <w:highlight w:val="none"/>
              </w:rPr>
              <w:t xml:space="preserve"> </w:t>
            </w:r>
            <w:r>
              <w:rPr>
                <w:color w:val="auto"/>
                <w:spacing w:val="3"/>
                <w:highlight w:val="none"/>
              </w:rPr>
              <w:t>元。</w:t>
            </w:r>
          </w:p>
        </w:tc>
      </w:tr>
      <w:tr w14:paraId="3E7D2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1" w:hRule="atLeast"/>
        </w:trPr>
        <w:tc>
          <w:tcPr>
            <w:tcW w:w="610" w:type="dxa"/>
            <w:vMerge w:val="continue"/>
            <w:tcBorders>
              <w:top w:val="nil"/>
            </w:tcBorders>
            <w:textDirection w:val="tbRlV"/>
            <w:vAlign w:val="top"/>
          </w:tcPr>
          <w:p w14:paraId="552DEF05">
            <w:pPr>
              <w:rPr>
                <w:rFonts w:ascii="Arial"/>
                <w:color w:val="auto"/>
                <w:sz w:val="21"/>
                <w:highlight w:val="none"/>
              </w:rPr>
            </w:pPr>
          </w:p>
        </w:tc>
        <w:tc>
          <w:tcPr>
            <w:tcW w:w="845" w:type="dxa"/>
            <w:vAlign w:val="center"/>
          </w:tcPr>
          <w:p w14:paraId="4FE967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27</w:t>
            </w:r>
          </w:p>
        </w:tc>
        <w:tc>
          <w:tcPr>
            <w:tcW w:w="7440" w:type="dxa"/>
            <w:vAlign w:val="top"/>
          </w:tcPr>
          <w:p w14:paraId="6FD6AD04">
            <w:pPr>
              <w:pStyle w:val="20"/>
              <w:spacing w:before="284" w:line="278" w:lineRule="auto"/>
              <w:ind w:left="118" w:right="152"/>
              <w:rPr>
                <w:color w:val="auto"/>
                <w:highlight w:val="none"/>
              </w:rPr>
            </w:pPr>
            <w:r>
              <w:rPr>
                <w:color w:val="auto"/>
                <w:spacing w:val="11"/>
                <w:highlight w:val="none"/>
              </w:rPr>
              <w:t>监理人中标法人单位未按合同约定或发包人要求，</w:t>
            </w:r>
            <w:r>
              <w:rPr>
                <w:color w:val="auto"/>
                <w:spacing w:val="10"/>
                <w:highlight w:val="none"/>
              </w:rPr>
              <w:t>对总监办进行监管和支持，</w:t>
            </w:r>
            <w:r>
              <w:rPr>
                <w:color w:val="auto"/>
                <w:spacing w:val="7"/>
                <w:highlight w:val="none"/>
              </w:rPr>
              <w:t>重要事项未提级管理，每次处以违约金</w:t>
            </w:r>
            <w:r>
              <w:rPr>
                <w:color w:val="auto"/>
                <w:spacing w:val="-27"/>
                <w:highlight w:val="none"/>
              </w:rPr>
              <w:t xml:space="preserve"> </w:t>
            </w:r>
            <w:r>
              <w:rPr>
                <w:rFonts w:ascii="Calibri" w:hAnsi="Calibri" w:eastAsia="Calibri" w:cs="Calibri"/>
                <w:color w:val="auto"/>
                <w:spacing w:val="7"/>
                <w:highlight w:val="none"/>
                <w:u w:val="single" w:color="auto"/>
              </w:rPr>
              <w:t>5</w:t>
            </w:r>
            <w:r>
              <w:rPr>
                <w:rFonts w:ascii="Calibri" w:hAnsi="Calibri" w:eastAsia="Calibri" w:cs="Calibri"/>
                <w:color w:val="auto"/>
                <w:spacing w:val="23"/>
                <w:w w:val="101"/>
                <w:highlight w:val="none"/>
                <w:u w:val="single" w:color="auto"/>
              </w:rPr>
              <w:t xml:space="preserve"> </w:t>
            </w:r>
            <w:r>
              <w:rPr>
                <w:color w:val="auto"/>
                <w:spacing w:val="7"/>
                <w:highlight w:val="none"/>
              </w:rPr>
              <w:t>万元。</w:t>
            </w:r>
          </w:p>
        </w:tc>
      </w:tr>
      <w:tr w14:paraId="1A468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610" w:type="dxa"/>
            <w:vMerge w:val="restart"/>
            <w:tcBorders>
              <w:bottom w:val="nil"/>
            </w:tcBorders>
            <w:vAlign w:val="top"/>
          </w:tcPr>
          <w:p w14:paraId="36CC9D8D">
            <w:pPr>
              <w:rPr>
                <w:rFonts w:ascii="Arial"/>
                <w:color w:val="auto"/>
                <w:sz w:val="21"/>
                <w:highlight w:val="none"/>
              </w:rPr>
            </w:pPr>
          </w:p>
        </w:tc>
        <w:tc>
          <w:tcPr>
            <w:tcW w:w="845" w:type="dxa"/>
            <w:vAlign w:val="center"/>
          </w:tcPr>
          <w:p w14:paraId="37EC92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28</w:t>
            </w:r>
          </w:p>
        </w:tc>
        <w:tc>
          <w:tcPr>
            <w:tcW w:w="7440" w:type="dxa"/>
            <w:vAlign w:val="top"/>
          </w:tcPr>
          <w:p w14:paraId="538097D6">
            <w:pPr>
              <w:pStyle w:val="20"/>
              <w:spacing w:before="117" w:line="262" w:lineRule="auto"/>
              <w:ind w:left="121" w:right="114" w:hanging="4"/>
              <w:rPr>
                <w:color w:val="auto"/>
                <w:highlight w:val="none"/>
              </w:rPr>
            </w:pPr>
            <w:r>
              <w:rPr>
                <w:color w:val="auto"/>
                <w:spacing w:val="13"/>
                <w:highlight w:val="none"/>
              </w:rPr>
              <w:t>监理人未按合同约定或发包人要求组织监理人员适岗培训，每次处以违约金</w:t>
            </w:r>
            <w:r>
              <w:rPr>
                <w:color w:val="auto"/>
                <w:spacing w:val="-32"/>
                <w:highlight w:val="none"/>
              </w:rPr>
              <w:t xml:space="preserve"> </w:t>
            </w:r>
            <w:r>
              <w:rPr>
                <w:rFonts w:ascii="Calibri" w:hAnsi="Calibri" w:eastAsia="Calibri" w:cs="Calibri"/>
                <w:color w:val="auto"/>
                <w:spacing w:val="13"/>
                <w:highlight w:val="none"/>
                <w:u w:val="single" w:color="auto"/>
              </w:rPr>
              <w:t>5</w:t>
            </w:r>
            <w:r>
              <w:rPr>
                <w:color w:val="auto"/>
                <w:spacing w:val="1"/>
                <w:highlight w:val="none"/>
              </w:rPr>
              <w:t>万元。</w:t>
            </w:r>
          </w:p>
        </w:tc>
      </w:tr>
      <w:tr w14:paraId="2D255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610" w:type="dxa"/>
            <w:vMerge w:val="continue"/>
            <w:tcBorders>
              <w:top w:val="nil"/>
            </w:tcBorders>
            <w:vAlign w:val="top"/>
          </w:tcPr>
          <w:p w14:paraId="11D85A6E">
            <w:pPr>
              <w:rPr>
                <w:rFonts w:ascii="Arial"/>
                <w:color w:val="auto"/>
                <w:sz w:val="21"/>
                <w:highlight w:val="none"/>
              </w:rPr>
            </w:pPr>
          </w:p>
        </w:tc>
        <w:tc>
          <w:tcPr>
            <w:tcW w:w="845" w:type="dxa"/>
            <w:vAlign w:val="center"/>
          </w:tcPr>
          <w:p w14:paraId="20599EB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29</w:t>
            </w:r>
          </w:p>
        </w:tc>
        <w:tc>
          <w:tcPr>
            <w:tcW w:w="7440" w:type="dxa"/>
            <w:vAlign w:val="top"/>
          </w:tcPr>
          <w:p w14:paraId="06280436">
            <w:pPr>
              <w:pStyle w:val="20"/>
              <w:spacing w:before="126" w:line="266" w:lineRule="auto"/>
              <w:ind w:left="121" w:right="114"/>
              <w:rPr>
                <w:color w:val="auto"/>
                <w:highlight w:val="none"/>
              </w:rPr>
            </w:pPr>
            <w:r>
              <w:rPr>
                <w:color w:val="auto"/>
                <w:spacing w:val="13"/>
                <w:highlight w:val="none"/>
              </w:rPr>
              <w:t>总监办未按合同约定工作内容，积极协助发包人进行管理，每次处</w:t>
            </w:r>
            <w:r>
              <w:rPr>
                <w:color w:val="auto"/>
                <w:spacing w:val="12"/>
                <w:highlight w:val="none"/>
              </w:rPr>
              <w:t>以违约金</w:t>
            </w:r>
            <w:r>
              <w:rPr>
                <w:color w:val="auto"/>
                <w:spacing w:val="-32"/>
                <w:highlight w:val="none"/>
              </w:rPr>
              <w:t xml:space="preserve"> </w:t>
            </w:r>
            <w:r>
              <w:rPr>
                <w:rFonts w:ascii="Calibri" w:hAnsi="Calibri" w:eastAsia="Calibri" w:cs="Calibri"/>
                <w:color w:val="auto"/>
                <w:spacing w:val="12"/>
                <w:highlight w:val="none"/>
              </w:rPr>
              <w:t>5</w:t>
            </w:r>
            <w:r>
              <w:rPr>
                <w:color w:val="auto"/>
                <w:spacing w:val="1"/>
                <w:highlight w:val="none"/>
              </w:rPr>
              <w:t>万元。</w:t>
            </w:r>
          </w:p>
        </w:tc>
      </w:tr>
      <w:tr w14:paraId="01656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3" w:hRule="atLeast"/>
        </w:trPr>
        <w:tc>
          <w:tcPr>
            <w:tcW w:w="610" w:type="dxa"/>
            <w:vAlign w:val="top"/>
          </w:tcPr>
          <w:p w14:paraId="4A6A15B5">
            <w:pPr>
              <w:rPr>
                <w:rFonts w:ascii="Arial"/>
                <w:color w:val="auto"/>
                <w:sz w:val="21"/>
                <w:highlight w:val="none"/>
              </w:rPr>
            </w:pPr>
          </w:p>
        </w:tc>
        <w:tc>
          <w:tcPr>
            <w:tcW w:w="845" w:type="dxa"/>
            <w:vAlign w:val="center"/>
          </w:tcPr>
          <w:p w14:paraId="205354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30</w:t>
            </w:r>
          </w:p>
        </w:tc>
        <w:tc>
          <w:tcPr>
            <w:tcW w:w="7440" w:type="dxa"/>
            <w:vAlign w:val="top"/>
          </w:tcPr>
          <w:p w14:paraId="663AE80A">
            <w:pPr>
              <w:pStyle w:val="20"/>
              <w:spacing w:before="117" w:line="282" w:lineRule="auto"/>
              <w:ind w:left="118" w:right="114" w:hanging="2"/>
              <w:rPr>
                <w:color w:val="auto"/>
                <w:highlight w:val="none"/>
              </w:rPr>
            </w:pPr>
            <w:r>
              <w:rPr>
                <w:color w:val="auto"/>
                <w:spacing w:val="11"/>
                <w:highlight w:val="none"/>
              </w:rPr>
              <w:t>对施工单位的《项目管理方案》审查不到位，视情况处每次</w:t>
            </w:r>
            <w:r>
              <w:rPr>
                <w:color w:val="auto"/>
                <w:spacing w:val="-10"/>
                <w:highlight w:val="none"/>
              </w:rPr>
              <w:t xml:space="preserve"> </w:t>
            </w:r>
            <w:r>
              <w:rPr>
                <w:rFonts w:ascii="Calibri" w:hAnsi="Calibri" w:eastAsia="Calibri" w:cs="Calibri"/>
                <w:color w:val="auto"/>
                <w:spacing w:val="11"/>
                <w:highlight w:val="none"/>
              </w:rPr>
              <w:t>1</w:t>
            </w:r>
            <w:r>
              <w:rPr>
                <w:rFonts w:ascii="Calibri" w:hAnsi="Calibri" w:eastAsia="Calibri" w:cs="Calibri"/>
                <w:color w:val="auto"/>
                <w:spacing w:val="28"/>
                <w:w w:val="101"/>
                <w:highlight w:val="none"/>
              </w:rPr>
              <w:t xml:space="preserve"> </w:t>
            </w:r>
            <w:r>
              <w:rPr>
                <w:color w:val="auto"/>
                <w:spacing w:val="11"/>
                <w:highlight w:val="none"/>
              </w:rPr>
              <w:t>万—</w:t>
            </w:r>
            <w:r>
              <w:rPr>
                <w:rFonts w:ascii="Calibri" w:hAnsi="Calibri" w:eastAsia="Calibri" w:cs="Calibri"/>
                <w:color w:val="auto"/>
                <w:spacing w:val="11"/>
                <w:highlight w:val="none"/>
              </w:rPr>
              <w:t>2</w:t>
            </w:r>
            <w:r>
              <w:rPr>
                <w:rFonts w:ascii="Calibri" w:hAnsi="Calibri" w:eastAsia="Calibri" w:cs="Calibri"/>
                <w:color w:val="auto"/>
                <w:spacing w:val="27"/>
                <w:w w:val="101"/>
                <w:highlight w:val="none"/>
              </w:rPr>
              <w:t xml:space="preserve"> </w:t>
            </w:r>
            <w:r>
              <w:rPr>
                <w:color w:val="auto"/>
                <w:spacing w:val="11"/>
                <w:highlight w:val="none"/>
              </w:rPr>
              <w:t>万元违约</w:t>
            </w:r>
            <w:r>
              <w:rPr>
                <w:color w:val="auto"/>
                <w:spacing w:val="-1"/>
                <w:highlight w:val="none"/>
              </w:rPr>
              <w:t>金。</w:t>
            </w:r>
          </w:p>
          <w:p w14:paraId="2A09F098">
            <w:pPr>
              <w:pStyle w:val="20"/>
              <w:spacing w:before="78" w:line="228" w:lineRule="auto"/>
              <w:ind w:left="120"/>
              <w:rPr>
                <w:color w:val="auto"/>
                <w:highlight w:val="none"/>
              </w:rPr>
            </w:pPr>
            <w:r>
              <w:rPr>
                <w:color w:val="auto"/>
                <w:spacing w:val="5"/>
                <w:highlight w:val="none"/>
              </w:rPr>
              <w:t>未按时检查处以违约金</w:t>
            </w:r>
            <w:r>
              <w:rPr>
                <w:color w:val="auto"/>
                <w:spacing w:val="-31"/>
                <w:highlight w:val="none"/>
              </w:rPr>
              <w:t xml:space="preserve"> </w:t>
            </w:r>
            <w:r>
              <w:rPr>
                <w:rFonts w:ascii="Calibri" w:hAnsi="Calibri" w:eastAsia="Calibri" w:cs="Calibri"/>
                <w:color w:val="auto"/>
                <w:spacing w:val="5"/>
                <w:highlight w:val="none"/>
              </w:rPr>
              <w:t>0.5</w:t>
            </w:r>
            <w:r>
              <w:rPr>
                <w:rFonts w:ascii="Calibri" w:hAnsi="Calibri" w:eastAsia="Calibri" w:cs="Calibri"/>
                <w:color w:val="auto"/>
                <w:spacing w:val="26"/>
                <w:highlight w:val="none"/>
              </w:rPr>
              <w:t xml:space="preserve"> </w:t>
            </w:r>
            <w:r>
              <w:rPr>
                <w:color w:val="auto"/>
                <w:spacing w:val="5"/>
                <w:highlight w:val="none"/>
              </w:rPr>
              <w:t>万—</w:t>
            </w:r>
            <w:r>
              <w:rPr>
                <w:rFonts w:ascii="Calibri" w:hAnsi="Calibri" w:eastAsia="Calibri" w:cs="Calibri"/>
                <w:color w:val="auto"/>
                <w:spacing w:val="5"/>
                <w:highlight w:val="none"/>
              </w:rPr>
              <w:t>1</w:t>
            </w:r>
            <w:r>
              <w:rPr>
                <w:rFonts w:ascii="Calibri" w:hAnsi="Calibri" w:eastAsia="Calibri" w:cs="Calibri"/>
                <w:color w:val="auto"/>
                <w:spacing w:val="23"/>
                <w:highlight w:val="none"/>
              </w:rPr>
              <w:t xml:space="preserve"> </w:t>
            </w:r>
            <w:r>
              <w:rPr>
                <w:color w:val="auto"/>
                <w:spacing w:val="5"/>
                <w:highlight w:val="none"/>
              </w:rPr>
              <w:t>万元。</w:t>
            </w:r>
          </w:p>
          <w:p w14:paraId="279829B4">
            <w:pPr>
              <w:pStyle w:val="20"/>
              <w:spacing w:before="149" w:line="211" w:lineRule="auto"/>
              <w:ind w:left="116"/>
              <w:rPr>
                <w:color w:val="auto"/>
                <w:sz w:val="22"/>
                <w:szCs w:val="22"/>
                <w:highlight w:val="none"/>
              </w:rPr>
            </w:pPr>
            <w:r>
              <w:rPr>
                <w:color w:val="auto"/>
                <w:spacing w:val="7"/>
                <w:highlight w:val="none"/>
              </w:rPr>
              <w:t>检查不到位，没有及时督促整改处以违约金</w:t>
            </w:r>
            <w:r>
              <w:rPr>
                <w:color w:val="auto"/>
                <w:spacing w:val="-37"/>
                <w:highlight w:val="none"/>
              </w:rPr>
              <w:t xml:space="preserve"> </w:t>
            </w:r>
            <w:r>
              <w:rPr>
                <w:rFonts w:ascii="Calibri" w:hAnsi="Calibri" w:eastAsia="Calibri" w:cs="Calibri"/>
                <w:color w:val="auto"/>
                <w:spacing w:val="7"/>
                <w:highlight w:val="none"/>
              </w:rPr>
              <w:t>0.5</w:t>
            </w:r>
            <w:r>
              <w:rPr>
                <w:rFonts w:ascii="Calibri" w:hAnsi="Calibri" w:eastAsia="Calibri" w:cs="Calibri"/>
                <w:color w:val="auto"/>
                <w:spacing w:val="23"/>
                <w:highlight w:val="none"/>
              </w:rPr>
              <w:t xml:space="preserve"> </w:t>
            </w:r>
            <w:r>
              <w:rPr>
                <w:color w:val="auto"/>
                <w:spacing w:val="7"/>
                <w:highlight w:val="none"/>
              </w:rPr>
              <w:t>万—</w:t>
            </w:r>
            <w:r>
              <w:rPr>
                <w:rFonts w:ascii="Calibri" w:hAnsi="Calibri" w:eastAsia="Calibri" w:cs="Calibri"/>
                <w:color w:val="auto"/>
                <w:spacing w:val="7"/>
                <w:highlight w:val="none"/>
              </w:rPr>
              <w:t>1</w:t>
            </w:r>
            <w:r>
              <w:rPr>
                <w:rFonts w:ascii="Calibri" w:hAnsi="Calibri" w:eastAsia="Calibri" w:cs="Calibri"/>
                <w:color w:val="auto"/>
                <w:spacing w:val="25"/>
                <w:w w:val="101"/>
                <w:highlight w:val="none"/>
              </w:rPr>
              <w:t xml:space="preserve"> </w:t>
            </w:r>
            <w:r>
              <w:rPr>
                <w:color w:val="auto"/>
                <w:spacing w:val="7"/>
                <w:highlight w:val="none"/>
              </w:rPr>
              <w:t>万元</w:t>
            </w:r>
            <w:r>
              <w:rPr>
                <w:color w:val="auto"/>
                <w:spacing w:val="7"/>
                <w:sz w:val="22"/>
                <w:szCs w:val="22"/>
                <w:highlight w:val="none"/>
              </w:rPr>
              <w:t>。</w:t>
            </w:r>
          </w:p>
        </w:tc>
      </w:tr>
      <w:tr w14:paraId="1885B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10" w:type="dxa"/>
            <w:vMerge w:val="restart"/>
            <w:textDirection w:val="tbRlV"/>
            <w:vAlign w:val="center"/>
          </w:tcPr>
          <w:p w14:paraId="31422AD0">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highlight w:val="none"/>
              </w:rPr>
            </w:pPr>
            <w:r>
              <w:rPr>
                <w:b/>
                <w:bCs/>
                <w:color w:val="auto"/>
                <w:spacing w:val="6"/>
                <w:highlight w:val="none"/>
              </w:rPr>
              <w:t>安</w:t>
            </w:r>
            <w:r>
              <w:rPr>
                <w:color w:val="auto"/>
                <w:spacing w:val="-8"/>
                <w:highlight w:val="none"/>
              </w:rPr>
              <w:t xml:space="preserve"> </w:t>
            </w:r>
            <w:r>
              <w:rPr>
                <w:b/>
                <w:bCs/>
                <w:color w:val="auto"/>
                <w:spacing w:val="6"/>
                <w:highlight w:val="none"/>
              </w:rPr>
              <w:t>全</w:t>
            </w:r>
            <w:r>
              <w:rPr>
                <w:color w:val="auto"/>
                <w:spacing w:val="-8"/>
                <w:highlight w:val="none"/>
              </w:rPr>
              <w:t xml:space="preserve"> </w:t>
            </w:r>
            <w:r>
              <w:rPr>
                <w:b/>
                <w:bCs/>
                <w:color w:val="auto"/>
                <w:spacing w:val="6"/>
                <w:highlight w:val="none"/>
              </w:rPr>
              <w:t>罚</w:t>
            </w:r>
            <w:r>
              <w:rPr>
                <w:color w:val="auto"/>
                <w:spacing w:val="-9"/>
                <w:highlight w:val="none"/>
              </w:rPr>
              <w:t xml:space="preserve"> </w:t>
            </w:r>
            <w:r>
              <w:rPr>
                <w:b/>
                <w:bCs/>
                <w:color w:val="auto"/>
                <w:spacing w:val="6"/>
                <w:highlight w:val="none"/>
              </w:rPr>
              <w:t>款</w:t>
            </w:r>
          </w:p>
        </w:tc>
        <w:tc>
          <w:tcPr>
            <w:tcW w:w="845" w:type="dxa"/>
            <w:vAlign w:val="top"/>
          </w:tcPr>
          <w:p w14:paraId="55504118">
            <w:pPr>
              <w:spacing w:before="228" w:line="195" w:lineRule="auto"/>
              <w:ind w:left="393"/>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c>
          <w:tcPr>
            <w:tcW w:w="7440" w:type="dxa"/>
            <w:vAlign w:val="top"/>
          </w:tcPr>
          <w:p w14:paraId="3CBEFD29">
            <w:pPr>
              <w:pStyle w:val="20"/>
              <w:spacing w:before="130" w:line="221" w:lineRule="auto"/>
              <w:ind w:left="223"/>
              <w:rPr>
                <w:rFonts w:ascii="Times New Roman" w:hAnsi="Times New Roman" w:eastAsia="Times New Roman" w:cs="Times New Roman"/>
                <w:color w:val="auto"/>
                <w:highlight w:val="none"/>
              </w:rPr>
            </w:pPr>
            <w:r>
              <w:rPr>
                <w:color w:val="auto"/>
                <w:spacing w:val="8"/>
                <w:highlight w:val="none"/>
              </w:rPr>
              <w:t>监理人员违反施工现场安全管理规定的，每人次罚款</w:t>
            </w:r>
            <w:r>
              <w:rPr>
                <w:color w:val="auto"/>
                <w:spacing w:val="-37"/>
                <w:highlight w:val="none"/>
              </w:rPr>
              <w:t xml:space="preserve"> </w:t>
            </w:r>
            <w:r>
              <w:rPr>
                <w:rFonts w:ascii="Times New Roman" w:hAnsi="Times New Roman" w:eastAsia="Times New Roman" w:cs="Times New Roman"/>
                <w:color w:val="auto"/>
                <w:spacing w:val="8"/>
                <w:highlight w:val="none"/>
              </w:rPr>
              <w:t>5</w:t>
            </w:r>
            <w:r>
              <w:rPr>
                <w:rFonts w:ascii="Times New Roman" w:hAnsi="Times New Roman" w:eastAsia="Times New Roman" w:cs="Times New Roman"/>
                <w:color w:val="auto"/>
                <w:spacing w:val="7"/>
                <w:highlight w:val="none"/>
              </w:rPr>
              <w:t xml:space="preserve">00 </w:t>
            </w:r>
            <w:r>
              <w:rPr>
                <w:color w:val="auto"/>
                <w:spacing w:val="7"/>
                <w:highlight w:val="none"/>
              </w:rPr>
              <w:t>元</w:t>
            </w:r>
            <w:r>
              <w:rPr>
                <w:rFonts w:ascii="Times New Roman" w:hAnsi="Times New Roman" w:eastAsia="Times New Roman" w:cs="Times New Roman"/>
                <w:color w:val="auto"/>
                <w:spacing w:val="7"/>
                <w:highlight w:val="none"/>
              </w:rPr>
              <w:t>;</w:t>
            </w:r>
          </w:p>
        </w:tc>
      </w:tr>
      <w:tr w14:paraId="78A1E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610" w:type="dxa"/>
            <w:vMerge w:val="continue"/>
            <w:textDirection w:val="tbRlV"/>
            <w:vAlign w:val="top"/>
          </w:tcPr>
          <w:p w14:paraId="2A3675DF">
            <w:pPr>
              <w:rPr>
                <w:rFonts w:ascii="Arial"/>
                <w:color w:val="auto"/>
                <w:sz w:val="21"/>
                <w:highlight w:val="none"/>
              </w:rPr>
            </w:pPr>
          </w:p>
        </w:tc>
        <w:tc>
          <w:tcPr>
            <w:tcW w:w="845" w:type="dxa"/>
            <w:vAlign w:val="top"/>
          </w:tcPr>
          <w:p w14:paraId="4766465C">
            <w:pPr>
              <w:spacing w:line="293" w:lineRule="auto"/>
              <w:rPr>
                <w:rFonts w:ascii="Arial"/>
                <w:color w:val="auto"/>
                <w:sz w:val="21"/>
                <w:highlight w:val="none"/>
              </w:rPr>
            </w:pPr>
          </w:p>
          <w:p w14:paraId="1477E244">
            <w:pPr>
              <w:spacing w:before="57" w:line="195" w:lineRule="auto"/>
              <w:ind w:left="373"/>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c>
          <w:tcPr>
            <w:tcW w:w="7440" w:type="dxa"/>
            <w:vAlign w:val="top"/>
          </w:tcPr>
          <w:p w14:paraId="12CBE2CA">
            <w:pPr>
              <w:pStyle w:val="20"/>
              <w:spacing w:before="121" w:line="261" w:lineRule="auto"/>
              <w:ind w:left="225" w:right="301" w:hanging="4"/>
              <w:rPr>
                <w:rFonts w:ascii="Times New Roman" w:hAnsi="Times New Roman" w:eastAsia="Times New Roman" w:cs="Times New Roman"/>
                <w:color w:val="auto"/>
                <w:highlight w:val="none"/>
              </w:rPr>
            </w:pPr>
            <w:r>
              <w:rPr>
                <w:color w:val="auto"/>
                <w:spacing w:val="10"/>
                <w:highlight w:val="none"/>
              </w:rPr>
              <w:t>施工现场存在严重安全隐患，监理人未及时发现或发</w:t>
            </w:r>
            <w:r>
              <w:rPr>
                <w:color w:val="auto"/>
                <w:spacing w:val="9"/>
                <w:highlight w:val="none"/>
              </w:rPr>
              <w:t>现后未采取措施的，每</w:t>
            </w:r>
            <w:r>
              <w:rPr>
                <w:color w:val="auto"/>
                <w:spacing w:val="3"/>
                <w:highlight w:val="none"/>
              </w:rPr>
              <w:t>项罚款</w:t>
            </w:r>
            <w:r>
              <w:rPr>
                <w:color w:val="auto"/>
                <w:spacing w:val="-37"/>
                <w:highlight w:val="none"/>
              </w:rPr>
              <w:t xml:space="preserve"> </w:t>
            </w:r>
            <w:r>
              <w:rPr>
                <w:rFonts w:ascii="Times New Roman" w:hAnsi="Times New Roman" w:eastAsia="Times New Roman" w:cs="Times New Roman"/>
                <w:color w:val="auto"/>
                <w:spacing w:val="3"/>
                <w:highlight w:val="none"/>
              </w:rPr>
              <w:t xml:space="preserve">3000 </w:t>
            </w:r>
            <w:r>
              <w:rPr>
                <w:color w:val="auto"/>
                <w:spacing w:val="3"/>
                <w:highlight w:val="none"/>
              </w:rPr>
              <w:t>元</w:t>
            </w:r>
            <w:r>
              <w:rPr>
                <w:rFonts w:ascii="Times New Roman" w:hAnsi="Times New Roman" w:eastAsia="Times New Roman" w:cs="Times New Roman"/>
                <w:color w:val="auto"/>
                <w:spacing w:val="3"/>
                <w:highlight w:val="none"/>
              </w:rPr>
              <w:t>;</w:t>
            </w:r>
          </w:p>
        </w:tc>
      </w:tr>
      <w:tr w14:paraId="49ECF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610" w:type="dxa"/>
            <w:vMerge w:val="continue"/>
            <w:textDirection w:val="tbRlV"/>
            <w:vAlign w:val="top"/>
          </w:tcPr>
          <w:p w14:paraId="20FBD071">
            <w:pPr>
              <w:rPr>
                <w:rFonts w:ascii="Arial"/>
                <w:color w:val="auto"/>
                <w:sz w:val="21"/>
                <w:highlight w:val="none"/>
              </w:rPr>
            </w:pPr>
          </w:p>
        </w:tc>
        <w:tc>
          <w:tcPr>
            <w:tcW w:w="845" w:type="dxa"/>
            <w:vAlign w:val="top"/>
          </w:tcPr>
          <w:p w14:paraId="2BBC46CC">
            <w:pPr>
              <w:spacing w:line="294" w:lineRule="auto"/>
              <w:rPr>
                <w:rFonts w:ascii="Arial"/>
                <w:color w:val="auto"/>
                <w:sz w:val="21"/>
                <w:highlight w:val="none"/>
              </w:rPr>
            </w:pPr>
          </w:p>
          <w:p w14:paraId="76FD4B97">
            <w:pPr>
              <w:spacing w:before="58" w:line="195" w:lineRule="auto"/>
              <w:ind w:left="377"/>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w:t>
            </w:r>
          </w:p>
        </w:tc>
        <w:tc>
          <w:tcPr>
            <w:tcW w:w="7440" w:type="dxa"/>
            <w:vAlign w:val="top"/>
          </w:tcPr>
          <w:p w14:paraId="63ED7E4A">
            <w:pPr>
              <w:pStyle w:val="20"/>
              <w:spacing w:before="121" w:line="261" w:lineRule="auto"/>
              <w:ind w:left="230" w:right="301" w:hanging="9"/>
              <w:rPr>
                <w:rFonts w:ascii="Times New Roman" w:hAnsi="Times New Roman" w:eastAsia="Times New Roman" w:cs="Times New Roman"/>
                <w:color w:val="auto"/>
                <w:highlight w:val="none"/>
              </w:rPr>
            </w:pPr>
            <w:r>
              <w:rPr>
                <w:color w:val="auto"/>
                <w:spacing w:val="10"/>
                <w:highlight w:val="none"/>
              </w:rPr>
              <w:t>施工单位未按规定整改期限及时整改安全隐患，监理</w:t>
            </w:r>
            <w:r>
              <w:rPr>
                <w:color w:val="auto"/>
                <w:spacing w:val="9"/>
                <w:highlight w:val="none"/>
              </w:rPr>
              <w:t>人未采取措施的，每项</w:t>
            </w:r>
            <w:r>
              <w:rPr>
                <w:color w:val="auto"/>
                <w:highlight w:val="none"/>
              </w:rPr>
              <w:t>罚款</w:t>
            </w:r>
            <w:r>
              <w:rPr>
                <w:color w:val="auto"/>
                <w:spacing w:val="-23"/>
                <w:highlight w:val="none"/>
              </w:rPr>
              <w:t xml:space="preserve"> </w:t>
            </w:r>
            <w:r>
              <w:rPr>
                <w:rFonts w:ascii="Times New Roman" w:hAnsi="Times New Roman" w:eastAsia="Times New Roman" w:cs="Times New Roman"/>
                <w:color w:val="auto"/>
                <w:highlight w:val="none"/>
              </w:rPr>
              <w:t xml:space="preserve">1000 </w:t>
            </w:r>
            <w:r>
              <w:rPr>
                <w:color w:val="auto"/>
                <w:highlight w:val="none"/>
              </w:rPr>
              <w:t>元</w:t>
            </w:r>
            <w:r>
              <w:rPr>
                <w:rFonts w:ascii="Times New Roman" w:hAnsi="Times New Roman" w:eastAsia="Times New Roman" w:cs="Times New Roman"/>
                <w:color w:val="auto"/>
                <w:highlight w:val="none"/>
              </w:rPr>
              <w:t>;</w:t>
            </w:r>
          </w:p>
        </w:tc>
      </w:tr>
      <w:tr w14:paraId="1CAE6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6" w:hRule="atLeast"/>
        </w:trPr>
        <w:tc>
          <w:tcPr>
            <w:tcW w:w="610" w:type="dxa"/>
            <w:vMerge w:val="continue"/>
            <w:textDirection w:val="tbRlV"/>
            <w:vAlign w:val="top"/>
          </w:tcPr>
          <w:p w14:paraId="6F83EBE6">
            <w:pPr>
              <w:rPr>
                <w:rFonts w:ascii="Arial"/>
                <w:color w:val="auto"/>
                <w:sz w:val="21"/>
                <w:highlight w:val="none"/>
              </w:rPr>
            </w:pPr>
          </w:p>
        </w:tc>
        <w:tc>
          <w:tcPr>
            <w:tcW w:w="845" w:type="dxa"/>
            <w:vAlign w:val="top"/>
          </w:tcPr>
          <w:p w14:paraId="40D6DFE6">
            <w:pPr>
              <w:spacing w:line="256" w:lineRule="auto"/>
              <w:rPr>
                <w:rFonts w:ascii="Arial"/>
                <w:color w:val="auto"/>
                <w:sz w:val="21"/>
                <w:highlight w:val="none"/>
              </w:rPr>
            </w:pPr>
          </w:p>
          <w:p w14:paraId="2E5BA9DD">
            <w:pPr>
              <w:spacing w:line="257" w:lineRule="auto"/>
              <w:rPr>
                <w:rFonts w:ascii="Arial"/>
                <w:color w:val="auto"/>
                <w:sz w:val="21"/>
                <w:highlight w:val="none"/>
              </w:rPr>
            </w:pPr>
          </w:p>
          <w:p w14:paraId="3F69606E">
            <w:pPr>
              <w:spacing w:line="257" w:lineRule="auto"/>
              <w:rPr>
                <w:rFonts w:ascii="Arial"/>
                <w:color w:val="auto"/>
                <w:sz w:val="21"/>
                <w:highlight w:val="none"/>
              </w:rPr>
            </w:pPr>
          </w:p>
          <w:p w14:paraId="21658813">
            <w:pPr>
              <w:spacing w:line="257" w:lineRule="auto"/>
              <w:rPr>
                <w:rFonts w:ascii="Arial"/>
                <w:color w:val="auto"/>
                <w:sz w:val="21"/>
                <w:highlight w:val="none"/>
              </w:rPr>
            </w:pPr>
          </w:p>
          <w:p w14:paraId="0FCAEEB0">
            <w:pPr>
              <w:spacing w:line="257" w:lineRule="auto"/>
              <w:rPr>
                <w:rFonts w:ascii="Arial"/>
                <w:color w:val="auto"/>
                <w:sz w:val="21"/>
                <w:highlight w:val="none"/>
              </w:rPr>
            </w:pPr>
          </w:p>
          <w:p w14:paraId="13B8AE8D">
            <w:pPr>
              <w:spacing w:line="257" w:lineRule="auto"/>
              <w:rPr>
                <w:rFonts w:ascii="Arial"/>
                <w:color w:val="auto"/>
                <w:sz w:val="21"/>
                <w:highlight w:val="none"/>
              </w:rPr>
            </w:pPr>
          </w:p>
          <w:p w14:paraId="42E58923">
            <w:pPr>
              <w:spacing w:line="257" w:lineRule="auto"/>
              <w:rPr>
                <w:rFonts w:ascii="Arial"/>
                <w:color w:val="auto"/>
                <w:sz w:val="21"/>
                <w:highlight w:val="none"/>
              </w:rPr>
            </w:pPr>
          </w:p>
          <w:p w14:paraId="6ABF0B0D">
            <w:pPr>
              <w:spacing w:before="58" w:line="195" w:lineRule="auto"/>
              <w:ind w:left="372"/>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4</w:t>
            </w:r>
          </w:p>
        </w:tc>
        <w:tc>
          <w:tcPr>
            <w:tcW w:w="7440" w:type="dxa"/>
            <w:vAlign w:val="top"/>
          </w:tcPr>
          <w:p w14:paraId="5B8F60C8">
            <w:pPr>
              <w:pStyle w:val="20"/>
              <w:spacing w:before="119" w:line="227" w:lineRule="auto"/>
              <w:ind w:left="221"/>
              <w:rPr>
                <w:color w:val="auto"/>
                <w:highlight w:val="none"/>
              </w:rPr>
            </w:pPr>
            <w:r>
              <w:rPr>
                <w:color w:val="auto"/>
                <w:spacing w:val="8"/>
                <w:highlight w:val="none"/>
              </w:rPr>
              <w:t>施工单位存在下列情况，监理人未采取措施的，每项罚款</w:t>
            </w:r>
            <w:r>
              <w:rPr>
                <w:color w:val="auto"/>
                <w:spacing w:val="-43"/>
                <w:highlight w:val="none"/>
              </w:rPr>
              <w:t xml:space="preserve"> </w:t>
            </w:r>
            <w:r>
              <w:rPr>
                <w:rFonts w:ascii="Times New Roman" w:hAnsi="Times New Roman" w:eastAsia="Times New Roman" w:cs="Times New Roman"/>
                <w:color w:val="auto"/>
                <w:spacing w:val="8"/>
                <w:highlight w:val="none"/>
              </w:rPr>
              <w:t xml:space="preserve">2000 </w:t>
            </w:r>
            <w:r>
              <w:rPr>
                <w:color w:val="auto"/>
                <w:spacing w:val="8"/>
                <w:highlight w:val="none"/>
              </w:rPr>
              <w:t>元：</w:t>
            </w:r>
          </w:p>
          <w:p w14:paraId="31B048A8">
            <w:pPr>
              <w:pStyle w:val="20"/>
              <w:spacing w:before="143" w:line="226" w:lineRule="auto"/>
              <w:ind w:left="232"/>
              <w:rPr>
                <w:color w:val="auto"/>
                <w:highlight w:val="none"/>
              </w:rPr>
            </w:pPr>
            <w:r>
              <w:rPr>
                <w:color w:val="auto"/>
                <w:spacing w:val="8"/>
                <w:highlight w:val="none"/>
              </w:rPr>
              <w:t>（一）未按规定开展桥梁隧道工程施工安全风险评估的。</w:t>
            </w:r>
          </w:p>
          <w:p w14:paraId="61E57F59">
            <w:pPr>
              <w:pStyle w:val="20"/>
              <w:spacing w:before="145" w:line="281" w:lineRule="auto"/>
              <w:ind w:left="223" w:right="205" w:firstLine="9"/>
              <w:rPr>
                <w:color w:val="auto"/>
                <w:highlight w:val="none"/>
              </w:rPr>
            </w:pPr>
            <w:r>
              <w:rPr>
                <w:color w:val="auto"/>
                <w:spacing w:val="12"/>
                <w:highlight w:val="none"/>
              </w:rPr>
              <w:t>（二）未按规定完成专项施工安全技术方案的编制、论证、审核、审批手续</w:t>
            </w:r>
            <w:r>
              <w:rPr>
                <w:color w:val="auto"/>
                <w:spacing w:val="6"/>
                <w:highlight w:val="none"/>
              </w:rPr>
              <w:t>而擅自施工的。</w:t>
            </w:r>
          </w:p>
          <w:p w14:paraId="3CB6BF70">
            <w:pPr>
              <w:pStyle w:val="20"/>
              <w:spacing w:before="82" w:line="228" w:lineRule="auto"/>
              <w:ind w:left="232"/>
              <w:rPr>
                <w:color w:val="auto"/>
                <w:highlight w:val="none"/>
              </w:rPr>
            </w:pPr>
            <w:r>
              <w:rPr>
                <w:color w:val="auto"/>
                <w:spacing w:val="8"/>
                <w:highlight w:val="none"/>
              </w:rPr>
              <w:t>（三）未按已审批专项方案的安全技术要求施工的。</w:t>
            </w:r>
          </w:p>
          <w:p w14:paraId="49CFAF09">
            <w:pPr>
              <w:pStyle w:val="20"/>
              <w:spacing w:before="144" w:line="228" w:lineRule="auto"/>
              <w:ind w:left="232"/>
              <w:rPr>
                <w:color w:val="auto"/>
                <w:highlight w:val="none"/>
              </w:rPr>
            </w:pPr>
            <w:r>
              <w:rPr>
                <w:color w:val="auto"/>
                <w:spacing w:val="9"/>
                <w:highlight w:val="none"/>
              </w:rPr>
              <w:t>（四）危险性较大分部分项工程未经组织验收而擅自开展下一步施工的。</w:t>
            </w:r>
          </w:p>
          <w:p w14:paraId="5CD31D9A">
            <w:pPr>
              <w:pStyle w:val="20"/>
              <w:spacing w:before="143" w:line="278" w:lineRule="auto"/>
              <w:ind w:left="222" w:right="205" w:firstLine="10"/>
              <w:rPr>
                <w:color w:val="auto"/>
                <w:highlight w:val="none"/>
              </w:rPr>
            </w:pPr>
            <w:r>
              <w:rPr>
                <w:color w:val="auto"/>
                <w:spacing w:val="12"/>
                <w:highlight w:val="none"/>
              </w:rPr>
              <w:t>（五）未按规定办理爆破工程施工、涉石油天燃气管道施工、跨路施工、交</w:t>
            </w:r>
            <w:r>
              <w:rPr>
                <w:color w:val="auto"/>
                <w:spacing w:val="9"/>
                <w:highlight w:val="none"/>
              </w:rPr>
              <w:t>通管制及水上水下作业的相关安全许可手续而擅自施工的。</w:t>
            </w:r>
          </w:p>
          <w:p w14:paraId="79EA52A9">
            <w:pPr>
              <w:pStyle w:val="20"/>
              <w:spacing w:before="88" w:line="227" w:lineRule="auto"/>
              <w:ind w:left="232"/>
              <w:rPr>
                <w:color w:val="auto"/>
                <w:highlight w:val="none"/>
              </w:rPr>
            </w:pPr>
            <w:r>
              <w:rPr>
                <w:color w:val="auto"/>
                <w:spacing w:val="9"/>
                <w:highlight w:val="none"/>
              </w:rPr>
              <w:t>（六）所使用的特种设备未经生产许可或未经专业检测机构检验合格的。</w:t>
            </w:r>
          </w:p>
          <w:p w14:paraId="45EB8A18">
            <w:pPr>
              <w:pStyle w:val="20"/>
              <w:spacing w:before="143" w:line="228" w:lineRule="auto"/>
              <w:ind w:left="232"/>
              <w:rPr>
                <w:color w:val="auto"/>
                <w:highlight w:val="none"/>
              </w:rPr>
            </w:pPr>
            <w:r>
              <w:rPr>
                <w:color w:val="auto"/>
                <w:spacing w:val="8"/>
                <w:highlight w:val="none"/>
              </w:rPr>
              <w:t>（七）未按照上级文件要求贯彻落实实名制系统。</w:t>
            </w:r>
          </w:p>
        </w:tc>
      </w:tr>
      <w:tr w14:paraId="774F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6" w:hRule="atLeast"/>
        </w:trPr>
        <w:tc>
          <w:tcPr>
            <w:tcW w:w="610" w:type="dxa"/>
            <w:vMerge w:val="continue"/>
            <w:textDirection w:val="tbRlV"/>
            <w:vAlign w:val="top"/>
          </w:tcPr>
          <w:p w14:paraId="4752A099">
            <w:pPr>
              <w:rPr>
                <w:rFonts w:ascii="Arial"/>
                <w:color w:val="auto"/>
                <w:sz w:val="21"/>
                <w:highlight w:val="none"/>
              </w:rPr>
            </w:pPr>
          </w:p>
        </w:tc>
        <w:tc>
          <w:tcPr>
            <w:tcW w:w="845" w:type="dxa"/>
            <w:vAlign w:val="top"/>
          </w:tcPr>
          <w:p w14:paraId="71F6EDA8">
            <w:pPr>
              <w:spacing w:line="293" w:lineRule="auto"/>
              <w:rPr>
                <w:rFonts w:ascii="Arial"/>
                <w:color w:val="auto"/>
                <w:sz w:val="21"/>
                <w:highlight w:val="none"/>
              </w:rPr>
            </w:pPr>
          </w:p>
          <w:p w14:paraId="7F55887A">
            <w:pPr>
              <w:spacing w:line="293" w:lineRule="auto"/>
              <w:rPr>
                <w:rFonts w:ascii="Arial"/>
                <w:color w:val="auto"/>
                <w:sz w:val="21"/>
                <w:highlight w:val="none"/>
              </w:rPr>
            </w:pPr>
          </w:p>
          <w:p w14:paraId="032FF04A">
            <w:pPr>
              <w:spacing w:line="293" w:lineRule="auto"/>
              <w:rPr>
                <w:rFonts w:ascii="Arial"/>
                <w:color w:val="auto"/>
                <w:sz w:val="21"/>
                <w:highlight w:val="none"/>
              </w:rPr>
            </w:pPr>
          </w:p>
          <w:p w14:paraId="77DEA9D5">
            <w:pPr>
              <w:spacing w:before="57" w:line="192" w:lineRule="auto"/>
              <w:ind w:left="379"/>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c>
          <w:tcPr>
            <w:tcW w:w="7440" w:type="dxa"/>
            <w:vAlign w:val="top"/>
          </w:tcPr>
          <w:p w14:paraId="7D624F88">
            <w:pPr>
              <w:pStyle w:val="20"/>
              <w:spacing w:before="123" w:line="228" w:lineRule="auto"/>
              <w:ind w:left="228"/>
              <w:rPr>
                <w:color w:val="auto"/>
                <w:highlight w:val="none"/>
              </w:rPr>
            </w:pPr>
            <w:r>
              <w:rPr>
                <w:color w:val="auto"/>
                <w:spacing w:val="6"/>
                <w:highlight w:val="none"/>
              </w:rPr>
              <w:t>总监办存在下列情况的，每项罚款</w:t>
            </w:r>
            <w:r>
              <w:rPr>
                <w:color w:val="auto"/>
                <w:spacing w:val="-26"/>
                <w:highlight w:val="none"/>
              </w:rPr>
              <w:t xml:space="preserve"> </w:t>
            </w:r>
            <w:r>
              <w:rPr>
                <w:rFonts w:ascii="Times New Roman" w:hAnsi="Times New Roman" w:eastAsia="Times New Roman" w:cs="Times New Roman"/>
                <w:color w:val="auto"/>
                <w:spacing w:val="6"/>
                <w:highlight w:val="none"/>
              </w:rPr>
              <w:t xml:space="preserve">2000 </w:t>
            </w:r>
            <w:r>
              <w:rPr>
                <w:color w:val="auto"/>
                <w:spacing w:val="6"/>
                <w:highlight w:val="none"/>
              </w:rPr>
              <w:t>元：</w:t>
            </w:r>
          </w:p>
          <w:p w14:paraId="33D0777E">
            <w:pPr>
              <w:pStyle w:val="20"/>
              <w:spacing w:before="142" w:line="227" w:lineRule="auto"/>
              <w:ind w:left="232"/>
              <w:rPr>
                <w:color w:val="auto"/>
                <w:highlight w:val="none"/>
              </w:rPr>
            </w:pPr>
            <w:r>
              <w:rPr>
                <w:color w:val="auto"/>
                <w:spacing w:val="9"/>
                <w:highlight w:val="none"/>
              </w:rPr>
              <w:t>（一）未按规定制定安全管理规章制度、安全监理规（计）</w:t>
            </w:r>
            <w:r>
              <w:rPr>
                <w:color w:val="auto"/>
                <w:spacing w:val="8"/>
                <w:highlight w:val="none"/>
              </w:rPr>
              <w:t>划的；</w:t>
            </w:r>
          </w:p>
          <w:p w14:paraId="7D5C7673">
            <w:pPr>
              <w:pStyle w:val="20"/>
              <w:spacing w:before="143" w:line="280" w:lineRule="auto"/>
              <w:ind w:left="222" w:right="205" w:firstLine="10"/>
              <w:rPr>
                <w:color w:val="auto"/>
                <w:highlight w:val="none"/>
              </w:rPr>
            </w:pPr>
            <w:r>
              <w:rPr>
                <w:color w:val="auto"/>
                <w:spacing w:val="12"/>
                <w:highlight w:val="none"/>
              </w:rPr>
              <w:t>（二）未按制定的安全管理规章制度、安全监理规（计）划的要求开展安全</w:t>
            </w:r>
            <w:r>
              <w:rPr>
                <w:color w:val="auto"/>
                <w:spacing w:val="8"/>
                <w:highlight w:val="none"/>
              </w:rPr>
              <w:t>检查、安全会议、教育培训、安全技术交底、</w:t>
            </w:r>
            <w:r>
              <w:rPr>
                <w:color w:val="auto"/>
                <w:spacing w:val="-50"/>
                <w:highlight w:val="none"/>
              </w:rPr>
              <w:t xml:space="preserve"> </w:t>
            </w:r>
            <w:r>
              <w:rPr>
                <w:color w:val="auto"/>
                <w:spacing w:val="8"/>
                <w:highlight w:val="none"/>
              </w:rPr>
              <w:t>自我考评、建立</w:t>
            </w:r>
            <w:r>
              <w:rPr>
                <w:color w:val="auto"/>
                <w:spacing w:val="7"/>
                <w:highlight w:val="none"/>
              </w:rPr>
              <w:t>管理台账的；</w:t>
            </w:r>
          </w:p>
          <w:p w14:paraId="4095BF57">
            <w:pPr>
              <w:pStyle w:val="20"/>
              <w:spacing w:before="83" w:line="228" w:lineRule="auto"/>
              <w:ind w:left="232"/>
              <w:rPr>
                <w:color w:val="auto"/>
                <w:highlight w:val="none"/>
              </w:rPr>
            </w:pPr>
            <w:r>
              <w:rPr>
                <w:color w:val="auto"/>
                <w:spacing w:val="8"/>
                <w:highlight w:val="none"/>
              </w:rPr>
              <w:t>（三）未按规定报送安全管理资料的。</w:t>
            </w:r>
          </w:p>
        </w:tc>
      </w:tr>
      <w:tr w14:paraId="11E07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7" w:hRule="atLeast"/>
        </w:trPr>
        <w:tc>
          <w:tcPr>
            <w:tcW w:w="610" w:type="dxa"/>
            <w:vMerge w:val="continue"/>
            <w:textDirection w:val="tbRlV"/>
            <w:vAlign w:val="top"/>
          </w:tcPr>
          <w:p w14:paraId="7B185DE0">
            <w:pPr>
              <w:rPr>
                <w:rFonts w:ascii="Arial"/>
                <w:color w:val="auto"/>
                <w:sz w:val="21"/>
                <w:highlight w:val="none"/>
              </w:rPr>
            </w:pPr>
          </w:p>
        </w:tc>
        <w:tc>
          <w:tcPr>
            <w:tcW w:w="845" w:type="dxa"/>
            <w:vAlign w:val="top"/>
          </w:tcPr>
          <w:p w14:paraId="477067EA">
            <w:pPr>
              <w:spacing w:line="277" w:lineRule="auto"/>
              <w:rPr>
                <w:rFonts w:ascii="Arial"/>
                <w:color w:val="auto"/>
                <w:sz w:val="21"/>
                <w:highlight w:val="none"/>
              </w:rPr>
            </w:pPr>
          </w:p>
          <w:p w14:paraId="2C74F9AA">
            <w:pPr>
              <w:spacing w:line="277" w:lineRule="auto"/>
              <w:rPr>
                <w:rFonts w:ascii="Arial"/>
                <w:color w:val="auto"/>
                <w:sz w:val="21"/>
                <w:highlight w:val="none"/>
              </w:rPr>
            </w:pPr>
          </w:p>
          <w:p w14:paraId="17A174A5">
            <w:pPr>
              <w:spacing w:line="278" w:lineRule="auto"/>
              <w:rPr>
                <w:rFonts w:ascii="Arial"/>
                <w:color w:val="auto"/>
                <w:sz w:val="21"/>
                <w:highlight w:val="none"/>
              </w:rPr>
            </w:pPr>
          </w:p>
          <w:p w14:paraId="16E862AE">
            <w:pPr>
              <w:spacing w:before="57" w:line="195" w:lineRule="auto"/>
              <w:ind w:left="377"/>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7440" w:type="dxa"/>
            <w:vAlign w:val="top"/>
          </w:tcPr>
          <w:p w14:paraId="262FECF0">
            <w:pPr>
              <w:pStyle w:val="20"/>
              <w:spacing w:before="121" w:line="228" w:lineRule="auto"/>
              <w:ind w:left="228"/>
              <w:rPr>
                <w:color w:val="auto"/>
                <w:highlight w:val="none"/>
              </w:rPr>
            </w:pPr>
            <w:r>
              <w:rPr>
                <w:color w:val="auto"/>
                <w:spacing w:val="6"/>
                <w:highlight w:val="none"/>
              </w:rPr>
              <w:t>总监办存在下列情况的，每次罚款</w:t>
            </w:r>
            <w:r>
              <w:rPr>
                <w:color w:val="auto"/>
                <w:spacing w:val="-26"/>
                <w:highlight w:val="none"/>
              </w:rPr>
              <w:t xml:space="preserve"> </w:t>
            </w:r>
            <w:r>
              <w:rPr>
                <w:rFonts w:ascii="Times New Roman" w:hAnsi="Times New Roman" w:eastAsia="Times New Roman" w:cs="Times New Roman"/>
                <w:color w:val="auto"/>
                <w:spacing w:val="6"/>
                <w:highlight w:val="none"/>
              </w:rPr>
              <w:t xml:space="preserve">3000 </w:t>
            </w:r>
            <w:r>
              <w:rPr>
                <w:color w:val="auto"/>
                <w:spacing w:val="6"/>
                <w:highlight w:val="none"/>
              </w:rPr>
              <w:t>元：</w:t>
            </w:r>
          </w:p>
          <w:p w14:paraId="3C6FFB24">
            <w:pPr>
              <w:pStyle w:val="20"/>
              <w:spacing w:before="141" w:line="281" w:lineRule="auto"/>
              <w:ind w:left="225" w:right="205" w:firstLine="6"/>
              <w:rPr>
                <w:color w:val="auto"/>
                <w:highlight w:val="none"/>
              </w:rPr>
            </w:pPr>
            <w:r>
              <w:rPr>
                <w:color w:val="auto"/>
                <w:spacing w:val="12"/>
                <w:highlight w:val="none"/>
              </w:rPr>
              <w:t>（一）总监办安全负责人及专职安全监理未经请假批准，未参加建设单位组</w:t>
            </w:r>
            <w:r>
              <w:rPr>
                <w:color w:val="auto"/>
                <w:spacing w:val="8"/>
                <w:highlight w:val="none"/>
              </w:rPr>
              <w:t>织的安全生产管理活动的。</w:t>
            </w:r>
          </w:p>
          <w:p w14:paraId="29D0992E">
            <w:pPr>
              <w:pStyle w:val="20"/>
              <w:spacing w:before="84" w:line="260" w:lineRule="auto"/>
              <w:ind w:left="225" w:right="205" w:firstLine="7"/>
              <w:rPr>
                <w:color w:val="auto"/>
                <w:highlight w:val="none"/>
              </w:rPr>
            </w:pPr>
            <w:r>
              <w:rPr>
                <w:color w:val="auto"/>
                <w:spacing w:val="12"/>
                <w:highlight w:val="none"/>
              </w:rPr>
              <w:t>（二）爆破作业、预制梁吊装、大型构件吊装、大型设备拼装、挂篮移篮施</w:t>
            </w:r>
            <w:r>
              <w:rPr>
                <w:color w:val="auto"/>
                <w:spacing w:val="9"/>
                <w:highlight w:val="none"/>
              </w:rPr>
              <w:t>工、架桥机或移动模架移机施工现场无监理人员监督管理的。</w:t>
            </w:r>
          </w:p>
        </w:tc>
      </w:tr>
      <w:tr w14:paraId="4ED85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10" w:type="dxa"/>
            <w:vMerge w:val="continue"/>
            <w:textDirection w:val="tbRlV"/>
            <w:vAlign w:val="top"/>
          </w:tcPr>
          <w:p w14:paraId="795784B8">
            <w:pPr>
              <w:rPr>
                <w:rFonts w:ascii="Arial"/>
                <w:color w:val="auto"/>
                <w:sz w:val="21"/>
                <w:highlight w:val="none"/>
              </w:rPr>
            </w:pPr>
          </w:p>
        </w:tc>
        <w:tc>
          <w:tcPr>
            <w:tcW w:w="845" w:type="dxa"/>
            <w:vAlign w:val="top"/>
          </w:tcPr>
          <w:p w14:paraId="72AD4562">
            <w:pPr>
              <w:spacing w:line="342" w:lineRule="auto"/>
              <w:rPr>
                <w:rFonts w:ascii="Arial"/>
                <w:color w:val="auto"/>
                <w:sz w:val="21"/>
                <w:highlight w:val="none"/>
              </w:rPr>
            </w:pPr>
          </w:p>
          <w:p w14:paraId="0EFE003A">
            <w:pPr>
              <w:spacing w:before="57" w:line="192" w:lineRule="auto"/>
              <w:ind w:left="37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7</w:t>
            </w:r>
          </w:p>
        </w:tc>
        <w:tc>
          <w:tcPr>
            <w:tcW w:w="7440" w:type="dxa"/>
            <w:vAlign w:val="top"/>
          </w:tcPr>
          <w:p w14:paraId="7F3BC4E9">
            <w:pPr>
              <w:pStyle w:val="20"/>
              <w:spacing w:before="122" w:line="228" w:lineRule="auto"/>
              <w:ind w:left="228"/>
              <w:rPr>
                <w:color w:val="auto"/>
                <w:highlight w:val="none"/>
              </w:rPr>
            </w:pPr>
            <w:r>
              <w:rPr>
                <w:color w:val="auto"/>
                <w:spacing w:val="6"/>
                <w:highlight w:val="none"/>
              </w:rPr>
              <w:t>总监办存在下列情况的，每项罚款</w:t>
            </w:r>
            <w:r>
              <w:rPr>
                <w:color w:val="auto"/>
                <w:spacing w:val="-26"/>
                <w:highlight w:val="none"/>
              </w:rPr>
              <w:t xml:space="preserve"> </w:t>
            </w:r>
            <w:r>
              <w:rPr>
                <w:rFonts w:ascii="Times New Roman" w:hAnsi="Times New Roman" w:eastAsia="Times New Roman" w:cs="Times New Roman"/>
                <w:color w:val="auto"/>
                <w:spacing w:val="6"/>
                <w:highlight w:val="none"/>
              </w:rPr>
              <w:t xml:space="preserve">5000 </w:t>
            </w:r>
            <w:r>
              <w:rPr>
                <w:color w:val="auto"/>
                <w:spacing w:val="6"/>
                <w:highlight w:val="none"/>
              </w:rPr>
              <w:t>元：</w:t>
            </w:r>
          </w:p>
          <w:p w14:paraId="3D796796">
            <w:pPr>
              <w:pStyle w:val="20"/>
              <w:spacing w:before="36" w:line="228" w:lineRule="auto"/>
              <w:ind w:left="221"/>
              <w:rPr>
                <w:color w:val="auto"/>
                <w:highlight w:val="none"/>
              </w:rPr>
            </w:pPr>
            <w:r>
              <w:rPr>
                <w:color w:val="auto"/>
                <w:spacing w:val="12"/>
                <w:highlight w:val="none"/>
              </w:rPr>
              <w:t>（一）未按规定及时审批施工组织设计、临时用电方案、专项施工安全技术</w:t>
            </w:r>
            <w:r>
              <w:rPr>
                <w:color w:val="auto"/>
                <w:spacing w:val="4"/>
                <w:highlight w:val="none"/>
              </w:rPr>
              <w:t>方案的。</w:t>
            </w:r>
          </w:p>
          <w:p w14:paraId="56F03A3D">
            <w:pPr>
              <w:pStyle w:val="20"/>
              <w:spacing w:before="141" w:line="281" w:lineRule="auto"/>
              <w:ind w:left="221" w:right="205" w:firstLine="9"/>
              <w:rPr>
                <w:color w:val="auto"/>
                <w:highlight w:val="none"/>
              </w:rPr>
            </w:pPr>
            <w:r>
              <w:rPr>
                <w:color w:val="auto"/>
                <w:spacing w:val="12"/>
                <w:highlight w:val="none"/>
              </w:rPr>
              <w:t>（二）审批的施工组织设计、临时用电方案、专项施工安全技术方案存在严</w:t>
            </w:r>
            <w:r>
              <w:rPr>
                <w:color w:val="auto"/>
                <w:spacing w:val="5"/>
                <w:highlight w:val="none"/>
              </w:rPr>
              <w:t>重错漏的。</w:t>
            </w:r>
          </w:p>
          <w:p w14:paraId="2CACB7E5">
            <w:pPr>
              <w:pStyle w:val="20"/>
              <w:spacing w:before="141" w:line="228" w:lineRule="auto"/>
              <w:ind w:left="232"/>
              <w:rPr>
                <w:color w:val="auto"/>
                <w:highlight w:val="none"/>
              </w:rPr>
            </w:pPr>
            <w:r>
              <w:rPr>
                <w:color w:val="auto"/>
                <w:spacing w:val="7"/>
                <w:highlight w:val="none"/>
              </w:rPr>
              <w:t>（三）</w:t>
            </w:r>
            <w:r>
              <w:rPr>
                <w:color w:val="auto"/>
                <w:spacing w:val="-14"/>
                <w:highlight w:val="none"/>
              </w:rPr>
              <w:t xml:space="preserve"> </w:t>
            </w:r>
            <w:r>
              <w:rPr>
                <w:color w:val="auto"/>
                <w:spacing w:val="7"/>
                <w:highlight w:val="none"/>
              </w:rPr>
              <w:t>未按照上级文件要求贯彻落实实名制系统。</w:t>
            </w:r>
          </w:p>
        </w:tc>
      </w:tr>
      <w:tr w14:paraId="789C0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610" w:type="dxa"/>
            <w:vMerge w:val="continue"/>
            <w:vAlign w:val="top"/>
          </w:tcPr>
          <w:p w14:paraId="6D637927">
            <w:pPr>
              <w:rPr>
                <w:rFonts w:ascii="Arial"/>
                <w:color w:val="auto"/>
                <w:sz w:val="21"/>
                <w:highlight w:val="none"/>
              </w:rPr>
            </w:pPr>
          </w:p>
        </w:tc>
        <w:tc>
          <w:tcPr>
            <w:tcW w:w="845" w:type="dxa"/>
            <w:vAlign w:val="top"/>
          </w:tcPr>
          <w:p w14:paraId="695E74AE">
            <w:pPr>
              <w:spacing w:line="294" w:lineRule="auto"/>
              <w:rPr>
                <w:rFonts w:ascii="Arial"/>
                <w:color w:val="auto"/>
                <w:sz w:val="21"/>
                <w:highlight w:val="none"/>
              </w:rPr>
            </w:pPr>
          </w:p>
          <w:p w14:paraId="5CBDF395">
            <w:pPr>
              <w:spacing w:before="57" w:line="195" w:lineRule="auto"/>
              <w:ind w:left="384"/>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8</w:t>
            </w:r>
          </w:p>
        </w:tc>
        <w:tc>
          <w:tcPr>
            <w:tcW w:w="7440" w:type="dxa"/>
            <w:vAlign w:val="top"/>
          </w:tcPr>
          <w:p w14:paraId="29E5D313">
            <w:pPr>
              <w:pStyle w:val="20"/>
              <w:spacing w:before="120" w:line="261" w:lineRule="auto"/>
              <w:ind w:left="221" w:right="493" w:hanging="2"/>
              <w:rPr>
                <w:color w:val="auto"/>
                <w:highlight w:val="none"/>
              </w:rPr>
            </w:pPr>
            <w:r>
              <w:rPr>
                <w:color w:val="auto"/>
                <w:spacing w:val="8"/>
                <w:highlight w:val="none"/>
              </w:rPr>
              <w:t>在各级单位开展的</w:t>
            </w:r>
            <w:r>
              <w:rPr>
                <w:color w:val="auto"/>
                <w:spacing w:val="-34"/>
                <w:highlight w:val="none"/>
              </w:rPr>
              <w:t xml:space="preserve"> </w:t>
            </w:r>
            <w:r>
              <w:rPr>
                <w:rFonts w:ascii="Times New Roman" w:hAnsi="Times New Roman" w:eastAsia="Times New Roman" w:cs="Times New Roman"/>
                <w:color w:val="auto"/>
                <w:spacing w:val="8"/>
                <w:highlight w:val="none"/>
              </w:rPr>
              <w:t>“</w:t>
            </w:r>
            <w:r>
              <w:rPr>
                <w:color w:val="auto"/>
                <w:spacing w:val="8"/>
                <w:highlight w:val="none"/>
              </w:rPr>
              <w:t>平安工地</w:t>
            </w:r>
            <w:r>
              <w:rPr>
                <w:rFonts w:ascii="Times New Roman" w:hAnsi="Times New Roman" w:eastAsia="Times New Roman" w:cs="Times New Roman"/>
                <w:color w:val="auto"/>
                <w:spacing w:val="8"/>
                <w:highlight w:val="none"/>
              </w:rPr>
              <w:t>”</w:t>
            </w:r>
            <w:r>
              <w:rPr>
                <w:color w:val="auto"/>
                <w:spacing w:val="8"/>
                <w:highlight w:val="none"/>
              </w:rPr>
              <w:t>考核中，考核等级不合格的，每次罚款</w:t>
            </w:r>
            <w:r>
              <w:rPr>
                <w:color w:val="auto"/>
                <w:spacing w:val="-37"/>
                <w:highlight w:val="none"/>
              </w:rPr>
              <w:t xml:space="preserve"> </w:t>
            </w:r>
            <w:r>
              <w:rPr>
                <w:rFonts w:ascii="Times New Roman" w:hAnsi="Times New Roman" w:eastAsia="Times New Roman" w:cs="Times New Roman"/>
                <w:color w:val="auto"/>
                <w:spacing w:val="8"/>
                <w:highlight w:val="none"/>
              </w:rPr>
              <w:t xml:space="preserve">5 </w:t>
            </w:r>
            <w:r>
              <w:rPr>
                <w:color w:val="auto"/>
                <w:spacing w:val="8"/>
                <w:highlight w:val="none"/>
              </w:rPr>
              <w:t>万</w:t>
            </w:r>
            <w:r>
              <w:rPr>
                <w:color w:val="auto"/>
                <w:spacing w:val="-1"/>
                <w:highlight w:val="none"/>
              </w:rPr>
              <w:t>元。</w:t>
            </w:r>
          </w:p>
        </w:tc>
      </w:tr>
      <w:tr w14:paraId="343D2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610" w:type="dxa"/>
            <w:vMerge w:val="continue"/>
            <w:vAlign w:val="top"/>
          </w:tcPr>
          <w:p w14:paraId="6DDDE1C4">
            <w:pPr>
              <w:rPr>
                <w:rFonts w:ascii="Arial"/>
                <w:color w:val="auto"/>
                <w:sz w:val="21"/>
                <w:highlight w:val="none"/>
              </w:rPr>
            </w:pPr>
          </w:p>
        </w:tc>
        <w:tc>
          <w:tcPr>
            <w:tcW w:w="845" w:type="dxa"/>
            <w:vAlign w:val="top"/>
          </w:tcPr>
          <w:p w14:paraId="581CB2E6">
            <w:pPr>
              <w:spacing w:before="219" w:line="195" w:lineRule="auto"/>
              <w:ind w:left="38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9</w:t>
            </w:r>
          </w:p>
        </w:tc>
        <w:tc>
          <w:tcPr>
            <w:tcW w:w="7440" w:type="dxa"/>
            <w:vAlign w:val="top"/>
          </w:tcPr>
          <w:p w14:paraId="6128C14B">
            <w:pPr>
              <w:pStyle w:val="20"/>
              <w:spacing w:before="122" w:line="228" w:lineRule="auto"/>
              <w:ind w:left="223"/>
              <w:rPr>
                <w:color w:val="auto"/>
                <w:highlight w:val="none"/>
              </w:rPr>
            </w:pPr>
            <w:r>
              <w:rPr>
                <w:color w:val="auto"/>
                <w:spacing w:val="10"/>
                <w:highlight w:val="none"/>
              </w:rPr>
              <w:t>未通过开工前安全生产条件核查而影响工程开工的，处罚</w:t>
            </w:r>
            <w:r>
              <w:rPr>
                <w:rFonts w:ascii="Times New Roman" w:hAnsi="Times New Roman" w:eastAsia="Times New Roman" w:cs="Times New Roman"/>
                <w:color w:val="auto"/>
                <w:spacing w:val="10"/>
                <w:highlight w:val="none"/>
              </w:rPr>
              <w:t xml:space="preserve">2 </w:t>
            </w:r>
            <w:r>
              <w:rPr>
                <w:color w:val="auto"/>
                <w:spacing w:val="10"/>
                <w:highlight w:val="none"/>
              </w:rPr>
              <w:t>万元。</w:t>
            </w:r>
          </w:p>
        </w:tc>
      </w:tr>
      <w:tr w14:paraId="60F7F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10" w:type="dxa"/>
            <w:vMerge w:val="continue"/>
            <w:vAlign w:val="top"/>
          </w:tcPr>
          <w:p w14:paraId="78F263CA">
            <w:pPr>
              <w:rPr>
                <w:rFonts w:ascii="Arial"/>
                <w:color w:val="auto"/>
                <w:sz w:val="21"/>
                <w:highlight w:val="none"/>
              </w:rPr>
            </w:pPr>
          </w:p>
        </w:tc>
        <w:tc>
          <w:tcPr>
            <w:tcW w:w="845" w:type="dxa"/>
            <w:vAlign w:val="top"/>
          </w:tcPr>
          <w:p w14:paraId="375EE9BC">
            <w:pPr>
              <w:spacing w:line="445" w:lineRule="auto"/>
              <w:rPr>
                <w:rFonts w:ascii="Arial"/>
                <w:color w:val="auto"/>
                <w:sz w:val="21"/>
                <w:highlight w:val="none"/>
              </w:rPr>
            </w:pPr>
          </w:p>
          <w:p w14:paraId="1DD586B9">
            <w:pPr>
              <w:spacing w:before="57" w:line="195" w:lineRule="auto"/>
              <w:ind w:left="343"/>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10</w:t>
            </w:r>
          </w:p>
        </w:tc>
        <w:tc>
          <w:tcPr>
            <w:tcW w:w="7440" w:type="dxa"/>
            <w:vAlign w:val="top"/>
          </w:tcPr>
          <w:p w14:paraId="54F80852">
            <w:pPr>
              <w:pStyle w:val="20"/>
              <w:spacing w:before="124" w:line="267" w:lineRule="auto"/>
              <w:ind w:left="230" w:right="205" w:hanging="4"/>
              <w:rPr>
                <w:color w:val="auto"/>
                <w:highlight w:val="none"/>
              </w:rPr>
            </w:pPr>
            <w:r>
              <w:rPr>
                <w:color w:val="auto"/>
                <w:spacing w:val="12"/>
                <w:highlight w:val="none"/>
              </w:rPr>
              <w:t>总监办存在其他违反有关安全生产法律、法规、规章、规范、标准以及本项</w:t>
            </w:r>
            <w:r>
              <w:rPr>
                <w:color w:val="auto"/>
                <w:spacing w:val="10"/>
                <w:highlight w:val="none"/>
              </w:rPr>
              <w:t>目建设工程安全生产管理办法规定的，视情节轻重，罚款</w:t>
            </w:r>
            <w:r>
              <w:rPr>
                <w:color w:val="auto"/>
                <w:spacing w:val="-21"/>
                <w:highlight w:val="none"/>
              </w:rPr>
              <w:t xml:space="preserve"> </w:t>
            </w:r>
            <w:r>
              <w:rPr>
                <w:rFonts w:ascii="Times New Roman" w:hAnsi="Times New Roman" w:eastAsia="Times New Roman" w:cs="Times New Roman"/>
                <w:color w:val="auto"/>
                <w:spacing w:val="10"/>
                <w:highlight w:val="none"/>
              </w:rPr>
              <w:t xml:space="preserve">1 </w:t>
            </w:r>
            <w:r>
              <w:rPr>
                <w:color w:val="auto"/>
                <w:spacing w:val="10"/>
                <w:highlight w:val="none"/>
              </w:rPr>
              <w:t>千元</w:t>
            </w:r>
            <w:r>
              <w:rPr>
                <w:color w:val="auto"/>
                <w:spacing w:val="9"/>
                <w:highlight w:val="none"/>
              </w:rPr>
              <w:t>至</w:t>
            </w:r>
            <w:r>
              <w:rPr>
                <w:color w:val="auto"/>
                <w:spacing w:val="-18"/>
                <w:highlight w:val="none"/>
              </w:rPr>
              <w:t xml:space="preserve"> </w:t>
            </w:r>
            <w:r>
              <w:rPr>
                <w:rFonts w:ascii="Times New Roman" w:hAnsi="Times New Roman" w:eastAsia="Times New Roman" w:cs="Times New Roman"/>
                <w:color w:val="auto"/>
                <w:spacing w:val="9"/>
                <w:highlight w:val="none"/>
              </w:rPr>
              <w:t xml:space="preserve">1 </w:t>
            </w:r>
            <w:r>
              <w:rPr>
                <w:color w:val="auto"/>
                <w:spacing w:val="9"/>
                <w:highlight w:val="none"/>
              </w:rPr>
              <w:t>万元。</w:t>
            </w:r>
            <w:r>
              <w:rPr>
                <w:color w:val="auto"/>
                <w:spacing w:val="8"/>
                <w:highlight w:val="none"/>
              </w:rPr>
              <w:t>多次发生同类存在问题，可加倍处罚。</w:t>
            </w:r>
          </w:p>
        </w:tc>
      </w:tr>
    </w:tbl>
    <w:p w14:paraId="28204BD2">
      <w:pPr>
        <w:spacing w:line="305" w:lineRule="auto"/>
        <w:rPr>
          <w:rFonts w:ascii="Arial"/>
          <w:color w:val="auto"/>
          <w:sz w:val="21"/>
          <w:highlight w:val="none"/>
        </w:rPr>
      </w:pPr>
    </w:p>
    <w:p w14:paraId="09D5D8A2">
      <w:pPr>
        <w:spacing w:before="78" w:line="221" w:lineRule="auto"/>
        <w:ind w:left="138"/>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11.2</w:t>
      </w:r>
      <w:r>
        <w:rPr>
          <w:rFonts w:ascii="宋体" w:hAnsi="宋体" w:eastAsia="宋体" w:cs="宋体"/>
          <w:color w:val="auto"/>
          <w:spacing w:val="-5"/>
          <w:sz w:val="24"/>
          <w:szCs w:val="24"/>
          <w:highlight w:val="none"/>
        </w:rPr>
        <w:t xml:space="preserve"> </w:t>
      </w:r>
      <w:r>
        <w:rPr>
          <w:rFonts w:ascii="宋体" w:hAnsi="宋体" w:eastAsia="宋体" w:cs="宋体"/>
          <w:b/>
          <w:bCs/>
          <w:color w:val="auto"/>
          <w:spacing w:val="-5"/>
          <w:sz w:val="24"/>
          <w:szCs w:val="24"/>
          <w:highlight w:val="none"/>
        </w:rPr>
        <w:t>委托人违约</w:t>
      </w:r>
    </w:p>
    <w:p w14:paraId="6733E086">
      <w:pPr>
        <w:spacing w:before="175" w:line="220" w:lineRule="auto"/>
        <w:ind w:left="57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11.2.2</w:t>
      </w:r>
      <w:r>
        <w:rPr>
          <w:rFonts w:ascii="宋体" w:hAnsi="宋体" w:eastAsia="宋体" w:cs="宋体"/>
          <w:color w:val="auto"/>
          <w:spacing w:val="-43"/>
          <w:sz w:val="22"/>
          <w:szCs w:val="22"/>
          <w:highlight w:val="none"/>
        </w:rPr>
        <w:t xml:space="preserve"> </w:t>
      </w:r>
      <w:r>
        <w:rPr>
          <w:rFonts w:ascii="宋体" w:hAnsi="宋体" w:eastAsia="宋体" w:cs="宋体"/>
          <w:color w:val="auto"/>
          <w:spacing w:val="-1"/>
          <w:sz w:val="22"/>
          <w:szCs w:val="22"/>
          <w:highlight w:val="none"/>
        </w:rPr>
        <w:t>委托人发生违约情况时，监理人有权向委托人课以违约金，具体约定如下：</w:t>
      </w:r>
    </w:p>
    <w:p w14:paraId="2B4CE7FF">
      <w:pPr>
        <w:spacing w:before="231" w:line="213" w:lineRule="auto"/>
        <w:ind w:left="4236"/>
        <w:rPr>
          <w:rFonts w:ascii="宋体" w:hAnsi="宋体" w:eastAsia="宋体" w:cs="宋体"/>
          <w:color w:val="auto"/>
          <w:sz w:val="28"/>
          <w:szCs w:val="28"/>
          <w:highlight w:val="none"/>
        </w:rPr>
      </w:pPr>
      <w:r>
        <w:rPr>
          <w:rFonts w:ascii="宋体" w:hAnsi="宋体" w:eastAsia="宋体" w:cs="宋体"/>
          <w:b/>
          <w:bCs/>
          <w:color w:val="auto"/>
          <w:spacing w:val="-5"/>
          <w:sz w:val="28"/>
          <w:szCs w:val="28"/>
          <w:highlight w:val="none"/>
        </w:rPr>
        <w:t>违约一览表</w:t>
      </w:r>
    </w:p>
    <w:tbl>
      <w:tblPr>
        <w:tblStyle w:val="19"/>
        <w:tblW w:w="88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9"/>
        <w:gridCol w:w="6482"/>
      </w:tblGrid>
      <w:tr w14:paraId="4115C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379" w:type="dxa"/>
            <w:vAlign w:val="top"/>
          </w:tcPr>
          <w:p w14:paraId="2E7063ED">
            <w:pPr>
              <w:pStyle w:val="20"/>
              <w:spacing w:before="160" w:line="228" w:lineRule="auto"/>
              <w:ind w:left="983"/>
              <w:rPr>
                <w:color w:val="auto"/>
                <w:highlight w:val="none"/>
              </w:rPr>
            </w:pPr>
            <w:r>
              <w:rPr>
                <w:b/>
                <w:bCs/>
                <w:color w:val="auto"/>
                <w:spacing w:val="3"/>
                <w:highlight w:val="none"/>
              </w:rPr>
              <w:t>类别</w:t>
            </w:r>
          </w:p>
        </w:tc>
        <w:tc>
          <w:tcPr>
            <w:tcW w:w="6482" w:type="dxa"/>
            <w:vAlign w:val="top"/>
          </w:tcPr>
          <w:p w14:paraId="1F0E6D7E">
            <w:pPr>
              <w:pStyle w:val="20"/>
              <w:spacing w:before="143" w:line="265" w:lineRule="exact"/>
              <w:ind w:left="2987"/>
              <w:rPr>
                <w:color w:val="auto"/>
                <w:sz w:val="10"/>
                <w:szCs w:val="10"/>
                <w:highlight w:val="none"/>
              </w:rPr>
            </w:pPr>
            <w:r>
              <w:rPr>
                <w:b/>
                <w:bCs/>
                <w:color w:val="auto"/>
                <w:spacing w:val="6"/>
                <w:highlight w:val="none"/>
              </w:rPr>
              <w:t>违约项目</w:t>
            </w:r>
          </w:p>
        </w:tc>
      </w:tr>
      <w:tr w14:paraId="23DB2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79" w:type="dxa"/>
            <w:vAlign w:val="top"/>
          </w:tcPr>
          <w:p w14:paraId="66A5127C">
            <w:pPr>
              <w:pStyle w:val="20"/>
              <w:spacing w:before="31" w:line="272" w:lineRule="auto"/>
              <w:ind w:left="671" w:right="138" w:hanging="526"/>
              <w:rPr>
                <w:color w:val="auto"/>
                <w:highlight w:val="none"/>
              </w:rPr>
            </w:pPr>
            <w:r>
              <w:rPr>
                <w:color w:val="auto"/>
                <w:spacing w:val="9"/>
                <w:highlight w:val="none"/>
              </w:rPr>
              <w:t>委托人未按合同约定支</w:t>
            </w:r>
            <w:r>
              <w:rPr>
                <w:color w:val="auto"/>
                <w:spacing w:val="8"/>
                <w:highlight w:val="none"/>
              </w:rPr>
              <w:t>付监理报酬</w:t>
            </w:r>
          </w:p>
        </w:tc>
        <w:tc>
          <w:tcPr>
            <w:tcW w:w="6482" w:type="dxa"/>
            <w:vAlign w:val="center"/>
          </w:tcPr>
          <w:p w14:paraId="586836B5">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r>
      <w:tr w14:paraId="2CA94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379" w:type="dxa"/>
            <w:vAlign w:val="top"/>
          </w:tcPr>
          <w:p w14:paraId="61978763">
            <w:pPr>
              <w:pStyle w:val="20"/>
              <w:spacing w:before="31" w:line="228" w:lineRule="auto"/>
              <w:ind w:left="145"/>
              <w:rPr>
                <w:color w:val="auto"/>
                <w:highlight w:val="none"/>
              </w:rPr>
            </w:pPr>
            <w:r>
              <w:rPr>
                <w:color w:val="auto"/>
                <w:spacing w:val="9"/>
                <w:highlight w:val="none"/>
              </w:rPr>
              <w:t>委托人原因造成监理停</w:t>
            </w:r>
          </w:p>
          <w:p w14:paraId="7BFB59C7">
            <w:pPr>
              <w:pStyle w:val="20"/>
              <w:spacing w:before="66" w:line="231" w:lineRule="auto"/>
              <w:ind w:left="986"/>
              <w:rPr>
                <w:color w:val="auto"/>
                <w:highlight w:val="none"/>
              </w:rPr>
            </w:pPr>
            <w:r>
              <w:rPr>
                <w:color w:val="auto"/>
                <w:spacing w:val="4"/>
                <w:highlight w:val="none"/>
              </w:rPr>
              <w:t>止的</w:t>
            </w:r>
          </w:p>
        </w:tc>
        <w:tc>
          <w:tcPr>
            <w:tcW w:w="6482" w:type="dxa"/>
            <w:vAlign w:val="center"/>
          </w:tcPr>
          <w:p w14:paraId="6EE727EA">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r>
      <w:tr w14:paraId="75823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379" w:type="dxa"/>
            <w:vAlign w:val="top"/>
          </w:tcPr>
          <w:p w14:paraId="078EA4EA">
            <w:pPr>
              <w:pStyle w:val="20"/>
              <w:spacing w:before="32" w:line="271" w:lineRule="auto"/>
              <w:ind w:left="777" w:right="138" w:hanging="632"/>
              <w:rPr>
                <w:color w:val="auto"/>
                <w:highlight w:val="none"/>
              </w:rPr>
            </w:pPr>
            <w:r>
              <w:rPr>
                <w:color w:val="auto"/>
                <w:spacing w:val="9"/>
                <w:highlight w:val="none"/>
              </w:rPr>
              <w:t>委托人无法履行或停止</w:t>
            </w:r>
            <w:r>
              <w:rPr>
                <w:color w:val="auto"/>
                <w:spacing w:val="6"/>
                <w:highlight w:val="none"/>
              </w:rPr>
              <w:t>履行合同</w:t>
            </w:r>
          </w:p>
        </w:tc>
        <w:tc>
          <w:tcPr>
            <w:tcW w:w="6482" w:type="dxa"/>
            <w:vAlign w:val="center"/>
          </w:tcPr>
          <w:p w14:paraId="62D44F7E">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r>
      <w:tr w14:paraId="765CC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379" w:type="dxa"/>
            <w:vAlign w:val="top"/>
          </w:tcPr>
          <w:p w14:paraId="011FDDF3">
            <w:pPr>
              <w:pStyle w:val="20"/>
              <w:spacing w:before="35" w:line="272" w:lineRule="auto"/>
              <w:ind w:left="688" w:right="138" w:hanging="543"/>
              <w:rPr>
                <w:color w:val="auto"/>
                <w:highlight w:val="none"/>
              </w:rPr>
            </w:pPr>
            <w:r>
              <w:rPr>
                <w:color w:val="auto"/>
                <w:spacing w:val="9"/>
                <w:highlight w:val="none"/>
              </w:rPr>
              <w:t>委托人不履行合同约定</w:t>
            </w:r>
            <w:r>
              <w:rPr>
                <w:color w:val="auto"/>
                <w:spacing w:val="4"/>
                <w:highlight w:val="none"/>
              </w:rPr>
              <w:t>的其他义务</w:t>
            </w:r>
          </w:p>
        </w:tc>
        <w:tc>
          <w:tcPr>
            <w:tcW w:w="6482" w:type="dxa"/>
            <w:vAlign w:val="center"/>
          </w:tcPr>
          <w:p w14:paraId="7A78FE3D">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r>
    </w:tbl>
    <w:p w14:paraId="200AE489">
      <w:pPr>
        <w:spacing w:line="258" w:lineRule="auto"/>
        <w:rPr>
          <w:rFonts w:ascii="Arial"/>
          <w:color w:val="auto"/>
          <w:sz w:val="21"/>
          <w:highlight w:val="none"/>
        </w:rPr>
      </w:pPr>
    </w:p>
    <w:p w14:paraId="0A4D69A3">
      <w:pPr>
        <w:spacing w:line="259" w:lineRule="auto"/>
        <w:rPr>
          <w:rFonts w:ascii="Arial"/>
          <w:color w:val="auto"/>
          <w:sz w:val="21"/>
          <w:highlight w:val="none"/>
        </w:rPr>
      </w:pPr>
    </w:p>
    <w:p w14:paraId="461A9386">
      <w:pPr>
        <w:spacing w:line="259" w:lineRule="auto"/>
        <w:rPr>
          <w:rFonts w:ascii="Arial"/>
          <w:color w:val="auto"/>
          <w:sz w:val="21"/>
          <w:highlight w:val="none"/>
        </w:rPr>
      </w:pPr>
    </w:p>
    <w:p w14:paraId="591ED4B7">
      <w:pPr>
        <w:pStyle w:val="5"/>
        <w:bidi w:val="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12.</w:t>
      </w:r>
      <w:r>
        <w:rPr>
          <w:rFonts w:ascii="宋体" w:hAnsi="宋体" w:eastAsia="宋体" w:cs="宋体"/>
          <w:color w:val="auto"/>
          <w:spacing w:val="17"/>
          <w:sz w:val="24"/>
          <w:szCs w:val="24"/>
          <w:highlight w:val="none"/>
        </w:rPr>
        <w:t xml:space="preserve"> </w:t>
      </w:r>
      <w:r>
        <w:rPr>
          <w:rFonts w:ascii="宋体" w:hAnsi="宋体" w:eastAsia="宋体" w:cs="宋体"/>
          <w:b/>
          <w:bCs/>
          <w:color w:val="auto"/>
          <w:spacing w:val="-7"/>
          <w:sz w:val="24"/>
          <w:szCs w:val="24"/>
          <w:highlight w:val="none"/>
        </w:rPr>
        <w:t>争议的解决</w:t>
      </w:r>
    </w:p>
    <w:p w14:paraId="3E814003">
      <w:pPr>
        <w:spacing w:before="48" w:line="220" w:lineRule="auto"/>
        <w:ind w:left="56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争议的最终解决方式：</w:t>
      </w:r>
      <w:r>
        <w:rPr>
          <w:rFonts w:ascii="宋体" w:hAnsi="宋体" w:eastAsia="宋体" w:cs="宋体"/>
          <w:color w:val="auto"/>
          <w:spacing w:val="-1"/>
          <w:sz w:val="22"/>
          <w:szCs w:val="22"/>
          <w:highlight w:val="none"/>
          <w:u w:val="single" w:color="auto"/>
        </w:rPr>
        <w:t xml:space="preserve">  诉讼  </w:t>
      </w:r>
    </w:p>
    <w:p w14:paraId="33D74E12">
      <w:pPr>
        <w:spacing w:before="165" w:line="219" w:lineRule="auto"/>
        <w:ind w:left="54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如采用仲裁，仲裁机构名称：</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val="en-US" w:eastAsia="zh-CN"/>
        </w:rPr>
        <w:t>/</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93"/>
          <w:sz w:val="22"/>
          <w:szCs w:val="22"/>
          <w:highlight w:val="none"/>
        </w:rPr>
        <w:t xml:space="preserve"> </w:t>
      </w:r>
      <w:r>
        <w:rPr>
          <w:rFonts w:ascii="宋体" w:hAnsi="宋体" w:eastAsia="宋体" w:cs="宋体"/>
          <w:color w:val="auto"/>
          <w:spacing w:val="-1"/>
          <w:sz w:val="22"/>
          <w:szCs w:val="22"/>
          <w:highlight w:val="none"/>
        </w:rPr>
        <w:t>仲裁委员会。</w:t>
      </w:r>
    </w:p>
    <w:p w14:paraId="0F99F7FD">
      <w:pPr>
        <w:spacing w:before="166" w:line="219" w:lineRule="auto"/>
        <w:ind w:left="54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如采用诉讼，诉讼机构名称：</w:t>
      </w:r>
      <w:r>
        <w:rPr>
          <w:rFonts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lang w:eastAsia="zh-CN"/>
        </w:rPr>
        <w:t>韶关市始兴县人民</w:t>
      </w:r>
      <w:r>
        <w:rPr>
          <w:rFonts w:ascii="宋体" w:hAnsi="宋体" w:eastAsia="宋体" w:cs="宋体"/>
          <w:color w:val="auto"/>
          <w:spacing w:val="-1"/>
          <w:sz w:val="22"/>
          <w:szCs w:val="22"/>
          <w:highlight w:val="none"/>
          <w:u w:val="single" w:color="auto"/>
        </w:rPr>
        <w:t xml:space="preserve"> </w:t>
      </w:r>
      <w:r>
        <w:rPr>
          <w:rFonts w:ascii="宋体" w:hAnsi="宋体" w:eastAsia="宋体" w:cs="宋体"/>
          <w:color w:val="auto"/>
          <w:spacing w:val="-96"/>
          <w:sz w:val="22"/>
          <w:szCs w:val="22"/>
          <w:highlight w:val="none"/>
        </w:rPr>
        <w:t xml:space="preserve"> </w:t>
      </w:r>
      <w:r>
        <w:rPr>
          <w:rFonts w:ascii="宋体" w:hAnsi="宋体" w:eastAsia="宋体" w:cs="宋体"/>
          <w:color w:val="auto"/>
          <w:spacing w:val="-1"/>
          <w:sz w:val="22"/>
          <w:szCs w:val="22"/>
          <w:highlight w:val="none"/>
        </w:rPr>
        <w:t>法院。</w:t>
      </w:r>
    </w:p>
    <w:p w14:paraId="34FDEEC6">
      <w:pPr>
        <w:spacing w:line="259" w:lineRule="auto"/>
        <w:rPr>
          <w:rFonts w:ascii="Arial"/>
          <w:color w:val="auto"/>
          <w:sz w:val="21"/>
          <w:highlight w:val="none"/>
        </w:rPr>
      </w:pPr>
    </w:p>
    <w:p w14:paraId="642FCEF1">
      <w:pPr>
        <w:spacing w:line="259" w:lineRule="auto"/>
        <w:rPr>
          <w:rFonts w:ascii="Arial"/>
          <w:color w:val="auto"/>
          <w:sz w:val="21"/>
          <w:highlight w:val="none"/>
        </w:rPr>
      </w:pPr>
    </w:p>
    <w:p w14:paraId="6C9ECAD2">
      <w:pPr>
        <w:spacing w:line="259" w:lineRule="auto"/>
        <w:rPr>
          <w:rFonts w:ascii="Arial"/>
          <w:color w:val="auto"/>
          <w:sz w:val="21"/>
          <w:highlight w:val="none"/>
        </w:rPr>
      </w:pPr>
    </w:p>
    <w:p w14:paraId="710B1502">
      <w:pPr>
        <w:pStyle w:val="5"/>
        <w:bidi w:val="0"/>
        <w:rPr>
          <w:color w:val="auto"/>
          <w:highlight w:val="none"/>
        </w:rPr>
      </w:pPr>
      <w:bookmarkStart w:id="336" w:name="bookmark184"/>
      <w:bookmarkEnd w:id="336"/>
      <w:r>
        <w:rPr>
          <w:color w:val="auto"/>
          <w:highlight w:val="none"/>
        </w:rPr>
        <w:t>13.其他</w:t>
      </w:r>
    </w:p>
    <w:p w14:paraId="6A72155D">
      <w:pPr>
        <w:spacing w:before="179" w:line="362" w:lineRule="auto"/>
        <w:ind w:left="121" w:right="113" w:firstLine="497"/>
        <w:rPr>
          <w:rFonts w:ascii="宋体" w:hAnsi="宋体" w:eastAsia="宋体" w:cs="宋体"/>
          <w:color w:val="auto"/>
          <w:sz w:val="22"/>
          <w:szCs w:val="22"/>
          <w:highlight w:val="none"/>
        </w:rPr>
      </w:pPr>
      <w:r>
        <w:rPr>
          <w:rFonts w:ascii="宋体" w:hAnsi="宋体" w:eastAsia="宋体" w:cs="宋体"/>
          <w:b/>
          <w:bCs/>
          <w:color w:val="auto"/>
          <w:spacing w:val="2"/>
          <w:sz w:val="22"/>
          <w:szCs w:val="22"/>
          <w:highlight w:val="none"/>
        </w:rPr>
        <w:t>13.1</w:t>
      </w:r>
      <w:r>
        <w:rPr>
          <w:rFonts w:ascii="宋体" w:hAnsi="宋体" w:eastAsia="宋体" w:cs="宋体"/>
          <w:color w:val="auto"/>
          <w:spacing w:val="-41"/>
          <w:sz w:val="22"/>
          <w:szCs w:val="22"/>
          <w:highlight w:val="none"/>
        </w:rPr>
        <w:t xml:space="preserve"> </w:t>
      </w:r>
      <w:r>
        <w:rPr>
          <w:rFonts w:ascii="宋体" w:hAnsi="宋体" w:eastAsia="宋体" w:cs="宋体"/>
          <w:color w:val="auto"/>
          <w:spacing w:val="2"/>
          <w:sz w:val="22"/>
          <w:szCs w:val="22"/>
          <w:highlight w:val="none"/>
        </w:rPr>
        <w:t>本项目建设期间临时用地严禁占用基本农田，严格控制占用耕地、林地；如</w:t>
      </w:r>
      <w:r>
        <w:rPr>
          <w:rFonts w:ascii="宋体" w:hAnsi="宋体" w:eastAsia="宋体" w:cs="宋体"/>
          <w:color w:val="auto"/>
          <w:spacing w:val="5"/>
          <w:sz w:val="22"/>
          <w:szCs w:val="22"/>
          <w:highlight w:val="none"/>
        </w:rPr>
        <w:t>确需占用耕地、林地的，必须按规定到当地主管部门办理相关手续。预制场</w:t>
      </w:r>
      <w:r>
        <w:rPr>
          <w:rFonts w:ascii="宋体" w:hAnsi="宋体" w:eastAsia="宋体" w:cs="宋体"/>
          <w:color w:val="auto"/>
          <w:spacing w:val="4"/>
          <w:sz w:val="22"/>
          <w:szCs w:val="22"/>
          <w:highlight w:val="none"/>
        </w:rPr>
        <w:t>、搅拌场</w:t>
      </w:r>
      <w:r>
        <w:rPr>
          <w:rFonts w:ascii="宋体" w:hAnsi="宋体" w:eastAsia="宋体" w:cs="宋体"/>
          <w:color w:val="auto"/>
          <w:spacing w:val="5"/>
          <w:sz w:val="22"/>
          <w:szCs w:val="22"/>
          <w:highlight w:val="none"/>
        </w:rPr>
        <w:t>等容易造成永久性破坏的临时用地一般不得占用耕地；取土场应选址在</w:t>
      </w:r>
      <w:r>
        <w:rPr>
          <w:rFonts w:ascii="宋体" w:hAnsi="宋体" w:eastAsia="宋体" w:cs="宋体"/>
          <w:color w:val="auto"/>
          <w:spacing w:val="4"/>
          <w:sz w:val="22"/>
          <w:szCs w:val="22"/>
          <w:highlight w:val="none"/>
        </w:rPr>
        <w:t>荒山、荒坡等</w:t>
      </w:r>
      <w:r>
        <w:rPr>
          <w:rFonts w:ascii="宋体" w:hAnsi="宋体" w:eastAsia="宋体" w:cs="宋体"/>
          <w:color w:val="auto"/>
          <w:spacing w:val="5"/>
          <w:sz w:val="22"/>
          <w:szCs w:val="22"/>
          <w:highlight w:val="none"/>
        </w:rPr>
        <w:t>劣质地，合理设计控制取土深度，严禁在基本农田范围内取土；弃（土</w:t>
      </w:r>
      <w:r>
        <w:rPr>
          <w:rFonts w:ascii="宋体" w:hAnsi="宋体" w:eastAsia="宋体" w:cs="宋体"/>
          <w:color w:val="auto"/>
          <w:spacing w:val="4"/>
          <w:sz w:val="22"/>
          <w:szCs w:val="22"/>
          <w:highlight w:val="none"/>
        </w:rPr>
        <w:t>）渣场不得占</w:t>
      </w:r>
      <w:r>
        <w:rPr>
          <w:rFonts w:ascii="宋体" w:hAnsi="宋体" w:eastAsia="宋体" w:cs="宋体"/>
          <w:color w:val="auto"/>
          <w:spacing w:val="5"/>
          <w:sz w:val="22"/>
          <w:szCs w:val="22"/>
          <w:highlight w:val="none"/>
        </w:rPr>
        <w:t>用耕地，要充分考虑永久性征收与临时用地相结合，合理划定弃（土）</w:t>
      </w:r>
      <w:r>
        <w:rPr>
          <w:rFonts w:ascii="宋体" w:hAnsi="宋体" w:eastAsia="宋体" w:cs="宋体"/>
          <w:color w:val="auto"/>
          <w:spacing w:val="4"/>
          <w:sz w:val="22"/>
          <w:szCs w:val="22"/>
          <w:highlight w:val="none"/>
        </w:rPr>
        <w:t>渣场范围；租</w:t>
      </w:r>
      <w:r>
        <w:rPr>
          <w:rFonts w:ascii="宋体" w:hAnsi="宋体" w:eastAsia="宋体" w:cs="宋体"/>
          <w:color w:val="auto"/>
          <w:spacing w:val="-1"/>
          <w:sz w:val="22"/>
          <w:szCs w:val="22"/>
          <w:highlight w:val="none"/>
        </w:rPr>
        <w:t>用临时用地协议必须有复垦条款。</w:t>
      </w:r>
    </w:p>
    <w:p w14:paraId="4D22682D">
      <w:pPr>
        <w:spacing w:line="359" w:lineRule="auto"/>
        <w:ind w:right="2" w:firstLine="498"/>
        <w:jc w:val="both"/>
        <w:rPr>
          <w:rFonts w:ascii="宋体" w:hAnsi="宋体" w:eastAsia="宋体" w:cs="宋体"/>
          <w:color w:val="auto"/>
          <w:sz w:val="22"/>
          <w:szCs w:val="22"/>
          <w:highlight w:val="none"/>
        </w:rPr>
      </w:pPr>
      <w:r>
        <w:rPr>
          <w:rFonts w:ascii="宋体" w:hAnsi="宋体" w:eastAsia="宋体" w:cs="宋体"/>
          <w:b/>
          <w:bCs/>
          <w:color w:val="auto"/>
          <w:spacing w:val="2"/>
          <w:sz w:val="22"/>
          <w:szCs w:val="22"/>
          <w:highlight w:val="none"/>
        </w:rPr>
        <w:t>13.2</w:t>
      </w:r>
      <w:r>
        <w:rPr>
          <w:rFonts w:ascii="宋体" w:hAnsi="宋体" w:eastAsia="宋体" w:cs="宋体"/>
          <w:color w:val="auto"/>
          <w:spacing w:val="-41"/>
          <w:sz w:val="22"/>
          <w:szCs w:val="22"/>
          <w:highlight w:val="none"/>
        </w:rPr>
        <w:t xml:space="preserve"> </w:t>
      </w:r>
      <w:r>
        <w:rPr>
          <w:rFonts w:ascii="宋体" w:hAnsi="宋体" w:eastAsia="宋体" w:cs="宋体"/>
          <w:color w:val="auto"/>
          <w:spacing w:val="2"/>
          <w:sz w:val="22"/>
          <w:szCs w:val="22"/>
          <w:highlight w:val="none"/>
        </w:rPr>
        <w:t>监理人应按照《广东省水利厅广东省交通运输厅关于进一步加强交通建设项</w:t>
      </w:r>
      <w:r>
        <w:rPr>
          <w:rFonts w:ascii="宋体" w:hAnsi="宋体" w:eastAsia="宋体" w:cs="宋体"/>
          <w:color w:val="auto"/>
          <w:sz w:val="22"/>
          <w:szCs w:val="22"/>
          <w:highlight w:val="none"/>
        </w:rPr>
        <w:t>目水土保持工作的通知》（粤水水保〔2020〕2</w:t>
      </w:r>
      <w:r>
        <w:rPr>
          <w:rFonts w:ascii="宋体" w:hAnsi="宋体" w:eastAsia="宋体" w:cs="宋体"/>
          <w:color w:val="auto"/>
          <w:spacing w:val="-45"/>
          <w:sz w:val="22"/>
          <w:szCs w:val="22"/>
          <w:highlight w:val="none"/>
        </w:rPr>
        <w:t xml:space="preserve"> </w:t>
      </w:r>
      <w:r>
        <w:rPr>
          <w:rFonts w:ascii="宋体" w:hAnsi="宋体" w:eastAsia="宋体" w:cs="宋体"/>
          <w:color w:val="auto"/>
          <w:sz w:val="22"/>
          <w:szCs w:val="22"/>
          <w:highlight w:val="none"/>
        </w:rPr>
        <w:t>号）的要</w:t>
      </w:r>
      <w:r>
        <w:rPr>
          <w:rFonts w:ascii="宋体" w:hAnsi="宋体" w:eastAsia="宋体" w:cs="宋体"/>
          <w:color w:val="auto"/>
          <w:spacing w:val="-1"/>
          <w:sz w:val="22"/>
          <w:szCs w:val="22"/>
          <w:highlight w:val="none"/>
        </w:rPr>
        <w:t>求开展水土保持监理工作，为</w:t>
      </w:r>
      <w:r>
        <w:rPr>
          <w:rFonts w:ascii="宋体" w:hAnsi="宋体" w:eastAsia="宋体" w:cs="宋体"/>
          <w:color w:val="auto"/>
          <w:spacing w:val="5"/>
          <w:sz w:val="22"/>
          <w:szCs w:val="22"/>
          <w:highlight w:val="none"/>
        </w:rPr>
        <w:t>在项目交工验收后及时完成水保验收工作，各监理人应负责协调、配合水土保</w:t>
      </w:r>
      <w:r>
        <w:rPr>
          <w:rFonts w:ascii="宋体" w:hAnsi="宋体" w:eastAsia="宋体" w:cs="宋体"/>
          <w:color w:val="auto"/>
          <w:spacing w:val="4"/>
          <w:sz w:val="22"/>
          <w:szCs w:val="22"/>
          <w:highlight w:val="none"/>
        </w:rPr>
        <w:t>持设施</w:t>
      </w:r>
      <w:r>
        <w:rPr>
          <w:rFonts w:ascii="宋体" w:hAnsi="宋体" w:eastAsia="宋体" w:cs="宋体"/>
          <w:color w:val="auto"/>
          <w:spacing w:val="5"/>
          <w:sz w:val="22"/>
          <w:szCs w:val="22"/>
          <w:highlight w:val="none"/>
        </w:rPr>
        <w:t>竣工验收技术报告编制的单位（含施工期水土流失监测、技术评估等工作）开</w:t>
      </w:r>
      <w:r>
        <w:rPr>
          <w:rFonts w:ascii="宋体" w:hAnsi="宋体" w:eastAsia="宋体" w:cs="宋体"/>
          <w:color w:val="auto"/>
          <w:spacing w:val="4"/>
          <w:sz w:val="22"/>
          <w:szCs w:val="22"/>
          <w:highlight w:val="none"/>
        </w:rPr>
        <w:t>展相关</w:t>
      </w:r>
      <w:r>
        <w:rPr>
          <w:rFonts w:ascii="宋体" w:hAnsi="宋体" w:eastAsia="宋体" w:cs="宋体"/>
          <w:color w:val="auto"/>
          <w:spacing w:val="5"/>
          <w:sz w:val="22"/>
          <w:szCs w:val="22"/>
          <w:highlight w:val="none"/>
        </w:rPr>
        <w:t>工作，并且按水土保持设施竣工验收技术报告编制单位提交的检测方案安排相</w:t>
      </w:r>
      <w:r>
        <w:rPr>
          <w:rFonts w:ascii="宋体" w:hAnsi="宋体" w:eastAsia="宋体" w:cs="宋体"/>
          <w:color w:val="auto"/>
          <w:spacing w:val="4"/>
          <w:sz w:val="22"/>
          <w:szCs w:val="22"/>
          <w:highlight w:val="none"/>
        </w:rPr>
        <w:t>关的水</w:t>
      </w:r>
      <w:r>
        <w:rPr>
          <w:rFonts w:ascii="宋体" w:hAnsi="宋体" w:eastAsia="宋体" w:cs="宋体"/>
          <w:color w:val="auto"/>
          <w:spacing w:val="-1"/>
          <w:sz w:val="22"/>
          <w:szCs w:val="22"/>
          <w:highlight w:val="none"/>
        </w:rPr>
        <w:t>土保持监理工作。水土保持监理具体工作为：</w:t>
      </w:r>
    </w:p>
    <w:p w14:paraId="7437ABC8">
      <w:pPr>
        <w:spacing w:line="219" w:lineRule="auto"/>
        <w:ind w:left="498"/>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13.2.1</w:t>
      </w:r>
      <w:r>
        <w:rPr>
          <w:rFonts w:ascii="宋体" w:hAnsi="宋体" w:eastAsia="宋体" w:cs="宋体"/>
          <w:color w:val="auto"/>
          <w:spacing w:val="-41"/>
          <w:sz w:val="24"/>
          <w:szCs w:val="24"/>
          <w:highlight w:val="none"/>
        </w:rPr>
        <w:t xml:space="preserve"> </w:t>
      </w:r>
      <w:r>
        <w:rPr>
          <w:rFonts w:ascii="宋体" w:hAnsi="宋体" w:eastAsia="宋体" w:cs="宋体"/>
          <w:b/>
          <w:bCs/>
          <w:color w:val="auto"/>
          <w:spacing w:val="-4"/>
          <w:sz w:val="24"/>
          <w:szCs w:val="24"/>
          <w:highlight w:val="none"/>
        </w:rPr>
        <w:t>施工准备阶段的水土保持监理工作</w:t>
      </w:r>
    </w:p>
    <w:p w14:paraId="4A7DFA39">
      <w:pPr>
        <w:spacing w:before="180"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(1)成立水保监理领导小组，明确职责分工。</w:t>
      </w:r>
    </w:p>
    <w:p w14:paraId="28AAAF6B">
      <w:pPr>
        <w:spacing w:before="183" w:line="218"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(2)熟悉和学习设计图纸和水土保持方案报告和相关文件、法律法规。</w:t>
      </w:r>
    </w:p>
    <w:p w14:paraId="3E0F9F09">
      <w:pPr>
        <w:spacing w:before="185" w:line="359" w:lineRule="auto"/>
        <w:ind w:left="13" w:right="2" w:firstLine="51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(3)编制水保监理计划和单位工程水保监</w:t>
      </w:r>
      <w:r>
        <w:rPr>
          <w:rFonts w:ascii="宋体" w:hAnsi="宋体" w:eastAsia="宋体" w:cs="宋体"/>
          <w:color w:val="auto"/>
          <w:sz w:val="22"/>
          <w:szCs w:val="22"/>
          <w:highlight w:val="none"/>
        </w:rPr>
        <w:t>理实施细则，明确工程水土保持监理的重</w:t>
      </w:r>
      <w:r>
        <w:rPr>
          <w:rFonts w:ascii="宋体" w:hAnsi="宋体" w:eastAsia="宋体" w:cs="宋体"/>
          <w:color w:val="auto"/>
          <w:spacing w:val="-2"/>
          <w:sz w:val="22"/>
          <w:szCs w:val="22"/>
          <w:highlight w:val="none"/>
        </w:rPr>
        <w:t>点，难点、具体要求及监理的方法步骤等。</w:t>
      </w:r>
    </w:p>
    <w:p w14:paraId="421D0303">
      <w:pPr>
        <w:spacing w:before="1" w:line="218"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(4)督促施工单位建立水保管理体系。</w:t>
      </w:r>
    </w:p>
    <w:p w14:paraId="2FB6FC3B">
      <w:pPr>
        <w:spacing w:before="181" w:line="359" w:lineRule="auto"/>
        <w:ind w:left="3" w:right="2" w:firstLine="519"/>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(5)审查承包人编制的《施工组织设计》</w:t>
      </w:r>
      <w:r>
        <w:rPr>
          <w:rFonts w:ascii="宋体" w:hAnsi="宋体" w:eastAsia="宋体" w:cs="宋体"/>
          <w:color w:val="auto"/>
          <w:sz w:val="22"/>
          <w:szCs w:val="22"/>
          <w:highlight w:val="none"/>
        </w:rPr>
        <w:t>中边坡防护、取弃土场、临建设施、排水</w:t>
      </w:r>
      <w:r>
        <w:rPr>
          <w:rFonts w:ascii="宋体" w:hAnsi="宋体" w:eastAsia="宋体" w:cs="宋体"/>
          <w:color w:val="auto"/>
          <w:spacing w:val="-1"/>
          <w:sz w:val="22"/>
          <w:szCs w:val="22"/>
          <w:highlight w:val="none"/>
        </w:rPr>
        <w:t>工程、临时防护等分项工程技术方案和措施是否可行。</w:t>
      </w:r>
    </w:p>
    <w:p w14:paraId="0A1BBB42">
      <w:pPr>
        <w:spacing w:before="1" w:line="219" w:lineRule="auto"/>
        <w:ind w:left="49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13.2.2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施工阶段的水土保持监理工作</w:t>
      </w:r>
    </w:p>
    <w:p w14:paraId="2356085A">
      <w:pPr>
        <w:spacing w:before="182" w:line="218"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 审查开工报告中涉及水保工作内容的方案和措施是否可行。</w:t>
      </w:r>
    </w:p>
    <w:p w14:paraId="7EE90FD0">
      <w:pPr>
        <w:spacing w:before="183" w:line="219" w:lineRule="auto"/>
        <w:ind w:left="52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(2)水保监理巡视和检查</w:t>
      </w:r>
    </w:p>
    <w:p w14:paraId="3CE14890">
      <w:pPr>
        <w:spacing w:before="184" w:line="359" w:lineRule="auto"/>
        <w:ind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监理工程师在巡视、旁站中，应随时检查施工单位制订的水保措施的落实情况，</w:t>
      </w:r>
      <w:r>
        <w:rPr>
          <w:rFonts w:ascii="宋体" w:hAnsi="宋体" w:eastAsia="宋体" w:cs="宋体"/>
          <w:color w:val="auto"/>
          <w:spacing w:val="4"/>
          <w:sz w:val="22"/>
          <w:szCs w:val="22"/>
          <w:highlight w:val="none"/>
        </w:rPr>
        <w:t>检查的主要内容有：a. 水保管理体系。b. 水保教育。c.临建设施和施工便道排水和</w:t>
      </w:r>
      <w:r>
        <w:rPr>
          <w:rFonts w:ascii="宋体" w:hAnsi="宋体" w:eastAsia="宋体" w:cs="宋体"/>
          <w:color w:val="auto"/>
          <w:spacing w:val="2"/>
          <w:sz w:val="22"/>
          <w:szCs w:val="22"/>
          <w:highlight w:val="none"/>
        </w:rPr>
        <w:t>防护是否符合要求。d. 边坡防护是否及时进行防护</w:t>
      </w:r>
      <w:r>
        <w:rPr>
          <w:rFonts w:ascii="宋体" w:hAnsi="宋体" w:eastAsia="宋体" w:cs="宋体"/>
          <w:color w:val="auto"/>
          <w:spacing w:val="1"/>
          <w:sz w:val="22"/>
          <w:szCs w:val="22"/>
          <w:highlight w:val="none"/>
        </w:rPr>
        <w:t>，检查绿化工程成活率，是否做到了边坡无雨水冲刷、水土流失现象。e. 排水工程施工质量（包括路基临时排水设施）</w:t>
      </w:r>
      <w:r>
        <w:rPr>
          <w:rFonts w:ascii="宋体" w:hAnsi="宋体" w:eastAsia="宋体" w:cs="宋体"/>
          <w:color w:val="auto"/>
          <w:spacing w:val="5"/>
          <w:sz w:val="22"/>
          <w:szCs w:val="22"/>
          <w:highlight w:val="none"/>
        </w:rPr>
        <w:t>和连通情况，是否将地面水及地下水排入相应的涵洞，从而保证水土不</w:t>
      </w:r>
      <w:r>
        <w:rPr>
          <w:rFonts w:ascii="宋体" w:hAnsi="宋体" w:eastAsia="宋体" w:cs="宋体"/>
          <w:color w:val="auto"/>
          <w:spacing w:val="4"/>
          <w:sz w:val="22"/>
          <w:szCs w:val="22"/>
          <w:highlight w:val="none"/>
        </w:rPr>
        <w:t>流失。f.取、</w:t>
      </w:r>
      <w:r>
        <w:rPr>
          <w:rFonts w:ascii="宋体" w:hAnsi="宋体" w:eastAsia="宋体" w:cs="宋体"/>
          <w:color w:val="auto"/>
          <w:spacing w:val="5"/>
          <w:sz w:val="22"/>
          <w:szCs w:val="22"/>
          <w:highlight w:val="none"/>
        </w:rPr>
        <w:t>弃土场排水和防护措施是否符合要求。g. 桥</w:t>
      </w:r>
      <w:r>
        <w:rPr>
          <w:rFonts w:ascii="宋体" w:hAnsi="宋体" w:eastAsia="宋体" w:cs="宋体"/>
          <w:color w:val="auto"/>
          <w:spacing w:val="4"/>
          <w:sz w:val="22"/>
          <w:szCs w:val="22"/>
          <w:highlight w:val="none"/>
        </w:rPr>
        <w:t>梁桩基泥浆处理是否符合要求。h. 涉江</w:t>
      </w:r>
      <w:r>
        <w:rPr>
          <w:rFonts w:ascii="宋体" w:hAnsi="宋体" w:eastAsia="宋体" w:cs="宋体"/>
          <w:color w:val="auto"/>
          <w:spacing w:val="2"/>
          <w:sz w:val="22"/>
          <w:szCs w:val="22"/>
          <w:highlight w:val="none"/>
        </w:rPr>
        <w:t>涉河工程和生态敏感区水土保持措施是否符合要求</w:t>
      </w:r>
      <w:r>
        <w:rPr>
          <w:rFonts w:ascii="宋体" w:hAnsi="宋体" w:eastAsia="宋体" w:cs="宋体"/>
          <w:color w:val="auto"/>
          <w:spacing w:val="1"/>
          <w:sz w:val="22"/>
          <w:szCs w:val="22"/>
          <w:highlight w:val="none"/>
        </w:rPr>
        <w:t>。i. 如发现施工中存在违反有关水</w:t>
      </w:r>
      <w:r>
        <w:rPr>
          <w:rFonts w:ascii="宋体" w:hAnsi="宋体" w:eastAsia="宋体" w:cs="宋体"/>
          <w:color w:val="auto"/>
          <w:sz w:val="22"/>
          <w:szCs w:val="22"/>
          <w:highlight w:val="none"/>
        </w:rPr>
        <w:t>保规定、未按合同要求落实水保措施的情况，监理工程师应</w:t>
      </w:r>
      <w:r>
        <w:rPr>
          <w:rFonts w:ascii="宋体" w:hAnsi="宋体" w:eastAsia="宋体" w:cs="宋体"/>
          <w:color w:val="auto"/>
          <w:spacing w:val="-1"/>
          <w:sz w:val="22"/>
          <w:szCs w:val="22"/>
          <w:highlight w:val="none"/>
        </w:rPr>
        <w:t>书面指令施工单位整改。</w:t>
      </w:r>
    </w:p>
    <w:p w14:paraId="5EB2DB7B">
      <w:pPr>
        <w:spacing w:line="219" w:lineRule="auto"/>
        <w:ind w:left="523"/>
        <w:rPr>
          <w:rFonts w:ascii="Arial"/>
          <w:color w:val="auto"/>
          <w:sz w:val="21"/>
          <w:highlight w:val="none"/>
        </w:rPr>
      </w:pPr>
      <w:r>
        <w:rPr>
          <w:rFonts w:ascii="宋体" w:hAnsi="宋体" w:eastAsia="宋体" w:cs="宋体"/>
          <w:color w:val="auto"/>
          <w:spacing w:val="-6"/>
          <w:sz w:val="22"/>
          <w:szCs w:val="22"/>
          <w:highlight w:val="none"/>
        </w:rPr>
        <w:t>(3)协调水保监测</w:t>
      </w:r>
    </w:p>
    <w:p w14:paraId="6D31C667">
      <w:pPr>
        <w:spacing w:before="78" w:line="359" w:lineRule="auto"/>
        <w:ind w:left="3" w:firstLine="477"/>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根据施工过程中的重点和施工进度，协调外部监督监测单位进行相关监测工作。定时收集外部监督监测单位的水保监测报告，根据监测报告判断水保</w:t>
      </w:r>
      <w:r>
        <w:rPr>
          <w:rFonts w:ascii="宋体" w:hAnsi="宋体" w:eastAsia="宋体" w:cs="宋体"/>
          <w:color w:val="auto"/>
          <w:spacing w:val="4"/>
          <w:sz w:val="22"/>
          <w:szCs w:val="22"/>
          <w:highlight w:val="none"/>
        </w:rPr>
        <w:t>措施执行效果并</w:t>
      </w:r>
      <w:r>
        <w:rPr>
          <w:rFonts w:ascii="宋体" w:hAnsi="宋体" w:eastAsia="宋体" w:cs="宋体"/>
          <w:color w:val="auto"/>
          <w:spacing w:val="-1"/>
          <w:sz w:val="22"/>
          <w:szCs w:val="22"/>
          <w:highlight w:val="none"/>
        </w:rPr>
        <w:t>指导后续各项水保措施修订和落实工作。</w:t>
      </w:r>
    </w:p>
    <w:p w14:paraId="76BDDE15">
      <w:pPr>
        <w:spacing w:line="219"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(4) 协助水保主管部门和建设单位处理突发水保事件。</w:t>
      </w:r>
    </w:p>
    <w:p w14:paraId="3A987B6D">
      <w:pPr>
        <w:spacing w:before="183"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(5) 建立、保管水保监理资料档案及影像资料。</w:t>
      </w:r>
    </w:p>
    <w:p w14:paraId="0EA068A9">
      <w:pPr>
        <w:spacing w:before="180" w:line="219" w:lineRule="auto"/>
        <w:ind w:left="49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13.2.3</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交、竣工阶段及缺陷责任期的水土保持监理工作</w:t>
      </w:r>
    </w:p>
    <w:p w14:paraId="05E374D8">
      <w:pPr>
        <w:spacing w:before="183" w:line="219" w:lineRule="auto"/>
        <w:ind w:left="523"/>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 交工验收水保监理工作内容</w:t>
      </w:r>
    </w:p>
    <w:p w14:paraId="3B576D11">
      <w:pPr>
        <w:spacing w:before="180" w:line="359" w:lineRule="auto"/>
        <w:ind w:left="2" w:firstLine="479"/>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a． 组织交工验收前的水保工作内容初验，审查施工单位水保遗留问题的处理方</w:t>
      </w:r>
      <w:r>
        <w:rPr>
          <w:rFonts w:ascii="宋体" w:hAnsi="宋体" w:eastAsia="宋体" w:cs="宋体"/>
          <w:color w:val="auto"/>
          <w:spacing w:val="-1"/>
          <w:sz w:val="22"/>
          <w:szCs w:val="22"/>
          <w:highlight w:val="none"/>
        </w:rPr>
        <w:t>案和实施计划，并督促落实。b. 整理水保监理资料，并归档。</w:t>
      </w:r>
    </w:p>
    <w:p w14:paraId="6B1659A7">
      <w:pPr>
        <w:spacing w:before="1" w:line="219" w:lineRule="auto"/>
        <w:ind w:left="523"/>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(2) 交</w:t>
      </w:r>
      <w:r>
        <w:rPr>
          <w:rFonts w:ascii="宋体" w:hAnsi="宋体" w:eastAsia="宋体" w:cs="宋体"/>
          <w:color w:val="auto"/>
          <w:spacing w:val="-61"/>
          <w:sz w:val="22"/>
          <w:szCs w:val="22"/>
          <w:highlight w:val="none"/>
        </w:rPr>
        <w:t xml:space="preserve"> </w:t>
      </w:r>
      <w:r>
        <w:rPr>
          <w:rFonts w:ascii="宋体" w:hAnsi="宋体" w:eastAsia="宋体" w:cs="宋体"/>
          <w:color w:val="auto"/>
          <w:spacing w:val="-4"/>
          <w:sz w:val="22"/>
          <w:szCs w:val="22"/>
          <w:highlight w:val="none"/>
        </w:rPr>
        <w:t>(竣)工验收及缺陷责任期内水保监理的工作内容。</w:t>
      </w:r>
    </w:p>
    <w:p w14:paraId="663CABE6">
      <w:pPr>
        <w:spacing w:before="183" w:line="359" w:lineRule="auto"/>
        <w:ind w:firstLine="481"/>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a 定期检查现场水保缺陷问题，审查施工单位水保缺陷问题的处理方案和实施计</w:t>
      </w:r>
      <w:r>
        <w:rPr>
          <w:rFonts w:ascii="宋体" w:hAnsi="宋体" w:eastAsia="宋体" w:cs="宋体"/>
          <w:color w:val="auto"/>
          <w:spacing w:val="-2"/>
          <w:sz w:val="22"/>
          <w:szCs w:val="22"/>
          <w:highlight w:val="none"/>
        </w:rPr>
        <w:t>划，并督促落实。</w:t>
      </w:r>
    </w:p>
    <w:p w14:paraId="63A6F4E4">
      <w:pPr>
        <w:spacing w:line="219" w:lineRule="auto"/>
        <w:ind w:left="47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b</w:t>
      </w:r>
      <w:r>
        <w:rPr>
          <w:rFonts w:ascii="宋体" w:hAnsi="宋体" w:eastAsia="宋体" w:cs="宋体"/>
          <w:color w:val="auto"/>
          <w:spacing w:val="-47"/>
          <w:sz w:val="22"/>
          <w:szCs w:val="22"/>
          <w:highlight w:val="none"/>
        </w:rPr>
        <w:t xml:space="preserve"> </w:t>
      </w:r>
      <w:r>
        <w:rPr>
          <w:rFonts w:ascii="宋体" w:hAnsi="宋体" w:eastAsia="宋体" w:cs="宋体"/>
          <w:color w:val="auto"/>
          <w:spacing w:val="-1"/>
          <w:sz w:val="22"/>
          <w:szCs w:val="22"/>
          <w:highlight w:val="none"/>
        </w:rPr>
        <w:t>对项目水保修复工程的施工进行现场监理。</w:t>
      </w:r>
    </w:p>
    <w:p w14:paraId="0FF9EF0E">
      <w:pPr>
        <w:spacing w:before="183" w:line="359" w:lineRule="auto"/>
        <w:ind w:left="1" w:firstLine="48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c</w:t>
      </w:r>
      <w:r>
        <w:rPr>
          <w:rFonts w:ascii="宋体" w:hAnsi="宋体" w:eastAsia="宋体" w:cs="宋体"/>
          <w:color w:val="auto"/>
          <w:spacing w:val="-28"/>
          <w:sz w:val="22"/>
          <w:szCs w:val="22"/>
          <w:highlight w:val="none"/>
        </w:rPr>
        <w:t xml:space="preserve"> </w:t>
      </w:r>
      <w:r>
        <w:rPr>
          <w:rFonts w:ascii="宋体" w:hAnsi="宋体" w:eastAsia="宋体" w:cs="宋体"/>
          <w:color w:val="auto"/>
          <w:spacing w:val="-1"/>
          <w:sz w:val="22"/>
          <w:szCs w:val="22"/>
          <w:highlight w:val="none"/>
        </w:rPr>
        <w:t>督促各施工单位按合同及有关规定完成水保竣工资料的整理、归档，编写水保工</w:t>
      </w:r>
      <w:r>
        <w:rPr>
          <w:rFonts w:ascii="宋体" w:hAnsi="宋体" w:eastAsia="宋体" w:cs="宋体"/>
          <w:color w:val="auto"/>
          <w:spacing w:val="-2"/>
          <w:sz w:val="22"/>
          <w:szCs w:val="22"/>
          <w:highlight w:val="none"/>
        </w:rPr>
        <w:t>作总结报告。</w:t>
      </w:r>
    </w:p>
    <w:p w14:paraId="7ECB06FD">
      <w:pPr>
        <w:spacing w:before="2" w:line="217" w:lineRule="auto"/>
        <w:ind w:left="48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d</w:t>
      </w:r>
      <w:r>
        <w:rPr>
          <w:rFonts w:ascii="宋体" w:hAnsi="宋体" w:eastAsia="宋体" w:cs="宋体"/>
          <w:color w:val="auto"/>
          <w:spacing w:val="-47"/>
          <w:sz w:val="22"/>
          <w:szCs w:val="22"/>
          <w:highlight w:val="none"/>
        </w:rPr>
        <w:t xml:space="preserve"> </w:t>
      </w:r>
      <w:r>
        <w:rPr>
          <w:rFonts w:ascii="宋体" w:hAnsi="宋体" w:eastAsia="宋体" w:cs="宋体"/>
          <w:color w:val="auto"/>
          <w:spacing w:val="-1"/>
          <w:sz w:val="22"/>
          <w:szCs w:val="22"/>
          <w:highlight w:val="none"/>
        </w:rPr>
        <w:t>整理和完善水保监理竣工资料，并编写水保监理工作总结报告。</w:t>
      </w:r>
    </w:p>
    <w:p w14:paraId="61E94829">
      <w:pPr>
        <w:spacing w:before="182" w:line="219" w:lineRule="auto"/>
        <w:ind w:left="486"/>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e</w:t>
      </w:r>
      <w:r>
        <w:rPr>
          <w:rFonts w:ascii="宋体" w:hAnsi="宋体" w:eastAsia="宋体" w:cs="宋体"/>
          <w:color w:val="auto"/>
          <w:spacing w:val="-47"/>
          <w:sz w:val="22"/>
          <w:szCs w:val="22"/>
          <w:highlight w:val="none"/>
        </w:rPr>
        <w:t xml:space="preserve"> </w:t>
      </w:r>
      <w:r>
        <w:rPr>
          <w:rFonts w:ascii="宋体" w:hAnsi="宋体" w:eastAsia="宋体" w:cs="宋体"/>
          <w:color w:val="auto"/>
          <w:spacing w:val="-3"/>
          <w:sz w:val="22"/>
          <w:szCs w:val="22"/>
          <w:highlight w:val="none"/>
        </w:rPr>
        <w:t>协助竣工水保验收。</w:t>
      </w:r>
    </w:p>
    <w:p w14:paraId="2781D0DE">
      <w:pPr>
        <w:spacing w:before="181" w:line="360" w:lineRule="auto"/>
        <w:ind w:firstLine="483"/>
        <w:rPr>
          <w:rFonts w:ascii="宋体" w:hAnsi="宋体" w:eastAsia="宋体" w:cs="宋体"/>
          <w:color w:val="auto"/>
          <w:sz w:val="22"/>
          <w:szCs w:val="22"/>
          <w:highlight w:val="none"/>
        </w:rPr>
      </w:pPr>
      <w:r>
        <w:rPr>
          <w:rFonts w:ascii="宋体" w:hAnsi="宋体" w:eastAsia="宋体" w:cs="宋体"/>
          <w:color w:val="auto"/>
          <w:sz w:val="22"/>
          <w:szCs w:val="22"/>
          <w:highlight w:val="none"/>
        </w:rPr>
        <w:t>f</w:t>
      </w:r>
      <w:r>
        <w:rPr>
          <w:rFonts w:ascii="宋体" w:hAnsi="宋体" w:eastAsia="宋体" w:cs="宋体"/>
          <w:color w:val="auto"/>
          <w:spacing w:val="-51"/>
          <w:sz w:val="22"/>
          <w:szCs w:val="22"/>
          <w:highlight w:val="none"/>
        </w:rPr>
        <w:t xml:space="preserve"> </w:t>
      </w:r>
      <w:r>
        <w:rPr>
          <w:rFonts w:ascii="宋体" w:hAnsi="宋体" w:eastAsia="宋体" w:cs="宋体"/>
          <w:color w:val="auto"/>
          <w:sz w:val="22"/>
          <w:szCs w:val="22"/>
          <w:highlight w:val="none"/>
        </w:rPr>
        <w:t>缺陷责任期内环水保监测、水保验收工作由委托人承</w:t>
      </w:r>
      <w:r>
        <w:rPr>
          <w:rFonts w:ascii="宋体" w:hAnsi="宋体" w:eastAsia="宋体" w:cs="宋体"/>
          <w:color w:val="auto"/>
          <w:spacing w:val="-1"/>
          <w:sz w:val="22"/>
          <w:szCs w:val="22"/>
          <w:highlight w:val="none"/>
        </w:rPr>
        <w:t>担，总监办协助委托人做好</w:t>
      </w:r>
      <w:r>
        <w:rPr>
          <w:rFonts w:ascii="宋体" w:hAnsi="宋体" w:eastAsia="宋体" w:cs="宋体"/>
          <w:color w:val="auto"/>
          <w:spacing w:val="-2"/>
          <w:sz w:val="22"/>
          <w:szCs w:val="22"/>
          <w:highlight w:val="none"/>
        </w:rPr>
        <w:t>相关工作。</w:t>
      </w:r>
    </w:p>
    <w:p w14:paraId="0A476922">
      <w:pPr>
        <w:spacing w:line="359" w:lineRule="auto"/>
        <w:ind w:firstLine="498"/>
        <w:jc w:val="both"/>
        <w:rPr>
          <w:rFonts w:ascii="宋体" w:hAnsi="宋体" w:eastAsia="宋体" w:cs="宋体"/>
          <w:color w:val="auto"/>
          <w:sz w:val="22"/>
          <w:szCs w:val="22"/>
          <w:highlight w:val="none"/>
        </w:rPr>
      </w:pPr>
      <w:r>
        <w:rPr>
          <w:rFonts w:ascii="宋体" w:hAnsi="宋体" w:eastAsia="宋体" w:cs="宋体"/>
          <w:b/>
          <w:bCs/>
          <w:color w:val="auto"/>
          <w:spacing w:val="2"/>
          <w:sz w:val="22"/>
          <w:szCs w:val="22"/>
          <w:highlight w:val="none"/>
        </w:rPr>
        <w:t>13.3</w:t>
      </w:r>
      <w:r>
        <w:rPr>
          <w:rFonts w:ascii="宋体" w:hAnsi="宋体" w:eastAsia="宋体" w:cs="宋体"/>
          <w:color w:val="auto"/>
          <w:spacing w:val="-41"/>
          <w:sz w:val="22"/>
          <w:szCs w:val="22"/>
          <w:highlight w:val="none"/>
        </w:rPr>
        <w:t xml:space="preserve"> </w:t>
      </w:r>
      <w:r>
        <w:rPr>
          <w:rFonts w:ascii="宋体" w:hAnsi="宋体" w:eastAsia="宋体" w:cs="宋体"/>
          <w:color w:val="auto"/>
          <w:spacing w:val="2"/>
          <w:sz w:val="22"/>
          <w:szCs w:val="22"/>
          <w:highlight w:val="none"/>
        </w:rPr>
        <w:t>为在项目交工验收后及时完成项目竣工环境保护验收工作，各监理人应负责</w:t>
      </w:r>
      <w:r>
        <w:rPr>
          <w:rFonts w:ascii="宋体" w:hAnsi="宋体" w:eastAsia="宋体" w:cs="宋体"/>
          <w:color w:val="auto"/>
          <w:spacing w:val="5"/>
          <w:sz w:val="22"/>
          <w:szCs w:val="22"/>
          <w:highlight w:val="none"/>
        </w:rPr>
        <w:t>协调、配合环境保护验收监测（调查）报告编制单位开展相关工作，并且按环</w:t>
      </w:r>
      <w:r>
        <w:rPr>
          <w:rFonts w:ascii="宋体" w:hAnsi="宋体" w:eastAsia="宋体" w:cs="宋体"/>
          <w:color w:val="auto"/>
          <w:spacing w:val="4"/>
          <w:sz w:val="22"/>
          <w:szCs w:val="22"/>
          <w:highlight w:val="none"/>
        </w:rPr>
        <w:t>境保护</w:t>
      </w:r>
      <w:r>
        <w:rPr>
          <w:rFonts w:ascii="宋体" w:hAnsi="宋体" w:eastAsia="宋体" w:cs="宋体"/>
          <w:color w:val="auto"/>
          <w:spacing w:val="5"/>
          <w:sz w:val="22"/>
          <w:szCs w:val="22"/>
          <w:highlight w:val="none"/>
        </w:rPr>
        <w:t>验收监测（调查）报告单位提交的保护方案安排相关的环境监理工作。环保监</w:t>
      </w:r>
      <w:r>
        <w:rPr>
          <w:rFonts w:ascii="宋体" w:hAnsi="宋体" w:eastAsia="宋体" w:cs="宋体"/>
          <w:color w:val="auto"/>
          <w:spacing w:val="4"/>
          <w:sz w:val="22"/>
          <w:szCs w:val="22"/>
          <w:highlight w:val="none"/>
        </w:rPr>
        <w:t>理具体</w:t>
      </w:r>
      <w:r>
        <w:rPr>
          <w:rFonts w:ascii="宋体" w:hAnsi="宋体" w:eastAsia="宋体" w:cs="宋体"/>
          <w:color w:val="auto"/>
          <w:spacing w:val="-3"/>
          <w:sz w:val="22"/>
          <w:szCs w:val="22"/>
          <w:highlight w:val="none"/>
        </w:rPr>
        <w:t>工作为：</w:t>
      </w:r>
    </w:p>
    <w:p w14:paraId="5C6BB54F">
      <w:pPr>
        <w:spacing w:line="220" w:lineRule="auto"/>
        <w:ind w:left="491"/>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13.3.1</w:t>
      </w:r>
      <w:r>
        <w:rPr>
          <w:rFonts w:ascii="宋体" w:hAnsi="宋体" w:eastAsia="宋体" w:cs="宋体"/>
          <w:color w:val="auto"/>
          <w:spacing w:val="-38"/>
          <w:sz w:val="24"/>
          <w:szCs w:val="24"/>
          <w:highlight w:val="none"/>
        </w:rPr>
        <w:t xml:space="preserve"> </w:t>
      </w:r>
      <w:r>
        <w:rPr>
          <w:rFonts w:ascii="宋体" w:hAnsi="宋体" w:eastAsia="宋体" w:cs="宋体"/>
          <w:b/>
          <w:bCs/>
          <w:color w:val="auto"/>
          <w:spacing w:val="-4"/>
          <w:sz w:val="24"/>
          <w:szCs w:val="24"/>
          <w:highlight w:val="none"/>
        </w:rPr>
        <w:t>施工准备阶段的环境保护监理工作</w:t>
      </w:r>
    </w:p>
    <w:p w14:paraId="663AB55B">
      <w:pPr>
        <w:spacing w:before="183"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(1)成立环保监理领导小组，明确职责分工。</w:t>
      </w:r>
    </w:p>
    <w:p w14:paraId="712198BB">
      <w:pPr>
        <w:spacing w:before="180" w:line="218"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(2)熟悉环评报告和设计文件，掌握工程</w:t>
      </w:r>
      <w:r>
        <w:rPr>
          <w:rFonts w:ascii="宋体" w:hAnsi="宋体" w:eastAsia="宋体" w:cs="宋体"/>
          <w:color w:val="auto"/>
          <w:spacing w:val="-3"/>
          <w:sz w:val="22"/>
          <w:szCs w:val="22"/>
          <w:highlight w:val="none"/>
        </w:rPr>
        <w:t>整体情况。</w:t>
      </w:r>
    </w:p>
    <w:p w14:paraId="7AAA1F22">
      <w:pPr>
        <w:spacing w:before="183" w:line="359" w:lineRule="auto"/>
        <w:ind w:left="13" w:firstLine="51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(3)对照设计文件、环境影响评价文件，</w:t>
      </w:r>
      <w:r>
        <w:rPr>
          <w:rFonts w:ascii="宋体" w:hAnsi="宋体" w:eastAsia="宋体" w:cs="宋体"/>
          <w:color w:val="auto"/>
          <w:sz w:val="22"/>
          <w:szCs w:val="22"/>
          <w:highlight w:val="none"/>
        </w:rPr>
        <w:t>调查和了解工程附近环境保护目标和敏感</w:t>
      </w:r>
      <w:r>
        <w:rPr>
          <w:rFonts w:ascii="宋体" w:hAnsi="宋体" w:eastAsia="宋体" w:cs="宋体"/>
          <w:color w:val="auto"/>
          <w:spacing w:val="-4"/>
          <w:sz w:val="22"/>
          <w:szCs w:val="22"/>
          <w:highlight w:val="none"/>
        </w:rPr>
        <w:t>点的分布情况。</w:t>
      </w:r>
    </w:p>
    <w:p w14:paraId="2449AC5E">
      <w:pPr>
        <w:spacing w:before="1" w:line="362" w:lineRule="auto"/>
        <w:ind w:left="2" w:firstLine="520"/>
        <w:rPr>
          <w:rFonts w:ascii="宋体" w:hAnsi="宋体" w:eastAsia="宋体" w:cs="宋体"/>
          <w:color w:val="auto"/>
          <w:spacing w:val="-2"/>
          <w:sz w:val="22"/>
          <w:szCs w:val="22"/>
          <w:highlight w:val="none"/>
        </w:rPr>
      </w:pPr>
      <w:r>
        <w:rPr>
          <w:rFonts w:ascii="宋体" w:hAnsi="宋体" w:eastAsia="宋体" w:cs="宋体"/>
          <w:color w:val="auto"/>
          <w:spacing w:val="1"/>
          <w:sz w:val="22"/>
          <w:szCs w:val="22"/>
          <w:highlight w:val="none"/>
        </w:rPr>
        <w:t>(4)初步审查承包人提交的临时工程设计</w:t>
      </w:r>
      <w:r>
        <w:rPr>
          <w:rFonts w:ascii="宋体" w:hAnsi="宋体" w:eastAsia="宋体" w:cs="宋体"/>
          <w:color w:val="auto"/>
          <w:sz w:val="22"/>
          <w:szCs w:val="22"/>
          <w:highlight w:val="none"/>
        </w:rPr>
        <w:t>文件中的环境保护措施和方案，提交委托</w:t>
      </w:r>
      <w:r>
        <w:rPr>
          <w:rFonts w:ascii="宋体" w:hAnsi="宋体" w:eastAsia="宋体" w:cs="宋体"/>
          <w:color w:val="auto"/>
          <w:spacing w:val="-2"/>
          <w:sz w:val="22"/>
          <w:szCs w:val="22"/>
          <w:highlight w:val="none"/>
        </w:rPr>
        <w:t>人组织审查。</w:t>
      </w:r>
    </w:p>
    <w:p w14:paraId="28F57979">
      <w:pPr>
        <w:spacing w:before="78" w:line="219"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(5)编制施工环境保护监理计划和各单位工程的环境保护监理实施细则。</w:t>
      </w:r>
    </w:p>
    <w:p w14:paraId="397D0942">
      <w:pPr>
        <w:spacing w:before="179"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(6)督促施工单位建立环境保护管理体系。</w:t>
      </w:r>
    </w:p>
    <w:p w14:paraId="01B13874">
      <w:pPr>
        <w:spacing w:before="184" w:line="219"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(7)审查承包人编制的《施工组织设计》中施工污染防治方案。</w:t>
      </w:r>
    </w:p>
    <w:p w14:paraId="0807E2DC">
      <w:pPr>
        <w:spacing w:before="180" w:line="220" w:lineRule="auto"/>
        <w:ind w:left="49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13.3.2</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施工阶段的环境保护监理工作</w:t>
      </w:r>
    </w:p>
    <w:p w14:paraId="6599CC58">
      <w:pPr>
        <w:spacing w:before="182" w:line="219" w:lineRule="auto"/>
        <w:ind w:left="52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(1)环保监理巡视和检查</w:t>
      </w:r>
    </w:p>
    <w:p w14:paraId="400FDB44">
      <w:pPr>
        <w:spacing w:before="183" w:line="359" w:lineRule="auto"/>
        <w:ind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监理工程师在巡视、旁站中，应随时检查施工单位制订的环境保护措施的落实情</w:t>
      </w:r>
      <w:r>
        <w:rPr>
          <w:rFonts w:ascii="宋体" w:hAnsi="宋体" w:eastAsia="宋体" w:cs="宋体"/>
          <w:color w:val="auto"/>
          <w:spacing w:val="2"/>
          <w:sz w:val="22"/>
          <w:szCs w:val="22"/>
          <w:highlight w:val="none"/>
        </w:rPr>
        <w:t>况，检查的主要内容有：a. 施工环境保</w:t>
      </w:r>
      <w:r>
        <w:rPr>
          <w:rFonts w:ascii="宋体" w:hAnsi="宋体" w:eastAsia="宋体" w:cs="宋体"/>
          <w:color w:val="auto"/>
          <w:spacing w:val="1"/>
          <w:sz w:val="22"/>
          <w:szCs w:val="22"/>
          <w:highlight w:val="none"/>
        </w:rPr>
        <w:t>护体系；b. 环保教育；c. 施工场地的布设是</w:t>
      </w:r>
      <w:r>
        <w:rPr>
          <w:rFonts w:ascii="宋体" w:hAnsi="宋体" w:eastAsia="宋体" w:cs="宋体"/>
          <w:color w:val="auto"/>
          <w:spacing w:val="2"/>
          <w:sz w:val="22"/>
          <w:szCs w:val="22"/>
          <w:highlight w:val="none"/>
        </w:rPr>
        <w:t>否符合相关环保要求；d. 职业危害的防护措施是否健全；e</w:t>
      </w:r>
      <w:r>
        <w:rPr>
          <w:rFonts w:ascii="宋体" w:hAnsi="宋体" w:eastAsia="宋体" w:cs="宋体"/>
          <w:color w:val="auto"/>
          <w:spacing w:val="1"/>
          <w:sz w:val="22"/>
          <w:szCs w:val="22"/>
          <w:highlight w:val="none"/>
        </w:rPr>
        <w:t>. 施工现场(含临时便道、</w:t>
      </w:r>
      <w:r>
        <w:rPr>
          <w:rFonts w:ascii="宋体" w:hAnsi="宋体" w:eastAsia="宋体" w:cs="宋体"/>
          <w:color w:val="auto"/>
          <w:spacing w:val="2"/>
          <w:sz w:val="22"/>
          <w:szCs w:val="22"/>
          <w:highlight w:val="none"/>
        </w:rPr>
        <w:t>拌和站、预制场等)和料场等是否洒水防尘；</w:t>
      </w:r>
      <w:r>
        <w:rPr>
          <w:rFonts w:ascii="宋体" w:hAnsi="宋体" w:eastAsia="宋体" w:cs="宋体"/>
          <w:color w:val="auto"/>
          <w:spacing w:val="1"/>
          <w:sz w:val="22"/>
          <w:szCs w:val="22"/>
          <w:highlight w:val="none"/>
        </w:rPr>
        <w:t>f. 是否按有关要求采取降噪措施；g. 材</w:t>
      </w:r>
      <w:r>
        <w:rPr>
          <w:rFonts w:ascii="宋体" w:hAnsi="宋体" w:eastAsia="宋体" w:cs="宋体"/>
          <w:color w:val="auto"/>
          <w:spacing w:val="5"/>
          <w:sz w:val="22"/>
          <w:szCs w:val="22"/>
          <w:highlight w:val="none"/>
        </w:rPr>
        <w:t>料堆场设置环境的合理性及采取措施减少运输漏洒情况；h.施工</w:t>
      </w:r>
      <w:r>
        <w:rPr>
          <w:rFonts w:ascii="宋体" w:hAnsi="宋体" w:eastAsia="宋体" w:cs="宋体"/>
          <w:color w:val="auto"/>
          <w:spacing w:val="4"/>
          <w:sz w:val="22"/>
          <w:szCs w:val="22"/>
          <w:highlight w:val="none"/>
        </w:rPr>
        <w:t>废水、渣土、生活污</w:t>
      </w:r>
      <w:r>
        <w:rPr>
          <w:rFonts w:ascii="宋体" w:hAnsi="宋体" w:eastAsia="宋体" w:cs="宋体"/>
          <w:color w:val="auto"/>
          <w:spacing w:val="2"/>
          <w:sz w:val="22"/>
          <w:szCs w:val="22"/>
          <w:highlight w:val="none"/>
        </w:rPr>
        <w:t>水、垃圾的处置是否合理；i. 是否按照批准在</w:t>
      </w:r>
      <w:r>
        <w:rPr>
          <w:rFonts w:ascii="宋体" w:hAnsi="宋体" w:eastAsia="宋体" w:cs="宋体"/>
          <w:color w:val="auto"/>
          <w:spacing w:val="1"/>
          <w:sz w:val="22"/>
          <w:szCs w:val="22"/>
          <w:highlight w:val="none"/>
        </w:rPr>
        <w:t>拟定的取弃土场取弃土，取土结束后是</w:t>
      </w:r>
      <w:r>
        <w:rPr>
          <w:rFonts w:ascii="宋体" w:hAnsi="宋体" w:eastAsia="宋体" w:cs="宋体"/>
          <w:color w:val="auto"/>
          <w:spacing w:val="2"/>
          <w:sz w:val="22"/>
          <w:szCs w:val="22"/>
          <w:highlight w:val="none"/>
        </w:rPr>
        <w:t>否采取了有效的排水防护和植被恢复措施；j. 如发现施工中存在</w:t>
      </w:r>
      <w:r>
        <w:rPr>
          <w:rFonts w:ascii="宋体" w:hAnsi="宋体" w:eastAsia="宋体" w:cs="宋体"/>
          <w:color w:val="auto"/>
          <w:spacing w:val="1"/>
          <w:sz w:val="22"/>
          <w:szCs w:val="22"/>
          <w:highlight w:val="none"/>
        </w:rPr>
        <w:t>违反有关环保规定、</w:t>
      </w:r>
      <w:r>
        <w:rPr>
          <w:rFonts w:ascii="宋体" w:hAnsi="宋体" w:eastAsia="宋体" w:cs="宋体"/>
          <w:color w:val="auto"/>
          <w:spacing w:val="2"/>
          <w:sz w:val="22"/>
          <w:szCs w:val="22"/>
          <w:highlight w:val="none"/>
        </w:rPr>
        <w:t>未按合同要求落实环保措施的情况，监理工程师应书面指</w:t>
      </w:r>
      <w:r>
        <w:rPr>
          <w:rFonts w:ascii="宋体" w:hAnsi="宋体" w:eastAsia="宋体" w:cs="宋体"/>
          <w:color w:val="auto"/>
          <w:spacing w:val="1"/>
          <w:sz w:val="22"/>
          <w:szCs w:val="22"/>
          <w:highlight w:val="none"/>
        </w:rPr>
        <w:t>令施工单位整改；k. 施工中</w:t>
      </w:r>
      <w:r>
        <w:rPr>
          <w:rFonts w:ascii="宋体" w:hAnsi="宋体" w:eastAsia="宋体" w:cs="宋体"/>
          <w:color w:val="auto"/>
          <w:spacing w:val="-1"/>
          <w:sz w:val="22"/>
          <w:szCs w:val="22"/>
          <w:highlight w:val="none"/>
        </w:rPr>
        <w:t>发现文物时，监理工程师应要求施工单位依法保护现场，</w:t>
      </w:r>
      <w:r>
        <w:rPr>
          <w:rFonts w:ascii="宋体" w:hAnsi="宋体" w:eastAsia="宋体" w:cs="宋体"/>
          <w:color w:val="auto"/>
          <w:spacing w:val="-2"/>
          <w:sz w:val="22"/>
          <w:szCs w:val="22"/>
          <w:highlight w:val="none"/>
        </w:rPr>
        <w:t>并报告有关部门和建设单位。</w:t>
      </w:r>
    </w:p>
    <w:p w14:paraId="3B3AA434">
      <w:pPr>
        <w:spacing w:line="220" w:lineRule="auto"/>
        <w:ind w:left="523"/>
        <w:rPr>
          <w:rFonts w:ascii="宋体" w:hAnsi="宋体" w:eastAsia="宋体" w:cs="宋体"/>
          <w:color w:val="auto"/>
          <w:sz w:val="22"/>
          <w:szCs w:val="22"/>
          <w:highlight w:val="none"/>
        </w:rPr>
      </w:pPr>
      <w:r>
        <w:rPr>
          <w:rFonts w:ascii="宋体" w:hAnsi="宋体" w:eastAsia="宋体" w:cs="宋体"/>
          <w:color w:val="auto"/>
          <w:spacing w:val="-6"/>
          <w:sz w:val="22"/>
          <w:szCs w:val="22"/>
          <w:highlight w:val="none"/>
        </w:rPr>
        <w:t>(2) 协调环保监测</w:t>
      </w:r>
    </w:p>
    <w:p w14:paraId="291FB8DA">
      <w:pPr>
        <w:spacing w:before="181" w:line="359" w:lineRule="auto"/>
        <w:ind w:right="8"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根据施工过程中的重点和施工进度，协调外部监督监测单位进行空气质量、地表水水质、声环境质量等项目监测工作。定时收集外部监督监测单位的环境监</w:t>
      </w:r>
      <w:r>
        <w:rPr>
          <w:rFonts w:ascii="宋体" w:hAnsi="宋体" w:eastAsia="宋体" w:cs="宋体"/>
          <w:color w:val="auto"/>
          <w:spacing w:val="4"/>
          <w:sz w:val="22"/>
          <w:szCs w:val="22"/>
          <w:highlight w:val="none"/>
        </w:rPr>
        <w:t>测报告，</w:t>
      </w:r>
      <w:r>
        <w:rPr>
          <w:rFonts w:ascii="宋体" w:hAnsi="宋体" w:eastAsia="宋体" w:cs="宋体"/>
          <w:color w:val="auto"/>
          <w:sz w:val="22"/>
          <w:szCs w:val="22"/>
          <w:highlight w:val="none"/>
        </w:rPr>
        <w:t>根据监测报告判断环保措施执行效果并指导后续各项环</w:t>
      </w:r>
      <w:r>
        <w:rPr>
          <w:rFonts w:ascii="宋体" w:hAnsi="宋体" w:eastAsia="宋体" w:cs="宋体"/>
          <w:color w:val="auto"/>
          <w:spacing w:val="-1"/>
          <w:sz w:val="22"/>
          <w:szCs w:val="22"/>
          <w:highlight w:val="none"/>
        </w:rPr>
        <w:t>保措施修订和落实工作。</w:t>
      </w:r>
    </w:p>
    <w:p w14:paraId="3B4D0BB7">
      <w:pPr>
        <w:spacing w:line="219" w:lineRule="auto"/>
        <w:ind w:left="52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(3) 协助环保主管部门和建设单位处理突发环保事件。</w:t>
      </w:r>
    </w:p>
    <w:p w14:paraId="245E416E">
      <w:pPr>
        <w:spacing w:before="184"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(4) 建立、保管环境保护监理资料档案。</w:t>
      </w:r>
    </w:p>
    <w:p w14:paraId="10B812CB">
      <w:pPr>
        <w:spacing w:before="181" w:line="219" w:lineRule="auto"/>
        <w:ind w:left="49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13.3.3</w:t>
      </w:r>
      <w:r>
        <w:rPr>
          <w:rFonts w:ascii="宋体" w:hAnsi="宋体" w:eastAsia="宋体" w:cs="宋体"/>
          <w:color w:val="auto"/>
          <w:spacing w:val="-3"/>
          <w:sz w:val="24"/>
          <w:szCs w:val="24"/>
          <w:highlight w:val="none"/>
        </w:rPr>
        <w:t xml:space="preserve">  </w:t>
      </w:r>
      <w:r>
        <w:rPr>
          <w:rFonts w:ascii="宋体" w:hAnsi="宋体" w:eastAsia="宋体" w:cs="宋体"/>
          <w:b/>
          <w:bCs/>
          <w:color w:val="auto"/>
          <w:spacing w:val="-3"/>
          <w:sz w:val="24"/>
          <w:szCs w:val="24"/>
          <w:highlight w:val="none"/>
        </w:rPr>
        <w:t>交、竣工阶段及缺陷责任期的环境保护监理工作</w:t>
      </w:r>
    </w:p>
    <w:p w14:paraId="4724D84E">
      <w:pPr>
        <w:spacing w:before="183"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 交工验收环境保护监理工作内容</w:t>
      </w:r>
    </w:p>
    <w:p w14:paraId="45E55B32">
      <w:pPr>
        <w:spacing w:before="181" w:line="219" w:lineRule="auto"/>
        <w:ind w:left="48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a. 组织交工验收前的环境保护工作内容初验；</w:t>
      </w:r>
    </w:p>
    <w:p w14:paraId="3039CA3D">
      <w:pPr>
        <w:spacing w:before="183" w:line="219" w:lineRule="auto"/>
        <w:ind w:left="47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b. 整理环境监理资料，并归档；</w:t>
      </w:r>
    </w:p>
    <w:p w14:paraId="7A576B67">
      <w:pPr>
        <w:spacing w:before="183" w:line="219" w:lineRule="auto"/>
        <w:ind w:left="48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c.参加交工验收，协助委托人的交工验收工作。</w:t>
      </w:r>
    </w:p>
    <w:p w14:paraId="4365DBDA">
      <w:pPr>
        <w:spacing w:before="181" w:line="219" w:lineRule="auto"/>
        <w:ind w:left="523"/>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(2) 缺陷责任期内环境保护监理的工作内容。</w:t>
      </w:r>
    </w:p>
    <w:p w14:paraId="03739563">
      <w:pPr>
        <w:spacing w:before="181" w:line="359" w:lineRule="auto"/>
        <w:ind w:right="8" w:firstLine="481"/>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a.定期检查施工单位对交工环境保护验收提出的环境保护遗漏问题整改措施和计</w:t>
      </w:r>
      <w:r>
        <w:rPr>
          <w:rFonts w:ascii="宋体" w:hAnsi="宋体" w:eastAsia="宋体" w:cs="宋体"/>
          <w:color w:val="auto"/>
          <w:spacing w:val="-2"/>
          <w:sz w:val="22"/>
          <w:szCs w:val="22"/>
          <w:highlight w:val="none"/>
        </w:rPr>
        <w:t>划的实施情况。</w:t>
      </w:r>
    </w:p>
    <w:p w14:paraId="08CE6BE1">
      <w:pPr>
        <w:spacing w:before="1" w:line="361" w:lineRule="auto"/>
        <w:ind w:left="4" w:right="8" w:firstLine="472"/>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b.对项目环境保护设施工程的施工进行现场监理，并对环境保护设施运行情况进</w:t>
      </w:r>
      <w:r>
        <w:rPr>
          <w:rFonts w:ascii="宋体" w:hAnsi="宋体" w:eastAsia="宋体" w:cs="宋体"/>
          <w:color w:val="auto"/>
          <w:spacing w:val="-1"/>
          <w:sz w:val="22"/>
          <w:szCs w:val="22"/>
          <w:highlight w:val="none"/>
        </w:rPr>
        <w:t>行检查，如不能达到环评报告书中的相关要求，及时督促其整改。</w:t>
      </w:r>
    </w:p>
    <w:p w14:paraId="0AC37C54">
      <w:pPr>
        <w:spacing w:before="78" w:line="359" w:lineRule="auto"/>
        <w:ind w:left="2" w:right="191" w:firstLine="482"/>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c.督促各施工单位按合同及有关规定完成施工环境保护竣工资料的整理、归档，</w:t>
      </w:r>
      <w:r>
        <w:rPr>
          <w:rFonts w:ascii="宋体" w:hAnsi="宋体" w:eastAsia="宋体" w:cs="宋体"/>
          <w:color w:val="auto"/>
          <w:spacing w:val="-1"/>
          <w:sz w:val="22"/>
          <w:szCs w:val="22"/>
          <w:highlight w:val="none"/>
        </w:rPr>
        <w:t>编写施工环境保护工作总结报告。</w:t>
      </w:r>
    </w:p>
    <w:p w14:paraId="60089B39">
      <w:pPr>
        <w:spacing w:before="1" w:line="217" w:lineRule="auto"/>
        <w:ind w:left="485"/>
        <w:rPr>
          <w:rFonts w:ascii="宋体" w:hAnsi="宋体" w:eastAsia="宋体" w:cs="宋体"/>
          <w:color w:val="auto"/>
          <w:sz w:val="22"/>
          <w:szCs w:val="22"/>
          <w:highlight w:val="none"/>
        </w:rPr>
      </w:pPr>
      <w:r>
        <w:rPr>
          <w:rFonts w:ascii="宋体" w:hAnsi="宋体" w:eastAsia="宋体" w:cs="宋体"/>
          <w:color w:val="auto"/>
          <w:sz w:val="22"/>
          <w:szCs w:val="22"/>
          <w:highlight w:val="none"/>
        </w:rPr>
        <w:t>d.整理和完善环境保护监理竣工资料，并编</w:t>
      </w:r>
      <w:r>
        <w:rPr>
          <w:rFonts w:ascii="宋体" w:hAnsi="宋体" w:eastAsia="宋体" w:cs="宋体"/>
          <w:color w:val="auto"/>
          <w:spacing w:val="-1"/>
          <w:sz w:val="22"/>
          <w:szCs w:val="22"/>
          <w:highlight w:val="none"/>
        </w:rPr>
        <w:t>写施工环境保护监理工作总结报告。</w:t>
      </w:r>
    </w:p>
    <w:p w14:paraId="19F4F917">
      <w:pPr>
        <w:spacing w:before="182" w:line="219" w:lineRule="auto"/>
        <w:ind w:left="486"/>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e.协助竣工环境保护验收。</w:t>
      </w:r>
    </w:p>
    <w:p w14:paraId="44F6CC13">
      <w:pPr>
        <w:spacing w:before="183" w:line="359" w:lineRule="auto"/>
        <w:ind w:right="133" w:firstLine="48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f.缺陷责任期内环保监测、环境应急预案报备工作由委托人承担，总监办</w:t>
      </w:r>
      <w:r>
        <w:rPr>
          <w:rFonts w:ascii="宋体" w:hAnsi="宋体" w:eastAsia="宋体" w:cs="宋体"/>
          <w:color w:val="auto"/>
          <w:spacing w:val="4"/>
          <w:sz w:val="22"/>
          <w:szCs w:val="22"/>
          <w:highlight w:val="none"/>
        </w:rPr>
        <w:t>协助委</w:t>
      </w:r>
      <w:r>
        <w:rPr>
          <w:rFonts w:ascii="宋体" w:hAnsi="宋体" w:eastAsia="宋体" w:cs="宋体"/>
          <w:color w:val="auto"/>
          <w:spacing w:val="-2"/>
          <w:sz w:val="22"/>
          <w:szCs w:val="22"/>
          <w:highlight w:val="none"/>
        </w:rPr>
        <w:t>托人做好相关工作。</w:t>
      </w:r>
    </w:p>
    <w:p w14:paraId="398EC42E">
      <w:pPr>
        <w:spacing w:line="219" w:lineRule="auto"/>
        <w:ind w:left="503"/>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13.4关于竣工文件的补充条款：</w:t>
      </w:r>
    </w:p>
    <w:p w14:paraId="3AACC576">
      <w:pPr>
        <w:spacing w:before="180" w:line="359" w:lineRule="auto"/>
        <w:ind w:left="3" w:right="133" w:firstLine="49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（1）监理文件必须与工程施工同步形成、同步收集，并按照档案预组卷的标准同</w:t>
      </w:r>
      <w:r>
        <w:rPr>
          <w:rFonts w:ascii="宋体" w:hAnsi="宋体" w:eastAsia="宋体" w:cs="宋体"/>
          <w:color w:val="auto"/>
          <w:spacing w:val="-2"/>
          <w:sz w:val="22"/>
          <w:szCs w:val="22"/>
          <w:highlight w:val="none"/>
        </w:rPr>
        <w:t>步进行系统的整理。</w:t>
      </w:r>
    </w:p>
    <w:p w14:paraId="5ADE62F7">
      <w:pPr>
        <w:spacing w:line="359" w:lineRule="auto"/>
        <w:ind w:right="133" w:firstLine="496"/>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（2）工程开工后，监理人应及时建立档案管理机构，明确分管领导、管理部门和</w:t>
      </w:r>
      <w:r>
        <w:rPr>
          <w:rFonts w:ascii="宋体" w:hAnsi="宋体" w:eastAsia="宋体" w:cs="宋体"/>
          <w:color w:val="auto"/>
          <w:spacing w:val="-1"/>
          <w:sz w:val="22"/>
          <w:szCs w:val="22"/>
          <w:highlight w:val="none"/>
        </w:rPr>
        <w:t>配备适应工作需要的档案管理人员，并保持相对稳定。</w:t>
      </w:r>
    </w:p>
    <w:p w14:paraId="10E4CD6F">
      <w:pPr>
        <w:spacing w:line="359" w:lineRule="auto"/>
        <w:ind w:right="133" w:firstLine="496"/>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（3）监理人应监督、指导施工用表、施工原始文件的填写及管理性文件的上报。</w:t>
      </w:r>
    </w:p>
    <w:p w14:paraId="5E1C6A07">
      <w:pPr>
        <w:spacing w:before="1" w:line="219" w:lineRule="auto"/>
        <w:ind w:left="497"/>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w:t>
      </w:r>
      <w:r>
        <w:rPr>
          <w:rFonts w:hint="eastAsia" w:ascii="宋体" w:hAnsi="宋体" w:eastAsia="宋体" w:cs="宋体"/>
          <w:color w:val="auto"/>
          <w:spacing w:val="-2"/>
          <w:sz w:val="22"/>
          <w:szCs w:val="22"/>
          <w:highlight w:val="none"/>
          <w:lang w:val="en-US" w:eastAsia="zh-CN"/>
        </w:rPr>
        <w:t>4</w:t>
      </w:r>
      <w:r>
        <w:rPr>
          <w:rFonts w:ascii="宋体" w:hAnsi="宋体" w:eastAsia="宋体" w:cs="宋体"/>
          <w:color w:val="auto"/>
          <w:spacing w:val="-2"/>
          <w:sz w:val="22"/>
          <w:szCs w:val="22"/>
          <w:highlight w:val="none"/>
        </w:rPr>
        <w:t>）档案的装具和设施设备应满足档案管理的要求，保证文件材料和档案的安全。</w:t>
      </w:r>
    </w:p>
    <w:p w14:paraId="390493A1">
      <w:pPr>
        <w:spacing w:before="184" w:line="219" w:lineRule="auto"/>
        <w:ind w:left="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lang w:val="en-US" w:eastAsia="zh-CN"/>
        </w:rPr>
        <w:t>5</w:t>
      </w:r>
      <w:r>
        <w:rPr>
          <w:rFonts w:ascii="宋体" w:hAnsi="宋体" w:eastAsia="宋体" w:cs="宋体"/>
          <w:color w:val="auto"/>
          <w:spacing w:val="-1"/>
          <w:sz w:val="22"/>
          <w:szCs w:val="22"/>
          <w:highlight w:val="none"/>
        </w:rPr>
        <w:t>）监理文件的形成应规范、清晰，数据真实、准确。</w:t>
      </w:r>
    </w:p>
    <w:p w14:paraId="22E87F8B">
      <w:pPr>
        <w:spacing w:before="181" w:line="359" w:lineRule="auto"/>
        <w:ind w:left="1" w:right="133" w:firstLine="49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lang w:val="en-US" w:eastAsia="zh-CN"/>
        </w:rPr>
        <w:t>6</w:t>
      </w:r>
      <w:r>
        <w:rPr>
          <w:rFonts w:ascii="宋体" w:hAnsi="宋体" w:eastAsia="宋体" w:cs="宋体"/>
          <w:color w:val="auto"/>
          <w:spacing w:val="1"/>
          <w:sz w:val="22"/>
          <w:szCs w:val="22"/>
          <w:highlight w:val="none"/>
        </w:rPr>
        <w:t>）监理文件应按照交通运输部关于公路建设项目档案的归档范围收集齐全、完</w:t>
      </w:r>
      <w:r>
        <w:rPr>
          <w:rFonts w:ascii="宋体" w:hAnsi="宋体" w:eastAsia="宋体" w:cs="宋体"/>
          <w:color w:val="auto"/>
          <w:spacing w:val="-6"/>
          <w:sz w:val="22"/>
          <w:szCs w:val="22"/>
          <w:highlight w:val="none"/>
        </w:rPr>
        <w:t>整。</w:t>
      </w:r>
    </w:p>
    <w:p w14:paraId="2858B347">
      <w:pPr>
        <w:spacing w:line="359" w:lineRule="auto"/>
        <w:ind w:left="1" w:right="133" w:firstLine="49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lang w:val="en-US" w:eastAsia="zh-CN"/>
        </w:rPr>
        <w:t>7</w:t>
      </w:r>
      <w:r>
        <w:rPr>
          <w:rFonts w:ascii="宋体" w:hAnsi="宋体" w:eastAsia="宋体" w:cs="宋体"/>
          <w:color w:val="auto"/>
          <w:spacing w:val="1"/>
          <w:sz w:val="22"/>
          <w:szCs w:val="22"/>
          <w:highlight w:val="none"/>
        </w:rPr>
        <w:t>）标段交工或项目通车前，监理文件应按照预组卷（除未装订和打页码外，其</w:t>
      </w:r>
      <w:r>
        <w:rPr>
          <w:rFonts w:ascii="宋体" w:hAnsi="宋体" w:eastAsia="宋体" w:cs="宋体"/>
          <w:color w:val="auto"/>
          <w:spacing w:val="-1"/>
          <w:sz w:val="22"/>
          <w:szCs w:val="22"/>
          <w:highlight w:val="none"/>
        </w:rPr>
        <w:t>余同档案专项验收的标准一样）的标准完成。</w:t>
      </w:r>
    </w:p>
    <w:p w14:paraId="0FAE61B5">
      <w:pPr>
        <w:spacing w:line="359" w:lineRule="auto"/>
        <w:ind w:right="133" w:firstLine="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lang w:val="en-US" w:eastAsia="zh-CN"/>
        </w:rPr>
        <w:t>8</w:t>
      </w:r>
      <w:r>
        <w:rPr>
          <w:rFonts w:ascii="宋体" w:hAnsi="宋体" w:eastAsia="宋体" w:cs="宋体"/>
          <w:color w:val="auto"/>
          <w:spacing w:val="1"/>
          <w:sz w:val="22"/>
          <w:szCs w:val="22"/>
          <w:highlight w:val="none"/>
        </w:rPr>
        <w:t>）项目交工或通车前，监理人应对各标段施工文件、对应中心试验室移交的试</w:t>
      </w:r>
      <w:r>
        <w:rPr>
          <w:rFonts w:ascii="宋体" w:hAnsi="宋体" w:eastAsia="宋体" w:cs="宋体"/>
          <w:color w:val="auto"/>
          <w:sz w:val="22"/>
          <w:szCs w:val="22"/>
          <w:highlight w:val="none"/>
        </w:rPr>
        <w:t>验检测资料的完整、准确、系统性进行检查，</w:t>
      </w:r>
      <w:r>
        <w:rPr>
          <w:rFonts w:ascii="宋体" w:hAnsi="宋体" w:eastAsia="宋体" w:cs="宋体"/>
          <w:color w:val="auto"/>
          <w:spacing w:val="-1"/>
          <w:sz w:val="22"/>
          <w:szCs w:val="22"/>
          <w:highlight w:val="none"/>
        </w:rPr>
        <w:t>并形成书面评价意见。</w:t>
      </w:r>
    </w:p>
    <w:p w14:paraId="17EA7985">
      <w:pPr>
        <w:spacing w:before="1" w:line="359" w:lineRule="auto"/>
        <w:ind w:left="3" w:right="130" w:firstLine="481"/>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试验检测资料（验收试验等用于分部分项工程质量评</w:t>
      </w:r>
      <w:r>
        <w:rPr>
          <w:rFonts w:ascii="宋体" w:hAnsi="宋体" w:eastAsia="宋体" w:cs="宋体"/>
          <w:color w:val="auto"/>
          <w:spacing w:val="3"/>
          <w:sz w:val="22"/>
          <w:szCs w:val="22"/>
          <w:highlight w:val="none"/>
        </w:rPr>
        <w:t>定资料等）</w:t>
      </w:r>
      <w:r>
        <w:rPr>
          <w:rFonts w:ascii="宋体" w:hAnsi="宋体" w:eastAsia="宋体" w:cs="宋体"/>
          <w:color w:val="auto"/>
          <w:spacing w:val="-69"/>
          <w:sz w:val="22"/>
          <w:szCs w:val="22"/>
          <w:highlight w:val="none"/>
        </w:rPr>
        <w:t xml:space="preserve"> </w:t>
      </w:r>
      <w:r>
        <w:rPr>
          <w:rFonts w:ascii="宋体" w:hAnsi="宋体" w:eastAsia="宋体" w:cs="宋体"/>
          <w:color w:val="auto"/>
          <w:spacing w:val="3"/>
          <w:sz w:val="22"/>
          <w:szCs w:val="22"/>
          <w:highlight w:val="none"/>
        </w:rPr>
        <w:t>由中心试验室定</w:t>
      </w:r>
      <w:r>
        <w:rPr>
          <w:rFonts w:ascii="宋体" w:hAnsi="宋体" w:eastAsia="宋体" w:cs="宋体"/>
          <w:color w:val="auto"/>
          <w:spacing w:val="-1"/>
          <w:sz w:val="22"/>
          <w:szCs w:val="22"/>
          <w:highlight w:val="none"/>
        </w:rPr>
        <w:t>期向监理人提交，由监理人负责整理、归档。</w:t>
      </w:r>
    </w:p>
    <w:p w14:paraId="507347EF">
      <w:pPr>
        <w:spacing w:before="1" w:line="359" w:lineRule="auto"/>
        <w:ind w:right="133" w:firstLine="496"/>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w:t>
      </w:r>
      <w:r>
        <w:rPr>
          <w:rFonts w:hint="eastAsia" w:ascii="宋体" w:hAnsi="宋体" w:eastAsia="宋体" w:cs="宋体"/>
          <w:color w:val="auto"/>
          <w:spacing w:val="5"/>
          <w:sz w:val="22"/>
          <w:szCs w:val="22"/>
          <w:highlight w:val="none"/>
          <w:lang w:val="en-US" w:eastAsia="zh-CN"/>
        </w:rPr>
        <w:t>9</w:t>
      </w:r>
      <w:r>
        <w:rPr>
          <w:rFonts w:ascii="宋体" w:hAnsi="宋体" w:eastAsia="宋体" w:cs="宋体"/>
          <w:color w:val="auto"/>
          <w:spacing w:val="5"/>
          <w:sz w:val="22"/>
          <w:szCs w:val="22"/>
          <w:highlight w:val="none"/>
        </w:rPr>
        <w:t>）项目交工或通车6个月内，监理文件应按</w:t>
      </w:r>
      <w:r>
        <w:rPr>
          <w:rFonts w:ascii="宋体" w:hAnsi="宋体" w:eastAsia="宋体" w:cs="宋体"/>
          <w:color w:val="auto"/>
          <w:spacing w:val="4"/>
          <w:sz w:val="22"/>
          <w:szCs w:val="22"/>
          <w:highlight w:val="none"/>
        </w:rPr>
        <w:t>照国家科技档案的标准和交通运输</w:t>
      </w:r>
      <w:r>
        <w:rPr>
          <w:rFonts w:ascii="宋体" w:hAnsi="宋体" w:eastAsia="宋体" w:cs="宋体"/>
          <w:color w:val="auto"/>
          <w:spacing w:val="5"/>
          <w:sz w:val="22"/>
          <w:szCs w:val="22"/>
          <w:highlight w:val="none"/>
        </w:rPr>
        <w:t>部规定的归档范围，全部完成组卷和编目。经委托人单位组织检查验收后，</w:t>
      </w:r>
      <w:r>
        <w:rPr>
          <w:rFonts w:ascii="宋体" w:hAnsi="宋体" w:eastAsia="宋体" w:cs="宋体"/>
          <w:color w:val="auto"/>
          <w:spacing w:val="4"/>
          <w:sz w:val="22"/>
          <w:szCs w:val="22"/>
          <w:highlight w:val="none"/>
        </w:rPr>
        <w:t>移交给委</w:t>
      </w:r>
      <w:r>
        <w:rPr>
          <w:rFonts w:ascii="宋体" w:hAnsi="宋体" w:eastAsia="宋体" w:cs="宋体"/>
          <w:color w:val="auto"/>
          <w:spacing w:val="-4"/>
          <w:sz w:val="22"/>
          <w:szCs w:val="22"/>
          <w:highlight w:val="none"/>
        </w:rPr>
        <w:t>托人。</w:t>
      </w:r>
    </w:p>
    <w:p w14:paraId="3759C95E">
      <w:pPr>
        <w:spacing w:line="359" w:lineRule="auto"/>
        <w:ind w:left="46" w:right="133" w:firstLine="45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w:t>
      </w:r>
      <w:r>
        <w:rPr>
          <w:rFonts w:hint="eastAsia" w:ascii="宋体" w:hAnsi="宋体" w:eastAsia="宋体" w:cs="宋体"/>
          <w:color w:val="auto"/>
          <w:spacing w:val="1"/>
          <w:sz w:val="22"/>
          <w:szCs w:val="22"/>
          <w:highlight w:val="none"/>
          <w:lang w:val="en-US" w:eastAsia="zh-CN"/>
        </w:rPr>
        <w:t>10</w:t>
      </w:r>
      <w:r>
        <w:rPr>
          <w:rFonts w:ascii="宋体" w:hAnsi="宋体" w:eastAsia="宋体" w:cs="宋体"/>
          <w:color w:val="auto"/>
          <w:spacing w:val="1"/>
          <w:sz w:val="22"/>
          <w:szCs w:val="22"/>
          <w:highlight w:val="none"/>
        </w:rPr>
        <w:t>）如监理人因竣工文件未按时完成或质量问题影响到本项目的交工验收以及项</w:t>
      </w:r>
      <w:r>
        <w:rPr>
          <w:rFonts w:ascii="宋体" w:hAnsi="宋体" w:eastAsia="宋体" w:cs="宋体"/>
          <w:color w:val="auto"/>
          <w:spacing w:val="-2"/>
          <w:sz w:val="22"/>
          <w:szCs w:val="22"/>
          <w:highlight w:val="none"/>
        </w:rPr>
        <w:t>目档案专项验收，委托人有权视情节轻重从监理费或履约保函中扣除相关的费用。</w:t>
      </w:r>
    </w:p>
    <w:p w14:paraId="111693D7">
      <w:pPr>
        <w:spacing w:line="359" w:lineRule="auto"/>
        <w:ind w:right="133" w:firstLine="496"/>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（1</w:t>
      </w:r>
      <w:r>
        <w:rPr>
          <w:rFonts w:hint="eastAsia" w:ascii="宋体" w:hAnsi="宋体" w:eastAsia="宋体" w:cs="宋体"/>
          <w:color w:val="auto"/>
          <w:spacing w:val="5"/>
          <w:sz w:val="22"/>
          <w:szCs w:val="22"/>
          <w:highlight w:val="none"/>
          <w:lang w:val="en-US" w:eastAsia="zh-CN"/>
        </w:rPr>
        <w:t>1</w:t>
      </w:r>
      <w:r>
        <w:rPr>
          <w:rFonts w:ascii="宋体" w:hAnsi="宋体" w:eastAsia="宋体" w:cs="宋体"/>
          <w:color w:val="auto"/>
          <w:spacing w:val="5"/>
          <w:sz w:val="22"/>
          <w:szCs w:val="22"/>
          <w:highlight w:val="none"/>
        </w:rPr>
        <w:t>）监理人应全面核查施工承包人动态汇总</w:t>
      </w:r>
      <w:r>
        <w:rPr>
          <w:rFonts w:ascii="宋体" w:hAnsi="宋体" w:eastAsia="宋体" w:cs="宋体"/>
          <w:color w:val="auto"/>
          <w:spacing w:val="4"/>
          <w:sz w:val="22"/>
          <w:szCs w:val="22"/>
          <w:highlight w:val="none"/>
        </w:rPr>
        <w:t>修编的图纸和竣工图，图纸成果质</w:t>
      </w:r>
      <w:r>
        <w:rPr>
          <w:rFonts w:ascii="宋体" w:hAnsi="宋体" w:eastAsia="宋体" w:cs="宋体"/>
          <w:color w:val="auto"/>
          <w:spacing w:val="-1"/>
          <w:sz w:val="22"/>
          <w:szCs w:val="22"/>
          <w:highlight w:val="none"/>
        </w:rPr>
        <w:t>量应符合主要施工合同的造价数据链文件编制要求和闭合。</w:t>
      </w:r>
    </w:p>
    <w:p w14:paraId="5256DB18">
      <w:pPr>
        <w:spacing w:before="1" w:line="219" w:lineRule="auto"/>
        <w:ind w:left="503"/>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13.5监理人驻地（含总监办、监理驻地</w:t>
      </w:r>
      <w:r>
        <w:rPr>
          <w:rFonts w:ascii="宋体" w:hAnsi="宋体" w:eastAsia="宋体" w:cs="宋体"/>
          <w:b/>
          <w:bCs/>
          <w:color w:val="auto"/>
          <w:spacing w:val="-4"/>
          <w:sz w:val="24"/>
          <w:szCs w:val="24"/>
          <w:highlight w:val="none"/>
        </w:rPr>
        <w:t>办）</w:t>
      </w:r>
    </w:p>
    <w:p w14:paraId="3EDB6C06">
      <w:pPr>
        <w:spacing w:line="219" w:lineRule="auto"/>
        <w:rPr>
          <w:rFonts w:ascii="宋体" w:hAnsi="宋体" w:eastAsia="宋体" w:cs="宋体"/>
          <w:color w:val="auto"/>
          <w:sz w:val="24"/>
          <w:szCs w:val="24"/>
          <w:highlight w:val="none"/>
        </w:rPr>
      </w:pPr>
    </w:p>
    <w:p w14:paraId="6F5194C1">
      <w:pPr>
        <w:spacing w:before="78" w:line="359" w:lineRule="auto"/>
        <w:ind w:left="1"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（1）监理人不得以任何形式接受施工单位租借的场所作为驻地，也不得与施工单</w:t>
      </w:r>
      <w:r>
        <w:rPr>
          <w:rFonts w:ascii="宋体" w:hAnsi="宋体" w:eastAsia="宋体" w:cs="宋体"/>
          <w:color w:val="auto"/>
          <w:spacing w:val="-3"/>
          <w:sz w:val="22"/>
          <w:szCs w:val="22"/>
          <w:highlight w:val="none"/>
        </w:rPr>
        <w:t>位共租。</w:t>
      </w:r>
    </w:p>
    <w:p w14:paraId="445EEEDE">
      <w:pPr>
        <w:spacing w:line="359" w:lineRule="auto"/>
        <w:ind w:left="5"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（2）有条件的情况下，委托人可为监理人选择驻地，以便三方协调沟通，驻地建</w:t>
      </w:r>
      <w:r>
        <w:rPr>
          <w:rFonts w:ascii="宋体" w:hAnsi="宋体" w:eastAsia="宋体" w:cs="宋体"/>
          <w:color w:val="auto"/>
          <w:spacing w:val="-1"/>
          <w:sz w:val="22"/>
          <w:szCs w:val="22"/>
          <w:highlight w:val="none"/>
        </w:rPr>
        <w:t>设装修、租金、水电及其他相关费用由各方按使用面积分担或协商确定。</w:t>
      </w:r>
    </w:p>
    <w:p w14:paraId="232E8542">
      <w:pPr>
        <w:spacing w:line="219" w:lineRule="auto"/>
        <w:ind w:left="504"/>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13.6监理人与中心试验室试验检测服务工程质量监管职责</w:t>
      </w:r>
    </w:p>
    <w:p w14:paraId="4A4AEF4D">
      <w:pPr>
        <w:spacing w:before="180" w:line="359" w:lineRule="auto"/>
        <w:ind w:firstLine="488"/>
        <w:jc w:val="both"/>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按照“整体效率最优、专业人做专业事</w:t>
      </w:r>
      <w:r>
        <w:rPr>
          <w:rFonts w:ascii="宋体" w:hAnsi="宋体" w:eastAsia="宋体" w:cs="宋体"/>
          <w:color w:val="auto"/>
          <w:spacing w:val="-81"/>
          <w:sz w:val="22"/>
          <w:szCs w:val="22"/>
          <w:highlight w:val="none"/>
        </w:rPr>
        <w:t xml:space="preserve"> </w:t>
      </w:r>
      <w:r>
        <w:rPr>
          <w:rFonts w:ascii="宋体" w:hAnsi="宋体" w:eastAsia="宋体" w:cs="宋体"/>
          <w:color w:val="auto"/>
          <w:spacing w:val="4"/>
          <w:sz w:val="22"/>
          <w:szCs w:val="22"/>
          <w:highlight w:val="none"/>
        </w:rPr>
        <w:t>”的原则，优化调整工作界面</w:t>
      </w:r>
      <w:r>
        <w:rPr>
          <w:rFonts w:ascii="宋体" w:hAnsi="宋体" w:eastAsia="宋体" w:cs="宋体"/>
          <w:color w:val="auto"/>
          <w:spacing w:val="3"/>
          <w:sz w:val="22"/>
          <w:szCs w:val="22"/>
          <w:highlight w:val="none"/>
        </w:rPr>
        <w:t>，明确中心</w:t>
      </w:r>
      <w:r>
        <w:rPr>
          <w:rFonts w:ascii="宋体" w:hAnsi="宋体" w:eastAsia="宋体" w:cs="宋体"/>
          <w:color w:val="auto"/>
          <w:spacing w:val="5"/>
          <w:sz w:val="22"/>
          <w:szCs w:val="22"/>
          <w:highlight w:val="none"/>
        </w:rPr>
        <w:t>试验室为工地试验室的主要监督管理单位；改变只对来样负责，在原材料管理、</w:t>
      </w:r>
      <w:r>
        <w:rPr>
          <w:rFonts w:ascii="宋体" w:hAnsi="宋体" w:eastAsia="宋体" w:cs="宋体"/>
          <w:color w:val="auto"/>
          <w:spacing w:val="4"/>
          <w:sz w:val="22"/>
          <w:szCs w:val="22"/>
          <w:highlight w:val="none"/>
        </w:rPr>
        <w:t>取样</w:t>
      </w:r>
      <w:r>
        <w:rPr>
          <w:rFonts w:ascii="宋体" w:hAnsi="宋体" w:eastAsia="宋体" w:cs="宋体"/>
          <w:color w:val="auto"/>
          <w:spacing w:val="5"/>
          <w:sz w:val="22"/>
          <w:szCs w:val="22"/>
          <w:highlight w:val="none"/>
        </w:rPr>
        <w:t>送样、成品检测等方面赋予中心试验室全过程管理责权，提高监管效率，故在此</w:t>
      </w:r>
      <w:r>
        <w:rPr>
          <w:rFonts w:ascii="宋体" w:hAnsi="宋体" w:eastAsia="宋体" w:cs="宋体"/>
          <w:color w:val="auto"/>
          <w:spacing w:val="4"/>
          <w:sz w:val="22"/>
          <w:szCs w:val="22"/>
          <w:highlight w:val="none"/>
        </w:rPr>
        <w:t>对监</w:t>
      </w:r>
      <w:r>
        <w:rPr>
          <w:rFonts w:ascii="宋体" w:hAnsi="宋体" w:eastAsia="宋体" w:cs="宋体"/>
          <w:color w:val="auto"/>
          <w:sz w:val="22"/>
          <w:szCs w:val="22"/>
          <w:highlight w:val="none"/>
        </w:rPr>
        <w:t>理单位与中心试验室试验检测服务单位的工程质量监管职</w:t>
      </w:r>
      <w:r>
        <w:rPr>
          <w:rFonts w:ascii="宋体" w:hAnsi="宋体" w:eastAsia="宋体" w:cs="宋体"/>
          <w:color w:val="auto"/>
          <w:spacing w:val="-1"/>
          <w:sz w:val="22"/>
          <w:szCs w:val="22"/>
          <w:highlight w:val="none"/>
        </w:rPr>
        <w:t>责特进行明确如下：</w:t>
      </w:r>
    </w:p>
    <w:p w14:paraId="0FA2D460">
      <w:pPr>
        <w:spacing w:line="219" w:lineRule="auto"/>
        <w:ind w:left="504"/>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13.6.1监理人与中心试验室在试验检测方面的工作</w:t>
      </w:r>
      <w:r>
        <w:rPr>
          <w:rFonts w:ascii="宋体" w:hAnsi="宋体" w:eastAsia="宋体" w:cs="宋体"/>
          <w:color w:val="auto"/>
          <w:spacing w:val="-2"/>
          <w:sz w:val="22"/>
          <w:szCs w:val="22"/>
          <w:highlight w:val="none"/>
        </w:rPr>
        <w:t>关系</w:t>
      </w:r>
    </w:p>
    <w:p w14:paraId="74376E81">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（1）监理人和中心试验室同属建设单位的委托机构并对建设单位负责，接受建设单位的监督和管理。 </w:t>
      </w:r>
    </w:p>
    <w:p w14:paraId="2090C86D">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（1.1）监理人可不自行组建中心试验室，本合同约定的全部试验检测工作，监理人可通过委托具备相应资质的第三方试验检测机构完成。</w:t>
      </w:r>
    </w:p>
    <w:p w14:paraId="3696F0A1">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（1.2）监理人对外委检测工作的全过程负监督管理责任，包括但不限于：检测机构的选择与考察、见证取样送检、检测过程的监督、检测报告的审核与确认。</w:t>
      </w:r>
    </w:p>
    <w:p w14:paraId="152462EF">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（1.3）监理人应建立外委试验管理台账，并定期向建设单位报送外委检测工作情况。</w:t>
      </w:r>
    </w:p>
    <w:p w14:paraId="5474A557">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（1.4）因外委检测机构的数据失实、弄虚作假等原因导致工程质量问题或损失的，监理人应首 先向建设单位承担责任，再依据其与检测机构的合同进行追偿。</w:t>
      </w:r>
    </w:p>
    <w:p w14:paraId="4DB5CD50">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（1.5）本合同总价已包含监理人完成全部试验检测工作(含外委检测)所需的一切费用，监理人应负责与选定的第三方检测机构结算并支付相关费用。</w:t>
      </w:r>
    </w:p>
    <w:p w14:paraId="6A4206E7">
      <w:pPr>
        <w:spacing w:before="180" w:line="336" w:lineRule="auto"/>
        <w:ind w:firstLine="4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（2）总监理工程师办公室(以下简称“总监办”， 本“总监办”含监理驻地办)和中心试验室是委托人委托的两家法人单位的现场派出机构，在委托人合同授权范围内对共同管辖的施工合同段履行工程质量监管职责，在工作中既要严格遵守合同，坚持原则，又要沟通协调、互相配合，不得相互推诿。中心试验室以试验检测工作为主配合总监办做好工程质量监管工作，独立完成合同规定的试验检测任务。</w:t>
      </w:r>
    </w:p>
    <w:p w14:paraId="340F6526">
      <w:pPr>
        <w:spacing w:before="183" w:line="219" w:lineRule="auto"/>
        <w:ind w:left="49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（3）总监办与中心试验室工作界面划分</w:t>
      </w:r>
    </w:p>
    <w:p w14:paraId="491809EB">
      <w:pPr>
        <w:spacing w:before="183" w:line="219" w:lineRule="auto"/>
        <w:ind w:left="479"/>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A.中心试验室的试验检测工作范围</w:t>
      </w:r>
    </w:p>
    <w:p w14:paraId="053B95E4">
      <w:pPr>
        <w:spacing w:before="182" w:line="359" w:lineRule="auto"/>
        <w:ind w:left="1" w:firstLine="485"/>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a.承担按《公路工程施工监理规范》、《公路工程质量检验评定标准</w:t>
      </w:r>
      <w:r>
        <w:rPr>
          <w:rFonts w:ascii="宋体" w:hAnsi="宋体" w:eastAsia="宋体" w:cs="宋体"/>
          <w:color w:val="auto"/>
          <w:spacing w:val="4"/>
          <w:sz w:val="22"/>
          <w:szCs w:val="22"/>
          <w:highlight w:val="none"/>
        </w:rPr>
        <w:t>》规定的验</w:t>
      </w:r>
      <w:r>
        <w:rPr>
          <w:rFonts w:ascii="宋体" w:hAnsi="宋体" w:eastAsia="宋体" w:cs="宋体"/>
          <w:color w:val="auto"/>
          <w:spacing w:val="5"/>
          <w:sz w:val="22"/>
          <w:szCs w:val="22"/>
          <w:highlight w:val="none"/>
        </w:rPr>
        <w:t>证试验、室内试验、标准试验、抽样试验、验收试验等工作的取（采）样和</w:t>
      </w:r>
      <w:r>
        <w:rPr>
          <w:rFonts w:ascii="宋体" w:hAnsi="宋体" w:eastAsia="宋体" w:cs="宋体"/>
          <w:color w:val="auto"/>
          <w:spacing w:val="4"/>
          <w:sz w:val="22"/>
          <w:szCs w:val="22"/>
          <w:highlight w:val="none"/>
        </w:rPr>
        <w:t>试验并出</w:t>
      </w:r>
      <w:r>
        <w:rPr>
          <w:rFonts w:ascii="宋体" w:hAnsi="宋体" w:eastAsia="宋体" w:cs="宋体"/>
          <w:color w:val="auto"/>
          <w:spacing w:val="-1"/>
          <w:sz w:val="22"/>
          <w:szCs w:val="22"/>
          <w:highlight w:val="none"/>
        </w:rPr>
        <w:t>具试验报告，并对其真实性负责。</w:t>
      </w:r>
    </w:p>
    <w:p w14:paraId="19F1357D">
      <w:pPr>
        <w:spacing w:line="359" w:lineRule="auto"/>
        <w:ind w:left="1" w:firstLine="476"/>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b．代表委托人对原材料、构配件、实体工程质量进行抽检，以及</w:t>
      </w:r>
      <w:r>
        <w:rPr>
          <w:rFonts w:ascii="宋体" w:hAnsi="宋体" w:eastAsia="宋体" w:cs="宋体"/>
          <w:color w:val="auto"/>
          <w:spacing w:val="1"/>
          <w:sz w:val="22"/>
          <w:szCs w:val="22"/>
          <w:highlight w:val="none"/>
        </w:rPr>
        <w:t>委托人组织的质</w:t>
      </w:r>
      <w:r>
        <w:rPr>
          <w:rFonts w:ascii="宋体" w:hAnsi="宋体" w:eastAsia="宋体" w:cs="宋体"/>
          <w:color w:val="auto"/>
          <w:spacing w:val="-1"/>
          <w:sz w:val="22"/>
          <w:szCs w:val="22"/>
          <w:highlight w:val="none"/>
        </w:rPr>
        <w:t>量大检查过程中需进行的试验检测工作。</w:t>
      </w:r>
    </w:p>
    <w:p w14:paraId="0C6E213D">
      <w:pPr>
        <w:spacing w:before="1" w:line="218" w:lineRule="auto"/>
        <w:ind w:left="486"/>
        <w:rPr>
          <w:rFonts w:ascii="宋体" w:hAnsi="宋体" w:eastAsia="宋体" w:cs="宋体"/>
          <w:color w:val="auto"/>
          <w:sz w:val="22"/>
          <w:szCs w:val="22"/>
          <w:highlight w:val="none"/>
        </w:rPr>
      </w:pPr>
      <w:r>
        <w:rPr>
          <w:rFonts w:ascii="宋体" w:hAnsi="宋体" w:eastAsia="宋体" w:cs="宋体"/>
          <w:color w:val="auto"/>
          <w:sz w:val="22"/>
          <w:szCs w:val="22"/>
          <w:highlight w:val="none"/>
        </w:rPr>
        <w:t>c．承担原材料和混凝土、砂浆、压浆浆液等</w:t>
      </w:r>
      <w:r>
        <w:rPr>
          <w:rFonts w:ascii="宋体" w:hAnsi="宋体" w:eastAsia="宋体" w:cs="宋体"/>
          <w:color w:val="auto"/>
          <w:spacing w:val="-1"/>
          <w:sz w:val="22"/>
          <w:szCs w:val="22"/>
          <w:highlight w:val="none"/>
        </w:rPr>
        <w:t>现场试件的取样、送样及试验工作。</w:t>
      </w:r>
    </w:p>
    <w:p w14:paraId="17E05189">
      <w:pPr>
        <w:spacing w:before="182" w:line="359" w:lineRule="auto"/>
        <w:ind w:left="2" w:firstLine="48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d.负责完成委托人组织的优质优价评比及质量检查时的混凝土回弹强度</w:t>
      </w:r>
      <w:r>
        <w:rPr>
          <w:rFonts w:ascii="宋体" w:hAnsi="宋体" w:eastAsia="宋体" w:cs="宋体"/>
          <w:color w:val="auto"/>
          <w:spacing w:val="4"/>
          <w:sz w:val="22"/>
          <w:szCs w:val="22"/>
          <w:highlight w:val="none"/>
        </w:rPr>
        <w:t>及钢筋保</w:t>
      </w:r>
      <w:r>
        <w:rPr>
          <w:rFonts w:ascii="宋体" w:hAnsi="宋体" w:eastAsia="宋体" w:cs="宋体"/>
          <w:color w:val="auto"/>
          <w:sz w:val="22"/>
          <w:szCs w:val="22"/>
          <w:highlight w:val="none"/>
        </w:rPr>
        <w:t>护层试验检测并及时出具试验检测报告，以作为质量</w:t>
      </w:r>
      <w:r>
        <w:rPr>
          <w:rFonts w:ascii="宋体" w:hAnsi="宋体" w:eastAsia="宋体" w:cs="宋体"/>
          <w:color w:val="auto"/>
          <w:spacing w:val="-1"/>
          <w:sz w:val="22"/>
          <w:szCs w:val="22"/>
          <w:highlight w:val="none"/>
        </w:rPr>
        <w:t>评比检查依据及质检资料。</w:t>
      </w:r>
    </w:p>
    <w:p w14:paraId="6340F29C">
      <w:pPr>
        <w:spacing w:before="1" w:line="218" w:lineRule="auto"/>
        <w:ind w:left="487"/>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e．完成委托人及质量监督机构安排的其他试验检测任务。</w:t>
      </w:r>
    </w:p>
    <w:p w14:paraId="791F2643">
      <w:pPr>
        <w:spacing w:before="181" w:line="359" w:lineRule="auto"/>
        <w:ind w:right="125" w:firstLine="483"/>
        <w:rPr>
          <w:rFonts w:ascii="宋体" w:hAnsi="宋体" w:eastAsia="宋体" w:cs="宋体"/>
          <w:color w:val="auto"/>
          <w:spacing w:val="5"/>
          <w:sz w:val="22"/>
          <w:szCs w:val="22"/>
          <w:highlight w:val="none"/>
        </w:rPr>
      </w:pPr>
      <w:r>
        <w:rPr>
          <w:rFonts w:ascii="宋体" w:hAnsi="宋体" w:eastAsia="宋体" w:cs="宋体"/>
          <w:color w:val="auto"/>
          <w:spacing w:val="5"/>
          <w:sz w:val="22"/>
          <w:szCs w:val="22"/>
          <w:highlight w:val="none"/>
        </w:rPr>
        <w:t>f.审查和批准施工单位对外委托的检测单位，报委托人备案。施工单位有外委试验检测，中心试验室应派员参加取样、送样的见证工作。</w:t>
      </w:r>
    </w:p>
    <w:p w14:paraId="4C65A067">
      <w:pPr>
        <w:spacing w:before="181" w:line="359" w:lineRule="auto"/>
        <w:ind w:right="125" w:firstLine="48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g.负责督促施工准备阶段施工单位工地试验室的建设和审查试验室认定材</w:t>
      </w:r>
      <w:r>
        <w:rPr>
          <w:rFonts w:ascii="宋体" w:hAnsi="宋体" w:eastAsia="宋体" w:cs="宋体"/>
          <w:color w:val="auto"/>
          <w:spacing w:val="4"/>
          <w:sz w:val="22"/>
          <w:szCs w:val="22"/>
          <w:highlight w:val="none"/>
        </w:rPr>
        <w:t>料，配</w:t>
      </w:r>
      <w:r>
        <w:rPr>
          <w:rFonts w:ascii="宋体" w:hAnsi="宋体" w:eastAsia="宋体" w:cs="宋体"/>
          <w:color w:val="auto"/>
          <w:spacing w:val="5"/>
          <w:sz w:val="22"/>
          <w:szCs w:val="22"/>
          <w:highlight w:val="none"/>
        </w:rPr>
        <w:t>合委托人组织做好施工单位工地试验室临时资质的考核工作；负责检查施工</w:t>
      </w:r>
      <w:r>
        <w:rPr>
          <w:rFonts w:ascii="宋体" w:hAnsi="宋体" w:eastAsia="宋体" w:cs="宋体"/>
          <w:color w:val="auto"/>
          <w:spacing w:val="4"/>
          <w:sz w:val="22"/>
          <w:szCs w:val="22"/>
          <w:highlight w:val="none"/>
        </w:rPr>
        <w:t>单位工地</w:t>
      </w:r>
      <w:r>
        <w:rPr>
          <w:rFonts w:ascii="宋体" w:hAnsi="宋体" w:eastAsia="宋体" w:cs="宋体"/>
          <w:color w:val="auto"/>
          <w:spacing w:val="5"/>
          <w:sz w:val="22"/>
          <w:szCs w:val="22"/>
          <w:highlight w:val="none"/>
        </w:rPr>
        <w:t>试验室的试验管理工作，不定期检查其试验室，核查试验室仪器设备完好情</w:t>
      </w:r>
      <w:r>
        <w:rPr>
          <w:rFonts w:ascii="宋体" w:hAnsi="宋体" w:eastAsia="宋体" w:cs="宋体"/>
          <w:color w:val="auto"/>
          <w:spacing w:val="4"/>
          <w:sz w:val="22"/>
          <w:szCs w:val="22"/>
          <w:highlight w:val="none"/>
        </w:rPr>
        <w:t>况、标定</w:t>
      </w:r>
      <w:r>
        <w:rPr>
          <w:rFonts w:ascii="宋体" w:hAnsi="宋体" w:eastAsia="宋体" w:cs="宋体"/>
          <w:color w:val="auto"/>
          <w:spacing w:val="5"/>
          <w:sz w:val="22"/>
          <w:szCs w:val="22"/>
          <w:highlight w:val="none"/>
        </w:rPr>
        <w:t>情况以及人员变更情况，并有权要求施工单位增加中心试验室试验检测服务单位</w:t>
      </w:r>
      <w:r>
        <w:rPr>
          <w:rFonts w:ascii="宋体" w:hAnsi="宋体" w:eastAsia="宋体" w:cs="宋体"/>
          <w:color w:val="auto"/>
          <w:spacing w:val="4"/>
          <w:sz w:val="22"/>
          <w:szCs w:val="22"/>
          <w:highlight w:val="none"/>
        </w:rPr>
        <w:t>员、</w:t>
      </w:r>
      <w:r>
        <w:rPr>
          <w:rFonts w:ascii="宋体" w:hAnsi="宋体" w:eastAsia="宋体" w:cs="宋体"/>
          <w:color w:val="auto"/>
          <w:spacing w:val="5"/>
          <w:sz w:val="22"/>
          <w:szCs w:val="22"/>
          <w:highlight w:val="none"/>
        </w:rPr>
        <w:t>更换不称职的中心试验室试验检测服务单位人员和配备足够的试验仪器、设备等</w:t>
      </w:r>
      <w:r>
        <w:rPr>
          <w:rFonts w:ascii="宋体" w:hAnsi="宋体" w:eastAsia="宋体" w:cs="宋体"/>
          <w:color w:val="auto"/>
          <w:spacing w:val="4"/>
          <w:sz w:val="22"/>
          <w:szCs w:val="22"/>
          <w:highlight w:val="none"/>
        </w:rPr>
        <w:t>，必</w:t>
      </w:r>
      <w:r>
        <w:rPr>
          <w:rFonts w:ascii="宋体" w:hAnsi="宋体" w:eastAsia="宋体" w:cs="宋体"/>
          <w:color w:val="auto"/>
          <w:spacing w:val="-1"/>
          <w:sz w:val="22"/>
          <w:szCs w:val="22"/>
          <w:highlight w:val="none"/>
        </w:rPr>
        <w:t>要情况下向委托人汇报。</w:t>
      </w:r>
    </w:p>
    <w:p w14:paraId="2432B708">
      <w:pPr>
        <w:spacing w:line="219" w:lineRule="auto"/>
        <w:ind w:left="47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h. 协助委托人完成交工各项试验检测工作。</w:t>
      </w:r>
    </w:p>
    <w:p w14:paraId="678E091D">
      <w:pPr>
        <w:spacing w:before="183" w:line="219" w:lineRule="auto"/>
        <w:ind w:left="475"/>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B.</w:t>
      </w:r>
      <w:r>
        <w:rPr>
          <w:rFonts w:ascii="宋体" w:hAnsi="宋体" w:eastAsia="宋体" w:cs="宋体"/>
          <w:color w:val="auto"/>
          <w:spacing w:val="-2"/>
          <w:sz w:val="24"/>
          <w:szCs w:val="24"/>
          <w:highlight w:val="none"/>
        </w:rPr>
        <w:t xml:space="preserve"> </w:t>
      </w:r>
      <w:r>
        <w:rPr>
          <w:rFonts w:ascii="宋体" w:hAnsi="宋体" w:eastAsia="宋体" w:cs="宋体"/>
          <w:b/>
          <w:bCs/>
          <w:color w:val="auto"/>
          <w:spacing w:val="-2"/>
          <w:sz w:val="24"/>
          <w:szCs w:val="24"/>
          <w:highlight w:val="none"/>
        </w:rPr>
        <w:t>总监办监理工程师工作范围</w:t>
      </w:r>
    </w:p>
    <w:p w14:paraId="09A76B93">
      <w:pPr>
        <w:spacing w:before="180" w:line="359" w:lineRule="auto"/>
        <w:ind w:left="46" w:right="128" w:firstLine="44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总监办进行中心试验室工作范围外以及为加强现场质量控制所进行的试验检测项</w:t>
      </w:r>
      <w:r>
        <w:rPr>
          <w:rFonts w:ascii="宋体" w:hAnsi="宋体" w:eastAsia="宋体" w:cs="宋体"/>
          <w:color w:val="auto"/>
          <w:spacing w:val="-7"/>
          <w:sz w:val="22"/>
          <w:szCs w:val="22"/>
          <w:highlight w:val="none"/>
        </w:rPr>
        <w:t>目，包括但不限于：</w:t>
      </w:r>
    </w:p>
    <w:p w14:paraId="114F9490">
      <w:pPr>
        <w:spacing w:before="1" w:line="359" w:lineRule="auto"/>
        <w:ind w:left="2" w:right="125" w:firstLine="479"/>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a.对基准点引出的工程控制桩进行复测，对施工放线的路线平面控制点、各种结</w:t>
      </w:r>
      <w:r>
        <w:rPr>
          <w:rFonts w:ascii="宋体" w:hAnsi="宋体" w:eastAsia="宋体" w:cs="宋体"/>
          <w:color w:val="auto"/>
          <w:sz w:val="22"/>
          <w:szCs w:val="22"/>
          <w:highlight w:val="none"/>
        </w:rPr>
        <w:t>构物定位的轴线控制桩位以及各高程控制点等重点桩位进行</w:t>
      </w:r>
      <w:r>
        <w:rPr>
          <w:rFonts w:ascii="宋体" w:hAnsi="宋体" w:eastAsia="宋体" w:cs="宋体"/>
          <w:color w:val="auto"/>
          <w:spacing w:val="-1"/>
          <w:sz w:val="22"/>
          <w:szCs w:val="22"/>
          <w:highlight w:val="none"/>
        </w:rPr>
        <w:t>不少于</w:t>
      </w:r>
      <w:r>
        <w:rPr>
          <w:rFonts w:ascii="宋体" w:hAnsi="宋体" w:eastAsia="宋体" w:cs="宋体"/>
          <w:color w:val="auto"/>
          <w:spacing w:val="-45"/>
          <w:sz w:val="22"/>
          <w:szCs w:val="22"/>
          <w:highlight w:val="none"/>
        </w:rPr>
        <w:t xml:space="preserve"> </w:t>
      </w:r>
      <w:r>
        <w:rPr>
          <w:rFonts w:ascii="宋体" w:hAnsi="宋体" w:eastAsia="宋体" w:cs="宋体"/>
          <w:color w:val="auto"/>
          <w:spacing w:val="-1"/>
          <w:sz w:val="22"/>
          <w:szCs w:val="22"/>
          <w:highlight w:val="none"/>
        </w:rPr>
        <w:t>30%复测，经复测不符合规定时应要求其重新测设。</w:t>
      </w:r>
    </w:p>
    <w:p w14:paraId="0967EE5E">
      <w:pPr>
        <w:spacing w:line="359" w:lineRule="auto"/>
        <w:ind w:left="7" w:right="128" w:firstLine="469"/>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b.完成《公路工程质量检验评定标准》中规定的测量工作内容包括结构尺寸、标</w:t>
      </w:r>
      <w:r>
        <w:rPr>
          <w:rFonts w:ascii="宋体" w:hAnsi="宋体" w:eastAsia="宋体" w:cs="宋体"/>
          <w:color w:val="auto"/>
          <w:spacing w:val="-6"/>
          <w:sz w:val="22"/>
          <w:szCs w:val="22"/>
          <w:highlight w:val="none"/>
        </w:rPr>
        <w:t>高等；</w:t>
      </w:r>
    </w:p>
    <w:p w14:paraId="382DC0AD">
      <w:pPr>
        <w:spacing w:before="1" w:line="359" w:lineRule="auto"/>
        <w:ind w:left="23" w:right="128" w:firstLine="462"/>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c．完成《公路工程施工监理规范》及《公路</w:t>
      </w:r>
      <w:r>
        <w:rPr>
          <w:rFonts w:ascii="宋体" w:hAnsi="宋体" w:eastAsia="宋体" w:cs="宋体"/>
          <w:color w:val="auto"/>
          <w:spacing w:val="1"/>
          <w:sz w:val="22"/>
          <w:szCs w:val="22"/>
          <w:highlight w:val="none"/>
        </w:rPr>
        <w:t>工程质量检验评定标准》中规定的除</w:t>
      </w:r>
      <w:r>
        <w:rPr>
          <w:rFonts w:ascii="宋体" w:hAnsi="宋体" w:eastAsia="宋体" w:cs="宋体"/>
          <w:color w:val="auto"/>
          <w:spacing w:val="-3"/>
          <w:sz w:val="22"/>
          <w:szCs w:val="22"/>
          <w:highlight w:val="none"/>
        </w:rPr>
        <w:t>中心试验室承担的其他检测内容。</w:t>
      </w:r>
    </w:p>
    <w:p w14:paraId="68691C7E">
      <w:pPr>
        <w:spacing w:line="359" w:lineRule="auto"/>
        <w:ind w:left="6" w:firstLine="479"/>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d．负责《公路工程质量检验评定标准》要</w:t>
      </w:r>
      <w:r>
        <w:rPr>
          <w:rFonts w:ascii="宋体" w:hAnsi="宋体" w:eastAsia="宋体" w:cs="宋体"/>
          <w:color w:val="auto"/>
          <w:spacing w:val="-2"/>
          <w:sz w:val="22"/>
          <w:szCs w:val="22"/>
          <w:highlight w:val="none"/>
        </w:rPr>
        <w:t>求的评定指标以外但直接影响工程质量、</w:t>
      </w:r>
      <w:r>
        <w:rPr>
          <w:rFonts w:ascii="宋体" w:hAnsi="宋体" w:eastAsia="宋体" w:cs="宋体"/>
          <w:color w:val="auto"/>
          <w:spacing w:val="-1"/>
          <w:sz w:val="22"/>
          <w:szCs w:val="22"/>
          <w:highlight w:val="none"/>
        </w:rPr>
        <w:t>结构性能的其他部分质量指标检测任务；</w:t>
      </w:r>
    </w:p>
    <w:p w14:paraId="7B270697">
      <w:pPr>
        <w:spacing w:before="1" w:line="359" w:lineRule="auto"/>
        <w:ind w:right="128" w:firstLine="485"/>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e．监理机构应安排监理人员对合同约定和现行《公路工程施工监理规范》附录</w:t>
      </w:r>
      <w:r>
        <w:rPr>
          <w:rFonts w:ascii="宋体" w:hAnsi="宋体" w:eastAsia="宋体" w:cs="宋体"/>
          <w:color w:val="auto"/>
          <w:spacing w:val="-53"/>
          <w:sz w:val="22"/>
          <w:szCs w:val="22"/>
          <w:highlight w:val="none"/>
        </w:rPr>
        <w:t xml:space="preserve"> </w:t>
      </w:r>
      <w:r>
        <w:rPr>
          <w:rFonts w:ascii="宋体" w:hAnsi="宋体" w:eastAsia="宋体" w:cs="宋体"/>
          <w:color w:val="auto"/>
          <w:spacing w:val="3"/>
          <w:sz w:val="22"/>
          <w:szCs w:val="22"/>
          <w:highlight w:val="none"/>
        </w:rPr>
        <w:t>A</w:t>
      </w:r>
      <w:r>
        <w:rPr>
          <w:rFonts w:ascii="宋体" w:hAnsi="宋体" w:eastAsia="宋体" w:cs="宋体"/>
          <w:color w:val="auto"/>
          <w:spacing w:val="5"/>
          <w:sz w:val="22"/>
          <w:szCs w:val="22"/>
          <w:highlight w:val="none"/>
        </w:rPr>
        <w:t>所列旁站项目的施工过程进行旁站，对主要工程的关键项目进行检测见证，</w:t>
      </w:r>
      <w:r>
        <w:rPr>
          <w:rFonts w:ascii="宋体" w:hAnsi="宋体" w:eastAsia="宋体" w:cs="宋体"/>
          <w:color w:val="auto"/>
          <w:spacing w:val="4"/>
          <w:sz w:val="22"/>
          <w:szCs w:val="22"/>
          <w:highlight w:val="none"/>
        </w:rPr>
        <w:t>并签写旁</w:t>
      </w:r>
      <w:r>
        <w:rPr>
          <w:rFonts w:ascii="宋体" w:hAnsi="宋体" w:eastAsia="宋体" w:cs="宋体"/>
          <w:color w:val="auto"/>
          <w:spacing w:val="-1"/>
          <w:sz w:val="22"/>
          <w:szCs w:val="22"/>
          <w:highlight w:val="none"/>
        </w:rPr>
        <w:t>站记录，签认检测见证结果。</w:t>
      </w:r>
    </w:p>
    <w:p w14:paraId="6D8E4A67">
      <w:pPr>
        <w:spacing w:line="359" w:lineRule="auto"/>
        <w:ind w:left="3" w:right="128" w:firstLine="480"/>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f. 负责施工过程中混凝土质量（坍落度、</w:t>
      </w:r>
      <w:r>
        <w:rPr>
          <w:rFonts w:ascii="宋体" w:hAnsi="宋体" w:eastAsia="宋体" w:cs="宋体"/>
          <w:color w:val="auto"/>
          <w:spacing w:val="1"/>
          <w:sz w:val="22"/>
          <w:szCs w:val="22"/>
          <w:highlight w:val="none"/>
        </w:rPr>
        <w:t>扩展度等）及钢筋保护层厚度的质量检</w:t>
      </w:r>
      <w:r>
        <w:rPr>
          <w:rFonts w:ascii="宋体" w:hAnsi="宋体" w:eastAsia="宋体" w:cs="宋体"/>
          <w:color w:val="auto"/>
          <w:spacing w:val="-2"/>
          <w:sz w:val="22"/>
          <w:szCs w:val="22"/>
          <w:highlight w:val="none"/>
        </w:rPr>
        <w:t>查及验收评定。</w:t>
      </w:r>
    </w:p>
    <w:p w14:paraId="38941B04">
      <w:pPr>
        <w:spacing w:before="1" w:line="219" w:lineRule="auto"/>
        <w:ind w:left="47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C．试验检测结果争议的处理</w:t>
      </w:r>
    </w:p>
    <w:p w14:paraId="135DB0C8">
      <w:pPr>
        <w:spacing w:before="181" w:line="359" w:lineRule="auto"/>
        <w:ind w:left="1" w:right="128" w:firstLine="494"/>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当委托人或监理对中心试验室检测工作质量存疑或存在争议</w:t>
      </w:r>
      <w:r>
        <w:rPr>
          <w:rFonts w:ascii="宋体" w:hAnsi="宋体" w:eastAsia="宋体" w:cs="宋体"/>
          <w:color w:val="auto"/>
          <w:spacing w:val="4"/>
          <w:sz w:val="22"/>
          <w:szCs w:val="22"/>
          <w:highlight w:val="none"/>
        </w:rPr>
        <w:t>时，委托人将组织各</w:t>
      </w:r>
      <w:r>
        <w:rPr>
          <w:rFonts w:ascii="宋体" w:hAnsi="宋体" w:eastAsia="宋体" w:cs="宋体"/>
          <w:color w:val="auto"/>
          <w:spacing w:val="-1"/>
          <w:sz w:val="22"/>
          <w:szCs w:val="22"/>
          <w:highlight w:val="none"/>
        </w:rPr>
        <w:t>方联合核查，必要时将提请质量监督单位进行仲裁。</w:t>
      </w:r>
    </w:p>
    <w:p w14:paraId="0FEA997C">
      <w:pPr>
        <w:spacing w:line="219" w:lineRule="auto"/>
        <w:ind w:left="503"/>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13.6.2. 总监办的工程质量监管职责（包含但不限于以下工作）</w:t>
      </w:r>
    </w:p>
    <w:p w14:paraId="316E7981">
      <w:pPr>
        <w:spacing w:before="180" w:line="359" w:lineRule="auto"/>
        <w:ind w:left="124" w:right="128" w:firstLine="524"/>
        <w:rPr>
          <w:rFonts w:ascii="宋体" w:hAnsi="宋体" w:eastAsia="宋体" w:cs="宋体"/>
          <w:color w:val="auto"/>
          <w:sz w:val="22"/>
          <w:szCs w:val="22"/>
          <w:highlight w:val="none"/>
        </w:rPr>
      </w:pPr>
      <w:r>
        <w:rPr>
          <w:rFonts w:ascii="宋体" w:hAnsi="宋体" w:eastAsia="宋体" w:cs="宋体"/>
          <w:color w:val="auto"/>
          <w:sz w:val="22"/>
          <w:szCs w:val="22"/>
          <w:highlight w:val="none"/>
        </w:rPr>
        <w:t>(1)配合中心试验室做好施工单位工地试验室临时资质的考核等工作，参与中心试验室组织的施工单位工地试验室临时资质的考核。</w:t>
      </w:r>
    </w:p>
    <w:p w14:paraId="3089736B">
      <w:pPr>
        <w:spacing w:before="180" w:line="359" w:lineRule="auto"/>
        <w:ind w:left="124" w:right="128" w:firstLine="524"/>
        <w:rPr>
          <w:rFonts w:ascii="宋体" w:hAnsi="宋体" w:eastAsia="宋体" w:cs="宋体"/>
          <w:color w:val="auto"/>
          <w:sz w:val="22"/>
          <w:szCs w:val="22"/>
          <w:highlight w:val="none"/>
        </w:rPr>
      </w:pPr>
      <w:r>
        <w:rPr>
          <w:rFonts w:ascii="宋体" w:hAnsi="宋体" w:eastAsia="宋体" w:cs="宋体"/>
          <w:color w:val="auto"/>
          <w:sz w:val="22"/>
          <w:szCs w:val="22"/>
          <w:highlight w:val="none"/>
        </w:rPr>
        <w:t>(2)监理人按要求设置试验检测工程师，配合中心试验室对施工单位试验检测工作</w:t>
      </w:r>
      <w:r>
        <w:rPr>
          <w:rFonts w:ascii="宋体" w:hAnsi="宋体" w:eastAsia="宋体" w:cs="宋体"/>
          <w:color w:val="auto"/>
          <w:spacing w:val="-1"/>
          <w:sz w:val="22"/>
          <w:szCs w:val="22"/>
          <w:highlight w:val="none"/>
        </w:rPr>
        <w:t>指导、检查、管理，并承担监理其他的试验检测工作。</w:t>
      </w:r>
    </w:p>
    <w:p w14:paraId="7E68AC9D">
      <w:pPr>
        <w:spacing w:line="219" w:lineRule="auto"/>
        <w:ind w:left="64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(3)负责审批施工单位的试验检测工作计划，检查计划执行情况。</w:t>
      </w:r>
    </w:p>
    <w:p w14:paraId="7FB65560">
      <w:pPr>
        <w:spacing w:before="183" w:line="359" w:lineRule="auto"/>
        <w:ind w:left="123" w:right="128" w:firstLine="525"/>
        <w:rPr>
          <w:rFonts w:ascii="宋体" w:hAnsi="宋体" w:eastAsia="宋体" w:cs="宋体"/>
          <w:color w:val="auto"/>
          <w:sz w:val="22"/>
          <w:szCs w:val="22"/>
          <w:highlight w:val="none"/>
        </w:rPr>
      </w:pPr>
      <w:r>
        <w:rPr>
          <w:rFonts w:ascii="宋体" w:hAnsi="宋体" w:eastAsia="宋体" w:cs="宋体"/>
          <w:color w:val="auto"/>
          <w:sz w:val="22"/>
          <w:szCs w:val="22"/>
          <w:highlight w:val="none"/>
        </w:rPr>
        <w:t>(4)监理人按要求设置试验检测工程师，负责施工单位试验检测监理工作，对施工</w:t>
      </w:r>
      <w:r>
        <w:rPr>
          <w:rFonts w:ascii="宋体" w:hAnsi="宋体" w:eastAsia="宋体" w:cs="宋体"/>
          <w:color w:val="auto"/>
          <w:spacing w:val="-1"/>
          <w:sz w:val="22"/>
          <w:szCs w:val="22"/>
          <w:highlight w:val="none"/>
        </w:rPr>
        <w:t>单位试验检测工作指导、检查、管理，负责与中心试验室的协调工作。</w:t>
      </w:r>
    </w:p>
    <w:p w14:paraId="044CE2BD">
      <w:pPr>
        <w:spacing w:before="3" w:line="358" w:lineRule="auto"/>
        <w:ind w:left="122" w:right="128" w:firstLine="526"/>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(5) 监理人应在施工单位自检合格基础上按最新</w:t>
      </w:r>
      <w:r>
        <w:rPr>
          <w:rFonts w:ascii="宋体" w:hAnsi="宋体" w:eastAsia="宋体" w:cs="宋体"/>
          <w:color w:val="auto"/>
          <w:spacing w:val="3"/>
          <w:sz w:val="22"/>
          <w:szCs w:val="22"/>
          <w:highlight w:val="none"/>
        </w:rPr>
        <w:t>《公路工程施工监理规范》相关</w:t>
      </w:r>
      <w:r>
        <w:rPr>
          <w:rFonts w:ascii="宋体" w:hAnsi="宋体" w:eastAsia="宋体" w:cs="宋体"/>
          <w:color w:val="auto"/>
          <w:spacing w:val="5"/>
          <w:sz w:val="22"/>
          <w:szCs w:val="22"/>
          <w:highlight w:val="none"/>
        </w:rPr>
        <w:t>规定进行抽检，并按相关附录格式填写抽检记录，并负责施工单位试验检</w:t>
      </w:r>
      <w:r>
        <w:rPr>
          <w:rFonts w:ascii="宋体" w:hAnsi="宋体" w:eastAsia="宋体" w:cs="宋体"/>
          <w:color w:val="auto"/>
          <w:spacing w:val="4"/>
          <w:sz w:val="22"/>
          <w:szCs w:val="22"/>
          <w:highlight w:val="none"/>
        </w:rPr>
        <w:t>测的见证、</w:t>
      </w:r>
      <w:r>
        <w:rPr>
          <w:rFonts w:ascii="宋体" w:hAnsi="宋体" w:eastAsia="宋体" w:cs="宋体"/>
          <w:color w:val="auto"/>
          <w:spacing w:val="-1"/>
          <w:sz w:val="22"/>
          <w:szCs w:val="22"/>
          <w:highlight w:val="none"/>
        </w:rPr>
        <w:t>旁站和相关资料的签认。</w:t>
      </w:r>
    </w:p>
    <w:p w14:paraId="33F84373">
      <w:pPr>
        <w:spacing w:before="2" w:line="359" w:lineRule="auto"/>
        <w:ind w:left="120" w:right="128" w:firstLine="528"/>
        <w:rPr>
          <w:rFonts w:ascii="宋体" w:hAnsi="宋体" w:eastAsia="宋体" w:cs="宋体"/>
          <w:color w:val="auto"/>
          <w:sz w:val="22"/>
          <w:szCs w:val="22"/>
          <w:highlight w:val="none"/>
        </w:rPr>
      </w:pPr>
      <w:r>
        <w:rPr>
          <w:rFonts w:ascii="宋体" w:hAnsi="宋体" w:eastAsia="宋体" w:cs="宋体"/>
          <w:color w:val="auto"/>
          <w:sz w:val="22"/>
          <w:szCs w:val="22"/>
          <w:highlight w:val="none"/>
        </w:rPr>
        <w:t>(6)监理人负责原材料厂家考察、审核（审批）及进场材料使用前的审批工作。对</w:t>
      </w:r>
      <w:r>
        <w:rPr>
          <w:rFonts w:ascii="宋体" w:hAnsi="宋体" w:eastAsia="宋体" w:cs="宋体"/>
          <w:color w:val="auto"/>
          <w:spacing w:val="5"/>
          <w:sz w:val="22"/>
          <w:szCs w:val="22"/>
          <w:highlight w:val="none"/>
        </w:rPr>
        <w:t>施工单位外部采购和委托制作的主要工程构配件或设备，监理工程师应检查产</w:t>
      </w:r>
      <w:r>
        <w:rPr>
          <w:rFonts w:ascii="宋体" w:hAnsi="宋体" w:eastAsia="宋体" w:cs="宋体"/>
          <w:color w:val="auto"/>
          <w:spacing w:val="4"/>
          <w:sz w:val="22"/>
          <w:szCs w:val="22"/>
          <w:highlight w:val="none"/>
        </w:rPr>
        <w:t>品合格</w:t>
      </w:r>
      <w:r>
        <w:rPr>
          <w:rFonts w:ascii="宋体" w:hAnsi="宋体" w:eastAsia="宋体" w:cs="宋体"/>
          <w:color w:val="auto"/>
          <w:spacing w:val="5"/>
          <w:sz w:val="22"/>
          <w:szCs w:val="22"/>
          <w:highlight w:val="none"/>
        </w:rPr>
        <w:t>证明文件和施工单位自检报告，进场后对关键项目进行抽检验收合格后方可使</w:t>
      </w:r>
      <w:r>
        <w:rPr>
          <w:rFonts w:ascii="宋体" w:hAnsi="宋体" w:eastAsia="宋体" w:cs="宋体"/>
          <w:color w:val="auto"/>
          <w:spacing w:val="4"/>
          <w:sz w:val="22"/>
          <w:szCs w:val="22"/>
          <w:highlight w:val="none"/>
        </w:rPr>
        <w:t>用，对</w:t>
      </w:r>
      <w:r>
        <w:rPr>
          <w:rFonts w:ascii="宋体" w:hAnsi="宋体" w:eastAsia="宋体" w:cs="宋体"/>
          <w:color w:val="auto"/>
          <w:sz w:val="22"/>
          <w:szCs w:val="22"/>
          <w:highlight w:val="none"/>
        </w:rPr>
        <w:t>监理不能检测项目可委托中心试验室进行试</w:t>
      </w:r>
      <w:r>
        <w:rPr>
          <w:rFonts w:ascii="宋体" w:hAnsi="宋体" w:eastAsia="宋体" w:cs="宋体"/>
          <w:color w:val="auto"/>
          <w:spacing w:val="-1"/>
          <w:sz w:val="22"/>
          <w:szCs w:val="22"/>
          <w:highlight w:val="none"/>
        </w:rPr>
        <w:t>验或到厂家监督检验。</w:t>
      </w:r>
    </w:p>
    <w:p w14:paraId="3C0BF6C0">
      <w:pPr>
        <w:spacing w:line="359" w:lineRule="auto"/>
        <w:ind w:left="121" w:right="128" w:firstLine="527"/>
        <w:rPr>
          <w:rFonts w:ascii="宋体" w:hAnsi="宋体" w:eastAsia="宋体" w:cs="宋体"/>
          <w:color w:val="auto"/>
          <w:sz w:val="22"/>
          <w:szCs w:val="22"/>
          <w:highlight w:val="none"/>
        </w:rPr>
      </w:pPr>
      <w:r>
        <w:rPr>
          <w:rFonts w:ascii="宋体" w:hAnsi="宋体" w:eastAsia="宋体" w:cs="宋体"/>
          <w:color w:val="auto"/>
          <w:sz w:val="22"/>
          <w:szCs w:val="22"/>
          <w:highlight w:val="none"/>
        </w:rPr>
        <w:t>(7)负责施工单位现场各道工序质量控制，并有义务为中心试验室提供施工现场与试验检测相关的信息，同时监理人的试验检测工作须接受</w:t>
      </w:r>
      <w:r>
        <w:rPr>
          <w:rFonts w:ascii="宋体" w:hAnsi="宋体" w:eastAsia="宋体" w:cs="宋体"/>
          <w:color w:val="auto"/>
          <w:spacing w:val="-1"/>
          <w:sz w:val="22"/>
          <w:szCs w:val="22"/>
          <w:highlight w:val="none"/>
        </w:rPr>
        <w:t>中心试验室的技术指导。</w:t>
      </w:r>
    </w:p>
    <w:p w14:paraId="1B7CC354">
      <w:pPr>
        <w:spacing w:before="3" w:line="358" w:lineRule="auto"/>
        <w:ind w:left="122" w:right="128" w:firstLine="526"/>
        <w:rPr>
          <w:rFonts w:ascii="宋体" w:hAnsi="宋体" w:eastAsia="宋体" w:cs="宋体"/>
          <w:color w:val="auto"/>
          <w:sz w:val="22"/>
          <w:szCs w:val="22"/>
          <w:highlight w:val="none"/>
        </w:rPr>
      </w:pPr>
      <w:r>
        <w:rPr>
          <w:rFonts w:ascii="宋体" w:hAnsi="宋体" w:eastAsia="宋体" w:cs="宋体"/>
          <w:color w:val="auto"/>
          <w:sz w:val="22"/>
          <w:szCs w:val="22"/>
          <w:highlight w:val="none"/>
        </w:rPr>
        <w:t>(8)为了对现场施工质量进行有效控制，总监办有权根据现场施工质量的动态变化</w:t>
      </w:r>
      <w:r>
        <w:rPr>
          <w:rFonts w:ascii="宋体" w:hAnsi="宋体" w:eastAsia="宋体" w:cs="宋体"/>
          <w:color w:val="auto"/>
          <w:spacing w:val="5"/>
          <w:sz w:val="22"/>
          <w:szCs w:val="22"/>
          <w:highlight w:val="none"/>
        </w:rPr>
        <w:t>情况，通知中心试验室对现场施工质量进行必要的取样试验或必要的现场</w:t>
      </w:r>
      <w:r>
        <w:rPr>
          <w:rFonts w:ascii="宋体" w:hAnsi="宋体" w:eastAsia="宋体" w:cs="宋体"/>
          <w:color w:val="auto"/>
          <w:spacing w:val="4"/>
          <w:sz w:val="22"/>
          <w:szCs w:val="22"/>
          <w:highlight w:val="none"/>
        </w:rPr>
        <w:t>检测（此项</w:t>
      </w:r>
      <w:r>
        <w:rPr>
          <w:rFonts w:ascii="宋体" w:hAnsi="宋体" w:eastAsia="宋体" w:cs="宋体"/>
          <w:color w:val="auto"/>
          <w:spacing w:val="-1"/>
          <w:sz w:val="22"/>
          <w:szCs w:val="22"/>
          <w:highlight w:val="none"/>
        </w:rPr>
        <w:t>工作不受检测单位检测频率的约束）。</w:t>
      </w:r>
    </w:p>
    <w:p w14:paraId="46DA06C6">
      <w:pPr>
        <w:spacing w:before="1" w:line="359" w:lineRule="auto"/>
        <w:ind w:left="131" w:right="128" w:firstLine="516"/>
        <w:rPr>
          <w:rFonts w:ascii="宋体" w:hAnsi="宋体" w:eastAsia="宋体" w:cs="宋体"/>
          <w:color w:val="auto"/>
          <w:sz w:val="22"/>
          <w:szCs w:val="22"/>
          <w:highlight w:val="none"/>
        </w:rPr>
      </w:pPr>
      <w:r>
        <w:rPr>
          <w:rFonts w:ascii="宋体" w:hAnsi="宋体" w:eastAsia="宋体" w:cs="宋体"/>
          <w:color w:val="auto"/>
          <w:sz w:val="22"/>
          <w:szCs w:val="22"/>
          <w:highlight w:val="none"/>
        </w:rPr>
        <w:t>(9)协助委托人调查处理施工单位的质量问题、事故，向中心试验室提供相关的信</w:t>
      </w:r>
      <w:r>
        <w:rPr>
          <w:rFonts w:ascii="宋体" w:hAnsi="宋体" w:eastAsia="宋体" w:cs="宋体"/>
          <w:color w:val="auto"/>
          <w:spacing w:val="-2"/>
          <w:sz w:val="22"/>
          <w:szCs w:val="22"/>
          <w:highlight w:val="none"/>
        </w:rPr>
        <w:t>息，并向委托人报告有关情况。</w:t>
      </w:r>
    </w:p>
    <w:p w14:paraId="60171C9A">
      <w:pPr>
        <w:spacing w:line="219" w:lineRule="auto"/>
        <w:ind w:left="492"/>
        <w:rPr>
          <w:rFonts w:ascii="宋体" w:hAnsi="宋体" w:eastAsia="宋体" w:cs="宋体"/>
          <w:color w:val="auto"/>
          <w:spacing w:val="-1"/>
          <w:sz w:val="22"/>
          <w:szCs w:val="22"/>
          <w:highlight w:val="none"/>
        </w:rPr>
      </w:pPr>
      <w:r>
        <w:rPr>
          <w:rFonts w:ascii="宋体" w:hAnsi="宋体" w:eastAsia="宋体" w:cs="宋体"/>
          <w:color w:val="auto"/>
          <w:spacing w:val="-1"/>
          <w:sz w:val="22"/>
          <w:szCs w:val="22"/>
          <w:highlight w:val="none"/>
        </w:rPr>
        <w:t>（10）负责组织工程的中间交工验收检测和单位、分部工程质量评定工作。</w:t>
      </w:r>
    </w:p>
    <w:p w14:paraId="3C38B25A">
      <w:pPr>
        <w:spacing w:before="181" w:line="360" w:lineRule="auto"/>
        <w:ind w:left="119" w:firstLine="373"/>
        <w:rPr>
          <w:rFonts w:ascii="宋体" w:hAnsi="宋体" w:eastAsia="宋体" w:cs="宋体"/>
          <w:color w:val="auto"/>
          <w:spacing w:val="-2"/>
          <w:sz w:val="22"/>
          <w:szCs w:val="22"/>
          <w:highlight w:val="none"/>
        </w:rPr>
      </w:pPr>
      <w:r>
        <w:rPr>
          <w:rFonts w:ascii="宋体" w:hAnsi="宋体" w:eastAsia="宋体" w:cs="宋体"/>
          <w:color w:val="auto"/>
          <w:spacing w:val="-2"/>
          <w:sz w:val="22"/>
          <w:szCs w:val="22"/>
          <w:highlight w:val="none"/>
        </w:rPr>
        <w:t>（11）参加委托人组织的交工验收和上级行业质监主管部门组织的检查及竣工验收。</w:t>
      </w:r>
    </w:p>
    <w:p w14:paraId="36D5B5B6">
      <w:pPr>
        <w:spacing w:before="181" w:line="360" w:lineRule="auto"/>
        <w:ind w:left="119" w:firstLine="37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（12）代表业主抽检频率的5%的工作部分，采用总监办委托见证，中心试验室取样、</w:t>
      </w:r>
      <w:r>
        <w:rPr>
          <w:rFonts w:ascii="宋体" w:hAnsi="宋体" w:eastAsia="宋体" w:cs="宋体"/>
          <w:color w:val="auto"/>
          <w:sz w:val="22"/>
          <w:szCs w:val="22"/>
          <w:highlight w:val="none"/>
        </w:rPr>
        <w:t>送样的工作方式；代表监理抽检频率的10%由中心试验室进</w:t>
      </w:r>
      <w:r>
        <w:rPr>
          <w:rFonts w:ascii="宋体" w:hAnsi="宋体" w:eastAsia="宋体" w:cs="宋体"/>
          <w:color w:val="auto"/>
          <w:spacing w:val="-1"/>
          <w:sz w:val="22"/>
          <w:szCs w:val="22"/>
          <w:highlight w:val="none"/>
        </w:rPr>
        <w:t>行直接取样、送样。</w:t>
      </w:r>
    </w:p>
    <w:p w14:paraId="4A3DCF5F">
      <w:pPr>
        <w:spacing w:line="358" w:lineRule="auto"/>
        <w:ind w:left="125" w:right="128" w:firstLine="39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(13)中心试验室检出不合格材料或构件</w:t>
      </w:r>
      <w:r>
        <w:rPr>
          <w:rFonts w:ascii="宋体" w:hAnsi="宋体" w:eastAsia="宋体" w:cs="宋体"/>
          <w:color w:val="auto"/>
          <w:sz w:val="22"/>
          <w:szCs w:val="22"/>
          <w:highlight w:val="none"/>
        </w:rPr>
        <w:t>后，及时向总监办发送试验数据，由总监办</w:t>
      </w:r>
      <w:r>
        <w:rPr>
          <w:rFonts w:ascii="宋体" w:hAnsi="宋体" w:eastAsia="宋体" w:cs="宋体"/>
          <w:color w:val="auto"/>
          <w:spacing w:val="-2"/>
          <w:sz w:val="22"/>
          <w:szCs w:val="22"/>
          <w:highlight w:val="none"/>
        </w:rPr>
        <w:t>发放指令单并跟踪处理。</w:t>
      </w:r>
    </w:p>
    <w:p w14:paraId="1976B84B">
      <w:pPr>
        <w:spacing w:before="1" w:line="219" w:lineRule="auto"/>
        <w:ind w:left="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（14）根据合同文件，承担委托人授予的其他权利和义务。</w:t>
      </w:r>
    </w:p>
    <w:p w14:paraId="5B370F19">
      <w:pPr>
        <w:spacing w:before="183" w:line="220" w:lineRule="auto"/>
        <w:ind w:left="492"/>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（15）详细的界面划分如下表所示</w:t>
      </w:r>
    </w:p>
    <w:p w14:paraId="77A9A25B">
      <w:pPr>
        <w:spacing w:line="145" w:lineRule="exact"/>
        <w:rPr>
          <w:color w:val="auto"/>
          <w:highlight w:val="none"/>
        </w:rPr>
      </w:pPr>
    </w:p>
    <w:tbl>
      <w:tblPr>
        <w:tblStyle w:val="19"/>
        <w:tblW w:w="88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83"/>
        <w:gridCol w:w="1553"/>
        <w:gridCol w:w="1859"/>
      </w:tblGrid>
      <w:tr w14:paraId="27D07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483" w:type="dxa"/>
            <w:vMerge w:val="restart"/>
            <w:tcBorders>
              <w:bottom w:val="nil"/>
            </w:tcBorders>
            <w:vAlign w:val="top"/>
          </w:tcPr>
          <w:p w14:paraId="4D1A673E">
            <w:pPr>
              <w:pStyle w:val="20"/>
              <w:spacing w:before="225" w:line="228" w:lineRule="auto"/>
              <w:ind w:left="1907"/>
              <w:rPr>
                <w:color w:val="auto"/>
                <w:highlight w:val="none"/>
              </w:rPr>
            </w:pPr>
            <w:r>
              <w:rPr>
                <w:color w:val="auto"/>
                <w:spacing w:val="8"/>
                <w:highlight w:val="none"/>
              </w:rPr>
              <w:t>试验检测工作内容</w:t>
            </w:r>
          </w:p>
        </w:tc>
        <w:tc>
          <w:tcPr>
            <w:tcW w:w="3412" w:type="dxa"/>
            <w:gridSpan w:val="2"/>
            <w:vAlign w:val="top"/>
          </w:tcPr>
          <w:p w14:paraId="4ED8661D">
            <w:pPr>
              <w:pStyle w:val="20"/>
              <w:spacing w:before="64" w:line="228" w:lineRule="auto"/>
              <w:ind w:left="660"/>
              <w:rPr>
                <w:color w:val="auto"/>
                <w:highlight w:val="none"/>
              </w:rPr>
            </w:pPr>
            <w:r>
              <w:rPr>
                <w:color w:val="auto"/>
                <w:spacing w:val="8"/>
                <w:highlight w:val="none"/>
              </w:rPr>
              <w:t>试验检测工作界面划分</w:t>
            </w:r>
          </w:p>
        </w:tc>
      </w:tr>
      <w:tr w14:paraId="6FF69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Merge w:val="continue"/>
            <w:tcBorders>
              <w:top w:val="nil"/>
            </w:tcBorders>
            <w:vAlign w:val="top"/>
          </w:tcPr>
          <w:p w14:paraId="3367F74D">
            <w:pPr>
              <w:rPr>
                <w:rFonts w:ascii="Arial"/>
                <w:color w:val="auto"/>
                <w:sz w:val="21"/>
                <w:highlight w:val="none"/>
              </w:rPr>
            </w:pPr>
          </w:p>
        </w:tc>
        <w:tc>
          <w:tcPr>
            <w:tcW w:w="1553" w:type="dxa"/>
            <w:vAlign w:val="top"/>
          </w:tcPr>
          <w:p w14:paraId="4515AB1C">
            <w:pPr>
              <w:pStyle w:val="20"/>
              <w:spacing w:before="31" w:line="228" w:lineRule="auto"/>
              <w:ind w:left="364"/>
              <w:rPr>
                <w:color w:val="auto"/>
                <w:highlight w:val="none"/>
              </w:rPr>
            </w:pPr>
            <w:r>
              <w:rPr>
                <w:color w:val="auto"/>
                <w:spacing w:val="6"/>
                <w:highlight w:val="none"/>
              </w:rPr>
              <w:t>主要负责</w:t>
            </w:r>
          </w:p>
        </w:tc>
        <w:tc>
          <w:tcPr>
            <w:tcW w:w="1859" w:type="dxa"/>
            <w:vAlign w:val="top"/>
          </w:tcPr>
          <w:p w14:paraId="6454CFEB">
            <w:pPr>
              <w:pStyle w:val="20"/>
              <w:spacing w:before="31" w:line="231" w:lineRule="auto"/>
              <w:ind w:left="725"/>
              <w:rPr>
                <w:color w:val="auto"/>
                <w:highlight w:val="none"/>
              </w:rPr>
            </w:pPr>
            <w:r>
              <w:rPr>
                <w:color w:val="auto"/>
                <w:spacing w:val="4"/>
                <w:highlight w:val="none"/>
              </w:rPr>
              <w:t>配合</w:t>
            </w:r>
          </w:p>
        </w:tc>
      </w:tr>
      <w:tr w14:paraId="5FC65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434E2E16">
            <w:pPr>
              <w:pStyle w:val="20"/>
              <w:spacing w:before="32" w:line="228" w:lineRule="auto"/>
              <w:ind w:left="130"/>
              <w:rPr>
                <w:color w:val="auto"/>
                <w:highlight w:val="none"/>
              </w:rPr>
            </w:pPr>
            <w:r>
              <w:rPr>
                <w:color w:val="auto"/>
                <w:spacing w:val="7"/>
                <w:highlight w:val="none"/>
              </w:rPr>
              <w:t>1.承包人工地试验室筹备督导；</w:t>
            </w:r>
          </w:p>
        </w:tc>
        <w:tc>
          <w:tcPr>
            <w:tcW w:w="1553" w:type="dxa"/>
            <w:vAlign w:val="top"/>
          </w:tcPr>
          <w:p w14:paraId="3D296601">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67FCB108">
            <w:pPr>
              <w:pStyle w:val="20"/>
              <w:spacing w:before="31" w:line="231" w:lineRule="auto"/>
              <w:ind w:left="116"/>
              <w:rPr>
                <w:color w:val="auto"/>
                <w:highlight w:val="none"/>
              </w:rPr>
            </w:pPr>
            <w:r>
              <w:rPr>
                <w:color w:val="auto"/>
                <w:spacing w:val="6"/>
                <w:highlight w:val="none"/>
              </w:rPr>
              <w:t>监理人</w:t>
            </w:r>
          </w:p>
        </w:tc>
      </w:tr>
      <w:tr w14:paraId="06BFD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4C3D2198">
            <w:pPr>
              <w:pStyle w:val="20"/>
              <w:spacing w:before="33" w:line="227" w:lineRule="auto"/>
              <w:ind w:left="117"/>
              <w:rPr>
                <w:color w:val="auto"/>
                <w:highlight w:val="none"/>
              </w:rPr>
            </w:pPr>
            <w:r>
              <w:rPr>
                <w:color w:val="auto"/>
                <w:spacing w:val="8"/>
                <w:highlight w:val="none"/>
              </w:rPr>
              <w:t>2.承包人工地试验室资质备案材料审查；</w:t>
            </w:r>
          </w:p>
        </w:tc>
        <w:tc>
          <w:tcPr>
            <w:tcW w:w="1553" w:type="dxa"/>
            <w:vAlign w:val="top"/>
          </w:tcPr>
          <w:p w14:paraId="32C440B2">
            <w:pPr>
              <w:pStyle w:val="20"/>
              <w:spacing w:before="33" w:line="228" w:lineRule="auto"/>
              <w:ind w:left="135"/>
              <w:rPr>
                <w:color w:val="auto"/>
                <w:highlight w:val="none"/>
              </w:rPr>
            </w:pPr>
            <w:r>
              <w:rPr>
                <w:color w:val="auto"/>
                <w:spacing w:val="4"/>
                <w:highlight w:val="none"/>
              </w:rPr>
              <w:t>中心试验室</w:t>
            </w:r>
          </w:p>
        </w:tc>
        <w:tc>
          <w:tcPr>
            <w:tcW w:w="1859" w:type="dxa"/>
            <w:vAlign w:val="top"/>
          </w:tcPr>
          <w:p w14:paraId="15F28DD8">
            <w:pPr>
              <w:pStyle w:val="20"/>
              <w:spacing w:before="32" w:line="231" w:lineRule="auto"/>
              <w:ind w:left="116"/>
              <w:rPr>
                <w:color w:val="auto"/>
                <w:highlight w:val="none"/>
              </w:rPr>
            </w:pPr>
            <w:r>
              <w:rPr>
                <w:color w:val="auto"/>
                <w:spacing w:val="6"/>
                <w:highlight w:val="none"/>
              </w:rPr>
              <w:t>监理人</w:t>
            </w:r>
          </w:p>
        </w:tc>
      </w:tr>
      <w:tr w14:paraId="63885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483" w:type="dxa"/>
            <w:vAlign w:val="top"/>
          </w:tcPr>
          <w:p w14:paraId="5C6573E5">
            <w:pPr>
              <w:pStyle w:val="20"/>
              <w:spacing w:before="31" w:line="272" w:lineRule="auto"/>
              <w:ind w:left="125" w:right="122" w:hanging="6"/>
              <w:rPr>
                <w:color w:val="auto"/>
                <w:highlight w:val="none"/>
              </w:rPr>
            </w:pPr>
            <w:r>
              <w:rPr>
                <w:color w:val="auto"/>
                <w:spacing w:val="9"/>
                <w:highlight w:val="none"/>
              </w:rPr>
              <w:t>3.承包人工地试验室试验检测人员、设备的进场、变更的</w:t>
            </w:r>
            <w:r>
              <w:rPr>
                <w:color w:val="auto"/>
                <w:spacing w:val="6"/>
                <w:highlight w:val="none"/>
              </w:rPr>
              <w:t>审核（试验室</w:t>
            </w:r>
            <w:r>
              <w:rPr>
                <w:color w:val="auto"/>
                <w:highlight w:val="none"/>
              </w:rPr>
              <w:t>）；</w:t>
            </w:r>
          </w:p>
        </w:tc>
        <w:tc>
          <w:tcPr>
            <w:tcW w:w="1553" w:type="dxa"/>
            <w:vAlign w:val="top"/>
          </w:tcPr>
          <w:p w14:paraId="28DC57E0">
            <w:pPr>
              <w:pStyle w:val="20"/>
              <w:spacing w:before="31" w:line="228" w:lineRule="auto"/>
              <w:ind w:left="135"/>
              <w:rPr>
                <w:color w:val="auto"/>
                <w:highlight w:val="none"/>
              </w:rPr>
            </w:pPr>
            <w:r>
              <w:rPr>
                <w:color w:val="auto"/>
                <w:spacing w:val="4"/>
                <w:highlight w:val="none"/>
              </w:rPr>
              <w:t>中心试验室</w:t>
            </w:r>
          </w:p>
        </w:tc>
        <w:tc>
          <w:tcPr>
            <w:tcW w:w="1859" w:type="dxa"/>
            <w:vAlign w:val="top"/>
          </w:tcPr>
          <w:p w14:paraId="02F85AD8">
            <w:pPr>
              <w:pStyle w:val="20"/>
              <w:spacing w:before="30" w:line="231" w:lineRule="auto"/>
              <w:ind w:left="116"/>
              <w:rPr>
                <w:color w:val="auto"/>
                <w:highlight w:val="none"/>
              </w:rPr>
            </w:pPr>
            <w:r>
              <w:rPr>
                <w:color w:val="auto"/>
                <w:spacing w:val="6"/>
                <w:highlight w:val="none"/>
              </w:rPr>
              <w:t>监理人</w:t>
            </w:r>
          </w:p>
        </w:tc>
      </w:tr>
      <w:tr w14:paraId="7766D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109C5B6D">
            <w:pPr>
              <w:pStyle w:val="20"/>
              <w:spacing w:before="30" w:line="227" w:lineRule="auto"/>
              <w:ind w:left="114"/>
              <w:rPr>
                <w:color w:val="auto"/>
                <w:highlight w:val="none"/>
              </w:rPr>
            </w:pPr>
            <w:r>
              <w:rPr>
                <w:color w:val="auto"/>
                <w:spacing w:val="8"/>
                <w:highlight w:val="none"/>
              </w:rPr>
              <w:t>4.月度工地试验室检查及督促整改；</w:t>
            </w:r>
          </w:p>
        </w:tc>
        <w:tc>
          <w:tcPr>
            <w:tcW w:w="1553" w:type="dxa"/>
            <w:vAlign w:val="top"/>
          </w:tcPr>
          <w:p w14:paraId="64678CB3">
            <w:pPr>
              <w:pStyle w:val="20"/>
              <w:spacing w:before="31" w:line="228" w:lineRule="auto"/>
              <w:ind w:left="135"/>
              <w:rPr>
                <w:color w:val="auto"/>
                <w:highlight w:val="none"/>
              </w:rPr>
            </w:pPr>
            <w:r>
              <w:rPr>
                <w:color w:val="auto"/>
                <w:spacing w:val="4"/>
                <w:highlight w:val="none"/>
              </w:rPr>
              <w:t>中心试验室</w:t>
            </w:r>
          </w:p>
        </w:tc>
        <w:tc>
          <w:tcPr>
            <w:tcW w:w="1859" w:type="dxa"/>
            <w:vAlign w:val="top"/>
          </w:tcPr>
          <w:p w14:paraId="74E7FC83">
            <w:pPr>
              <w:pStyle w:val="20"/>
              <w:spacing w:before="30" w:line="231" w:lineRule="auto"/>
              <w:ind w:left="116"/>
              <w:rPr>
                <w:color w:val="auto"/>
                <w:highlight w:val="none"/>
              </w:rPr>
            </w:pPr>
            <w:r>
              <w:rPr>
                <w:color w:val="auto"/>
                <w:spacing w:val="6"/>
                <w:highlight w:val="none"/>
              </w:rPr>
              <w:t>监理人</w:t>
            </w:r>
          </w:p>
        </w:tc>
      </w:tr>
      <w:tr w14:paraId="08B7D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1F07B35F">
            <w:pPr>
              <w:pStyle w:val="20"/>
              <w:spacing w:before="31" w:line="228" w:lineRule="auto"/>
              <w:ind w:left="119"/>
              <w:rPr>
                <w:color w:val="auto"/>
                <w:highlight w:val="none"/>
              </w:rPr>
            </w:pPr>
            <w:r>
              <w:rPr>
                <w:color w:val="auto"/>
                <w:spacing w:val="7"/>
                <w:highlight w:val="none"/>
              </w:rPr>
              <w:t>5.内业资料表格、台账的统一；</w:t>
            </w:r>
          </w:p>
        </w:tc>
        <w:tc>
          <w:tcPr>
            <w:tcW w:w="1553" w:type="dxa"/>
            <w:vAlign w:val="top"/>
          </w:tcPr>
          <w:p w14:paraId="6EF32529">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4FCDCBAB">
            <w:pPr>
              <w:pStyle w:val="20"/>
              <w:spacing w:before="31" w:line="231" w:lineRule="auto"/>
              <w:ind w:left="116"/>
              <w:rPr>
                <w:color w:val="auto"/>
                <w:highlight w:val="none"/>
              </w:rPr>
            </w:pPr>
            <w:r>
              <w:rPr>
                <w:color w:val="auto"/>
                <w:spacing w:val="6"/>
                <w:highlight w:val="none"/>
              </w:rPr>
              <w:t>监理人</w:t>
            </w:r>
          </w:p>
        </w:tc>
      </w:tr>
      <w:tr w14:paraId="1A87A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5248037A">
            <w:pPr>
              <w:pStyle w:val="20"/>
              <w:spacing w:before="32" w:line="227" w:lineRule="auto"/>
              <w:ind w:left="116"/>
              <w:rPr>
                <w:color w:val="auto"/>
                <w:highlight w:val="none"/>
              </w:rPr>
            </w:pPr>
            <w:r>
              <w:rPr>
                <w:color w:val="auto"/>
                <w:spacing w:val="8"/>
                <w:highlight w:val="none"/>
              </w:rPr>
              <w:t>6.原材料厂家考察、审核（批</w:t>
            </w:r>
            <w:r>
              <w:rPr>
                <w:color w:val="auto"/>
                <w:spacing w:val="3"/>
                <w:highlight w:val="none"/>
              </w:rPr>
              <w:t>）；</w:t>
            </w:r>
          </w:p>
        </w:tc>
        <w:tc>
          <w:tcPr>
            <w:tcW w:w="1553" w:type="dxa"/>
            <w:vAlign w:val="top"/>
          </w:tcPr>
          <w:p w14:paraId="1C7D72B9">
            <w:pPr>
              <w:pStyle w:val="20"/>
              <w:spacing w:before="32" w:line="231" w:lineRule="auto"/>
              <w:ind w:left="116"/>
              <w:rPr>
                <w:color w:val="auto"/>
                <w:highlight w:val="none"/>
              </w:rPr>
            </w:pPr>
            <w:r>
              <w:rPr>
                <w:color w:val="auto"/>
                <w:spacing w:val="6"/>
                <w:highlight w:val="none"/>
              </w:rPr>
              <w:t>监理人</w:t>
            </w:r>
          </w:p>
        </w:tc>
        <w:tc>
          <w:tcPr>
            <w:tcW w:w="1859" w:type="dxa"/>
            <w:vAlign w:val="top"/>
          </w:tcPr>
          <w:p w14:paraId="4DD1A99A">
            <w:pPr>
              <w:pStyle w:val="20"/>
              <w:spacing w:before="33" w:line="228" w:lineRule="auto"/>
              <w:ind w:left="135"/>
              <w:rPr>
                <w:color w:val="auto"/>
                <w:highlight w:val="none"/>
              </w:rPr>
            </w:pPr>
            <w:r>
              <w:rPr>
                <w:color w:val="auto"/>
                <w:spacing w:val="4"/>
                <w:highlight w:val="none"/>
              </w:rPr>
              <w:t>中心试验室</w:t>
            </w:r>
          </w:p>
        </w:tc>
      </w:tr>
      <w:tr w14:paraId="53A2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17FA84A1">
            <w:pPr>
              <w:pStyle w:val="20"/>
              <w:spacing w:before="30" w:line="227" w:lineRule="auto"/>
              <w:ind w:left="119"/>
              <w:rPr>
                <w:color w:val="auto"/>
                <w:highlight w:val="none"/>
              </w:rPr>
            </w:pPr>
            <w:r>
              <w:rPr>
                <w:color w:val="auto"/>
                <w:spacing w:val="7"/>
                <w:highlight w:val="none"/>
              </w:rPr>
              <w:t>7.进场材料使用前审批；</w:t>
            </w:r>
          </w:p>
        </w:tc>
        <w:tc>
          <w:tcPr>
            <w:tcW w:w="1553" w:type="dxa"/>
            <w:vAlign w:val="top"/>
          </w:tcPr>
          <w:p w14:paraId="098B3A7C">
            <w:pPr>
              <w:pStyle w:val="20"/>
              <w:spacing w:before="30" w:line="231" w:lineRule="auto"/>
              <w:ind w:left="116"/>
              <w:rPr>
                <w:color w:val="auto"/>
                <w:highlight w:val="none"/>
              </w:rPr>
            </w:pPr>
            <w:r>
              <w:rPr>
                <w:color w:val="auto"/>
                <w:spacing w:val="6"/>
                <w:highlight w:val="none"/>
              </w:rPr>
              <w:t>监理人</w:t>
            </w:r>
          </w:p>
        </w:tc>
        <w:tc>
          <w:tcPr>
            <w:tcW w:w="1859" w:type="dxa"/>
            <w:vAlign w:val="top"/>
          </w:tcPr>
          <w:p w14:paraId="5F53EF8C">
            <w:pPr>
              <w:pStyle w:val="20"/>
              <w:spacing w:before="31" w:line="228" w:lineRule="auto"/>
              <w:ind w:left="135"/>
              <w:rPr>
                <w:color w:val="auto"/>
                <w:highlight w:val="none"/>
              </w:rPr>
            </w:pPr>
            <w:r>
              <w:rPr>
                <w:color w:val="auto"/>
                <w:spacing w:val="4"/>
                <w:highlight w:val="none"/>
              </w:rPr>
              <w:t>中心试验室</w:t>
            </w:r>
          </w:p>
        </w:tc>
      </w:tr>
      <w:tr w14:paraId="5B2C4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6FAD74F6">
            <w:pPr>
              <w:pStyle w:val="20"/>
              <w:spacing w:before="32" w:line="228" w:lineRule="auto"/>
              <w:ind w:left="115"/>
              <w:rPr>
                <w:color w:val="auto"/>
                <w:highlight w:val="none"/>
              </w:rPr>
            </w:pPr>
            <w:r>
              <w:rPr>
                <w:color w:val="auto"/>
                <w:spacing w:val="6"/>
                <w:highlight w:val="none"/>
              </w:rPr>
              <w:t>8.平行验证试验；</w:t>
            </w:r>
          </w:p>
        </w:tc>
        <w:tc>
          <w:tcPr>
            <w:tcW w:w="1553" w:type="dxa"/>
            <w:vAlign w:val="top"/>
          </w:tcPr>
          <w:p w14:paraId="3AE1F295">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16FD1DE6">
            <w:pPr>
              <w:pStyle w:val="20"/>
              <w:spacing w:before="31" w:line="231" w:lineRule="auto"/>
              <w:ind w:left="116"/>
              <w:rPr>
                <w:color w:val="auto"/>
                <w:highlight w:val="none"/>
              </w:rPr>
            </w:pPr>
            <w:r>
              <w:rPr>
                <w:color w:val="auto"/>
                <w:spacing w:val="6"/>
                <w:highlight w:val="none"/>
              </w:rPr>
              <w:t>监理人</w:t>
            </w:r>
          </w:p>
        </w:tc>
      </w:tr>
      <w:tr w14:paraId="58C1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71C16808">
            <w:pPr>
              <w:pStyle w:val="20"/>
              <w:spacing w:before="30" w:line="228" w:lineRule="auto"/>
              <w:ind w:left="115"/>
              <w:rPr>
                <w:color w:val="auto"/>
                <w:highlight w:val="none"/>
              </w:rPr>
            </w:pPr>
            <w:r>
              <w:rPr>
                <w:color w:val="auto"/>
                <w:spacing w:val="7"/>
                <w:highlight w:val="none"/>
              </w:rPr>
              <w:t>9.施工配合比审批；</w:t>
            </w:r>
          </w:p>
        </w:tc>
        <w:tc>
          <w:tcPr>
            <w:tcW w:w="1553" w:type="dxa"/>
            <w:vAlign w:val="top"/>
          </w:tcPr>
          <w:p w14:paraId="7E69EF2E">
            <w:pPr>
              <w:pStyle w:val="20"/>
              <w:spacing w:before="30" w:line="228" w:lineRule="auto"/>
              <w:ind w:left="135"/>
              <w:rPr>
                <w:color w:val="auto"/>
                <w:highlight w:val="none"/>
              </w:rPr>
            </w:pPr>
            <w:r>
              <w:rPr>
                <w:color w:val="auto"/>
                <w:spacing w:val="4"/>
                <w:highlight w:val="none"/>
              </w:rPr>
              <w:t>中心试验室</w:t>
            </w:r>
          </w:p>
        </w:tc>
        <w:tc>
          <w:tcPr>
            <w:tcW w:w="1859" w:type="dxa"/>
            <w:vAlign w:val="top"/>
          </w:tcPr>
          <w:p w14:paraId="65AD2136">
            <w:pPr>
              <w:pStyle w:val="20"/>
              <w:spacing w:before="29" w:line="231" w:lineRule="auto"/>
              <w:ind w:left="116"/>
              <w:rPr>
                <w:color w:val="auto"/>
                <w:highlight w:val="none"/>
              </w:rPr>
            </w:pPr>
            <w:r>
              <w:rPr>
                <w:color w:val="auto"/>
                <w:spacing w:val="6"/>
                <w:highlight w:val="none"/>
              </w:rPr>
              <w:t>监理人</w:t>
            </w:r>
          </w:p>
        </w:tc>
      </w:tr>
      <w:tr w14:paraId="01642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44ED5CB8">
            <w:pPr>
              <w:pStyle w:val="20"/>
              <w:spacing w:before="31" w:line="227" w:lineRule="auto"/>
              <w:ind w:left="130"/>
              <w:rPr>
                <w:color w:val="auto"/>
                <w:highlight w:val="none"/>
              </w:rPr>
            </w:pPr>
            <w:r>
              <w:rPr>
                <w:color w:val="auto"/>
                <w:spacing w:val="7"/>
                <w:highlight w:val="none"/>
              </w:rPr>
              <w:t>10.原材料、成品、半成品取样、送样；</w:t>
            </w:r>
          </w:p>
        </w:tc>
        <w:tc>
          <w:tcPr>
            <w:tcW w:w="1553" w:type="dxa"/>
            <w:vAlign w:val="top"/>
          </w:tcPr>
          <w:p w14:paraId="5751A9A3">
            <w:pPr>
              <w:pStyle w:val="20"/>
              <w:spacing w:before="31" w:line="228" w:lineRule="auto"/>
              <w:ind w:left="135"/>
              <w:rPr>
                <w:color w:val="auto"/>
                <w:highlight w:val="none"/>
              </w:rPr>
            </w:pPr>
            <w:r>
              <w:rPr>
                <w:color w:val="auto"/>
                <w:spacing w:val="4"/>
                <w:highlight w:val="none"/>
              </w:rPr>
              <w:t>中心试验室</w:t>
            </w:r>
          </w:p>
        </w:tc>
        <w:tc>
          <w:tcPr>
            <w:tcW w:w="1859" w:type="dxa"/>
            <w:vAlign w:val="top"/>
          </w:tcPr>
          <w:p w14:paraId="19AF7693">
            <w:pPr>
              <w:pStyle w:val="20"/>
              <w:spacing w:before="30" w:line="231" w:lineRule="auto"/>
              <w:ind w:left="116"/>
              <w:rPr>
                <w:color w:val="auto"/>
                <w:highlight w:val="none"/>
              </w:rPr>
            </w:pPr>
            <w:r>
              <w:rPr>
                <w:color w:val="auto"/>
                <w:spacing w:val="6"/>
                <w:highlight w:val="none"/>
              </w:rPr>
              <w:t>监理人</w:t>
            </w:r>
          </w:p>
        </w:tc>
      </w:tr>
      <w:tr w14:paraId="42D29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5AB9A6C7">
            <w:pPr>
              <w:pStyle w:val="20"/>
              <w:spacing w:before="32" w:line="227" w:lineRule="auto"/>
              <w:ind w:left="130"/>
              <w:rPr>
                <w:color w:val="auto"/>
                <w:highlight w:val="none"/>
              </w:rPr>
            </w:pPr>
            <w:r>
              <w:rPr>
                <w:color w:val="auto"/>
                <w:spacing w:val="7"/>
                <w:highlight w:val="none"/>
              </w:rPr>
              <w:t>11.原材料、成品、半成品试验检测；</w:t>
            </w:r>
          </w:p>
        </w:tc>
        <w:tc>
          <w:tcPr>
            <w:tcW w:w="1553" w:type="dxa"/>
            <w:vAlign w:val="top"/>
          </w:tcPr>
          <w:p w14:paraId="7248929B">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2ADE6B6C">
            <w:pPr>
              <w:pStyle w:val="20"/>
              <w:spacing w:before="31" w:line="231" w:lineRule="auto"/>
              <w:ind w:left="116"/>
              <w:rPr>
                <w:color w:val="auto"/>
                <w:highlight w:val="none"/>
              </w:rPr>
            </w:pPr>
            <w:r>
              <w:rPr>
                <w:color w:val="auto"/>
                <w:spacing w:val="6"/>
                <w:highlight w:val="none"/>
              </w:rPr>
              <w:t>监理人</w:t>
            </w:r>
          </w:p>
        </w:tc>
      </w:tr>
      <w:tr w14:paraId="3DD51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593EE284">
            <w:pPr>
              <w:pStyle w:val="20"/>
              <w:spacing w:before="31" w:line="228" w:lineRule="auto"/>
              <w:ind w:left="130"/>
              <w:rPr>
                <w:color w:val="auto"/>
                <w:highlight w:val="none"/>
              </w:rPr>
            </w:pPr>
            <w:r>
              <w:rPr>
                <w:color w:val="auto"/>
                <w:spacing w:val="7"/>
                <w:highlight w:val="none"/>
              </w:rPr>
              <w:t>12.工地试验室自检试验过程监督；</w:t>
            </w:r>
          </w:p>
        </w:tc>
        <w:tc>
          <w:tcPr>
            <w:tcW w:w="1553" w:type="dxa"/>
            <w:vAlign w:val="top"/>
          </w:tcPr>
          <w:p w14:paraId="345E041A">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2717257E">
            <w:pPr>
              <w:pStyle w:val="20"/>
              <w:spacing w:before="31" w:line="231" w:lineRule="auto"/>
              <w:ind w:left="116"/>
              <w:rPr>
                <w:color w:val="auto"/>
                <w:highlight w:val="none"/>
              </w:rPr>
            </w:pPr>
            <w:r>
              <w:rPr>
                <w:color w:val="auto"/>
                <w:spacing w:val="6"/>
                <w:highlight w:val="none"/>
              </w:rPr>
              <w:t>监理人</w:t>
            </w:r>
          </w:p>
        </w:tc>
      </w:tr>
      <w:tr w14:paraId="6CF6E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673F1491">
            <w:pPr>
              <w:pStyle w:val="20"/>
              <w:spacing w:before="31" w:line="226" w:lineRule="auto"/>
              <w:ind w:left="130"/>
              <w:rPr>
                <w:color w:val="auto"/>
                <w:highlight w:val="none"/>
              </w:rPr>
            </w:pPr>
            <w:r>
              <w:rPr>
                <w:color w:val="auto"/>
                <w:spacing w:val="7"/>
                <w:highlight w:val="none"/>
              </w:rPr>
              <w:t>13.需出具试验检测报告的现场原位测试；</w:t>
            </w:r>
          </w:p>
        </w:tc>
        <w:tc>
          <w:tcPr>
            <w:tcW w:w="1553" w:type="dxa"/>
            <w:vAlign w:val="top"/>
          </w:tcPr>
          <w:p w14:paraId="0655E8E9">
            <w:pPr>
              <w:pStyle w:val="20"/>
              <w:spacing w:before="31" w:line="228" w:lineRule="auto"/>
              <w:ind w:left="135"/>
              <w:rPr>
                <w:color w:val="auto"/>
                <w:highlight w:val="none"/>
              </w:rPr>
            </w:pPr>
            <w:r>
              <w:rPr>
                <w:color w:val="auto"/>
                <w:spacing w:val="4"/>
                <w:highlight w:val="none"/>
              </w:rPr>
              <w:t>中心试验室</w:t>
            </w:r>
          </w:p>
        </w:tc>
        <w:tc>
          <w:tcPr>
            <w:tcW w:w="1859" w:type="dxa"/>
            <w:vAlign w:val="top"/>
          </w:tcPr>
          <w:p w14:paraId="062AF23C">
            <w:pPr>
              <w:pStyle w:val="20"/>
              <w:spacing w:before="30" w:line="231" w:lineRule="auto"/>
              <w:ind w:left="116"/>
              <w:rPr>
                <w:color w:val="auto"/>
                <w:highlight w:val="none"/>
              </w:rPr>
            </w:pPr>
            <w:r>
              <w:rPr>
                <w:color w:val="auto"/>
                <w:spacing w:val="6"/>
                <w:highlight w:val="none"/>
              </w:rPr>
              <w:t>监理人</w:t>
            </w:r>
          </w:p>
        </w:tc>
      </w:tr>
      <w:tr w14:paraId="1B890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76749E28">
            <w:pPr>
              <w:pStyle w:val="20"/>
              <w:spacing w:before="32" w:line="226" w:lineRule="auto"/>
              <w:ind w:left="130"/>
              <w:rPr>
                <w:color w:val="auto"/>
                <w:highlight w:val="none"/>
              </w:rPr>
            </w:pPr>
            <w:r>
              <w:rPr>
                <w:color w:val="auto"/>
                <w:spacing w:val="7"/>
                <w:highlight w:val="none"/>
              </w:rPr>
              <w:t>14.不需出具试验检测报告的现场原位测试；</w:t>
            </w:r>
          </w:p>
        </w:tc>
        <w:tc>
          <w:tcPr>
            <w:tcW w:w="1553" w:type="dxa"/>
            <w:vAlign w:val="top"/>
          </w:tcPr>
          <w:p w14:paraId="487F751D">
            <w:pPr>
              <w:pStyle w:val="20"/>
              <w:spacing w:before="31" w:line="231" w:lineRule="auto"/>
              <w:ind w:left="116"/>
              <w:rPr>
                <w:color w:val="auto"/>
                <w:highlight w:val="none"/>
              </w:rPr>
            </w:pPr>
            <w:r>
              <w:rPr>
                <w:color w:val="auto"/>
                <w:spacing w:val="6"/>
                <w:highlight w:val="none"/>
              </w:rPr>
              <w:t>监理人</w:t>
            </w:r>
          </w:p>
        </w:tc>
        <w:tc>
          <w:tcPr>
            <w:tcW w:w="1859" w:type="dxa"/>
            <w:vAlign w:val="top"/>
          </w:tcPr>
          <w:p w14:paraId="499B8545">
            <w:pPr>
              <w:pStyle w:val="20"/>
              <w:spacing w:before="32" w:line="228" w:lineRule="auto"/>
              <w:ind w:left="135"/>
              <w:rPr>
                <w:color w:val="auto"/>
                <w:highlight w:val="none"/>
              </w:rPr>
            </w:pPr>
            <w:r>
              <w:rPr>
                <w:color w:val="auto"/>
                <w:spacing w:val="4"/>
                <w:highlight w:val="none"/>
              </w:rPr>
              <w:t>中心试验室</w:t>
            </w:r>
          </w:p>
        </w:tc>
      </w:tr>
      <w:tr w14:paraId="15440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483" w:type="dxa"/>
            <w:vAlign w:val="top"/>
          </w:tcPr>
          <w:p w14:paraId="31F51A4D">
            <w:pPr>
              <w:pStyle w:val="20"/>
              <w:spacing w:before="33" w:line="271" w:lineRule="auto"/>
              <w:ind w:left="116" w:right="225" w:firstLine="13"/>
              <w:rPr>
                <w:color w:val="auto"/>
                <w:highlight w:val="none"/>
              </w:rPr>
            </w:pPr>
            <w:r>
              <w:rPr>
                <w:color w:val="auto"/>
                <w:spacing w:val="8"/>
                <w:highlight w:val="none"/>
              </w:rPr>
              <w:t>15.混凝土拌合站施工配合比使用监控及施工配合比配料</w:t>
            </w:r>
            <w:r>
              <w:rPr>
                <w:color w:val="auto"/>
                <w:spacing w:val="5"/>
                <w:highlight w:val="none"/>
              </w:rPr>
              <w:t>单的签认；</w:t>
            </w:r>
          </w:p>
        </w:tc>
        <w:tc>
          <w:tcPr>
            <w:tcW w:w="1553" w:type="dxa"/>
            <w:vAlign w:val="top"/>
          </w:tcPr>
          <w:p w14:paraId="2A2B9BCB">
            <w:pPr>
              <w:pStyle w:val="20"/>
              <w:spacing w:before="33" w:line="228" w:lineRule="auto"/>
              <w:ind w:left="135"/>
              <w:rPr>
                <w:color w:val="auto"/>
                <w:highlight w:val="none"/>
              </w:rPr>
            </w:pPr>
            <w:r>
              <w:rPr>
                <w:color w:val="auto"/>
                <w:spacing w:val="4"/>
                <w:highlight w:val="none"/>
              </w:rPr>
              <w:t>中心试验室</w:t>
            </w:r>
          </w:p>
        </w:tc>
        <w:tc>
          <w:tcPr>
            <w:tcW w:w="1859" w:type="dxa"/>
            <w:vAlign w:val="top"/>
          </w:tcPr>
          <w:p w14:paraId="0062FDD9">
            <w:pPr>
              <w:pStyle w:val="20"/>
              <w:spacing w:before="32" w:line="231" w:lineRule="auto"/>
              <w:ind w:left="116"/>
              <w:rPr>
                <w:color w:val="auto"/>
                <w:highlight w:val="none"/>
              </w:rPr>
            </w:pPr>
            <w:r>
              <w:rPr>
                <w:color w:val="auto"/>
                <w:spacing w:val="6"/>
                <w:highlight w:val="none"/>
              </w:rPr>
              <w:t>监理人</w:t>
            </w:r>
          </w:p>
        </w:tc>
      </w:tr>
      <w:tr w14:paraId="75831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483" w:type="dxa"/>
            <w:vAlign w:val="top"/>
          </w:tcPr>
          <w:p w14:paraId="14412064">
            <w:pPr>
              <w:pStyle w:val="20"/>
              <w:spacing w:before="33" w:line="271" w:lineRule="auto"/>
              <w:ind w:left="149" w:right="122" w:hanging="35"/>
              <w:rPr>
                <w:color w:val="auto"/>
                <w:highlight w:val="none"/>
              </w:rPr>
            </w:pPr>
            <w:r>
              <w:rPr>
                <w:color w:val="auto"/>
                <w:spacing w:val="9"/>
                <w:highlight w:val="none"/>
              </w:rPr>
              <w:t>*16.混凝土施工过程中混凝土取样、送样等（中心</w:t>
            </w:r>
            <w:r>
              <w:rPr>
                <w:color w:val="auto"/>
                <w:spacing w:val="8"/>
                <w:highlight w:val="none"/>
              </w:rPr>
              <w:t>试验室</w:t>
            </w:r>
            <w:r>
              <w:rPr>
                <w:color w:val="auto"/>
                <w:spacing w:val="-2"/>
                <w:highlight w:val="none"/>
              </w:rPr>
              <w:t>自主取样</w:t>
            </w:r>
            <w:r>
              <w:rPr>
                <w:color w:val="auto"/>
                <w:spacing w:val="1"/>
                <w:highlight w:val="none"/>
              </w:rPr>
              <w:t>）；</w:t>
            </w:r>
          </w:p>
        </w:tc>
        <w:tc>
          <w:tcPr>
            <w:tcW w:w="1553" w:type="dxa"/>
            <w:vAlign w:val="top"/>
          </w:tcPr>
          <w:p w14:paraId="020F6451">
            <w:pPr>
              <w:pStyle w:val="20"/>
              <w:spacing w:before="33" w:line="228" w:lineRule="auto"/>
              <w:ind w:left="135"/>
              <w:rPr>
                <w:color w:val="auto"/>
                <w:highlight w:val="none"/>
              </w:rPr>
            </w:pPr>
            <w:r>
              <w:rPr>
                <w:color w:val="auto"/>
                <w:spacing w:val="4"/>
                <w:highlight w:val="none"/>
              </w:rPr>
              <w:t>中心试验室</w:t>
            </w:r>
          </w:p>
        </w:tc>
        <w:tc>
          <w:tcPr>
            <w:tcW w:w="1859" w:type="dxa"/>
            <w:vAlign w:val="top"/>
          </w:tcPr>
          <w:p w14:paraId="754F1165">
            <w:pPr>
              <w:pStyle w:val="20"/>
              <w:spacing w:before="32" w:line="231" w:lineRule="auto"/>
              <w:ind w:left="116"/>
              <w:rPr>
                <w:color w:val="auto"/>
                <w:highlight w:val="none"/>
              </w:rPr>
            </w:pPr>
            <w:r>
              <w:rPr>
                <w:color w:val="auto"/>
                <w:spacing w:val="6"/>
                <w:highlight w:val="none"/>
              </w:rPr>
              <w:t>监理人</w:t>
            </w:r>
          </w:p>
        </w:tc>
      </w:tr>
      <w:tr w14:paraId="2EBBD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483" w:type="dxa"/>
            <w:vAlign w:val="top"/>
          </w:tcPr>
          <w:p w14:paraId="31792C84">
            <w:pPr>
              <w:pStyle w:val="20"/>
              <w:spacing w:before="32" w:line="271" w:lineRule="auto"/>
              <w:ind w:left="115" w:right="225" w:firstLine="14"/>
              <w:rPr>
                <w:color w:val="auto"/>
                <w:highlight w:val="none"/>
              </w:rPr>
            </w:pPr>
            <w:r>
              <w:rPr>
                <w:color w:val="auto"/>
                <w:spacing w:val="8"/>
                <w:highlight w:val="none"/>
              </w:rPr>
              <w:t>17.施工现场工艺试验内容（如：锚杆、锚索、路基试验</w:t>
            </w:r>
            <w:r>
              <w:rPr>
                <w:color w:val="auto"/>
                <w:spacing w:val="2"/>
                <w:highlight w:val="none"/>
              </w:rPr>
              <w:t>段等）</w:t>
            </w:r>
          </w:p>
        </w:tc>
        <w:tc>
          <w:tcPr>
            <w:tcW w:w="1553" w:type="dxa"/>
            <w:vAlign w:val="top"/>
          </w:tcPr>
          <w:p w14:paraId="7DE68596">
            <w:pPr>
              <w:pStyle w:val="20"/>
              <w:spacing w:before="32" w:line="231" w:lineRule="auto"/>
              <w:ind w:left="116"/>
              <w:rPr>
                <w:color w:val="auto"/>
                <w:highlight w:val="none"/>
              </w:rPr>
            </w:pPr>
            <w:r>
              <w:rPr>
                <w:color w:val="auto"/>
                <w:spacing w:val="6"/>
                <w:highlight w:val="none"/>
              </w:rPr>
              <w:t>监理人</w:t>
            </w:r>
          </w:p>
        </w:tc>
        <w:tc>
          <w:tcPr>
            <w:tcW w:w="1859" w:type="dxa"/>
            <w:vAlign w:val="top"/>
          </w:tcPr>
          <w:p w14:paraId="2C3FDA2E">
            <w:pPr>
              <w:pStyle w:val="20"/>
              <w:spacing w:before="33" w:line="228" w:lineRule="auto"/>
              <w:ind w:left="135"/>
              <w:rPr>
                <w:color w:val="auto"/>
                <w:highlight w:val="none"/>
              </w:rPr>
            </w:pPr>
            <w:r>
              <w:rPr>
                <w:color w:val="auto"/>
                <w:spacing w:val="4"/>
                <w:highlight w:val="none"/>
              </w:rPr>
              <w:t>中心试验室</w:t>
            </w:r>
          </w:p>
        </w:tc>
      </w:tr>
      <w:tr w14:paraId="551C3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5CDC9E80">
            <w:pPr>
              <w:pStyle w:val="20"/>
              <w:spacing w:before="33" w:line="228" w:lineRule="auto"/>
              <w:ind w:left="130"/>
              <w:rPr>
                <w:color w:val="auto"/>
                <w:highlight w:val="none"/>
              </w:rPr>
            </w:pPr>
            <w:r>
              <w:rPr>
                <w:color w:val="auto"/>
                <w:spacing w:val="8"/>
                <w:highlight w:val="none"/>
              </w:rPr>
              <w:t>18.室内工艺性能试验（如：钢筋直螺纹加工、焊接等）</w:t>
            </w:r>
          </w:p>
        </w:tc>
        <w:tc>
          <w:tcPr>
            <w:tcW w:w="1553" w:type="dxa"/>
            <w:vAlign w:val="top"/>
          </w:tcPr>
          <w:p w14:paraId="1AE96200">
            <w:pPr>
              <w:pStyle w:val="20"/>
              <w:spacing w:before="34" w:line="228" w:lineRule="auto"/>
              <w:ind w:left="135"/>
              <w:rPr>
                <w:color w:val="auto"/>
                <w:highlight w:val="none"/>
              </w:rPr>
            </w:pPr>
            <w:r>
              <w:rPr>
                <w:color w:val="auto"/>
                <w:spacing w:val="4"/>
                <w:highlight w:val="none"/>
              </w:rPr>
              <w:t>中心试验室</w:t>
            </w:r>
          </w:p>
        </w:tc>
        <w:tc>
          <w:tcPr>
            <w:tcW w:w="1859" w:type="dxa"/>
            <w:vAlign w:val="top"/>
          </w:tcPr>
          <w:p w14:paraId="76E7DF98">
            <w:pPr>
              <w:pStyle w:val="20"/>
              <w:spacing w:before="33" w:line="231" w:lineRule="auto"/>
              <w:ind w:left="116"/>
              <w:rPr>
                <w:color w:val="auto"/>
                <w:highlight w:val="none"/>
              </w:rPr>
            </w:pPr>
            <w:r>
              <w:rPr>
                <w:color w:val="auto"/>
                <w:spacing w:val="6"/>
                <w:highlight w:val="none"/>
              </w:rPr>
              <w:t>监理人</w:t>
            </w:r>
          </w:p>
        </w:tc>
      </w:tr>
      <w:tr w14:paraId="77B6F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5E4AE490">
            <w:pPr>
              <w:pStyle w:val="20"/>
              <w:spacing w:before="34" w:line="228" w:lineRule="auto"/>
              <w:ind w:left="130"/>
              <w:rPr>
                <w:color w:val="auto"/>
                <w:highlight w:val="none"/>
              </w:rPr>
            </w:pPr>
            <w:r>
              <w:rPr>
                <w:color w:val="auto"/>
                <w:spacing w:val="7"/>
                <w:highlight w:val="none"/>
              </w:rPr>
              <w:t>19.工地试验室人员定期培训及考核</w:t>
            </w:r>
          </w:p>
        </w:tc>
        <w:tc>
          <w:tcPr>
            <w:tcW w:w="1553" w:type="dxa"/>
            <w:vAlign w:val="top"/>
          </w:tcPr>
          <w:p w14:paraId="15EEF93D">
            <w:pPr>
              <w:pStyle w:val="20"/>
              <w:spacing w:before="35" w:line="228" w:lineRule="auto"/>
              <w:ind w:left="135"/>
              <w:rPr>
                <w:color w:val="auto"/>
                <w:highlight w:val="none"/>
              </w:rPr>
            </w:pPr>
            <w:r>
              <w:rPr>
                <w:color w:val="auto"/>
                <w:spacing w:val="4"/>
                <w:highlight w:val="none"/>
              </w:rPr>
              <w:t>中心试验室</w:t>
            </w:r>
          </w:p>
        </w:tc>
        <w:tc>
          <w:tcPr>
            <w:tcW w:w="1859" w:type="dxa"/>
            <w:vAlign w:val="top"/>
          </w:tcPr>
          <w:p w14:paraId="69D60759">
            <w:pPr>
              <w:pStyle w:val="20"/>
              <w:spacing w:before="34" w:line="231" w:lineRule="auto"/>
              <w:ind w:left="116"/>
              <w:rPr>
                <w:color w:val="auto"/>
                <w:highlight w:val="none"/>
              </w:rPr>
            </w:pPr>
            <w:r>
              <w:rPr>
                <w:color w:val="auto"/>
                <w:spacing w:val="6"/>
                <w:highlight w:val="none"/>
              </w:rPr>
              <w:t>监理人</w:t>
            </w:r>
          </w:p>
        </w:tc>
      </w:tr>
      <w:tr w14:paraId="7BB63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20951AD0">
            <w:pPr>
              <w:pStyle w:val="20"/>
              <w:spacing w:before="32" w:line="228" w:lineRule="auto"/>
              <w:ind w:left="117"/>
              <w:rPr>
                <w:color w:val="auto"/>
                <w:highlight w:val="none"/>
              </w:rPr>
            </w:pPr>
            <w:r>
              <w:rPr>
                <w:color w:val="auto"/>
                <w:spacing w:val="6"/>
                <w:highlight w:val="none"/>
              </w:rPr>
              <w:t>20.定期比对试验等；</w:t>
            </w:r>
          </w:p>
        </w:tc>
        <w:tc>
          <w:tcPr>
            <w:tcW w:w="1553" w:type="dxa"/>
            <w:vAlign w:val="top"/>
          </w:tcPr>
          <w:p w14:paraId="69F18FB4">
            <w:pPr>
              <w:pStyle w:val="20"/>
              <w:spacing w:before="32" w:line="228" w:lineRule="auto"/>
              <w:ind w:left="135"/>
              <w:rPr>
                <w:color w:val="auto"/>
                <w:highlight w:val="none"/>
              </w:rPr>
            </w:pPr>
            <w:r>
              <w:rPr>
                <w:color w:val="auto"/>
                <w:spacing w:val="4"/>
                <w:highlight w:val="none"/>
              </w:rPr>
              <w:t>中心试验室</w:t>
            </w:r>
          </w:p>
        </w:tc>
        <w:tc>
          <w:tcPr>
            <w:tcW w:w="1859" w:type="dxa"/>
            <w:vAlign w:val="top"/>
          </w:tcPr>
          <w:p w14:paraId="703C244A">
            <w:pPr>
              <w:pStyle w:val="20"/>
              <w:spacing w:before="31" w:line="231" w:lineRule="auto"/>
              <w:ind w:left="116"/>
              <w:rPr>
                <w:color w:val="auto"/>
                <w:highlight w:val="none"/>
              </w:rPr>
            </w:pPr>
            <w:r>
              <w:rPr>
                <w:color w:val="auto"/>
                <w:spacing w:val="6"/>
                <w:highlight w:val="none"/>
              </w:rPr>
              <w:t>监理人</w:t>
            </w:r>
          </w:p>
        </w:tc>
      </w:tr>
      <w:tr w14:paraId="0920C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26DC7B0A">
            <w:pPr>
              <w:pStyle w:val="20"/>
              <w:spacing w:before="33" w:line="228" w:lineRule="auto"/>
              <w:ind w:left="117"/>
              <w:rPr>
                <w:color w:val="auto"/>
                <w:highlight w:val="none"/>
              </w:rPr>
            </w:pPr>
            <w:r>
              <w:rPr>
                <w:color w:val="auto"/>
                <w:spacing w:val="8"/>
                <w:highlight w:val="none"/>
              </w:rPr>
              <w:t>21.施工单位自检试验委托单位的审核、审批；</w:t>
            </w:r>
          </w:p>
        </w:tc>
        <w:tc>
          <w:tcPr>
            <w:tcW w:w="1553" w:type="dxa"/>
            <w:vAlign w:val="top"/>
          </w:tcPr>
          <w:p w14:paraId="305134AF">
            <w:pPr>
              <w:pStyle w:val="20"/>
              <w:spacing w:before="33" w:line="228" w:lineRule="auto"/>
              <w:ind w:left="135"/>
              <w:rPr>
                <w:color w:val="auto"/>
                <w:highlight w:val="none"/>
              </w:rPr>
            </w:pPr>
            <w:r>
              <w:rPr>
                <w:color w:val="auto"/>
                <w:spacing w:val="4"/>
                <w:highlight w:val="none"/>
              </w:rPr>
              <w:t>中心试验室</w:t>
            </w:r>
          </w:p>
        </w:tc>
        <w:tc>
          <w:tcPr>
            <w:tcW w:w="1859" w:type="dxa"/>
            <w:vAlign w:val="top"/>
          </w:tcPr>
          <w:p w14:paraId="46264CF1">
            <w:pPr>
              <w:pStyle w:val="20"/>
              <w:spacing w:before="32" w:line="231" w:lineRule="auto"/>
              <w:ind w:left="116"/>
              <w:rPr>
                <w:color w:val="auto"/>
                <w:highlight w:val="none"/>
              </w:rPr>
            </w:pPr>
            <w:r>
              <w:rPr>
                <w:color w:val="auto"/>
                <w:spacing w:val="6"/>
                <w:highlight w:val="none"/>
              </w:rPr>
              <w:t>监理人</w:t>
            </w:r>
          </w:p>
        </w:tc>
      </w:tr>
      <w:tr w14:paraId="05653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2FF9C060">
            <w:pPr>
              <w:pStyle w:val="20"/>
              <w:spacing w:before="34" w:line="227" w:lineRule="auto"/>
              <w:ind w:left="117"/>
              <w:rPr>
                <w:color w:val="auto"/>
                <w:highlight w:val="none"/>
              </w:rPr>
            </w:pPr>
            <w:r>
              <w:rPr>
                <w:color w:val="auto"/>
                <w:spacing w:val="8"/>
                <w:highlight w:val="none"/>
              </w:rPr>
              <w:t>22.施工单位特殊材料外委材料的取送样监督；</w:t>
            </w:r>
          </w:p>
        </w:tc>
        <w:tc>
          <w:tcPr>
            <w:tcW w:w="1553" w:type="dxa"/>
            <w:vAlign w:val="top"/>
          </w:tcPr>
          <w:p w14:paraId="3255B229">
            <w:pPr>
              <w:pStyle w:val="20"/>
              <w:spacing w:before="33" w:line="231" w:lineRule="auto"/>
              <w:ind w:left="116"/>
              <w:rPr>
                <w:color w:val="auto"/>
                <w:highlight w:val="none"/>
              </w:rPr>
            </w:pPr>
            <w:r>
              <w:rPr>
                <w:color w:val="auto"/>
                <w:spacing w:val="6"/>
                <w:highlight w:val="none"/>
              </w:rPr>
              <w:t>监理人</w:t>
            </w:r>
          </w:p>
        </w:tc>
        <w:tc>
          <w:tcPr>
            <w:tcW w:w="1859" w:type="dxa"/>
            <w:vAlign w:val="top"/>
          </w:tcPr>
          <w:p w14:paraId="3BE6AF12">
            <w:pPr>
              <w:pStyle w:val="20"/>
              <w:spacing w:before="34" w:line="228" w:lineRule="auto"/>
              <w:ind w:left="135"/>
              <w:rPr>
                <w:color w:val="auto"/>
                <w:highlight w:val="none"/>
              </w:rPr>
            </w:pPr>
            <w:r>
              <w:rPr>
                <w:color w:val="auto"/>
                <w:spacing w:val="4"/>
                <w:highlight w:val="none"/>
              </w:rPr>
              <w:t>中心试验室</w:t>
            </w:r>
          </w:p>
        </w:tc>
      </w:tr>
      <w:tr w14:paraId="19593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5A6BD7BD">
            <w:pPr>
              <w:pStyle w:val="20"/>
              <w:spacing w:before="35" w:line="228" w:lineRule="auto"/>
              <w:ind w:left="117"/>
              <w:rPr>
                <w:color w:val="auto"/>
                <w:highlight w:val="none"/>
              </w:rPr>
            </w:pPr>
            <w:r>
              <w:rPr>
                <w:color w:val="auto"/>
                <w:spacing w:val="8"/>
                <w:highlight w:val="none"/>
              </w:rPr>
              <w:t>23.施工单位自检频率的监控及统计审核；</w:t>
            </w:r>
          </w:p>
        </w:tc>
        <w:tc>
          <w:tcPr>
            <w:tcW w:w="1553" w:type="dxa"/>
            <w:vAlign w:val="top"/>
          </w:tcPr>
          <w:p w14:paraId="36384917">
            <w:pPr>
              <w:pStyle w:val="20"/>
              <w:spacing w:before="35" w:line="228" w:lineRule="auto"/>
              <w:ind w:left="135"/>
              <w:rPr>
                <w:color w:val="auto"/>
                <w:highlight w:val="none"/>
              </w:rPr>
            </w:pPr>
            <w:r>
              <w:rPr>
                <w:color w:val="auto"/>
                <w:spacing w:val="4"/>
                <w:highlight w:val="none"/>
              </w:rPr>
              <w:t>中心试验室</w:t>
            </w:r>
          </w:p>
        </w:tc>
        <w:tc>
          <w:tcPr>
            <w:tcW w:w="1859" w:type="dxa"/>
            <w:vAlign w:val="top"/>
          </w:tcPr>
          <w:p w14:paraId="00527155">
            <w:pPr>
              <w:pStyle w:val="20"/>
              <w:spacing w:before="34" w:line="231" w:lineRule="auto"/>
              <w:ind w:left="116"/>
              <w:rPr>
                <w:color w:val="auto"/>
                <w:highlight w:val="none"/>
              </w:rPr>
            </w:pPr>
            <w:r>
              <w:rPr>
                <w:color w:val="auto"/>
                <w:spacing w:val="6"/>
                <w:highlight w:val="none"/>
              </w:rPr>
              <w:t>监理人</w:t>
            </w:r>
          </w:p>
        </w:tc>
      </w:tr>
      <w:tr w14:paraId="52AF0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55A30E12">
            <w:pPr>
              <w:pStyle w:val="20"/>
              <w:spacing w:before="33" w:line="228" w:lineRule="auto"/>
              <w:ind w:left="117"/>
              <w:rPr>
                <w:color w:val="auto"/>
                <w:highlight w:val="none"/>
              </w:rPr>
            </w:pPr>
            <w:r>
              <w:rPr>
                <w:color w:val="auto"/>
                <w:spacing w:val="8"/>
                <w:highlight w:val="none"/>
              </w:rPr>
              <w:t>24.监理试验抽检频率的统计及跟踪、钢筋保护层测定；</w:t>
            </w:r>
          </w:p>
        </w:tc>
        <w:tc>
          <w:tcPr>
            <w:tcW w:w="1553" w:type="dxa"/>
            <w:vAlign w:val="top"/>
          </w:tcPr>
          <w:p w14:paraId="652D3E44">
            <w:pPr>
              <w:pStyle w:val="20"/>
              <w:spacing w:before="33" w:line="231" w:lineRule="auto"/>
              <w:ind w:left="116"/>
              <w:rPr>
                <w:color w:val="auto"/>
                <w:highlight w:val="none"/>
              </w:rPr>
            </w:pPr>
            <w:r>
              <w:rPr>
                <w:color w:val="auto"/>
                <w:spacing w:val="6"/>
                <w:highlight w:val="none"/>
              </w:rPr>
              <w:t>监理人</w:t>
            </w:r>
          </w:p>
        </w:tc>
        <w:tc>
          <w:tcPr>
            <w:tcW w:w="1859" w:type="dxa"/>
            <w:vAlign w:val="top"/>
          </w:tcPr>
          <w:p w14:paraId="58F8669C">
            <w:pPr>
              <w:pStyle w:val="20"/>
              <w:spacing w:before="34" w:line="228" w:lineRule="auto"/>
              <w:ind w:left="135"/>
              <w:rPr>
                <w:color w:val="auto"/>
                <w:highlight w:val="none"/>
              </w:rPr>
            </w:pPr>
            <w:r>
              <w:rPr>
                <w:color w:val="auto"/>
                <w:spacing w:val="4"/>
                <w:highlight w:val="none"/>
              </w:rPr>
              <w:t>中心试验室</w:t>
            </w:r>
          </w:p>
        </w:tc>
      </w:tr>
      <w:tr w14:paraId="17F88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483" w:type="dxa"/>
            <w:vAlign w:val="top"/>
          </w:tcPr>
          <w:p w14:paraId="00612AB3">
            <w:pPr>
              <w:pStyle w:val="20"/>
              <w:spacing w:before="35" w:line="270" w:lineRule="auto"/>
              <w:ind w:left="116" w:right="225"/>
              <w:rPr>
                <w:color w:val="auto"/>
                <w:highlight w:val="none"/>
              </w:rPr>
            </w:pPr>
            <w:r>
              <w:rPr>
                <w:color w:val="auto"/>
                <w:spacing w:val="9"/>
                <w:highlight w:val="none"/>
              </w:rPr>
              <w:t>25.中间交工验收试验检测工作（结构物外形尺寸、偏位</w:t>
            </w:r>
            <w:r>
              <w:rPr>
                <w:color w:val="auto"/>
                <w:spacing w:val="-1"/>
                <w:highlight w:val="none"/>
              </w:rPr>
              <w:t>等）</w:t>
            </w:r>
          </w:p>
        </w:tc>
        <w:tc>
          <w:tcPr>
            <w:tcW w:w="1553" w:type="dxa"/>
            <w:vAlign w:val="top"/>
          </w:tcPr>
          <w:p w14:paraId="3053A81E">
            <w:pPr>
              <w:pStyle w:val="20"/>
              <w:spacing w:before="33" w:line="231" w:lineRule="auto"/>
              <w:ind w:left="116"/>
              <w:rPr>
                <w:color w:val="auto"/>
                <w:highlight w:val="none"/>
              </w:rPr>
            </w:pPr>
            <w:r>
              <w:rPr>
                <w:color w:val="auto"/>
                <w:spacing w:val="6"/>
                <w:highlight w:val="none"/>
              </w:rPr>
              <w:t>监理人</w:t>
            </w:r>
          </w:p>
        </w:tc>
        <w:tc>
          <w:tcPr>
            <w:tcW w:w="1859" w:type="dxa"/>
            <w:vAlign w:val="top"/>
          </w:tcPr>
          <w:p w14:paraId="26AB60F3">
            <w:pPr>
              <w:pStyle w:val="20"/>
              <w:spacing w:before="34" w:line="228" w:lineRule="auto"/>
              <w:ind w:left="135"/>
              <w:rPr>
                <w:color w:val="auto"/>
                <w:highlight w:val="none"/>
              </w:rPr>
            </w:pPr>
            <w:r>
              <w:rPr>
                <w:color w:val="auto"/>
                <w:spacing w:val="4"/>
                <w:highlight w:val="none"/>
              </w:rPr>
              <w:t>中心试验室</w:t>
            </w:r>
          </w:p>
        </w:tc>
      </w:tr>
      <w:tr w14:paraId="3FD59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483" w:type="dxa"/>
            <w:vAlign w:val="top"/>
          </w:tcPr>
          <w:p w14:paraId="27B51C49">
            <w:pPr>
              <w:pStyle w:val="20"/>
              <w:spacing w:before="35" w:line="270" w:lineRule="auto"/>
              <w:ind w:left="117" w:right="225"/>
              <w:rPr>
                <w:color w:val="auto"/>
                <w:highlight w:val="none"/>
              </w:rPr>
            </w:pPr>
            <w:r>
              <w:rPr>
                <w:color w:val="auto"/>
                <w:spacing w:val="9"/>
                <w:highlight w:val="none"/>
              </w:rPr>
              <w:t>26.中间交工验收试验检测工作（路基压实度、结构物回</w:t>
            </w:r>
            <w:r>
              <w:rPr>
                <w:color w:val="auto"/>
                <w:spacing w:val="6"/>
                <w:highlight w:val="none"/>
              </w:rPr>
              <w:t>弹、保护层等）</w:t>
            </w:r>
          </w:p>
        </w:tc>
        <w:tc>
          <w:tcPr>
            <w:tcW w:w="1553" w:type="dxa"/>
            <w:vAlign w:val="top"/>
          </w:tcPr>
          <w:p w14:paraId="5F07C65B">
            <w:pPr>
              <w:pStyle w:val="20"/>
              <w:spacing w:before="35" w:line="228" w:lineRule="auto"/>
              <w:ind w:left="135"/>
              <w:rPr>
                <w:color w:val="auto"/>
                <w:highlight w:val="none"/>
              </w:rPr>
            </w:pPr>
            <w:r>
              <w:rPr>
                <w:color w:val="auto"/>
                <w:spacing w:val="4"/>
                <w:highlight w:val="none"/>
              </w:rPr>
              <w:t>中心试验室</w:t>
            </w:r>
          </w:p>
        </w:tc>
        <w:tc>
          <w:tcPr>
            <w:tcW w:w="1859" w:type="dxa"/>
            <w:vAlign w:val="top"/>
          </w:tcPr>
          <w:p w14:paraId="5779164D">
            <w:pPr>
              <w:pStyle w:val="20"/>
              <w:spacing w:before="34" w:line="231" w:lineRule="auto"/>
              <w:ind w:left="116"/>
              <w:rPr>
                <w:color w:val="auto"/>
                <w:highlight w:val="none"/>
              </w:rPr>
            </w:pPr>
            <w:r>
              <w:rPr>
                <w:color w:val="auto"/>
                <w:spacing w:val="6"/>
                <w:highlight w:val="none"/>
              </w:rPr>
              <w:t>监理人</w:t>
            </w:r>
          </w:p>
        </w:tc>
      </w:tr>
      <w:tr w14:paraId="307BB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483" w:type="dxa"/>
            <w:vAlign w:val="top"/>
          </w:tcPr>
          <w:p w14:paraId="350110B0">
            <w:pPr>
              <w:pStyle w:val="20"/>
              <w:spacing w:before="35" w:line="228" w:lineRule="auto"/>
              <w:ind w:left="117"/>
              <w:rPr>
                <w:color w:val="auto"/>
                <w:highlight w:val="none"/>
              </w:rPr>
            </w:pPr>
            <w:r>
              <w:rPr>
                <w:color w:val="auto"/>
                <w:spacing w:val="7"/>
                <w:highlight w:val="none"/>
              </w:rPr>
              <w:t>27.交工验收过程中的试验检测工作。</w:t>
            </w:r>
          </w:p>
        </w:tc>
        <w:tc>
          <w:tcPr>
            <w:tcW w:w="1553" w:type="dxa"/>
            <w:vAlign w:val="top"/>
          </w:tcPr>
          <w:p w14:paraId="223D81A9">
            <w:pPr>
              <w:pStyle w:val="20"/>
              <w:spacing w:before="36" w:line="228" w:lineRule="auto"/>
              <w:ind w:left="135"/>
              <w:rPr>
                <w:color w:val="auto"/>
                <w:highlight w:val="none"/>
              </w:rPr>
            </w:pPr>
            <w:r>
              <w:rPr>
                <w:color w:val="auto"/>
                <w:spacing w:val="4"/>
                <w:highlight w:val="none"/>
              </w:rPr>
              <w:t>中心试验室</w:t>
            </w:r>
          </w:p>
        </w:tc>
        <w:tc>
          <w:tcPr>
            <w:tcW w:w="1859" w:type="dxa"/>
            <w:vAlign w:val="top"/>
          </w:tcPr>
          <w:p w14:paraId="2CE025B9">
            <w:pPr>
              <w:pStyle w:val="20"/>
              <w:spacing w:before="35" w:line="231" w:lineRule="auto"/>
              <w:ind w:left="116"/>
              <w:rPr>
                <w:color w:val="auto"/>
                <w:highlight w:val="none"/>
              </w:rPr>
            </w:pPr>
            <w:r>
              <w:rPr>
                <w:color w:val="auto"/>
                <w:spacing w:val="6"/>
                <w:highlight w:val="none"/>
              </w:rPr>
              <w:t>监理人</w:t>
            </w:r>
          </w:p>
        </w:tc>
      </w:tr>
      <w:tr w14:paraId="57E2A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060575C9">
            <w:pPr>
              <w:pStyle w:val="20"/>
              <w:spacing w:before="35" w:line="228" w:lineRule="auto"/>
              <w:ind w:left="117"/>
              <w:rPr>
                <w:color w:val="auto"/>
                <w:highlight w:val="none"/>
              </w:rPr>
            </w:pPr>
            <w:r>
              <w:rPr>
                <w:color w:val="auto"/>
                <w:spacing w:val="8"/>
                <w:highlight w:val="none"/>
              </w:rPr>
              <w:t>28.代表委托人日常质量巡查</w:t>
            </w:r>
          </w:p>
        </w:tc>
        <w:tc>
          <w:tcPr>
            <w:tcW w:w="1553" w:type="dxa"/>
            <w:vAlign w:val="top"/>
          </w:tcPr>
          <w:p w14:paraId="63B7C0FB">
            <w:pPr>
              <w:pStyle w:val="20"/>
              <w:spacing w:before="36" w:line="228" w:lineRule="auto"/>
              <w:ind w:left="135"/>
              <w:rPr>
                <w:color w:val="auto"/>
                <w:highlight w:val="none"/>
              </w:rPr>
            </w:pPr>
            <w:r>
              <w:rPr>
                <w:color w:val="auto"/>
                <w:spacing w:val="4"/>
                <w:highlight w:val="none"/>
              </w:rPr>
              <w:t>中心试验室</w:t>
            </w:r>
          </w:p>
        </w:tc>
        <w:tc>
          <w:tcPr>
            <w:tcW w:w="1859" w:type="dxa"/>
            <w:vAlign w:val="top"/>
          </w:tcPr>
          <w:p w14:paraId="43239B01">
            <w:pPr>
              <w:pStyle w:val="20"/>
              <w:spacing w:before="35" w:line="231" w:lineRule="auto"/>
              <w:ind w:left="116"/>
              <w:rPr>
                <w:color w:val="auto"/>
                <w:highlight w:val="none"/>
              </w:rPr>
            </w:pPr>
            <w:r>
              <w:rPr>
                <w:color w:val="auto"/>
                <w:spacing w:val="6"/>
                <w:highlight w:val="none"/>
              </w:rPr>
              <w:t>监理人</w:t>
            </w:r>
          </w:p>
        </w:tc>
      </w:tr>
      <w:tr w14:paraId="0DCF2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5109D40F">
            <w:pPr>
              <w:pStyle w:val="20"/>
              <w:spacing w:before="34" w:line="227" w:lineRule="auto"/>
              <w:ind w:left="117"/>
              <w:rPr>
                <w:color w:val="auto"/>
                <w:highlight w:val="none"/>
              </w:rPr>
            </w:pPr>
            <w:r>
              <w:rPr>
                <w:color w:val="auto"/>
                <w:spacing w:val="8"/>
                <w:highlight w:val="none"/>
              </w:rPr>
              <w:t>29.全部结构物构件强度回弹</w:t>
            </w:r>
          </w:p>
        </w:tc>
        <w:tc>
          <w:tcPr>
            <w:tcW w:w="1553" w:type="dxa"/>
            <w:vAlign w:val="top"/>
          </w:tcPr>
          <w:p w14:paraId="4AB23FAD">
            <w:pPr>
              <w:pStyle w:val="20"/>
              <w:spacing w:before="35" w:line="228" w:lineRule="auto"/>
              <w:ind w:left="135"/>
              <w:rPr>
                <w:color w:val="auto"/>
                <w:highlight w:val="none"/>
              </w:rPr>
            </w:pPr>
            <w:r>
              <w:rPr>
                <w:color w:val="auto"/>
                <w:spacing w:val="4"/>
                <w:highlight w:val="none"/>
              </w:rPr>
              <w:t>中心试验室</w:t>
            </w:r>
          </w:p>
        </w:tc>
        <w:tc>
          <w:tcPr>
            <w:tcW w:w="1859" w:type="dxa"/>
            <w:vAlign w:val="top"/>
          </w:tcPr>
          <w:p w14:paraId="27D2470D">
            <w:pPr>
              <w:pStyle w:val="20"/>
              <w:spacing w:before="34" w:line="231" w:lineRule="auto"/>
              <w:ind w:left="116"/>
              <w:rPr>
                <w:color w:val="auto"/>
                <w:highlight w:val="none"/>
              </w:rPr>
            </w:pPr>
            <w:r>
              <w:rPr>
                <w:color w:val="auto"/>
                <w:spacing w:val="6"/>
                <w:highlight w:val="none"/>
              </w:rPr>
              <w:t>监理人</w:t>
            </w:r>
          </w:p>
        </w:tc>
      </w:tr>
      <w:tr w14:paraId="25524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3A2C814B">
            <w:pPr>
              <w:pStyle w:val="20"/>
              <w:spacing w:before="35" w:line="227" w:lineRule="auto"/>
              <w:ind w:left="119"/>
              <w:rPr>
                <w:color w:val="auto"/>
                <w:highlight w:val="none"/>
              </w:rPr>
            </w:pPr>
            <w:r>
              <w:rPr>
                <w:color w:val="auto"/>
                <w:spacing w:val="8"/>
                <w:highlight w:val="none"/>
              </w:rPr>
              <w:t>30.附属房建工程的试验检测工作</w:t>
            </w:r>
          </w:p>
        </w:tc>
        <w:tc>
          <w:tcPr>
            <w:tcW w:w="1553" w:type="dxa"/>
            <w:vAlign w:val="top"/>
          </w:tcPr>
          <w:p w14:paraId="1588AE6E">
            <w:pPr>
              <w:pStyle w:val="20"/>
              <w:spacing w:before="36" w:line="228" w:lineRule="auto"/>
              <w:ind w:left="135"/>
              <w:rPr>
                <w:color w:val="auto"/>
                <w:highlight w:val="none"/>
              </w:rPr>
            </w:pPr>
            <w:r>
              <w:rPr>
                <w:color w:val="auto"/>
                <w:spacing w:val="4"/>
                <w:highlight w:val="none"/>
              </w:rPr>
              <w:t>中心试验室</w:t>
            </w:r>
          </w:p>
        </w:tc>
        <w:tc>
          <w:tcPr>
            <w:tcW w:w="1859" w:type="dxa"/>
            <w:vAlign w:val="top"/>
          </w:tcPr>
          <w:p w14:paraId="29FED4A4">
            <w:pPr>
              <w:pStyle w:val="20"/>
              <w:spacing w:before="35" w:line="231" w:lineRule="auto"/>
              <w:ind w:left="116"/>
              <w:rPr>
                <w:color w:val="auto"/>
                <w:highlight w:val="none"/>
              </w:rPr>
            </w:pPr>
            <w:r>
              <w:rPr>
                <w:color w:val="auto"/>
                <w:spacing w:val="6"/>
                <w:highlight w:val="none"/>
              </w:rPr>
              <w:t>监理人</w:t>
            </w:r>
          </w:p>
        </w:tc>
      </w:tr>
      <w:tr w14:paraId="24D55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483" w:type="dxa"/>
            <w:vAlign w:val="top"/>
          </w:tcPr>
          <w:p w14:paraId="04C8B7AB">
            <w:pPr>
              <w:pStyle w:val="20"/>
              <w:spacing w:before="37" w:line="228" w:lineRule="auto"/>
              <w:ind w:left="119"/>
              <w:rPr>
                <w:color w:val="auto"/>
                <w:highlight w:val="none"/>
              </w:rPr>
            </w:pPr>
            <w:r>
              <w:rPr>
                <w:color w:val="auto"/>
                <w:spacing w:val="7"/>
                <w:highlight w:val="none"/>
              </w:rPr>
              <w:t>31.结构物质量评定</w:t>
            </w:r>
          </w:p>
        </w:tc>
        <w:tc>
          <w:tcPr>
            <w:tcW w:w="1553" w:type="dxa"/>
            <w:vAlign w:val="top"/>
          </w:tcPr>
          <w:p w14:paraId="05A270CF">
            <w:pPr>
              <w:pStyle w:val="20"/>
              <w:spacing w:before="36" w:line="231" w:lineRule="auto"/>
              <w:ind w:left="116"/>
              <w:rPr>
                <w:color w:val="auto"/>
                <w:highlight w:val="none"/>
              </w:rPr>
            </w:pPr>
            <w:r>
              <w:rPr>
                <w:color w:val="auto"/>
                <w:spacing w:val="6"/>
                <w:highlight w:val="none"/>
              </w:rPr>
              <w:t>监理人</w:t>
            </w:r>
          </w:p>
        </w:tc>
        <w:tc>
          <w:tcPr>
            <w:tcW w:w="1859" w:type="dxa"/>
            <w:vAlign w:val="top"/>
          </w:tcPr>
          <w:p w14:paraId="2BF083F0">
            <w:pPr>
              <w:pStyle w:val="20"/>
              <w:spacing w:before="37" w:line="228" w:lineRule="auto"/>
              <w:ind w:left="135"/>
              <w:rPr>
                <w:color w:val="auto"/>
                <w:highlight w:val="none"/>
              </w:rPr>
            </w:pPr>
            <w:r>
              <w:rPr>
                <w:color w:val="auto"/>
                <w:spacing w:val="4"/>
                <w:highlight w:val="none"/>
              </w:rPr>
              <w:t>中心试验室</w:t>
            </w:r>
          </w:p>
        </w:tc>
      </w:tr>
      <w:tr w14:paraId="6BFDB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483" w:type="dxa"/>
            <w:vAlign w:val="top"/>
          </w:tcPr>
          <w:p w14:paraId="6380F06A">
            <w:pPr>
              <w:pStyle w:val="20"/>
              <w:spacing w:before="34" w:line="228" w:lineRule="auto"/>
              <w:ind w:left="119"/>
              <w:rPr>
                <w:color w:val="auto"/>
                <w:highlight w:val="none"/>
              </w:rPr>
            </w:pPr>
            <w:r>
              <w:rPr>
                <w:color w:val="auto"/>
                <w:spacing w:val="8"/>
                <w:highlight w:val="none"/>
              </w:rPr>
              <w:t>32.编制检测计划和检测细则</w:t>
            </w:r>
          </w:p>
        </w:tc>
        <w:tc>
          <w:tcPr>
            <w:tcW w:w="1553" w:type="dxa"/>
            <w:vAlign w:val="top"/>
          </w:tcPr>
          <w:p w14:paraId="02EEBAB8">
            <w:pPr>
              <w:pStyle w:val="20"/>
              <w:spacing w:before="35" w:line="228" w:lineRule="auto"/>
              <w:ind w:left="135"/>
              <w:rPr>
                <w:color w:val="auto"/>
                <w:highlight w:val="none"/>
              </w:rPr>
            </w:pPr>
            <w:r>
              <w:rPr>
                <w:color w:val="auto"/>
                <w:spacing w:val="4"/>
                <w:highlight w:val="none"/>
              </w:rPr>
              <w:t>中心试验室</w:t>
            </w:r>
          </w:p>
        </w:tc>
        <w:tc>
          <w:tcPr>
            <w:tcW w:w="1859" w:type="dxa"/>
            <w:vAlign w:val="top"/>
          </w:tcPr>
          <w:p w14:paraId="7F7D7077">
            <w:pPr>
              <w:pStyle w:val="20"/>
              <w:spacing w:before="34" w:line="231" w:lineRule="auto"/>
              <w:ind w:left="116"/>
              <w:rPr>
                <w:color w:val="auto"/>
                <w:highlight w:val="none"/>
              </w:rPr>
            </w:pPr>
            <w:r>
              <w:rPr>
                <w:color w:val="auto"/>
                <w:spacing w:val="6"/>
                <w:highlight w:val="none"/>
              </w:rPr>
              <w:t>监理人</w:t>
            </w:r>
          </w:p>
        </w:tc>
      </w:tr>
    </w:tbl>
    <w:p w14:paraId="18EE251A">
      <w:pPr>
        <w:spacing w:line="268" w:lineRule="auto"/>
        <w:rPr>
          <w:rFonts w:ascii="Arial"/>
          <w:color w:val="auto"/>
          <w:sz w:val="21"/>
          <w:highlight w:val="none"/>
        </w:rPr>
      </w:pPr>
    </w:p>
    <w:p w14:paraId="78FE8D65">
      <w:pPr>
        <w:spacing w:before="78" w:line="219" w:lineRule="auto"/>
        <w:ind w:left="623"/>
        <w:rPr>
          <w:rFonts w:ascii="宋体" w:hAnsi="宋体" w:eastAsia="宋体" w:cs="宋体"/>
          <w:color w:val="auto"/>
          <w:spacing w:val="-2"/>
          <w:sz w:val="22"/>
          <w:szCs w:val="22"/>
          <w:highlight w:val="none"/>
        </w:rPr>
      </w:pPr>
      <w:r>
        <w:rPr>
          <w:rFonts w:ascii="宋体" w:hAnsi="宋体" w:eastAsia="宋体" w:cs="宋体"/>
          <w:color w:val="auto"/>
          <w:spacing w:val="-2"/>
          <w:sz w:val="22"/>
          <w:szCs w:val="22"/>
          <w:highlight w:val="none"/>
        </w:rPr>
        <w:t>13.6.3.</w:t>
      </w:r>
      <w:r>
        <w:rPr>
          <w:rFonts w:ascii="宋体" w:hAnsi="宋体" w:eastAsia="宋体" w:cs="宋体"/>
          <w:color w:val="auto"/>
          <w:spacing w:val="37"/>
          <w:sz w:val="22"/>
          <w:szCs w:val="22"/>
          <w:highlight w:val="none"/>
        </w:rPr>
        <w:t xml:space="preserve"> </w:t>
      </w:r>
      <w:r>
        <w:rPr>
          <w:rFonts w:ascii="宋体" w:hAnsi="宋体" w:eastAsia="宋体" w:cs="宋体"/>
          <w:color w:val="auto"/>
          <w:spacing w:val="-2"/>
          <w:sz w:val="22"/>
          <w:szCs w:val="22"/>
          <w:highlight w:val="none"/>
        </w:rPr>
        <w:t>中心试验室的工程质量监管职责（包含但不限于以下工作）</w:t>
      </w:r>
    </w:p>
    <w:p w14:paraId="0EBEA879">
      <w:pPr>
        <w:spacing w:before="78" w:line="359" w:lineRule="auto"/>
        <w:ind w:right="114" w:firstLine="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（1）按照合同、最新《公路水运工程试验检测管理办法》和《公路工程施工监理</w:t>
      </w:r>
      <w:r>
        <w:rPr>
          <w:rFonts w:ascii="宋体" w:hAnsi="宋体" w:eastAsia="宋体" w:cs="宋体"/>
          <w:color w:val="auto"/>
          <w:spacing w:val="5"/>
          <w:sz w:val="22"/>
          <w:szCs w:val="22"/>
          <w:highlight w:val="none"/>
        </w:rPr>
        <w:t>规范》有关规定，负责工程检测服务合同范围内的验证试验、工艺试验、标准</w:t>
      </w:r>
      <w:r>
        <w:rPr>
          <w:rFonts w:ascii="宋体" w:hAnsi="宋体" w:eastAsia="宋体" w:cs="宋体"/>
          <w:color w:val="auto"/>
          <w:spacing w:val="4"/>
          <w:sz w:val="22"/>
          <w:szCs w:val="22"/>
          <w:highlight w:val="none"/>
        </w:rPr>
        <w:t>试验、</w:t>
      </w:r>
      <w:r>
        <w:rPr>
          <w:rFonts w:ascii="宋体" w:hAnsi="宋体" w:eastAsia="宋体" w:cs="宋体"/>
          <w:color w:val="auto"/>
          <w:sz w:val="22"/>
          <w:szCs w:val="22"/>
          <w:highlight w:val="none"/>
        </w:rPr>
        <w:t>抽检试验、验收试验等工作的采样和试验并出具结论报告</w:t>
      </w:r>
      <w:r>
        <w:rPr>
          <w:rFonts w:ascii="宋体" w:hAnsi="宋体" w:eastAsia="宋体" w:cs="宋体"/>
          <w:color w:val="auto"/>
          <w:spacing w:val="-1"/>
          <w:sz w:val="22"/>
          <w:szCs w:val="22"/>
          <w:highlight w:val="none"/>
        </w:rPr>
        <w:t>，并对其真实性负责。</w:t>
      </w:r>
    </w:p>
    <w:p w14:paraId="78D570AB">
      <w:pPr>
        <w:spacing w:line="359" w:lineRule="auto"/>
        <w:ind w:right="114"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（2）应及时、准确地为委托人或监理工程师提供试验报告、委托人认为有必要的</w:t>
      </w:r>
      <w:r>
        <w:rPr>
          <w:rFonts w:ascii="宋体" w:hAnsi="宋体" w:eastAsia="宋体" w:cs="宋体"/>
          <w:color w:val="auto"/>
          <w:sz w:val="22"/>
          <w:szCs w:val="22"/>
          <w:highlight w:val="none"/>
        </w:rPr>
        <w:t>试验检测分析意见，为监理工程师进行工程质</w:t>
      </w:r>
      <w:r>
        <w:rPr>
          <w:rFonts w:ascii="宋体" w:hAnsi="宋体" w:eastAsia="宋体" w:cs="宋体"/>
          <w:color w:val="auto"/>
          <w:spacing w:val="-1"/>
          <w:sz w:val="22"/>
          <w:szCs w:val="22"/>
          <w:highlight w:val="none"/>
        </w:rPr>
        <w:t>量控制和评估提供依据。</w:t>
      </w:r>
    </w:p>
    <w:p w14:paraId="5E846371">
      <w:pPr>
        <w:spacing w:line="359" w:lineRule="auto"/>
        <w:ind w:left="24" w:firstLine="472"/>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（3）依据监理工程师的工作计划同步编写试验检测工作计划，并报</w:t>
      </w:r>
      <w:r>
        <w:rPr>
          <w:rFonts w:ascii="宋体" w:hAnsi="宋体" w:eastAsia="宋体" w:cs="宋体"/>
          <w:color w:val="auto"/>
          <w:spacing w:val="-3"/>
          <w:sz w:val="22"/>
          <w:szCs w:val="22"/>
          <w:highlight w:val="none"/>
        </w:rPr>
        <w:t>送委托人审批，</w:t>
      </w:r>
      <w:r>
        <w:rPr>
          <w:rFonts w:ascii="宋体" w:hAnsi="宋体" w:eastAsia="宋体" w:cs="宋体"/>
          <w:color w:val="auto"/>
          <w:spacing w:val="-2"/>
          <w:sz w:val="22"/>
          <w:szCs w:val="22"/>
          <w:highlight w:val="none"/>
        </w:rPr>
        <w:t>同时中心试验室应据此安排做好试验检测服务工作。</w:t>
      </w:r>
    </w:p>
    <w:p w14:paraId="6D32B794">
      <w:pPr>
        <w:spacing w:line="359" w:lineRule="auto"/>
        <w:ind w:left="6" w:firstLine="490"/>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（4）根据总监办编制、审批的监理实施细则，参照编制相应的试验</w:t>
      </w:r>
      <w:r>
        <w:rPr>
          <w:rFonts w:ascii="宋体" w:hAnsi="宋体" w:eastAsia="宋体" w:cs="宋体"/>
          <w:color w:val="auto"/>
          <w:spacing w:val="-3"/>
          <w:sz w:val="22"/>
          <w:szCs w:val="22"/>
          <w:highlight w:val="none"/>
        </w:rPr>
        <w:t>检测实施细则，并报送委托人。</w:t>
      </w:r>
    </w:p>
    <w:p w14:paraId="3B2A76BF">
      <w:pPr>
        <w:spacing w:line="219" w:lineRule="auto"/>
        <w:ind w:left="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（5）负责审批施工单位的试验检测工作计划，检查计划执行情况。</w:t>
      </w:r>
    </w:p>
    <w:p w14:paraId="3AC4687C">
      <w:pPr>
        <w:spacing w:before="183" w:line="219" w:lineRule="auto"/>
        <w:ind w:left="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（6）参与委托人组织的施工单位工地试验室临时资质的考核和验收工作。</w:t>
      </w:r>
    </w:p>
    <w:p w14:paraId="4E273AF9">
      <w:pPr>
        <w:spacing w:before="181" w:line="359" w:lineRule="auto"/>
        <w:ind w:left="1" w:right="114" w:firstLine="49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（7）执行监理工程师试验、检测工作指令，以《试验检测业务联系单》的形式传</w:t>
      </w:r>
      <w:r>
        <w:rPr>
          <w:rFonts w:ascii="宋体" w:hAnsi="宋体" w:eastAsia="宋体" w:cs="宋体"/>
          <w:color w:val="auto"/>
          <w:spacing w:val="5"/>
          <w:sz w:val="22"/>
          <w:szCs w:val="22"/>
          <w:highlight w:val="none"/>
        </w:rPr>
        <w:t>递，《试验检测业务联系单》发件人及接收人须签字，相关信息力求详细</w:t>
      </w:r>
      <w:r>
        <w:rPr>
          <w:rFonts w:ascii="宋体" w:hAnsi="宋体" w:eastAsia="宋体" w:cs="宋体"/>
          <w:color w:val="auto"/>
          <w:spacing w:val="4"/>
          <w:sz w:val="22"/>
          <w:szCs w:val="22"/>
          <w:highlight w:val="none"/>
        </w:rPr>
        <w:t>，具有可操</w:t>
      </w:r>
      <w:r>
        <w:rPr>
          <w:rFonts w:ascii="宋体" w:hAnsi="宋体" w:eastAsia="宋体" w:cs="宋体"/>
          <w:color w:val="auto"/>
          <w:spacing w:val="-4"/>
          <w:sz w:val="22"/>
          <w:szCs w:val="22"/>
          <w:highlight w:val="none"/>
        </w:rPr>
        <w:t>作性。</w:t>
      </w:r>
    </w:p>
    <w:p w14:paraId="78911338">
      <w:pPr>
        <w:spacing w:line="359" w:lineRule="auto"/>
        <w:ind w:left="1" w:right="114" w:firstLine="495"/>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（8）负责审查施工单位报审的原材料和混合料试验资料，对主要原材料、主要混</w:t>
      </w:r>
      <w:r>
        <w:rPr>
          <w:rFonts w:ascii="宋体" w:hAnsi="宋体" w:eastAsia="宋体" w:cs="宋体"/>
          <w:color w:val="auto"/>
          <w:sz w:val="22"/>
          <w:szCs w:val="22"/>
          <w:highlight w:val="none"/>
        </w:rPr>
        <w:t>合料的配合比和路基填料的击实试验进行验证试验，并根</w:t>
      </w:r>
      <w:r>
        <w:rPr>
          <w:rFonts w:ascii="宋体" w:hAnsi="宋体" w:eastAsia="宋体" w:cs="宋体"/>
          <w:color w:val="auto"/>
          <w:spacing w:val="-1"/>
          <w:sz w:val="22"/>
          <w:szCs w:val="22"/>
          <w:highlight w:val="none"/>
        </w:rPr>
        <w:t>据验证报告进行批复审批。</w:t>
      </w:r>
    </w:p>
    <w:p w14:paraId="5F2468CF">
      <w:pPr>
        <w:spacing w:before="1" w:line="219" w:lineRule="auto"/>
        <w:ind w:left="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（9）负责审批施工单位的试验检测计划，检查计划执行情况。</w:t>
      </w:r>
    </w:p>
    <w:p w14:paraId="1C07EB01">
      <w:pPr>
        <w:spacing w:before="182" w:line="359" w:lineRule="auto"/>
        <w:ind w:right="75"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（10）中心试验室应在施工单位自检合格基础上按最新《公路工程施工监理规范》</w:t>
      </w:r>
      <w:r>
        <w:rPr>
          <w:rFonts w:ascii="宋体" w:hAnsi="宋体" w:eastAsia="宋体" w:cs="宋体"/>
          <w:color w:val="auto"/>
          <w:spacing w:val="5"/>
          <w:sz w:val="22"/>
          <w:szCs w:val="22"/>
          <w:highlight w:val="none"/>
        </w:rPr>
        <w:t>相关规定进行抽检，并按相关附录格式填写抽检记录，并负责施工单位试验</w:t>
      </w:r>
      <w:r>
        <w:rPr>
          <w:rFonts w:ascii="宋体" w:hAnsi="宋体" w:eastAsia="宋体" w:cs="宋体"/>
          <w:color w:val="auto"/>
          <w:spacing w:val="4"/>
          <w:sz w:val="22"/>
          <w:szCs w:val="22"/>
          <w:highlight w:val="none"/>
        </w:rPr>
        <w:t>检测的见</w:t>
      </w:r>
      <w:r>
        <w:rPr>
          <w:rFonts w:ascii="宋体" w:hAnsi="宋体" w:eastAsia="宋体" w:cs="宋体"/>
          <w:color w:val="auto"/>
          <w:spacing w:val="-1"/>
          <w:sz w:val="22"/>
          <w:szCs w:val="22"/>
          <w:highlight w:val="none"/>
        </w:rPr>
        <w:t>证、旁站和相关资料的签认。</w:t>
      </w:r>
    </w:p>
    <w:p w14:paraId="3B2D34EA">
      <w:pPr>
        <w:spacing w:before="3" w:line="359" w:lineRule="auto"/>
        <w:ind w:left="1" w:right="114" w:firstLine="495"/>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（11）如监理工程师有其他试验、检测工作指</w:t>
      </w:r>
      <w:r>
        <w:rPr>
          <w:rFonts w:ascii="宋体" w:hAnsi="宋体" w:eastAsia="宋体" w:cs="宋体"/>
          <w:color w:val="auto"/>
          <w:spacing w:val="4"/>
          <w:sz w:val="22"/>
          <w:szCs w:val="22"/>
          <w:highlight w:val="none"/>
        </w:rPr>
        <w:t>令，以《试验检测业务联系单》的</w:t>
      </w:r>
      <w:r>
        <w:rPr>
          <w:rFonts w:ascii="宋体" w:hAnsi="宋体" w:eastAsia="宋体" w:cs="宋体"/>
          <w:color w:val="auto"/>
          <w:spacing w:val="5"/>
          <w:sz w:val="22"/>
          <w:szCs w:val="22"/>
          <w:highlight w:val="none"/>
        </w:rPr>
        <w:t>形式传递，《试验检测业务联系单》发件人及接收人须签字，相关信息力</w:t>
      </w:r>
      <w:r>
        <w:rPr>
          <w:rFonts w:ascii="宋体" w:hAnsi="宋体" w:eastAsia="宋体" w:cs="宋体"/>
          <w:color w:val="auto"/>
          <w:spacing w:val="4"/>
          <w:sz w:val="22"/>
          <w:szCs w:val="22"/>
          <w:highlight w:val="none"/>
        </w:rPr>
        <w:t>求详细，具</w:t>
      </w:r>
      <w:r>
        <w:rPr>
          <w:rFonts w:ascii="宋体" w:hAnsi="宋体" w:eastAsia="宋体" w:cs="宋体"/>
          <w:color w:val="auto"/>
          <w:spacing w:val="-3"/>
          <w:sz w:val="22"/>
          <w:szCs w:val="22"/>
          <w:highlight w:val="none"/>
        </w:rPr>
        <w:t>有可操作性。</w:t>
      </w:r>
      <w:r>
        <w:rPr>
          <w:rFonts w:ascii="宋体" w:hAnsi="宋体" w:eastAsia="宋体" w:cs="宋体"/>
          <w:color w:val="auto"/>
          <w:spacing w:val="-66"/>
          <w:sz w:val="22"/>
          <w:szCs w:val="22"/>
          <w:highlight w:val="none"/>
        </w:rPr>
        <w:t xml:space="preserve"> </w:t>
      </w:r>
      <w:r>
        <w:rPr>
          <w:rFonts w:ascii="宋体" w:hAnsi="宋体" w:eastAsia="宋体" w:cs="宋体"/>
          <w:color w:val="auto"/>
          <w:spacing w:val="-3"/>
          <w:sz w:val="22"/>
          <w:szCs w:val="22"/>
          <w:highlight w:val="none"/>
        </w:rPr>
        <w:t>日常代表监理人及发包人的抽检工作以材料或试件抽样单形式进行实施，</w:t>
      </w:r>
      <w:r>
        <w:rPr>
          <w:rFonts w:ascii="宋体" w:hAnsi="宋体" w:eastAsia="宋体" w:cs="宋体"/>
          <w:color w:val="auto"/>
          <w:spacing w:val="-2"/>
          <w:sz w:val="22"/>
          <w:szCs w:val="22"/>
          <w:highlight w:val="none"/>
        </w:rPr>
        <w:t>具有追溯性。</w:t>
      </w:r>
    </w:p>
    <w:p w14:paraId="19785949">
      <w:pPr>
        <w:spacing w:line="358" w:lineRule="auto"/>
        <w:ind w:right="172" w:firstLine="496"/>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（12）参加委托人、监理工程师主持召开的工地例会及相关质量专题分析会</w:t>
      </w:r>
      <w:r>
        <w:rPr>
          <w:rFonts w:ascii="宋体" w:hAnsi="宋体" w:eastAsia="宋体" w:cs="宋体"/>
          <w:color w:val="auto"/>
          <w:spacing w:val="2"/>
          <w:sz w:val="22"/>
          <w:szCs w:val="22"/>
          <w:highlight w:val="none"/>
        </w:rPr>
        <w:t>议，</w:t>
      </w:r>
      <w:r>
        <w:rPr>
          <w:rFonts w:ascii="宋体" w:hAnsi="宋体" w:eastAsia="宋体" w:cs="宋体"/>
          <w:color w:val="auto"/>
          <w:spacing w:val="-1"/>
          <w:sz w:val="22"/>
          <w:szCs w:val="22"/>
          <w:highlight w:val="none"/>
        </w:rPr>
        <w:t>通报有关工程质量检测实施情况和试验检测结果。</w:t>
      </w:r>
    </w:p>
    <w:p w14:paraId="7E9054C6">
      <w:pPr>
        <w:spacing w:line="359" w:lineRule="auto"/>
        <w:ind w:left="2" w:right="114" w:firstLine="494"/>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（13）协助委托人调查处理施工单位的质量问</w:t>
      </w:r>
      <w:r>
        <w:rPr>
          <w:rFonts w:ascii="宋体" w:hAnsi="宋体" w:eastAsia="宋体" w:cs="宋体"/>
          <w:color w:val="auto"/>
          <w:spacing w:val="4"/>
          <w:sz w:val="22"/>
          <w:szCs w:val="22"/>
          <w:highlight w:val="none"/>
        </w:rPr>
        <w:t>题、事故，并向监理工程师和委托</w:t>
      </w:r>
      <w:r>
        <w:rPr>
          <w:rFonts w:ascii="宋体" w:hAnsi="宋体" w:eastAsia="宋体" w:cs="宋体"/>
          <w:color w:val="auto"/>
          <w:spacing w:val="-1"/>
          <w:sz w:val="22"/>
          <w:szCs w:val="22"/>
          <w:highlight w:val="none"/>
        </w:rPr>
        <w:t>人报告在检测中发现的问题。</w:t>
      </w:r>
    </w:p>
    <w:p w14:paraId="73ADEB81">
      <w:pPr>
        <w:spacing w:before="1" w:line="361" w:lineRule="auto"/>
        <w:ind w:left="7" w:right="114" w:firstLine="489"/>
        <w:rPr>
          <w:rFonts w:ascii="Arial"/>
          <w:color w:val="auto"/>
          <w:sz w:val="21"/>
          <w:highlight w:val="none"/>
        </w:rPr>
      </w:pPr>
      <w:r>
        <w:rPr>
          <w:rFonts w:ascii="宋体" w:hAnsi="宋体" w:eastAsia="宋体" w:cs="宋体"/>
          <w:color w:val="auto"/>
          <w:spacing w:val="5"/>
          <w:sz w:val="22"/>
          <w:szCs w:val="22"/>
          <w:highlight w:val="none"/>
        </w:rPr>
        <w:t>（14）参与监理工程师组织的工程质量评定工</w:t>
      </w:r>
      <w:r>
        <w:rPr>
          <w:rFonts w:ascii="宋体" w:hAnsi="宋体" w:eastAsia="宋体" w:cs="宋体"/>
          <w:color w:val="auto"/>
          <w:spacing w:val="4"/>
          <w:sz w:val="22"/>
          <w:szCs w:val="22"/>
          <w:highlight w:val="none"/>
        </w:rPr>
        <w:t>作，编制中心试验室试验检测工作</w:t>
      </w:r>
      <w:r>
        <w:rPr>
          <w:rFonts w:ascii="宋体" w:hAnsi="宋体" w:eastAsia="宋体" w:cs="宋体"/>
          <w:color w:val="auto"/>
          <w:spacing w:val="-4"/>
          <w:sz w:val="22"/>
          <w:szCs w:val="22"/>
          <w:highlight w:val="none"/>
        </w:rPr>
        <w:t>总结报告。</w:t>
      </w:r>
    </w:p>
    <w:p w14:paraId="21E8083F">
      <w:pPr>
        <w:spacing w:before="78" w:line="359" w:lineRule="auto"/>
        <w:ind w:left="1" w:firstLine="495"/>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（15）参加监理工程师组织的中间交工验收、</w:t>
      </w:r>
      <w:r>
        <w:rPr>
          <w:rFonts w:ascii="宋体" w:hAnsi="宋体" w:eastAsia="宋体" w:cs="宋体"/>
          <w:color w:val="auto"/>
          <w:spacing w:val="4"/>
          <w:sz w:val="22"/>
          <w:szCs w:val="22"/>
          <w:highlight w:val="none"/>
        </w:rPr>
        <w:t>委托人组织的交工验收和上级行业</w:t>
      </w:r>
      <w:r>
        <w:rPr>
          <w:rFonts w:ascii="宋体" w:hAnsi="宋体" w:eastAsia="宋体" w:cs="宋体"/>
          <w:color w:val="auto"/>
          <w:spacing w:val="-1"/>
          <w:sz w:val="22"/>
          <w:szCs w:val="22"/>
          <w:highlight w:val="none"/>
        </w:rPr>
        <w:t>质监主管部门组织的检查及竣工验收。</w:t>
      </w:r>
    </w:p>
    <w:p w14:paraId="3D41B751">
      <w:pPr>
        <w:spacing w:line="219" w:lineRule="auto"/>
        <w:ind w:left="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（16）根据合同文件规定，承担委托人授予的其他权利和义务。</w:t>
      </w:r>
    </w:p>
    <w:p w14:paraId="59F2401A">
      <w:pPr>
        <w:spacing w:before="181" w:line="359" w:lineRule="auto"/>
        <w:ind w:left="2" w:firstLine="495"/>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13.6.4 如监理人与中心试验室在试验检测工作界面存在冲突或模糊，或根据工程</w:t>
      </w:r>
      <w:r>
        <w:rPr>
          <w:rFonts w:ascii="宋体" w:hAnsi="宋体" w:eastAsia="宋体" w:cs="宋体"/>
          <w:color w:val="auto"/>
          <w:spacing w:val="5"/>
          <w:sz w:val="22"/>
          <w:szCs w:val="22"/>
          <w:highlight w:val="none"/>
        </w:rPr>
        <w:t>实际需要调整工作界面时，委托人将予以进一步明确或重新调整工作界</w:t>
      </w:r>
      <w:r>
        <w:rPr>
          <w:rFonts w:ascii="宋体" w:hAnsi="宋体" w:eastAsia="宋体" w:cs="宋体"/>
          <w:color w:val="auto"/>
          <w:spacing w:val="4"/>
          <w:sz w:val="22"/>
          <w:szCs w:val="22"/>
          <w:highlight w:val="none"/>
        </w:rPr>
        <w:t>面划分，监理</w:t>
      </w:r>
      <w:r>
        <w:rPr>
          <w:rFonts w:ascii="宋体" w:hAnsi="宋体" w:eastAsia="宋体" w:cs="宋体"/>
          <w:color w:val="auto"/>
          <w:spacing w:val="-1"/>
          <w:sz w:val="22"/>
          <w:szCs w:val="22"/>
          <w:highlight w:val="none"/>
        </w:rPr>
        <w:t>人与中心试验室均须无条件服从委托人的协调和安排。</w:t>
      </w:r>
    </w:p>
    <w:p w14:paraId="1DA5C4EC">
      <w:pPr>
        <w:spacing w:line="359" w:lineRule="auto"/>
        <w:ind w:left="4" w:firstLine="493"/>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13.7</w:t>
      </w:r>
      <w:r>
        <w:rPr>
          <w:rFonts w:ascii="宋体" w:hAnsi="宋体" w:eastAsia="宋体" w:cs="宋体"/>
          <w:color w:val="auto"/>
          <w:spacing w:val="-31"/>
          <w:sz w:val="22"/>
          <w:szCs w:val="22"/>
          <w:highlight w:val="none"/>
        </w:rPr>
        <w:t xml:space="preserve"> </w:t>
      </w:r>
      <w:r>
        <w:rPr>
          <w:rFonts w:ascii="宋体" w:hAnsi="宋体" w:eastAsia="宋体" w:cs="宋体"/>
          <w:color w:val="auto"/>
          <w:spacing w:val="2"/>
          <w:sz w:val="22"/>
          <w:szCs w:val="22"/>
          <w:highlight w:val="none"/>
        </w:rPr>
        <w:t>监理人应根据本项目施工图纸及合同等相关要求，对承包人的线外工程及取</w:t>
      </w:r>
      <w:r>
        <w:rPr>
          <w:rFonts w:ascii="宋体" w:hAnsi="宋体" w:eastAsia="宋体" w:cs="宋体"/>
          <w:color w:val="auto"/>
          <w:spacing w:val="-2"/>
          <w:sz w:val="22"/>
          <w:szCs w:val="22"/>
          <w:highlight w:val="none"/>
        </w:rPr>
        <w:t>弃土场进行监理。</w:t>
      </w:r>
    </w:p>
    <w:p w14:paraId="71EBCABD">
      <w:pPr>
        <w:spacing w:line="219" w:lineRule="auto"/>
        <w:ind w:left="498"/>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13.8</w:t>
      </w:r>
      <w:r>
        <w:rPr>
          <w:rFonts w:ascii="宋体" w:hAnsi="宋体" w:eastAsia="宋体" w:cs="宋体"/>
          <w:color w:val="auto"/>
          <w:spacing w:val="-37"/>
          <w:sz w:val="24"/>
          <w:szCs w:val="24"/>
          <w:highlight w:val="none"/>
        </w:rPr>
        <w:t xml:space="preserve"> </w:t>
      </w:r>
      <w:r>
        <w:rPr>
          <w:rFonts w:ascii="宋体" w:hAnsi="宋体" w:eastAsia="宋体" w:cs="宋体"/>
          <w:b/>
          <w:bCs/>
          <w:color w:val="auto"/>
          <w:spacing w:val="-5"/>
          <w:sz w:val="24"/>
          <w:szCs w:val="24"/>
          <w:highlight w:val="none"/>
        </w:rPr>
        <w:t>关于过程结算的补充条款</w:t>
      </w:r>
    </w:p>
    <w:p w14:paraId="4FE4323E">
      <w:pPr>
        <w:spacing w:before="182" w:line="359" w:lineRule="auto"/>
        <w:ind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（1）按照《广东省交通运输厅关于印发广东省公路建设项目过程结算工作指导意</w:t>
      </w:r>
      <w:r>
        <w:rPr>
          <w:rFonts w:ascii="宋体" w:hAnsi="宋体" w:eastAsia="宋体" w:cs="宋体"/>
          <w:color w:val="auto"/>
          <w:spacing w:val="-2"/>
          <w:sz w:val="22"/>
          <w:szCs w:val="22"/>
          <w:highlight w:val="none"/>
        </w:rPr>
        <w:t>见的通知》</w:t>
      </w:r>
      <w:r>
        <w:rPr>
          <w:rFonts w:ascii="宋体" w:hAnsi="宋体" w:eastAsia="宋体" w:cs="宋体"/>
          <w:color w:val="auto"/>
          <w:spacing w:val="71"/>
          <w:sz w:val="22"/>
          <w:szCs w:val="22"/>
          <w:highlight w:val="none"/>
        </w:rPr>
        <w:t xml:space="preserve"> </w:t>
      </w:r>
      <w:r>
        <w:rPr>
          <w:rFonts w:ascii="宋体" w:hAnsi="宋体" w:eastAsia="宋体" w:cs="宋体"/>
          <w:color w:val="auto"/>
          <w:spacing w:val="-2"/>
          <w:sz w:val="22"/>
          <w:szCs w:val="22"/>
          <w:highlight w:val="none"/>
        </w:rPr>
        <w:t>(粤交基 〔2022〕488</w:t>
      </w:r>
      <w:r>
        <w:rPr>
          <w:rFonts w:ascii="宋体" w:hAnsi="宋体" w:eastAsia="宋体" w:cs="宋体"/>
          <w:color w:val="auto"/>
          <w:spacing w:val="-45"/>
          <w:sz w:val="22"/>
          <w:szCs w:val="22"/>
          <w:highlight w:val="none"/>
        </w:rPr>
        <w:t xml:space="preserve"> </w:t>
      </w:r>
      <w:r>
        <w:rPr>
          <w:rFonts w:ascii="宋体" w:hAnsi="宋体" w:eastAsia="宋体" w:cs="宋体"/>
          <w:color w:val="auto"/>
          <w:spacing w:val="-2"/>
          <w:sz w:val="22"/>
          <w:szCs w:val="22"/>
          <w:highlight w:val="none"/>
        </w:rPr>
        <w:t>号)的规定，委托人根据实际情况开展监理费用的过</w:t>
      </w:r>
      <w:r>
        <w:rPr>
          <w:rFonts w:ascii="宋体" w:hAnsi="宋体" w:eastAsia="宋体" w:cs="宋体"/>
          <w:color w:val="auto"/>
          <w:spacing w:val="-1"/>
          <w:sz w:val="22"/>
          <w:szCs w:val="22"/>
          <w:highlight w:val="none"/>
        </w:rPr>
        <w:t>程结算时，监理人应无条件配合。</w:t>
      </w:r>
    </w:p>
    <w:p w14:paraId="3A99BDFC">
      <w:pPr>
        <w:spacing w:before="1" w:line="359" w:lineRule="auto"/>
        <w:ind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（2）施工过程中，监理人应督促各施工单位按广东省《公路工程造价管理指南》</w:t>
      </w:r>
      <w:r>
        <w:rPr>
          <w:rFonts w:ascii="宋体" w:hAnsi="宋体" w:eastAsia="宋体" w:cs="宋体"/>
          <w:color w:val="auto"/>
          <w:spacing w:val="5"/>
          <w:sz w:val="22"/>
          <w:szCs w:val="22"/>
          <w:highlight w:val="none"/>
        </w:rPr>
        <w:t>及施工合同要求编制过程结算文件，并对其编制的过程结算、竣工图进行初审</w:t>
      </w:r>
      <w:r>
        <w:rPr>
          <w:rFonts w:ascii="宋体" w:hAnsi="宋体" w:eastAsia="宋体" w:cs="宋体"/>
          <w:color w:val="auto"/>
          <w:spacing w:val="4"/>
          <w:sz w:val="22"/>
          <w:szCs w:val="22"/>
          <w:highlight w:val="none"/>
        </w:rPr>
        <w:t>，构成</w:t>
      </w:r>
      <w:r>
        <w:rPr>
          <w:rFonts w:ascii="宋体" w:hAnsi="宋体" w:eastAsia="宋体" w:cs="宋体"/>
          <w:color w:val="auto"/>
          <w:spacing w:val="-1"/>
          <w:sz w:val="22"/>
          <w:szCs w:val="22"/>
          <w:highlight w:val="none"/>
        </w:rPr>
        <w:t>公路建设项目竣工档案资料的组成部分。</w:t>
      </w:r>
    </w:p>
    <w:p w14:paraId="6EF9E1A4">
      <w:pPr>
        <w:spacing w:before="1" w:line="219" w:lineRule="auto"/>
        <w:ind w:left="498"/>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13.9</w:t>
      </w:r>
      <w:r>
        <w:rPr>
          <w:rFonts w:ascii="宋体" w:hAnsi="宋体" w:eastAsia="宋体" w:cs="宋体"/>
          <w:color w:val="auto"/>
          <w:spacing w:val="-46"/>
          <w:sz w:val="24"/>
          <w:szCs w:val="24"/>
          <w:highlight w:val="none"/>
        </w:rPr>
        <w:t xml:space="preserve"> </w:t>
      </w:r>
      <w:r>
        <w:rPr>
          <w:rFonts w:ascii="宋体" w:hAnsi="宋体" w:eastAsia="宋体" w:cs="宋体"/>
          <w:b/>
          <w:bCs/>
          <w:color w:val="auto"/>
          <w:spacing w:val="-7"/>
          <w:sz w:val="24"/>
          <w:szCs w:val="24"/>
          <w:highlight w:val="none"/>
        </w:rPr>
        <w:t>监理改革</w:t>
      </w:r>
    </w:p>
    <w:p w14:paraId="7463EC15">
      <w:pPr>
        <w:spacing w:before="182" w:line="359" w:lineRule="auto"/>
        <w:ind w:firstLine="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 监理定位。监理单位是受建设单位委托的受托方，在项目管理中不作为独</w:t>
      </w:r>
      <w:r>
        <w:rPr>
          <w:rFonts w:ascii="宋体" w:hAnsi="宋体" w:eastAsia="宋体" w:cs="宋体"/>
          <w:color w:val="auto"/>
          <w:spacing w:val="5"/>
          <w:sz w:val="22"/>
          <w:szCs w:val="22"/>
          <w:highlight w:val="none"/>
        </w:rPr>
        <w:t>立的第三方，是建设单位的协助管理方，应承担监理主体责任，按合同约定</w:t>
      </w:r>
      <w:r>
        <w:rPr>
          <w:rFonts w:ascii="宋体" w:hAnsi="宋体" w:eastAsia="宋体" w:cs="宋体"/>
          <w:color w:val="auto"/>
          <w:spacing w:val="4"/>
          <w:sz w:val="22"/>
          <w:szCs w:val="22"/>
          <w:highlight w:val="none"/>
        </w:rPr>
        <w:t>提供监理</w:t>
      </w:r>
      <w:r>
        <w:rPr>
          <w:rFonts w:ascii="宋体" w:hAnsi="宋体" w:eastAsia="宋体" w:cs="宋体"/>
          <w:color w:val="auto"/>
          <w:spacing w:val="-1"/>
          <w:sz w:val="22"/>
          <w:szCs w:val="22"/>
          <w:highlight w:val="none"/>
        </w:rPr>
        <w:t>服务，支撑建设单位落实首要责任与施工单位落实施工主体责任。</w:t>
      </w:r>
    </w:p>
    <w:p w14:paraId="66670B25">
      <w:pPr>
        <w:spacing w:before="1" w:line="220" w:lineRule="auto"/>
        <w:ind w:left="49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13.9.2</w:t>
      </w:r>
      <w:r>
        <w:rPr>
          <w:rFonts w:ascii="宋体" w:hAnsi="宋体" w:eastAsia="宋体" w:cs="宋体"/>
          <w:color w:val="auto"/>
          <w:spacing w:val="-49"/>
          <w:sz w:val="22"/>
          <w:szCs w:val="22"/>
          <w:highlight w:val="none"/>
        </w:rPr>
        <w:t xml:space="preserve"> </w:t>
      </w:r>
      <w:r>
        <w:rPr>
          <w:rFonts w:ascii="宋体" w:hAnsi="宋体" w:eastAsia="宋体" w:cs="宋体"/>
          <w:color w:val="auto"/>
          <w:spacing w:val="-4"/>
          <w:sz w:val="22"/>
          <w:szCs w:val="22"/>
          <w:highlight w:val="none"/>
        </w:rPr>
        <w:t>监理职责</w:t>
      </w:r>
    </w:p>
    <w:p w14:paraId="087175FE">
      <w:pPr>
        <w:spacing w:before="180" w:line="359" w:lineRule="auto"/>
        <w:ind w:left="1" w:firstLine="480"/>
        <w:jc w:val="both"/>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监理机构受建设单位委托，按合同约定对公路工程施工质量、安全、环（水）保等实施监管，协助建设单位开展费用、进度、合同、信息管理和协调等工</w:t>
      </w:r>
      <w:r>
        <w:rPr>
          <w:rFonts w:ascii="宋体" w:hAnsi="宋体" w:eastAsia="宋体" w:cs="宋体"/>
          <w:color w:val="auto"/>
          <w:spacing w:val="4"/>
          <w:sz w:val="22"/>
          <w:szCs w:val="22"/>
          <w:highlight w:val="none"/>
        </w:rPr>
        <w:t>作。监理机</w:t>
      </w:r>
      <w:r>
        <w:rPr>
          <w:rFonts w:ascii="宋体" w:hAnsi="宋体" w:eastAsia="宋体" w:cs="宋体"/>
          <w:color w:val="auto"/>
          <w:spacing w:val="5"/>
          <w:sz w:val="22"/>
          <w:szCs w:val="22"/>
          <w:highlight w:val="none"/>
        </w:rPr>
        <w:t>构应定期评价施工单位的质量、安全、环（水）保管理体系运行情况，适</w:t>
      </w:r>
      <w:r>
        <w:rPr>
          <w:rFonts w:ascii="宋体" w:hAnsi="宋体" w:eastAsia="宋体" w:cs="宋体"/>
          <w:color w:val="auto"/>
          <w:spacing w:val="4"/>
          <w:sz w:val="22"/>
          <w:szCs w:val="22"/>
          <w:highlight w:val="none"/>
        </w:rPr>
        <w:t>时开展差异</w:t>
      </w:r>
      <w:r>
        <w:rPr>
          <w:rFonts w:ascii="宋体" w:hAnsi="宋体" w:eastAsia="宋体" w:cs="宋体"/>
          <w:color w:val="auto"/>
          <w:spacing w:val="5"/>
          <w:sz w:val="22"/>
          <w:szCs w:val="22"/>
          <w:highlight w:val="none"/>
        </w:rPr>
        <w:t>化管理等监理工作，与建设单位共同推进项目建设的管理工作。在施工过</w:t>
      </w:r>
      <w:r>
        <w:rPr>
          <w:rFonts w:ascii="宋体" w:hAnsi="宋体" w:eastAsia="宋体" w:cs="宋体"/>
          <w:color w:val="auto"/>
          <w:spacing w:val="4"/>
          <w:sz w:val="22"/>
          <w:szCs w:val="22"/>
          <w:highlight w:val="none"/>
        </w:rPr>
        <w:t>程中定期或</w:t>
      </w:r>
      <w:r>
        <w:rPr>
          <w:rFonts w:ascii="宋体" w:hAnsi="宋体" w:eastAsia="宋体" w:cs="宋体"/>
          <w:color w:val="auto"/>
          <w:spacing w:val="5"/>
          <w:sz w:val="22"/>
          <w:szCs w:val="22"/>
          <w:highlight w:val="none"/>
        </w:rPr>
        <w:t>不定期对施工单位的档案的及时性、完整性、准确性进行监督、检查。公</w:t>
      </w:r>
      <w:r>
        <w:rPr>
          <w:rFonts w:ascii="宋体" w:hAnsi="宋体" w:eastAsia="宋体" w:cs="宋体"/>
          <w:color w:val="auto"/>
          <w:spacing w:val="4"/>
          <w:sz w:val="22"/>
          <w:szCs w:val="22"/>
          <w:highlight w:val="none"/>
        </w:rPr>
        <w:t>路工程监理</w:t>
      </w:r>
      <w:r>
        <w:rPr>
          <w:rFonts w:ascii="宋体" w:hAnsi="宋体" w:eastAsia="宋体" w:cs="宋体"/>
          <w:color w:val="auto"/>
          <w:spacing w:val="5"/>
          <w:sz w:val="22"/>
          <w:szCs w:val="22"/>
          <w:highlight w:val="none"/>
        </w:rPr>
        <w:t>实行总监负责制，中心试验室单独招标时，总监和中心试验室主任应分别</w:t>
      </w:r>
      <w:r>
        <w:rPr>
          <w:rFonts w:ascii="宋体" w:hAnsi="宋体" w:eastAsia="宋体" w:cs="宋体"/>
          <w:color w:val="auto"/>
          <w:spacing w:val="4"/>
          <w:sz w:val="22"/>
          <w:szCs w:val="22"/>
          <w:highlight w:val="none"/>
        </w:rPr>
        <w:t>对合同授权</w:t>
      </w:r>
      <w:r>
        <w:rPr>
          <w:rFonts w:ascii="宋体" w:hAnsi="宋体" w:eastAsia="宋体" w:cs="宋体"/>
          <w:color w:val="auto"/>
          <w:spacing w:val="-1"/>
          <w:sz w:val="22"/>
          <w:szCs w:val="22"/>
          <w:highlight w:val="none"/>
        </w:rPr>
        <w:t>范围内的监理工作负责。</w:t>
      </w:r>
    </w:p>
    <w:p w14:paraId="363B40AE">
      <w:pPr>
        <w:spacing w:before="1" w:line="219" w:lineRule="auto"/>
        <w:ind w:left="49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13.9.3</w:t>
      </w:r>
      <w:r>
        <w:rPr>
          <w:rFonts w:ascii="宋体" w:hAnsi="宋体" w:eastAsia="宋体" w:cs="宋体"/>
          <w:color w:val="auto"/>
          <w:spacing w:val="-41"/>
          <w:sz w:val="22"/>
          <w:szCs w:val="22"/>
          <w:highlight w:val="none"/>
        </w:rPr>
        <w:t xml:space="preserve"> </w:t>
      </w:r>
      <w:r>
        <w:rPr>
          <w:rFonts w:ascii="宋体" w:hAnsi="宋体" w:eastAsia="宋体" w:cs="宋体"/>
          <w:color w:val="auto"/>
          <w:spacing w:val="-4"/>
          <w:sz w:val="22"/>
          <w:szCs w:val="22"/>
          <w:highlight w:val="none"/>
        </w:rPr>
        <w:t>分包管理职责</w:t>
      </w:r>
    </w:p>
    <w:p w14:paraId="5EA076B6">
      <w:pPr>
        <w:spacing w:before="180" w:line="362" w:lineRule="auto"/>
        <w:ind w:left="3" w:firstLine="47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监理人按照《广东省交通运输厅关于印发《广东省交通</w:t>
      </w:r>
      <w:r>
        <w:rPr>
          <w:rFonts w:ascii="宋体" w:hAnsi="宋体" w:eastAsia="宋体" w:cs="宋体"/>
          <w:color w:val="auto"/>
          <w:spacing w:val="1"/>
          <w:sz w:val="22"/>
          <w:szCs w:val="22"/>
          <w:highlight w:val="none"/>
        </w:rPr>
        <w:t>运输厅&lt;关于公路工程施工</w:t>
      </w:r>
      <w:r>
        <w:rPr>
          <w:rFonts w:ascii="宋体" w:hAnsi="宋体" w:eastAsia="宋体" w:cs="宋体"/>
          <w:color w:val="auto"/>
          <w:spacing w:val="2"/>
          <w:sz w:val="22"/>
          <w:szCs w:val="22"/>
          <w:highlight w:val="none"/>
        </w:rPr>
        <w:t>分包管理实施细则&gt;的通知》（粤交〔2025〕1</w:t>
      </w:r>
      <w:r>
        <w:rPr>
          <w:rFonts w:ascii="宋体" w:hAnsi="宋体" w:eastAsia="宋体" w:cs="宋体"/>
          <w:color w:val="auto"/>
          <w:spacing w:val="-24"/>
          <w:sz w:val="22"/>
          <w:szCs w:val="22"/>
          <w:highlight w:val="none"/>
        </w:rPr>
        <w:t xml:space="preserve"> </w:t>
      </w:r>
      <w:r>
        <w:rPr>
          <w:rFonts w:ascii="宋体" w:hAnsi="宋体" w:eastAsia="宋体" w:cs="宋体"/>
          <w:color w:val="auto"/>
          <w:spacing w:val="2"/>
          <w:sz w:val="22"/>
          <w:szCs w:val="22"/>
          <w:highlight w:val="none"/>
        </w:rPr>
        <w:t>号）文件的相关管理规定和合同约定，</w:t>
      </w:r>
      <w:r>
        <w:rPr>
          <w:rFonts w:ascii="宋体" w:hAnsi="宋体" w:eastAsia="宋体" w:cs="宋体"/>
          <w:color w:val="auto"/>
          <w:spacing w:val="5"/>
          <w:sz w:val="22"/>
          <w:szCs w:val="22"/>
          <w:highlight w:val="none"/>
        </w:rPr>
        <w:t>负责对所监理合同段的施工分包活动的监理管理，发现</w:t>
      </w:r>
      <w:r>
        <w:rPr>
          <w:rFonts w:ascii="宋体" w:hAnsi="宋体" w:eastAsia="宋体" w:cs="宋体"/>
          <w:color w:val="auto"/>
          <w:spacing w:val="4"/>
          <w:sz w:val="22"/>
          <w:szCs w:val="22"/>
          <w:highlight w:val="none"/>
        </w:rPr>
        <w:t>承包人转包或违法分包行为应</w:t>
      </w:r>
      <w:r>
        <w:rPr>
          <w:rFonts w:ascii="宋体" w:hAnsi="宋体" w:eastAsia="宋体" w:cs="宋体"/>
          <w:color w:val="auto"/>
          <w:spacing w:val="-1"/>
          <w:sz w:val="22"/>
          <w:szCs w:val="22"/>
          <w:highlight w:val="none"/>
        </w:rPr>
        <w:t>及时制止，并通知委托人。监理人在收到承包人提</w:t>
      </w:r>
      <w:r>
        <w:rPr>
          <w:rFonts w:ascii="宋体" w:hAnsi="宋体" w:eastAsia="宋体" w:cs="宋体"/>
          <w:color w:val="auto"/>
          <w:spacing w:val="-2"/>
          <w:sz w:val="22"/>
          <w:szCs w:val="22"/>
          <w:highlight w:val="none"/>
        </w:rPr>
        <w:t>交的分包合同申请后，5 日内对拟签</w:t>
      </w:r>
      <w:r>
        <w:rPr>
          <w:rFonts w:ascii="宋体" w:hAnsi="宋体" w:eastAsia="宋体" w:cs="宋体"/>
          <w:color w:val="auto"/>
          <w:spacing w:val="5"/>
          <w:sz w:val="22"/>
          <w:szCs w:val="22"/>
          <w:highlight w:val="none"/>
        </w:rPr>
        <w:t>订的分包合同内容进行审查，并提出审查意见；分包工程的施工方案需经承包</w:t>
      </w:r>
      <w:r>
        <w:rPr>
          <w:rFonts w:ascii="宋体" w:hAnsi="宋体" w:eastAsia="宋体" w:cs="宋体"/>
          <w:color w:val="auto"/>
          <w:spacing w:val="4"/>
          <w:sz w:val="22"/>
          <w:szCs w:val="22"/>
          <w:highlight w:val="none"/>
        </w:rPr>
        <w:t>人审查</w:t>
      </w:r>
      <w:r>
        <w:rPr>
          <w:rFonts w:ascii="宋体" w:hAnsi="宋体" w:eastAsia="宋体" w:cs="宋体"/>
          <w:color w:val="auto"/>
          <w:spacing w:val="5"/>
          <w:sz w:val="22"/>
          <w:szCs w:val="22"/>
          <w:highlight w:val="none"/>
        </w:rPr>
        <w:t>同意后，报总监办书面同意后方可实施，监理人应配合委托人对承包人（分包</w:t>
      </w:r>
      <w:r>
        <w:rPr>
          <w:rFonts w:ascii="宋体" w:hAnsi="宋体" w:eastAsia="宋体" w:cs="宋体"/>
          <w:color w:val="auto"/>
          <w:spacing w:val="4"/>
          <w:sz w:val="22"/>
          <w:szCs w:val="22"/>
          <w:highlight w:val="none"/>
        </w:rPr>
        <w:t>人）的</w:t>
      </w:r>
      <w:r>
        <w:rPr>
          <w:rFonts w:ascii="宋体" w:hAnsi="宋体" w:eastAsia="宋体" w:cs="宋体"/>
          <w:color w:val="auto"/>
          <w:spacing w:val="6"/>
          <w:sz w:val="22"/>
          <w:szCs w:val="22"/>
          <w:highlight w:val="none"/>
        </w:rPr>
        <w:t>劳务合作情况进行监督检查；监理机构需核查劳务合作企业提供的特种设备“</w:t>
      </w:r>
      <w:r>
        <w:rPr>
          <w:rFonts w:ascii="宋体" w:hAnsi="宋体" w:eastAsia="宋体" w:cs="宋体"/>
          <w:color w:val="auto"/>
          <w:spacing w:val="-82"/>
          <w:sz w:val="22"/>
          <w:szCs w:val="22"/>
          <w:highlight w:val="none"/>
        </w:rPr>
        <w:t xml:space="preserve"> </w:t>
      </w:r>
      <w:r>
        <w:rPr>
          <w:rFonts w:ascii="宋体" w:hAnsi="宋体" w:eastAsia="宋体" w:cs="宋体"/>
          <w:color w:val="auto"/>
          <w:spacing w:val="6"/>
          <w:sz w:val="22"/>
          <w:szCs w:val="22"/>
          <w:highlight w:val="none"/>
        </w:rPr>
        <w:t>四证</w:t>
      </w:r>
      <w:r>
        <w:rPr>
          <w:rFonts w:ascii="宋体" w:hAnsi="宋体" w:eastAsia="宋体" w:cs="宋体"/>
          <w:color w:val="auto"/>
          <w:spacing w:val="-83"/>
          <w:sz w:val="22"/>
          <w:szCs w:val="22"/>
          <w:highlight w:val="none"/>
        </w:rPr>
        <w:t xml:space="preserve"> </w:t>
      </w:r>
      <w:r>
        <w:rPr>
          <w:rFonts w:ascii="宋体" w:hAnsi="宋体" w:eastAsia="宋体" w:cs="宋体"/>
          <w:color w:val="auto"/>
          <w:spacing w:val="6"/>
          <w:sz w:val="22"/>
          <w:szCs w:val="22"/>
          <w:highlight w:val="none"/>
        </w:rPr>
        <w:t>”</w:t>
      </w:r>
      <w:r>
        <w:rPr>
          <w:rFonts w:ascii="宋体" w:hAnsi="宋体" w:eastAsia="宋体" w:cs="宋体"/>
          <w:color w:val="auto"/>
          <w:sz w:val="22"/>
          <w:szCs w:val="22"/>
          <w:highlight w:val="none"/>
        </w:rPr>
        <w:t xml:space="preserve"> </w:t>
      </w:r>
      <w:r>
        <w:rPr>
          <w:rFonts w:ascii="宋体" w:hAnsi="宋体" w:eastAsia="宋体" w:cs="宋体"/>
          <w:color w:val="auto"/>
          <w:spacing w:val="4"/>
          <w:sz w:val="22"/>
          <w:szCs w:val="22"/>
          <w:highlight w:val="none"/>
        </w:rPr>
        <w:t>（出厂合格证、检验合格证、检验报告、使用登记证及操作人员证书</w:t>
      </w:r>
      <w:r>
        <w:rPr>
          <w:rFonts w:ascii="宋体" w:hAnsi="宋体" w:eastAsia="宋体" w:cs="宋体"/>
          <w:color w:val="auto"/>
          <w:spacing w:val="21"/>
          <w:sz w:val="22"/>
          <w:szCs w:val="22"/>
          <w:highlight w:val="none"/>
        </w:rPr>
        <w:t>），</w:t>
      </w:r>
      <w:r>
        <w:rPr>
          <w:rFonts w:ascii="宋体" w:hAnsi="宋体" w:eastAsia="宋体" w:cs="宋体"/>
          <w:color w:val="auto"/>
          <w:spacing w:val="4"/>
          <w:sz w:val="22"/>
          <w:szCs w:val="22"/>
          <w:highlight w:val="none"/>
        </w:rPr>
        <w:t>通过后方可</w:t>
      </w:r>
      <w:r>
        <w:rPr>
          <w:rFonts w:ascii="宋体" w:hAnsi="宋体" w:eastAsia="宋体" w:cs="宋体"/>
          <w:color w:val="auto"/>
          <w:spacing w:val="-2"/>
          <w:sz w:val="22"/>
          <w:szCs w:val="22"/>
          <w:highlight w:val="none"/>
        </w:rPr>
        <w:t>允许使用"。</w:t>
      </w:r>
    </w:p>
    <w:p w14:paraId="3BA886ED">
      <w:pPr>
        <w:spacing w:line="218" w:lineRule="auto"/>
        <w:ind w:left="49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13.9.4</w:t>
      </w:r>
      <w:r>
        <w:rPr>
          <w:rFonts w:ascii="宋体" w:hAnsi="宋体" w:eastAsia="宋体" w:cs="宋体"/>
          <w:color w:val="auto"/>
          <w:spacing w:val="-41"/>
          <w:sz w:val="22"/>
          <w:szCs w:val="22"/>
          <w:highlight w:val="none"/>
        </w:rPr>
        <w:t xml:space="preserve"> </w:t>
      </w:r>
      <w:r>
        <w:rPr>
          <w:rFonts w:ascii="宋体" w:hAnsi="宋体" w:eastAsia="宋体" w:cs="宋体"/>
          <w:color w:val="auto"/>
          <w:spacing w:val="-4"/>
          <w:sz w:val="22"/>
          <w:szCs w:val="22"/>
          <w:highlight w:val="none"/>
        </w:rPr>
        <w:t>监理工作机制</w:t>
      </w:r>
    </w:p>
    <w:p w14:paraId="22F0B06D">
      <w:pPr>
        <w:spacing w:before="183" w:line="220" w:lineRule="auto"/>
        <w:ind w:left="498"/>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13.9.4.1</w:t>
      </w:r>
      <w:r>
        <w:rPr>
          <w:rFonts w:ascii="宋体" w:hAnsi="宋体" w:eastAsia="宋体" w:cs="宋体"/>
          <w:color w:val="auto"/>
          <w:spacing w:val="-44"/>
          <w:sz w:val="22"/>
          <w:szCs w:val="22"/>
          <w:highlight w:val="none"/>
        </w:rPr>
        <w:t xml:space="preserve"> </w:t>
      </w:r>
      <w:r>
        <w:rPr>
          <w:rFonts w:ascii="宋体" w:hAnsi="宋体" w:eastAsia="宋体" w:cs="宋体"/>
          <w:color w:val="auto"/>
          <w:spacing w:val="-3"/>
          <w:sz w:val="22"/>
          <w:szCs w:val="22"/>
          <w:highlight w:val="none"/>
        </w:rPr>
        <w:t>监理工作的重点</w:t>
      </w:r>
    </w:p>
    <w:p w14:paraId="3A16C832">
      <w:pPr>
        <w:spacing w:before="180" w:line="359" w:lineRule="auto"/>
        <w:ind w:left="4" w:right="115" w:firstLine="48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（1）监理工作以质量、安全、环保为重点，突出施工组织设计、隐蔽工程验收与</w:t>
      </w:r>
      <w:r>
        <w:rPr>
          <w:rFonts w:ascii="宋体" w:hAnsi="宋体" w:eastAsia="宋体" w:cs="宋体"/>
          <w:color w:val="auto"/>
          <w:spacing w:val="-1"/>
          <w:sz w:val="22"/>
          <w:szCs w:val="22"/>
          <w:highlight w:val="none"/>
        </w:rPr>
        <w:t>关键作业质量控制、工序验收，建立以巡视为主要手段的监理机制。</w:t>
      </w:r>
    </w:p>
    <w:p w14:paraId="5E6235E6">
      <w:pPr>
        <w:spacing w:before="2" w:line="359" w:lineRule="auto"/>
        <w:ind w:left="3" w:right="115" w:firstLine="48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（2）监理工作以监督施工单位质量、安全及环保等保证体系运行为核心，以巡视</w:t>
      </w:r>
      <w:r>
        <w:rPr>
          <w:rFonts w:ascii="宋体" w:hAnsi="宋体" w:eastAsia="宋体" w:cs="宋体"/>
          <w:color w:val="auto"/>
          <w:spacing w:val="-1"/>
          <w:sz w:val="22"/>
          <w:szCs w:val="22"/>
          <w:highlight w:val="none"/>
        </w:rPr>
        <w:t>为主的方式进行施工现场监理。</w:t>
      </w:r>
    </w:p>
    <w:p w14:paraId="3A9D36DF">
      <w:pPr>
        <w:spacing w:before="3" w:line="358" w:lineRule="auto"/>
        <w:ind w:right="115"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（3）做好施工方案编制审查与现场一致性核查，对施工方案实施闭环管理；构建</w:t>
      </w:r>
      <w:r>
        <w:rPr>
          <w:rFonts w:ascii="宋体" w:hAnsi="宋体" w:eastAsia="宋体" w:cs="宋体"/>
          <w:color w:val="auto"/>
          <w:spacing w:val="5"/>
          <w:sz w:val="22"/>
          <w:szCs w:val="22"/>
          <w:highlight w:val="none"/>
        </w:rPr>
        <w:t>并完善以关键环节控制为核心、以巡视为主要手段的监理工作标准体系；通过</w:t>
      </w:r>
      <w:r>
        <w:rPr>
          <w:rFonts w:ascii="宋体" w:hAnsi="宋体" w:eastAsia="宋体" w:cs="宋体"/>
          <w:color w:val="auto"/>
          <w:spacing w:val="4"/>
          <w:sz w:val="22"/>
          <w:szCs w:val="22"/>
          <w:highlight w:val="none"/>
        </w:rPr>
        <w:t>统计工</w:t>
      </w:r>
      <w:r>
        <w:rPr>
          <w:rFonts w:ascii="宋体" w:hAnsi="宋体" w:eastAsia="宋体" w:cs="宋体"/>
          <w:color w:val="auto"/>
          <w:spacing w:val="5"/>
          <w:sz w:val="22"/>
          <w:szCs w:val="22"/>
          <w:highlight w:val="none"/>
        </w:rPr>
        <w:t>序验收一次通过率等指标，核查施工单位质保体系的运行情况并针对性开展差</w:t>
      </w:r>
      <w:r>
        <w:rPr>
          <w:rFonts w:ascii="宋体" w:hAnsi="宋体" w:eastAsia="宋体" w:cs="宋体"/>
          <w:color w:val="auto"/>
          <w:spacing w:val="4"/>
          <w:sz w:val="22"/>
          <w:szCs w:val="22"/>
          <w:highlight w:val="none"/>
        </w:rPr>
        <w:t>异化监</w:t>
      </w:r>
      <w:r>
        <w:rPr>
          <w:rFonts w:ascii="宋体" w:hAnsi="宋体" w:eastAsia="宋体" w:cs="宋体"/>
          <w:color w:val="auto"/>
          <w:spacing w:val="-5"/>
          <w:sz w:val="22"/>
          <w:szCs w:val="22"/>
          <w:highlight w:val="none"/>
        </w:rPr>
        <w:t>理。</w:t>
      </w:r>
    </w:p>
    <w:p w14:paraId="6AA1B527">
      <w:pPr>
        <w:spacing w:before="1" w:line="219" w:lineRule="auto"/>
        <w:ind w:left="49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13.9.4.2</w:t>
      </w:r>
      <w:r>
        <w:rPr>
          <w:rFonts w:ascii="宋体" w:hAnsi="宋体" w:eastAsia="宋体" w:cs="宋体"/>
          <w:color w:val="auto"/>
          <w:spacing w:val="-43"/>
          <w:sz w:val="22"/>
          <w:szCs w:val="22"/>
          <w:highlight w:val="none"/>
        </w:rPr>
        <w:t xml:space="preserve"> </w:t>
      </w:r>
      <w:r>
        <w:rPr>
          <w:rFonts w:ascii="宋体" w:hAnsi="宋体" w:eastAsia="宋体" w:cs="宋体"/>
          <w:color w:val="auto"/>
          <w:spacing w:val="-2"/>
          <w:sz w:val="22"/>
          <w:szCs w:val="22"/>
          <w:highlight w:val="none"/>
        </w:rPr>
        <w:t>监理工作的重点提高监理工作效率</w:t>
      </w:r>
    </w:p>
    <w:p w14:paraId="3FFA5510">
      <w:pPr>
        <w:spacing w:before="183" w:line="359" w:lineRule="auto"/>
        <w:ind w:left="1" w:right="115" w:firstLine="478"/>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优化工序验收项目，监理机构无需对施工单位自检资料签认，采用从分部工程开</w:t>
      </w:r>
      <w:r>
        <w:rPr>
          <w:rFonts w:ascii="宋体" w:hAnsi="宋体" w:eastAsia="宋体" w:cs="宋体"/>
          <w:color w:val="auto"/>
          <w:spacing w:val="-1"/>
          <w:sz w:val="22"/>
          <w:szCs w:val="22"/>
          <w:highlight w:val="none"/>
        </w:rPr>
        <w:t>始评定的方式评价工程质量。</w:t>
      </w:r>
    </w:p>
    <w:p w14:paraId="7B4D4940">
      <w:pPr>
        <w:spacing w:line="359" w:lineRule="auto"/>
        <w:ind w:right="115" w:firstLine="483"/>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建立监理与检测协同机制，优化总监办与中心试验室工作界面、沟通渠道与协同</w:t>
      </w:r>
      <w:r>
        <w:rPr>
          <w:rFonts w:ascii="宋体" w:hAnsi="宋体" w:eastAsia="宋体" w:cs="宋体"/>
          <w:color w:val="auto"/>
          <w:spacing w:val="-1"/>
          <w:sz w:val="22"/>
          <w:szCs w:val="22"/>
          <w:highlight w:val="none"/>
        </w:rPr>
        <w:t>机制，提升管控质量。</w:t>
      </w:r>
    </w:p>
    <w:p w14:paraId="5F64BEBB">
      <w:pPr>
        <w:spacing w:before="3" w:line="359" w:lineRule="auto"/>
        <w:ind w:right="115"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针对现场施工质量、安全管理重难点及不同阶段的管理需求，监理机构上级单位</w:t>
      </w:r>
      <w:r>
        <w:rPr>
          <w:rFonts w:ascii="宋体" w:hAnsi="宋体" w:eastAsia="宋体" w:cs="宋体"/>
          <w:color w:val="auto"/>
          <w:sz w:val="22"/>
          <w:szCs w:val="22"/>
          <w:highlight w:val="none"/>
        </w:rPr>
        <w:t>应加强技术指导，支持监理机构的工作，提高监理服务水平。"</w:t>
      </w:r>
    </w:p>
    <w:p w14:paraId="72628B94">
      <w:pPr>
        <w:spacing w:line="220" w:lineRule="auto"/>
        <w:ind w:left="498"/>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13.9.5 监理队伍建设</w:t>
      </w:r>
    </w:p>
    <w:p w14:paraId="7E2FA271">
      <w:pPr>
        <w:spacing w:before="178" w:line="359" w:lineRule="auto"/>
        <w:ind w:left="1" w:right="115"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监理机构应根据工程规模、项目特点、施工组织设计与施工现场的实际需要，按照合同约定、委托人批复意见及相关指令，分阶段确定所需监理人员数量</w:t>
      </w:r>
      <w:r>
        <w:rPr>
          <w:rFonts w:ascii="宋体" w:hAnsi="宋体" w:eastAsia="宋体" w:cs="宋体"/>
          <w:color w:val="auto"/>
          <w:spacing w:val="4"/>
          <w:sz w:val="22"/>
          <w:szCs w:val="22"/>
          <w:highlight w:val="none"/>
        </w:rPr>
        <w:t>，动态配置</w:t>
      </w:r>
      <w:r>
        <w:rPr>
          <w:rFonts w:ascii="宋体" w:hAnsi="宋体" w:eastAsia="宋体" w:cs="宋体"/>
          <w:color w:val="auto"/>
          <w:spacing w:val="-3"/>
          <w:sz w:val="22"/>
          <w:szCs w:val="22"/>
          <w:highlight w:val="none"/>
        </w:rPr>
        <w:t>监理人员。</w:t>
      </w:r>
    </w:p>
    <w:p w14:paraId="42D57006">
      <w:pPr>
        <w:spacing w:before="1" w:line="218" w:lineRule="auto"/>
        <w:ind w:left="481"/>
        <w:rPr>
          <w:rFonts w:ascii="宋体" w:hAnsi="宋体" w:eastAsia="宋体" w:cs="宋体"/>
          <w:color w:val="auto"/>
          <w:sz w:val="22"/>
          <w:szCs w:val="22"/>
          <w:highlight w:val="none"/>
        </w:rPr>
      </w:pPr>
      <w:r>
        <w:rPr>
          <w:rFonts w:ascii="宋体" w:hAnsi="宋体" w:eastAsia="宋体" w:cs="宋体"/>
          <w:color w:val="auto"/>
          <w:sz w:val="22"/>
          <w:szCs w:val="22"/>
          <w:highlight w:val="none"/>
        </w:rPr>
        <w:t>监理机构应开展监理人员岗位培训、考核工作，人员素质应满足岗位工作需求。"</w:t>
      </w:r>
    </w:p>
    <w:p w14:paraId="38004D07">
      <w:pPr>
        <w:spacing w:before="184" w:line="219" w:lineRule="auto"/>
        <w:ind w:left="498"/>
        <w:rPr>
          <w:rFonts w:ascii="宋体" w:hAnsi="宋体" w:eastAsia="宋体" w:cs="宋体"/>
          <w:color w:val="auto"/>
          <w:spacing w:val="-3"/>
          <w:sz w:val="22"/>
          <w:szCs w:val="22"/>
          <w:highlight w:val="none"/>
        </w:rPr>
      </w:pPr>
      <w:r>
        <w:rPr>
          <w:rFonts w:ascii="宋体" w:hAnsi="宋体" w:eastAsia="宋体" w:cs="宋体"/>
          <w:color w:val="auto"/>
          <w:spacing w:val="-3"/>
          <w:sz w:val="22"/>
          <w:szCs w:val="22"/>
          <w:highlight w:val="none"/>
        </w:rPr>
        <w:t>13.9.6 监理机构设置</w:t>
      </w:r>
    </w:p>
    <w:p w14:paraId="6B535ACF">
      <w:pPr>
        <w:spacing w:line="242" w:lineRule="auto"/>
        <w:rPr>
          <w:rFonts w:ascii="Arial"/>
          <w:color w:val="auto"/>
          <w:sz w:val="21"/>
          <w:highlight w:val="none"/>
        </w:rPr>
      </w:pPr>
    </w:p>
    <w:p w14:paraId="1E25BC5C">
      <w:pPr>
        <w:spacing w:before="78" w:line="359" w:lineRule="auto"/>
        <w:ind w:firstLine="480"/>
        <w:jc w:val="both"/>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监理机构受建设单位委托开展咨询服务时，宜设置咨询工作室，为项目提供决策服务。同时，应明确咨询服务内容及相应的费用标准。（该费用不包含在项</w:t>
      </w:r>
      <w:r>
        <w:rPr>
          <w:rFonts w:ascii="宋体" w:hAnsi="宋体" w:eastAsia="宋体" w:cs="宋体"/>
          <w:color w:val="auto"/>
          <w:spacing w:val="4"/>
          <w:sz w:val="22"/>
          <w:szCs w:val="22"/>
          <w:highlight w:val="none"/>
        </w:rPr>
        <w:t>目监理总</w:t>
      </w:r>
      <w:r>
        <w:rPr>
          <w:rFonts w:ascii="宋体" w:hAnsi="宋体" w:eastAsia="宋体" w:cs="宋体"/>
          <w:color w:val="auto"/>
          <w:spacing w:val="1"/>
          <w:sz w:val="22"/>
          <w:szCs w:val="22"/>
          <w:highlight w:val="none"/>
        </w:rPr>
        <w:t>费用中）"</w:t>
      </w:r>
    </w:p>
    <w:p w14:paraId="32507538">
      <w:pPr>
        <w:spacing w:line="219" w:lineRule="auto"/>
        <w:ind w:left="49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13.9.7 监理数字化建设</w:t>
      </w:r>
    </w:p>
    <w:p w14:paraId="2CE11734">
      <w:pPr>
        <w:spacing w:before="183" w:line="359" w:lineRule="auto"/>
        <w:ind w:firstLine="481"/>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监理机构应按照行业发展的需求，发展自身管理的数字化建设，开放数字化平台及相关数据接口，对接建设单位数字化管理系统，积极配合建设单位对项目管</w:t>
      </w:r>
      <w:r>
        <w:rPr>
          <w:rFonts w:ascii="宋体" w:hAnsi="宋体" w:eastAsia="宋体" w:cs="宋体"/>
          <w:color w:val="auto"/>
          <w:spacing w:val="4"/>
          <w:sz w:val="22"/>
          <w:szCs w:val="22"/>
          <w:highlight w:val="none"/>
        </w:rPr>
        <w:t>理数字</w:t>
      </w:r>
      <w:r>
        <w:rPr>
          <w:rFonts w:ascii="宋体" w:hAnsi="宋体" w:eastAsia="宋体" w:cs="宋体"/>
          <w:color w:val="auto"/>
          <w:spacing w:val="5"/>
          <w:sz w:val="22"/>
          <w:szCs w:val="22"/>
          <w:highlight w:val="none"/>
        </w:rPr>
        <w:t>化的统筹和整合，助力建设单位打通各参建单位不同系统之间的信息壁垒，形</w:t>
      </w:r>
      <w:r>
        <w:rPr>
          <w:rFonts w:ascii="宋体" w:hAnsi="宋体" w:eastAsia="宋体" w:cs="宋体"/>
          <w:color w:val="auto"/>
          <w:spacing w:val="4"/>
          <w:sz w:val="22"/>
          <w:szCs w:val="22"/>
          <w:highlight w:val="none"/>
        </w:rPr>
        <w:t>成适应</w:t>
      </w:r>
      <w:r>
        <w:rPr>
          <w:rFonts w:ascii="宋体" w:hAnsi="宋体" w:eastAsia="宋体" w:cs="宋体"/>
          <w:color w:val="auto"/>
          <w:spacing w:val="5"/>
          <w:sz w:val="22"/>
          <w:szCs w:val="22"/>
          <w:highlight w:val="none"/>
        </w:rPr>
        <w:t>于项目的综合性数字化管理平台。监理机构的管理应充分利用共享数据的一体</w:t>
      </w:r>
      <w:r>
        <w:rPr>
          <w:rFonts w:ascii="宋体" w:hAnsi="宋体" w:eastAsia="宋体" w:cs="宋体"/>
          <w:color w:val="auto"/>
          <w:spacing w:val="4"/>
          <w:sz w:val="22"/>
          <w:szCs w:val="22"/>
          <w:highlight w:val="none"/>
        </w:rPr>
        <w:t>化数字</w:t>
      </w:r>
      <w:r>
        <w:rPr>
          <w:rFonts w:ascii="宋体" w:hAnsi="宋体" w:eastAsia="宋体" w:cs="宋体"/>
          <w:color w:val="auto"/>
          <w:spacing w:val="5"/>
          <w:sz w:val="22"/>
          <w:szCs w:val="22"/>
          <w:highlight w:val="none"/>
        </w:rPr>
        <w:t>化技术和平台，评估保证体系的运行状况，分析管理的薄弱环节，利用数字化</w:t>
      </w:r>
      <w:r>
        <w:rPr>
          <w:rFonts w:ascii="宋体" w:hAnsi="宋体" w:eastAsia="宋体" w:cs="宋体"/>
          <w:color w:val="auto"/>
          <w:spacing w:val="4"/>
          <w:sz w:val="22"/>
          <w:szCs w:val="22"/>
          <w:highlight w:val="none"/>
        </w:rPr>
        <w:t>手段和</w:t>
      </w:r>
      <w:r>
        <w:rPr>
          <w:rFonts w:ascii="宋体" w:hAnsi="宋体" w:eastAsia="宋体" w:cs="宋体"/>
          <w:color w:val="auto"/>
          <w:sz w:val="22"/>
          <w:szCs w:val="22"/>
          <w:highlight w:val="none"/>
        </w:rPr>
        <w:t>数据为监理管理工作提供支撑。"</w:t>
      </w:r>
    </w:p>
    <w:p w14:paraId="6D33BD09">
      <w:pPr>
        <w:spacing w:line="220" w:lineRule="auto"/>
        <w:ind w:left="498"/>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13.9.8 质量安全问题应对</w:t>
      </w:r>
    </w:p>
    <w:p w14:paraId="3BAA7946">
      <w:pPr>
        <w:spacing w:before="177" w:line="360" w:lineRule="auto"/>
        <w:ind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监理机构在监理过程中发现施工存在质量问题或安全事故隐患的，应书面要求施工单位整改或停止施工，未整改或整改不合格的不得进行下一道工序施工，</w:t>
      </w:r>
      <w:r>
        <w:rPr>
          <w:rFonts w:ascii="宋体" w:hAnsi="宋体" w:eastAsia="宋体" w:cs="宋体"/>
          <w:color w:val="auto"/>
          <w:spacing w:val="4"/>
          <w:sz w:val="22"/>
          <w:szCs w:val="22"/>
          <w:highlight w:val="none"/>
        </w:rPr>
        <w:t>不得进行</w:t>
      </w:r>
      <w:r>
        <w:rPr>
          <w:rFonts w:ascii="宋体" w:hAnsi="宋体" w:eastAsia="宋体" w:cs="宋体"/>
          <w:color w:val="auto"/>
          <w:spacing w:val="5"/>
          <w:sz w:val="22"/>
          <w:szCs w:val="22"/>
          <w:highlight w:val="none"/>
        </w:rPr>
        <w:t>计量支付。施工单位拒不整改或不停止施工的，监理机构应及时向建设单位</w:t>
      </w:r>
      <w:r>
        <w:rPr>
          <w:rFonts w:ascii="宋体" w:hAnsi="宋体" w:eastAsia="宋体" w:cs="宋体"/>
          <w:color w:val="auto"/>
          <w:spacing w:val="4"/>
          <w:sz w:val="22"/>
          <w:szCs w:val="22"/>
          <w:highlight w:val="none"/>
        </w:rPr>
        <w:t>或监管部</w:t>
      </w:r>
      <w:r>
        <w:rPr>
          <w:rFonts w:ascii="宋体" w:hAnsi="宋体" w:eastAsia="宋体" w:cs="宋体"/>
          <w:color w:val="auto"/>
          <w:spacing w:val="1"/>
          <w:sz w:val="22"/>
          <w:szCs w:val="22"/>
          <w:highlight w:val="none"/>
        </w:rPr>
        <w:t>门报告。"</w:t>
      </w:r>
    </w:p>
    <w:p w14:paraId="29D5912C">
      <w:pPr>
        <w:spacing w:before="1" w:line="227" w:lineRule="auto"/>
        <w:ind w:left="498"/>
        <w:rPr>
          <w:rFonts w:ascii="宋体" w:hAnsi="宋体" w:eastAsia="宋体" w:cs="宋体"/>
          <w:color w:val="auto"/>
          <w:sz w:val="22"/>
          <w:szCs w:val="22"/>
          <w:highlight w:val="none"/>
        </w:rPr>
      </w:pPr>
      <w:r>
        <w:rPr>
          <w:rFonts w:ascii="宋体" w:hAnsi="宋体" w:eastAsia="宋体" w:cs="宋体"/>
          <w:color w:val="auto"/>
          <w:spacing w:val="-4"/>
          <w:sz w:val="22"/>
          <w:szCs w:val="22"/>
          <w:highlight w:val="none"/>
        </w:rPr>
        <w:t>13.9.9</w:t>
      </w:r>
      <w:r>
        <w:rPr>
          <w:rFonts w:ascii="宋体" w:hAnsi="宋体" w:eastAsia="宋体" w:cs="宋体"/>
          <w:color w:val="auto"/>
          <w:spacing w:val="-49"/>
          <w:sz w:val="22"/>
          <w:szCs w:val="22"/>
          <w:highlight w:val="none"/>
        </w:rPr>
        <w:t xml:space="preserve"> </w:t>
      </w:r>
      <w:r>
        <w:rPr>
          <w:rFonts w:ascii="宋体" w:hAnsi="宋体" w:eastAsia="宋体" w:cs="宋体"/>
          <w:color w:val="auto"/>
          <w:spacing w:val="-4"/>
          <w:sz w:val="22"/>
          <w:szCs w:val="22"/>
          <w:highlight w:val="none"/>
        </w:rPr>
        <w:t>监理+N</w:t>
      </w:r>
    </w:p>
    <w:p w14:paraId="211E2839">
      <w:pPr>
        <w:spacing w:before="169" w:line="359" w:lineRule="auto"/>
        <w:ind w:firstLine="480"/>
        <w:rPr>
          <w:rFonts w:ascii="宋体" w:hAnsi="宋体" w:eastAsia="宋体" w:cs="宋体"/>
          <w:color w:val="auto"/>
          <w:sz w:val="22"/>
          <w:szCs w:val="22"/>
          <w:highlight w:val="none"/>
        </w:rPr>
      </w:pPr>
      <w:r>
        <w:rPr>
          <w:rFonts w:ascii="宋体" w:hAnsi="宋体" w:eastAsia="宋体" w:cs="宋体"/>
          <w:color w:val="auto"/>
          <w:spacing w:val="5"/>
          <w:sz w:val="22"/>
          <w:szCs w:val="22"/>
          <w:highlight w:val="none"/>
        </w:rPr>
        <w:t>监理检测企业应根据公路建设市场和高质量发展的需要，整合优势资源，构建灵活的服务架构和经营模式，丰富监理及咨询服务的内涵，强化技术支持，面</w:t>
      </w:r>
      <w:r>
        <w:rPr>
          <w:rFonts w:ascii="宋体" w:hAnsi="宋体" w:eastAsia="宋体" w:cs="宋体"/>
          <w:color w:val="auto"/>
          <w:spacing w:val="4"/>
          <w:sz w:val="22"/>
          <w:szCs w:val="22"/>
          <w:highlight w:val="none"/>
        </w:rPr>
        <w:t>向公路建</w:t>
      </w:r>
      <w:r>
        <w:rPr>
          <w:rFonts w:ascii="宋体" w:hAnsi="宋体" w:eastAsia="宋体" w:cs="宋体"/>
          <w:color w:val="auto"/>
          <w:spacing w:val="5"/>
          <w:sz w:val="22"/>
          <w:szCs w:val="22"/>
          <w:highlight w:val="none"/>
        </w:rPr>
        <w:t>设全产业链，提供专业、高水平的咨询服务，形成包括代建、咨询、可行性</w:t>
      </w:r>
      <w:r>
        <w:rPr>
          <w:rFonts w:ascii="宋体" w:hAnsi="宋体" w:eastAsia="宋体" w:cs="宋体"/>
          <w:color w:val="auto"/>
          <w:spacing w:val="4"/>
          <w:sz w:val="22"/>
          <w:szCs w:val="22"/>
          <w:highlight w:val="none"/>
        </w:rPr>
        <w:t>研究、设</w:t>
      </w:r>
      <w:r>
        <w:rPr>
          <w:rFonts w:ascii="宋体" w:hAnsi="宋体" w:eastAsia="宋体" w:cs="宋体"/>
          <w:color w:val="auto"/>
          <w:spacing w:val="-1"/>
          <w:sz w:val="22"/>
          <w:szCs w:val="22"/>
          <w:highlight w:val="none"/>
        </w:rPr>
        <w:t>计和监理等在内的多元化发展方向，提升监理+N</w:t>
      </w:r>
      <w:r>
        <w:rPr>
          <w:rFonts w:ascii="宋体" w:hAnsi="宋体" w:eastAsia="宋体" w:cs="宋体"/>
          <w:color w:val="auto"/>
          <w:spacing w:val="-25"/>
          <w:sz w:val="22"/>
          <w:szCs w:val="22"/>
          <w:highlight w:val="none"/>
        </w:rPr>
        <w:t xml:space="preserve"> </w:t>
      </w:r>
      <w:r>
        <w:rPr>
          <w:rFonts w:ascii="宋体" w:hAnsi="宋体" w:eastAsia="宋体" w:cs="宋体"/>
          <w:color w:val="auto"/>
          <w:spacing w:val="-1"/>
          <w:sz w:val="22"/>
          <w:szCs w:val="22"/>
          <w:highlight w:val="none"/>
        </w:rPr>
        <w:t>的服务品质。"</w:t>
      </w:r>
    </w:p>
    <w:p w14:paraId="31EC2FCD">
      <w:pPr>
        <w:spacing w:line="220" w:lineRule="auto"/>
        <w:ind w:left="498"/>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13.9.10 监理费用</w:t>
      </w:r>
    </w:p>
    <w:p w14:paraId="41223DE7">
      <w:pPr>
        <w:spacing w:before="182" w:line="359" w:lineRule="auto"/>
        <w:ind w:left="1" w:firstLine="490"/>
        <w:rPr>
          <w:rFonts w:ascii="宋体" w:hAnsi="宋体" w:eastAsia="宋体" w:cs="宋体"/>
          <w:color w:val="auto"/>
          <w:spacing w:val="1"/>
          <w:sz w:val="22"/>
          <w:szCs w:val="22"/>
          <w:highlight w:val="none"/>
        </w:rPr>
      </w:pPr>
      <w:r>
        <w:rPr>
          <w:rFonts w:ascii="宋体" w:hAnsi="宋体" w:eastAsia="宋体" w:cs="宋体"/>
          <w:color w:val="auto"/>
          <w:spacing w:val="4"/>
          <w:sz w:val="22"/>
          <w:szCs w:val="22"/>
          <w:highlight w:val="none"/>
        </w:rPr>
        <w:t>（1）项目采取“咨询+监理</w:t>
      </w:r>
      <w:r>
        <w:rPr>
          <w:rFonts w:ascii="宋体" w:hAnsi="宋体" w:eastAsia="宋体" w:cs="宋体"/>
          <w:color w:val="auto"/>
          <w:spacing w:val="-81"/>
          <w:sz w:val="22"/>
          <w:szCs w:val="22"/>
          <w:highlight w:val="none"/>
        </w:rPr>
        <w:t xml:space="preserve"> </w:t>
      </w:r>
      <w:r>
        <w:rPr>
          <w:rFonts w:ascii="宋体" w:hAnsi="宋体" w:eastAsia="宋体" w:cs="宋体"/>
          <w:color w:val="auto"/>
          <w:spacing w:val="4"/>
          <w:sz w:val="22"/>
          <w:szCs w:val="22"/>
          <w:highlight w:val="none"/>
        </w:rPr>
        <w:t>”模式时，咨询、监理</w:t>
      </w:r>
      <w:r>
        <w:rPr>
          <w:rFonts w:ascii="宋体" w:hAnsi="宋体" w:eastAsia="宋体" w:cs="宋体"/>
          <w:color w:val="auto"/>
          <w:spacing w:val="3"/>
          <w:sz w:val="22"/>
          <w:szCs w:val="22"/>
          <w:highlight w:val="none"/>
        </w:rPr>
        <w:t>取费应按相关标准分别计算，</w:t>
      </w:r>
      <w:r>
        <w:rPr>
          <w:rFonts w:ascii="宋体" w:hAnsi="宋体" w:eastAsia="宋体" w:cs="宋体"/>
          <w:color w:val="auto"/>
          <w:spacing w:val="1"/>
          <w:sz w:val="22"/>
          <w:szCs w:val="22"/>
          <w:highlight w:val="none"/>
        </w:rPr>
        <w:t xml:space="preserve">合计计入合同金额。                                          </w:t>
      </w:r>
    </w:p>
    <w:p w14:paraId="2E2B54D2">
      <w:pPr>
        <w:spacing w:before="182" w:line="359" w:lineRule="auto"/>
        <w:ind w:left="1" w:firstLine="49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（2）根据省厅监</w:t>
      </w:r>
      <w:r>
        <w:rPr>
          <w:rFonts w:ascii="宋体" w:hAnsi="宋体" w:eastAsia="宋体" w:cs="宋体"/>
          <w:color w:val="auto"/>
          <w:spacing w:val="5"/>
          <w:sz w:val="22"/>
          <w:szCs w:val="22"/>
          <w:highlight w:val="none"/>
        </w:rPr>
        <w:t>理改革的经验，为更好地推动监理行业高质量发展，发挥其应有的支撑作</w:t>
      </w:r>
      <w:r>
        <w:rPr>
          <w:rFonts w:ascii="宋体" w:hAnsi="宋体" w:eastAsia="宋体" w:cs="宋体"/>
          <w:color w:val="auto"/>
          <w:spacing w:val="4"/>
          <w:sz w:val="22"/>
          <w:szCs w:val="22"/>
          <w:highlight w:val="none"/>
        </w:rPr>
        <w:t>用，有条件</w:t>
      </w:r>
      <w:r>
        <w:rPr>
          <w:rFonts w:ascii="宋体" w:hAnsi="宋体" w:eastAsia="宋体" w:cs="宋体"/>
          <w:color w:val="auto"/>
          <w:spacing w:val="-1"/>
          <w:sz w:val="22"/>
          <w:szCs w:val="22"/>
          <w:highlight w:val="none"/>
        </w:rPr>
        <w:t>的委托人可根据实际情况探索监理费用“实物计量法</w:t>
      </w:r>
      <w:r>
        <w:rPr>
          <w:rFonts w:ascii="宋体" w:hAnsi="宋体" w:eastAsia="宋体" w:cs="宋体"/>
          <w:color w:val="auto"/>
          <w:spacing w:val="-89"/>
          <w:sz w:val="22"/>
          <w:szCs w:val="22"/>
          <w:highlight w:val="none"/>
        </w:rPr>
        <w:t xml:space="preserve"> </w:t>
      </w:r>
      <w:r>
        <w:rPr>
          <w:rFonts w:ascii="宋体" w:hAnsi="宋体" w:eastAsia="宋体" w:cs="宋体"/>
          <w:color w:val="auto"/>
          <w:spacing w:val="-1"/>
          <w:sz w:val="22"/>
          <w:szCs w:val="22"/>
          <w:highlight w:val="none"/>
        </w:rPr>
        <w:t>”。"</w:t>
      </w:r>
    </w:p>
    <w:p w14:paraId="1648CAD1">
      <w:pPr>
        <w:spacing w:before="1" w:line="218" w:lineRule="auto"/>
        <w:ind w:left="498"/>
        <w:rPr>
          <w:rFonts w:ascii="宋体" w:hAnsi="宋体" w:eastAsia="宋体" w:cs="宋体"/>
          <w:color w:val="auto"/>
          <w:sz w:val="22"/>
          <w:szCs w:val="22"/>
          <w:highlight w:val="none"/>
        </w:rPr>
      </w:pPr>
      <w:r>
        <w:rPr>
          <w:rFonts w:ascii="宋体" w:hAnsi="宋体" w:eastAsia="宋体" w:cs="宋体"/>
          <w:color w:val="auto"/>
          <w:spacing w:val="-3"/>
          <w:sz w:val="22"/>
          <w:szCs w:val="22"/>
          <w:highlight w:val="none"/>
        </w:rPr>
        <w:t>13.9.11</w:t>
      </w:r>
      <w:r>
        <w:rPr>
          <w:rFonts w:ascii="宋体" w:hAnsi="宋体" w:eastAsia="宋体" w:cs="宋体"/>
          <w:color w:val="auto"/>
          <w:spacing w:val="-50"/>
          <w:sz w:val="22"/>
          <w:szCs w:val="22"/>
          <w:highlight w:val="none"/>
        </w:rPr>
        <w:t xml:space="preserve"> </w:t>
      </w:r>
      <w:r>
        <w:rPr>
          <w:rFonts w:ascii="宋体" w:hAnsi="宋体" w:eastAsia="宋体" w:cs="宋体"/>
          <w:color w:val="auto"/>
          <w:spacing w:val="-3"/>
          <w:sz w:val="22"/>
          <w:szCs w:val="22"/>
          <w:highlight w:val="none"/>
        </w:rPr>
        <w:t>监理验收机制</w:t>
      </w:r>
    </w:p>
    <w:p w14:paraId="25A154B7">
      <w:pPr>
        <w:spacing w:before="184" w:line="360" w:lineRule="auto"/>
        <w:ind w:left="3" w:firstLine="494"/>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13.9.11.1</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监理机构应建立分级验收机制，总监应参与超过一定规模的危险性较大</w:t>
      </w:r>
      <w:r>
        <w:rPr>
          <w:rFonts w:ascii="宋体" w:hAnsi="宋体" w:eastAsia="宋体" w:cs="宋体"/>
          <w:color w:val="auto"/>
          <w:spacing w:val="5"/>
          <w:sz w:val="22"/>
          <w:szCs w:val="22"/>
          <w:highlight w:val="none"/>
        </w:rPr>
        <w:t>分部分项工程的关键工序验收；副总监应参与危险性较大分部分项工</w:t>
      </w:r>
      <w:r>
        <w:rPr>
          <w:rFonts w:ascii="宋体" w:hAnsi="宋体" w:eastAsia="宋体" w:cs="宋体"/>
          <w:color w:val="auto"/>
          <w:spacing w:val="4"/>
          <w:sz w:val="22"/>
          <w:szCs w:val="22"/>
          <w:highlight w:val="none"/>
        </w:rPr>
        <w:t>程的关键工序验</w:t>
      </w:r>
      <w:r>
        <w:rPr>
          <w:rFonts w:ascii="宋体" w:hAnsi="宋体" w:eastAsia="宋体" w:cs="宋体"/>
          <w:color w:val="auto"/>
          <w:spacing w:val="5"/>
          <w:sz w:val="22"/>
          <w:szCs w:val="22"/>
          <w:highlight w:val="none"/>
        </w:rPr>
        <w:t>收。监理机构应编制《关键工序验收责任清单》，明确规定参与工序</w:t>
      </w:r>
      <w:r>
        <w:rPr>
          <w:rFonts w:ascii="宋体" w:hAnsi="宋体" w:eastAsia="宋体" w:cs="宋体"/>
          <w:color w:val="auto"/>
          <w:spacing w:val="4"/>
          <w:sz w:val="22"/>
          <w:szCs w:val="22"/>
          <w:highlight w:val="none"/>
        </w:rPr>
        <w:t>验收的各层级监</w:t>
      </w:r>
      <w:r>
        <w:rPr>
          <w:rFonts w:ascii="宋体" w:hAnsi="宋体" w:eastAsia="宋体" w:cs="宋体"/>
          <w:color w:val="auto"/>
          <w:spacing w:val="1"/>
          <w:sz w:val="22"/>
          <w:szCs w:val="22"/>
          <w:highlight w:val="none"/>
        </w:rPr>
        <w:t>理人员及职责范围，涵盖项目工程重难点。总监/副总监参与的验收应形成专项记录，</w:t>
      </w:r>
      <w:r>
        <w:rPr>
          <w:rFonts w:ascii="宋体" w:hAnsi="宋体" w:eastAsia="宋体" w:cs="宋体"/>
          <w:color w:val="auto"/>
          <w:sz w:val="22"/>
          <w:szCs w:val="22"/>
          <w:highlight w:val="none"/>
        </w:rPr>
        <w:t>作为质量责任追溯依据。"</w:t>
      </w:r>
    </w:p>
    <w:p w14:paraId="593FB2A2">
      <w:pPr>
        <w:spacing w:before="182" w:line="359" w:lineRule="auto"/>
        <w:ind w:left="2" w:right="109"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13.9.11.2</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监理机构应实行施工方案审批、检查、验收的闭环管理，同时检查施工</w:t>
      </w:r>
      <w:r>
        <w:rPr>
          <w:rFonts w:ascii="宋体" w:hAnsi="宋体" w:eastAsia="宋体" w:cs="宋体"/>
          <w:color w:val="auto"/>
          <w:spacing w:val="5"/>
          <w:sz w:val="22"/>
          <w:szCs w:val="22"/>
          <w:highlight w:val="none"/>
        </w:rPr>
        <w:t>单位从施工方案编制至实施完成的闭环管理情况，形成施工方案双闭环管</w:t>
      </w:r>
      <w:r>
        <w:rPr>
          <w:rFonts w:ascii="宋体" w:hAnsi="宋体" w:eastAsia="宋体" w:cs="宋体"/>
          <w:color w:val="auto"/>
          <w:spacing w:val="4"/>
          <w:sz w:val="22"/>
          <w:szCs w:val="22"/>
          <w:highlight w:val="none"/>
        </w:rPr>
        <w:t>理。当施工</w:t>
      </w:r>
      <w:r>
        <w:rPr>
          <w:rFonts w:ascii="宋体" w:hAnsi="宋体" w:eastAsia="宋体" w:cs="宋体"/>
          <w:color w:val="auto"/>
          <w:spacing w:val="-1"/>
          <w:sz w:val="22"/>
          <w:szCs w:val="22"/>
          <w:highlight w:val="none"/>
        </w:rPr>
        <w:t>方案实施条件发生变化时，应监督施工单位按编审程序动态修编。</w:t>
      </w:r>
    </w:p>
    <w:p w14:paraId="60D1E5F0">
      <w:pPr>
        <w:spacing w:line="218" w:lineRule="auto"/>
        <w:ind w:left="499"/>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13.9.11.3</w:t>
      </w:r>
      <w:r>
        <w:rPr>
          <w:rFonts w:ascii="宋体" w:hAnsi="宋体" w:eastAsia="宋体" w:cs="宋体"/>
          <w:color w:val="auto"/>
          <w:spacing w:val="-43"/>
          <w:sz w:val="22"/>
          <w:szCs w:val="22"/>
          <w:highlight w:val="none"/>
        </w:rPr>
        <w:t xml:space="preserve"> </w:t>
      </w:r>
      <w:r>
        <w:rPr>
          <w:rFonts w:ascii="宋体" w:hAnsi="宋体" w:eastAsia="宋体" w:cs="宋体"/>
          <w:color w:val="auto"/>
          <w:spacing w:val="-2"/>
          <w:sz w:val="22"/>
          <w:szCs w:val="22"/>
          <w:highlight w:val="none"/>
        </w:rPr>
        <w:t>监理机构应组织开展首件工程制</w:t>
      </w:r>
    </w:p>
    <w:p w14:paraId="68DDA639">
      <w:pPr>
        <w:spacing w:before="182" w:line="359" w:lineRule="auto"/>
        <w:ind w:right="109" w:firstLine="49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（1）对首件工程施工工艺控制，安全、质量、环（水）保等措施落实和质量指标</w:t>
      </w:r>
      <w:r>
        <w:rPr>
          <w:rFonts w:ascii="宋体" w:hAnsi="宋体" w:eastAsia="宋体" w:cs="宋体"/>
          <w:color w:val="auto"/>
          <w:spacing w:val="-1"/>
          <w:sz w:val="22"/>
          <w:szCs w:val="22"/>
          <w:highlight w:val="none"/>
        </w:rPr>
        <w:t>进行综合评价，查找不足，并督促施工单位进行改进。</w:t>
      </w:r>
    </w:p>
    <w:p w14:paraId="2ED10CCE">
      <w:pPr>
        <w:spacing w:before="1" w:line="359" w:lineRule="auto"/>
        <w:ind w:left="6" w:firstLine="486"/>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（2）监理机构应依据建设单位管理办法及行业规范，编制首件工程</w:t>
      </w:r>
      <w:r>
        <w:rPr>
          <w:rFonts w:ascii="宋体" w:hAnsi="宋体" w:eastAsia="宋体" w:cs="宋体"/>
          <w:color w:val="auto"/>
          <w:spacing w:val="-3"/>
          <w:sz w:val="22"/>
          <w:szCs w:val="22"/>
          <w:highlight w:val="none"/>
        </w:rPr>
        <w:t>管理实施细则，</w:t>
      </w:r>
      <w:r>
        <w:rPr>
          <w:rFonts w:ascii="宋体" w:hAnsi="宋体" w:eastAsia="宋体" w:cs="宋体"/>
          <w:color w:val="auto"/>
          <w:spacing w:val="5"/>
          <w:sz w:val="22"/>
          <w:szCs w:val="22"/>
          <w:highlight w:val="none"/>
        </w:rPr>
        <w:t>明确工作程序、验收评价标准及岗位权责。实施细则须涵盖方案</w:t>
      </w:r>
      <w:r>
        <w:rPr>
          <w:rFonts w:ascii="宋体" w:hAnsi="宋体" w:eastAsia="宋体" w:cs="宋体"/>
          <w:color w:val="auto"/>
          <w:spacing w:val="4"/>
          <w:sz w:val="22"/>
          <w:szCs w:val="22"/>
          <w:highlight w:val="none"/>
        </w:rPr>
        <w:t>预审、过程监控、成</w:t>
      </w:r>
      <w:r>
        <w:rPr>
          <w:rFonts w:ascii="宋体" w:hAnsi="宋体" w:eastAsia="宋体" w:cs="宋体"/>
          <w:color w:val="auto"/>
          <w:spacing w:val="-1"/>
          <w:sz w:val="22"/>
          <w:szCs w:val="22"/>
          <w:highlight w:val="none"/>
        </w:rPr>
        <w:t>果评定、档案归集等全流程管理要求。</w:t>
      </w:r>
    </w:p>
    <w:p w14:paraId="32CB9D4B">
      <w:pPr>
        <w:spacing w:line="359" w:lineRule="auto"/>
        <w:ind w:left="2" w:right="109" w:firstLine="490"/>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（3）对于涉及桥梁、隧道、高边坡等重大风险源的首件工程，总监或副总监应全</w:t>
      </w:r>
      <w:r>
        <w:rPr>
          <w:rFonts w:ascii="宋体" w:hAnsi="宋体" w:eastAsia="宋体" w:cs="宋体"/>
          <w:color w:val="auto"/>
          <w:sz w:val="22"/>
          <w:szCs w:val="22"/>
          <w:highlight w:val="none"/>
        </w:rPr>
        <w:t>过程参与方案评审、过程监督及验收评估，并在验收文件签署确认意见。"</w:t>
      </w:r>
    </w:p>
    <w:p w14:paraId="0C93F232">
      <w:pPr>
        <w:spacing w:before="2" w:line="359" w:lineRule="auto"/>
        <w:ind w:left="2" w:right="109"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13.9.11.4</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在施工过程中，监理机构应对施工单位主体责任落实情况、施工合同执</w:t>
      </w:r>
      <w:r>
        <w:rPr>
          <w:rFonts w:ascii="宋体" w:hAnsi="宋体" w:eastAsia="宋体" w:cs="宋体"/>
          <w:color w:val="auto"/>
          <w:spacing w:val="5"/>
          <w:sz w:val="22"/>
          <w:szCs w:val="22"/>
          <w:highlight w:val="none"/>
        </w:rPr>
        <w:t>行情况和质量安全等保证体系运行情况进行监督检查，将管监分离制、三</w:t>
      </w:r>
      <w:r>
        <w:rPr>
          <w:rFonts w:ascii="宋体" w:hAnsi="宋体" w:eastAsia="宋体" w:cs="宋体"/>
          <w:color w:val="auto"/>
          <w:spacing w:val="4"/>
          <w:sz w:val="22"/>
          <w:szCs w:val="22"/>
          <w:highlight w:val="none"/>
        </w:rPr>
        <w:t>检制是否按</w:t>
      </w:r>
      <w:r>
        <w:rPr>
          <w:rFonts w:ascii="宋体" w:hAnsi="宋体" w:eastAsia="宋体" w:cs="宋体"/>
          <w:color w:val="auto"/>
          <w:spacing w:val="-1"/>
          <w:sz w:val="22"/>
          <w:szCs w:val="22"/>
          <w:highlight w:val="none"/>
        </w:rPr>
        <w:t>要求执行纳入保证体系运行检查内容。</w:t>
      </w:r>
    </w:p>
    <w:p w14:paraId="2012994A">
      <w:pPr>
        <w:spacing w:before="3" w:line="358" w:lineRule="auto"/>
        <w:ind w:left="1" w:right="109" w:firstLine="497"/>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13.9.11.5</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监理机构宜制定差异化管理办法和工序验收一次性通过率管理办法，当</w:t>
      </w:r>
      <w:r>
        <w:rPr>
          <w:rFonts w:ascii="宋体" w:hAnsi="宋体" w:eastAsia="宋体" w:cs="宋体"/>
          <w:color w:val="auto"/>
          <w:spacing w:val="5"/>
          <w:sz w:val="22"/>
          <w:szCs w:val="22"/>
          <w:highlight w:val="none"/>
        </w:rPr>
        <w:t>出现工序报检一次性通过率较低、实体检测指标较大波动及安全、质量突出</w:t>
      </w:r>
      <w:r>
        <w:rPr>
          <w:rFonts w:ascii="宋体" w:hAnsi="宋体" w:eastAsia="宋体" w:cs="宋体"/>
          <w:color w:val="auto"/>
          <w:spacing w:val="4"/>
          <w:sz w:val="22"/>
          <w:szCs w:val="22"/>
          <w:highlight w:val="none"/>
        </w:rPr>
        <w:t>问题时，</w:t>
      </w:r>
      <w:r>
        <w:rPr>
          <w:rFonts w:ascii="宋体" w:hAnsi="宋体" w:eastAsia="宋体" w:cs="宋体"/>
          <w:color w:val="auto"/>
          <w:spacing w:val="-1"/>
          <w:sz w:val="22"/>
          <w:szCs w:val="22"/>
          <w:highlight w:val="none"/>
        </w:rPr>
        <w:t>应及时开展差异化管理。</w:t>
      </w:r>
    </w:p>
    <w:p w14:paraId="616A86F1">
      <w:pPr>
        <w:spacing w:before="1" w:line="359" w:lineRule="auto"/>
        <w:ind w:right="109" w:firstLine="49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13.9.11.6</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监理工程师应采取以巡视为主的方式进行施工现场监理，应制定监理巡</w:t>
      </w:r>
      <w:r>
        <w:rPr>
          <w:rFonts w:ascii="宋体" w:hAnsi="宋体" w:eastAsia="宋体" w:cs="宋体"/>
          <w:color w:val="auto"/>
          <w:spacing w:val="-3"/>
          <w:sz w:val="22"/>
          <w:szCs w:val="22"/>
          <w:highlight w:val="none"/>
        </w:rPr>
        <w:t>视专项细则，按计划定期或不定期巡视施工现场，对施工的主要工程每天不少于</w:t>
      </w:r>
      <w:r>
        <w:rPr>
          <w:rFonts w:ascii="宋体" w:hAnsi="宋体" w:eastAsia="宋体" w:cs="宋体"/>
          <w:color w:val="auto"/>
          <w:spacing w:val="-20"/>
          <w:sz w:val="22"/>
          <w:szCs w:val="22"/>
          <w:highlight w:val="none"/>
        </w:rPr>
        <w:t xml:space="preserve"> </w:t>
      </w:r>
      <w:r>
        <w:rPr>
          <w:rFonts w:ascii="宋体" w:hAnsi="宋体" w:eastAsia="宋体" w:cs="宋体"/>
          <w:color w:val="auto"/>
          <w:spacing w:val="-3"/>
          <w:sz w:val="22"/>
          <w:szCs w:val="22"/>
          <w:highlight w:val="none"/>
        </w:rPr>
        <w:t>1</w:t>
      </w:r>
      <w:r>
        <w:rPr>
          <w:rFonts w:ascii="宋体" w:hAnsi="宋体" w:eastAsia="宋体" w:cs="宋体"/>
          <w:color w:val="auto"/>
          <w:spacing w:val="-44"/>
          <w:sz w:val="22"/>
          <w:szCs w:val="22"/>
          <w:highlight w:val="none"/>
        </w:rPr>
        <w:t xml:space="preserve"> </w:t>
      </w:r>
      <w:r>
        <w:rPr>
          <w:rFonts w:ascii="宋体" w:hAnsi="宋体" w:eastAsia="宋体" w:cs="宋体"/>
          <w:color w:val="auto"/>
          <w:spacing w:val="-3"/>
          <w:sz w:val="22"/>
          <w:szCs w:val="22"/>
          <w:highlight w:val="none"/>
        </w:rPr>
        <w:t>次，</w:t>
      </w:r>
      <w:r>
        <w:rPr>
          <w:rFonts w:ascii="宋体" w:hAnsi="宋体" w:eastAsia="宋体" w:cs="宋体"/>
          <w:color w:val="auto"/>
          <w:spacing w:val="-1"/>
          <w:sz w:val="22"/>
          <w:szCs w:val="22"/>
          <w:highlight w:val="none"/>
        </w:rPr>
        <w:t>并填写巡视记录（格式见附录</w:t>
      </w:r>
      <w:r>
        <w:rPr>
          <w:rFonts w:ascii="宋体" w:hAnsi="宋体" w:eastAsia="宋体" w:cs="宋体"/>
          <w:color w:val="auto"/>
          <w:spacing w:val="-40"/>
          <w:sz w:val="22"/>
          <w:szCs w:val="22"/>
          <w:highlight w:val="none"/>
        </w:rPr>
        <w:t xml:space="preserve"> </w:t>
      </w:r>
      <w:r>
        <w:rPr>
          <w:rFonts w:ascii="宋体" w:hAnsi="宋体" w:eastAsia="宋体" w:cs="宋体"/>
          <w:color w:val="auto"/>
          <w:spacing w:val="-1"/>
          <w:sz w:val="22"/>
          <w:szCs w:val="22"/>
          <w:highlight w:val="none"/>
        </w:rPr>
        <w:t>B.1）。巡视应包括下列主要内容：</w:t>
      </w:r>
    </w:p>
    <w:p w14:paraId="6D3AF9E4">
      <w:pPr>
        <w:spacing w:line="359" w:lineRule="auto"/>
        <w:ind w:left="4" w:right="109" w:firstLine="488"/>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（1）施工现场管理人员特别是质量、安全管理人员是否到位，特种作业人员是否</w:t>
      </w:r>
      <w:r>
        <w:rPr>
          <w:rFonts w:ascii="宋体" w:hAnsi="宋体" w:eastAsia="宋体" w:cs="宋体"/>
          <w:color w:val="auto"/>
          <w:spacing w:val="-3"/>
          <w:sz w:val="22"/>
          <w:szCs w:val="22"/>
          <w:highlight w:val="none"/>
        </w:rPr>
        <w:t>持证上岗；</w:t>
      </w:r>
    </w:p>
    <w:p w14:paraId="2A793781">
      <w:pPr>
        <w:spacing w:before="1" w:line="218" w:lineRule="auto"/>
        <w:ind w:left="49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（2）使用的原材料或混合料、构配件和主要施工机械设备是否与批准的一致；</w:t>
      </w:r>
    </w:p>
    <w:p w14:paraId="787E0A4D">
      <w:pPr>
        <w:spacing w:before="185" w:line="219" w:lineRule="auto"/>
        <w:ind w:left="493"/>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（3）是否按技术标准、工程设计文件、批准的施工组织设计和方案施工；</w:t>
      </w:r>
    </w:p>
    <w:p w14:paraId="3531E7C1">
      <w:pPr>
        <w:spacing w:before="180" w:line="359" w:lineRule="auto"/>
        <w:ind w:right="109" w:firstLine="492"/>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（4）质量、安全、环（水）保和施工标准化等措施是否落实，抽查施工自检和工</w:t>
      </w:r>
      <w:r>
        <w:rPr>
          <w:rFonts w:ascii="宋体" w:hAnsi="宋体" w:eastAsia="宋体" w:cs="宋体"/>
          <w:color w:val="auto"/>
          <w:spacing w:val="-1"/>
          <w:sz w:val="22"/>
          <w:szCs w:val="22"/>
          <w:highlight w:val="none"/>
        </w:rPr>
        <w:t>序交接是否符合规定。</w:t>
      </w:r>
    </w:p>
    <w:p w14:paraId="75E19CA7">
      <w:pPr>
        <w:spacing w:before="2" w:line="360" w:lineRule="auto"/>
        <w:ind w:right="107" w:firstLine="498"/>
        <w:jc w:val="both"/>
        <w:rPr>
          <w:rFonts w:ascii="宋体" w:hAnsi="宋体" w:eastAsia="宋体" w:cs="宋体"/>
          <w:color w:val="auto"/>
          <w:spacing w:val="-2"/>
          <w:sz w:val="22"/>
          <w:szCs w:val="22"/>
          <w:highlight w:val="none"/>
        </w:rPr>
      </w:pPr>
      <w:r>
        <w:rPr>
          <w:rFonts w:ascii="宋体" w:hAnsi="宋体" w:eastAsia="宋体" w:cs="宋体"/>
          <w:color w:val="auto"/>
          <w:spacing w:val="-2"/>
          <w:sz w:val="22"/>
          <w:szCs w:val="22"/>
          <w:highlight w:val="none"/>
        </w:rPr>
        <w:t>13.9.11.7 监理机构应安排监理人员对附录</w:t>
      </w:r>
      <w:r>
        <w:rPr>
          <w:rFonts w:ascii="宋体" w:hAnsi="宋体" w:eastAsia="宋体" w:cs="宋体"/>
          <w:color w:val="auto"/>
          <w:spacing w:val="-58"/>
          <w:sz w:val="22"/>
          <w:szCs w:val="22"/>
          <w:highlight w:val="none"/>
        </w:rPr>
        <w:t xml:space="preserve"> </w:t>
      </w:r>
      <w:r>
        <w:rPr>
          <w:rFonts w:ascii="宋体" w:hAnsi="宋体" w:eastAsia="宋体" w:cs="宋体"/>
          <w:color w:val="auto"/>
          <w:spacing w:val="-2"/>
          <w:sz w:val="22"/>
          <w:szCs w:val="22"/>
          <w:highlight w:val="none"/>
        </w:rPr>
        <w:t>A</w:t>
      </w:r>
      <w:r>
        <w:rPr>
          <w:rFonts w:ascii="宋体" w:hAnsi="宋体" w:eastAsia="宋体" w:cs="宋体"/>
          <w:color w:val="auto"/>
          <w:spacing w:val="-50"/>
          <w:sz w:val="22"/>
          <w:szCs w:val="22"/>
          <w:highlight w:val="none"/>
        </w:rPr>
        <w:t xml:space="preserve"> </w:t>
      </w:r>
      <w:r>
        <w:rPr>
          <w:rFonts w:ascii="宋体" w:hAnsi="宋体" w:eastAsia="宋体" w:cs="宋体"/>
          <w:color w:val="auto"/>
          <w:spacing w:val="-2"/>
          <w:sz w:val="22"/>
          <w:szCs w:val="22"/>
          <w:highlight w:val="none"/>
        </w:rPr>
        <w:t>所列旁站项目的施工过程进</w:t>
      </w:r>
      <w:r>
        <w:rPr>
          <w:rFonts w:ascii="宋体" w:hAnsi="宋体" w:eastAsia="宋体" w:cs="宋体"/>
          <w:color w:val="auto"/>
          <w:spacing w:val="-3"/>
          <w:sz w:val="22"/>
          <w:szCs w:val="22"/>
          <w:highlight w:val="none"/>
        </w:rPr>
        <w:t>行旁站，</w:t>
      </w:r>
      <w:r>
        <w:rPr>
          <w:rFonts w:ascii="宋体" w:hAnsi="宋体" w:eastAsia="宋体" w:cs="宋体"/>
          <w:color w:val="auto"/>
          <w:sz w:val="22"/>
          <w:szCs w:val="22"/>
          <w:highlight w:val="none"/>
        </w:rPr>
        <w:t>对主要工程的关键项目进行检测见证，并填写旁站记录（格</w:t>
      </w:r>
      <w:r>
        <w:rPr>
          <w:rFonts w:ascii="宋体" w:hAnsi="宋体" w:eastAsia="宋体" w:cs="宋体"/>
          <w:color w:val="auto"/>
          <w:spacing w:val="-1"/>
          <w:sz w:val="22"/>
          <w:szCs w:val="22"/>
          <w:highlight w:val="none"/>
        </w:rPr>
        <w:t>式见附录</w:t>
      </w:r>
      <w:r>
        <w:rPr>
          <w:rFonts w:ascii="宋体" w:hAnsi="宋体" w:eastAsia="宋体" w:cs="宋体"/>
          <w:color w:val="auto"/>
          <w:spacing w:val="-53"/>
          <w:sz w:val="22"/>
          <w:szCs w:val="22"/>
          <w:highlight w:val="none"/>
        </w:rPr>
        <w:t xml:space="preserve"> </w:t>
      </w:r>
      <w:r>
        <w:rPr>
          <w:rFonts w:ascii="宋体" w:hAnsi="宋体" w:eastAsia="宋体" w:cs="宋体"/>
          <w:color w:val="auto"/>
          <w:spacing w:val="-1"/>
          <w:sz w:val="22"/>
          <w:szCs w:val="22"/>
          <w:highlight w:val="none"/>
        </w:rPr>
        <w:t>B.2</w:t>
      </w:r>
      <w:r>
        <w:rPr>
          <w:rFonts w:ascii="宋体" w:hAnsi="宋体" w:eastAsia="宋体" w:cs="宋体"/>
          <w:color w:val="auto"/>
          <w:spacing w:val="4"/>
          <w:sz w:val="22"/>
          <w:szCs w:val="22"/>
          <w:highlight w:val="none"/>
        </w:rPr>
        <w:t>），</w:t>
      </w:r>
      <w:r>
        <w:rPr>
          <w:rFonts w:ascii="宋体" w:hAnsi="宋体" w:eastAsia="宋体" w:cs="宋体"/>
          <w:color w:val="auto"/>
          <w:spacing w:val="-1"/>
          <w:sz w:val="22"/>
          <w:szCs w:val="22"/>
          <w:highlight w:val="none"/>
        </w:rPr>
        <w:t>签认检测</w:t>
      </w:r>
      <w:r>
        <w:rPr>
          <w:rFonts w:ascii="宋体" w:hAnsi="宋体" w:eastAsia="宋体" w:cs="宋体"/>
          <w:color w:val="auto"/>
          <w:spacing w:val="-2"/>
          <w:sz w:val="22"/>
          <w:szCs w:val="22"/>
          <w:highlight w:val="none"/>
        </w:rPr>
        <w:t>见证结果。</w:t>
      </w:r>
    </w:p>
    <w:p w14:paraId="7C6B6889">
      <w:pPr>
        <w:spacing w:before="78" w:line="359" w:lineRule="auto"/>
        <w:ind w:left="2" w:right="188" w:firstLine="496"/>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13.9.11.8</w:t>
      </w:r>
      <w:r>
        <w:rPr>
          <w:rFonts w:ascii="宋体" w:hAnsi="宋体" w:eastAsia="宋体" w:cs="宋体"/>
          <w:color w:val="auto"/>
          <w:spacing w:val="-37"/>
          <w:sz w:val="22"/>
          <w:szCs w:val="22"/>
          <w:highlight w:val="none"/>
        </w:rPr>
        <w:t xml:space="preserve"> </w:t>
      </w:r>
      <w:r>
        <w:rPr>
          <w:rFonts w:ascii="宋体" w:hAnsi="宋体" w:eastAsia="宋体" w:cs="宋体"/>
          <w:color w:val="auto"/>
          <w:spacing w:val="-1"/>
          <w:sz w:val="22"/>
          <w:szCs w:val="22"/>
          <w:highlight w:val="none"/>
        </w:rPr>
        <w:t>监理机构应建立分级验收机制，总监应参与超过一定规模的危险性较大</w:t>
      </w:r>
      <w:r>
        <w:rPr>
          <w:rFonts w:ascii="宋体" w:hAnsi="宋体" w:eastAsia="宋体" w:cs="宋体"/>
          <w:color w:val="auto"/>
          <w:spacing w:val="5"/>
          <w:sz w:val="22"/>
          <w:szCs w:val="22"/>
          <w:highlight w:val="none"/>
        </w:rPr>
        <w:t>分部分项工程的关键工序验收；副总监应参与危险性较大分部分项工程的</w:t>
      </w:r>
      <w:r>
        <w:rPr>
          <w:rFonts w:ascii="宋体" w:hAnsi="宋体" w:eastAsia="宋体" w:cs="宋体"/>
          <w:color w:val="auto"/>
          <w:spacing w:val="4"/>
          <w:sz w:val="22"/>
          <w:szCs w:val="22"/>
          <w:highlight w:val="none"/>
        </w:rPr>
        <w:t>关键工序验</w:t>
      </w:r>
      <w:r>
        <w:rPr>
          <w:rFonts w:ascii="宋体" w:hAnsi="宋体" w:eastAsia="宋体" w:cs="宋体"/>
          <w:color w:val="auto"/>
          <w:spacing w:val="5"/>
          <w:sz w:val="22"/>
          <w:szCs w:val="22"/>
          <w:highlight w:val="none"/>
        </w:rPr>
        <w:t>收。监理机构应编制《关键工序验收责任清单》，明确规定参与工序验收</w:t>
      </w:r>
      <w:r>
        <w:rPr>
          <w:rFonts w:ascii="宋体" w:hAnsi="宋体" w:eastAsia="宋体" w:cs="宋体"/>
          <w:color w:val="auto"/>
          <w:spacing w:val="4"/>
          <w:sz w:val="22"/>
          <w:szCs w:val="22"/>
          <w:highlight w:val="none"/>
        </w:rPr>
        <w:t>的各层级监</w:t>
      </w:r>
      <w:r>
        <w:rPr>
          <w:rFonts w:ascii="宋体" w:hAnsi="宋体" w:eastAsia="宋体" w:cs="宋体"/>
          <w:color w:val="auto"/>
          <w:spacing w:val="2"/>
          <w:sz w:val="22"/>
          <w:szCs w:val="22"/>
          <w:highlight w:val="none"/>
        </w:rPr>
        <w:t>理人员及职责范围，涵盖项目工程重难点。总监/</w:t>
      </w:r>
      <w:r>
        <w:rPr>
          <w:rFonts w:ascii="宋体" w:hAnsi="宋体" w:eastAsia="宋体" w:cs="宋体"/>
          <w:color w:val="auto"/>
          <w:spacing w:val="1"/>
          <w:sz w:val="22"/>
          <w:szCs w:val="22"/>
          <w:highlight w:val="none"/>
        </w:rPr>
        <w:t>副总监参与的验收应形成专项记录，</w:t>
      </w:r>
      <w:r>
        <w:rPr>
          <w:rFonts w:ascii="宋体" w:hAnsi="宋体" w:eastAsia="宋体" w:cs="宋体"/>
          <w:color w:val="auto"/>
          <w:spacing w:val="-1"/>
          <w:sz w:val="22"/>
          <w:szCs w:val="22"/>
          <w:highlight w:val="none"/>
        </w:rPr>
        <w:t>作为质量责任追溯依据。</w:t>
      </w:r>
    </w:p>
    <w:p w14:paraId="45ABD4F0">
      <w:pPr>
        <w:spacing w:line="359" w:lineRule="auto"/>
        <w:ind w:right="188" w:firstLine="498"/>
        <w:rPr>
          <w:rFonts w:ascii="宋体" w:hAnsi="宋体" w:eastAsia="宋体" w:cs="宋体"/>
          <w:color w:val="auto"/>
          <w:sz w:val="22"/>
          <w:szCs w:val="22"/>
          <w:highlight w:val="none"/>
        </w:rPr>
      </w:pPr>
      <w:r>
        <w:rPr>
          <w:rFonts w:ascii="宋体" w:hAnsi="宋体" w:eastAsia="宋体" w:cs="宋体"/>
          <w:color w:val="auto"/>
          <w:spacing w:val="10"/>
          <w:sz w:val="22"/>
          <w:szCs w:val="22"/>
          <w:highlight w:val="none"/>
        </w:rPr>
        <w:t>13.9.11.9 监理机构应督促施工单位严格执行《广东省公路工程施工标准化指</w:t>
      </w:r>
      <w:r>
        <w:rPr>
          <w:rFonts w:ascii="宋体" w:hAnsi="宋体" w:eastAsia="宋体" w:cs="宋体"/>
          <w:color w:val="auto"/>
          <w:spacing w:val="5"/>
          <w:sz w:val="22"/>
          <w:szCs w:val="22"/>
          <w:highlight w:val="none"/>
        </w:rPr>
        <w:t>南》、《广东省高速公路公路施工安全标准化指南》和施工过程中建设单位下</w:t>
      </w:r>
      <w:r>
        <w:rPr>
          <w:rFonts w:ascii="宋体" w:hAnsi="宋体" w:eastAsia="宋体" w:cs="宋体"/>
          <w:color w:val="auto"/>
          <w:spacing w:val="4"/>
          <w:sz w:val="22"/>
          <w:szCs w:val="22"/>
          <w:highlight w:val="none"/>
        </w:rPr>
        <w:t>发的工</w:t>
      </w:r>
      <w:r>
        <w:rPr>
          <w:rFonts w:ascii="宋体" w:hAnsi="宋体" w:eastAsia="宋体" w:cs="宋体"/>
          <w:color w:val="auto"/>
          <w:spacing w:val="5"/>
          <w:sz w:val="22"/>
          <w:szCs w:val="22"/>
          <w:highlight w:val="none"/>
        </w:rPr>
        <w:t>程管理手册（或创新工艺工法要求）、标准化和标杆管理、技术规范的各项规</w:t>
      </w:r>
      <w:r>
        <w:rPr>
          <w:rFonts w:ascii="宋体" w:hAnsi="宋体" w:eastAsia="宋体" w:cs="宋体"/>
          <w:color w:val="auto"/>
          <w:spacing w:val="4"/>
          <w:sz w:val="22"/>
          <w:szCs w:val="22"/>
          <w:highlight w:val="none"/>
        </w:rPr>
        <w:t>定，以</w:t>
      </w:r>
      <w:r>
        <w:rPr>
          <w:rFonts w:ascii="宋体" w:hAnsi="宋体" w:eastAsia="宋体" w:cs="宋体"/>
          <w:color w:val="auto"/>
          <w:sz w:val="22"/>
          <w:szCs w:val="22"/>
          <w:highlight w:val="none"/>
        </w:rPr>
        <w:t>及在建设过程中建设单位提出的工艺工法要求，以保证达到</w:t>
      </w:r>
      <w:r>
        <w:rPr>
          <w:rFonts w:ascii="宋体" w:hAnsi="宋体" w:eastAsia="宋体" w:cs="宋体"/>
          <w:color w:val="auto"/>
          <w:spacing w:val="-1"/>
          <w:sz w:val="22"/>
          <w:szCs w:val="22"/>
          <w:highlight w:val="none"/>
        </w:rPr>
        <w:t>合同规定的质量标准。</w:t>
      </w:r>
    </w:p>
    <w:p w14:paraId="3A606874">
      <w:pPr>
        <w:spacing w:line="360" w:lineRule="auto"/>
        <w:ind w:firstLine="499"/>
        <w:jc w:val="both"/>
        <w:rPr>
          <w:rFonts w:ascii="宋体" w:hAnsi="宋体" w:eastAsia="宋体" w:cs="宋体"/>
          <w:color w:val="auto"/>
          <w:sz w:val="22"/>
          <w:szCs w:val="22"/>
          <w:highlight w:val="none"/>
        </w:rPr>
      </w:pPr>
      <w:r>
        <w:rPr>
          <w:rFonts w:ascii="宋体" w:hAnsi="宋体" w:eastAsia="宋体" w:cs="宋体"/>
          <w:color w:val="auto"/>
          <w:spacing w:val="-2"/>
          <w:sz w:val="22"/>
          <w:szCs w:val="22"/>
          <w:highlight w:val="none"/>
        </w:rPr>
        <w:t>13.9.12</w:t>
      </w:r>
      <w:r>
        <w:rPr>
          <w:rFonts w:ascii="宋体" w:hAnsi="宋体" w:eastAsia="宋体" w:cs="宋体"/>
          <w:color w:val="auto"/>
          <w:spacing w:val="-48"/>
          <w:sz w:val="22"/>
          <w:szCs w:val="22"/>
          <w:highlight w:val="none"/>
        </w:rPr>
        <w:t xml:space="preserve"> </w:t>
      </w:r>
      <w:r>
        <w:rPr>
          <w:rFonts w:ascii="宋体" w:hAnsi="宋体" w:eastAsia="宋体" w:cs="宋体"/>
          <w:color w:val="auto"/>
          <w:spacing w:val="-2"/>
          <w:sz w:val="22"/>
          <w:szCs w:val="22"/>
          <w:highlight w:val="none"/>
        </w:rPr>
        <w:t>监理人应协助发包人开展项目的成本调研及造价管理工作。包含现场调研、</w:t>
      </w:r>
      <w:r>
        <w:rPr>
          <w:rFonts w:ascii="宋体" w:hAnsi="宋体" w:eastAsia="宋体" w:cs="宋体"/>
          <w:color w:val="auto"/>
          <w:spacing w:val="5"/>
          <w:sz w:val="22"/>
          <w:szCs w:val="22"/>
          <w:highlight w:val="none"/>
        </w:rPr>
        <w:t>现场数据、施工日志、监理日志、收集，整理、按发包人要求整理上报，审核承</w:t>
      </w:r>
      <w:r>
        <w:rPr>
          <w:rFonts w:ascii="宋体" w:hAnsi="宋体" w:eastAsia="宋体" w:cs="宋体"/>
          <w:color w:val="auto"/>
          <w:spacing w:val="4"/>
          <w:sz w:val="22"/>
          <w:szCs w:val="22"/>
          <w:highlight w:val="none"/>
        </w:rPr>
        <w:t>包人</w:t>
      </w:r>
      <w:r>
        <w:rPr>
          <w:rFonts w:ascii="宋体" w:hAnsi="宋体" w:eastAsia="宋体" w:cs="宋体"/>
          <w:color w:val="auto"/>
          <w:spacing w:val="5"/>
          <w:sz w:val="22"/>
          <w:szCs w:val="22"/>
          <w:highlight w:val="none"/>
        </w:rPr>
        <w:t>报送的各种资料，按发包人要求协助发包人开展造价管理工作，经监理人审核的</w:t>
      </w:r>
      <w:r>
        <w:rPr>
          <w:rFonts w:ascii="宋体" w:hAnsi="宋体" w:eastAsia="宋体" w:cs="宋体"/>
          <w:color w:val="auto"/>
          <w:spacing w:val="4"/>
          <w:sz w:val="22"/>
          <w:szCs w:val="22"/>
          <w:highlight w:val="none"/>
        </w:rPr>
        <w:t>工程</w:t>
      </w:r>
      <w:r>
        <w:rPr>
          <w:rFonts w:ascii="宋体" w:hAnsi="宋体" w:eastAsia="宋体" w:cs="宋体"/>
          <w:color w:val="auto"/>
          <w:sz w:val="22"/>
          <w:szCs w:val="22"/>
          <w:highlight w:val="none"/>
        </w:rPr>
        <w:t>造价文件质量以《广东省公路工程造价标准化管理指南》（粤交基</w:t>
      </w:r>
      <w:r>
        <w:rPr>
          <w:rFonts w:ascii="宋体" w:hAnsi="宋体" w:eastAsia="宋体" w:cs="宋体"/>
          <w:color w:val="auto"/>
          <w:spacing w:val="-1"/>
          <w:sz w:val="22"/>
          <w:szCs w:val="22"/>
          <w:highlight w:val="none"/>
        </w:rPr>
        <w:t>〔2022〕483</w:t>
      </w:r>
      <w:r>
        <w:rPr>
          <w:rFonts w:ascii="宋体" w:hAnsi="宋体" w:eastAsia="宋体" w:cs="宋体"/>
          <w:color w:val="auto"/>
          <w:spacing w:val="-45"/>
          <w:sz w:val="22"/>
          <w:szCs w:val="22"/>
          <w:highlight w:val="none"/>
        </w:rPr>
        <w:t xml:space="preserve"> </w:t>
      </w:r>
      <w:r>
        <w:rPr>
          <w:rFonts w:ascii="宋体" w:hAnsi="宋体" w:eastAsia="宋体" w:cs="宋体"/>
          <w:color w:val="auto"/>
          <w:spacing w:val="-1"/>
          <w:sz w:val="22"/>
          <w:szCs w:val="22"/>
          <w:highlight w:val="none"/>
        </w:rPr>
        <w:t>号）质</w:t>
      </w:r>
      <w:r>
        <w:rPr>
          <w:rFonts w:ascii="宋体" w:hAnsi="宋体" w:eastAsia="宋体" w:cs="宋体"/>
          <w:color w:val="auto"/>
          <w:sz w:val="22"/>
          <w:szCs w:val="22"/>
          <w:highlight w:val="none"/>
        </w:rPr>
        <w:t>量较好等级以上，造价文件质量挂钩优监优酬计</w:t>
      </w:r>
      <w:r>
        <w:rPr>
          <w:rFonts w:ascii="宋体" w:hAnsi="宋体" w:eastAsia="宋体" w:cs="宋体"/>
          <w:color w:val="auto"/>
          <w:spacing w:val="-1"/>
          <w:sz w:val="22"/>
          <w:szCs w:val="22"/>
          <w:highlight w:val="none"/>
        </w:rPr>
        <w:t>入监理服务费用中。</w:t>
      </w:r>
    </w:p>
    <w:p w14:paraId="4954D97C">
      <w:pPr>
        <w:spacing w:line="360" w:lineRule="auto"/>
        <w:rPr>
          <w:rFonts w:ascii="宋体" w:hAnsi="宋体" w:eastAsia="宋体" w:cs="宋体"/>
          <w:color w:val="auto"/>
          <w:sz w:val="24"/>
          <w:szCs w:val="24"/>
          <w:highlight w:val="none"/>
        </w:rPr>
        <w:sectPr>
          <w:footerReference r:id="rId26" w:type="default"/>
          <w:pgSz w:w="11905" w:h="16838"/>
          <w:pgMar w:top="1134" w:right="1134" w:bottom="1134" w:left="1134" w:header="0" w:footer="1066" w:gutter="0"/>
          <w:pgNumType w:fmt="decimal"/>
          <w:cols w:space="0" w:num="1"/>
          <w:rtlGutter w:val="0"/>
          <w:docGrid w:linePitch="0" w:charSpace="0"/>
        </w:sectPr>
      </w:pPr>
    </w:p>
    <w:p w14:paraId="600AB62C">
      <w:pPr>
        <w:rPr>
          <w:rFonts w:ascii="Arial"/>
          <w:color w:val="auto"/>
          <w:sz w:val="21"/>
          <w:highlight w:val="none"/>
        </w:rPr>
      </w:pPr>
    </w:p>
    <w:p w14:paraId="1FBD6472">
      <w:pPr>
        <w:rPr>
          <w:rFonts w:ascii="Arial"/>
          <w:color w:val="auto"/>
          <w:sz w:val="21"/>
          <w:highlight w:val="none"/>
        </w:rPr>
      </w:pPr>
    </w:p>
    <w:p w14:paraId="0AE8214E">
      <w:pPr>
        <w:pStyle w:val="3"/>
        <w:bidi w:val="0"/>
        <w:jc w:val="center"/>
        <w:rPr>
          <w:color w:val="auto"/>
          <w:highlight w:val="none"/>
        </w:rPr>
      </w:pPr>
      <w:r>
        <w:rPr>
          <w:color w:val="auto"/>
          <w:highlight w:val="none"/>
        </w:rPr>
        <w:t>第三节  合同附件格式</w:t>
      </w:r>
    </w:p>
    <w:p w14:paraId="0D8BFF20">
      <w:pPr>
        <w:spacing w:line="295" w:lineRule="auto"/>
        <w:rPr>
          <w:rFonts w:ascii="Arial"/>
          <w:color w:val="auto"/>
          <w:sz w:val="21"/>
          <w:highlight w:val="none"/>
        </w:rPr>
      </w:pPr>
    </w:p>
    <w:p w14:paraId="14BD3C08">
      <w:pPr>
        <w:pStyle w:val="4"/>
        <w:bidi w:val="0"/>
        <w:rPr>
          <w:rFonts w:hint="eastAsia"/>
          <w:color w:val="auto"/>
          <w:highlight w:val="none"/>
          <w:lang w:val="en-US" w:eastAsia="zh-CN"/>
        </w:rPr>
      </w:pPr>
      <w:bookmarkStart w:id="337" w:name="_Toc22536_WPSOffice_Level2"/>
      <w:r>
        <w:rPr>
          <w:rFonts w:hint="eastAsia"/>
          <w:color w:val="auto"/>
          <w:highlight w:val="none"/>
          <w:lang w:val="en-US" w:eastAsia="zh-CN"/>
        </w:rPr>
        <w:t>附件一 合同协议书</w:t>
      </w:r>
      <w:bookmarkEnd w:id="337"/>
    </w:p>
    <w:p w14:paraId="20704449">
      <w:pPr>
        <w:widowControl w:val="0"/>
        <w:kinsoku w:val="0"/>
        <w:overflowPunct w:val="0"/>
        <w:autoSpaceDE w:val="0"/>
        <w:autoSpaceDN w:val="0"/>
        <w:adjustRightInd w:val="0"/>
        <w:snapToGrid/>
        <w:spacing w:before="5" w:line="150" w:lineRule="exact"/>
        <w:jc w:val="left"/>
        <w:textAlignment w:val="auto"/>
        <w:rPr>
          <w:rFonts w:hint="eastAsia" w:ascii="宋体" w:hAnsi="Times New Roman" w:eastAsia="宋体" w:cs="Times New Roman"/>
          <w:snapToGrid/>
          <w:color w:val="auto"/>
          <w:kern w:val="2"/>
          <w:sz w:val="15"/>
          <w:szCs w:val="20"/>
          <w:highlight w:val="none"/>
          <w:lang w:eastAsia="zh-CN"/>
        </w:rPr>
      </w:pPr>
    </w:p>
    <w:p w14:paraId="57A669E9">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3D4D1424">
      <w:pPr>
        <w:widowControl w:val="0"/>
        <w:kinsoku w:val="0"/>
        <w:overflowPunct w:val="0"/>
        <w:autoSpaceDE w:val="0"/>
        <w:autoSpaceDN w:val="0"/>
        <w:adjustRightInd w:val="0"/>
        <w:snapToGrid/>
        <w:spacing w:line="240" w:lineRule="auto"/>
        <w:ind w:left="144"/>
        <w:jc w:val="center"/>
        <w:textAlignment w:val="auto"/>
        <w:rPr>
          <w:rFonts w:hint="eastAsia" w:ascii="宋体" w:hAnsi="Times New Roman" w:eastAsia="宋体" w:cs="Times New Roman"/>
          <w:b/>
          <w:bCs/>
          <w:snapToGrid/>
          <w:color w:val="auto"/>
          <w:kern w:val="2"/>
          <w:sz w:val="28"/>
          <w:szCs w:val="20"/>
          <w:highlight w:val="none"/>
          <w:lang w:eastAsia="zh-CN"/>
        </w:rPr>
      </w:pPr>
      <w:bookmarkStart w:id="338" w:name="_Toc7200_WPSOffice_Level2"/>
      <w:r>
        <w:rPr>
          <w:rFonts w:hint="eastAsia" w:ascii="宋体" w:hAnsi="宋体" w:eastAsia="宋体" w:cs="Times New Roman"/>
          <w:b/>
          <w:bCs/>
          <w:snapToGrid/>
          <w:color w:val="auto"/>
          <w:kern w:val="2"/>
          <w:sz w:val="28"/>
          <w:szCs w:val="20"/>
          <w:highlight w:val="none"/>
          <w:lang w:eastAsia="zh-CN"/>
        </w:rPr>
        <w:t>合</w:t>
      </w:r>
      <w:r>
        <w:rPr>
          <w:rFonts w:hint="eastAsia" w:ascii="宋体" w:hAnsi="宋体" w:eastAsia="宋体" w:cs="Times New Roman"/>
          <w:b/>
          <w:bCs/>
          <w:snapToGrid/>
          <w:color w:val="auto"/>
          <w:spacing w:val="-1"/>
          <w:kern w:val="2"/>
          <w:sz w:val="28"/>
          <w:szCs w:val="20"/>
          <w:highlight w:val="none"/>
          <w:lang w:eastAsia="zh-CN"/>
        </w:rPr>
        <w:t xml:space="preserve"> </w:t>
      </w:r>
      <w:r>
        <w:rPr>
          <w:rFonts w:hint="eastAsia" w:ascii="宋体" w:hAnsi="宋体" w:eastAsia="宋体" w:cs="Times New Roman"/>
          <w:b/>
          <w:bCs/>
          <w:snapToGrid/>
          <w:color w:val="auto"/>
          <w:kern w:val="2"/>
          <w:sz w:val="28"/>
          <w:szCs w:val="20"/>
          <w:highlight w:val="none"/>
          <w:lang w:eastAsia="zh-CN"/>
        </w:rPr>
        <w:t>同</w:t>
      </w:r>
      <w:r>
        <w:rPr>
          <w:rFonts w:hint="eastAsia" w:ascii="宋体" w:hAnsi="宋体" w:eastAsia="宋体" w:cs="Times New Roman"/>
          <w:b/>
          <w:bCs/>
          <w:snapToGrid/>
          <w:color w:val="auto"/>
          <w:spacing w:val="-1"/>
          <w:kern w:val="2"/>
          <w:sz w:val="28"/>
          <w:szCs w:val="20"/>
          <w:highlight w:val="none"/>
          <w:lang w:eastAsia="zh-CN"/>
        </w:rPr>
        <w:t xml:space="preserve"> </w:t>
      </w:r>
      <w:r>
        <w:rPr>
          <w:rFonts w:hint="eastAsia" w:ascii="宋体" w:hAnsi="宋体" w:eastAsia="宋体" w:cs="Times New Roman"/>
          <w:b/>
          <w:bCs/>
          <w:snapToGrid/>
          <w:color w:val="auto"/>
          <w:kern w:val="2"/>
          <w:sz w:val="28"/>
          <w:szCs w:val="20"/>
          <w:highlight w:val="none"/>
          <w:lang w:eastAsia="zh-CN"/>
        </w:rPr>
        <w:t>协</w:t>
      </w:r>
      <w:r>
        <w:rPr>
          <w:rFonts w:hint="eastAsia" w:ascii="宋体" w:hAnsi="宋体" w:eastAsia="宋体" w:cs="Times New Roman"/>
          <w:b/>
          <w:bCs/>
          <w:snapToGrid/>
          <w:color w:val="auto"/>
          <w:spacing w:val="-1"/>
          <w:kern w:val="2"/>
          <w:sz w:val="28"/>
          <w:szCs w:val="20"/>
          <w:highlight w:val="none"/>
          <w:lang w:eastAsia="zh-CN"/>
        </w:rPr>
        <w:t xml:space="preserve"> </w:t>
      </w:r>
      <w:r>
        <w:rPr>
          <w:rFonts w:hint="eastAsia" w:ascii="宋体" w:hAnsi="宋体" w:eastAsia="宋体" w:cs="Times New Roman"/>
          <w:b/>
          <w:bCs/>
          <w:snapToGrid/>
          <w:color w:val="auto"/>
          <w:kern w:val="2"/>
          <w:sz w:val="28"/>
          <w:szCs w:val="20"/>
          <w:highlight w:val="none"/>
          <w:lang w:eastAsia="zh-CN"/>
        </w:rPr>
        <w:t>议</w:t>
      </w:r>
      <w:r>
        <w:rPr>
          <w:rFonts w:hint="eastAsia" w:ascii="宋体" w:hAnsi="宋体" w:eastAsia="宋体" w:cs="Times New Roman"/>
          <w:b/>
          <w:bCs/>
          <w:snapToGrid/>
          <w:color w:val="auto"/>
          <w:spacing w:val="-1"/>
          <w:kern w:val="2"/>
          <w:sz w:val="28"/>
          <w:szCs w:val="20"/>
          <w:highlight w:val="none"/>
          <w:lang w:eastAsia="zh-CN"/>
        </w:rPr>
        <w:t xml:space="preserve"> </w:t>
      </w:r>
      <w:r>
        <w:rPr>
          <w:rFonts w:hint="eastAsia" w:ascii="宋体" w:hAnsi="宋体" w:eastAsia="宋体" w:cs="Times New Roman"/>
          <w:b/>
          <w:bCs/>
          <w:snapToGrid/>
          <w:color w:val="auto"/>
          <w:kern w:val="2"/>
          <w:sz w:val="28"/>
          <w:szCs w:val="20"/>
          <w:highlight w:val="none"/>
          <w:lang w:eastAsia="zh-CN"/>
        </w:rPr>
        <w:t>书</w:t>
      </w:r>
      <w:bookmarkEnd w:id="338"/>
    </w:p>
    <w:p w14:paraId="2DCF0C4A">
      <w:pPr>
        <w:widowControl w:val="0"/>
        <w:kinsoku w:val="0"/>
        <w:overflowPunct w:val="0"/>
        <w:autoSpaceDE w:val="0"/>
        <w:autoSpaceDN w:val="0"/>
        <w:adjustRightInd w:val="0"/>
        <w:snapToGrid/>
        <w:spacing w:before="5" w:line="130" w:lineRule="exact"/>
        <w:jc w:val="left"/>
        <w:textAlignment w:val="auto"/>
        <w:rPr>
          <w:rFonts w:hint="eastAsia" w:ascii="宋体" w:hAnsi="Times New Roman" w:eastAsia="宋体" w:cs="Times New Roman"/>
          <w:snapToGrid/>
          <w:color w:val="auto"/>
          <w:kern w:val="2"/>
          <w:sz w:val="13"/>
          <w:szCs w:val="20"/>
          <w:highlight w:val="none"/>
          <w:lang w:eastAsia="zh-CN"/>
        </w:rPr>
      </w:pPr>
    </w:p>
    <w:p w14:paraId="07146202">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55E0895B">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4"/>
          <w:szCs w:val="24"/>
          <w:highlight w:val="none"/>
          <w:lang w:eastAsia="zh-CN"/>
        </w:rPr>
      </w:pPr>
    </w:p>
    <w:p w14:paraId="415EFD8D">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（委托人名称，以下简称“委托人”）为实施</w:t>
      </w:r>
      <w:r>
        <w:rPr>
          <w:rFonts w:hint="eastAsia" w:ascii="Times New Roman" w:hAnsi="Times New Roman" w:eastAsia="宋体" w:cs="宋体"/>
          <w:snapToGrid/>
          <w:color w:val="auto"/>
          <w:kern w:val="21"/>
          <w:sz w:val="24"/>
          <w:szCs w:val="24"/>
          <w:highlight w:val="none"/>
          <w:u w:val="single"/>
          <w:lang w:eastAsia="zh-CN"/>
        </w:rPr>
        <w:t>　　（项目名称）</w:t>
      </w:r>
      <w:r>
        <w:rPr>
          <w:rFonts w:hint="eastAsia" w:ascii="Times New Roman" w:hAnsi="Times New Roman" w:eastAsia="宋体" w:cs="宋体"/>
          <w:snapToGrid/>
          <w:color w:val="auto"/>
          <w:kern w:val="21"/>
          <w:sz w:val="24"/>
          <w:szCs w:val="24"/>
          <w:highlight w:val="none"/>
          <w:u w:val="single"/>
          <w:lang w:val="en-US" w:eastAsia="zh-CN"/>
        </w:rPr>
        <w:t xml:space="preserve"> </w:t>
      </w:r>
      <w:r>
        <w:rPr>
          <w:rFonts w:hint="eastAsia" w:ascii="Times New Roman" w:hAnsi="Times New Roman" w:eastAsia="宋体" w:cs="宋体"/>
          <w:snapToGrid/>
          <w:color w:val="auto"/>
          <w:kern w:val="21"/>
          <w:sz w:val="24"/>
          <w:szCs w:val="24"/>
          <w:highlight w:val="none"/>
          <w:u w:val="single"/>
          <w:lang w:eastAsia="zh-CN"/>
        </w:rPr>
        <w:t>　</w:t>
      </w:r>
      <w:r>
        <w:rPr>
          <w:rFonts w:hint="eastAsia" w:ascii="Times New Roman" w:hAnsi="Times New Roman" w:eastAsia="宋体" w:cs="宋体"/>
          <w:snapToGrid/>
          <w:color w:val="auto"/>
          <w:kern w:val="21"/>
          <w:sz w:val="24"/>
          <w:szCs w:val="24"/>
          <w:highlight w:val="none"/>
          <w:lang w:eastAsia="zh-CN"/>
        </w:rPr>
        <w:t>，已接受</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（监理人名称，以下简称“监理人”）对该项目</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标段施工监理的投标。委托人和监理人共同达成如下协议。</w:t>
      </w:r>
    </w:p>
    <w:p w14:paraId="37ED3174">
      <w:pPr>
        <w:numPr>
          <w:ilvl w:val="0"/>
          <w:numId w:val="4"/>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第</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标段由K</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至K</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，长约</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km，公路等级为</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，设计速度为</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路面，有</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立交</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处；特大桥</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座，计长</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m；大中桥</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座，计长</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m；隧道</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座，计长</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m以及其他构造物工程等。</w:t>
      </w:r>
    </w:p>
    <w:p w14:paraId="197E0A16">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2. 下列文件应视为构成合同文件的组成部分：</w:t>
      </w:r>
    </w:p>
    <w:p w14:paraId="7E97641A">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（1）本合同协议书及各种合同附件；</w:t>
      </w:r>
    </w:p>
    <w:p w14:paraId="024999A1">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（2）中标通知书；</w:t>
      </w:r>
    </w:p>
    <w:p w14:paraId="6ADE4785">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（3）投标函；</w:t>
      </w:r>
    </w:p>
    <w:p w14:paraId="7B01C9FB">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（4）项目专用合同条款；</w:t>
      </w:r>
    </w:p>
    <w:p w14:paraId="4A199ED0">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（5）公路工程专用合同条款；</w:t>
      </w:r>
    </w:p>
    <w:p w14:paraId="55515636">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（6）通用合同条款；</w:t>
      </w:r>
    </w:p>
    <w:p w14:paraId="0AC0010F">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（7）委托人要求；</w:t>
      </w:r>
    </w:p>
    <w:p w14:paraId="3D08782C">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（8）监理服务费用清单；</w:t>
      </w:r>
    </w:p>
    <w:p w14:paraId="5AA43745">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（9）监理人有关人员、试验检测设备投入的承诺；</w:t>
      </w:r>
    </w:p>
    <w:p w14:paraId="69D49F46">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（10）其他合同文件。</w:t>
      </w:r>
    </w:p>
    <w:p w14:paraId="23AB40C1">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上述合同文件互相补充和解释。如果合同文件之间存在矛盾或不一致之处，以上述文件的排列顺序在先者为准。</w:t>
      </w:r>
    </w:p>
    <w:p w14:paraId="74B53D03">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效。</w:t>
      </w:r>
    </w:p>
    <w:p w14:paraId="3A2B76AB">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3. 签约合同价：人民币（大写）</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元（¥</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p>
    <w:p w14:paraId="3FD36AFE">
      <w:pPr>
        <w:kinsoku/>
        <w:autoSpaceDE/>
        <w:autoSpaceDN/>
        <w:adjustRightInd/>
        <w:snapToGrid/>
        <w:spacing w:line="500" w:lineRule="exact"/>
        <w:ind w:firstLine="720" w:firstLineChars="3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其中：施工阶段（包括施工准备阶段）</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元；</w:t>
      </w:r>
    </w:p>
    <w:p w14:paraId="38ABCE1A">
      <w:pPr>
        <w:kinsoku/>
        <w:autoSpaceDE/>
        <w:autoSpaceDN/>
        <w:adjustRightInd/>
        <w:snapToGrid/>
        <w:spacing w:line="500" w:lineRule="exact"/>
        <w:ind w:firstLine="1440" w:firstLineChars="6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验收与缺陷责任期阶段</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u w:val="single"/>
          <w:lang w:val="en-US" w:eastAsia="zh-CN"/>
        </w:rPr>
        <w:t xml:space="preserve"> </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元；</w:t>
      </w:r>
    </w:p>
    <w:p w14:paraId="0F8A23CE">
      <w:pPr>
        <w:numPr>
          <w:ilvl w:val="0"/>
          <w:numId w:val="5"/>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总监理工程师或驻地监理工程师：</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p>
    <w:p w14:paraId="0825F5C1">
      <w:pPr>
        <w:numPr>
          <w:ilvl w:val="0"/>
          <w:numId w:val="5"/>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监理工作质量符合的标准和要求：</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；安全目标：</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w:t>
      </w:r>
    </w:p>
    <w:p w14:paraId="4A57709B">
      <w:pPr>
        <w:numPr>
          <w:ilvl w:val="0"/>
          <w:numId w:val="5"/>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监理人承诺按合同约定承担工程的施工监理。</w:t>
      </w:r>
    </w:p>
    <w:p w14:paraId="20E1454D">
      <w:pPr>
        <w:numPr>
          <w:ilvl w:val="0"/>
          <w:numId w:val="5"/>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委托人承诺按合同约定的条件、时间和方式向监理人支付合同价款。</w:t>
      </w:r>
    </w:p>
    <w:p w14:paraId="041461F8">
      <w:pPr>
        <w:numPr>
          <w:ilvl w:val="0"/>
          <w:numId w:val="5"/>
        </w:num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监理人计划开始监理日期：</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，实际日期按照合同条款中约定的开始监理日期为准。</w:t>
      </w:r>
      <w:r>
        <w:rPr>
          <w:rFonts w:hint="eastAsia" w:ascii="Times New Roman" w:hAnsi="Times New Roman" w:eastAsia="宋体" w:cs="Times New Roman"/>
          <w:snapToGrid/>
          <w:color w:val="auto"/>
          <w:kern w:val="2"/>
          <w:sz w:val="24"/>
          <w:szCs w:val="24"/>
          <w:highlight w:val="none"/>
          <w:lang w:eastAsia="zh-CN"/>
        </w:rPr>
        <w:t>监理服务期限：</w:t>
      </w:r>
      <w:r>
        <w:rPr>
          <w:rFonts w:hint="eastAsia" w:ascii="Times New Roman" w:hAnsi="Times New Roman" w:eastAsia="宋体" w:cs="Times New Roman"/>
          <w:snapToGrid/>
          <w:color w:val="auto"/>
          <w:kern w:val="2"/>
          <w:sz w:val="24"/>
          <w:szCs w:val="24"/>
          <w:highlight w:val="none"/>
          <w:u w:val="single" w:color="000000"/>
          <w:lang w:eastAsia="zh-CN"/>
        </w:rPr>
        <w:t xml:space="preserve"> </w:t>
      </w:r>
      <w:r>
        <w:rPr>
          <w:rFonts w:hint="eastAsia" w:ascii="Times New Roman" w:hAnsi="Times New Roman" w:eastAsia="宋体" w:cs="Times New Roman"/>
          <w:snapToGrid/>
          <w:color w:val="auto"/>
          <w:kern w:val="2"/>
          <w:sz w:val="24"/>
          <w:szCs w:val="24"/>
          <w:highlight w:val="none"/>
          <w:u w:val="single" w:color="000000"/>
          <w:lang w:eastAsia="zh-CN"/>
        </w:rPr>
        <w:tab/>
      </w:r>
      <w:r>
        <w:rPr>
          <w:rFonts w:hint="eastAsia" w:ascii="Times New Roman" w:hAnsi="Times New Roman" w:eastAsia="宋体" w:cs="Times New Roman"/>
          <w:snapToGrid/>
          <w:color w:val="auto"/>
          <w:kern w:val="2"/>
          <w:sz w:val="24"/>
          <w:szCs w:val="24"/>
          <w:highlight w:val="none"/>
          <w:lang w:eastAsia="zh-CN"/>
        </w:rPr>
        <w:t>日历天，其中：施工阶段（含施工准备阶段）监理</w:t>
      </w:r>
      <w:r>
        <w:rPr>
          <w:rFonts w:hint="eastAsia" w:ascii="Times New Roman" w:hAnsi="Times New Roman" w:eastAsia="宋体" w:cs="Times New Roman"/>
          <w:snapToGrid/>
          <w:color w:val="auto"/>
          <w:kern w:val="2"/>
          <w:sz w:val="24"/>
          <w:szCs w:val="24"/>
          <w:highlight w:val="none"/>
          <w:u w:val="single" w:color="000000"/>
          <w:lang w:eastAsia="zh-CN"/>
        </w:rPr>
        <w:t xml:space="preserve"> </w:t>
      </w:r>
      <w:r>
        <w:rPr>
          <w:rFonts w:hint="eastAsia" w:ascii="Times New Roman" w:hAnsi="Times New Roman" w:eastAsia="宋体" w:cs="Times New Roman"/>
          <w:snapToGrid/>
          <w:color w:val="auto"/>
          <w:kern w:val="2"/>
          <w:sz w:val="24"/>
          <w:szCs w:val="24"/>
          <w:highlight w:val="none"/>
          <w:u w:val="single" w:color="000000"/>
          <w:lang w:eastAsia="zh-CN"/>
        </w:rPr>
        <w:tab/>
      </w:r>
      <w:r>
        <w:rPr>
          <w:rFonts w:hint="eastAsia" w:ascii="Times New Roman" w:hAnsi="Times New Roman" w:eastAsia="宋体" w:cs="Times New Roman"/>
          <w:snapToGrid/>
          <w:color w:val="auto"/>
          <w:kern w:val="2"/>
          <w:sz w:val="24"/>
          <w:szCs w:val="24"/>
          <w:highlight w:val="none"/>
          <w:lang w:eastAsia="zh-CN"/>
        </w:rPr>
        <w:t>日历天，缺陷责任期阶段监理</w:t>
      </w:r>
      <w:r>
        <w:rPr>
          <w:rFonts w:hint="eastAsia" w:ascii="Times New Roman" w:hAnsi="Times New Roman" w:eastAsia="宋体" w:cs="Times New Roman"/>
          <w:snapToGrid/>
          <w:color w:val="auto"/>
          <w:kern w:val="2"/>
          <w:sz w:val="24"/>
          <w:szCs w:val="24"/>
          <w:highlight w:val="none"/>
          <w:u w:val="single" w:color="000000"/>
          <w:lang w:eastAsia="zh-CN"/>
        </w:rPr>
        <w:t xml:space="preserve"> </w:t>
      </w:r>
      <w:r>
        <w:rPr>
          <w:rFonts w:hint="eastAsia" w:ascii="Times New Roman" w:hAnsi="Times New Roman" w:eastAsia="宋体" w:cs="Times New Roman"/>
          <w:snapToGrid/>
          <w:color w:val="auto"/>
          <w:kern w:val="2"/>
          <w:sz w:val="24"/>
          <w:szCs w:val="24"/>
          <w:highlight w:val="none"/>
          <w:u w:val="single" w:color="000000"/>
          <w:lang w:eastAsia="zh-CN"/>
        </w:rPr>
        <w:tab/>
      </w:r>
      <w:r>
        <w:rPr>
          <w:rFonts w:hint="eastAsia" w:ascii="Times New Roman" w:hAnsi="Times New Roman" w:eastAsia="宋体" w:cs="Times New Roman"/>
          <w:snapToGrid/>
          <w:color w:val="auto"/>
          <w:kern w:val="2"/>
          <w:sz w:val="24"/>
          <w:szCs w:val="24"/>
          <w:highlight w:val="none"/>
          <w:lang w:eastAsia="zh-CN"/>
        </w:rPr>
        <w:t>日历天。</w:t>
      </w:r>
    </w:p>
    <w:p w14:paraId="23967D0A">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9. 本协议书在监理人提供履约保证金后，由双方法定代表人或其委托代理人签署并加盖单位章后生效。全部工程完工后经交工验收合格、缺陷责任期满签发缺陷责任终止证书后失效。</w:t>
      </w:r>
    </w:p>
    <w:p w14:paraId="40EE8294">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10. 本协议书正本二份、副本</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份，合同双方各执正本一份，副本</w:t>
      </w:r>
      <w:r>
        <w:rPr>
          <w:rFonts w:hint="eastAsia" w:ascii="Times New Roman" w:hAnsi="Times New Roman" w:eastAsia="宋体" w:cs="宋体"/>
          <w:snapToGrid/>
          <w:color w:val="auto"/>
          <w:kern w:val="21"/>
          <w:sz w:val="24"/>
          <w:szCs w:val="24"/>
          <w:highlight w:val="none"/>
          <w:u w:val="single"/>
          <w:lang w:eastAsia="zh-CN"/>
        </w:rPr>
        <w:t xml:space="preserve">     </w:t>
      </w:r>
      <w:r>
        <w:rPr>
          <w:rFonts w:hint="eastAsia" w:ascii="Times New Roman" w:hAnsi="Times New Roman" w:eastAsia="宋体" w:cs="宋体"/>
          <w:snapToGrid/>
          <w:color w:val="auto"/>
          <w:kern w:val="21"/>
          <w:sz w:val="24"/>
          <w:szCs w:val="24"/>
          <w:highlight w:val="none"/>
          <w:lang w:eastAsia="zh-CN"/>
        </w:rPr>
        <w:t>份，当正本与副本的内容不一致时，以正本为准。</w:t>
      </w:r>
    </w:p>
    <w:p w14:paraId="74C5FABC">
      <w:pPr>
        <w:kinsoku/>
        <w:autoSpaceDE/>
        <w:autoSpaceDN/>
        <w:adjustRightInd/>
        <w:snapToGrid/>
        <w:spacing w:line="500" w:lineRule="exact"/>
        <w:ind w:firstLine="480" w:firstLineChars="200"/>
        <w:jc w:val="both"/>
        <w:textAlignment w:val="auto"/>
        <w:rPr>
          <w:rFonts w:hint="eastAsia" w:ascii="Times New Roman" w:hAnsi="Times New Roman" w:eastAsia="宋体" w:cs="宋体"/>
          <w:snapToGrid/>
          <w:color w:val="auto"/>
          <w:kern w:val="21"/>
          <w:sz w:val="24"/>
          <w:szCs w:val="24"/>
          <w:highlight w:val="none"/>
          <w:lang w:eastAsia="zh-CN"/>
        </w:rPr>
      </w:pPr>
      <w:r>
        <w:rPr>
          <w:rFonts w:hint="eastAsia" w:ascii="Times New Roman" w:hAnsi="Times New Roman" w:eastAsia="宋体" w:cs="宋体"/>
          <w:snapToGrid/>
          <w:color w:val="auto"/>
          <w:kern w:val="21"/>
          <w:sz w:val="24"/>
          <w:szCs w:val="24"/>
          <w:highlight w:val="none"/>
          <w:lang w:eastAsia="zh-CN"/>
        </w:rPr>
        <w:t>11. 合同未尽事宜，双方另行签订补充协议。补充协议是合同的组成部分。</w:t>
      </w:r>
    </w:p>
    <w:p w14:paraId="2D3FB82A">
      <w:pPr>
        <w:widowControl w:val="0"/>
        <w:kinsoku w:val="0"/>
        <w:overflowPunct w:val="0"/>
        <w:autoSpaceDE w:val="0"/>
        <w:autoSpaceDN w:val="0"/>
        <w:adjustRightInd w:val="0"/>
        <w:snapToGrid/>
        <w:spacing w:before="8" w:line="140" w:lineRule="exact"/>
        <w:jc w:val="left"/>
        <w:textAlignment w:val="auto"/>
        <w:rPr>
          <w:rFonts w:hint="eastAsia" w:ascii="宋体" w:hAnsi="Times New Roman" w:eastAsia="宋体" w:cs="Times New Roman"/>
          <w:snapToGrid/>
          <w:color w:val="auto"/>
          <w:kern w:val="2"/>
          <w:sz w:val="14"/>
          <w:szCs w:val="20"/>
          <w:highlight w:val="none"/>
          <w:lang w:eastAsia="zh-CN"/>
        </w:rPr>
      </w:pPr>
    </w:p>
    <w:p w14:paraId="1C64FA13">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36BCDDBB">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3D6AB2A8">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6E858453">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5442E3B2">
      <w:pPr>
        <w:widowControl w:val="0"/>
        <w:tabs>
          <w:tab w:val="left" w:pos="2655"/>
          <w:tab w:val="left" w:pos="4894"/>
          <w:tab w:val="left" w:pos="7518"/>
        </w:tabs>
        <w:kinsoku w:val="0"/>
        <w:overflowPunct w:val="0"/>
        <w:autoSpaceDE w:val="0"/>
        <w:autoSpaceDN w:val="0"/>
        <w:adjustRightInd w:val="0"/>
        <w:spacing w:line="297" w:lineRule="auto"/>
        <w:ind w:left="144"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委托</w:t>
      </w:r>
      <w:r>
        <w:rPr>
          <w:rFonts w:hint="eastAsia" w:ascii="宋体" w:hAnsi="宋体" w:eastAsia="宋体" w:cs="Times New Roman"/>
          <w:color w:val="auto"/>
          <w:spacing w:val="-1"/>
          <w:kern w:val="2"/>
          <w:sz w:val="24"/>
          <w:highlight w:val="none"/>
          <w:lang w:val="en-US" w:eastAsia="zh-CN" w:bidi="ar-SA"/>
        </w:rPr>
        <w:t>人</w:t>
      </w:r>
      <w:r>
        <w:rPr>
          <w:rFonts w:hint="eastAsia" w:ascii="宋体" w:hAnsi="宋体" w:eastAsia="宋体" w:cs="Times New Roman"/>
          <w:color w:val="auto"/>
          <w:spacing w:val="-17"/>
          <w:kern w:val="2"/>
          <w:sz w:val="24"/>
          <w:highlight w:val="none"/>
          <w:lang w:val="en-US" w:eastAsia="zh-CN" w:bidi="ar-SA"/>
        </w:rPr>
        <w:t>：</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（盖单位章）      监理人</w:t>
      </w:r>
      <w:r>
        <w:rPr>
          <w:rFonts w:hint="eastAsia" w:ascii="宋体" w:hAnsi="宋体" w:eastAsia="宋体" w:cs="Times New Roman"/>
          <w:color w:val="auto"/>
          <w:spacing w:val="-17"/>
          <w:kern w:val="2"/>
          <w:sz w:val="24"/>
          <w:highlight w:val="none"/>
          <w:lang w:val="en-US" w:eastAsia="zh-CN" w:bidi="ar-SA"/>
        </w:rPr>
        <w:t>：</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lang w:val="en-US" w:eastAsia="zh-CN" w:bidi="ar-SA"/>
        </w:rPr>
        <w:t xml:space="preserve">（盖单位章） </w:t>
      </w:r>
    </w:p>
    <w:p w14:paraId="4D0439B4">
      <w:pPr>
        <w:widowControl w:val="0"/>
        <w:tabs>
          <w:tab w:val="left" w:pos="2888"/>
          <w:tab w:val="left" w:pos="4894"/>
          <w:tab w:val="left" w:pos="7518"/>
        </w:tabs>
        <w:kinsoku w:val="0"/>
        <w:overflowPunct w:val="0"/>
        <w:autoSpaceDE w:val="0"/>
        <w:autoSpaceDN w:val="0"/>
        <w:adjustRightInd w:val="0"/>
        <w:spacing w:line="297" w:lineRule="auto"/>
        <w:ind w:left="144"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法定代表人或其委托代理人</w:t>
      </w:r>
      <w:r>
        <w:rPr>
          <w:rFonts w:hint="eastAsia" w:ascii="宋体" w:hAnsi="宋体" w:eastAsia="宋体" w:cs="Times New Roman"/>
          <w:color w:val="auto"/>
          <w:spacing w:val="-41"/>
          <w:kern w:val="2"/>
          <w:sz w:val="24"/>
          <w:highlight w:val="none"/>
          <w:lang w:val="en-US" w:eastAsia="zh-CN" w:bidi="ar-SA"/>
        </w:rPr>
        <w:t>：</w:t>
      </w:r>
      <w:r>
        <w:rPr>
          <w:rFonts w:hint="eastAsia" w:ascii="宋体" w:hAnsi="宋体" w:eastAsia="宋体" w:cs="Times New Roman"/>
          <w:color w:val="auto"/>
          <w:spacing w:val="79"/>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（签</w:t>
      </w:r>
      <w:r>
        <w:rPr>
          <w:rFonts w:hint="eastAsia" w:ascii="宋体" w:hAnsi="宋体" w:eastAsia="宋体" w:cs="Times New Roman"/>
          <w:color w:val="auto"/>
          <w:kern w:val="2"/>
          <w:sz w:val="24"/>
          <w:highlight w:val="none"/>
          <w:lang w:val="en-US" w:eastAsia="zh-CN" w:bidi="ar-SA"/>
        </w:rPr>
        <w:t xml:space="preserve">字） </w:t>
      </w:r>
      <w:r>
        <w:rPr>
          <w:rFonts w:hint="eastAsia" w:ascii="宋体" w:hAnsi="宋体" w:eastAsia="宋体" w:cs="Times New Roman"/>
          <w:color w:val="auto"/>
          <w:spacing w:val="-41"/>
          <w:kern w:val="2"/>
          <w:sz w:val="24"/>
          <w:highlight w:val="none"/>
          <w:lang w:val="en-US" w:eastAsia="zh-CN" w:bidi="ar-SA"/>
        </w:rPr>
        <w:t xml:space="preserve"> </w:t>
      </w:r>
      <w:r>
        <w:rPr>
          <w:rFonts w:hint="eastAsia" w:ascii="宋体" w:hAnsi="宋体" w:eastAsia="宋体" w:cs="Times New Roman"/>
          <w:color w:val="auto"/>
          <w:kern w:val="2"/>
          <w:sz w:val="24"/>
          <w:highlight w:val="none"/>
          <w:lang w:val="en-US" w:eastAsia="zh-CN" w:bidi="ar-SA"/>
        </w:rPr>
        <w:t>法定代表人或其委托代理人</w:t>
      </w:r>
      <w:r>
        <w:rPr>
          <w:rFonts w:hint="eastAsia" w:ascii="宋体" w:hAnsi="宋体" w:eastAsia="宋体" w:cs="Times New Roman"/>
          <w:color w:val="auto"/>
          <w:spacing w:val="-40"/>
          <w:kern w:val="2"/>
          <w:sz w:val="24"/>
          <w:highlight w:val="none"/>
          <w:lang w:val="en-US" w:eastAsia="zh-CN" w:bidi="ar-SA"/>
        </w:rPr>
        <w:t>：</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spacing w:val="79"/>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（签</w:t>
      </w:r>
      <w:r>
        <w:rPr>
          <w:rFonts w:hint="eastAsia" w:ascii="宋体" w:hAnsi="宋体" w:eastAsia="宋体" w:cs="Times New Roman"/>
          <w:color w:val="auto"/>
          <w:kern w:val="2"/>
          <w:sz w:val="24"/>
          <w:highlight w:val="none"/>
          <w:lang w:val="en-US" w:eastAsia="zh-CN" w:bidi="ar-SA"/>
        </w:rPr>
        <w:t>字）</w:t>
      </w:r>
    </w:p>
    <w:p w14:paraId="3BE6B55F">
      <w:pPr>
        <w:widowControl w:val="0"/>
        <w:tabs>
          <w:tab w:val="left" w:pos="1203"/>
          <w:tab w:val="left" w:pos="2284"/>
          <w:tab w:val="left" w:pos="3124"/>
          <w:tab w:val="left" w:pos="4564"/>
          <w:tab w:val="left" w:pos="5644"/>
          <w:tab w:val="left" w:pos="6724"/>
          <w:tab w:val="left" w:pos="7925"/>
        </w:tabs>
        <w:kinsoku w:val="0"/>
        <w:overflowPunct w:val="0"/>
        <w:autoSpaceDE w:val="0"/>
        <w:autoSpaceDN w:val="0"/>
        <w:adjustRightInd w:val="0"/>
        <w:spacing w:before="30"/>
        <w:ind w:left="124"/>
        <w:jc w:val="center"/>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年</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月</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日</w:t>
      </w:r>
      <w:r>
        <w:rPr>
          <w:rFonts w:hint="eastAsia" w:ascii="宋体" w:hAnsi="宋体" w:eastAsia="宋体" w:cs="Times New Roman"/>
          <w:color w:val="auto"/>
          <w:kern w:val="2"/>
          <w:sz w:val="24"/>
          <w:highlight w:val="none"/>
          <w:lang w:val="en-US" w:eastAsia="zh-CN" w:bidi="ar-SA"/>
        </w:rPr>
        <w:tab/>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年</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月</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日</w:t>
      </w:r>
    </w:p>
    <w:p w14:paraId="1A756A1E">
      <w:pPr>
        <w:widowControl w:val="0"/>
        <w:kinsoku w:val="0"/>
        <w:overflowPunct w:val="0"/>
        <w:autoSpaceDE w:val="0"/>
        <w:autoSpaceDN w:val="0"/>
        <w:adjustRightInd w:val="0"/>
        <w:snapToGrid/>
        <w:spacing w:before="8" w:line="140" w:lineRule="exact"/>
        <w:jc w:val="left"/>
        <w:textAlignment w:val="auto"/>
        <w:rPr>
          <w:rFonts w:hint="eastAsia" w:ascii="宋体" w:hAnsi="Times New Roman" w:eastAsia="宋体" w:cs="Times New Roman"/>
          <w:snapToGrid/>
          <w:color w:val="auto"/>
          <w:kern w:val="2"/>
          <w:sz w:val="14"/>
          <w:szCs w:val="20"/>
          <w:highlight w:val="none"/>
          <w:lang w:eastAsia="zh-CN"/>
        </w:rPr>
      </w:pPr>
    </w:p>
    <w:p w14:paraId="17C853BC">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37A2D0D7">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3C824464">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2BA0C85E">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39D758EE">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6F2FA2CE">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65329F5E">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2C8C2BDF">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451CD3D9">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4E1BFB10">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2A378B12">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5A8CFCEE">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75EB519F">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7498A699">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354B7F1B">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06BEC3D2">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6169BDC0">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74F307E7">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5A01E729">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2542947C">
      <w:pPr>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0"/>
          <w:highlight w:val="none"/>
          <w:lang w:eastAsia="zh-CN"/>
        </w:rPr>
      </w:pPr>
    </w:p>
    <w:p w14:paraId="5E82D501">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07BAA89F">
      <w:pPr>
        <w:rPr>
          <w:color w:val="auto"/>
          <w:highlight w:val="none"/>
        </w:rPr>
        <w:sectPr>
          <w:footerReference r:id="rId27" w:type="default"/>
          <w:pgSz w:w="11907" w:h="16860"/>
          <w:pgMar w:top="1080" w:right="1360" w:bottom="1260" w:left="1500" w:header="882" w:footer="1078" w:gutter="0"/>
          <w:lnNumType w:countBy="0" w:distance="360"/>
          <w:pgNumType w:fmt="decimal"/>
          <w:cols w:space="720" w:num="1"/>
        </w:sectPr>
      </w:pPr>
    </w:p>
    <w:p w14:paraId="33BB70AE">
      <w:pPr>
        <w:pStyle w:val="4"/>
        <w:bidi w:val="0"/>
        <w:rPr>
          <w:rFonts w:hint="eastAsia"/>
          <w:color w:val="auto"/>
          <w:highlight w:val="none"/>
          <w:lang w:val="en-US" w:eastAsia="zh-CN"/>
        </w:rPr>
      </w:pPr>
      <w:bookmarkStart w:id="339" w:name="bookmark122"/>
      <w:bookmarkEnd w:id="339"/>
      <w:bookmarkStart w:id="340" w:name="_Toc942_WPSOffice_Level2"/>
      <w:r>
        <w:rPr>
          <w:rFonts w:hint="eastAsia"/>
          <w:color w:val="auto"/>
          <w:highlight w:val="none"/>
          <w:lang w:val="en-US" w:eastAsia="zh-CN"/>
        </w:rPr>
        <w:t>附件二 廉政合同</w:t>
      </w:r>
    </w:p>
    <w:p w14:paraId="4CA6FD9C">
      <w:pPr>
        <w:widowControl w:val="0"/>
        <w:kinsoku w:val="0"/>
        <w:overflowPunct w:val="0"/>
        <w:autoSpaceDE w:val="0"/>
        <w:autoSpaceDN w:val="0"/>
        <w:adjustRightInd w:val="0"/>
        <w:snapToGrid/>
        <w:spacing w:line="240" w:lineRule="auto"/>
        <w:ind w:left="144"/>
        <w:jc w:val="left"/>
        <w:textAlignment w:val="auto"/>
        <w:rPr>
          <w:rFonts w:hint="eastAsia" w:ascii="宋体" w:hAnsi="宋体" w:eastAsia="宋体" w:cs="Times New Roman"/>
          <w:snapToGrid/>
          <w:color w:val="auto"/>
          <w:kern w:val="2"/>
          <w:sz w:val="28"/>
          <w:szCs w:val="20"/>
          <w:highlight w:val="none"/>
          <w:lang w:eastAsia="zh-CN"/>
        </w:rPr>
      </w:pPr>
    </w:p>
    <w:p w14:paraId="464ADC86">
      <w:pPr>
        <w:widowControl w:val="0"/>
        <w:kinsoku w:val="0"/>
        <w:overflowPunct w:val="0"/>
        <w:autoSpaceDE w:val="0"/>
        <w:autoSpaceDN w:val="0"/>
        <w:adjustRightInd w:val="0"/>
        <w:snapToGrid/>
        <w:spacing w:line="240" w:lineRule="auto"/>
        <w:ind w:left="144"/>
        <w:jc w:val="center"/>
        <w:textAlignment w:val="auto"/>
        <w:rPr>
          <w:rFonts w:hint="eastAsia" w:ascii="宋体" w:hAnsi="Times New Roman" w:eastAsia="宋体" w:cs="Times New Roman"/>
          <w:snapToGrid/>
          <w:color w:val="auto"/>
          <w:kern w:val="2"/>
          <w:sz w:val="28"/>
          <w:szCs w:val="20"/>
          <w:highlight w:val="none"/>
          <w:lang w:eastAsia="zh-CN"/>
        </w:rPr>
      </w:pPr>
      <w:r>
        <w:rPr>
          <w:rFonts w:hint="eastAsia" w:ascii="宋体" w:hAnsi="宋体" w:eastAsia="宋体" w:cs="Times New Roman"/>
          <w:snapToGrid/>
          <w:color w:val="auto"/>
          <w:kern w:val="2"/>
          <w:sz w:val="28"/>
          <w:szCs w:val="20"/>
          <w:highlight w:val="none"/>
          <w:lang w:eastAsia="zh-CN"/>
        </w:rPr>
        <w:t>廉</w:t>
      </w:r>
      <w:r>
        <w:rPr>
          <w:rFonts w:hint="eastAsia" w:ascii="宋体" w:hAnsi="宋体" w:eastAsia="宋体" w:cs="Times New Roman"/>
          <w:snapToGrid/>
          <w:color w:val="auto"/>
          <w:spacing w:val="-1"/>
          <w:kern w:val="2"/>
          <w:sz w:val="28"/>
          <w:szCs w:val="20"/>
          <w:highlight w:val="none"/>
          <w:lang w:eastAsia="zh-CN"/>
        </w:rPr>
        <w:t xml:space="preserve"> </w:t>
      </w:r>
      <w:r>
        <w:rPr>
          <w:rFonts w:hint="eastAsia" w:ascii="宋体" w:hAnsi="宋体" w:eastAsia="宋体" w:cs="Times New Roman"/>
          <w:snapToGrid/>
          <w:color w:val="auto"/>
          <w:kern w:val="2"/>
          <w:sz w:val="28"/>
          <w:szCs w:val="20"/>
          <w:highlight w:val="none"/>
          <w:lang w:eastAsia="zh-CN"/>
        </w:rPr>
        <w:t>政</w:t>
      </w:r>
      <w:r>
        <w:rPr>
          <w:rFonts w:hint="eastAsia" w:ascii="宋体" w:hAnsi="宋体" w:eastAsia="宋体" w:cs="Times New Roman"/>
          <w:snapToGrid/>
          <w:color w:val="auto"/>
          <w:spacing w:val="-1"/>
          <w:kern w:val="2"/>
          <w:sz w:val="28"/>
          <w:szCs w:val="20"/>
          <w:highlight w:val="none"/>
          <w:lang w:eastAsia="zh-CN"/>
        </w:rPr>
        <w:t xml:space="preserve"> </w:t>
      </w:r>
      <w:r>
        <w:rPr>
          <w:rFonts w:hint="eastAsia" w:ascii="宋体" w:hAnsi="宋体" w:eastAsia="宋体" w:cs="Times New Roman"/>
          <w:snapToGrid/>
          <w:color w:val="auto"/>
          <w:kern w:val="2"/>
          <w:sz w:val="28"/>
          <w:szCs w:val="20"/>
          <w:highlight w:val="none"/>
          <w:lang w:eastAsia="zh-CN"/>
        </w:rPr>
        <w:t>合</w:t>
      </w:r>
      <w:r>
        <w:rPr>
          <w:rFonts w:hint="eastAsia" w:ascii="宋体" w:hAnsi="宋体" w:eastAsia="宋体" w:cs="Times New Roman"/>
          <w:snapToGrid/>
          <w:color w:val="auto"/>
          <w:spacing w:val="-1"/>
          <w:kern w:val="2"/>
          <w:sz w:val="28"/>
          <w:szCs w:val="20"/>
          <w:highlight w:val="none"/>
          <w:lang w:eastAsia="zh-CN"/>
        </w:rPr>
        <w:t xml:space="preserve"> </w:t>
      </w:r>
      <w:r>
        <w:rPr>
          <w:rFonts w:hint="eastAsia" w:ascii="宋体" w:hAnsi="宋体" w:eastAsia="宋体" w:cs="Times New Roman"/>
          <w:snapToGrid/>
          <w:color w:val="auto"/>
          <w:kern w:val="2"/>
          <w:sz w:val="28"/>
          <w:szCs w:val="20"/>
          <w:highlight w:val="none"/>
          <w:lang w:eastAsia="zh-CN"/>
        </w:rPr>
        <w:t>同</w:t>
      </w:r>
      <w:bookmarkEnd w:id="340"/>
    </w:p>
    <w:p w14:paraId="46D8BCB0">
      <w:pPr>
        <w:widowControl w:val="0"/>
        <w:kinsoku w:val="0"/>
        <w:overflowPunct w:val="0"/>
        <w:autoSpaceDE w:val="0"/>
        <w:autoSpaceDN w:val="0"/>
        <w:adjustRightInd w:val="0"/>
        <w:ind w:left="144"/>
        <w:jc w:val="left"/>
        <w:rPr>
          <w:rFonts w:hint="eastAsia" w:ascii="宋体"/>
          <w:color w:val="auto"/>
          <w:sz w:val="28"/>
          <w:highlight w:val="none"/>
        </w:rPr>
      </w:pPr>
    </w:p>
    <w:p w14:paraId="7097CFFC">
      <w:pPr>
        <w:widowControl w:val="0"/>
        <w:tabs>
          <w:tab w:val="left" w:pos="2205"/>
          <w:tab w:val="left" w:pos="3024"/>
          <w:tab w:val="left" w:pos="6896"/>
          <w:tab w:val="left" w:pos="7859"/>
        </w:tabs>
        <w:kinsoku w:val="0"/>
        <w:overflowPunct w:val="0"/>
        <w:autoSpaceDE w:val="0"/>
        <w:autoSpaceDN w:val="0"/>
        <w:adjustRightInd w:val="0"/>
        <w:spacing w:before="47" w:line="264" w:lineRule="auto"/>
        <w:ind w:left="144" w:right="108" w:firstLine="480" w:firstLineChars="200"/>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根</w:t>
      </w:r>
      <w:r>
        <w:rPr>
          <w:rFonts w:hint="eastAsia" w:ascii="宋体" w:hAnsi="宋体" w:eastAsia="宋体" w:cs="Times New Roman"/>
          <w:color w:val="auto"/>
          <w:spacing w:val="-51"/>
          <w:kern w:val="2"/>
          <w:sz w:val="24"/>
          <w:szCs w:val="24"/>
          <w:highlight w:val="none"/>
          <w:lang w:val="en-US" w:eastAsia="zh-CN" w:bidi="ar-SA"/>
        </w:rPr>
        <w:t>据</w:t>
      </w:r>
      <w:r>
        <w:rPr>
          <w:rFonts w:hint="eastAsia" w:ascii="宋体" w:hAnsi="宋体" w:eastAsia="宋体" w:cs="Times New Roman"/>
          <w:color w:val="auto"/>
          <w:kern w:val="2"/>
          <w:sz w:val="24"/>
          <w:szCs w:val="24"/>
          <w:highlight w:val="none"/>
          <w:lang w:val="en-US" w:eastAsia="zh-CN" w:bidi="ar-SA"/>
        </w:rPr>
        <w:t>《关于在交通基础设施建设中加强廉政建设的若干意见</w:t>
      </w:r>
      <w:r>
        <w:rPr>
          <w:rFonts w:hint="eastAsia" w:ascii="宋体" w:hAnsi="宋体" w:eastAsia="宋体" w:cs="Times New Roman"/>
          <w:color w:val="auto"/>
          <w:spacing w:val="-51"/>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以及有关工程建设</w:t>
      </w:r>
      <w:r>
        <w:rPr>
          <w:rFonts w:hint="eastAsia" w:ascii="宋体" w:hAnsi="宋体" w:eastAsia="宋体" w:cs="Times New Roman"/>
          <w:color w:val="auto"/>
          <w:spacing w:val="-29"/>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廉政建设的规定</w:t>
      </w:r>
      <w:r>
        <w:rPr>
          <w:rFonts w:hint="eastAsia" w:ascii="宋体" w:hAnsi="宋体" w:eastAsia="宋体" w:cs="Times New Roman"/>
          <w:color w:val="auto"/>
          <w:spacing w:val="-29"/>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为做好工程建设中的党风廉政建设</w:t>
      </w:r>
      <w:r>
        <w:rPr>
          <w:rFonts w:hint="eastAsia" w:ascii="宋体" w:hAnsi="宋体" w:eastAsia="宋体" w:cs="Times New Roman"/>
          <w:color w:val="auto"/>
          <w:spacing w:val="-29"/>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保证工程建设高效优质， 保证建设资金的安全和有效使用以及投资效益，</w:t>
      </w:r>
      <w:r>
        <w:rPr>
          <w:rFonts w:hint="eastAsia" w:ascii="宋体" w:hAnsi="宋体" w:eastAsia="宋体" w:cs="Times New Roman"/>
          <w:color w:val="auto"/>
          <w:kern w:val="2"/>
          <w:sz w:val="24"/>
          <w:szCs w:val="24"/>
          <w:highlight w:val="none"/>
          <w:u w:val="single" w:color="000000"/>
          <w:lang w:val="en-US" w:eastAsia="zh-CN" w:bidi="ar-SA"/>
        </w:rPr>
        <w:t xml:space="preserve"> </w:t>
      </w:r>
      <w:r>
        <w:rPr>
          <w:rFonts w:hint="eastAsia" w:ascii="宋体" w:hAnsi="宋体" w:eastAsia="宋体" w:cs="Times New Roman"/>
          <w:color w:val="auto"/>
          <w:kern w:val="2"/>
          <w:sz w:val="24"/>
          <w:szCs w:val="24"/>
          <w:highlight w:val="none"/>
          <w:u w:val="single" w:color="000000"/>
          <w:lang w:val="en-US" w:eastAsia="zh-CN" w:bidi="ar-SA"/>
        </w:rPr>
        <w:tab/>
      </w:r>
      <w:r>
        <w:rPr>
          <w:rFonts w:hint="eastAsia" w:ascii="宋体" w:hAnsi="宋体" w:eastAsia="宋体" w:cs="Times New Roman"/>
          <w:color w:val="auto"/>
          <w:kern w:val="2"/>
          <w:sz w:val="24"/>
          <w:szCs w:val="24"/>
          <w:highlight w:val="none"/>
          <w:lang w:val="en-US" w:eastAsia="zh-CN" w:bidi="ar-SA"/>
        </w:rPr>
        <w:t>（项目名称）的项 目法人</w:t>
      </w:r>
      <w:r>
        <w:rPr>
          <w:rFonts w:hint="eastAsia" w:ascii="宋体" w:hAnsi="宋体" w:eastAsia="宋体" w:cs="Times New Roman"/>
          <w:color w:val="auto"/>
          <w:kern w:val="2"/>
          <w:sz w:val="24"/>
          <w:szCs w:val="24"/>
          <w:highlight w:val="none"/>
          <w:u w:val="single" w:color="000000"/>
          <w:lang w:val="en-US" w:eastAsia="zh-CN" w:bidi="ar-SA"/>
        </w:rPr>
        <w:t xml:space="preserve"> </w:t>
      </w:r>
      <w:r>
        <w:rPr>
          <w:rFonts w:hint="eastAsia" w:ascii="宋体" w:hAnsi="宋体" w:eastAsia="宋体" w:cs="Times New Roman"/>
          <w:color w:val="auto"/>
          <w:kern w:val="2"/>
          <w:sz w:val="24"/>
          <w:szCs w:val="24"/>
          <w:highlight w:val="none"/>
          <w:u w:val="single" w:color="000000"/>
          <w:lang w:val="en-US" w:eastAsia="zh-CN" w:bidi="ar-SA"/>
        </w:rPr>
        <w:tab/>
      </w:r>
      <w:r>
        <w:rPr>
          <w:rFonts w:hint="eastAsia" w:ascii="宋体" w:hAnsi="宋体" w:eastAsia="宋体" w:cs="Times New Roman"/>
          <w:color w:val="auto"/>
          <w:kern w:val="2"/>
          <w:sz w:val="24"/>
          <w:szCs w:val="24"/>
          <w:highlight w:val="none"/>
          <w:lang w:val="en-US" w:eastAsia="zh-CN" w:bidi="ar-SA"/>
        </w:rPr>
        <w:t>（项目法人名称，以下简称</w:t>
      </w:r>
      <w:r>
        <w:rPr>
          <w:rFonts w:hint="default" w:ascii="Times New Roman" w:hAnsi="Times New Roman" w:eastAsia="Times New Roman"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委托人</w:t>
      </w:r>
      <w:r>
        <w:rPr>
          <w:rFonts w:hint="default" w:ascii="Times New Roman" w:hAnsi="Times New Roman" w:eastAsia="Times New Roman"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）与该项目</w:t>
      </w:r>
      <w:r>
        <w:rPr>
          <w:rFonts w:hint="eastAsia" w:ascii="宋体" w:hAnsi="宋体" w:eastAsia="宋体" w:cs="Times New Roman"/>
          <w:color w:val="auto"/>
          <w:kern w:val="2"/>
          <w:sz w:val="24"/>
          <w:szCs w:val="24"/>
          <w:highlight w:val="none"/>
          <w:u w:val="single" w:color="000000"/>
          <w:lang w:val="en-US" w:eastAsia="zh-CN" w:bidi="ar-SA"/>
        </w:rPr>
        <w:t xml:space="preserve"> </w:t>
      </w:r>
      <w:r>
        <w:rPr>
          <w:rFonts w:hint="eastAsia" w:ascii="宋体" w:hAnsi="宋体" w:eastAsia="宋体" w:cs="Times New Roman"/>
          <w:color w:val="auto"/>
          <w:kern w:val="2"/>
          <w:sz w:val="24"/>
          <w:szCs w:val="24"/>
          <w:highlight w:val="none"/>
          <w:u w:val="single" w:color="000000"/>
          <w:lang w:val="en-US" w:eastAsia="zh-CN" w:bidi="ar-SA"/>
        </w:rPr>
        <w:tab/>
      </w:r>
      <w:r>
        <w:rPr>
          <w:rFonts w:hint="eastAsia" w:ascii="宋体" w:hAnsi="宋体" w:eastAsia="宋体" w:cs="Times New Roman"/>
          <w:color w:val="auto"/>
          <w:kern w:val="2"/>
          <w:sz w:val="24"/>
          <w:szCs w:val="24"/>
          <w:highlight w:val="none"/>
          <w:lang w:val="en-US" w:eastAsia="zh-CN" w:bidi="ar-SA"/>
        </w:rPr>
        <w:t>标段的施 工监</w:t>
      </w:r>
      <w:r>
        <w:rPr>
          <w:rFonts w:hint="eastAsia" w:ascii="宋体" w:hAnsi="宋体" w:eastAsia="宋体" w:cs="Times New Roman"/>
          <w:color w:val="auto"/>
          <w:spacing w:val="-1"/>
          <w:kern w:val="2"/>
          <w:sz w:val="24"/>
          <w:szCs w:val="24"/>
          <w:highlight w:val="none"/>
          <w:lang w:val="en-US" w:eastAsia="zh-CN" w:bidi="ar-SA"/>
        </w:rPr>
        <w:t>理</w:t>
      </w:r>
      <w:r>
        <w:rPr>
          <w:rFonts w:hint="eastAsia" w:ascii="宋体" w:hAnsi="宋体" w:eastAsia="宋体" w:cs="Times New Roman"/>
          <w:color w:val="auto"/>
          <w:kern w:val="2"/>
          <w:sz w:val="24"/>
          <w:szCs w:val="24"/>
          <w:highlight w:val="none"/>
          <w:lang w:val="en-US" w:eastAsia="zh-CN" w:bidi="ar-SA"/>
        </w:rPr>
        <w:t>单位</w:t>
      </w:r>
      <w:r>
        <w:rPr>
          <w:rFonts w:hint="default" w:ascii="Times New Roman" w:hAnsi="Times New Roman" w:eastAsia="Times New Roman" w:cs="Times New Roman"/>
          <w:color w:val="auto"/>
          <w:kern w:val="2"/>
          <w:sz w:val="24"/>
          <w:szCs w:val="24"/>
          <w:highlight w:val="none"/>
          <w:u w:val="single" w:color="000000"/>
          <w:lang w:val="en-US" w:eastAsia="zh-CN" w:bidi="ar-SA"/>
        </w:rPr>
        <w:t xml:space="preserve"> </w:t>
      </w:r>
      <w:r>
        <w:rPr>
          <w:rFonts w:hint="default" w:ascii="Times New Roman" w:hAnsi="Times New Roman" w:eastAsia="Times New Roman" w:cs="Times New Roman"/>
          <w:color w:val="auto"/>
          <w:kern w:val="2"/>
          <w:sz w:val="24"/>
          <w:szCs w:val="24"/>
          <w:highlight w:val="none"/>
          <w:u w:val="single" w:color="000000"/>
          <w:lang w:val="en-US" w:eastAsia="zh-CN" w:bidi="ar-SA"/>
        </w:rPr>
        <w:tab/>
      </w:r>
      <w:r>
        <w:rPr>
          <w:rFonts w:hint="default" w:ascii="Times New Roman" w:hAnsi="Times New Roman" w:eastAsia="Times New Roman" w:cs="Times New Roman"/>
          <w:color w:val="auto"/>
          <w:kern w:val="2"/>
          <w:sz w:val="24"/>
          <w:szCs w:val="24"/>
          <w:highlight w:val="none"/>
          <w:u w:val="single" w:color="000000"/>
          <w:lang w:val="en-US" w:eastAsia="zh-CN" w:bidi="ar-SA"/>
        </w:rPr>
        <w:tab/>
      </w:r>
      <w:r>
        <w:rPr>
          <w:rFonts w:hint="eastAsia" w:ascii="宋体" w:hAnsi="宋体" w:eastAsia="宋体" w:cs="Times New Roman"/>
          <w:color w:val="auto"/>
          <w:kern w:val="2"/>
          <w:sz w:val="24"/>
          <w:szCs w:val="24"/>
          <w:highlight w:val="none"/>
          <w:lang w:val="en-US" w:eastAsia="zh-CN" w:bidi="ar-SA"/>
        </w:rPr>
        <w:t>（施工监理单位名称</w:t>
      </w:r>
      <w:r>
        <w:rPr>
          <w:rFonts w:hint="eastAsia" w:ascii="宋体" w:hAnsi="宋体" w:eastAsia="宋体" w:cs="Times New Roman"/>
          <w:color w:val="auto"/>
          <w:spacing w:val="-19"/>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以下简称</w:t>
      </w:r>
      <w:r>
        <w:rPr>
          <w:rFonts w:hint="default" w:ascii="Times New Roman" w:hAnsi="Times New Roman" w:eastAsia="Times New Roman" w:cs="Times New Roman"/>
          <w:color w:val="auto"/>
          <w:spacing w:val="-1"/>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监理人</w:t>
      </w:r>
      <w:r>
        <w:rPr>
          <w:rFonts w:hint="default" w:ascii="Times New Roman" w:hAnsi="Times New Roman" w:eastAsia="Times New Roman" w:cs="Times New Roman"/>
          <w:color w:val="auto"/>
          <w:kern w:val="2"/>
          <w:sz w:val="24"/>
          <w:szCs w:val="24"/>
          <w:highlight w:val="none"/>
          <w:lang w:val="en-US" w:eastAsia="zh-CN" w:bidi="ar-SA"/>
        </w:rPr>
        <w:t>”</w:t>
      </w:r>
      <w:r>
        <w:rPr>
          <w:rFonts w:hint="eastAsia" w:ascii="宋体" w:hAnsi="宋体" w:eastAsia="宋体" w:cs="Times New Roman"/>
          <w:color w:val="auto"/>
          <w:spacing w:val="-120"/>
          <w:kern w:val="2"/>
          <w:sz w:val="24"/>
          <w:szCs w:val="24"/>
          <w:highlight w:val="none"/>
          <w:lang w:val="en-US" w:eastAsia="zh-CN" w:bidi="ar-SA"/>
        </w:rPr>
        <w:t>）</w:t>
      </w:r>
      <w:r>
        <w:rPr>
          <w:rFonts w:hint="eastAsia" w:ascii="宋体" w:hAnsi="宋体" w:eastAsia="宋体" w:cs="Times New Roman"/>
          <w:color w:val="auto"/>
          <w:spacing w:val="-20"/>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特订立如下合同。</w:t>
      </w:r>
    </w:p>
    <w:p w14:paraId="63F62342">
      <w:pPr>
        <w:widowControl w:val="0"/>
        <w:kinsoku w:val="0"/>
        <w:overflowPunct w:val="0"/>
        <w:autoSpaceDE w:val="0"/>
        <w:autoSpaceDN w:val="0"/>
        <w:adjustRightInd w:val="0"/>
        <w:spacing w:before="19"/>
        <w:ind w:left="76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1.委托人和监理人双方的权利和义务</w:t>
      </w:r>
    </w:p>
    <w:p w14:paraId="0CE60FA3">
      <w:pPr>
        <w:widowControl w:val="0"/>
        <w:kinsoku w:val="0"/>
        <w:overflowPunct w:val="0"/>
        <w:autoSpaceDE w:val="0"/>
        <w:autoSpaceDN w:val="0"/>
        <w:adjustRightInd w:val="0"/>
        <w:snapToGrid/>
        <w:spacing w:before="68" w:line="240" w:lineRule="auto"/>
        <w:ind w:left="761"/>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1</w:t>
      </w:r>
      <w:r>
        <w:rPr>
          <w:rFonts w:hint="eastAsia" w:ascii="宋体" w:hAnsi="宋体" w:eastAsia="宋体" w:cs="Times New Roman"/>
          <w:snapToGrid/>
          <w:color w:val="auto"/>
          <w:kern w:val="2"/>
          <w:sz w:val="24"/>
          <w:szCs w:val="24"/>
          <w:highlight w:val="none"/>
          <w:lang w:eastAsia="zh-CN"/>
        </w:rPr>
        <w:t>）严格遵守党的政策规定和国家有关法律法规及交通运输部的有关规定。</w:t>
      </w:r>
    </w:p>
    <w:p w14:paraId="3B080BC0">
      <w:pPr>
        <w:widowControl w:val="0"/>
        <w:tabs>
          <w:tab w:val="left" w:pos="3408"/>
          <w:tab w:val="left" w:pos="5456"/>
        </w:tabs>
        <w:kinsoku w:val="0"/>
        <w:overflowPunct w:val="0"/>
        <w:autoSpaceDE w:val="0"/>
        <w:autoSpaceDN w:val="0"/>
        <w:adjustRightInd w:val="0"/>
        <w:snapToGrid/>
        <w:spacing w:before="68" w:line="288" w:lineRule="auto"/>
        <w:ind w:left="144" w:right="223"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2</w:t>
      </w:r>
      <w:r>
        <w:rPr>
          <w:rFonts w:hint="eastAsia" w:ascii="宋体" w:hAnsi="宋体" w:eastAsia="宋体" w:cs="Times New Roman"/>
          <w:snapToGrid/>
          <w:color w:val="auto"/>
          <w:kern w:val="2"/>
          <w:sz w:val="24"/>
          <w:szCs w:val="24"/>
          <w:highlight w:val="none"/>
          <w:lang w:eastAsia="zh-CN"/>
        </w:rPr>
        <w:t>）严格执行</w:t>
      </w:r>
      <w:r>
        <w:rPr>
          <w:rFonts w:hint="eastAsia" w:ascii="宋体" w:hAnsi="宋体" w:eastAsia="宋体"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（项目名称）</w:t>
      </w:r>
      <w:r>
        <w:rPr>
          <w:rFonts w:hint="eastAsia" w:ascii="宋体" w:hAnsi="宋体" w:eastAsia="宋体"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标段施工监理合同文件，自觉按 合同办事。</w:t>
      </w:r>
    </w:p>
    <w:p w14:paraId="21FB8E5B">
      <w:pPr>
        <w:widowControl w:val="0"/>
        <w:kinsoku w:val="0"/>
        <w:overflowPunct w:val="0"/>
        <w:autoSpaceDE w:val="0"/>
        <w:autoSpaceDN w:val="0"/>
        <w:adjustRightInd w:val="0"/>
        <w:snapToGrid/>
        <w:spacing w:before="38" w:line="297" w:lineRule="auto"/>
        <w:ind w:left="144" w:right="225" w:firstLine="616"/>
        <w:jc w:val="both"/>
        <w:textAlignment w:val="auto"/>
        <w:rPr>
          <w:rFonts w:hint="eastAsia" w:ascii="宋体" w:hAnsi="宋体" w:eastAsia="宋体" w:cs="Times New Roman"/>
          <w:snapToGrid/>
          <w:color w:val="auto"/>
          <w:spacing w:val="-13"/>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3</w:t>
      </w:r>
      <w:r>
        <w:rPr>
          <w:rFonts w:hint="eastAsia" w:ascii="宋体" w:hAnsi="宋体" w:eastAsia="宋体" w:cs="Times New Roman"/>
          <w:snapToGrid/>
          <w:color w:val="auto"/>
          <w:kern w:val="2"/>
          <w:sz w:val="24"/>
          <w:szCs w:val="24"/>
          <w:highlight w:val="none"/>
          <w:lang w:eastAsia="zh-CN"/>
        </w:rPr>
        <w:t>）双方的业务活动坚持公开、公正、诚信、透明的原则（法律认定的商业秘密和合同文件另有规定除外</w:t>
      </w:r>
      <w:r>
        <w:rPr>
          <w:rFonts w:hint="eastAsia" w:ascii="宋体" w:hAnsi="宋体" w:eastAsia="宋体" w:cs="Times New Roman"/>
          <w:snapToGrid/>
          <w:color w:val="auto"/>
          <w:spacing w:val="-82"/>
          <w:kern w:val="2"/>
          <w:sz w:val="24"/>
          <w:szCs w:val="24"/>
          <w:highlight w:val="none"/>
          <w:lang w:eastAsia="zh-CN"/>
        </w:rPr>
        <w:t>）</w:t>
      </w:r>
      <w:r>
        <w:rPr>
          <w:rFonts w:hint="eastAsia" w:ascii="宋体" w:hAnsi="宋体" w:eastAsia="宋体" w:cs="Times New Roman"/>
          <w:snapToGrid/>
          <w:color w:val="auto"/>
          <w:spacing w:val="-13"/>
          <w:kern w:val="2"/>
          <w:sz w:val="24"/>
          <w:szCs w:val="24"/>
          <w:highlight w:val="none"/>
          <w:lang w:eastAsia="zh-CN"/>
        </w:rPr>
        <w:t>，不得损害国家和集体利益，不得违反工程建设管理规章制度。</w:t>
      </w:r>
    </w:p>
    <w:p w14:paraId="6D6B9B40">
      <w:pPr>
        <w:widowControl w:val="0"/>
        <w:kinsoku w:val="0"/>
        <w:overflowPunct w:val="0"/>
        <w:autoSpaceDE w:val="0"/>
        <w:autoSpaceDN w:val="0"/>
        <w:adjustRightInd w:val="0"/>
        <w:snapToGrid/>
        <w:spacing w:before="29" w:line="290"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4</w:t>
      </w:r>
      <w:r>
        <w:rPr>
          <w:rFonts w:hint="eastAsia" w:ascii="宋体" w:hAnsi="宋体" w:eastAsia="宋体" w:cs="Times New Roman"/>
          <w:snapToGrid/>
          <w:color w:val="auto"/>
          <w:kern w:val="2"/>
          <w:sz w:val="24"/>
          <w:szCs w:val="24"/>
          <w:highlight w:val="none"/>
          <w:lang w:eastAsia="zh-CN"/>
        </w:rPr>
        <w:t>）建立健全廉政制度，开展廉政教育，设立廉政告示牌，公布举报电话， 监督并认真查处违法违纪行为。</w:t>
      </w:r>
    </w:p>
    <w:p w14:paraId="4C2FC9EB">
      <w:pPr>
        <w:widowControl w:val="0"/>
        <w:kinsoku w:val="0"/>
        <w:overflowPunct w:val="0"/>
        <w:autoSpaceDE w:val="0"/>
        <w:autoSpaceDN w:val="0"/>
        <w:adjustRightInd w:val="0"/>
        <w:snapToGrid/>
        <w:spacing w:before="34" w:line="290"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5</w:t>
      </w:r>
      <w:r>
        <w:rPr>
          <w:rFonts w:hint="eastAsia" w:ascii="宋体" w:hAnsi="宋体" w:eastAsia="宋体" w:cs="Times New Roman"/>
          <w:snapToGrid/>
          <w:color w:val="auto"/>
          <w:kern w:val="2"/>
          <w:sz w:val="24"/>
          <w:szCs w:val="24"/>
          <w:highlight w:val="none"/>
          <w:lang w:eastAsia="zh-CN"/>
        </w:rPr>
        <w:t>）发现对方在业务活动中有违反廉政规定的行为，有及时提醒对方纠正的权利和义务。</w:t>
      </w:r>
    </w:p>
    <w:p w14:paraId="13FD84AE">
      <w:pPr>
        <w:widowControl w:val="0"/>
        <w:kinsoku w:val="0"/>
        <w:overflowPunct w:val="0"/>
        <w:autoSpaceDE w:val="0"/>
        <w:autoSpaceDN w:val="0"/>
        <w:adjustRightInd w:val="0"/>
        <w:spacing w:before="28" w:line="257" w:lineRule="auto"/>
        <w:ind w:left="144" w:right="229" w:firstLine="616"/>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w:t>
      </w:r>
      <w:r>
        <w:rPr>
          <w:rFonts w:hint="default" w:ascii="Times New Roman" w:hAnsi="Times New Roman" w:eastAsia="Times New Roman" w:cs="Times New Roman"/>
          <w:color w:val="auto"/>
          <w:kern w:val="2"/>
          <w:sz w:val="24"/>
          <w:szCs w:val="24"/>
          <w:highlight w:val="none"/>
          <w:lang w:val="en-US" w:eastAsia="zh-CN" w:bidi="ar-SA"/>
        </w:rPr>
        <w:t>6</w:t>
      </w:r>
      <w:r>
        <w:rPr>
          <w:rFonts w:hint="eastAsia" w:ascii="宋体" w:hAnsi="宋体" w:eastAsia="宋体" w:cs="Times New Roman"/>
          <w:color w:val="auto"/>
          <w:kern w:val="2"/>
          <w:sz w:val="24"/>
          <w:szCs w:val="24"/>
          <w:highlight w:val="none"/>
          <w:lang w:val="en-US" w:eastAsia="zh-CN" w:bidi="ar-SA"/>
        </w:rPr>
        <w:t>）发现对方严重违反本合同义务条款的行为，有向其上级有关部门举报、建议给予处理并要求告知处理结果的权利。</w:t>
      </w:r>
    </w:p>
    <w:p w14:paraId="55196FD0">
      <w:pPr>
        <w:widowControl w:val="0"/>
        <w:kinsoku w:val="0"/>
        <w:overflowPunct w:val="0"/>
        <w:autoSpaceDE w:val="0"/>
        <w:autoSpaceDN w:val="0"/>
        <w:adjustRightInd w:val="0"/>
        <w:spacing w:before="30"/>
        <w:ind w:left="76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2.委托人的义务</w:t>
      </w:r>
    </w:p>
    <w:p w14:paraId="1676B259">
      <w:pPr>
        <w:widowControl w:val="0"/>
        <w:kinsoku w:val="0"/>
        <w:overflowPunct w:val="0"/>
        <w:autoSpaceDE w:val="0"/>
        <w:autoSpaceDN w:val="0"/>
        <w:adjustRightInd w:val="0"/>
        <w:snapToGrid/>
        <w:spacing w:before="68" w:line="288"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1</w:t>
      </w:r>
      <w:r>
        <w:rPr>
          <w:rFonts w:hint="eastAsia" w:ascii="宋体" w:hAnsi="宋体" w:eastAsia="宋体" w:cs="Times New Roman"/>
          <w:snapToGrid/>
          <w:color w:val="auto"/>
          <w:kern w:val="2"/>
          <w:sz w:val="24"/>
          <w:szCs w:val="24"/>
          <w:highlight w:val="none"/>
          <w:lang w:eastAsia="zh-CN"/>
        </w:rPr>
        <w:t>）委托人及其工作人员不得索要或接受监理人的礼金、有价证券和贵重物品，不得让监理人报销任何应由委托人或委托人工作人员个人支付的费用等。</w:t>
      </w:r>
    </w:p>
    <w:p w14:paraId="44DF8936">
      <w:pPr>
        <w:widowControl w:val="0"/>
        <w:kinsoku w:val="0"/>
        <w:overflowPunct w:val="0"/>
        <w:autoSpaceDE w:val="0"/>
        <w:autoSpaceDN w:val="0"/>
        <w:adjustRightInd w:val="0"/>
        <w:snapToGrid/>
        <w:spacing w:before="38" w:line="290"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2</w:t>
      </w:r>
      <w:r>
        <w:rPr>
          <w:rFonts w:hint="eastAsia" w:ascii="宋体" w:hAnsi="宋体" w:eastAsia="宋体" w:cs="Times New Roman"/>
          <w:snapToGrid/>
          <w:color w:val="auto"/>
          <w:kern w:val="2"/>
          <w:sz w:val="24"/>
          <w:szCs w:val="24"/>
          <w:highlight w:val="none"/>
          <w:lang w:eastAsia="zh-CN"/>
        </w:rPr>
        <w:t>）委托人工作人员不得参加监理人安排的超标准宴请和娱乐活动；不得接受监理人提供的通信工具、交通工具和高档办公用品等。</w:t>
      </w:r>
    </w:p>
    <w:p w14:paraId="5366FCC7">
      <w:pPr>
        <w:widowControl w:val="0"/>
        <w:kinsoku w:val="0"/>
        <w:overflowPunct w:val="0"/>
        <w:autoSpaceDE w:val="0"/>
        <w:autoSpaceDN w:val="0"/>
        <w:adjustRightInd w:val="0"/>
        <w:snapToGrid/>
        <w:spacing w:before="34" w:line="290"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3</w:t>
      </w:r>
      <w:r>
        <w:rPr>
          <w:rFonts w:hint="eastAsia" w:ascii="宋体" w:hAnsi="宋体" w:eastAsia="宋体" w:cs="Times New Roman"/>
          <w:snapToGrid/>
          <w:color w:val="auto"/>
          <w:kern w:val="2"/>
          <w:sz w:val="24"/>
          <w:szCs w:val="24"/>
          <w:highlight w:val="none"/>
          <w:lang w:eastAsia="zh-CN"/>
        </w:rPr>
        <w:t>）委托人及其工作人员不得要求或者接受监理人为其住房装修、婚丧嫁娶活动、配偶子女的工作安排以及出国出境、旅游等提供方便等。</w:t>
      </w:r>
    </w:p>
    <w:p w14:paraId="20A06EFA">
      <w:pPr>
        <w:widowControl w:val="0"/>
        <w:kinsoku w:val="0"/>
        <w:overflowPunct w:val="0"/>
        <w:autoSpaceDE w:val="0"/>
        <w:autoSpaceDN w:val="0"/>
        <w:adjustRightInd w:val="0"/>
        <w:snapToGrid/>
        <w:spacing w:before="37" w:line="288" w:lineRule="auto"/>
        <w:ind w:left="144" w:right="141"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4</w:t>
      </w:r>
      <w:r>
        <w:rPr>
          <w:rFonts w:hint="eastAsia" w:ascii="宋体" w:hAnsi="宋体" w:eastAsia="宋体" w:cs="Times New Roman"/>
          <w:snapToGrid/>
          <w:color w:val="auto"/>
          <w:kern w:val="2"/>
          <w:sz w:val="24"/>
          <w:szCs w:val="24"/>
          <w:highlight w:val="none"/>
          <w:lang w:eastAsia="zh-CN"/>
        </w:rPr>
        <w:t>）委托人工作人员及其配偶、子女不得从事与委托人工程有关的材料设备供应、工程分包、劳务等经济活动等。</w:t>
      </w:r>
    </w:p>
    <w:p w14:paraId="79E4D2E6">
      <w:pPr>
        <w:widowControl w:val="0"/>
        <w:kinsoku w:val="0"/>
        <w:overflowPunct w:val="0"/>
        <w:autoSpaceDE w:val="0"/>
        <w:autoSpaceDN w:val="0"/>
        <w:adjustRightInd w:val="0"/>
        <w:spacing w:before="30" w:line="258" w:lineRule="auto"/>
        <w:ind w:left="144" w:firstLine="616"/>
        <w:jc w:val="left"/>
        <w:rPr>
          <w:rFonts w:hint="eastAsia" w:ascii="宋体" w:hAnsi="宋体" w:eastAsia="宋体" w:cs="Times New Roman"/>
          <w:color w:val="auto"/>
          <w:spacing w:val="-1"/>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w:t>
      </w:r>
      <w:r>
        <w:rPr>
          <w:rFonts w:hint="default" w:ascii="Times New Roman" w:hAnsi="Times New Roman" w:eastAsia="Times New Roman" w:cs="Times New Roman"/>
          <w:color w:val="auto"/>
          <w:kern w:val="2"/>
          <w:sz w:val="24"/>
          <w:szCs w:val="24"/>
          <w:highlight w:val="none"/>
          <w:lang w:val="en-US" w:eastAsia="zh-CN" w:bidi="ar-SA"/>
        </w:rPr>
        <w:t>5</w:t>
      </w:r>
      <w:r>
        <w:rPr>
          <w:rFonts w:hint="eastAsia" w:ascii="宋体" w:hAnsi="宋体" w:eastAsia="宋体" w:cs="Times New Roman"/>
          <w:color w:val="auto"/>
          <w:spacing w:val="-104"/>
          <w:kern w:val="2"/>
          <w:sz w:val="24"/>
          <w:szCs w:val="24"/>
          <w:highlight w:val="none"/>
          <w:lang w:val="en-US" w:eastAsia="zh-CN" w:bidi="ar-SA"/>
        </w:rPr>
        <w:t xml:space="preserve">）     </w:t>
      </w:r>
      <w:r>
        <w:rPr>
          <w:rFonts w:hint="eastAsia" w:ascii="宋体" w:hAnsi="宋体" w:eastAsia="宋体" w:cs="Times New Roman"/>
          <w:color w:val="auto"/>
          <w:kern w:val="2"/>
          <w:sz w:val="24"/>
          <w:szCs w:val="24"/>
          <w:highlight w:val="none"/>
          <w:lang w:val="en-US" w:eastAsia="zh-CN" w:bidi="ar-SA"/>
        </w:rPr>
        <w:t>委托人及其工作人员不得以任何理由向监理人推荐分包单位或推销材料，</w:t>
      </w:r>
      <w:r>
        <w:rPr>
          <w:rFonts w:hint="eastAsia" w:ascii="宋体" w:hAnsi="宋体" w:eastAsia="宋体" w:cs="Times New Roman"/>
          <w:color w:val="auto"/>
          <w:spacing w:val="-1"/>
          <w:kern w:val="2"/>
          <w:sz w:val="24"/>
          <w:szCs w:val="24"/>
          <w:highlight w:val="none"/>
          <w:lang w:val="en-US" w:eastAsia="zh-CN" w:bidi="ar-SA"/>
        </w:rPr>
        <w:t>不得要求监理人购买合同规定外的材料和设备。</w:t>
      </w:r>
    </w:p>
    <w:p w14:paraId="3B7587B0">
      <w:pPr>
        <w:widowControl w:val="0"/>
        <w:kinsoku w:val="0"/>
        <w:overflowPunct w:val="0"/>
        <w:autoSpaceDE w:val="0"/>
        <w:autoSpaceDN w:val="0"/>
        <w:adjustRightInd w:val="0"/>
        <w:spacing w:before="30" w:line="258" w:lineRule="auto"/>
        <w:ind w:left="144" w:firstLine="616"/>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w:t>
      </w:r>
      <w:r>
        <w:rPr>
          <w:rFonts w:hint="default" w:ascii="宋体" w:hAnsi="宋体" w:eastAsia="宋体" w:cs="Times New Roman"/>
          <w:color w:val="auto"/>
          <w:kern w:val="2"/>
          <w:sz w:val="24"/>
          <w:highlight w:val="none"/>
          <w:lang w:val="en-US" w:eastAsia="zh-CN" w:bidi="ar-SA"/>
        </w:rPr>
        <w:t>6</w:t>
      </w:r>
      <w:r>
        <w:rPr>
          <w:rFonts w:hint="eastAsia" w:ascii="宋体" w:hAnsi="宋体" w:eastAsia="宋体" w:cs="Times New Roman"/>
          <w:color w:val="auto"/>
          <w:kern w:val="2"/>
          <w:sz w:val="24"/>
          <w:highlight w:val="none"/>
          <w:lang w:val="en-US" w:eastAsia="zh-CN" w:bidi="ar-SA"/>
        </w:rPr>
        <w:t>）委托人工作人员要秉公办事，不准营私舞弊，不准利用职权从事各种个人有偿中介活动和安排个人施工监理队伍。</w:t>
      </w:r>
    </w:p>
    <w:p w14:paraId="4F6B7821">
      <w:pPr>
        <w:widowControl w:val="0"/>
        <w:kinsoku w:val="0"/>
        <w:overflowPunct w:val="0"/>
        <w:autoSpaceDE w:val="0"/>
        <w:autoSpaceDN w:val="0"/>
        <w:adjustRightInd w:val="0"/>
        <w:spacing w:before="47"/>
        <w:ind w:left="76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3.监理人的义务</w:t>
      </w:r>
    </w:p>
    <w:p w14:paraId="2C8750C2">
      <w:pPr>
        <w:widowControl w:val="0"/>
        <w:kinsoku w:val="0"/>
        <w:overflowPunct w:val="0"/>
        <w:autoSpaceDE w:val="0"/>
        <w:autoSpaceDN w:val="0"/>
        <w:adjustRightInd w:val="0"/>
        <w:snapToGrid/>
        <w:spacing w:before="68" w:line="288" w:lineRule="auto"/>
        <w:ind w:left="144" w:right="228"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1</w:t>
      </w:r>
      <w:r>
        <w:rPr>
          <w:rFonts w:hint="eastAsia" w:ascii="宋体" w:hAnsi="宋体" w:eastAsia="宋体" w:cs="Times New Roman"/>
          <w:snapToGrid/>
          <w:color w:val="auto"/>
          <w:kern w:val="2"/>
          <w:sz w:val="24"/>
          <w:szCs w:val="24"/>
          <w:highlight w:val="none"/>
          <w:lang w:eastAsia="zh-CN"/>
        </w:rPr>
        <w:t>）监理人不得以任何理由向委托人及其工作人员行贿或馈赠礼金、有价证券、贵重礼品。</w:t>
      </w:r>
    </w:p>
    <w:p w14:paraId="6042FEEE">
      <w:pPr>
        <w:widowControl w:val="0"/>
        <w:kinsoku w:val="0"/>
        <w:overflowPunct w:val="0"/>
        <w:autoSpaceDE w:val="0"/>
        <w:autoSpaceDN w:val="0"/>
        <w:adjustRightInd w:val="0"/>
        <w:snapToGrid/>
        <w:spacing w:before="38" w:line="290" w:lineRule="auto"/>
        <w:ind w:left="144" w:right="227" w:firstLine="616"/>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2</w:t>
      </w:r>
      <w:r>
        <w:rPr>
          <w:rFonts w:hint="eastAsia" w:ascii="宋体" w:hAnsi="宋体" w:eastAsia="宋体" w:cs="Times New Roman"/>
          <w:snapToGrid/>
          <w:color w:val="auto"/>
          <w:kern w:val="2"/>
          <w:sz w:val="24"/>
          <w:szCs w:val="24"/>
          <w:highlight w:val="none"/>
          <w:lang w:eastAsia="zh-CN"/>
        </w:rPr>
        <w:t>）监理人不得以任何名义为委托人及其工作人员报销应由委托人单位或个人支付的任何费用。</w:t>
      </w:r>
    </w:p>
    <w:p w14:paraId="2D384DCD">
      <w:pPr>
        <w:widowControl w:val="0"/>
        <w:kinsoku w:val="0"/>
        <w:overflowPunct w:val="0"/>
        <w:autoSpaceDE w:val="0"/>
        <w:autoSpaceDN w:val="0"/>
        <w:adjustRightInd w:val="0"/>
        <w:snapToGrid/>
        <w:spacing w:before="34" w:line="240" w:lineRule="auto"/>
        <w:ind w:left="761"/>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lang w:eastAsia="zh-CN"/>
        </w:rPr>
        <w:t>3</w:t>
      </w:r>
      <w:r>
        <w:rPr>
          <w:rFonts w:hint="eastAsia" w:ascii="宋体" w:hAnsi="宋体" w:eastAsia="宋体" w:cs="Times New Roman"/>
          <w:snapToGrid/>
          <w:color w:val="auto"/>
          <w:spacing w:val="-104"/>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监理人不得以任何理由安排委托人工作人员参加超标准宴请及娱乐活动。</w:t>
      </w:r>
    </w:p>
    <w:p w14:paraId="083F5DCE">
      <w:pPr>
        <w:widowControl w:val="0"/>
        <w:kinsoku w:val="0"/>
        <w:overflowPunct w:val="0"/>
        <w:autoSpaceDE w:val="0"/>
        <w:autoSpaceDN w:val="0"/>
        <w:adjustRightInd w:val="0"/>
        <w:spacing w:before="28" w:line="258" w:lineRule="auto"/>
        <w:ind w:left="144" w:right="230"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w:t>
      </w:r>
      <w:r>
        <w:rPr>
          <w:rFonts w:hint="default" w:ascii="Times New Roman" w:hAnsi="Times New Roman" w:eastAsia="Times New Roman" w:cs="Times New Roman"/>
          <w:color w:val="auto"/>
          <w:kern w:val="2"/>
          <w:sz w:val="24"/>
          <w:szCs w:val="24"/>
          <w:highlight w:val="none"/>
          <w:lang w:val="en-US" w:eastAsia="zh-CN" w:bidi="ar-SA"/>
        </w:rPr>
        <w:t>4</w:t>
      </w:r>
      <w:r>
        <w:rPr>
          <w:rFonts w:hint="eastAsia" w:ascii="宋体" w:hAnsi="宋体" w:eastAsia="宋体" w:cs="Times New Roman"/>
          <w:color w:val="auto"/>
          <w:kern w:val="2"/>
          <w:sz w:val="24"/>
          <w:szCs w:val="24"/>
          <w:highlight w:val="none"/>
          <w:lang w:val="en-US" w:eastAsia="zh-CN" w:bidi="ar-SA"/>
        </w:rPr>
        <w:t>）监理人不得为委托人单位和个人购置或提供通信工具、交通工具和高档办公用品等。</w:t>
      </w:r>
    </w:p>
    <w:p w14:paraId="5E992EBC">
      <w:pPr>
        <w:widowControl w:val="0"/>
        <w:kinsoku w:val="0"/>
        <w:overflowPunct w:val="0"/>
        <w:autoSpaceDE w:val="0"/>
        <w:autoSpaceDN w:val="0"/>
        <w:adjustRightInd w:val="0"/>
        <w:spacing w:before="26"/>
        <w:ind w:left="76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4.违约责任</w:t>
      </w:r>
    </w:p>
    <w:p w14:paraId="6ED73E78">
      <w:pPr>
        <w:widowControl w:val="0"/>
        <w:kinsoku w:val="0"/>
        <w:overflowPunct w:val="0"/>
        <w:autoSpaceDE w:val="0"/>
        <w:autoSpaceDN w:val="0"/>
        <w:adjustRightInd w:val="0"/>
        <w:spacing w:before="28" w:line="264" w:lineRule="auto"/>
        <w:ind w:left="144" w:right="227"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（1</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委托人及其工作人员违反本合同第</w:t>
      </w:r>
      <w:r>
        <w:rPr>
          <w:rFonts w:hint="eastAsia" w:ascii="宋体" w:hAnsi="宋体" w:eastAsia="宋体" w:cs="Times New Roman"/>
          <w:color w:val="auto"/>
          <w:spacing w:val="-60"/>
          <w:kern w:val="2"/>
          <w:sz w:val="24"/>
          <w:highlight w:val="none"/>
          <w:lang w:val="en-US" w:eastAsia="zh-CN" w:bidi="ar-SA"/>
        </w:rPr>
        <w:t xml:space="preserve"> </w:t>
      </w:r>
      <w:r>
        <w:rPr>
          <w:rFonts w:hint="eastAsia" w:ascii="宋体" w:hAnsi="宋体" w:eastAsia="宋体" w:cs="Times New Roman"/>
          <w:color w:val="auto"/>
          <w:kern w:val="2"/>
          <w:sz w:val="24"/>
          <w:highlight w:val="none"/>
          <w:lang w:val="en-US" w:eastAsia="zh-CN" w:bidi="ar-SA"/>
        </w:rPr>
        <w:t>1</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2 条</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按管理权限</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spacing w:val="2"/>
          <w:kern w:val="2"/>
          <w:sz w:val="24"/>
          <w:highlight w:val="none"/>
          <w:lang w:val="en-US" w:eastAsia="zh-CN" w:bidi="ar-SA"/>
        </w:rPr>
        <w:t>依</w:t>
      </w:r>
      <w:r>
        <w:rPr>
          <w:rFonts w:hint="eastAsia" w:ascii="宋体" w:hAnsi="宋体" w:eastAsia="宋体" w:cs="Times New Roman"/>
          <w:color w:val="auto"/>
          <w:kern w:val="2"/>
          <w:sz w:val="24"/>
          <w:highlight w:val="none"/>
          <w:lang w:val="en-US" w:eastAsia="zh-CN" w:bidi="ar-SA"/>
        </w:rPr>
        <w:t>据有关规定 给予</w:t>
      </w:r>
      <w:r>
        <w:rPr>
          <w:rFonts w:hint="eastAsia" w:ascii="宋体" w:hAnsi="宋体" w:eastAsia="宋体" w:cs="Times New Roman"/>
          <w:color w:val="auto"/>
          <w:spacing w:val="2"/>
          <w:kern w:val="2"/>
          <w:sz w:val="24"/>
          <w:highlight w:val="none"/>
          <w:lang w:val="en-US" w:eastAsia="zh-CN" w:bidi="ar-SA"/>
        </w:rPr>
        <w:t>党</w:t>
      </w:r>
      <w:r>
        <w:rPr>
          <w:rFonts w:hint="eastAsia" w:ascii="宋体" w:hAnsi="宋体" w:eastAsia="宋体" w:cs="Times New Roman"/>
          <w:color w:val="auto"/>
          <w:kern w:val="2"/>
          <w:sz w:val="24"/>
          <w:highlight w:val="none"/>
          <w:lang w:val="en-US" w:eastAsia="zh-CN" w:bidi="ar-SA"/>
        </w:rPr>
        <w:t>纪</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政纪</w:t>
      </w:r>
      <w:r>
        <w:rPr>
          <w:rFonts w:hint="eastAsia" w:ascii="宋体" w:hAnsi="宋体" w:eastAsia="宋体" w:cs="Times New Roman"/>
          <w:color w:val="auto"/>
          <w:spacing w:val="2"/>
          <w:kern w:val="2"/>
          <w:sz w:val="24"/>
          <w:highlight w:val="none"/>
          <w:lang w:val="en-US" w:eastAsia="zh-CN" w:bidi="ar-SA"/>
        </w:rPr>
        <w:t>或</w:t>
      </w:r>
      <w:r>
        <w:rPr>
          <w:rFonts w:hint="eastAsia" w:ascii="宋体" w:hAnsi="宋体" w:eastAsia="宋体" w:cs="Times New Roman"/>
          <w:color w:val="auto"/>
          <w:kern w:val="2"/>
          <w:sz w:val="24"/>
          <w:highlight w:val="none"/>
          <w:lang w:val="en-US" w:eastAsia="zh-CN" w:bidi="ar-SA"/>
        </w:rPr>
        <w:t>组</w:t>
      </w:r>
      <w:r>
        <w:rPr>
          <w:rFonts w:hint="eastAsia" w:ascii="宋体" w:hAnsi="宋体" w:eastAsia="宋体" w:cs="Times New Roman"/>
          <w:color w:val="auto"/>
          <w:spacing w:val="2"/>
          <w:kern w:val="2"/>
          <w:sz w:val="24"/>
          <w:highlight w:val="none"/>
          <w:lang w:val="en-US" w:eastAsia="zh-CN" w:bidi="ar-SA"/>
        </w:rPr>
        <w:t>织</w:t>
      </w:r>
      <w:r>
        <w:rPr>
          <w:rFonts w:hint="eastAsia" w:ascii="宋体" w:hAnsi="宋体" w:eastAsia="宋体" w:cs="Times New Roman"/>
          <w:color w:val="auto"/>
          <w:kern w:val="2"/>
          <w:sz w:val="24"/>
          <w:highlight w:val="none"/>
          <w:lang w:val="en-US" w:eastAsia="zh-CN" w:bidi="ar-SA"/>
        </w:rPr>
        <w:t>处理</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涉</w:t>
      </w:r>
      <w:r>
        <w:rPr>
          <w:rFonts w:hint="eastAsia" w:ascii="宋体" w:hAnsi="宋体" w:eastAsia="宋体" w:cs="Times New Roman"/>
          <w:color w:val="auto"/>
          <w:spacing w:val="2"/>
          <w:kern w:val="2"/>
          <w:sz w:val="24"/>
          <w:highlight w:val="none"/>
          <w:lang w:val="en-US" w:eastAsia="zh-CN" w:bidi="ar-SA"/>
        </w:rPr>
        <w:t>嫌</w:t>
      </w:r>
      <w:r>
        <w:rPr>
          <w:rFonts w:hint="eastAsia" w:ascii="宋体" w:hAnsi="宋体" w:eastAsia="宋体" w:cs="Times New Roman"/>
          <w:color w:val="auto"/>
          <w:kern w:val="2"/>
          <w:sz w:val="24"/>
          <w:highlight w:val="none"/>
          <w:lang w:val="en-US" w:eastAsia="zh-CN" w:bidi="ar-SA"/>
        </w:rPr>
        <w:t>犯罪</w:t>
      </w:r>
      <w:r>
        <w:rPr>
          <w:rFonts w:hint="eastAsia" w:ascii="宋体" w:hAnsi="宋体" w:eastAsia="宋体" w:cs="Times New Roman"/>
          <w:color w:val="auto"/>
          <w:spacing w:val="2"/>
          <w:kern w:val="2"/>
          <w:sz w:val="24"/>
          <w:highlight w:val="none"/>
          <w:lang w:val="en-US" w:eastAsia="zh-CN" w:bidi="ar-SA"/>
        </w:rPr>
        <w:t>的</w:t>
      </w:r>
      <w:r>
        <w:rPr>
          <w:rFonts w:hint="eastAsia" w:ascii="宋体" w:hAnsi="宋体" w:eastAsia="宋体" w:cs="Times New Roman"/>
          <w:color w:val="auto"/>
          <w:kern w:val="2"/>
          <w:sz w:val="24"/>
          <w:highlight w:val="none"/>
          <w:lang w:val="en-US" w:eastAsia="zh-CN" w:bidi="ar-SA"/>
        </w:rPr>
        <w:t>，</w:t>
      </w:r>
      <w:r>
        <w:rPr>
          <w:rFonts w:hint="eastAsia" w:ascii="宋体" w:hAnsi="宋体" w:eastAsia="宋体" w:cs="Times New Roman"/>
          <w:color w:val="auto"/>
          <w:spacing w:val="2"/>
          <w:kern w:val="2"/>
          <w:sz w:val="24"/>
          <w:highlight w:val="none"/>
          <w:lang w:val="en-US" w:eastAsia="zh-CN" w:bidi="ar-SA"/>
        </w:rPr>
        <w:t>移</w:t>
      </w:r>
      <w:r>
        <w:rPr>
          <w:rFonts w:hint="eastAsia" w:ascii="宋体" w:hAnsi="宋体" w:eastAsia="宋体" w:cs="Times New Roman"/>
          <w:color w:val="auto"/>
          <w:kern w:val="2"/>
          <w:sz w:val="24"/>
          <w:highlight w:val="none"/>
          <w:lang w:val="en-US" w:eastAsia="zh-CN" w:bidi="ar-SA"/>
        </w:rPr>
        <w:t>交司</w:t>
      </w:r>
      <w:r>
        <w:rPr>
          <w:rFonts w:hint="eastAsia" w:ascii="宋体" w:hAnsi="宋体" w:eastAsia="宋体" w:cs="Times New Roman"/>
          <w:color w:val="auto"/>
          <w:spacing w:val="2"/>
          <w:kern w:val="2"/>
          <w:sz w:val="24"/>
          <w:highlight w:val="none"/>
          <w:lang w:val="en-US" w:eastAsia="zh-CN" w:bidi="ar-SA"/>
        </w:rPr>
        <w:t>法</w:t>
      </w:r>
      <w:r>
        <w:rPr>
          <w:rFonts w:hint="eastAsia" w:ascii="宋体" w:hAnsi="宋体" w:eastAsia="宋体" w:cs="Times New Roman"/>
          <w:color w:val="auto"/>
          <w:kern w:val="2"/>
          <w:sz w:val="24"/>
          <w:highlight w:val="none"/>
          <w:lang w:val="en-US" w:eastAsia="zh-CN" w:bidi="ar-SA"/>
        </w:rPr>
        <w:t>机</w:t>
      </w:r>
      <w:r>
        <w:rPr>
          <w:rFonts w:hint="eastAsia" w:ascii="宋体" w:hAnsi="宋体" w:eastAsia="宋体" w:cs="Times New Roman"/>
          <w:color w:val="auto"/>
          <w:spacing w:val="2"/>
          <w:kern w:val="2"/>
          <w:sz w:val="24"/>
          <w:highlight w:val="none"/>
          <w:lang w:val="en-US" w:eastAsia="zh-CN" w:bidi="ar-SA"/>
        </w:rPr>
        <w:t>关</w:t>
      </w:r>
      <w:r>
        <w:rPr>
          <w:rFonts w:hint="eastAsia" w:ascii="宋体" w:hAnsi="宋体" w:eastAsia="宋体" w:cs="Times New Roman"/>
          <w:color w:val="auto"/>
          <w:kern w:val="2"/>
          <w:sz w:val="24"/>
          <w:highlight w:val="none"/>
          <w:lang w:val="en-US" w:eastAsia="zh-CN" w:bidi="ar-SA"/>
        </w:rPr>
        <w:t>追究</w:t>
      </w:r>
      <w:r>
        <w:rPr>
          <w:rFonts w:hint="eastAsia" w:ascii="宋体" w:hAnsi="宋体" w:eastAsia="宋体" w:cs="Times New Roman"/>
          <w:color w:val="auto"/>
          <w:spacing w:val="2"/>
          <w:kern w:val="2"/>
          <w:sz w:val="24"/>
          <w:highlight w:val="none"/>
          <w:lang w:val="en-US" w:eastAsia="zh-CN" w:bidi="ar-SA"/>
        </w:rPr>
        <w:t>刑</w:t>
      </w:r>
      <w:r>
        <w:rPr>
          <w:rFonts w:hint="eastAsia" w:ascii="宋体" w:hAnsi="宋体" w:eastAsia="宋体" w:cs="Times New Roman"/>
          <w:color w:val="auto"/>
          <w:kern w:val="2"/>
          <w:sz w:val="24"/>
          <w:highlight w:val="none"/>
          <w:lang w:val="en-US" w:eastAsia="zh-CN" w:bidi="ar-SA"/>
        </w:rPr>
        <w:t>事</w:t>
      </w:r>
      <w:r>
        <w:rPr>
          <w:rFonts w:hint="eastAsia" w:ascii="宋体" w:hAnsi="宋体" w:eastAsia="宋体" w:cs="Times New Roman"/>
          <w:color w:val="auto"/>
          <w:spacing w:val="2"/>
          <w:kern w:val="2"/>
          <w:sz w:val="24"/>
          <w:highlight w:val="none"/>
          <w:lang w:val="en-US" w:eastAsia="zh-CN" w:bidi="ar-SA"/>
        </w:rPr>
        <w:t>责</w:t>
      </w:r>
      <w:r>
        <w:rPr>
          <w:rFonts w:hint="eastAsia" w:ascii="宋体" w:hAnsi="宋体" w:eastAsia="宋体" w:cs="Times New Roman"/>
          <w:color w:val="auto"/>
          <w:kern w:val="2"/>
          <w:sz w:val="24"/>
          <w:highlight w:val="none"/>
          <w:lang w:val="en-US" w:eastAsia="zh-CN" w:bidi="ar-SA"/>
        </w:rPr>
        <w:t>任；</w:t>
      </w:r>
      <w:r>
        <w:rPr>
          <w:rFonts w:hint="eastAsia" w:ascii="宋体" w:hAnsi="宋体" w:eastAsia="宋体" w:cs="Times New Roman"/>
          <w:color w:val="auto"/>
          <w:spacing w:val="6"/>
          <w:kern w:val="2"/>
          <w:sz w:val="24"/>
          <w:highlight w:val="none"/>
          <w:lang w:val="en-US" w:eastAsia="zh-CN" w:bidi="ar-SA"/>
        </w:rPr>
        <w:t>给</w:t>
      </w:r>
      <w:r>
        <w:rPr>
          <w:rFonts w:hint="eastAsia" w:ascii="宋体" w:hAnsi="宋体" w:eastAsia="宋体" w:cs="Times New Roman"/>
          <w:color w:val="auto"/>
          <w:kern w:val="2"/>
          <w:sz w:val="24"/>
          <w:highlight w:val="none"/>
          <w:lang w:val="en-US" w:eastAsia="zh-CN" w:bidi="ar-SA"/>
        </w:rPr>
        <w:t>监理人 单位造成经济损失的，应予以赔偿。</w:t>
      </w:r>
    </w:p>
    <w:p w14:paraId="1D626D0C">
      <w:pPr>
        <w:widowControl w:val="0"/>
        <w:kinsoku w:val="0"/>
        <w:overflowPunct w:val="0"/>
        <w:autoSpaceDE w:val="0"/>
        <w:autoSpaceDN w:val="0"/>
        <w:adjustRightInd w:val="0"/>
        <w:spacing w:before="22" w:line="266" w:lineRule="auto"/>
        <w:ind w:left="144" w:right="227"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（2</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监理人及其工作人员违反本合同第</w:t>
      </w:r>
      <w:r>
        <w:rPr>
          <w:rFonts w:hint="eastAsia" w:ascii="宋体" w:hAnsi="宋体" w:eastAsia="宋体" w:cs="Times New Roman"/>
          <w:color w:val="auto"/>
          <w:spacing w:val="-60"/>
          <w:kern w:val="2"/>
          <w:sz w:val="24"/>
          <w:highlight w:val="none"/>
          <w:lang w:val="en-US" w:eastAsia="zh-CN" w:bidi="ar-SA"/>
        </w:rPr>
        <w:t xml:space="preserve"> </w:t>
      </w:r>
      <w:r>
        <w:rPr>
          <w:rFonts w:hint="eastAsia" w:ascii="宋体" w:hAnsi="宋体" w:eastAsia="宋体" w:cs="Times New Roman"/>
          <w:color w:val="auto"/>
          <w:kern w:val="2"/>
          <w:sz w:val="24"/>
          <w:highlight w:val="none"/>
          <w:lang w:val="en-US" w:eastAsia="zh-CN" w:bidi="ar-SA"/>
        </w:rPr>
        <w:t>1</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3 条</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按管理权限</w:t>
      </w:r>
      <w:r>
        <w:rPr>
          <w:rFonts w:hint="eastAsia" w:ascii="宋体" w:hAnsi="宋体" w:eastAsia="宋体" w:cs="Times New Roman"/>
          <w:color w:val="auto"/>
          <w:spacing w:val="-27"/>
          <w:kern w:val="2"/>
          <w:sz w:val="24"/>
          <w:highlight w:val="none"/>
          <w:lang w:val="en-US" w:eastAsia="zh-CN" w:bidi="ar-SA"/>
        </w:rPr>
        <w:t>，</w:t>
      </w:r>
      <w:r>
        <w:rPr>
          <w:rFonts w:hint="eastAsia" w:ascii="宋体" w:hAnsi="宋体" w:eastAsia="宋体" w:cs="Times New Roman"/>
          <w:color w:val="auto"/>
          <w:spacing w:val="2"/>
          <w:kern w:val="2"/>
          <w:sz w:val="24"/>
          <w:highlight w:val="none"/>
          <w:lang w:val="en-US" w:eastAsia="zh-CN" w:bidi="ar-SA"/>
        </w:rPr>
        <w:t>依</w:t>
      </w:r>
      <w:r>
        <w:rPr>
          <w:rFonts w:hint="eastAsia" w:ascii="宋体" w:hAnsi="宋体" w:eastAsia="宋体" w:cs="Times New Roman"/>
          <w:color w:val="auto"/>
          <w:kern w:val="2"/>
          <w:sz w:val="24"/>
          <w:highlight w:val="none"/>
          <w:lang w:val="en-US" w:eastAsia="zh-CN" w:bidi="ar-SA"/>
        </w:rPr>
        <w:t>据有关规定 给予</w:t>
      </w:r>
      <w:r>
        <w:rPr>
          <w:rFonts w:hint="eastAsia" w:ascii="宋体" w:hAnsi="宋体" w:eastAsia="宋体" w:cs="Times New Roman"/>
          <w:color w:val="auto"/>
          <w:spacing w:val="2"/>
          <w:kern w:val="2"/>
          <w:sz w:val="24"/>
          <w:highlight w:val="none"/>
          <w:lang w:val="en-US" w:eastAsia="zh-CN" w:bidi="ar-SA"/>
        </w:rPr>
        <w:t>党</w:t>
      </w:r>
      <w:r>
        <w:rPr>
          <w:rFonts w:hint="eastAsia" w:ascii="宋体" w:hAnsi="宋体" w:eastAsia="宋体" w:cs="Times New Roman"/>
          <w:color w:val="auto"/>
          <w:kern w:val="2"/>
          <w:sz w:val="24"/>
          <w:highlight w:val="none"/>
          <w:lang w:val="en-US" w:eastAsia="zh-CN" w:bidi="ar-SA"/>
        </w:rPr>
        <w:t>纪</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政纪</w:t>
      </w:r>
      <w:r>
        <w:rPr>
          <w:rFonts w:hint="eastAsia" w:ascii="宋体" w:hAnsi="宋体" w:eastAsia="宋体" w:cs="Times New Roman"/>
          <w:color w:val="auto"/>
          <w:spacing w:val="2"/>
          <w:kern w:val="2"/>
          <w:sz w:val="24"/>
          <w:highlight w:val="none"/>
          <w:lang w:val="en-US" w:eastAsia="zh-CN" w:bidi="ar-SA"/>
        </w:rPr>
        <w:t>或</w:t>
      </w:r>
      <w:r>
        <w:rPr>
          <w:rFonts w:hint="eastAsia" w:ascii="宋体" w:hAnsi="宋体" w:eastAsia="宋体" w:cs="Times New Roman"/>
          <w:color w:val="auto"/>
          <w:kern w:val="2"/>
          <w:sz w:val="24"/>
          <w:highlight w:val="none"/>
          <w:lang w:val="en-US" w:eastAsia="zh-CN" w:bidi="ar-SA"/>
        </w:rPr>
        <w:t>组</w:t>
      </w:r>
      <w:r>
        <w:rPr>
          <w:rFonts w:hint="eastAsia" w:ascii="宋体" w:hAnsi="宋体" w:eastAsia="宋体" w:cs="Times New Roman"/>
          <w:color w:val="auto"/>
          <w:spacing w:val="2"/>
          <w:kern w:val="2"/>
          <w:sz w:val="24"/>
          <w:highlight w:val="none"/>
          <w:lang w:val="en-US" w:eastAsia="zh-CN" w:bidi="ar-SA"/>
        </w:rPr>
        <w:t>织</w:t>
      </w:r>
      <w:r>
        <w:rPr>
          <w:rFonts w:hint="eastAsia" w:ascii="宋体" w:hAnsi="宋体" w:eastAsia="宋体" w:cs="Times New Roman"/>
          <w:color w:val="auto"/>
          <w:kern w:val="2"/>
          <w:sz w:val="24"/>
          <w:highlight w:val="none"/>
          <w:lang w:val="en-US" w:eastAsia="zh-CN" w:bidi="ar-SA"/>
        </w:rPr>
        <w:t>处理</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spacing w:val="1"/>
          <w:kern w:val="2"/>
          <w:sz w:val="24"/>
          <w:highlight w:val="none"/>
          <w:lang w:val="en-US" w:eastAsia="zh-CN" w:bidi="ar-SA"/>
        </w:rPr>
        <w:t>给</w:t>
      </w:r>
      <w:r>
        <w:rPr>
          <w:rFonts w:hint="eastAsia" w:ascii="宋体" w:hAnsi="宋体" w:eastAsia="宋体" w:cs="Times New Roman"/>
          <w:color w:val="auto"/>
          <w:spacing w:val="2"/>
          <w:kern w:val="2"/>
          <w:sz w:val="24"/>
          <w:highlight w:val="none"/>
          <w:lang w:val="en-US" w:eastAsia="zh-CN" w:bidi="ar-SA"/>
        </w:rPr>
        <w:t>委</w:t>
      </w:r>
      <w:r>
        <w:rPr>
          <w:rFonts w:hint="eastAsia" w:ascii="宋体" w:hAnsi="宋体" w:eastAsia="宋体" w:cs="Times New Roman"/>
          <w:color w:val="auto"/>
          <w:kern w:val="2"/>
          <w:sz w:val="24"/>
          <w:highlight w:val="none"/>
          <w:lang w:val="en-US" w:eastAsia="zh-CN" w:bidi="ar-SA"/>
        </w:rPr>
        <w:t>托人</w:t>
      </w:r>
      <w:r>
        <w:rPr>
          <w:rFonts w:hint="eastAsia" w:ascii="宋体" w:hAnsi="宋体" w:eastAsia="宋体" w:cs="Times New Roman"/>
          <w:color w:val="auto"/>
          <w:spacing w:val="2"/>
          <w:kern w:val="2"/>
          <w:sz w:val="24"/>
          <w:highlight w:val="none"/>
          <w:lang w:val="en-US" w:eastAsia="zh-CN" w:bidi="ar-SA"/>
        </w:rPr>
        <w:t>单</w:t>
      </w:r>
      <w:r>
        <w:rPr>
          <w:rFonts w:hint="eastAsia" w:ascii="宋体" w:hAnsi="宋体" w:eastAsia="宋体" w:cs="Times New Roman"/>
          <w:color w:val="auto"/>
          <w:kern w:val="2"/>
          <w:sz w:val="24"/>
          <w:highlight w:val="none"/>
          <w:lang w:val="en-US" w:eastAsia="zh-CN" w:bidi="ar-SA"/>
        </w:rPr>
        <w:t>位</w:t>
      </w:r>
      <w:r>
        <w:rPr>
          <w:rFonts w:hint="eastAsia" w:ascii="宋体" w:hAnsi="宋体" w:eastAsia="宋体" w:cs="Times New Roman"/>
          <w:color w:val="auto"/>
          <w:spacing w:val="2"/>
          <w:kern w:val="2"/>
          <w:sz w:val="24"/>
          <w:highlight w:val="none"/>
          <w:lang w:val="en-US" w:eastAsia="zh-CN" w:bidi="ar-SA"/>
        </w:rPr>
        <w:t>造</w:t>
      </w:r>
      <w:r>
        <w:rPr>
          <w:rFonts w:hint="eastAsia" w:ascii="宋体" w:hAnsi="宋体" w:eastAsia="宋体" w:cs="Times New Roman"/>
          <w:color w:val="auto"/>
          <w:kern w:val="2"/>
          <w:sz w:val="24"/>
          <w:highlight w:val="none"/>
          <w:lang w:val="en-US" w:eastAsia="zh-CN" w:bidi="ar-SA"/>
        </w:rPr>
        <w:t>成经</w:t>
      </w:r>
      <w:r>
        <w:rPr>
          <w:rFonts w:hint="eastAsia" w:ascii="宋体" w:hAnsi="宋体" w:eastAsia="宋体" w:cs="Times New Roman"/>
          <w:color w:val="auto"/>
          <w:spacing w:val="2"/>
          <w:kern w:val="2"/>
          <w:sz w:val="24"/>
          <w:highlight w:val="none"/>
          <w:lang w:val="en-US" w:eastAsia="zh-CN" w:bidi="ar-SA"/>
        </w:rPr>
        <w:t>济</w:t>
      </w:r>
      <w:r>
        <w:rPr>
          <w:rFonts w:hint="eastAsia" w:ascii="宋体" w:hAnsi="宋体" w:eastAsia="宋体" w:cs="Times New Roman"/>
          <w:color w:val="auto"/>
          <w:kern w:val="2"/>
          <w:sz w:val="24"/>
          <w:highlight w:val="none"/>
          <w:lang w:val="en-US" w:eastAsia="zh-CN" w:bidi="ar-SA"/>
        </w:rPr>
        <w:t>损</w:t>
      </w:r>
      <w:r>
        <w:rPr>
          <w:rFonts w:hint="eastAsia" w:ascii="宋体" w:hAnsi="宋体" w:eastAsia="宋体" w:cs="Times New Roman"/>
          <w:color w:val="auto"/>
          <w:spacing w:val="2"/>
          <w:kern w:val="2"/>
          <w:sz w:val="24"/>
          <w:highlight w:val="none"/>
          <w:lang w:val="en-US" w:eastAsia="zh-CN" w:bidi="ar-SA"/>
        </w:rPr>
        <w:t>失</w:t>
      </w:r>
      <w:r>
        <w:rPr>
          <w:rFonts w:hint="eastAsia" w:ascii="宋体" w:hAnsi="宋体" w:eastAsia="宋体" w:cs="Times New Roman"/>
          <w:color w:val="auto"/>
          <w:kern w:val="2"/>
          <w:sz w:val="24"/>
          <w:highlight w:val="none"/>
          <w:lang w:val="en-US" w:eastAsia="zh-CN" w:bidi="ar-SA"/>
        </w:rPr>
        <w:t>的，</w:t>
      </w:r>
      <w:r>
        <w:rPr>
          <w:rFonts w:hint="eastAsia" w:ascii="宋体" w:hAnsi="宋体" w:eastAsia="宋体" w:cs="Times New Roman"/>
          <w:color w:val="auto"/>
          <w:spacing w:val="2"/>
          <w:kern w:val="2"/>
          <w:sz w:val="24"/>
          <w:highlight w:val="none"/>
          <w:lang w:val="en-US" w:eastAsia="zh-CN" w:bidi="ar-SA"/>
        </w:rPr>
        <w:t>应</w:t>
      </w:r>
      <w:r>
        <w:rPr>
          <w:rFonts w:hint="eastAsia" w:ascii="宋体" w:hAnsi="宋体" w:eastAsia="宋体" w:cs="Times New Roman"/>
          <w:color w:val="auto"/>
          <w:kern w:val="2"/>
          <w:sz w:val="24"/>
          <w:highlight w:val="none"/>
          <w:lang w:val="en-US" w:eastAsia="zh-CN" w:bidi="ar-SA"/>
        </w:rPr>
        <w:t>予</w:t>
      </w:r>
      <w:r>
        <w:rPr>
          <w:rFonts w:hint="eastAsia" w:ascii="宋体" w:hAnsi="宋体" w:eastAsia="宋体" w:cs="Times New Roman"/>
          <w:color w:val="auto"/>
          <w:spacing w:val="2"/>
          <w:kern w:val="2"/>
          <w:sz w:val="24"/>
          <w:highlight w:val="none"/>
          <w:lang w:val="en-US" w:eastAsia="zh-CN" w:bidi="ar-SA"/>
        </w:rPr>
        <w:t>以</w:t>
      </w:r>
      <w:r>
        <w:rPr>
          <w:rFonts w:hint="eastAsia" w:ascii="宋体" w:hAnsi="宋体" w:eastAsia="宋体" w:cs="Times New Roman"/>
          <w:color w:val="auto"/>
          <w:kern w:val="2"/>
          <w:sz w:val="24"/>
          <w:highlight w:val="none"/>
          <w:lang w:val="en-US" w:eastAsia="zh-CN" w:bidi="ar-SA"/>
        </w:rPr>
        <w:t>赔偿</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情节严 重的</w:t>
      </w:r>
      <w:r>
        <w:rPr>
          <w:rFonts w:hint="eastAsia" w:ascii="宋体" w:hAnsi="宋体" w:eastAsia="宋体" w:cs="Times New Roman"/>
          <w:color w:val="auto"/>
          <w:spacing w:val="2"/>
          <w:kern w:val="2"/>
          <w:sz w:val="24"/>
          <w:highlight w:val="none"/>
          <w:lang w:val="en-US" w:eastAsia="zh-CN" w:bidi="ar-SA"/>
        </w:rPr>
        <w:t>，</w:t>
      </w:r>
      <w:r>
        <w:rPr>
          <w:rFonts w:hint="eastAsia" w:ascii="宋体" w:hAnsi="宋体" w:eastAsia="宋体" w:cs="Times New Roman"/>
          <w:color w:val="auto"/>
          <w:kern w:val="2"/>
          <w:sz w:val="24"/>
          <w:highlight w:val="none"/>
          <w:lang w:val="en-US" w:eastAsia="zh-CN" w:bidi="ar-SA"/>
        </w:rPr>
        <w:t>委</w:t>
      </w:r>
      <w:r>
        <w:rPr>
          <w:rFonts w:hint="eastAsia" w:ascii="宋体" w:hAnsi="宋体" w:eastAsia="宋体" w:cs="Times New Roman"/>
          <w:color w:val="auto"/>
          <w:spacing w:val="2"/>
          <w:kern w:val="2"/>
          <w:sz w:val="24"/>
          <w:highlight w:val="none"/>
          <w:lang w:val="en-US" w:eastAsia="zh-CN" w:bidi="ar-SA"/>
        </w:rPr>
        <w:t>托</w:t>
      </w:r>
      <w:r>
        <w:rPr>
          <w:rFonts w:hint="eastAsia" w:ascii="宋体" w:hAnsi="宋体" w:eastAsia="宋体" w:cs="Times New Roman"/>
          <w:color w:val="auto"/>
          <w:kern w:val="2"/>
          <w:sz w:val="24"/>
          <w:highlight w:val="none"/>
          <w:lang w:val="en-US" w:eastAsia="zh-CN" w:bidi="ar-SA"/>
        </w:rPr>
        <w:t>人建</w:t>
      </w:r>
      <w:r>
        <w:rPr>
          <w:rFonts w:hint="eastAsia" w:ascii="宋体" w:hAnsi="宋体" w:eastAsia="宋体" w:cs="Times New Roman"/>
          <w:color w:val="auto"/>
          <w:spacing w:val="2"/>
          <w:kern w:val="2"/>
          <w:sz w:val="24"/>
          <w:highlight w:val="none"/>
          <w:lang w:val="en-US" w:eastAsia="zh-CN" w:bidi="ar-SA"/>
        </w:rPr>
        <w:t>议</w:t>
      </w:r>
      <w:r>
        <w:rPr>
          <w:rFonts w:hint="eastAsia" w:ascii="宋体" w:hAnsi="宋体" w:eastAsia="宋体" w:cs="Times New Roman"/>
          <w:color w:val="auto"/>
          <w:kern w:val="2"/>
          <w:sz w:val="24"/>
          <w:highlight w:val="none"/>
          <w:lang w:val="en-US" w:eastAsia="zh-CN" w:bidi="ar-SA"/>
        </w:rPr>
        <w:t>交</w:t>
      </w:r>
      <w:r>
        <w:rPr>
          <w:rFonts w:hint="eastAsia" w:ascii="宋体" w:hAnsi="宋体" w:eastAsia="宋体" w:cs="Times New Roman"/>
          <w:color w:val="auto"/>
          <w:spacing w:val="2"/>
          <w:kern w:val="2"/>
          <w:sz w:val="24"/>
          <w:highlight w:val="none"/>
          <w:lang w:val="en-US" w:eastAsia="zh-CN" w:bidi="ar-SA"/>
        </w:rPr>
        <w:t>通</w:t>
      </w:r>
      <w:r>
        <w:rPr>
          <w:rFonts w:hint="eastAsia" w:ascii="宋体" w:hAnsi="宋体" w:eastAsia="宋体" w:cs="Times New Roman"/>
          <w:color w:val="auto"/>
          <w:kern w:val="2"/>
          <w:sz w:val="24"/>
          <w:highlight w:val="none"/>
          <w:lang w:val="en-US" w:eastAsia="zh-CN" w:bidi="ar-SA"/>
        </w:rPr>
        <w:t>运输</w:t>
      </w:r>
      <w:r>
        <w:rPr>
          <w:rFonts w:hint="eastAsia" w:ascii="宋体" w:hAnsi="宋体" w:eastAsia="宋体" w:cs="Times New Roman"/>
          <w:color w:val="auto"/>
          <w:spacing w:val="2"/>
          <w:kern w:val="2"/>
          <w:sz w:val="24"/>
          <w:highlight w:val="none"/>
          <w:lang w:val="en-US" w:eastAsia="zh-CN" w:bidi="ar-SA"/>
        </w:rPr>
        <w:t>主</w:t>
      </w:r>
      <w:r>
        <w:rPr>
          <w:rFonts w:hint="eastAsia" w:ascii="宋体" w:hAnsi="宋体" w:eastAsia="宋体" w:cs="Times New Roman"/>
          <w:color w:val="auto"/>
          <w:kern w:val="2"/>
          <w:sz w:val="24"/>
          <w:highlight w:val="none"/>
          <w:lang w:val="en-US" w:eastAsia="zh-CN" w:bidi="ar-SA"/>
        </w:rPr>
        <w:t>管</w:t>
      </w:r>
      <w:r>
        <w:rPr>
          <w:rFonts w:hint="eastAsia" w:ascii="宋体" w:hAnsi="宋体" w:eastAsia="宋体" w:cs="Times New Roman"/>
          <w:color w:val="auto"/>
          <w:spacing w:val="2"/>
          <w:kern w:val="2"/>
          <w:sz w:val="24"/>
          <w:highlight w:val="none"/>
          <w:lang w:val="en-US" w:eastAsia="zh-CN" w:bidi="ar-SA"/>
        </w:rPr>
        <w:t>部</w:t>
      </w:r>
      <w:r>
        <w:rPr>
          <w:rFonts w:hint="eastAsia" w:ascii="宋体" w:hAnsi="宋体" w:eastAsia="宋体" w:cs="Times New Roman"/>
          <w:color w:val="auto"/>
          <w:spacing w:val="1"/>
          <w:kern w:val="2"/>
          <w:sz w:val="24"/>
          <w:highlight w:val="none"/>
          <w:lang w:val="en-US" w:eastAsia="zh-CN" w:bidi="ar-SA"/>
        </w:rPr>
        <w:t>门</w:t>
      </w:r>
      <w:r>
        <w:rPr>
          <w:rFonts w:hint="eastAsia" w:ascii="宋体" w:hAnsi="宋体" w:eastAsia="宋体" w:cs="Times New Roman"/>
          <w:color w:val="auto"/>
          <w:kern w:val="2"/>
          <w:sz w:val="24"/>
          <w:highlight w:val="none"/>
          <w:lang w:val="en-US" w:eastAsia="zh-CN" w:bidi="ar-SA"/>
        </w:rPr>
        <w:t>给</w:t>
      </w:r>
      <w:r>
        <w:rPr>
          <w:rFonts w:hint="eastAsia" w:ascii="宋体" w:hAnsi="宋体" w:eastAsia="宋体" w:cs="Times New Roman"/>
          <w:color w:val="auto"/>
          <w:spacing w:val="2"/>
          <w:kern w:val="2"/>
          <w:sz w:val="24"/>
          <w:highlight w:val="none"/>
          <w:lang w:val="en-US" w:eastAsia="zh-CN" w:bidi="ar-SA"/>
        </w:rPr>
        <w:t>予</w:t>
      </w:r>
      <w:r>
        <w:rPr>
          <w:rFonts w:hint="eastAsia" w:ascii="宋体" w:hAnsi="宋体" w:eastAsia="宋体" w:cs="Times New Roman"/>
          <w:color w:val="auto"/>
          <w:kern w:val="2"/>
          <w:sz w:val="24"/>
          <w:highlight w:val="none"/>
          <w:lang w:val="en-US" w:eastAsia="zh-CN" w:bidi="ar-SA"/>
        </w:rPr>
        <w:t>监</w:t>
      </w:r>
      <w:r>
        <w:rPr>
          <w:rFonts w:hint="eastAsia" w:ascii="宋体" w:hAnsi="宋体" w:eastAsia="宋体" w:cs="Times New Roman"/>
          <w:color w:val="auto"/>
          <w:spacing w:val="2"/>
          <w:kern w:val="2"/>
          <w:sz w:val="24"/>
          <w:highlight w:val="none"/>
          <w:lang w:val="en-US" w:eastAsia="zh-CN" w:bidi="ar-SA"/>
        </w:rPr>
        <w:t>理</w:t>
      </w:r>
      <w:r>
        <w:rPr>
          <w:rFonts w:hint="eastAsia" w:ascii="宋体" w:hAnsi="宋体" w:eastAsia="宋体" w:cs="Times New Roman"/>
          <w:color w:val="auto"/>
          <w:kern w:val="2"/>
          <w:sz w:val="24"/>
          <w:highlight w:val="none"/>
          <w:lang w:val="en-US" w:eastAsia="zh-CN" w:bidi="ar-SA"/>
        </w:rPr>
        <w:t>人一</w:t>
      </w:r>
      <w:r>
        <w:rPr>
          <w:rFonts w:hint="eastAsia" w:ascii="宋体" w:hAnsi="宋体" w:eastAsia="宋体" w:cs="Times New Roman"/>
          <w:color w:val="auto"/>
          <w:spacing w:val="2"/>
          <w:kern w:val="2"/>
          <w:sz w:val="24"/>
          <w:highlight w:val="none"/>
          <w:lang w:val="en-US" w:eastAsia="zh-CN" w:bidi="ar-SA"/>
        </w:rPr>
        <w:t>至</w:t>
      </w:r>
      <w:r>
        <w:rPr>
          <w:rFonts w:hint="eastAsia" w:ascii="宋体" w:hAnsi="宋体" w:eastAsia="宋体" w:cs="Times New Roman"/>
          <w:color w:val="auto"/>
          <w:kern w:val="2"/>
          <w:sz w:val="24"/>
          <w:highlight w:val="none"/>
          <w:lang w:val="en-US" w:eastAsia="zh-CN" w:bidi="ar-SA"/>
        </w:rPr>
        <w:t>三</w:t>
      </w:r>
      <w:r>
        <w:rPr>
          <w:rFonts w:hint="eastAsia" w:ascii="宋体" w:hAnsi="宋体" w:eastAsia="宋体" w:cs="Times New Roman"/>
          <w:color w:val="auto"/>
          <w:spacing w:val="2"/>
          <w:kern w:val="2"/>
          <w:sz w:val="24"/>
          <w:highlight w:val="none"/>
          <w:lang w:val="en-US" w:eastAsia="zh-CN" w:bidi="ar-SA"/>
        </w:rPr>
        <w:t>年</w:t>
      </w:r>
      <w:r>
        <w:rPr>
          <w:rFonts w:hint="eastAsia" w:ascii="宋体" w:hAnsi="宋体" w:eastAsia="宋体" w:cs="Times New Roman"/>
          <w:color w:val="auto"/>
          <w:kern w:val="2"/>
          <w:sz w:val="24"/>
          <w:highlight w:val="none"/>
          <w:lang w:val="en-US" w:eastAsia="zh-CN" w:bidi="ar-SA"/>
        </w:rPr>
        <w:t>内不</w:t>
      </w:r>
      <w:r>
        <w:rPr>
          <w:rFonts w:hint="eastAsia" w:ascii="宋体" w:hAnsi="宋体" w:eastAsia="宋体" w:cs="Times New Roman"/>
          <w:color w:val="auto"/>
          <w:spacing w:val="2"/>
          <w:kern w:val="2"/>
          <w:sz w:val="24"/>
          <w:highlight w:val="none"/>
          <w:lang w:val="en-US" w:eastAsia="zh-CN" w:bidi="ar-SA"/>
        </w:rPr>
        <w:t>得</w:t>
      </w:r>
      <w:r>
        <w:rPr>
          <w:rFonts w:hint="eastAsia" w:ascii="宋体" w:hAnsi="宋体" w:eastAsia="宋体" w:cs="Times New Roman"/>
          <w:color w:val="auto"/>
          <w:kern w:val="2"/>
          <w:sz w:val="24"/>
          <w:highlight w:val="none"/>
          <w:lang w:val="en-US" w:eastAsia="zh-CN" w:bidi="ar-SA"/>
        </w:rPr>
        <w:t>进</w:t>
      </w:r>
      <w:r>
        <w:rPr>
          <w:rFonts w:hint="eastAsia" w:ascii="宋体" w:hAnsi="宋体" w:eastAsia="宋体" w:cs="Times New Roman"/>
          <w:color w:val="auto"/>
          <w:spacing w:val="2"/>
          <w:kern w:val="2"/>
          <w:sz w:val="24"/>
          <w:highlight w:val="none"/>
          <w:lang w:val="en-US" w:eastAsia="zh-CN" w:bidi="ar-SA"/>
        </w:rPr>
        <w:t>入</w:t>
      </w:r>
      <w:r>
        <w:rPr>
          <w:rFonts w:hint="eastAsia" w:ascii="宋体" w:hAnsi="宋体" w:eastAsia="宋体" w:cs="Times New Roman"/>
          <w:color w:val="auto"/>
          <w:spacing w:val="1"/>
          <w:kern w:val="2"/>
          <w:sz w:val="24"/>
          <w:highlight w:val="none"/>
          <w:lang w:val="en-US" w:eastAsia="zh-CN" w:bidi="ar-SA"/>
        </w:rPr>
        <w:t>其</w:t>
      </w:r>
      <w:r>
        <w:rPr>
          <w:rFonts w:hint="eastAsia" w:ascii="宋体" w:hAnsi="宋体" w:eastAsia="宋体" w:cs="Times New Roman"/>
          <w:color w:val="auto"/>
          <w:kern w:val="2"/>
          <w:sz w:val="24"/>
          <w:highlight w:val="none"/>
          <w:lang w:val="en-US" w:eastAsia="zh-CN" w:bidi="ar-SA"/>
        </w:rPr>
        <w:t>主</w:t>
      </w:r>
      <w:r>
        <w:rPr>
          <w:rFonts w:hint="eastAsia" w:ascii="宋体" w:hAnsi="宋体" w:eastAsia="宋体" w:cs="Times New Roman"/>
          <w:color w:val="auto"/>
          <w:spacing w:val="2"/>
          <w:kern w:val="2"/>
          <w:sz w:val="24"/>
          <w:highlight w:val="none"/>
          <w:lang w:val="en-US" w:eastAsia="zh-CN" w:bidi="ar-SA"/>
        </w:rPr>
        <w:t>管</w:t>
      </w:r>
      <w:r>
        <w:rPr>
          <w:rFonts w:hint="eastAsia" w:ascii="宋体" w:hAnsi="宋体" w:eastAsia="宋体" w:cs="Times New Roman"/>
          <w:color w:val="auto"/>
          <w:kern w:val="2"/>
          <w:sz w:val="24"/>
          <w:highlight w:val="none"/>
          <w:lang w:val="en-US" w:eastAsia="zh-CN" w:bidi="ar-SA"/>
        </w:rPr>
        <w:t>的公路 建设市场的处罚。</w:t>
      </w:r>
    </w:p>
    <w:p w14:paraId="11431F4B">
      <w:pPr>
        <w:widowControl w:val="0"/>
        <w:kinsoku w:val="0"/>
        <w:overflowPunct w:val="0"/>
        <w:autoSpaceDE w:val="0"/>
        <w:autoSpaceDN w:val="0"/>
        <w:adjustRightInd w:val="0"/>
        <w:spacing w:before="20" w:line="264" w:lineRule="auto"/>
        <w:ind w:left="144" w:right="225"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5.</w:t>
      </w:r>
      <w:r>
        <w:rPr>
          <w:rFonts w:hint="eastAsia" w:ascii="宋体" w:hAnsi="宋体" w:eastAsia="宋体" w:cs="Times New Roman"/>
          <w:color w:val="auto"/>
          <w:spacing w:val="2"/>
          <w:kern w:val="2"/>
          <w:sz w:val="24"/>
          <w:highlight w:val="none"/>
          <w:lang w:val="en-US" w:eastAsia="zh-CN" w:bidi="ar-SA"/>
        </w:rPr>
        <w:t xml:space="preserve"> 双方约定：本合同由双方或双方上级单位的纪检监</w:t>
      </w:r>
      <w:r>
        <w:rPr>
          <w:rFonts w:hint="eastAsia" w:ascii="宋体" w:hAnsi="宋体" w:eastAsia="宋体" w:cs="Times New Roman"/>
          <w:color w:val="auto"/>
          <w:spacing w:val="3"/>
          <w:kern w:val="2"/>
          <w:sz w:val="24"/>
          <w:highlight w:val="none"/>
          <w:lang w:val="en-US" w:eastAsia="zh-CN" w:bidi="ar-SA"/>
        </w:rPr>
        <w:t>察</w:t>
      </w:r>
      <w:r>
        <w:rPr>
          <w:rFonts w:hint="eastAsia" w:ascii="宋体" w:hAnsi="宋体" w:eastAsia="宋体" w:cs="Times New Roman"/>
          <w:color w:val="auto"/>
          <w:spacing w:val="2"/>
          <w:kern w:val="2"/>
          <w:sz w:val="24"/>
          <w:highlight w:val="none"/>
          <w:lang w:val="en-US" w:eastAsia="zh-CN" w:bidi="ar-SA"/>
        </w:rPr>
        <w:t xml:space="preserve">部门负责监督执行。 </w:t>
      </w:r>
      <w:r>
        <w:rPr>
          <w:rFonts w:hint="eastAsia" w:ascii="宋体" w:hAnsi="宋体" w:eastAsia="宋体" w:cs="Times New Roman"/>
          <w:color w:val="auto"/>
          <w:kern w:val="2"/>
          <w:sz w:val="24"/>
          <w:highlight w:val="none"/>
          <w:lang w:val="en-US" w:eastAsia="zh-CN" w:bidi="ar-SA"/>
        </w:rPr>
        <w:t>由委</w:t>
      </w:r>
      <w:r>
        <w:rPr>
          <w:rFonts w:hint="eastAsia" w:ascii="宋体" w:hAnsi="宋体" w:eastAsia="宋体" w:cs="Times New Roman"/>
          <w:color w:val="auto"/>
          <w:spacing w:val="2"/>
          <w:kern w:val="2"/>
          <w:sz w:val="24"/>
          <w:highlight w:val="none"/>
          <w:lang w:val="en-US" w:eastAsia="zh-CN" w:bidi="ar-SA"/>
        </w:rPr>
        <w:t>托</w:t>
      </w:r>
      <w:r>
        <w:rPr>
          <w:rFonts w:hint="eastAsia" w:ascii="宋体" w:hAnsi="宋体" w:eastAsia="宋体" w:cs="Times New Roman"/>
          <w:color w:val="auto"/>
          <w:kern w:val="2"/>
          <w:sz w:val="24"/>
          <w:highlight w:val="none"/>
          <w:lang w:val="en-US" w:eastAsia="zh-CN" w:bidi="ar-SA"/>
        </w:rPr>
        <w:t>人</w:t>
      </w:r>
      <w:r>
        <w:rPr>
          <w:rFonts w:hint="eastAsia" w:ascii="宋体" w:hAnsi="宋体" w:eastAsia="宋体" w:cs="Times New Roman"/>
          <w:color w:val="auto"/>
          <w:spacing w:val="2"/>
          <w:kern w:val="2"/>
          <w:sz w:val="24"/>
          <w:highlight w:val="none"/>
          <w:lang w:val="en-US" w:eastAsia="zh-CN" w:bidi="ar-SA"/>
        </w:rPr>
        <w:t>或</w:t>
      </w:r>
      <w:r>
        <w:rPr>
          <w:rFonts w:hint="eastAsia" w:ascii="宋体" w:hAnsi="宋体" w:eastAsia="宋体" w:cs="Times New Roman"/>
          <w:color w:val="auto"/>
          <w:kern w:val="2"/>
          <w:sz w:val="24"/>
          <w:highlight w:val="none"/>
          <w:lang w:val="en-US" w:eastAsia="zh-CN" w:bidi="ar-SA"/>
        </w:rPr>
        <w:t>委托</w:t>
      </w:r>
      <w:r>
        <w:rPr>
          <w:rFonts w:hint="eastAsia" w:ascii="宋体" w:hAnsi="宋体" w:eastAsia="宋体" w:cs="Times New Roman"/>
          <w:color w:val="auto"/>
          <w:spacing w:val="2"/>
          <w:kern w:val="2"/>
          <w:sz w:val="24"/>
          <w:highlight w:val="none"/>
          <w:lang w:val="en-US" w:eastAsia="zh-CN" w:bidi="ar-SA"/>
        </w:rPr>
        <w:t>人</w:t>
      </w:r>
      <w:r>
        <w:rPr>
          <w:rFonts w:hint="eastAsia" w:ascii="宋体" w:hAnsi="宋体" w:eastAsia="宋体" w:cs="Times New Roman"/>
          <w:color w:val="auto"/>
          <w:kern w:val="2"/>
          <w:sz w:val="24"/>
          <w:highlight w:val="none"/>
          <w:lang w:val="en-US" w:eastAsia="zh-CN" w:bidi="ar-SA"/>
        </w:rPr>
        <w:t>上</w:t>
      </w:r>
      <w:r>
        <w:rPr>
          <w:rFonts w:hint="eastAsia" w:ascii="宋体" w:hAnsi="宋体" w:eastAsia="宋体" w:cs="Times New Roman"/>
          <w:color w:val="auto"/>
          <w:spacing w:val="2"/>
          <w:kern w:val="2"/>
          <w:sz w:val="24"/>
          <w:highlight w:val="none"/>
          <w:lang w:val="en-US" w:eastAsia="zh-CN" w:bidi="ar-SA"/>
        </w:rPr>
        <w:t>级</w:t>
      </w:r>
      <w:r>
        <w:rPr>
          <w:rFonts w:hint="eastAsia" w:ascii="宋体" w:hAnsi="宋体" w:eastAsia="宋体" w:cs="Times New Roman"/>
          <w:color w:val="auto"/>
          <w:kern w:val="2"/>
          <w:sz w:val="24"/>
          <w:highlight w:val="none"/>
          <w:lang w:val="en-US" w:eastAsia="zh-CN" w:bidi="ar-SA"/>
        </w:rPr>
        <w:t>单位</w:t>
      </w:r>
      <w:r>
        <w:rPr>
          <w:rFonts w:hint="eastAsia" w:ascii="宋体" w:hAnsi="宋体" w:eastAsia="宋体" w:cs="Times New Roman"/>
          <w:color w:val="auto"/>
          <w:spacing w:val="2"/>
          <w:kern w:val="2"/>
          <w:sz w:val="24"/>
          <w:highlight w:val="none"/>
          <w:lang w:val="en-US" w:eastAsia="zh-CN" w:bidi="ar-SA"/>
        </w:rPr>
        <w:t>的</w:t>
      </w:r>
      <w:r>
        <w:rPr>
          <w:rFonts w:hint="eastAsia" w:ascii="宋体" w:hAnsi="宋体" w:eastAsia="宋体" w:cs="Times New Roman"/>
          <w:color w:val="auto"/>
          <w:kern w:val="2"/>
          <w:sz w:val="24"/>
          <w:highlight w:val="none"/>
          <w:lang w:val="en-US" w:eastAsia="zh-CN" w:bidi="ar-SA"/>
        </w:rPr>
        <w:t>纪</w:t>
      </w:r>
      <w:r>
        <w:rPr>
          <w:rFonts w:hint="eastAsia" w:ascii="宋体" w:hAnsi="宋体" w:eastAsia="宋体" w:cs="Times New Roman"/>
          <w:color w:val="auto"/>
          <w:spacing w:val="2"/>
          <w:kern w:val="2"/>
          <w:sz w:val="24"/>
          <w:highlight w:val="none"/>
          <w:lang w:val="en-US" w:eastAsia="zh-CN" w:bidi="ar-SA"/>
        </w:rPr>
        <w:t>检</w:t>
      </w:r>
      <w:r>
        <w:rPr>
          <w:rFonts w:hint="eastAsia" w:ascii="宋体" w:hAnsi="宋体" w:eastAsia="宋体" w:cs="Times New Roman"/>
          <w:color w:val="auto"/>
          <w:kern w:val="2"/>
          <w:sz w:val="24"/>
          <w:highlight w:val="none"/>
          <w:lang w:val="en-US" w:eastAsia="zh-CN" w:bidi="ar-SA"/>
        </w:rPr>
        <w:t>监</w:t>
      </w:r>
      <w:r>
        <w:rPr>
          <w:rFonts w:hint="eastAsia" w:ascii="宋体" w:hAnsi="宋体" w:eastAsia="宋体" w:cs="Times New Roman"/>
          <w:color w:val="auto"/>
          <w:spacing w:val="1"/>
          <w:kern w:val="2"/>
          <w:sz w:val="24"/>
          <w:highlight w:val="none"/>
          <w:lang w:val="en-US" w:eastAsia="zh-CN" w:bidi="ar-SA"/>
        </w:rPr>
        <w:t>察</w:t>
      </w:r>
      <w:r>
        <w:rPr>
          <w:rFonts w:hint="eastAsia" w:ascii="宋体" w:hAnsi="宋体" w:eastAsia="宋体" w:cs="Times New Roman"/>
          <w:color w:val="auto"/>
          <w:spacing w:val="2"/>
          <w:kern w:val="2"/>
          <w:sz w:val="24"/>
          <w:highlight w:val="none"/>
          <w:lang w:val="en-US" w:eastAsia="zh-CN" w:bidi="ar-SA"/>
        </w:rPr>
        <w:t>部</w:t>
      </w:r>
      <w:r>
        <w:rPr>
          <w:rFonts w:hint="eastAsia" w:ascii="宋体" w:hAnsi="宋体" w:eastAsia="宋体" w:cs="Times New Roman"/>
          <w:color w:val="auto"/>
          <w:kern w:val="2"/>
          <w:sz w:val="24"/>
          <w:highlight w:val="none"/>
          <w:lang w:val="en-US" w:eastAsia="zh-CN" w:bidi="ar-SA"/>
        </w:rPr>
        <w:t>门</w:t>
      </w:r>
      <w:r>
        <w:rPr>
          <w:rFonts w:hint="eastAsia" w:ascii="宋体" w:hAnsi="宋体" w:eastAsia="宋体" w:cs="Times New Roman"/>
          <w:color w:val="auto"/>
          <w:spacing w:val="2"/>
          <w:kern w:val="2"/>
          <w:sz w:val="24"/>
          <w:highlight w:val="none"/>
          <w:lang w:val="en-US" w:eastAsia="zh-CN" w:bidi="ar-SA"/>
        </w:rPr>
        <w:t>约</w:t>
      </w:r>
      <w:r>
        <w:rPr>
          <w:rFonts w:hint="eastAsia" w:ascii="宋体" w:hAnsi="宋体" w:eastAsia="宋体" w:cs="Times New Roman"/>
          <w:color w:val="auto"/>
          <w:kern w:val="2"/>
          <w:sz w:val="24"/>
          <w:highlight w:val="none"/>
          <w:lang w:val="en-US" w:eastAsia="zh-CN" w:bidi="ar-SA"/>
        </w:rPr>
        <w:t>请监</w:t>
      </w:r>
      <w:r>
        <w:rPr>
          <w:rFonts w:hint="eastAsia" w:ascii="宋体" w:hAnsi="宋体" w:eastAsia="宋体" w:cs="Times New Roman"/>
          <w:color w:val="auto"/>
          <w:spacing w:val="2"/>
          <w:kern w:val="2"/>
          <w:sz w:val="24"/>
          <w:highlight w:val="none"/>
          <w:lang w:val="en-US" w:eastAsia="zh-CN" w:bidi="ar-SA"/>
        </w:rPr>
        <w:t>理</w:t>
      </w:r>
      <w:r>
        <w:rPr>
          <w:rFonts w:hint="eastAsia" w:ascii="宋体" w:hAnsi="宋体" w:eastAsia="宋体" w:cs="Times New Roman"/>
          <w:color w:val="auto"/>
          <w:kern w:val="2"/>
          <w:sz w:val="24"/>
          <w:highlight w:val="none"/>
          <w:lang w:val="en-US" w:eastAsia="zh-CN" w:bidi="ar-SA"/>
        </w:rPr>
        <w:t>人</w:t>
      </w:r>
      <w:r>
        <w:rPr>
          <w:rFonts w:hint="eastAsia" w:ascii="宋体" w:hAnsi="宋体" w:eastAsia="宋体" w:cs="Times New Roman"/>
          <w:color w:val="auto"/>
          <w:spacing w:val="2"/>
          <w:kern w:val="2"/>
          <w:sz w:val="24"/>
          <w:highlight w:val="none"/>
          <w:lang w:val="en-US" w:eastAsia="zh-CN" w:bidi="ar-SA"/>
        </w:rPr>
        <w:t>或</w:t>
      </w:r>
      <w:r>
        <w:rPr>
          <w:rFonts w:hint="eastAsia" w:ascii="宋体" w:hAnsi="宋体" w:eastAsia="宋体" w:cs="Times New Roman"/>
          <w:color w:val="auto"/>
          <w:kern w:val="2"/>
          <w:sz w:val="24"/>
          <w:highlight w:val="none"/>
          <w:lang w:val="en-US" w:eastAsia="zh-CN" w:bidi="ar-SA"/>
        </w:rPr>
        <w:t>监理</w:t>
      </w:r>
      <w:r>
        <w:rPr>
          <w:rFonts w:hint="eastAsia" w:ascii="宋体" w:hAnsi="宋体" w:eastAsia="宋体" w:cs="Times New Roman"/>
          <w:color w:val="auto"/>
          <w:spacing w:val="2"/>
          <w:kern w:val="2"/>
          <w:sz w:val="24"/>
          <w:highlight w:val="none"/>
          <w:lang w:val="en-US" w:eastAsia="zh-CN" w:bidi="ar-SA"/>
        </w:rPr>
        <w:t>人</w:t>
      </w:r>
      <w:r>
        <w:rPr>
          <w:rFonts w:hint="eastAsia" w:ascii="宋体" w:hAnsi="宋体" w:eastAsia="宋体" w:cs="Times New Roman"/>
          <w:color w:val="auto"/>
          <w:kern w:val="2"/>
          <w:sz w:val="24"/>
          <w:highlight w:val="none"/>
          <w:lang w:val="en-US" w:eastAsia="zh-CN" w:bidi="ar-SA"/>
        </w:rPr>
        <w:t>上</w:t>
      </w:r>
      <w:r>
        <w:rPr>
          <w:rFonts w:hint="eastAsia" w:ascii="宋体" w:hAnsi="宋体" w:eastAsia="宋体" w:cs="Times New Roman"/>
          <w:color w:val="auto"/>
          <w:spacing w:val="2"/>
          <w:kern w:val="2"/>
          <w:sz w:val="24"/>
          <w:highlight w:val="none"/>
          <w:lang w:val="en-US" w:eastAsia="zh-CN" w:bidi="ar-SA"/>
        </w:rPr>
        <w:t>级</w:t>
      </w:r>
      <w:r>
        <w:rPr>
          <w:rFonts w:hint="eastAsia" w:ascii="宋体" w:hAnsi="宋体" w:eastAsia="宋体" w:cs="Times New Roman"/>
          <w:color w:val="auto"/>
          <w:kern w:val="2"/>
          <w:sz w:val="24"/>
          <w:highlight w:val="none"/>
          <w:lang w:val="en-US" w:eastAsia="zh-CN" w:bidi="ar-SA"/>
        </w:rPr>
        <w:t>单位</w:t>
      </w:r>
      <w:r>
        <w:rPr>
          <w:rFonts w:hint="eastAsia" w:ascii="宋体" w:hAnsi="宋体" w:eastAsia="宋体" w:cs="Times New Roman"/>
          <w:color w:val="auto"/>
          <w:spacing w:val="2"/>
          <w:kern w:val="2"/>
          <w:sz w:val="24"/>
          <w:highlight w:val="none"/>
          <w:lang w:val="en-US" w:eastAsia="zh-CN" w:bidi="ar-SA"/>
        </w:rPr>
        <w:t>纪</w:t>
      </w:r>
      <w:r>
        <w:rPr>
          <w:rFonts w:hint="eastAsia" w:ascii="宋体" w:hAnsi="宋体" w:eastAsia="宋体" w:cs="Times New Roman"/>
          <w:color w:val="auto"/>
          <w:kern w:val="2"/>
          <w:sz w:val="24"/>
          <w:highlight w:val="none"/>
          <w:lang w:val="en-US" w:eastAsia="zh-CN" w:bidi="ar-SA"/>
        </w:rPr>
        <w:t>检监察 部</w:t>
      </w:r>
      <w:r>
        <w:rPr>
          <w:rFonts w:hint="eastAsia" w:ascii="宋体" w:hAnsi="宋体" w:eastAsia="宋体" w:cs="Times New Roman"/>
          <w:color w:val="auto"/>
          <w:spacing w:val="-1"/>
          <w:kern w:val="2"/>
          <w:sz w:val="24"/>
          <w:highlight w:val="none"/>
          <w:lang w:val="en-US" w:eastAsia="zh-CN" w:bidi="ar-SA"/>
        </w:rPr>
        <w:t>门</w:t>
      </w:r>
      <w:r>
        <w:rPr>
          <w:rFonts w:hint="eastAsia" w:ascii="宋体" w:hAnsi="宋体" w:eastAsia="宋体" w:cs="Times New Roman"/>
          <w:color w:val="auto"/>
          <w:kern w:val="2"/>
          <w:sz w:val="24"/>
          <w:highlight w:val="none"/>
          <w:lang w:val="en-US" w:eastAsia="zh-CN" w:bidi="ar-SA"/>
        </w:rPr>
        <w:t>对本合同执行情况进行检查，提出在本合同规定范围内的裁定意见。</w:t>
      </w:r>
    </w:p>
    <w:p w14:paraId="2FD81567">
      <w:pPr>
        <w:widowControl w:val="0"/>
        <w:kinsoku w:val="0"/>
        <w:overflowPunct w:val="0"/>
        <w:autoSpaceDE w:val="0"/>
        <w:autoSpaceDN w:val="0"/>
        <w:adjustRightInd w:val="0"/>
        <w:spacing w:before="22"/>
        <w:ind w:left="76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6.本合同有效期为委托人和监理人签署之日起至该工程项目竣工验收后止。</w:t>
      </w:r>
    </w:p>
    <w:p w14:paraId="09EB3D1E">
      <w:pPr>
        <w:widowControl w:val="0"/>
        <w:tabs>
          <w:tab w:val="left" w:pos="3372"/>
          <w:tab w:val="left" w:pos="5435"/>
        </w:tabs>
        <w:kinsoku w:val="0"/>
        <w:overflowPunct w:val="0"/>
        <w:autoSpaceDE w:val="0"/>
        <w:autoSpaceDN w:val="0"/>
        <w:adjustRightInd w:val="0"/>
        <w:spacing w:before="26" w:line="258" w:lineRule="auto"/>
        <w:ind w:left="144" w:right="225"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7.</w:t>
      </w:r>
      <w:r>
        <w:rPr>
          <w:rFonts w:hint="eastAsia" w:ascii="宋体" w:hAnsi="宋体" w:eastAsia="宋体" w:cs="Times New Roman"/>
          <w:color w:val="auto"/>
          <w:kern w:val="2"/>
          <w:sz w:val="24"/>
          <w:szCs w:val="24"/>
          <w:highlight w:val="none"/>
          <w:lang w:val="en-US" w:eastAsia="zh-CN" w:bidi="ar-SA"/>
        </w:rPr>
        <w:t>本合同作为</w:t>
      </w:r>
      <w:r>
        <w:rPr>
          <w:rFonts w:hint="eastAsia" w:ascii="宋体" w:hAnsi="宋体" w:eastAsia="宋体" w:cs="Times New Roman"/>
          <w:color w:val="auto"/>
          <w:kern w:val="2"/>
          <w:sz w:val="24"/>
          <w:szCs w:val="24"/>
          <w:highlight w:val="none"/>
          <w:u w:val="single" w:color="000000"/>
          <w:lang w:val="en-US" w:eastAsia="zh-CN" w:bidi="ar-SA"/>
        </w:rPr>
        <w:t xml:space="preserve"> </w:t>
      </w:r>
      <w:r>
        <w:rPr>
          <w:rFonts w:hint="eastAsia" w:ascii="宋体" w:hAnsi="宋体" w:eastAsia="宋体" w:cs="Times New Roman"/>
          <w:color w:val="auto"/>
          <w:kern w:val="2"/>
          <w:sz w:val="24"/>
          <w:szCs w:val="24"/>
          <w:highlight w:val="none"/>
          <w:u w:val="single" w:color="000000"/>
          <w:lang w:val="en-US" w:eastAsia="zh-CN" w:bidi="ar-SA"/>
        </w:rPr>
        <w:tab/>
      </w:r>
      <w:r>
        <w:rPr>
          <w:rFonts w:hint="eastAsia" w:ascii="宋体" w:hAnsi="宋体" w:eastAsia="宋体" w:cs="Times New Roman"/>
          <w:color w:val="auto"/>
          <w:kern w:val="2"/>
          <w:sz w:val="24"/>
          <w:szCs w:val="24"/>
          <w:highlight w:val="none"/>
          <w:lang w:val="en-US" w:eastAsia="zh-CN" w:bidi="ar-SA"/>
        </w:rPr>
        <w:t>（项目名称）标段施工监理合同的附件，与工程施工监理合同具有同等的法律效力，经合同双方签署后立即生效。</w:t>
      </w:r>
    </w:p>
    <w:p w14:paraId="41E8454F">
      <w:pPr>
        <w:widowControl w:val="0"/>
        <w:kinsoku w:val="0"/>
        <w:overflowPunct w:val="0"/>
        <w:autoSpaceDE w:val="0"/>
        <w:autoSpaceDN w:val="0"/>
        <w:adjustRightInd w:val="0"/>
        <w:spacing w:before="28" w:line="257" w:lineRule="auto"/>
        <w:ind w:left="144" w:right="224" w:firstLine="616"/>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8.</w:t>
      </w:r>
      <w:r>
        <w:rPr>
          <w:rFonts w:hint="eastAsia" w:ascii="宋体" w:hAnsi="宋体" w:eastAsia="宋体" w:cs="Times New Roman"/>
          <w:color w:val="auto"/>
          <w:spacing w:val="2"/>
          <w:kern w:val="2"/>
          <w:sz w:val="24"/>
          <w:highlight w:val="none"/>
          <w:lang w:val="en-US" w:eastAsia="zh-CN" w:bidi="ar-SA"/>
        </w:rPr>
        <w:t xml:space="preserve"> 本合同一式四份，</w:t>
      </w:r>
      <w:r>
        <w:rPr>
          <w:rFonts w:hint="eastAsia" w:ascii="宋体" w:hAnsi="宋体" w:eastAsia="宋体" w:cs="Times New Roman"/>
          <w:color w:val="auto"/>
          <w:spacing w:val="3"/>
          <w:kern w:val="2"/>
          <w:sz w:val="24"/>
          <w:highlight w:val="none"/>
          <w:lang w:val="en-US" w:eastAsia="zh-CN" w:bidi="ar-SA"/>
        </w:rPr>
        <w:t>由</w:t>
      </w:r>
      <w:r>
        <w:rPr>
          <w:rFonts w:hint="eastAsia" w:ascii="宋体" w:hAnsi="宋体" w:eastAsia="宋体" w:cs="Times New Roman"/>
          <w:color w:val="auto"/>
          <w:spacing w:val="2"/>
          <w:kern w:val="2"/>
          <w:sz w:val="24"/>
          <w:highlight w:val="none"/>
          <w:lang w:val="en-US" w:eastAsia="zh-CN" w:bidi="ar-SA"/>
        </w:rPr>
        <w:t>委托人和监理人各执一份，送交委托人</w:t>
      </w:r>
      <w:r>
        <w:rPr>
          <w:rFonts w:hint="eastAsia" w:ascii="宋体" w:hAnsi="宋体" w:eastAsia="宋体" w:cs="Times New Roman"/>
          <w:color w:val="auto"/>
          <w:spacing w:val="3"/>
          <w:kern w:val="2"/>
          <w:sz w:val="24"/>
          <w:highlight w:val="none"/>
          <w:lang w:val="en-US" w:eastAsia="zh-CN" w:bidi="ar-SA"/>
        </w:rPr>
        <w:t>和</w:t>
      </w:r>
      <w:r>
        <w:rPr>
          <w:rFonts w:hint="eastAsia" w:ascii="宋体" w:hAnsi="宋体" w:eastAsia="宋体" w:cs="Times New Roman"/>
          <w:color w:val="auto"/>
          <w:spacing w:val="2"/>
          <w:kern w:val="2"/>
          <w:sz w:val="24"/>
          <w:highlight w:val="none"/>
          <w:lang w:val="en-US" w:eastAsia="zh-CN" w:bidi="ar-SA"/>
        </w:rPr>
        <w:t xml:space="preserve">监理人的监 </w:t>
      </w:r>
      <w:r>
        <w:rPr>
          <w:rFonts w:hint="eastAsia" w:ascii="宋体" w:hAnsi="宋体" w:eastAsia="宋体" w:cs="Times New Roman"/>
          <w:color w:val="auto"/>
          <w:kern w:val="2"/>
          <w:sz w:val="24"/>
          <w:highlight w:val="none"/>
          <w:lang w:val="en-US" w:eastAsia="zh-CN" w:bidi="ar-SA"/>
        </w:rPr>
        <w:t>督单位各一份。</w:t>
      </w:r>
    </w:p>
    <w:p w14:paraId="18DB7E72">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4E63916A">
      <w:pPr>
        <w:widowControl w:val="0"/>
        <w:kinsoku w:val="0"/>
        <w:overflowPunct w:val="0"/>
        <w:autoSpaceDE w:val="0"/>
        <w:autoSpaceDN w:val="0"/>
        <w:adjustRightInd w:val="0"/>
        <w:snapToGrid/>
        <w:spacing w:before="15" w:line="240" w:lineRule="exact"/>
        <w:jc w:val="left"/>
        <w:textAlignment w:val="auto"/>
        <w:rPr>
          <w:rFonts w:hint="eastAsia" w:ascii="宋体" w:hAnsi="Times New Roman" w:eastAsia="宋体" w:cs="Times New Roman"/>
          <w:snapToGrid/>
          <w:color w:val="auto"/>
          <w:kern w:val="2"/>
          <w:sz w:val="24"/>
          <w:szCs w:val="20"/>
          <w:highlight w:val="none"/>
          <w:lang w:eastAsia="zh-CN"/>
        </w:rPr>
      </w:pPr>
    </w:p>
    <w:p w14:paraId="6A244287">
      <w:pPr>
        <w:widowControl w:val="0"/>
        <w:tabs>
          <w:tab w:val="left" w:pos="2888"/>
          <w:tab w:val="left" w:pos="5370"/>
          <w:tab w:val="left" w:pos="8235"/>
        </w:tabs>
        <w:kinsoku w:val="0"/>
        <w:overflowPunct w:val="0"/>
        <w:autoSpaceDE w:val="0"/>
        <w:autoSpaceDN w:val="0"/>
        <w:adjustRightInd w:val="0"/>
        <w:spacing w:line="297" w:lineRule="auto"/>
        <w:ind w:left="149" w:right="104"/>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委托</w:t>
      </w:r>
      <w:r>
        <w:rPr>
          <w:rFonts w:hint="eastAsia" w:ascii="宋体" w:hAnsi="宋体" w:eastAsia="宋体" w:cs="Times New Roman"/>
          <w:color w:val="auto"/>
          <w:spacing w:val="-1"/>
          <w:kern w:val="2"/>
          <w:sz w:val="24"/>
          <w:highlight w:val="none"/>
          <w:lang w:val="en-US" w:eastAsia="zh-CN" w:bidi="ar-SA"/>
        </w:rPr>
        <w:t>人</w:t>
      </w:r>
      <w:r>
        <w:rPr>
          <w:rFonts w:hint="eastAsia" w:ascii="宋体" w:hAnsi="宋体" w:eastAsia="宋体" w:cs="Times New Roman"/>
          <w:color w:val="auto"/>
          <w:spacing w:val="-17"/>
          <w:kern w:val="2"/>
          <w:sz w:val="24"/>
          <w:highlight w:val="none"/>
          <w:lang w:val="en-US" w:eastAsia="zh-CN" w:bidi="ar-SA"/>
        </w:rPr>
        <w:t>：</w:t>
      </w:r>
      <w:r>
        <w:rPr>
          <w:rFonts w:hint="eastAsia" w:ascii="宋体" w:hAnsi="宋体" w:eastAsia="宋体" w:cs="Times New Roman"/>
          <w:color w:val="auto"/>
          <w:spacing w:val="-17"/>
          <w:kern w:val="2"/>
          <w:sz w:val="24"/>
          <w:highlight w:val="none"/>
          <w:u w:val="single"/>
          <w:lang w:val="en-US" w:eastAsia="zh-CN" w:bidi="ar-SA"/>
        </w:rPr>
        <w:t xml:space="preserve">           </w:t>
      </w:r>
      <w:r>
        <w:rPr>
          <w:rFonts w:hint="eastAsia" w:ascii="宋体" w:hAnsi="宋体" w:eastAsia="宋体" w:cs="Times New Roman"/>
          <w:color w:val="auto"/>
          <w:kern w:val="2"/>
          <w:sz w:val="24"/>
          <w:highlight w:val="none"/>
          <w:lang w:val="en-US" w:eastAsia="zh-CN" w:bidi="ar-SA"/>
        </w:rPr>
        <w:t>（盖单位章）         监理人</w:t>
      </w:r>
      <w:r>
        <w:rPr>
          <w:rFonts w:hint="eastAsia" w:ascii="宋体" w:hAnsi="宋体" w:eastAsia="宋体" w:cs="Times New Roman"/>
          <w:color w:val="auto"/>
          <w:spacing w:val="-17"/>
          <w:kern w:val="2"/>
          <w:sz w:val="24"/>
          <w:highlight w:val="none"/>
          <w:lang w:val="en-US" w:eastAsia="zh-CN" w:bidi="ar-SA"/>
        </w:rPr>
        <w:t>：</w:t>
      </w:r>
      <w:r>
        <w:rPr>
          <w:rFonts w:hint="eastAsia" w:ascii="宋体" w:hAnsi="宋体" w:eastAsia="宋体" w:cs="Times New Roman"/>
          <w:color w:val="auto"/>
          <w:spacing w:val="-17"/>
          <w:kern w:val="2"/>
          <w:sz w:val="24"/>
          <w:highlight w:val="none"/>
          <w:u w:val="single"/>
          <w:lang w:val="en-US" w:eastAsia="zh-CN" w:bidi="ar-SA"/>
        </w:rPr>
        <w:t xml:space="preserve">           </w:t>
      </w:r>
      <w:r>
        <w:rPr>
          <w:rFonts w:hint="eastAsia" w:ascii="宋体" w:hAnsi="宋体" w:eastAsia="宋体" w:cs="Times New Roman"/>
          <w:color w:val="auto"/>
          <w:kern w:val="2"/>
          <w:sz w:val="24"/>
          <w:highlight w:val="none"/>
          <w:lang w:val="en-US" w:eastAsia="zh-CN" w:bidi="ar-SA"/>
        </w:rPr>
        <w:t xml:space="preserve">（盖单位章） </w:t>
      </w:r>
    </w:p>
    <w:p w14:paraId="64448A7E">
      <w:pPr>
        <w:widowControl w:val="0"/>
        <w:tabs>
          <w:tab w:val="left" w:pos="2888"/>
          <w:tab w:val="left" w:pos="4894"/>
          <w:tab w:val="left" w:pos="7518"/>
        </w:tabs>
        <w:kinsoku w:val="0"/>
        <w:overflowPunct w:val="0"/>
        <w:autoSpaceDE w:val="0"/>
        <w:autoSpaceDN w:val="0"/>
        <w:adjustRightInd w:val="0"/>
        <w:spacing w:line="297" w:lineRule="auto"/>
        <w:ind w:left="144" w:right="104"/>
        <w:jc w:val="both"/>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法定代表人或其委托代理人</w:t>
      </w:r>
      <w:r>
        <w:rPr>
          <w:rFonts w:hint="eastAsia" w:ascii="宋体" w:hAnsi="宋体" w:eastAsia="宋体" w:cs="Times New Roman"/>
          <w:color w:val="auto"/>
          <w:spacing w:val="-41"/>
          <w:kern w:val="2"/>
          <w:sz w:val="24"/>
          <w:highlight w:val="none"/>
          <w:lang w:val="en-US" w:eastAsia="zh-CN" w:bidi="ar-SA"/>
        </w:rPr>
        <w:t>：</w:t>
      </w:r>
      <w:r>
        <w:rPr>
          <w:rFonts w:hint="eastAsia" w:ascii="宋体" w:hAnsi="宋体" w:eastAsia="宋体" w:cs="Times New Roman"/>
          <w:color w:val="auto"/>
          <w:spacing w:val="79"/>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w:t>
      </w:r>
      <w:r>
        <w:rPr>
          <w:rFonts w:hint="eastAsia" w:ascii="宋体" w:hAnsi="宋体" w:eastAsia="宋体" w:cs="Times New Roman"/>
          <w:color w:val="auto"/>
          <w:kern w:val="2"/>
          <w:sz w:val="24"/>
          <w:highlight w:val="none"/>
          <w:lang w:val="en-US" w:eastAsia="zh-CN" w:bidi="ar-SA"/>
        </w:rPr>
        <w:t>签字） 法定代表人或其委托代理人</w:t>
      </w:r>
      <w:r>
        <w:rPr>
          <w:rFonts w:hint="eastAsia" w:ascii="宋体" w:hAnsi="宋体" w:eastAsia="宋体" w:cs="Times New Roman"/>
          <w:color w:val="auto"/>
          <w:spacing w:val="-40"/>
          <w:kern w:val="2"/>
          <w:sz w:val="24"/>
          <w:highlight w:val="none"/>
          <w:lang w:val="en-US" w:eastAsia="zh-CN" w:bidi="ar-SA"/>
        </w:rPr>
        <w:t xml:space="preserve">： </w:t>
      </w:r>
      <w:r>
        <w:rPr>
          <w:rFonts w:hint="eastAsia" w:ascii="宋体" w:hAnsi="宋体" w:eastAsia="宋体" w:cs="Times New Roman"/>
          <w:color w:val="auto"/>
          <w:spacing w:val="-40"/>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w:t>
      </w:r>
      <w:r>
        <w:rPr>
          <w:rFonts w:hint="eastAsia" w:ascii="宋体" w:hAnsi="宋体" w:eastAsia="宋体" w:cs="Times New Roman"/>
          <w:color w:val="auto"/>
          <w:kern w:val="2"/>
          <w:sz w:val="24"/>
          <w:highlight w:val="none"/>
          <w:lang w:val="en-US" w:eastAsia="zh-CN" w:bidi="ar-SA"/>
        </w:rPr>
        <w:t>签字）</w:t>
      </w:r>
    </w:p>
    <w:p w14:paraId="4210CD3B">
      <w:pPr>
        <w:widowControl w:val="0"/>
        <w:tabs>
          <w:tab w:val="left" w:pos="1305"/>
          <w:tab w:val="left" w:pos="2386"/>
          <w:tab w:val="left" w:pos="3226"/>
          <w:tab w:val="left" w:pos="4666"/>
          <w:tab w:val="left" w:pos="5746"/>
          <w:tab w:val="left" w:pos="6826"/>
          <w:tab w:val="left" w:pos="8027"/>
        </w:tabs>
        <w:kinsoku w:val="0"/>
        <w:overflowPunct w:val="0"/>
        <w:autoSpaceDE w:val="0"/>
        <w:autoSpaceDN w:val="0"/>
        <w:adjustRightInd w:val="0"/>
        <w:spacing w:before="27" w:line="581" w:lineRule="auto"/>
        <w:ind w:left="144" w:right="102" w:firstLine="81"/>
        <w:jc w:val="center"/>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年</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月</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日</w:t>
      </w:r>
      <w:r>
        <w:rPr>
          <w:rFonts w:hint="eastAsia" w:ascii="宋体" w:hAnsi="宋体" w:eastAsia="宋体" w:cs="Times New Roman"/>
          <w:color w:val="auto"/>
          <w:kern w:val="2"/>
          <w:sz w:val="24"/>
          <w:highlight w:val="none"/>
          <w:lang w:val="en-US" w:eastAsia="zh-CN" w:bidi="ar-SA"/>
        </w:rPr>
        <w:tab/>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年</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月</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日</w:t>
      </w:r>
    </w:p>
    <w:p w14:paraId="721FCE19">
      <w:pPr>
        <w:kinsoku/>
        <w:autoSpaceDE/>
        <w:autoSpaceDN/>
        <w:adjustRightInd/>
        <w:snapToGrid/>
        <w:spacing w:line="240" w:lineRule="auto"/>
        <w:jc w:val="both"/>
        <w:textAlignment w:val="auto"/>
        <w:rPr>
          <w:rFonts w:ascii="Times New Roman" w:hAnsi="Times New Roman" w:eastAsia="宋体" w:cs="Times New Roman"/>
          <w:snapToGrid/>
          <w:color w:val="auto"/>
          <w:kern w:val="2"/>
          <w:sz w:val="24"/>
          <w:szCs w:val="22"/>
          <w:highlight w:val="none"/>
          <w:lang w:eastAsia="zh-CN"/>
        </w:rPr>
      </w:pPr>
      <w:r>
        <w:rPr>
          <w:rFonts w:ascii="Times New Roman" w:hAnsi="Times New Roman" w:eastAsia="宋体" w:cs="Times New Roman"/>
          <w:snapToGrid/>
          <w:color w:val="auto"/>
          <w:kern w:val="2"/>
          <w:sz w:val="24"/>
          <w:szCs w:val="22"/>
          <w:highlight w:val="none"/>
          <w:lang w:eastAsia="zh-CN"/>
        </w:rPr>
        <w:t>委托人监督单位：</w:t>
      </w:r>
      <w:r>
        <w:rPr>
          <w:rFonts w:ascii="Times New Roman" w:hAnsi="Times New Roman" w:eastAsia="宋体" w:cs="Times New Roman"/>
          <w:snapToGrid/>
          <w:color w:val="auto"/>
          <w:kern w:val="2"/>
          <w:sz w:val="24"/>
          <w:szCs w:val="22"/>
          <w:highlight w:val="none"/>
          <w:u w:val="single"/>
          <w:lang w:eastAsia="zh-CN"/>
        </w:rPr>
        <w:t>（全称）（盖单位章）</w:t>
      </w:r>
      <w:r>
        <w:rPr>
          <w:rFonts w:ascii="Times New Roman" w:hAnsi="Times New Roman" w:eastAsia="宋体" w:cs="Times New Roman"/>
          <w:snapToGrid/>
          <w:color w:val="auto"/>
          <w:kern w:val="2"/>
          <w:sz w:val="24"/>
          <w:szCs w:val="22"/>
          <w:highlight w:val="none"/>
          <w:lang w:eastAsia="zh-CN"/>
        </w:rPr>
        <w:tab/>
      </w:r>
      <w:r>
        <w:rPr>
          <w:rFonts w:ascii="Times New Roman" w:hAnsi="Times New Roman" w:eastAsia="宋体" w:cs="Times New Roman"/>
          <w:snapToGrid/>
          <w:color w:val="auto"/>
          <w:kern w:val="2"/>
          <w:sz w:val="24"/>
          <w:szCs w:val="22"/>
          <w:highlight w:val="none"/>
          <w:lang w:eastAsia="zh-CN"/>
        </w:rPr>
        <w:t>监理人监督单位：</w:t>
      </w:r>
      <w:r>
        <w:rPr>
          <w:rFonts w:ascii="Times New Roman" w:hAnsi="Times New Roman" w:eastAsia="宋体" w:cs="Times New Roman"/>
          <w:snapToGrid/>
          <w:color w:val="auto"/>
          <w:kern w:val="2"/>
          <w:sz w:val="24"/>
          <w:szCs w:val="22"/>
          <w:highlight w:val="none"/>
          <w:u w:val="single"/>
          <w:lang w:eastAsia="zh-CN"/>
        </w:rPr>
        <w:t>（全称）（盖单位章）</w:t>
      </w:r>
    </w:p>
    <w:p w14:paraId="06D050DB">
      <w:pPr>
        <w:tabs>
          <w:tab w:val="left" w:pos="1305"/>
          <w:tab w:val="left" w:pos="2386"/>
          <w:tab w:val="left" w:pos="3226"/>
          <w:tab w:val="left" w:pos="4666"/>
          <w:tab w:val="left" w:pos="5746"/>
          <w:tab w:val="left" w:pos="6826"/>
          <w:tab w:val="left" w:pos="8027"/>
        </w:tabs>
        <w:kinsoku w:val="0"/>
        <w:overflowPunct w:val="0"/>
        <w:spacing w:before="27" w:line="581" w:lineRule="auto"/>
        <w:ind w:left="144" w:right="102" w:firstLine="81"/>
        <w:jc w:val="center"/>
        <w:rPr>
          <w:color w:val="auto"/>
          <w:highlight w:val="none"/>
        </w:rPr>
        <w:sectPr>
          <w:pgSz w:w="11907" w:h="16860"/>
          <w:pgMar w:top="1080" w:right="1360" w:bottom="1260" w:left="1500" w:header="882" w:footer="1078" w:gutter="0"/>
          <w:lnNumType w:countBy="0" w:distance="360"/>
          <w:pgNumType w:fmt="decimal"/>
          <w:cols w:space="720" w:num="1"/>
        </w:sectPr>
      </w:pPr>
    </w:p>
    <w:p w14:paraId="17E4F69B">
      <w:pPr>
        <w:pStyle w:val="4"/>
        <w:bidi w:val="0"/>
        <w:rPr>
          <w:color w:val="auto"/>
          <w:highlight w:val="none"/>
        </w:rPr>
      </w:pPr>
      <w:r>
        <w:rPr>
          <w:color w:val="auto"/>
          <w:highlight w:val="none"/>
        </w:rPr>
        <w:t xml:space="preserve">附件三：其他主要监理人员最低要求 </w:t>
      </w:r>
    </w:p>
    <w:p w14:paraId="3A46B5D4">
      <w:pPr>
        <w:spacing w:before="18"/>
        <w:rPr>
          <w:color w:val="auto"/>
          <w:highlight w:val="none"/>
        </w:rPr>
      </w:pPr>
    </w:p>
    <w:tbl>
      <w:tblPr>
        <w:tblStyle w:val="19"/>
        <w:tblW w:w="0" w:type="auto"/>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146"/>
        <w:gridCol w:w="738"/>
        <w:gridCol w:w="7059"/>
      </w:tblGrid>
      <w:tr w14:paraId="50C54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781" w:type="dxa"/>
            <w:gridSpan w:val="2"/>
            <w:vAlign w:val="top"/>
          </w:tcPr>
          <w:p w14:paraId="1E70A5C6">
            <w:pPr>
              <w:pStyle w:val="20"/>
              <w:spacing w:before="206" w:line="229" w:lineRule="auto"/>
              <w:ind w:left="689"/>
              <w:rPr>
                <w:color w:val="auto"/>
                <w:highlight w:val="none"/>
              </w:rPr>
            </w:pPr>
            <w:r>
              <w:rPr>
                <w:color w:val="auto"/>
                <w:spacing w:val="3"/>
                <w:highlight w:val="none"/>
              </w:rPr>
              <w:t>人员</w:t>
            </w:r>
          </w:p>
        </w:tc>
        <w:tc>
          <w:tcPr>
            <w:tcW w:w="738" w:type="dxa"/>
            <w:vAlign w:val="top"/>
          </w:tcPr>
          <w:p w14:paraId="41589ADE">
            <w:pPr>
              <w:pStyle w:val="20"/>
              <w:spacing w:before="207" w:line="227" w:lineRule="auto"/>
              <w:ind w:left="165"/>
              <w:rPr>
                <w:color w:val="auto"/>
                <w:highlight w:val="none"/>
              </w:rPr>
            </w:pPr>
            <w:r>
              <w:rPr>
                <w:color w:val="auto"/>
                <w:spacing w:val="3"/>
                <w:highlight w:val="none"/>
              </w:rPr>
              <w:t>数量</w:t>
            </w:r>
          </w:p>
        </w:tc>
        <w:tc>
          <w:tcPr>
            <w:tcW w:w="7059" w:type="dxa"/>
            <w:vAlign w:val="top"/>
          </w:tcPr>
          <w:p w14:paraId="36AE8105">
            <w:pPr>
              <w:pStyle w:val="20"/>
              <w:spacing w:before="206" w:line="226" w:lineRule="auto"/>
              <w:ind w:left="3123"/>
              <w:rPr>
                <w:color w:val="auto"/>
                <w:highlight w:val="none"/>
              </w:rPr>
            </w:pPr>
            <w:r>
              <w:rPr>
                <w:color w:val="auto"/>
                <w:spacing w:val="5"/>
                <w:highlight w:val="none"/>
              </w:rPr>
              <w:t>资格要求</w:t>
            </w:r>
          </w:p>
        </w:tc>
      </w:tr>
      <w:tr w14:paraId="4E5CC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9" w:hRule="atLeast"/>
        </w:trPr>
        <w:tc>
          <w:tcPr>
            <w:tcW w:w="635" w:type="dxa"/>
            <w:vMerge w:val="restart"/>
            <w:textDirection w:val="tbRlV"/>
            <w:vAlign w:val="center"/>
          </w:tcPr>
          <w:p w14:paraId="7251B8DB">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8"/>
                <w:highlight w:val="none"/>
              </w:rPr>
              <w:t>专</w:t>
            </w:r>
            <w:r>
              <w:rPr>
                <w:color w:val="auto"/>
                <w:spacing w:val="54"/>
                <w:highlight w:val="none"/>
              </w:rPr>
              <w:t xml:space="preserve"> </w:t>
            </w:r>
            <w:r>
              <w:rPr>
                <w:color w:val="auto"/>
                <w:spacing w:val="8"/>
                <w:highlight w:val="none"/>
              </w:rPr>
              <w:t>业</w:t>
            </w:r>
            <w:r>
              <w:rPr>
                <w:color w:val="auto"/>
                <w:spacing w:val="51"/>
                <w:highlight w:val="none"/>
              </w:rPr>
              <w:t xml:space="preserve"> </w:t>
            </w:r>
            <w:r>
              <w:rPr>
                <w:color w:val="auto"/>
                <w:spacing w:val="8"/>
                <w:highlight w:val="none"/>
              </w:rPr>
              <w:t>监</w:t>
            </w:r>
            <w:r>
              <w:rPr>
                <w:color w:val="auto"/>
                <w:spacing w:val="51"/>
                <w:highlight w:val="none"/>
              </w:rPr>
              <w:t xml:space="preserve"> </w:t>
            </w:r>
            <w:r>
              <w:rPr>
                <w:color w:val="auto"/>
                <w:spacing w:val="8"/>
                <w:highlight w:val="none"/>
              </w:rPr>
              <w:t>理</w:t>
            </w:r>
            <w:r>
              <w:rPr>
                <w:color w:val="auto"/>
                <w:spacing w:val="51"/>
                <w:highlight w:val="none"/>
              </w:rPr>
              <w:t xml:space="preserve"> </w:t>
            </w:r>
            <w:r>
              <w:rPr>
                <w:color w:val="auto"/>
                <w:spacing w:val="8"/>
                <w:highlight w:val="none"/>
              </w:rPr>
              <w:t>工</w:t>
            </w:r>
            <w:r>
              <w:rPr>
                <w:color w:val="auto"/>
                <w:spacing w:val="51"/>
                <w:highlight w:val="none"/>
              </w:rPr>
              <w:t xml:space="preserve"> </w:t>
            </w:r>
            <w:r>
              <w:rPr>
                <w:color w:val="auto"/>
                <w:spacing w:val="8"/>
                <w:highlight w:val="none"/>
              </w:rPr>
              <w:t>程</w:t>
            </w:r>
            <w:r>
              <w:rPr>
                <w:color w:val="auto"/>
                <w:spacing w:val="51"/>
                <w:highlight w:val="none"/>
              </w:rPr>
              <w:t xml:space="preserve"> </w:t>
            </w:r>
            <w:r>
              <w:rPr>
                <w:color w:val="auto"/>
                <w:spacing w:val="8"/>
                <w:highlight w:val="none"/>
              </w:rPr>
              <w:t>师</w:t>
            </w:r>
          </w:p>
        </w:tc>
        <w:tc>
          <w:tcPr>
            <w:tcW w:w="1146" w:type="dxa"/>
            <w:vAlign w:val="center"/>
          </w:tcPr>
          <w:p w14:paraId="0A02F5F6">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路基工程</w:t>
            </w:r>
          </w:p>
        </w:tc>
        <w:tc>
          <w:tcPr>
            <w:tcW w:w="738" w:type="dxa"/>
            <w:vAlign w:val="center"/>
          </w:tcPr>
          <w:p w14:paraId="1FA86BB9">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59891AE4">
            <w:pPr>
              <w:pStyle w:val="20"/>
              <w:spacing w:before="114" w:line="301"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上技术职称；从事公路路基工程监理工作</w:t>
            </w:r>
            <w:r>
              <w:rPr>
                <w:color w:val="auto"/>
                <w:spacing w:val="-33"/>
                <w:highlight w:val="none"/>
              </w:rPr>
              <w:t xml:space="preserve"> </w:t>
            </w:r>
            <w:r>
              <w:rPr>
                <w:color w:val="auto"/>
                <w:spacing w:val="8"/>
                <w:highlight w:val="none"/>
              </w:rPr>
              <w:t>5</w:t>
            </w:r>
            <w:r>
              <w:rPr>
                <w:color w:val="auto"/>
                <w:spacing w:val="-37"/>
                <w:highlight w:val="none"/>
              </w:rPr>
              <w:t xml:space="preserve"> </w:t>
            </w:r>
            <w:r>
              <w:rPr>
                <w:color w:val="auto"/>
                <w:spacing w:val="8"/>
                <w:highlight w:val="none"/>
              </w:rPr>
              <w:t>年</w:t>
            </w:r>
            <w:r>
              <w:rPr>
                <w:color w:val="auto"/>
                <w:spacing w:val="7"/>
                <w:highlight w:val="none"/>
              </w:rPr>
              <w:t>以上。</w:t>
            </w:r>
          </w:p>
        </w:tc>
      </w:tr>
      <w:tr w14:paraId="07C81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3327B37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2C5407FB">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路面工程</w:t>
            </w:r>
          </w:p>
        </w:tc>
        <w:tc>
          <w:tcPr>
            <w:tcW w:w="738" w:type="dxa"/>
            <w:vAlign w:val="center"/>
          </w:tcPr>
          <w:p w14:paraId="183F2C2C">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4F0E6CEC">
            <w:pPr>
              <w:pStyle w:val="20"/>
              <w:spacing w:before="128" w:line="298"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上技术职称；从事公路路面工程监理工作</w:t>
            </w:r>
            <w:r>
              <w:rPr>
                <w:color w:val="auto"/>
                <w:spacing w:val="-33"/>
                <w:highlight w:val="none"/>
              </w:rPr>
              <w:t xml:space="preserve"> </w:t>
            </w:r>
            <w:r>
              <w:rPr>
                <w:color w:val="auto"/>
                <w:spacing w:val="8"/>
                <w:highlight w:val="none"/>
              </w:rPr>
              <w:t>5</w:t>
            </w:r>
            <w:r>
              <w:rPr>
                <w:color w:val="auto"/>
                <w:spacing w:val="-37"/>
                <w:highlight w:val="none"/>
              </w:rPr>
              <w:t xml:space="preserve"> </w:t>
            </w:r>
            <w:r>
              <w:rPr>
                <w:color w:val="auto"/>
                <w:spacing w:val="8"/>
                <w:highlight w:val="none"/>
              </w:rPr>
              <w:t>年</w:t>
            </w:r>
            <w:r>
              <w:rPr>
                <w:color w:val="auto"/>
                <w:spacing w:val="7"/>
                <w:highlight w:val="none"/>
              </w:rPr>
              <w:t>以上。</w:t>
            </w:r>
          </w:p>
        </w:tc>
      </w:tr>
      <w:tr w14:paraId="7F15E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28BFB2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3D97281C">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桥梁工程</w:t>
            </w:r>
          </w:p>
        </w:tc>
        <w:tc>
          <w:tcPr>
            <w:tcW w:w="738" w:type="dxa"/>
            <w:vAlign w:val="center"/>
          </w:tcPr>
          <w:p w14:paraId="3F14B74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7C9A2424">
            <w:pPr>
              <w:pStyle w:val="20"/>
              <w:spacing w:before="141" w:line="295"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或具有交通运输部核发的公路工程道桥专业监理工程师资格证书；具有路桥相关专业</w:t>
            </w:r>
            <w:r>
              <w:rPr>
                <w:color w:val="auto"/>
                <w:spacing w:val="13"/>
                <w:highlight w:val="none"/>
                <w:u w:val="single" w:color="auto"/>
              </w:rPr>
              <w:t>中级及以</w:t>
            </w:r>
            <w:r>
              <w:rPr>
                <w:color w:val="auto"/>
                <w:spacing w:val="8"/>
                <w:highlight w:val="none"/>
              </w:rPr>
              <w:t>上技术职称；从事桥梁工程监理工作</w:t>
            </w:r>
            <w:r>
              <w:rPr>
                <w:color w:val="auto"/>
                <w:spacing w:val="-32"/>
                <w:highlight w:val="none"/>
              </w:rPr>
              <w:t xml:space="preserve"> </w:t>
            </w:r>
            <w:r>
              <w:rPr>
                <w:color w:val="auto"/>
                <w:spacing w:val="8"/>
                <w:highlight w:val="none"/>
              </w:rPr>
              <w:t>5 年以</w:t>
            </w:r>
            <w:r>
              <w:rPr>
                <w:color w:val="auto"/>
                <w:spacing w:val="7"/>
                <w:highlight w:val="none"/>
              </w:rPr>
              <w:t>上。</w:t>
            </w:r>
          </w:p>
        </w:tc>
      </w:tr>
      <w:tr w14:paraId="35CFF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trPr>
        <w:tc>
          <w:tcPr>
            <w:tcW w:w="635" w:type="dxa"/>
            <w:vMerge w:val="continue"/>
            <w:textDirection w:val="tbRlV"/>
            <w:vAlign w:val="center"/>
          </w:tcPr>
          <w:p w14:paraId="3C2394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68AE7E7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4"/>
                <w:highlight w:val="none"/>
              </w:rPr>
              <w:t>隧道工程</w:t>
            </w:r>
          </w:p>
        </w:tc>
        <w:tc>
          <w:tcPr>
            <w:tcW w:w="738" w:type="dxa"/>
            <w:vAlign w:val="center"/>
          </w:tcPr>
          <w:p w14:paraId="4CEA3DBF">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11AB1827">
            <w:pPr>
              <w:pStyle w:val="20"/>
              <w:spacing w:before="155" w:line="295" w:lineRule="auto"/>
              <w:ind w:left="111" w:right="109" w:firstLine="5"/>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或具有交通运输部核发的公路工程隧道专业监理工程师资格证书；具有</w:t>
            </w:r>
            <w:r>
              <w:rPr>
                <w:color w:val="auto"/>
                <w:spacing w:val="13"/>
                <w:highlight w:val="none"/>
                <w:u w:val="single" w:color="auto"/>
              </w:rPr>
              <w:t>中级及以上</w:t>
            </w:r>
            <w:r>
              <w:rPr>
                <w:color w:val="auto"/>
                <w:spacing w:val="13"/>
                <w:highlight w:val="none"/>
              </w:rPr>
              <w:t>技术职称；</w:t>
            </w:r>
            <w:r>
              <w:rPr>
                <w:color w:val="auto"/>
                <w:spacing w:val="6"/>
                <w:highlight w:val="none"/>
              </w:rPr>
              <w:t>从事隧道工程监理工作</w:t>
            </w:r>
            <w:r>
              <w:rPr>
                <w:color w:val="auto"/>
                <w:spacing w:val="-22"/>
                <w:highlight w:val="none"/>
              </w:rPr>
              <w:t xml:space="preserve"> </w:t>
            </w:r>
            <w:r>
              <w:rPr>
                <w:color w:val="auto"/>
                <w:spacing w:val="6"/>
                <w:highlight w:val="none"/>
              </w:rPr>
              <w:t>5</w:t>
            </w:r>
            <w:r>
              <w:rPr>
                <w:color w:val="auto"/>
                <w:spacing w:val="-37"/>
                <w:highlight w:val="none"/>
              </w:rPr>
              <w:t xml:space="preserve"> </w:t>
            </w:r>
            <w:r>
              <w:rPr>
                <w:color w:val="auto"/>
                <w:spacing w:val="6"/>
                <w:highlight w:val="none"/>
              </w:rPr>
              <w:t>年以上。</w:t>
            </w:r>
          </w:p>
        </w:tc>
      </w:tr>
      <w:tr w14:paraId="4B972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635" w:type="dxa"/>
            <w:vMerge w:val="continue"/>
            <w:textDirection w:val="tbRlV"/>
            <w:vAlign w:val="center"/>
          </w:tcPr>
          <w:p w14:paraId="6EFBFD4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371FC26A">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color w:val="auto"/>
                <w:spacing w:val="7"/>
                <w:highlight w:val="none"/>
              </w:rPr>
              <w:t>合同管理</w:t>
            </w:r>
          </w:p>
        </w:tc>
        <w:tc>
          <w:tcPr>
            <w:tcW w:w="738" w:type="dxa"/>
            <w:vAlign w:val="center"/>
          </w:tcPr>
          <w:p w14:paraId="296BABF2">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1</w:t>
            </w:r>
          </w:p>
        </w:tc>
        <w:tc>
          <w:tcPr>
            <w:tcW w:w="7059" w:type="dxa"/>
            <w:vAlign w:val="top"/>
          </w:tcPr>
          <w:p w14:paraId="260B9B6A">
            <w:pPr>
              <w:pStyle w:val="20"/>
              <w:spacing w:before="154" w:line="282" w:lineRule="auto"/>
              <w:ind w:left="111" w:right="107" w:firstLine="5"/>
              <w:jc w:val="both"/>
              <w:rPr>
                <w:color w:val="auto"/>
                <w:highlight w:val="none"/>
              </w:rPr>
            </w:pPr>
            <w:r>
              <w:rPr>
                <w:color w:val="auto"/>
                <w:spacing w:val="12"/>
                <w:highlight w:val="none"/>
              </w:rPr>
              <w:t>具有</w:t>
            </w:r>
            <w:r>
              <w:rPr>
                <w:color w:val="auto"/>
                <w:spacing w:val="-80"/>
                <w:highlight w:val="none"/>
              </w:rPr>
              <w:t xml:space="preserve"> </w:t>
            </w:r>
            <w:r>
              <w:rPr>
                <w:color w:val="auto"/>
                <w:spacing w:val="8"/>
                <w:highlight w:val="none"/>
                <w:u w:val="single" w:color="auto"/>
              </w:rPr>
              <w:t xml:space="preserve"> </w:t>
            </w:r>
            <w:r>
              <w:rPr>
                <w:rFonts w:hint="eastAsia"/>
                <w:color w:val="auto"/>
                <w:spacing w:val="8"/>
                <w:highlight w:val="none"/>
                <w:u w:val="single" w:color="auto"/>
                <w:lang w:eastAsia="zh-CN"/>
              </w:rPr>
              <w:t>一</w:t>
            </w:r>
            <w:r>
              <w:rPr>
                <w:color w:val="auto"/>
                <w:spacing w:val="8"/>
                <w:highlight w:val="none"/>
                <w:u w:val="single" w:color="auto"/>
              </w:rPr>
              <w:t xml:space="preserve"> </w:t>
            </w:r>
            <w:r>
              <w:rPr>
                <w:color w:val="auto"/>
                <w:spacing w:val="-86"/>
                <w:highlight w:val="none"/>
              </w:rPr>
              <w:t xml:space="preserve"> </w:t>
            </w:r>
            <w:r>
              <w:rPr>
                <w:color w:val="auto"/>
                <w:spacing w:val="12"/>
                <w:highlight w:val="none"/>
              </w:rPr>
              <w:t>级造价工程师注册证（交通运输工程专业，类别为公路）或交通</w:t>
            </w:r>
            <w:r>
              <w:rPr>
                <w:color w:val="auto"/>
                <w:spacing w:val="17"/>
                <w:highlight w:val="none"/>
              </w:rPr>
              <w:t>运输主管部门颁发的</w:t>
            </w:r>
            <w:r>
              <w:rPr>
                <w:color w:val="auto"/>
                <w:spacing w:val="-76"/>
                <w:highlight w:val="none"/>
              </w:rPr>
              <w:t xml:space="preserve"> </w:t>
            </w:r>
            <w:r>
              <w:rPr>
                <w:color w:val="auto"/>
                <w:spacing w:val="15"/>
                <w:highlight w:val="none"/>
                <w:u w:val="single" w:color="auto"/>
              </w:rPr>
              <w:t xml:space="preserve"> </w:t>
            </w:r>
            <w:r>
              <w:rPr>
                <w:rFonts w:hint="eastAsia"/>
                <w:color w:val="auto"/>
                <w:spacing w:val="15"/>
                <w:highlight w:val="none"/>
                <w:u w:val="single" w:color="auto"/>
                <w:lang w:eastAsia="zh-CN"/>
              </w:rPr>
              <w:t>甲</w:t>
            </w:r>
            <w:r>
              <w:rPr>
                <w:color w:val="auto"/>
                <w:spacing w:val="15"/>
                <w:highlight w:val="none"/>
                <w:u w:val="single" w:color="auto"/>
              </w:rPr>
              <w:t xml:space="preserve"> </w:t>
            </w:r>
            <w:r>
              <w:rPr>
                <w:color w:val="auto"/>
                <w:spacing w:val="-88"/>
                <w:highlight w:val="none"/>
              </w:rPr>
              <w:t xml:space="preserve"> </w:t>
            </w:r>
            <w:r>
              <w:rPr>
                <w:color w:val="auto"/>
                <w:spacing w:val="17"/>
                <w:highlight w:val="none"/>
              </w:rPr>
              <w:t>级公路造价人员证书；</w:t>
            </w:r>
            <w:r>
              <w:rPr>
                <w:color w:val="auto"/>
                <w:spacing w:val="-55"/>
                <w:highlight w:val="none"/>
              </w:rPr>
              <w:t xml:space="preserve"> </w:t>
            </w:r>
            <w:r>
              <w:rPr>
                <w:color w:val="auto"/>
                <w:spacing w:val="17"/>
                <w:highlight w:val="none"/>
              </w:rPr>
              <w:t>具有</w:t>
            </w:r>
            <w:r>
              <w:rPr>
                <w:color w:val="auto"/>
                <w:spacing w:val="17"/>
                <w:highlight w:val="none"/>
                <w:u w:val="single" w:color="auto"/>
              </w:rPr>
              <w:t>中级及以上</w:t>
            </w:r>
            <w:r>
              <w:rPr>
                <w:color w:val="auto"/>
                <w:spacing w:val="17"/>
                <w:highlight w:val="none"/>
              </w:rPr>
              <w:t>技术职</w:t>
            </w:r>
            <w:r>
              <w:rPr>
                <w:color w:val="auto"/>
                <w:spacing w:val="5"/>
                <w:highlight w:val="none"/>
              </w:rPr>
              <w:t>称，至少</w:t>
            </w:r>
            <w:r>
              <w:rPr>
                <w:color w:val="auto"/>
                <w:spacing w:val="-27"/>
                <w:highlight w:val="none"/>
              </w:rPr>
              <w:t xml:space="preserve"> </w:t>
            </w:r>
            <w:r>
              <w:rPr>
                <w:color w:val="auto"/>
                <w:spacing w:val="5"/>
                <w:highlight w:val="none"/>
              </w:rPr>
              <w:t>5</w:t>
            </w:r>
            <w:r>
              <w:rPr>
                <w:color w:val="auto"/>
                <w:spacing w:val="-37"/>
                <w:highlight w:val="none"/>
              </w:rPr>
              <w:t xml:space="preserve"> </w:t>
            </w:r>
            <w:r>
              <w:rPr>
                <w:color w:val="auto"/>
                <w:spacing w:val="5"/>
                <w:highlight w:val="none"/>
              </w:rPr>
              <w:t>年工作经验。</w:t>
            </w:r>
          </w:p>
        </w:tc>
      </w:tr>
      <w:tr w14:paraId="47553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635" w:type="dxa"/>
            <w:vMerge w:val="continue"/>
            <w:textDirection w:val="tbRlV"/>
            <w:vAlign w:val="center"/>
          </w:tcPr>
          <w:p w14:paraId="57B98F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589186D8">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测量工程</w:t>
            </w:r>
          </w:p>
        </w:tc>
        <w:tc>
          <w:tcPr>
            <w:tcW w:w="738" w:type="dxa"/>
            <w:vAlign w:val="center"/>
          </w:tcPr>
          <w:p w14:paraId="2BA0FF96">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2421A9E7">
            <w:pPr>
              <w:pStyle w:val="20"/>
              <w:spacing w:before="159" w:line="291"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或具有交通运输部核发的公路工程专业监理工程师资格证书；具有路桥或测量相关专业</w:t>
            </w:r>
            <w:r>
              <w:rPr>
                <w:color w:val="auto"/>
                <w:spacing w:val="13"/>
                <w:highlight w:val="none"/>
                <w:u w:val="single" w:color="auto"/>
              </w:rPr>
              <w:t>中级及</w:t>
            </w:r>
            <w:r>
              <w:rPr>
                <w:color w:val="auto"/>
                <w:spacing w:val="7"/>
                <w:highlight w:val="none"/>
              </w:rPr>
              <w:t>以上技术职称；从事监理工作</w:t>
            </w:r>
            <w:r>
              <w:rPr>
                <w:color w:val="auto"/>
                <w:spacing w:val="-29"/>
                <w:highlight w:val="none"/>
              </w:rPr>
              <w:t xml:space="preserve"> </w:t>
            </w:r>
            <w:r>
              <w:rPr>
                <w:color w:val="auto"/>
                <w:spacing w:val="7"/>
                <w:highlight w:val="none"/>
              </w:rPr>
              <w:t>5</w:t>
            </w:r>
            <w:r>
              <w:rPr>
                <w:color w:val="auto"/>
                <w:spacing w:val="-37"/>
                <w:highlight w:val="none"/>
              </w:rPr>
              <w:t xml:space="preserve"> </w:t>
            </w:r>
            <w:r>
              <w:rPr>
                <w:color w:val="auto"/>
                <w:spacing w:val="7"/>
                <w:highlight w:val="none"/>
              </w:rPr>
              <w:t>年以上。</w:t>
            </w:r>
          </w:p>
        </w:tc>
      </w:tr>
      <w:tr w14:paraId="1263C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635" w:type="dxa"/>
            <w:vMerge w:val="continue"/>
            <w:textDirection w:val="tbRlV"/>
            <w:vAlign w:val="center"/>
          </w:tcPr>
          <w:p w14:paraId="226069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889E828">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试验检测</w:t>
            </w:r>
          </w:p>
        </w:tc>
        <w:tc>
          <w:tcPr>
            <w:tcW w:w="738" w:type="dxa"/>
            <w:vAlign w:val="center"/>
          </w:tcPr>
          <w:p w14:paraId="2F4FC93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2EA7BDE1">
            <w:pPr>
              <w:pStyle w:val="20"/>
              <w:spacing w:before="171" w:line="293" w:lineRule="auto"/>
              <w:ind w:left="112" w:right="109" w:firstLine="4"/>
              <w:jc w:val="both"/>
              <w:rPr>
                <w:color w:val="auto"/>
                <w:highlight w:val="none"/>
              </w:rPr>
            </w:pPr>
            <w:r>
              <w:rPr>
                <w:color w:val="auto"/>
                <w:spacing w:val="13"/>
                <w:highlight w:val="none"/>
              </w:rPr>
              <w:t>具有行政主管部门核发的公路水运试验检测师资格证书或试验检测工程师</w:t>
            </w:r>
            <w:r>
              <w:rPr>
                <w:color w:val="auto"/>
                <w:spacing w:val="12"/>
                <w:highlight w:val="none"/>
              </w:rPr>
              <w:t>证书；具有路桥相关专业</w:t>
            </w:r>
            <w:r>
              <w:rPr>
                <w:color w:val="auto"/>
                <w:spacing w:val="12"/>
                <w:highlight w:val="none"/>
                <w:u w:val="single" w:color="auto"/>
              </w:rPr>
              <w:t>中级及以上</w:t>
            </w:r>
            <w:r>
              <w:rPr>
                <w:color w:val="auto"/>
                <w:spacing w:val="12"/>
                <w:highlight w:val="none"/>
              </w:rPr>
              <w:t>技术职称；从事试验检测工作</w:t>
            </w:r>
            <w:r>
              <w:rPr>
                <w:color w:val="auto"/>
                <w:spacing w:val="-19"/>
                <w:highlight w:val="none"/>
              </w:rPr>
              <w:t xml:space="preserve"> </w:t>
            </w:r>
            <w:r>
              <w:rPr>
                <w:color w:val="auto"/>
                <w:spacing w:val="12"/>
                <w:highlight w:val="none"/>
                <w:u w:val="single" w:color="auto"/>
              </w:rPr>
              <w:t>5</w:t>
            </w:r>
            <w:r>
              <w:rPr>
                <w:color w:val="auto"/>
                <w:spacing w:val="-34"/>
                <w:highlight w:val="none"/>
                <w:u w:val="single" w:color="auto"/>
              </w:rPr>
              <w:t xml:space="preserve"> </w:t>
            </w:r>
            <w:r>
              <w:rPr>
                <w:color w:val="auto"/>
                <w:spacing w:val="12"/>
                <w:highlight w:val="none"/>
              </w:rPr>
              <w:t>年以</w:t>
            </w:r>
            <w:r>
              <w:rPr>
                <w:color w:val="auto"/>
                <w:highlight w:val="none"/>
              </w:rPr>
              <w:t>上。</w:t>
            </w:r>
          </w:p>
        </w:tc>
      </w:tr>
      <w:tr w14:paraId="2A89B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635" w:type="dxa"/>
            <w:vMerge w:val="continue"/>
            <w:vAlign w:val="center"/>
          </w:tcPr>
          <w:p w14:paraId="595CB6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71C29F9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安全环保</w:t>
            </w:r>
          </w:p>
        </w:tc>
        <w:tc>
          <w:tcPr>
            <w:tcW w:w="738" w:type="dxa"/>
            <w:vAlign w:val="center"/>
          </w:tcPr>
          <w:p w14:paraId="316E1B17">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02E930FC">
            <w:pPr>
              <w:pStyle w:val="20"/>
              <w:spacing w:before="120" w:line="309" w:lineRule="auto"/>
              <w:ind w:left="111" w:right="107"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或具有交通运输部核发的公路工程专业监理工程师资格证书；相关专业</w:t>
            </w:r>
            <w:r>
              <w:rPr>
                <w:color w:val="auto"/>
                <w:spacing w:val="13"/>
                <w:highlight w:val="none"/>
                <w:u w:val="single" w:color="auto"/>
              </w:rPr>
              <w:t>中级及以上</w:t>
            </w:r>
            <w:r>
              <w:rPr>
                <w:color w:val="auto"/>
                <w:spacing w:val="13"/>
                <w:highlight w:val="none"/>
              </w:rPr>
              <w:t>技术职称或应急管理部（原国家安全生产监督管理总局）核发的中级及以上注册安全</w:t>
            </w:r>
            <w:r>
              <w:rPr>
                <w:color w:val="auto"/>
                <w:spacing w:val="7"/>
                <w:highlight w:val="none"/>
              </w:rPr>
              <w:t>工程师证书；从事监理工作</w:t>
            </w:r>
            <w:r>
              <w:rPr>
                <w:color w:val="auto"/>
                <w:spacing w:val="-31"/>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12149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635" w:type="dxa"/>
            <w:vMerge w:val="continue"/>
            <w:vAlign w:val="center"/>
          </w:tcPr>
          <w:p w14:paraId="224468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243546F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p w14:paraId="111261BA">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交通安全</w:t>
            </w:r>
            <w:r>
              <w:rPr>
                <w:color w:val="auto"/>
                <w:spacing w:val="3"/>
                <w:highlight w:val="none"/>
              </w:rPr>
              <w:t>设施</w:t>
            </w:r>
          </w:p>
        </w:tc>
        <w:tc>
          <w:tcPr>
            <w:tcW w:w="738" w:type="dxa"/>
            <w:vAlign w:val="center"/>
          </w:tcPr>
          <w:p w14:paraId="56B5F99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7FC34D84">
            <w:pPr>
              <w:pStyle w:val="20"/>
              <w:spacing w:before="120" w:line="332" w:lineRule="auto"/>
              <w:ind w:left="111" w:right="109" w:firstLine="5"/>
              <w:rPr>
                <w:color w:val="auto"/>
                <w:highlight w:val="none"/>
              </w:rPr>
            </w:pPr>
            <w:r>
              <w:rPr>
                <w:color w:val="auto"/>
                <w:spacing w:val="20"/>
                <w:highlight w:val="none"/>
              </w:rPr>
              <w:t>具有交通运输部和人力资源和社会保障部用印的交通运输工程（公路工</w:t>
            </w:r>
            <w:r>
              <w:rPr>
                <w:color w:val="auto"/>
                <w:spacing w:val="13"/>
                <w:highlight w:val="none"/>
              </w:rPr>
              <w:t>程）专业监理工程师职业资格证书（或电子证书）或具有交通运输部核发</w:t>
            </w:r>
          </w:p>
          <w:p w14:paraId="2D1D566B">
            <w:pPr>
              <w:pStyle w:val="20"/>
              <w:spacing w:line="274" w:lineRule="auto"/>
              <w:ind w:left="112" w:right="109" w:firstLine="17"/>
              <w:rPr>
                <w:color w:val="auto"/>
                <w:highlight w:val="none"/>
              </w:rPr>
            </w:pPr>
            <w:r>
              <w:rPr>
                <w:color w:val="auto"/>
                <w:spacing w:val="13"/>
                <w:highlight w:val="none"/>
              </w:rPr>
              <w:t>的专业监理工程师资格证书；具有路桥相关专业</w:t>
            </w:r>
            <w:r>
              <w:rPr>
                <w:color w:val="auto"/>
                <w:spacing w:val="13"/>
                <w:highlight w:val="none"/>
                <w:u w:val="single" w:color="auto"/>
              </w:rPr>
              <w:t>中级及以上</w:t>
            </w:r>
            <w:r>
              <w:rPr>
                <w:color w:val="auto"/>
                <w:spacing w:val="13"/>
                <w:highlight w:val="none"/>
              </w:rPr>
              <w:t>技术职</w:t>
            </w:r>
            <w:r>
              <w:rPr>
                <w:color w:val="auto"/>
                <w:spacing w:val="12"/>
                <w:highlight w:val="none"/>
              </w:rPr>
              <w:t>称；从</w:t>
            </w:r>
            <w:r>
              <w:rPr>
                <w:color w:val="auto"/>
                <w:spacing w:val="7"/>
                <w:highlight w:val="none"/>
              </w:rPr>
              <w:t>事交通安全设施监理工作</w:t>
            </w:r>
            <w:r>
              <w:rPr>
                <w:color w:val="auto"/>
                <w:spacing w:val="-36"/>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64468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35" w:type="dxa"/>
            <w:vMerge w:val="continue"/>
            <w:vAlign w:val="center"/>
          </w:tcPr>
          <w:p w14:paraId="1340EC2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358C4F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通信系统</w:t>
            </w:r>
          </w:p>
        </w:tc>
        <w:tc>
          <w:tcPr>
            <w:tcW w:w="738" w:type="dxa"/>
            <w:vMerge w:val="restart"/>
            <w:tcBorders>
              <w:bottom w:val="nil"/>
            </w:tcBorders>
            <w:vAlign w:val="center"/>
          </w:tcPr>
          <w:p w14:paraId="088D7D16">
            <w:pPr>
              <w:jc w:val="center"/>
              <w:rPr>
                <w:rFonts w:ascii="Arial"/>
                <w:color w:val="auto"/>
                <w:sz w:val="21"/>
                <w:highlight w:val="none"/>
              </w:rPr>
            </w:pPr>
            <w:r>
              <w:rPr>
                <w:rFonts w:hint="eastAsia" w:eastAsia="宋体"/>
                <w:color w:val="auto"/>
                <w:sz w:val="21"/>
                <w:highlight w:val="none"/>
                <w:lang w:val="en-US" w:eastAsia="zh-CN"/>
              </w:rPr>
              <w:t>1</w:t>
            </w:r>
          </w:p>
        </w:tc>
        <w:tc>
          <w:tcPr>
            <w:tcW w:w="7059" w:type="dxa"/>
            <w:vMerge w:val="restart"/>
            <w:tcBorders>
              <w:bottom w:val="nil"/>
            </w:tcBorders>
            <w:vAlign w:val="top"/>
          </w:tcPr>
          <w:p w14:paraId="703F5E45">
            <w:pPr>
              <w:spacing w:line="250" w:lineRule="auto"/>
              <w:rPr>
                <w:rFonts w:ascii="Arial"/>
                <w:color w:val="auto"/>
                <w:sz w:val="21"/>
                <w:highlight w:val="none"/>
              </w:rPr>
            </w:pPr>
          </w:p>
          <w:p w14:paraId="17759DC8">
            <w:pPr>
              <w:pStyle w:val="20"/>
              <w:spacing w:before="65" w:line="333" w:lineRule="auto"/>
              <w:ind w:left="111" w:right="109" w:firstLine="5"/>
              <w:jc w:val="both"/>
              <w:rPr>
                <w:color w:val="auto"/>
                <w:highlight w:val="none"/>
              </w:rPr>
            </w:pPr>
            <w:r>
              <w:rPr>
                <w:color w:val="auto"/>
                <w:spacing w:val="20"/>
                <w:highlight w:val="none"/>
              </w:rPr>
              <w:t>具有交通运输部与人力资源和社会保障部用印的交通运输工程（公路工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或具有交通运输部核发的公路工程机电专业监理工程师资格证书或工业；具有</w:t>
            </w:r>
            <w:r>
              <w:rPr>
                <w:color w:val="auto"/>
                <w:spacing w:val="13"/>
                <w:highlight w:val="none"/>
                <w:u w:val="single" w:color="auto"/>
              </w:rPr>
              <w:t>中级及以上</w:t>
            </w:r>
            <w:r>
              <w:rPr>
                <w:color w:val="auto"/>
                <w:spacing w:val="13"/>
                <w:highlight w:val="none"/>
              </w:rPr>
              <w:t>技术</w:t>
            </w:r>
            <w:r>
              <w:rPr>
                <w:color w:val="auto"/>
                <w:spacing w:val="7"/>
                <w:highlight w:val="none"/>
              </w:rPr>
              <w:t>职称；从事各自专业监理工作</w:t>
            </w:r>
            <w:r>
              <w:rPr>
                <w:color w:val="auto"/>
                <w:spacing w:val="-29"/>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0641A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35" w:type="dxa"/>
            <w:vMerge w:val="continue"/>
            <w:vAlign w:val="center"/>
          </w:tcPr>
          <w:p w14:paraId="286C59B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52147CA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监控系统</w:t>
            </w:r>
          </w:p>
        </w:tc>
        <w:tc>
          <w:tcPr>
            <w:tcW w:w="738" w:type="dxa"/>
            <w:vMerge w:val="continue"/>
            <w:tcBorders>
              <w:top w:val="nil"/>
              <w:bottom w:val="nil"/>
            </w:tcBorders>
            <w:vAlign w:val="top"/>
          </w:tcPr>
          <w:p w14:paraId="25BA3EB4">
            <w:pPr>
              <w:rPr>
                <w:rFonts w:ascii="Arial"/>
                <w:color w:val="auto"/>
                <w:sz w:val="21"/>
                <w:highlight w:val="none"/>
              </w:rPr>
            </w:pPr>
          </w:p>
        </w:tc>
        <w:tc>
          <w:tcPr>
            <w:tcW w:w="7059" w:type="dxa"/>
            <w:vMerge w:val="continue"/>
            <w:tcBorders>
              <w:top w:val="nil"/>
              <w:bottom w:val="nil"/>
            </w:tcBorders>
            <w:vAlign w:val="top"/>
          </w:tcPr>
          <w:p w14:paraId="3DC06AE0">
            <w:pPr>
              <w:rPr>
                <w:rFonts w:ascii="Arial"/>
                <w:color w:val="auto"/>
                <w:sz w:val="21"/>
                <w:highlight w:val="none"/>
              </w:rPr>
            </w:pPr>
          </w:p>
        </w:tc>
      </w:tr>
      <w:tr w14:paraId="3D41D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35" w:type="dxa"/>
            <w:vMerge w:val="continue"/>
            <w:vAlign w:val="center"/>
          </w:tcPr>
          <w:p w14:paraId="0F7A1B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6C88B7E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5"/>
                <w:highlight w:val="none"/>
              </w:rPr>
              <w:t>收费系统</w:t>
            </w:r>
          </w:p>
        </w:tc>
        <w:tc>
          <w:tcPr>
            <w:tcW w:w="738" w:type="dxa"/>
            <w:vMerge w:val="continue"/>
            <w:tcBorders>
              <w:top w:val="nil"/>
              <w:bottom w:val="nil"/>
            </w:tcBorders>
            <w:vAlign w:val="top"/>
          </w:tcPr>
          <w:p w14:paraId="36DDF613">
            <w:pPr>
              <w:rPr>
                <w:rFonts w:ascii="Arial"/>
                <w:color w:val="auto"/>
                <w:sz w:val="21"/>
                <w:highlight w:val="none"/>
              </w:rPr>
            </w:pPr>
          </w:p>
        </w:tc>
        <w:tc>
          <w:tcPr>
            <w:tcW w:w="7059" w:type="dxa"/>
            <w:vMerge w:val="continue"/>
            <w:tcBorders>
              <w:top w:val="nil"/>
              <w:bottom w:val="nil"/>
            </w:tcBorders>
            <w:vAlign w:val="top"/>
          </w:tcPr>
          <w:p w14:paraId="43D26D8B">
            <w:pPr>
              <w:rPr>
                <w:rFonts w:ascii="Arial"/>
                <w:color w:val="auto"/>
                <w:sz w:val="21"/>
                <w:highlight w:val="none"/>
              </w:rPr>
            </w:pPr>
          </w:p>
        </w:tc>
      </w:tr>
      <w:tr w14:paraId="6497E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35" w:type="dxa"/>
            <w:vMerge w:val="continue"/>
            <w:vAlign w:val="center"/>
          </w:tcPr>
          <w:p w14:paraId="44F05F2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B00C76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供配电系</w:t>
            </w:r>
            <w:r>
              <w:rPr>
                <w:color w:val="auto"/>
                <w:highlight w:val="none"/>
              </w:rPr>
              <w:t>统</w:t>
            </w:r>
          </w:p>
        </w:tc>
        <w:tc>
          <w:tcPr>
            <w:tcW w:w="738" w:type="dxa"/>
            <w:vMerge w:val="continue"/>
            <w:tcBorders>
              <w:top w:val="nil"/>
            </w:tcBorders>
            <w:vAlign w:val="top"/>
          </w:tcPr>
          <w:p w14:paraId="206735C1">
            <w:pPr>
              <w:rPr>
                <w:rFonts w:ascii="Arial"/>
                <w:color w:val="auto"/>
                <w:sz w:val="21"/>
                <w:highlight w:val="none"/>
              </w:rPr>
            </w:pPr>
          </w:p>
        </w:tc>
        <w:tc>
          <w:tcPr>
            <w:tcW w:w="7059" w:type="dxa"/>
            <w:vMerge w:val="continue"/>
            <w:tcBorders>
              <w:top w:val="nil"/>
            </w:tcBorders>
            <w:vAlign w:val="top"/>
          </w:tcPr>
          <w:p w14:paraId="4E2437AE">
            <w:pPr>
              <w:rPr>
                <w:rFonts w:ascii="Arial"/>
                <w:color w:val="auto"/>
                <w:sz w:val="21"/>
                <w:highlight w:val="none"/>
              </w:rPr>
            </w:pPr>
          </w:p>
        </w:tc>
      </w:tr>
      <w:tr w14:paraId="077AA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635" w:type="dxa"/>
            <w:vMerge w:val="continue"/>
            <w:vAlign w:val="center"/>
          </w:tcPr>
          <w:p w14:paraId="12CF17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1A1AF29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房建工程</w:t>
            </w:r>
          </w:p>
        </w:tc>
        <w:tc>
          <w:tcPr>
            <w:tcW w:w="738" w:type="dxa"/>
            <w:vAlign w:val="center"/>
          </w:tcPr>
          <w:p w14:paraId="490D5434">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6FA40FE4">
            <w:pPr>
              <w:pStyle w:val="20"/>
              <w:spacing w:before="121" w:line="293" w:lineRule="auto"/>
              <w:ind w:left="116" w:right="109"/>
              <w:jc w:val="both"/>
              <w:rPr>
                <w:color w:val="auto"/>
                <w:highlight w:val="none"/>
              </w:rPr>
            </w:pPr>
            <w:r>
              <w:rPr>
                <w:color w:val="auto"/>
                <w:spacing w:val="13"/>
                <w:highlight w:val="none"/>
              </w:rPr>
              <w:t>具有住房和城乡建设部核发的监理工程师证书（注册专业为房屋建筑）或具有住房和城乡建设部门核发的监理培训证书；具有建筑相关专业</w:t>
            </w:r>
            <w:r>
              <w:rPr>
                <w:color w:val="auto"/>
                <w:spacing w:val="13"/>
                <w:highlight w:val="none"/>
                <w:u w:val="single" w:color="auto"/>
              </w:rPr>
              <w:t>中级及</w:t>
            </w:r>
            <w:r>
              <w:rPr>
                <w:color w:val="auto"/>
                <w:spacing w:val="7"/>
                <w:highlight w:val="none"/>
                <w:u w:val="single" w:color="auto"/>
              </w:rPr>
              <w:t>以上</w:t>
            </w:r>
            <w:r>
              <w:rPr>
                <w:color w:val="auto"/>
                <w:spacing w:val="7"/>
                <w:highlight w:val="none"/>
              </w:rPr>
              <w:t>技术职称；从事房建工程监理工作</w:t>
            </w:r>
            <w:r>
              <w:rPr>
                <w:color w:val="auto"/>
                <w:spacing w:val="-22"/>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75674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635" w:type="dxa"/>
            <w:vMerge w:val="continue"/>
            <w:vAlign w:val="center"/>
          </w:tcPr>
          <w:p w14:paraId="5C5AA1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highlight w:val="none"/>
              </w:rPr>
            </w:pPr>
          </w:p>
        </w:tc>
        <w:tc>
          <w:tcPr>
            <w:tcW w:w="1146" w:type="dxa"/>
            <w:vAlign w:val="center"/>
          </w:tcPr>
          <w:p w14:paraId="049A62D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7"/>
                <w:highlight w:val="none"/>
              </w:rPr>
              <w:t>地质工程</w:t>
            </w:r>
          </w:p>
        </w:tc>
        <w:tc>
          <w:tcPr>
            <w:tcW w:w="738" w:type="dxa"/>
            <w:vAlign w:val="center"/>
          </w:tcPr>
          <w:p w14:paraId="4D1D9808">
            <w:pPr>
              <w:jc w:val="center"/>
              <w:rPr>
                <w:rFonts w:ascii="Arial"/>
                <w:color w:val="auto"/>
                <w:sz w:val="21"/>
                <w:highlight w:val="none"/>
              </w:rPr>
            </w:pPr>
            <w:r>
              <w:rPr>
                <w:rFonts w:hint="eastAsia" w:eastAsia="宋体"/>
                <w:color w:val="auto"/>
                <w:sz w:val="21"/>
                <w:highlight w:val="none"/>
                <w:lang w:val="en-US" w:eastAsia="zh-CN"/>
              </w:rPr>
              <w:t>0</w:t>
            </w:r>
          </w:p>
        </w:tc>
        <w:tc>
          <w:tcPr>
            <w:tcW w:w="7059" w:type="dxa"/>
            <w:vAlign w:val="top"/>
          </w:tcPr>
          <w:p w14:paraId="532C8E36">
            <w:pPr>
              <w:pStyle w:val="20"/>
              <w:spacing w:before="123" w:line="332" w:lineRule="auto"/>
              <w:ind w:left="111" w:right="109" w:firstLine="5"/>
              <w:jc w:val="both"/>
              <w:rPr>
                <w:color w:val="auto"/>
                <w:highlight w:val="none"/>
              </w:rPr>
            </w:pPr>
            <w:r>
              <w:rPr>
                <w:color w:val="auto"/>
                <w:spacing w:val="20"/>
                <w:highlight w:val="none"/>
              </w:rPr>
              <w:t>具有交通运输部和人力资源和社会保障部用印的交通运输工程（公路工</w:t>
            </w:r>
            <w:r>
              <w:rPr>
                <w:color w:val="auto"/>
                <w:spacing w:val="13"/>
                <w:highlight w:val="none"/>
              </w:rPr>
              <w:t>程）专业监理工程师职业资格证书（或电子证书</w:t>
            </w:r>
            <w:r>
              <w:rPr>
                <w:color w:val="auto"/>
                <w:spacing w:val="-1"/>
                <w:highlight w:val="none"/>
              </w:rPr>
              <w:t>）</w:t>
            </w:r>
            <w:r>
              <w:rPr>
                <w:color w:val="auto"/>
                <w:spacing w:val="-57"/>
                <w:highlight w:val="none"/>
              </w:rPr>
              <w:t xml:space="preserve"> </w:t>
            </w:r>
            <w:r>
              <w:rPr>
                <w:color w:val="auto"/>
                <w:spacing w:val="-1"/>
                <w:highlight w:val="none"/>
              </w:rPr>
              <w:t>，</w:t>
            </w:r>
            <w:r>
              <w:rPr>
                <w:color w:val="auto"/>
                <w:spacing w:val="13"/>
                <w:highlight w:val="none"/>
              </w:rPr>
              <w:t>或具有交通运输部核发的专业监理工程师资格证书；具有路桥或地质或岩土相关专业</w:t>
            </w:r>
            <w:r>
              <w:rPr>
                <w:color w:val="auto"/>
                <w:spacing w:val="13"/>
                <w:highlight w:val="none"/>
                <w:u w:val="single" w:color="auto"/>
              </w:rPr>
              <w:t>中级及以</w:t>
            </w:r>
          </w:p>
          <w:p w14:paraId="7155C5DE">
            <w:pPr>
              <w:pStyle w:val="20"/>
              <w:spacing w:line="213" w:lineRule="auto"/>
              <w:ind w:left="114"/>
              <w:rPr>
                <w:color w:val="auto"/>
                <w:highlight w:val="none"/>
              </w:rPr>
            </w:pPr>
            <w:r>
              <w:rPr>
                <w:color w:val="auto"/>
                <w:spacing w:val="7"/>
                <w:highlight w:val="none"/>
                <w:u w:val="single" w:color="auto"/>
              </w:rPr>
              <w:t>上</w:t>
            </w:r>
            <w:r>
              <w:rPr>
                <w:color w:val="auto"/>
                <w:spacing w:val="7"/>
                <w:highlight w:val="none"/>
              </w:rPr>
              <w:t>技术职称；从事监理工作</w:t>
            </w:r>
            <w:r>
              <w:rPr>
                <w:color w:val="auto"/>
                <w:spacing w:val="-33"/>
                <w:highlight w:val="none"/>
              </w:rPr>
              <w:t xml:space="preserve"> </w:t>
            </w:r>
            <w:r>
              <w:rPr>
                <w:color w:val="auto"/>
                <w:spacing w:val="7"/>
                <w:highlight w:val="none"/>
                <w:u w:val="single" w:color="auto"/>
              </w:rPr>
              <w:t>5</w:t>
            </w:r>
            <w:r>
              <w:rPr>
                <w:color w:val="auto"/>
                <w:spacing w:val="-37"/>
                <w:highlight w:val="none"/>
                <w:u w:val="single" w:color="auto"/>
              </w:rPr>
              <w:t xml:space="preserve"> </w:t>
            </w:r>
            <w:r>
              <w:rPr>
                <w:color w:val="auto"/>
                <w:spacing w:val="7"/>
                <w:highlight w:val="none"/>
              </w:rPr>
              <w:t>年以上。</w:t>
            </w:r>
          </w:p>
        </w:tc>
      </w:tr>
      <w:tr w14:paraId="162D3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635" w:type="dxa"/>
            <w:vAlign w:val="center"/>
          </w:tcPr>
          <w:p w14:paraId="0E0F09D1">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专</w:t>
            </w:r>
          </w:p>
          <w:p w14:paraId="289217CC">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1"/>
                <w:highlight w:val="none"/>
              </w:rPr>
              <w:t>业</w:t>
            </w:r>
          </w:p>
          <w:p w14:paraId="11CB91C5">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监</w:t>
            </w:r>
          </w:p>
          <w:p w14:paraId="1767B066">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highlight w:val="none"/>
              </w:rPr>
              <w:t>理</w:t>
            </w:r>
          </w:p>
          <w:p w14:paraId="2B57C52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position w:val="1"/>
                <w:highlight w:val="none"/>
              </w:rPr>
              <w:t>工</w:t>
            </w:r>
          </w:p>
          <w:p w14:paraId="4AE209AA">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0"/>
                <w:szCs w:val="10"/>
                <w:highlight w:val="none"/>
              </w:rPr>
            </w:pPr>
            <w:r>
              <w:rPr>
                <w:color w:val="auto"/>
                <w:spacing w:val="1"/>
                <w:highlight w:val="none"/>
              </w:rPr>
              <w:t>程</w:t>
            </w:r>
            <w:r>
              <w:rPr>
                <w:color w:val="auto"/>
                <w:spacing w:val="1"/>
                <w:position w:val="-2"/>
                <w:highlight w:val="none"/>
              </w:rPr>
              <w:t>师</w:t>
            </w:r>
          </w:p>
        </w:tc>
        <w:tc>
          <w:tcPr>
            <w:tcW w:w="1146" w:type="dxa"/>
            <w:vAlign w:val="center"/>
          </w:tcPr>
          <w:p w14:paraId="3260FB27">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6"/>
                <w:highlight w:val="none"/>
              </w:rPr>
              <w:t>专业工</w:t>
            </w:r>
            <w:r>
              <w:rPr>
                <w:color w:val="auto"/>
                <w:spacing w:val="5"/>
                <w:highlight w:val="none"/>
              </w:rPr>
              <w:t>程师</w:t>
            </w:r>
          </w:p>
        </w:tc>
        <w:tc>
          <w:tcPr>
            <w:tcW w:w="738" w:type="dxa"/>
            <w:vAlign w:val="center"/>
          </w:tcPr>
          <w:p w14:paraId="10EFFBDD">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3AEAC8FA">
            <w:pPr>
              <w:spacing w:line="317" w:lineRule="auto"/>
              <w:rPr>
                <w:rFonts w:ascii="Arial"/>
                <w:color w:val="auto"/>
                <w:sz w:val="21"/>
                <w:highlight w:val="none"/>
              </w:rPr>
            </w:pPr>
          </w:p>
          <w:p w14:paraId="03E561C3">
            <w:pPr>
              <w:spacing w:line="317" w:lineRule="auto"/>
              <w:rPr>
                <w:rFonts w:ascii="Arial"/>
                <w:color w:val="auto"/>
                <w:sz w:val="21"/>
                <w:highlight w:val="none"/>
              </w:rPr>
            </w:pPr>
          </w:p>
          <w:p w14:paraId="4DF46387">
            <w:pPr>
              <w:spacing w:line="317" w:lineRule="auto"/>
              <w:rPr>
                <w:rFonts w:ascii="Arial"/>
                <w:color w:val="auto"/>
                <w:sz w:val="21"/>
                <w:highlight w:val="none"/>
              </w:rPr>
            </w:pPr>
          </w:p>
          <w:p w14:paraId="0F8F5BD0">
            <w:pPr>
              <w:pStyle w:val="20"/>
              <w:spacing w:before="65" w:line="334" w:lineRule="auto"/>
              <w:ind w:left="111" w:right="109" w:firstLine="5"/>
              <w:rPr>
                <w:color w:val="auto"/>
                <w:highlight w:val="none"/>
              </w:rPr>
            </w:pPr>
            <w:r>
              <w:rPr>
                <w:color w:val="auto"/>
                <w:spacing w:val="14"/>
                <w:highlight w:val="none"/>
              </w:rPr>
              <w:t>具有工程类注册执业资格或具有</w:t>
            </w:r>
            <w:r>
              <w:rPr>
                <w:color w:val="auto"/>
                <w:spacing w:val="14"/>
                <w:highlight w:val="none"/>
                <w:u w:val="single" w:color="auto"/>
              </w:rPr>
              <w:t>中级及以上</w:t>
            </w:r>
            <w:r>
              <w:rPr>
                <w:color w:val="auto"/>
                <w:spacing w:val="14"/>
                <w:highlight w:val="none"/>
              </w:rPr>
              <w:t>专业技术职称；</w:t>
            </w:r>
            <w:r>
              <w:rPr>
                <w:color w:val="auto"/>
                <w:spacing w:val="14"/>
                <w:highlight w:val="none"/>
                <w:u w:val="single" w:color="auto"/>
              </w:rPr>
              <w:t>3</w:t>
            </w:r>
            <w:r>
              <w:rPr>
                <w:color w:val="auto"/>
                <w:spacing w:val="-22"/>
                <w:highlight w:val="none"/>
                <w:u w:val="single" w:color="auto"/>
              </w:rPr>
              <w:t xml:space="preserve"> </w:t>
            </w:r>
            <w:r>
              <w:rPr>
                <w:color w:val="auto"/>
                <w:spacing w:val="14"/>
                <w:highlight w:val="none"/>
              </w:rPr>
              <w:t>年及以上工</w:t>
            </w:r>
            <w:r>
              <w:rPr>
                <w:color w:val="auto"/>
                <w:spacing w:val="9"/>
                <w:highlight w:val="none"/>
              </w:rPr>
              <w:t>程实践经验；经过监理业务培训并经建设单位考核合格的监理人员。</w:t>
            </w:r>
          </w:p>
        </w:tc>
      </w:tr>
      <w:tr w14:paraId="01E70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781" w:type="dxa"/>
            <w:gridSpan w:val="2"/>
            <w:vAlign w:val="center"/>
          </w:tcPr>
          <w:p w14:paraId="08D11FAD">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8"/>
                <w:highlight w:val="none"/>
              </w:rPr>
              <w:t>档案及竣工资料</w:t>
            </w:r>
            <w:r>
              <w:rPr>
                <w:color w:val="auto"/>
                <w:spacing w:val="4"/>
                <w:highlight w:val="none"/>
              </w:rPr>
              <w:t>负责人</w:t>
            </w:r>
          </w:p>
        </w:tc>
        <w:tc>
          <w:tcPr>
            <w:tcW w:w="738" w:type="dxa"/>
            <w:vAlign w:val="center"/>
          </w:tcPr>
          <w:p w14:paraId="0E7E5D16">
            <w:pPr>
              <w:jc w:val="center"/>
              <w:rPr>
                <w:rFonts w:ascii="Arial"/>
                <w:color w:val="auto"/>
                <w:sz w:val="21"/>
                <w:highlight w:val="none"/>
              </w:rPr>
            </w:pPr>
            <w:r>
              <w:rPr>
                <w:rFonts w:hint="eastAsia" w:eastAsia="宋体"/>
                <w:color w:val="auto"/>
                <w:sz w:val="21"/>
                <w:highlight w:val="none"/>
                <w:lang w:val="en-US" w:eastAsia="zh-CN"/>
              </w:rPr>
              <w:t>1</w:t>
            </w:r>
          </w:p>
        </w:tc>
        <w:tc>
          <w:tcPr>
            <w:tcW w:w="7059" w:type="dxa"/>
            <w:vAlign w:val="top"/>
          </w:tcPr>
          <w:p w14:paraId="66876EA4">
            <w:pPr>
              <w:pStyle w:val="20"/>
              <w:spacing w:before="123" w:line="273" w:lineRule="auto"/>
              <w:ind w:left="111" w:right="109" w:firstLine="5"/>
              <w:rPr>
                <w:color w:val="auto"/>
                <w:highlight w:val="none"/>
              </w:rPr>
            </w:pPr>
            <w:r>
              <w:rPr>
                <w:color w:val="auto"/>
                <w:spacing w:val="13"/>
                <w:highlight w:val="none"/>
              </w:rPr>
              <w:t>具有路桥或土建相关专业</w:t>
            </w:r>
            <w:r>
              <w:rPr>
                <w:color w:val="auto"/>
                <w:spacing w:val="13"/>
                <w:highlight w:val="none"/>
                <w:u w:val="single" w:color="auto"/>
              </w:rPr>
              <w:t>初级及以上</w:t>
            </w:r>
            <w:r>
              <w:rPr>
                <w:color w:val="auto"/>
                <w:spacing w:val="13"/>
                <w:highlight w:val="none"/>
              </w:rPr>
              <w:t>技术职称，至少具有一个公路工</w:t>
            </w:r>
            <w:r>
              <w:rPr>
                <w:color w:val="auto"/>
                <w:spacing w:val="9"/>
                <w:highlight w:val="none"/>
              </w:rPr>
              <w:t>程项目竣工档案全过程编制和管理工作经验,熟悉计算机办公软件操作。</w:t>
            </w:r>
          </w:p>
        </w:tc>
      </w:tr>
      <w:tr w14:paraId="2746E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781" w:type="dxa"/>
            <w:gridSpan w:val="2"/>
            <w:vAlign w:val="center"/>
          </w:tcPr>
          <w:p w14:paraId="38E91C12">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highlight w:val="none"/>
              </w:rPr>
            </w:pPr>
            <w:r>
              <w:rPr>
                <w:color w:val="auto"/>
                <w:spacing w:val="-1"/>
                <w:highlight w:val="none"/>
              </w:rPr>
              <w:t>监理员</w:t>
            </w:r>
          </w:p>
        </w:tc>
        <w:tc>
          <w:tcPr>
            <w:tcW w:w="738" w:type="dxa"/>
            <w:vAlign w:val="center"/>
          </w:tcPr>
          <w:p w14:paraId="2FA300C0">
            <w:pPr>
              <w:jc w:val="center"/>
              <w:rPr>
                <w:rFonts w:ascii="Arial"/>
                <w:color w:val="auto"/>
                <w:sz w:val="21"/>
                <w:highlight w:val="none"/>
              </w:rPr>
            </w:pPr>
            <w:r>
              <w:rPr>
                <w:rFonts w:hint="eastAsia" w:eastAsia="宋体"/>
                <w:color w:val="auto"/>
                <w:sz w:val="21"/>
                <w:highlight w:val="none"/>
                <w:lang w:val="en-US" w:eastAsia="zh-CN"/>
              </w:rPr>
              <w:t>3</w:t>
            </w:r>
          </w:p>
        </w:tc>
        <w:tc>
          <w:tcPr>
            <w:tcW w:w="7059" w:type="dxa"/>
            <w:vAlign w:val="top"/>
          </w:tcPr>
          <w:p w14:paraId="25231EB0">
            <w:pPr>
              <w:pStyle w:val="20"/>
              <w:spacing w:before="123" w:line="275" w:lineRule="auto"/>
              <w:ind w:left="113" w:right="109" w:firstLine="3"/>
              <w:rPr>
                <w:color w:val="auto"/>
                <w:highlight w:val="none"/>
              </w:rPr>
            </w:pPr>
            <w:r>
              <w:rPr>
                <w:color w:val="auto"/>
                <w:spacing w:val="13"/>
                <w:highlight w:val="none"/>
              </w:rPr>
              <w:t>具有监理人员培训证书，路桥相关专业</w:t>
            </w:r>
            <w:r>
              <w:rPr>
                <w:color w:val="auto"/>
                <w:spacing w:val="13"/>
                <w:highlight w:val="none"/>
                <w:u w:val="single" w:color="auto"/>
              </w:rPr>
              <w:t>初级及以上</w:t>
            </w:r>
            <w:r>
              <w:rPr>
                <w:color w:val="auto"/>
                <w:spacing w:val="13"/>
                <w:highlight w:val="none"/>
              </w:rPr>
              <w:t>技术职称，从事监理工</w:t>
            </w:r>
            <w:r>
              <w:rPr>
                <w:color w:val="auto"/>
                <w:spacing w:val="2"/>
                <w:highlight w:val="none"/>
              </w:rPr>
              <w:t>作</w:t>
            </w:r>
            <w:r>
              <w:rPr>
                <w:color w:val="auto"/>
                <w:spacing w:val="16"/>
                <w:highlight w:val="none"/>
              </w:rPr>
              <w:t xml:space="preserve"> </w:t>
            </w:r>
            <w:r>
              <w:rPr>
                <w:color w:val="auto"/>
                <w:spacing w:val="2"/>
                <w:highlight w:val="none"/>
                <w:u w:val="single" w:color="auto"/>
              </w:rPr>
              <w:t>2</w:t>
            </w:r>
            <w:r>
              <w:rPr>
                <w:color w:val="auto"/>
                <w:spacing w:val="-37"/>
                <w:highlight w:val="none"/>
                <w:u w:val="single" w:color="auto"/>
              </w:rPr>
              <w:t xml:space="preserve"> </w:t>
            </w:r>
            <w:r>
              <w:rPr>
                <w:color w:val="auto"/>
                <w:spacing w:val="2"/>
                <w:highlight w:val="none"/>
              </w:rPr>
              <w:t>年以上。</w:t>
            </w:r>
          </w:p>
        </w:tc>
      </w:tr>
    </w:tbl>
    <w:p w14:paraId="6814F965">
      <w:pPr>
        <w:rPr>
          <w:rFonts w:ascii="Arial"/>
          <w:color w:val="auto"/>
          <w:sz w:val="21"/>
          <w:highlight w:val="none"/>
        </w:rPr>
      </w:pPr>
    </w:p>
    <w:p w14:paraId="7592AA52">
      <w:pPr>
        <w:bidi w:val="0"/>
        <w:rPr>
          <w:color w:val="auto"/>
          <w:highlight w:val="none"/>
        </w:rPr>
      </w:pPr>
    </w:p>
    <w:p w14:paraId="60B16ECC">
      <w:pPr>
        <w:bidi w:val="0"/>
        <w:rPr>
          <w:color w:val="auto"/>
          <w:highlight w:val="none"/>
        </w:rPr>
      </w:pPr>
    </w:p>
    <w:p w14:paraId="1D918A6A">
      <w:pPr>
        <w:bidi w:val="0"/>
        <w:rPr>
          <w:color w:val="auto"/>
          <w:highlight w:val="none"/>
        </w:rPr>
      </w:pPr>
    </w:p>
    <w:p w14:paraId="6F8AF8AF">
      <w:pPr>
        <w:bidi w:val="0"/>
        <w:rPr>
          <w:color w:val="auto"/>
          <w:highlight w:val="none"/>
        </w:rPr>
      </w:pPr>
    </w:p>
    <w:p w14:paraId="3E5CA50B">
      <w:pPr>
        <w:bidi w:val="0"/>
        <w:rPr>
          <w:color w:val="auto"/>
          <w:highlight w:val="none"/>
        </w:rPr>
      </w:pPr>
    </w:p>
    <w:p w14:paraId="104F01BC">
      <w:pPr>
        <w:bidi w:val="0"/>
        <w:rPr>
          <w:color w:val="auto"/>
          <w:highlight w:val="none"/>
        </w:rPr>
      </w:pPr>
    </w:p>
    <w:p w14:paraId="11A0BF7A">
      <w:pPr>
        <w:bidi w:val="0"/>
        <w:rPr>
          <w:color w:val="auto"/>
          <w:highlight w:val="none"/>
        </w:rPr>
      </w:pPr>
    </w:p>
    <w:p w14:paraId="67832D58">
      <w:pPr>
        <w:bidi w:val="0"/>
        <w:rPr>
          <w:color w:val="auto"/>
          <w:highlight w:val="none"/>
        </w:rPr>
      </w:pPr>
    </w:p>
    <w:p w14:paraId="670549EA">
      <w:pPr>
        <w:bidi w:val="0"/>
        <w:rPr>
          <w:color w:val="auto"/>
          <w:highlight w:val="none"/>
        </w:rPr>
      </w:pPr>
    </w:p>
    <w:p w14:paraId="26AF307B">
      <w:pPr>
        <w:bidi w:val="0"/>
        <w:rPr>
          <w:color w:val="auto"/>
          <w:highlight w:val="none"/>
        </w:rPr>
      </w:pPr>
    </w:p>
    <w:p w14:paraId="5C64F104">
      <w:pPr>
        <w:bidi w:val="0"/>
        <w:rPr>
          <w:color w:val="auto"/>
          <w:highlight w:val="none"/>
        </w:rPr>
      </w:pPr>
    </w:p>
    <w:p w14:paraId="0F7C5AE7">
      <w:pPr>
        <w:bidi w:val="0"/>
        <w:rPr>
          <w:color w:val="auto"/>
          <w:highlight w:val="none"/>
        </w:rPr>
      </w:pPr>
    </w:p>
    <w:p w14:paraId="2741D2D5">
      <w:pPr>
        <w:bidi w:val="0"/>
        <w:rPr>
          <w:color w:val="auto"/>
          <w:highlight w:val="none"/>
        </w:rPr>
      </w:pPr>
    </w:p>
    <w:p w14:paraId="397E56E6">
      <w:pPr>
        <w:bidi w:val="0"/>
        <w:rPr>
          <w:color w:val="auto"/>
          <w:highlight w:val="none"/>
        </w:rPr>
      </w:pPr>
    </w:p>
    <w:p w14:paraId="56A20F64">
      <w:pPr>
        <w:bidi w:val="0"/>
        <w:rPr>
          <w:color w:val="auto"/>
          <w:highlight w:val="none"/>
        </w:rPr>
      </w:pPr>
    </w:p>
    <w:p w14:paraId="0E81412A">
      <w:pPr>
        <w:bidi w:val="0"/>
        <w:rPr>
          <w:color w:val="auto"/>
          <w:highlight w:val="none"/>
        </w:rPr>
      </w:pPr>
    </w:p>
    <w:p w14:paraId="6B225849">
      <w:pPr>
        <w:bidi w:val="0"/>
        <w:rPr>
          <w:color w:val="auto"/>
          <w:highlight w:val="none"/>
        </w:rPr>
      </w:pPr>
    </w:p>
    <w:p w14:paraId="190652BB">
      <w:pPr>
        <w:bidi w:val="0"/>
        <w:rPr>
          <w:color w:val="auto"/>
          <w:highlight w:val="none"/>
        </w:rPr>
      </w:pPr>
    </w:p>
    <w:p w14:paraId="56E954E5">
      <w:pPr>
        <w:bidi w:val="0"/>
        <w:rPr>
          <w:color w:val="auto"/>
          <w:highlight w:val="none"/>
        </w:rPr>
      </w:pPr>
    </w:p>
    <w:p w14:paraId="21991387">
      <w:pPr>
        <w:bidi w:val="0"/>
        <w:rPr>
          <w:color w:val="auto"/>
          <w:highlight w:val="none"/>
        </w:rPr>
      </w:pPr>
    </w:p>
    <w:p w14:paraId="69ED252B">
      <w:pPr>
        <w:bidi w:val="0"/>
        <w:rPr>
          <w:color w:val="auto"/>
          <w:highlight w:val="none"/>
        </w:rPr>
      </w:pPr>
    </w:p>
    <w:p w14:paraId="6C09773C">
      <w:pPr>
        <w:bidi w:val="0"/>
        <w:rPr>
          <w:color w:val="auto"/>
          <w:highlight w:val="none"/>
        </w:rPr>
      </w:pPr>
    </w:p>
    <w:p w14:paraId="5F25E1F1">
      <w:pPr>
        <w:bidi w:val="0"/>
        <w:rPr>
          <w:color w:val="auto"/>
          <w:highlight w:val="none"/>
        </w:rPr>
      </w:pPr>
    </w:p>
    <w:p w14:paraId="4F609068">
      <w:pPr>
        <w:bidi w:val="0"/>
        <w:rPr>
          <w:color w:val="auto"/>
          <w:highlight w:val="none"/>
        </w:rPr>
      </w:pPr>
    </w:p>
    <w:p w14:paraId="5E8D1EED">
      <w:pPr>
        <w:pStyle w:val="4"/>
        <w:bidi w:val="0"/>
        <w:rPr>
          <w:rFonts w:ascii="宋体" w:hAnsi="宋体" w:eastAsia="宋体" w:cs="宋体"/>
          <w:color w:val="auto"/>
          <w:sz w:val="10"/>
          <w:szCs w:val="10"/>
          <w:highlight w:val="none"/>
        </w:rPr>
      </w:pPr>
      <w:bookmarkStart w:id="341" w:name="bookmark186"/>
      <w:bookmarkEnd w:id="341"/>
      <w:r>
        <w:rPr>
          <w:rFonts w:ascii="宋体" w:hAnsi="宋体" w:eastAsia="宋体" w:cs="宋体"/>
          <w:b/>
          <w:bCs/>
          <w:color w:val="auto"/>
          <w:spacing w:val="7"/>
          <w:sz w:val="20"/>
          <w:szCs w:val="20"/>
          <w:highlight w:val="none"/>
        </w:rPr>
        <w:t>附件四：主要试验检测设备最低要求</w:t>
      </w:r>
    </w:p>
    <w:p w14:paraId="237D3BC7">
      <w:pPr>
        <w:spacing w:line="29" w:lineRule="exact"/>
        <w:rPr>
          <w:color w:val="auto"/>
          <w:highlight w:val="none"/>
        </w:rPr>
      </w:pPr>
    </w:p>
    <w:tbl>
      <w:tblPr>
        <w:tblStyle w:val="19"/>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25"/>
        <w:gridCol w:w="2977"/>
        <w:gridCol w:w="1501"/>
        <w:gridCol w:w="2385"/>
      </w:tblGrid>
      <w:tr w14:paraId="2024B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25" w:type="dxa"/>
            <w:vAlign w:val="top"/>
          </w:tcPr>
          <w:p w14:paraId="6301972E">
            <w:pPr>
              <w:pStyle w:val="20"/>
              <w:spacing w:before="211" w:line="229" w:lineRule="auto"/>
              <w:ind w:left="802"/>
              <w:rPr>
                <w:color w:val="auto"/>
                <w:highlight w:val="none"/>
              </w:rPr>
            </w:pPr>
            <w:r>
              <w:rPr>
                <w:color w:val="auto"/>
                <w:spacing w:val="6"/>
                <w:highlight w:val="none"/>
              </w:rPr>
              <w:t>设备名称</w:t>
            </w:r>
          </w:p>
        </w:tc>
        <w:tc>
          <w:tcPr>
            <w:tcW w:w="2977" w:type="dxa"/>
            <w:vAlign w:val="top"/>
          </w:tcPr>
          <w:p w14:paraId="1992A0CA">
            <w:pPr>
              <w:pStyle w:val="20"/>
              <w:spacing w:before="211" w:line="228" w:lineRule="auto"/>
              <w:ind w:left="655"/>
              <w:rPr>
                <w:color w:val="auto"/>
                <w:highlight w:val="none"/>
              </w:rPr>
            </w:pPr>
            <w:r>
              <w:rPr>
                <w:color w:val="auto"/>
                <w:spacing w:val="8"/>
                <w:highlight w:val="none"/>
              </w:rPr>
              <w:t>规格、功率及容量</w:t>
            </w:r>
          </w:p>
        </w:tc>
        <w:tc>
          <w:tcPr>
            <w:tcW w:w="1501" w:type="dxa"/>
            <w:vAlign w:val="top"/>
          </w:tcPr>
          <w:p w14:paraId="572419B0">
            <w:pPr>
              <w:pStyle w:val="20"/>
              <w:spacing w:before="211" w:line="228" w:lineRule="auto"/>
              <w:ind w:left="549"/>
              <w:rPr>
                <w:color w:val="auto"/>
                <w:highlight w:val="none"/>
              </w:rPr>
            </w:pPr>
            <w:r>
              <w:rPr>
                <w:color w:val="auto"/>
                <w:spacing w:val="3"/>
                <w:highlight w:val="none"/>
              </w:rPr>
              <w:t>单位</w:t>
            </w:r>
          </w:p>
        </w:tc>
        <w:tc>
          <w:tcPr>
            <w:tcW w:w="2385" w:type="dxa"/>
            <w:vAlign w:val="top"/>
          </w:tcPr>
          <w:p w14:paraId="5455A3D3">
            <w:pPr>
              <w:pStyle w:val="20"/>
              <w:spacing w:before="211" w:line="228" w:lineRule="auto"/>
              <w:ind w:left="570"/>
              <w:rPr>
                <w:color w:val="auto"/>
                <w:highlight w:val="none"/>
              </w:rPr>
            </w:pPr>
            <w:r>
              <w:rPr>
                <w:color w:val="auto"/>
                <w:spacing w:val="7"/>
                <w:highlight w:val="none"/>
              </w:rPr>
              <w:t>最低数量要求</w:t>
            </w:r>
          </w:p>
        </w:tc>
      </w:tr>
      <w:tr w14:paraId="518E1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2425" w:type="dxa"/>
            <w:vAlign w:val="top"/>
          </w:tcPr>
          <w:p w14:paraId="1D220E08">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c>
          <w:tcPr>
            <w:tcW w:w="2977" w:type="dxa"/>
            <w:vAlign w:val="top"/>
          </w:tcPr>
          <w:p w14:paraId="4C2C2D40">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c>
          <w:tcPr>
            <w:tcW w:w="1501" w:type="dxa"/>
            <w:vAlign w:val="top"/>
          </w:tcPr>
          <w:p w14:paraId="1EBDC359">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c>
          <w:tcPr>
            <w:tcW w:w="2385" w:type="dxa"/>
            <w:vAlign w:val="top"/>
          </w:tcPr>
          <w:p w14:paraId="3773DD4D">
            <w:pPr>
              <w:jc w:val="center"/>
              <w:rPr>
                <w:rFonts w:hint="eastAsia" w:ascii="Arial" w:eastAsia="宋体"/>
                <w:color w:val="auto"/>
                <w:sz w:val="21"/>
                <w:highlight w:val="none"/>
                <w:lang w:val="en-US" w:eastAsia="zh-CN"/>
              </w:rPr>
            </w:pPr>
            <w:r>
              <w:rPr>
                <w:rFonts w:hint="eastAsia" w:eastAsia="宋体"/>
                <w:color w:val="auto"/>
                <w:sz w:val="21"/>
                <w:highlight w:val="none"/>
                <w:lang w:val="en-US" w:eastAsia="zh-CN"/>
              </w:rPr>
              <w:t>/</w:t>
            </w:r>
          </w:p>
        </w:tc>
      </w:tr>
      <w:tr w14:paraId="30DF4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1E11BCC5">
            <w:pPr>
              <w:rPr>
                <w:rFonts w:ascii="Arial"/>
                <w:color w:val="auto"/>
                <w:sz w:val="21"/>
                <w:highlight w:val="none"/>
              </w:rPr>
            </w:pPr>
          </w:p>
        </w:tc>
        <w:tc>
          <w:tcPr>
            <w:tcW w:w="2977" w:type="dxa"/>
            <w:vAlign w:val="top"/>
          </w:tcPr>
          <w:p w14:paraId="07520263">
            <w:pPr>
              <w:rPr>
                <w:rFonts w:ascii="Arial"/>
                <w:color w:val="auto"/>
                <w:sz w:val="21"/>
                <w:highlight w:val="none"/>
              </w:rPr>
            </w:pPr>
          </w:p>
        </w:tc>
        <w:tc>
          <w:tcPr>
            <w:tcW w:w="1501" w:type="dxa"/>
            <w:vAlign w:val="top"/>
          </w:tcPr>
          <w:p w14:paraId="05DC8381">
            <w:pPr>
              <w:rPr>
                <w:rFonts w:ascii="Arial"/>
                <w:color w:val="auto"/>
                <w:sz w:val="21"/>
                <w:highlight w:val="none"/>
              </w:rPr>
            </w:pPr>
          </w:p>
        </w:tc>
        <w:tc>
          <w:tcPr>
            <w:tcW w:w="2385" w:type="dxa"/>
            <w:vAlign w:val="top"/>
          </w:tcPr>
          <w:p w14:paraId="09A1E6F8">
            <w:pPr>
              <w:rPr>
                <w:rFonts w:ascii="Arial"/>
                <w:color w:val="auto"/>
                <w:sz w:val="21"/>
                <w:highlight w:val="none"/>
              </w:rPr>
            </w:pPr>
          </w:p>
        </w:tc>
      </w:tr>
      <w:tr w14:paraId="4EB85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5BA726DE">
            <w:pPr>
              <w:rPr>
                <w:rFonts w:ascii="Arial"/>
                <w:color w:val="auto"/>
                <w:sz w:val="21"/>
                <w:highlight w:val="none"/>
              </w:rPr>
            </w:pPr>
          </w:p>
        </w:tc>
        <w:tc>
          <w:tcPr>
            <w:tcW w:w="2977" w:type="dxa"/>
            <w:vAlign w:val="top"/>
          </w:tcPr>
          <w:p w14:paraId="1C9A42A7">
            <w:pPr>
              <w:rPr>
                <w:rFonts w:ascii="Arial"/>
                <w:color w:val="auto"/>
                <w:sz w:val="21"/>
                <w:highlight w:val="none"/>
              </w:rPr>
            </w:pPr>
          </w:p>
        </w:tc>
        <w:tc>
          <w:tcPr>
            <w:tcW w:w="1501" w:type="dxa"/>
            <w:vAlign w:val="top"/>
          </w:tcPr>
          <w:p w14:paraId="77AD0902">
            <w:pPr>
              <w:rPr>
                <w:rFonts w:ascii="Arial"/>
                <w:color w:val="auto"/>
                <w:sz w:val="21"/>
                <w:highlight w:val="none"/>
              </w:rPr>
            </w:pPr>
          </w:p>
        </w:tc>
        <w:tc>
          <w:tcPr>
            <w:tcW w:w="2385" w:type="dxa"/>
            <w:vAlign w:val="top"/>
          </w:tcPr>
          <w:p w14:paraId="7F3FF9BC">
            <w:pPr>
              <w:rPr>
                <w:rFonts w:ascii="Arial"/>
                <w:color w:val="auto"/>
                <w:sz w:val="21"/>
                <w:highlight w:val="none"/>
              </w:rPr>
            </w:pPr>
          </w:p>
        </w:tc>
      </w:tr>
      <w:tr w14:paraId="665F2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425" w:type="dxa"/>
            <w:vAlign w:val="top"/>
          </w:tcPr>
          <w:p w14:paraId="0B4502FE">
            <w:pPr>
              <w:rPr>
                <w:rFonts w:ascii="Arial"/>
                <w:color w:val="auto"/>
                <w:sz w:val="21"/>
                <w:highlight w:val="none"/>
              </w:rPr>
            </w:pPr>
          </w:p>
        </w:tc>
        <w:tc>
          <w:tcPr>
            <w:tcW w:w="2977" w:type="dxa"/>
            <w:vAlign w:val="top"/>
          </w:tcPr>
          <w:p w14:paraId="704B0B7A">
            <w:pPr>
              <w:rPr>
                <w:rFonts w:ascii="Arial"/>
                <w:color w:val="auto"/>
                <w:sz w:val="21"/>
                <w:highlight w:val="none"/>
              </w:rPr>
            </w:pPr>
          </w:p>
        </w:tc>
        <w:tc>
          <w:tcPr>
            <w:tcW w:w="1501" w:type="dxa"/>
            <w:vAlign w:val="top"/>
          </w:tcPr>
          <w:p w14:paraId="435EA009">
            <w:pPr>
              <w:rPr>
                <w:rFonts w:ascii="Arial"/>
                <w:color w:val="auto"/>
                <w:sz w:val="21"/>
                <w:highlight w:val="none"/>
              </w:rPr>
            </w:pPr>
          </w:p>
        </w:tc>
        <w:tc>
          <w:tcPr>
            <w:tcW w:w="2385" w:type="dxa"/>
            <w:vAlign w:val="top"/>
          </w:tcPr>
          <w:p w14:paraId="5ACC77C9">
            <w:pPr>
              <w:rPr>
                <w:rFonts w:ascii="Arial"/>
                <w:color w:val="auto"/>
                <w:sz w:val="21"/>
                <w:highlight w:val="none"/>
              </w:rPr>
            </w:pPr>
          </w:p>
        </w:tc>
      </w:tr>
      <w:tr w14:paraId="76228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37B0D0B3">
            <w:pPr>
              <w:rPr>
                <w:rFonts w:ascii="Arial"/>
                <w:color w:val="auto"/>
                <w:sz w:val="21"/>
                <w:highlight w:val="none"/>
              </w:rPr>
            </w:pPr>
          </w:p>
        </w:tc>
        <w:tc>
          <w:tcPr>
            <w:tcW w:w="2977" w:type="dxa"/>
            <w:vAlign w:val="top"/>
          </w:tcPr>
          <w:p w14:paraId="5EB8DAB7">
            <w:pPr>
              <w:rPr>
                <w:rFonts w:ascii="Arial"/>
                <w:color w:val="auto"/>
                <w:sz w:val="21"/>
                <w:highlight w:val="none"/>
              </w:rPr>
            </w:pPr>
          </w:p>
        </w:tc>
        <w:tc>
          <w:tcPr>
            <w:tcW w:w="1501" w:type="dxa"/>
            <w:vAlign w:val="top"/>
          </w:tcPr>
          <w:p w14:paraId="7793A54F">
            <w:pPr>
              <w:rPr>
                <w:rFonts w:ascii="Arial"/>
                <w:color w:val="auto"/>
                <w:sz w:val="21"/>
                <w:highlight w:val="none"/>
              </w:rPr>
            </w:pPr>
          </w:p>
        </w:tc>
        <w:tc>
          <w:tcPr>
            <w:tcW w:w="2385" w:type="dxa"/>
            <w:vAlign w:val="top"/>
          </w:tcPr>
          <w:p w14:paraId="6DDA5109">
            <w:pPr>
              <w:rPr>
                <w:rFonts w:ascii="Arial"/>
                <w:color w:val="auto"/>
                <w:sz w:val="21"/>
                <w:highlight w:val="none"/>
              </w:rPr>
            </w:pPr>
          </w:p>
        </w:tc>
      </w:tr>
      <w:tr w14:paraId="16BDA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425" w:type="dxa"/>
            <w:vAlign w:val="top"/>
          </w:tcPr>
          <w:p w14:paraId="7A768319">
            <w:pPr>
              <w:rPr>
                <w:rFonts w:ascii="Arial"/>
                <w:color w:val="auto"/>
                <w:sz w:val="21"/>
                <w:highlight w:val="none"/>
              </w:rPr>
            </w:pPr>
          </w:p>
        </w:tc>
        <w:tc>
          <w:tcPr>
            <w:tcW w:w="2977" w:type="dxa"/>
            <w:vAlign w:val="top"/>
          </w:tcPr>
          <w:p w14:paraId="39A94DDA">
            <w:pPr>
              <w:rPr>
                <w:rFonts w:ascii="Arial"/>
                <w:color w:val="auto"/>
                <w:sz w:val="21"/>
                <w:highlight w:val="none"/>
              </w:rPr>
            </w:pPr>
          </w:p>
        </w:tc>
        <w:tc>
          <w:tcPr>
            <w:tcW w:w="1501" w:type="dxa"/>
            <w:vAlign w:val="top"/>
          </w:tcPr>
          <w:p w14:paraId="202D02A3">
            <w:pPr>
              <w:rPr>
                <w:rFonts w:ascii="Arial"/>
                <w:color w:val="auto"/>
                <w:sz w:val="21"/>
                <w:highlight w:val="none"/>
              </w:rPr>
            </w:pPr>
          </w:p>
        </w:tc>
        <w:tc>
          <w:tcPr>
            <w:tcW w:w="2385" w:type="dxa"/>
            <w:vAlign w:val="top"/>
          </w:tcPr>
          <w:p w14:paraId="4D6E3084">
            <w:pPr>
              <w:rPr>
                <w:rFonts w:ascii="Arial"/>
                <w:color w:val="auto"/>
                <w:sz w:val="21"/>
                <w:highlight w:val="none"/>
              </w:rPr>
            </w:pPr>
          </w:p>
        </w:tc>
      </w:tr>
      <w:tr w14:paraId="2C0F6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425" w:type="dxa"/>
            <w:vAlign w:val="top"/>
          </w:tcPr>
          <w:p w14:paraId="326E3892">
            <w:pPr>
              <w:rPr>
                <w:rFonts w:ascii="Arial"/>
                <w:color w:val="auto"/>
                <w:sz w:val="21"/>
                <w:highlight w:val="none"/>
              </w:rPr>
            </w:pPr>
          </w:p>
        </w:tc>
        <w:tc>
          <w:tcPr>
            <w:tcW w:w="2977" w:type="dxa"/>
            <w:vAlign w:val="top"/>
          </w:tcPr>
          <w:p w14:paraId="697BB382">
            <w:pPr>
              <w:rPr>
                <w:rFonts w:ascii="Arial"/>
                <w:color w:val="auto"/>
                <w:sz w:val="21"/>
                <w:highlight w:val="none"/>
              </w:rPr>
            </w:pPr>
          </w:p>
        </w:tc>
        <w:tc>
          <w:tcPr>
            <w:tcW w:w="1501" w:type="dxa"/>
            <w:vAlign w:val="top"/>
          </w:tcPr>
          <w:p w14:paraId="14CB53DF">
            <w:pPr>
              <w:rPr>
                <w:rFonts w:ascii="Arial"/>
                <w:color w:val="auto"/>
                <w:sz w:val="21"/>
                <w:highlight w:val="none"/>
              </w:rPr>
            </w:pPr>
          </w:p>
        </w:tc>
        <w:tc>
          <w:tcPr>
            <w:tcW w:w="2385" w:type="dxa"/>
            <w:vAlign w:val="top"/>
          </w:tcPr>
          <w:p w14:paraId="604D9B3B">
            <w:pPr>
              <w:rPr>
                <w:rFonts w:ascii="Arial"/>
                <w:color w:val="auto"/>
                <w:sz w:val="21"/>
                <w:highlight w:val="none"/>
              </w:rPr>
            </w:pPr>
          </w:p>
        </w:tc>
      </w:tr>
      <w:tr w14:paraId="63978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16E8B1D">
            <w:pPr>
              <w:rPr>
                <w:rFonts w:ascii="Arial"/>
                <w:color w:val="auto"/>
                <w:sz w:val="21"/>
                <w:highlight w:val="none"/>
              </w:rPr>
            </w:pPr>
          </w:p>
        </w:tc>
        <w:tc>
          <w:tcPr>
            <w:tcW w:w="2977" w:type="dxa"/>
            <w:vAlign w:val="top"/>
          </w:tcPr>
          <w:p w14:paraId="502258C5">
            <w:pPr>
              <w:rPr>
                <w:rFonts w:ascii="Arial"/>
                <w:color w:val="auto"/>
                <w:sz w:val="21"/>
                <w:highlight w:val="none"/>
              </w:rPr>
            </w:pPr>
          </w:p>
        </w:tc>
        <w:tc>
          <w:tcPr>
            <w:tcW w:w="1501" w:type="dxa"/>
            <w:vAlign w:val="top"/>
          </w:tcPr>
          <w:p w14:paraId="735123F9">
            <w:pPr>
              <w:rPr>
                <w:rFonts w:ascii="Arial"/>
                <w:color w:val="auto"/>
                <w:sz w:val="21"/>
                <w:highlight w:val="none"/>
              </w:rPr>
            </w:pPr>
          </w:p>
        </w:tc>
        <w:tc>
          <w:tcPr>
            <w:tcW w:w="2385" w:type="dxa"/>
            <w:vAlign w:val="top"/>
          </w:tcPr>
          <w:p w14:paraId="784836DC">
            <w:pPr>
              <w:rPr>
                <w:rFonts w:ascii="Arial"/>
                <w:color w:val="auto"/>
                <w:sz w:val="21"/>
                <w:highlight w:val="none"/>
              </w:rPr>
            </w:pPr>
          </w:p>
        </w:tc>
      </w:tr>
      <w:tr w14:paraId="1DD86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21E4A32C">
            <w:pPr>
              <w:rPr>
                <w:rFonts w:ascii="Arial"/>
                <w:color w:val="auto"/>
                <w:sz w:val="21"/>
                <w:highlight w:val="none"/>
              </w:rPr>
            </w:pPr>
          </w:p>
        </w:tc>
        <w:tc>
          <w:tcPr>
            <w:tcW w:w="2977" w:type="dxa"/>
            <w:vAlign w:val="top"/>
          </w:tcPr>
          <w:p w14:paraId="306D69CF">
            <w:pPr>
              <w:rPr>
                <w:rFonts w:ascii="Arial"/>
                <w:color w:val="auto"/>
                <w:sz w:val="21"/>
                <w:highlight w:val="none"/>
              </w:rPr>
            </w:pPr>
          </w:p>
        </w:tc>
        <w:tc>
          <w:tcPr>
            <w:tcW w:w="1501" w:type="dxa"/>
            <w:vAlign w:val="top"/>
          </w:tcPr>
          <w:p w14:paraId="3688E371">
            <w:pPr>
              <w:rPr>
                <w:rFonts w:ascii="Arial"/>
                <w:color w:val="auto"/>
                <w:sz w:val="21"/>
                <w:highlight w:val="none"/>
              </w:rPr>
            </w:pPr>
          </w:p>
        </w:tc>
        <w:tc>
          <w:tcPr>
            <w:tcW w:w="2385" w:type="dxa"/>
            <w:vAlign w:val="top"/>
          </w:tcPr>
          <w:p w14:paraId="360EDE18">
            <w:pPr>
              <w:rPr>
                <w:rFonts w:ascii="Arial"/>
                <w:color w:val="auto"/>
                <w:sz w:val="21"/>
                <w:highlight w:val="none"/>
              </w:rPr>
            </w:pPr>
          </w:p>
        </w:tc>
      </w:tr>
      <w:tr w14:paraId="10225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65A1A19">
            <w:pPr>
              <w:rPr>
                <w:rFonts w:ascii="Arial"/>
                <w:color w:val="auto"/>
                <w:sz w:val="21"/>
                <w:highlight w:val="none"/>
              </w:rPr>
            </w:pPr>
          </w:p>
        </w:tc>
        <w:tc>
          <w:tcPr>
            <w:tcW w:w="2977" w:type="dxa"/>
            <w:vAlign w:val="top"/>
          </w:tcPr>
          <w:p w14:paraId="1DA54233">
            <w:pPr>
              <w:rPr>
                <w:rFonts w:ascii="Arial"/>
                <w:color w:val="auto"/>
                <w:sz w:val="21"/>
                <w:highlight w:val="none"/>
              </w:rPr>
            </w:pPr>
          </w:p>
        </w:tc>
        <w:tc>
          <w:tcPr>
            <w:tcW w:w="1501" w:type="dxa"/>
            <w:vAlign w:val="top"/>
          </w:tcPr>
          <w:p w14:paraId="3F15FF62">
            <w:pPr>
              <w:rPr>
                <w:rFonts w:ascii="Arial"/>
                <w:color w:val="auto"/>
                <w:sz w:val="21"/>
                <w:highlight w:val="none"/>
              </w:rPr>
            </w:pPr>
          </w:p>
        </w:tc>
        <w:tc>
          <w:tcPr>
            <w:tcW w:w="2385" w:type="dxa"/>
            <w:vAlign w:val="top"/>
          </w:tcPr>
          <w:p w14:paraId="037D8E5C">
            <w:pPr>
              <w:rPr>
                <w:rFonts w:ascii="Arial"/>
                <w:color w:val="auto"/>
                <w:sz w:val="21"/>
                <w:highlight w:val="none"/>
              </w:rPr>
            </w:pPr>
          </w:p>
        </w:tc>
      </w:tr>
      <w:tr w14:paraId="302B7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5D234907">
            <w:pPr>
              <w:rPr>
                <w:rFonts w:ascii="Arial"/>
                <w:color w:val="auto"/>
                <w:sz w:val="21"/>
                <w:highlight w:val="none"/>
              </w:rPr>
            </w:pPr>
          </w:p>
        </w:tc>
        <w:tc>
          <w:tcPr>
            <w:tcW w:w="2977" w:type="dxa"/>
            <w:vAlign w:val="top"/>
          </w:tcPr>
          <w:p w14:paraId="6BF8DEC2">
            <w:pPr>
              <w:rPr>
                <w:rFonts w:ascii="Arial"/>
                <w:color w:val="auto"/>
                <w:sz w:val="21"/>
                <w:highlight w:val="none"/>
              </w:rPr>
            </w:pPr>
          </w:p>
        </w:tc>
        <w:tc>
          <w:tcPr>
            <w:tcW w:w="1501" w:type="dxa"/>
            <w:vAlign w:val="top"/>
          </w:tcPr>
          <w:p w14:paraId="212FCB74">
            <w:pPr>
              <w:rPr>
                <w:rFonts w:ascii="Arial"/>
                <w:color w:val="auto"/>
                <w:sz w:val="21"/>
                <w:highlight w:val="none"/>
              </w:rPr>
            </w:pPr>
          </w:p>
        </w:tc>
        <w:tc>
          <w:tcPr>
            <w:tcW w:w="2385" w:type="dxa"/>
            <w:vAlign w:val="top"/>
          </w:tcPr>
          <w:p w14:paraId="3710C8B4">
            <w:pPr>
              <w:rPr>
                <w:rFonts w:ascii="Arial"/>
                <w:color w:val="auto"/>
                <w:sz w:val="21"/>
                <w:highlight w:val="none"/>
              </w:rPr>
            </w:pPr>
          </w:p>
        </w:tc>
      </w:tr>
      <w:tr w14:paraId="7521C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58512085">
            <w:pPr>
              <w:rPr>
                <w:rFonts w:ascii="Arial"/>
                <w:color w:val="auto"/>
                <w:sz w:val="21"/>
                <w:highlight w:val="none"/>
              </w:rPr>
            </w:pPr>
          </w:p>
        </w:tc>
        <w:tc>
          <w:tcPr>
            <w:tcW w:w="2977" w:type="dxa"/>
            <w:vAlign w:val="top"/>
          </w:tcPr>
          <w:p w14:paraId="6E63B64E">
            <w:pPr>
              <w:rPr>
                <w:rFonts w:ascii="Arial"/>
                <w:color w:val="auto"/>
                <w:sz w:val="21"/>
                <w:highlight w:val="none"/>
              </w:rPr>
            </w:pPr>
          </w:p>
        </w:tc>
        <w:tc>
          <w:tcPr>
            <w:tcW w:w="1501" w:type="dxa"/>
            <w:vAlign w:val="top"/>
          </w:tcPr>
          <w:p w14:paraId="61600F99">
            <w:pPr>
              <w:rPr>
                <w:rFonts w:ascii="Arial"/>
                <w:color w:val="auto"/>
                <w:sz w:val="21"/>
                <w:highlight w:val="none"/>
              </w:rPr>
            </w:pPr>
          </w:p>
        </w:tc>
        <w:tc>
          <w:tcPr>
            <w:tcW w:w="2385" w:type="dxa"/>
            <w:vAlign w:val="top"/>
          </w:tcPr>
          <w:p w14:paraId="15607259">
            <w:pPr>
              <w:rPr>
                <w:rFonts w:ascii="Arial"/>
                <w:color w:val="auto"/>
                <w:sz w:val="21"/>
                <w:highlight w:val="none"/>
              </w:rPr>
            </w:pPr>
          </w:p>
        </w:tc>
      </w:tr>
      <w:tr w14:paraId="2A90C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07920938">
            <w:pPr>
              <w:rPr>
                <w:rFonts w:ascii="Arial"/>
                <w:color w:val="auto"/>
                <w:sz w:val="21"/>
                <w:highlight w:val="none"/>
              </w:rPr>
            </w:pPr>
          </w:p>
        </w:tc>
        <w:tc>
          <w:tcPr>
            <w:tcW w:w="2977" w:type="dxa"/>
            <w:vAlign w:val="top"/>
          </w:tcPr>
          <w:p w14:paraId="6F3E626E">
            <w:pPr>
              <w:rPr>
                <w:rFonts w:ascii="Arial"/>
                <w:color w:val="auto"/>
                <w:sz w:val="21"/>
                <w:highlight w:val="none"/>
              </w:rPr>
            </w:pPr>
          </w:p>
        </w:tc>
        <w:tc>
          <w:tcPr>
            <w:tcW w:w="1501" w:type="dxa"/>
            <w:vAlign w:val="top"/>
          </w:tcPr>
          <w:p w14:paraId="015014B0">
            <w:pPr>
              <w:rPr>
                <w:rFonts w:ascii="Arial"/>
                <w:color w:val="auto"/>
                <w:sz w:val="21"/>
                <w:highlight w:val="none"/>
              </w:rPr>
            </w:pPr>
          </w:p>
        </w:tc>
        <w:tc>
          <w:tcPr>
            <w:tcW w:w="2385" w:type="dxa"/>
            <w:vAlign w:val="top"/>
          </w:tcPr>
          <w:p w14:paraId="6D379DA4">
            <w:pPr>
              <w:rPr>
                <w:rFonts w:ascii="Arial"/>
                <w:color w:val="auto"/>
                <w:sz w:val="21"/>
                <w:highlight w:val="none"/>
              </w:rPr>
            </w:pPr>
          </w:p>
        </w:tc>
      </w:tr>
      <w:tr w14:paraId="55839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45BCA673">
            <w:pPr>
              <w:rPr>
                <w:rFonts w:ascii="Arial"/>
                <w:color w:val="auto"/>
                <w:sz w:val="21"/>
                <w:highlight w:val="none"/>
              </w:rPr>
            </w:pPr>
          </w:p>
        </w:tc>
        <w:tc>
          <w:tcPr>
            <w:tcW w:w="2977" w:type="dxa"/>
            <w:vAlign w:val="top"/>
          </w:tcPr>
          <w:p w14:paraId="7CB28A23">
            <w:pPr>
              <w:rPr>
                <w:rFonts w:ascii="Arial"/>
                <w:color w:val="auto"/>
                <w:sz w:val="21"/>
                <w:highlight w:val="none"/>
              </w:rPr>
            </w:pPr>
          </w:p>
        </w:tc>
        <w:tc>
          <w:tcPr>
            <w:tcW w:w="1501" w:type="dxa"/>
            <w:vAlign w:val="top"/>
          </w:tcPr>
          <w:p w14:paraId="7160DC66">
            <w:pPr>
              <w:rPr>
                <w:rFonts w:ascii="Arial"/>
                <w:color w:val="auto"/>
                <w:sz w:val="21"/>
                <w:highlight w:val="none"/>
              </w:rPr>
            </w:pPr>
          </w:p>
        </w:tc>
        <w:tc>
          <w:tcPr>
            <w:tcW w:w="2385" w:type="dxa"/>
            <w:vAlign w:val="top"/>
          </w:tcPr>
          <w:p w14:paraId="2ED61E32">
            <w:pPr>
              <w:rPr>
                <w:rFonts w:ascii="Arial"/>
                <w:color w:val="auto"/>
                <w:sz w:val="21"/>
                <w:highlight w:val="none"/>
              </w:rPr>
            </w:pPr>
          </w:p>
        </w:tc>
      </w:tr>
      <w:tr w14:paraId="02545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5388EBA5">
            <w:pPr>
              <w:rPr>
                <w:rFonts w:ascii="Arial"/>
                <w:color w:val="auto"/>
                <w:sz w:val="21"/>
                <w:highlight w:val="none"/>
              </w:rPr>
            </w:pPr>
          </w:p>
        </w:tc>
        <w:tc>
          <w:tcPr>
            <w:tcW w:w="2977" w:type="dxa"/>
            <w:vAlign w:val="top"/>
          </w:tcPr>
          <w:p w14:paraId="3B7F114C">
            <w:pPr>
              <w:rPr>
                <w:rFonts w:ascii="Arial"/>
                <w:color w:val="auto"/>
                <w:sz w:val="21"/>
                <w:highlight w:val="none"/>
              </w:rPr>
            </w:pPr>
          </w:p>
        </w:tc>
        <w:tc>
          <w:tcPr>
            <w:tcW w:w="1501" w:type="dxa"/>
            <w:vAlign w:val="top"/>
          </w:tcPr>
          <w:p w14:paraId="0A081F3B">
            <w:pPr>
              <w:rPr>
                <w:rFonts w:ascii="Arial"/>
                <w:color w:val="auto"/>
                <w:sz w:val="21"/>
                <w:highlight w:val="none"/>
              </w:rPr>
            </w:pPr>
          </w:p>
        </w:tc>
        <w:tc>
          <w:tcPr>
            <w:tcW w:w="2385" w:type="dxa"/>
            <w:vAlign w:val="top"/>
          </w:tcPr>
          <w:p w14:paraId="62636298">
            <w:pPr>
              <w:rPr>
                <w:rFonts w:ascii="Arial"/>
                <w:color w:val="auto"/>
                <w:sz w:val="21"/>
                <w:highlight w:val="none"/>
              </w:rPr>
            </w:pPr>
          </w:p>
        </w:tc>
      </w:tr>
      <w:tr w14:paraId="03CF8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31CB2D0A">
            <w:pPr>
              <w:rPr>
                <w:rFonts w:ascii="Arial"/>
                <w:color w:val="auto"/>
                <w:sz w:val="21"/>
                <w:highlight w:val="none"/>
              </w:rPr>
            </w:pPr>
          </w:p>
        </w:tc>
        <w:tc>
          <w:tcPr>
            <w:tcW w:w="2977" w:type="dxa"/>
            <w:vAlign w:val="top"/>
          </w:tcPr>
          <w:p w14:paraId="6ECB00F2">
            <w:pPr>
              <w:rPr>
                <w:rFonts w:ascii="Arial"/>
                <w:color w:val="auto"/>
                <w:sz w:val="21"/>
                <w:highlight w:val="none"/>
              </w:rPr>
            </w:pPr>
          </w:p>
        </w:tc>
        <w:tc>
          <w:tcPr>
            <w:tcW w:w="1501" w:type="dxa"/>
            <w:vAlign w:val="top"/>
          </w:tcPr>
          <w:p w14:paraId="41CB78ED">
            <w:pPr>
              <w:rPr>
                <w:rFonts w:ascii="Arial"/>
                <w:color w:val="auto"/>
                <w:sz w:val="21"/>
                <w:highlight w:val="none"/>
              </w:rPr>
            </w:pPr>
          </w:p>
        </w:tc>
        <w:tc>
          <w:tcPr>
            <w:tcW w:w="2385" w:type="dxa"/>
            <w:vAlign w:val="top"/>
          </w:tcPr>
          <w:p w14:paraId="6824CE27">
            <w:pPr>
              <w:rPr>
                <w:rFonts w:ascii="Arial"/>
                <w:color w:val="auto"/>
                <w:sz w:val="21"/>
                <w:highlight w:val="none"/>
              </w:rPr>
            </w:pPr>
          </w:p>
        </w:tc>
      </w:tr>
      <w:tr w14:paraId="7F21E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76147F09">
            <w:pPr>
              <w:rPr>
                <w:rFonts w:ascii="Arial"/>
                <w:color w:val="auto"/>
                <w:sz w:val="21"/>
                <w:highlight w:val="none"/>
              </w:rPr>
            </w:pPr>
          </w:p>
        </w:tc>
        <w:tc>
          <w:tcPr>
            <w:tcW w:w="2977" w:type="dxa"/>
            <w:vAlign w:val="top"/>
          </w:tcPr>
          <w:p w14:paraId="667D4DA2">
            <w:pPr>
              <w:rPr>
                <w:rFonts w:ascii="Arial"/>
                <w:color w:val="auto"/>
                <w:sz w:val="21"/>
                <w:highlight w:val="none"/>
              </w:rPr>
            </w:pPr>
          </w:p>
        </w:tc>
        <w:tc>
          <w:tcPr>
            <w:tcW w:w="1501" w:type="dxa"/>
            <w:vAlign w:val="top"/>
          </w:tcPr>
          <w:p w14:paraId="6208C075">
            <w:pPr>
              <w:rPr>
                <w:rFonts w:ascii="Arial"/>
                <w:color w:val="auto"/>
                <w:sz w:val="21"/>
                <w:highlight w:val="none"/>
              </w:rPr>
            </w:pPr>
          </w:p>
        </w:tc>
        <w:tc>
          <w:tcPr>
            <w:tcW w:w="2385" w:type="dxa"/>
            <w:vAlign w:val="top"/>
          </w:tcPr>
          <w:p w14:paraId="1F323D4B">
            <w:pPr>
              <w:rPr>
                <w:rFonts w:ascii="Arial"/>
                <w:color w:val="auto"/>
                <w:sz w:val="21"/>
                <w:highlight w:val="none"/>
              </w:rPr>
            </w:pPr>
          </w:p>
        </w:tc>
      </w:tr>
      <w:tr w14:paraId="117CA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0764992">
            <w:pPr>
              <w:rPr>
                <w:rFonts w:ascii="Arial"/>
                <w:color w:val="auto"/>
                <w:sz w:val="21"/>
                <w:highlight w:val="none"/>
              </w:rPr>
            </w:pPr>
          </w:p>
        </w:tc>
        <w:tc>
          <w:tcPr>
            <w:tcW w:w="2977" w:type="dxa"/>
            <w:vAlign w:val="top"/>
          </w:tcPr>
          <w:p w14:paraId="6301C037">
            <w:pPr>
              <w:rPr>
                <w:rFonts w:ascii="Arial"/>
                <w:color w:val="auto"/>
                <w:sz w:val="21"/>
                <w:highlight w:val="none"/>
              </w:rPr>
            </w:pPr>
          </w:p>
        </w:tc>
        <w:tc>
          <w:tcPr>
            <w:tcW w:w="1501" w:type="dxa"/>
            <w:vAlign w:val="top"/>
          </w:tcPr>
          <w:p w14:paraId="3E14069C">
            <w:pPr>
              <w:rPr>
                <w:rFonts w:ascii="Arial"/>
                <w:color w:val="auto"/>
                <w:sz w:val="21"/>
                <w:highlight w:val="none"/>
              </w:rPr>
            </w:pPr>
          </w:p>
        </w:tc>
        <w:tc>
          <w:tcPr>
            <w:tcW w:w="2385" w:type="dxa"/>
            <w:vAlign w:val="top"/>
          </w:tcPr>
          <w:p w14:paraId="64B9B517">
            <w:pPr>
              <w:rPr>
                <w:rFonts w:ascii="Arial"/>
                <w:color w:val="auto"/>
                <w:sz w:val="21"/>
                <w:highlight w:val="none"/>
              </w:rPr>
            </w:pPr>
          </w:p>
        </w:tc>
      </w:tr>
      <w:tr w14:paraId="302A0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3B1BB782">
            <w:pPr>
              <w:rPr>
                <w:rFonts w:ascii="Arial"/>
                <w:color w:val="auto"/>
                <w:sz w:val="21"/>
                <w:highlight w:val="none"/>
              </w:rPr>
            </w:pPr>
          </w:p>
        </w:tc>
        <w:tc>
          <w:tcPr>
            <w:tcW w:w="2977" w:type="dxa"/>
            <w:vAlign w:val="top"/>
          </w:tcPr>
          <w:p w14:paraId="1A676DBE">
            <w:pPr>
              <w:rPr>
                <w:rFonts w:ascii="Arial"/>
                <w:color w:val="auto"/>
                <w:sz w:val="21"/>
                <w:highlight w:val="none"/>
              </w:rPr>
            </w:pPr>
          </w:p>
        </w:tc>
        <w:tc>
          <w:tcPr>
            <w:tcW w:w="1501" w:type="dxa"/>
            <w:vAlign w:val="top"/>
          </w:tcPr>
          <w:p w14:paraId="1BBAB65D">
            <w:pPr>
              <w:rPr>
                <w:rFonts w:ascii="Arial"/>
                <w:color w:val="auto"/>
                <w:sz w:val="21"/>
                <w:highlight w:val="none"/>
              </w:rPr>
            </w:pPr>
          </w:p>
        </w:tc>
        <w:tc>
          <w:tcPr>
            <w:tcW w:w="2385" w:type="dxa"/>
            <w:vAlign w:val="top"/>
          </w:tcPr>
          <w:p w14:paraId="308FC58A">
            <w:pPr>
              <w:rPr>
                <w:rFonts w:ascii="Arial"/>
                <w:color w:val="auto"/>
                <w:sz w:val="21"/>
                <w:highlight w:val="none"/>
              </w:rPr>
            </w:pPr>
          </w:p>
        </w:tc>
      </w:tr>
      <w:tr w14:paraId="7BF91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76750C6">
            <w:pPr>
              <w:rPr>
                <w:rFonts w:ascii="Arial"/>
                <w:color w:val="auto"/>
                <w:sz w:val="21"/>
                <w:highlight w:val="none"/>
              </w:rPr>
            </w:pPr>
          </w:p>
        </w:tc>
        <w:tc>
          <w:tcPr>
            <w:tcW w:w="2977" w:type="dxa"/>
            <w:vAlign w:val="top"/>
          </w:tcPr>
          <w:p w14:paraId="15A5FB49">
            <w:pPr>
              <w:rPr>
                <w:rFonts w:ascii="Arial"/>
                <w:color w:val="auto"/>
                <w:sz w:val="21"/>
                <w:highlight w:val="none"/>
              </w:rPr>
            </w:pPr>
          </w:p>
        </w:tc>
        <w:tc>
          <w:tcPr>
            <w:tcW w:w="1501" w:type="dxa"/>
            <w:vAlign w:val="top"/>
          </w:tcPr>
          <w:p w14:paraId="1CF1AC3F">
            <w:pPr>
              <w:rPr>
                <w:rFonts w:ascii="Arial"/>
                <w:color w:val="auto"/>
                <w:sz w:val="21"/>
                <w:highlight w:val="none"/>
              </w:rPr>
            </w:pPr>
          </w:p>
        </w:tc>
        <w:tc>
          <w:tcPr>
            <w:tcW w:w="2385" w:type="dxa"/>
            <w:vAlign w:val="top"/>
          </w:tcPr>
          <w:p w14:paraId="22540E90">
            <w:pPr>
              <w:rPr>
                <w:rFonts w:ascii="Arial"/>
                <w:color w:val="auto"/>
                <w:sz w:val="21"/>
                <w:highlight w:val="none"/>
              </w:rPr>
            </w:pPr>
          </w:p>
        </w:tc>
      </w:tr>
      <w:tr w14:paraId="21CAD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B749918">
            <w:pPr>
              <w:rPr>
                <w:rFonts w:ascii="Arial"/>
                <w:color w:val="auto"/>
                <w:sz w:val="21"/>
                <w:highlight w:val="none"/>
              </w:rPr>
            </w:pPr>
          </w:p>
        </w:tc>
        <w:tc>
          <w:tcPr>
            <w:tcW w:w="2977" w:type="dxa"/>
            <w:vAlign w:val="top"/>
          </w:tcPr>
          <w:p w14:paraId="190177ED">
            <w:pPr>
              <w:rPr>
                <w:rFonts w:ascii="Arial"/>
                <w:color w:val="auto"/>
                <w:sz w:val="21"/>
                <w:highlight w:val="none"/>
              </w:rPr>
            </w:pPr>
          </w:p>
        </w:tc>
        <w:tc>
          <w:tcPr>
            <w:tcW w:w="1501" w:type="dxa"/>
            <w:vAlign w:val="top"/>
          </w:tcPr>
          <w:p w14:paraId="74C4D49D">
            <w:pPr>
              <w:rPr>
                <w:rFonts w:ascii="Arial"/>
                <w:color w:val="auto"/>
                <w:sz w:val="21"/>
                <w:highlight w:val="none"/>
              </w:rPr>
            </w:pPr>
          </w:p>
        </w:tc>
        <w:tc>
          <w:tcPr>
            <w:tcW w:w="2385" w:type="dxa"/>
            <w:vAlign w:val="top"/>
          </w:tcPr>
          <w:p w14:paraId="04701049">
            <w:pPr>
              <w:rPr>
                <w:rFonts w:ascii="Arial"/>
                <w:color w:val="auto"/>
                <w:sz w:val="21"/>
                <w:highlight w:val="none"/>
              </w:rPr>
            </w:pPr>
          </w:p>
        </w:tc>
      </w:tr>
      <w:tr w14:paraId="11288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100E9A80">
            <w:pPr>
              <w:rPr>
                <w:rFonts w:ascii="Arial"/>
                <w:color w:val="auto"/>
                <w:sz w:val="21"/>
                <w:highlight w:val="none"/>
              </w:rPr>
            </w:pPr>
          </w:p>
        </w:tc>
        <w:tc>
          <w:tcPr>
            <w:tcW w:w="2977" w:type="dxa"/>
            <w:vAlign w:val="top"/>
          </w:tcPr>
          <w:p w14:paraId="703A04B6">
            <w:pPr>
              <w:rPr>
                <w:rFonts w:ascii="Arial"/>
                <w:color w:val="auto"/>
                <w:sz w:val="21"/>
                <w:highlight w:val="none"/>
              </w:rPr>
            </w:pPr>
          </w:p>
        </w:tc>
        <w:tc>
          <w:tcPr>
            <w:tcW w:w="1501" w:type="dxa"/>
            <w:vAlign w:val="top"/>
          </w:tcPr>
          <w:p w14:paraId="24D40395">
            <w:pPr>
              <w:rPr>
                <w:rFonts w:ascii="Arial"/>
                <w:color w:val="auto"/>
                <w:sz w:val="21"/>
                <w:highlight w:val="none"/>
              </w:rPr>
            </w:pPr>
          </w:p>
        </w:tc>
        <w:tc>
          <w:tcPr>
            <w:tcW w:w="2385" w:type="dxa"/>
            <w:vAlign w:val="top"/>
          </w:tcPr>
          <w:p w14:paraId="0218A4B4">
            <w:pPr>
              <w:rPr>
                <w:rFonts w:ascii="Arial"/>
                <w:color w:val="auto"/>
                <w:sz w:val="21"/>
                <w:highlight w:val="none"/>
              </w:rPr>
            </w:pPr>
          </w:p>
        </w:tc>
      </w:tr>
      <w:tr w14:paraId="6AEEC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49A04F3F">
            <w:pPr>
              <w:rPr>
                <w:rFonts w:ascii="Arial"/>
                <w:color w:val="auto"/>
                <w:sz w:val="21"/>
                <w:highlight w:val="none"/>
              </w:rPr>
            </w:pPr>
          </w:p>
        </w:tc>
        <w:tc>
          <w:tcPr>
            <w:tcW w:w="2977" w:type="dxa"/>
            <w:vAlign w:val="top"/>
          </w:tcPr>
          <w:p w14:paraId="0F2A6DC5">
            <w:pPr>
              <w:rPr>
                <w:rFonts w:ascii="Arial"/>
                <w:color w:val="auto"/>
                <w:sz w:val="21"/>
                <w:highlight w:val="none"/>
              </w:rPr>
            </w:pPr>
          </w:p>
        </w:tc>
        <w:tc>
          <w:tcPr>
            <w:tcW w:w="1501" w:type="dxa"/>
            <w:vAlign w:val="top"/>
          </w:tcPr>
          <w:p w14:paraId="6D310384">
            <w:pPr>
              <w:rPr>
                <w:rFonts w:ascii="Arial"/>
                <w:color w:val="auto"/>
                <w:sz w:val="21"/>
                <w:highlight w:val="none"/>
              </w:rPr>
            </w:pPr>
          </w:p>
        </w:tc>
        <w:tc>
          <w:tcPr>
            <w:tcW w:w="2385" w:type="dxa"/>
            <w:vAlign w:val="top"/>
          </w:tcPr>
          <w:p w14:paraId="3AFDC7EF">
            <w:pPr>
              <w:rPr>
                <w:rFonts w:ascii="Arial"/>
                <w:color w:val="auto"/>
                <w:sz w:val="21"/>
                <w:highlight w:val="none"/>
              </w:rPr>
            </w:pPr>
          </w:p>
        </w:tc>
      </w:tr>
      <w:tr w14:paraId="31611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101E450B">
            <w:pPr>
              <w:rPr>
                <w:rFonts w:ascii="Arial"/>
                <w:color w:val="auto"/>
                <w:sz w:val="21"/>
                <w:highlight w:val="none"/>
              </w:rPr>
            </w:pPr>
          </w:p>
        </w:tc>
        <w:tc>
          <w:tcPr>
            <w:tcW w:w="2977" w:type="dxa"/>
            <w:vAlign w:val="top"/>
          </w:tcPr>
          <w:p w14:paraId="1AD2B334">
            <w:pPr>
              <w:rPr>
                <w:rFonts w:ascii="Arial"/>
                <w:color w:val="auto"/>
                <w:sz w:val="21"/>
                <w:highlight w:val="none"/>
              </w:rPr>
            </w:pPr>
          </w:p>
        </w:tc>
        <w:tc>
          <w:tcPr>
            <w:tcW w:w="1501" w:type="dxa"/>
            <w:vAlign w:val="top"/>
          </w:tcPr>
          <w:p w14:paraId="1C6B3F0E">
            <w:pPr>
              <w:rPr>
                <w:rFonts w:ascii="Arial"/>
                <w:color w:val="auto"/>
                <w:sz w:val="21"/>
                <w:highlight w:val="none"/>
              </w:rPr>
            </w:pPr>
          </w:p>
        </w:tc>
        <w:tc>
          <w:tcPr>
            <w:tcW w:w="2385" w:type="dxa"/>
            <w:vAlign w:val="top"/>
          </w:tcPr>
          <w:p w14:paraId="292DB2E1">
            <w:pPr>
              <w:rPr>
                <w:rFonts w:ascii="Arial"/>
                <w:color w:val="auto"/>
                <w:sz w:val="21"/>
                <w:highlight w:val="none"/>
              </w:rPr>
            </w:pPr>
          </w:p>
        </w:tc>
      </w:tr>
      <w:tr w14:paraId="33345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5845EA70">
            <w:pPr>
              <w:rPr>
                <w:rFonts w:ascii="Arial"/>
                <w:color w:val="auto"/>
                <w:sz w:val="21"/>
                <w:highlight w:val="none"/>
              </w:rPr>
            </w:pPr>
          </w:p>
        </w:tc>
        <w:tc>
          <w:tcPr>
            <w:tcW w:w="2977" w:type="dxa"/>
            <w:vAlign w:val="top"/>
          </w:tcPr>
          <w:p w14:paraId="217262BE">
            <w:pPr>
              <w:rPr>
                <w:rFonts w:ascii="Arial"/>
                <w:color w:val="auto"/>
                <w:sz w:val="21"/>
                <w:highlight w:val="none"/>
              </w:rPr>
            </w:pPr>
          </w:p>
        </w:tc>
        <w:tc>
          <w:tcPr>
            <w:tcW w:w="1501" w:type="dxa"/>
            <w:vAlign w:val="top"/>
          </w:tcPr>
          <w:p w14:paraId="17AAA69B">
            <w:pPr>
              <w:rPr>
                <w:rFonts w:ascii="Arial"/>
                <w:color w:val="auto"/>
                <w:sz w:val="21"/>
                <w:highlight w:val="none"/>
              </w:rPr>
            </w:pPr>
          </w:p>
        </w:tc>
        <w:tc>
          <w:tcPr>
            <w:tcW w:w="2385" w:type="dxa"/>
            <w:vAlign w:val="top"/>
          </w:tcPr>
          <w:p w14:paraId="2569E5CC">
            <w:pPr>
              <w:rPr>
                <w:rFonts w:ascii="Arial"/>
                <w:color w:val="auto"/>
                <w:sz w:val="21"/>
                <w:highlight w:val="none"/>
              </w:rPr>
            </w:pPr>
          </w:p>
        </w:tc>
      </w:tr>
      <w:tr w14:paraId="26C40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425" w:type="dxa"/>
            <w:vAlign w:val="top"/>
          </w:tcPr>
          <w:p w14:paraId="69727216">
            <w:pPr>
              <w:rPr>
                <w:rFonts w:ascii="Arial"/>
                <w:color w:val="auto"/>
                <w:sz w:val="21"/>
                <w:highlight w:val="none"/>
              </w:rPr>
            </w:pPr>
          </w:p>
        </w:tc>
        <w:tc>
          <w:tcPr>
            <w:tcW w:w="2977" w:type="dxa"/>
            <w:vAlign w:val="top"/>
          </w:tcPr>
          <w:p w14:paraId="2F292EC2">
            <w:pPr>
              <w:rPr>
                <w:rFonts w:ascii="Arial"/>
                <w:color w:val="auto"/>
                <w:sz w:val="21"/>
                <w:highlight w:val="none"/>
              </w:rPr>
            </w:pPr>
          </w:p>
        </w:tc>
        <w:tc>
          <w:tcPr>
            <w:tcW w:w="1501" w:type="dxa"/>
            <w:vAlign w:val="top"/>
          </w:tcPr>
          <w:p w14:paraId="175A0E28">
            <w:pPr>
              <w:rPr>
                <w:rFonts w:ascii="Arial"/>
                <w:color w:val="auto"/>
                <w:sz w:val="21"/>
                <w:highlight w:val="none"/>
              </w:rPr>
            </w:pPr>
          </w:p>
        </w:tc>
        <w:tc>
          <w:tcPr>
            <w:tcW w:w="2385" w:type="dxa"/>
            <w:vAlign w:val="top"/>
          </w:tcPr>
          <w:p w14:paraId="7887BCD7">
            <w:pPr>
              <w:rPr>
                <w:rFonts w:ascii="Arial"/>
                <w:color w:val="auto"/>
                <w:sz w:val="21"/>
                <w:highlight w:val="none"/>
              </w:rPr>
            </w:pPr>
          </w:p>
        </w:tc>
      </w:tr>
      <w:tr w14:paraId="7F3CD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2425" w:type="dxa"/>
            <w:vAlign w:val="top"/>
          </w:tcPr>
          <w:p w14:paraId="139A8EE4">
            <w:pPr>
              <w:rPr>
                <w:rFonts w:ascii="Arial"/>
                <w:color w:val="auto"/>
                <w:sz w:val="21"/>
                <w:highlight w:val="none"/>
              </w:rPr>
            </w:pPr>
          </w:p>
        </w:tc>
        <w:tc>
          <w:tcPr>
            <w:tcW w:w="2977" w:type="dxa"/>
            <w:vAlign w:val="top"/>
          </w:tcPr>
          <w:p w14:paraId="5138E09A">
            <w:pPr>
              <w:rPr>
                <w:rFonts w:ascii="Arial"/>
                <w:color w:val="auto"/>
                <w:sz w:val="21"/>
                <w:highlight w:val="none"/>
              </w:rPr>
            </w:pPr>
          </w:p>
        </w:tc>
        <w:tc>
          <w:tcPr>
            <w:tcW w:w="1501" w:type="dxa"/>
            <w:vAlign w:val="top"/>
          </w:tcPr>
          <w:p w14:paraId="44E33E88">
            <w:pPr>
              <w:rPr>
                <w:rFonts w:ascii="Arial"/>
                <w:color w:val="auto"/>
                <w:sz w:val="21"/>
                <w:highlight w:val="none"/>
              </w:rPr>
            </w:pPr>
          </w:p>
        </w:tc>
        <w:tc>
          <w:tcPr>
            <w:tcW w:w="2385" w:type="dxa"/>
            <w:vAlign w:val="top"/>
          </w:tcPr>
          <w:p w14:paraId="6F1A3005">
            <w:pPr>
              <w:rPr>
                <w:rFonts w:ascii="Arial"/>
                <w:color w:val="auto"/>
                <w:sz w:val="21"/>
                <w:highlight w:val="none"/>
              </w:rPr>
            </w:pPr>
          </w:p>
        </w:tc>
      </w:tr>
    </w:tbl>
    <w:p w14:paraId="2E8BDA57">
      <w:pPr>
        <w:spacing w:line="246" w:lineRule="auto"/>
        <w:rPr>
          <w:rFonts w:ascii="Arial"/>
          <w:color w:val="auto"/>
          <w:sz w:val="21"/>
          <w:highlight w:val="none"/>
        </w:rPr>
      </w:pPr>
    </w:p>
    <w:p w14:paraId="3A9F210B">
      <w:pPr>
        <w:spacing w:line="246" w:lineRule="auto"/>
        <w:rPr>
          <w:rFonts w:ascii="Arial"/>
          <w:color w:val="auto"/>
          <w:sz w:val="21"/>
          <w:highlight w:val="none"/>
        </w:rPr>
      </w:pPr>
    </w:p>
    <w:p w14:paraId="1A03AE5F">
      <w:pPr>
        <w:spacing w:line="246" w:lineRule="auto"/>
        <w:rPr>
          <w:rFonts w:ascii="Arial"/>
          <w:color w:val="auto"/>
          <w:sz w:val="21"/>
          <w:highlight w:val="none"/>
        </w:rPr>
      </w:pPr>
    </w:p>
    <w:p w14:paraId="05F6FAD7">
      <w:pPr>
        <w:spacing w:line="246" w:lineRule="auto"/>
        <w:rPr>
          <w:rFonts w:ascii="Arial"/>
          <w:color w:val="auto"/>
          <w:sz w:val="21"/>
          <w:highlight w:val="none"/>
        </w:rPr>
      </w:pPr>
    </w:p>
    <w:p w14:paraId="159B78E8">
      <w:pPr>
        <w:spacing w:line="246" w:lineRule="auto"/>
        <w:rPr>
          <w:rFonts w:ascii="Arial"/>
          <w:color w:val="auto"/>
          <w:sz w:val="21"/>
          <w:highlight w:val="none"/>
        </w:rPr>
      </w:pPr>
    </w:p>
    <w:p w14:paraId="68EFCAC3">
      <w:pPr>
        <w:spacing w:line="246" w:lineRule="auto"/>
        <w:rPr>
          <w:rFonts w:ascii="Arial"/>
          <w:color w:val="auto"/>
          <w:sz w:val="21"/>
          <w:highlight w:val="none"/>
        </w:rPr>
      </w:pPr>
    </w:p>
    <w:p w14:paraId="1152595A">
      <w:pPr>
        <w:spacing w:line="247" w:lineRule="auto"/>
        <w:rPr>
          <w:rFonts w:ascii="Arial"/>
          <w:color w:val="auto"/>
          <w:sz w:val="21"/>
          <w:highlight w:val="none"/>
        </w:rPr>
      </w:pPr>
    </w:p>
    <w:p w14:paraId="569676BD">
      <w:pPr>
        <w:spacing w:line="247" w:lineRule="auto"/>
        <w:rPr>
          <w:rFonts w:ascii="Arial"/>
          <w:color w:val="auto"/>
          <w:sz w:val="21"/>
          <w:highlight w:val="none"/>
        </w:rPr>
      </w:pPr>
    </w:p>
    <w:p w14:paraId="26B51234">
      <w:pPr>
        <w:spacing w:line="247" w:lineRule="auto"/>
        <w:rPr>
          <w:rFonts w:ascii="Arial"/>
          <w:color w:val="auto"/>
          <w:sz w:val="21"/>
          <w:highlight w:val="none"/>
        </w:rPr>
      </w:pPr>
    </w:p>
    <w:p w14:paraId="3F48030F">
      <w:pPr>
        <w:spacing w:line="247" w:lineRule="auto"/>
        <w:rPr>
          <w:rFonts w:ascii="Arial"/>
          <w:color w:val="auto"/>
          <w:sz w:val="21"/>
          <w:highlight w:val="none"/>
        </w:rPr>
      </w:pPr>
    </w:p>
    <w:p w14:paraId="08875506">
      <w:pPr>
        <w:spacing w:line="247" w:lineRule="auto"/>
        <w:rPr>
          <w:rFonts w:ascii="Arial"/>
          <w:color w:val="auto"/>
          <w:sz w:val="21"/>
          <w:highlight w:val="none"/>
        </w:rPr>
      </w:pPr>
    </w:p>
    <w:p w14:paraId="0B4DE180">
      <w:pPr>
        <w:spacing w:line="247" w:lineRule="auto"/>
        <w:rPr>
          <w:rFonts w:ascii="Arial"/>
          <w:color w:val="auto"/>
          <w:sz w:val="21"/>
          <w:highlight w:val="none"/>
        </w:rPr>
      </w:pPr>
    </w:p>
    <w:p w14:paraId="54ED47E2">
      <w:pPr>
        <w:spacing w:line="247" w:lineRule="auto"/>
        <w:rPr>
          <w:rFonts w:ascii="Arial"/>
          <w:color w:val="auto"/>
          <w:sz w:val="21"/>
          <w:highlight w:val="none"/>
        </w:rPr>
      </w:pPr>
    </w:p>
    <w:p w14:paraId="4C62E686">
      <w:pPr>
        <w:spacing w:line="247" w:lineRule="auto"/>
        <w:rPr>
          <w:rFonts w:ascii="Arial"/>
          <w:color w:val="auto"/>
          <w:sz w:val="21"/>
          <w:highlight w:val="none"/>
        </w:rPr>
      </w:pPr>
    </w:p>
    <w:p w14:paraId="1C481EB2">
      <w:pPr>
        <w:spacing w:line="247" w:lineRule="auto"/>
        <w:rPr>
          <w:rFonts w:ascii="Arial"/>
          <w:color w:val="auto"/>
          <w:sz w:val="21"/>
          <w:highlight w:val="none"/>
        </w:rPr>
      </w:pPr>
    </w:p>
    <w:p w14:paraId="50CD2B1E">
      <w:pPr>
        <w:spacing w:line="247" w:lineRule="auto"/>
        <w:rPr>
          <w:rFonts w:ascii="Arial"/>
          <w:color w:val="auto"/>
          <w:sz w:val="21"/>
          <w:highlight w:val="none"/>
        </w:rPr>
      </w:pPr>
    </w:p>
    <w:p w14:paraId="1339D599">
      <w:pPr>
        <w:spacing w:line="247" w:lineRule="auto"/>
        <w:rPr>
          <w:rFonts w:ascii="Arial"/>
          <w:color w:val="auto"/>
          <w:sz w:val="21"/>
          <w:highlight w:val="none"/>
        </w:rPr>
      </w:pPr>
    </w:p>
    <w:p w14:paraId="3BC6D99B">
      <w:pPr>
        <w:pStyle w:val="4"/>
        <w:bidi w:val="0"/>
        <w:rPr>
          <w:color w:val="auto"/>
          <w:highlight w:val="none"/>
        </w:rPr>
      </w:pPr>
      <w:bookmarkStart w:id="342" w:name="bookmark187"/>
      <w:bookmarkEnd w:id="342"/>
      <w:r>
        <w:rPr>
          <w:color w:val="auto"/>
          <w:highlight w:val="none"/>
        </w:rPr>
        <w:t>附件五：主要生活办公设施最低要求</w:t>
      </w:r>
    </w:p>
    <w:p w14:paraId="4391667D">
      <w:pPr>
        <w:spacing w:line="29" w:lineRule="exact"/>
        <w:rPr>
          <w:color w:val="auto"/>
          <w:highlight w:val="none"/>
        </w:rPr>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0"/>
        <w:gridCol w:w="4896"/>
        <w:gridCol w:w="1050"/>
        <w:gridCol w:w="2164"/>
      </w:tblGrid>
      <w:tr w14:paraId="4E14E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9" w:hRule="atLeast"/>
        </w:trPr>
        <w:tc>
          <w:tcPr>
            <w:tcW w:w="1180" w:type="dxa"/>
            <w:vAlign w:val="top"/>
          </w:tcPr>
          <w:p w14:paraId="1637B9E4">
            <w:pPr>
              <w:pStyle w:val="20"/>
              <w:spacing w:before="163" w:line="217" w:lineRule="auto"/>
              <w:ind w:left="384"/>
              <w:rPr>
                <w:color w:val="auto"/>
                <w:highlight w:val="none"/>
              </w:rPr>
            </w:pPr>
            <w:r>
              <w:rPr>
                <w:b/>
                <w:bCs/>
                <w:color w:val="auto"/>
                <w:spacing w:val="4"/>
                <w:highlight w:val="none"/>
              </w:rPr>
              <w:t>序号</w:t>
            </w:r>
          </w:p>
        </w:tc>
        <w:tc>
          <w:tcPr>
            <w:tcW w:w="4896" w:type="dxa"/>
            <w:vAlign w:val="top"/>
          </w:tcPr>
          <w:p w14:paraId="19880B3D">
            <w:pPr>
              <w:pStyle w:val="20"/>
              <w:spacing w:before="163" w:line="217" w:lineRule="auto"/>
              <w:ind w:left="1718"/>
              <w:rPr>
                <w:color w:val="auto"/>
                <w:highlight w:val="none"/>
              </w:rPr>
            </w:pPr>
            <w:r>
              <w:rPr>
                <w:b/>
                <w:bCs/>
                <w:color w:val="auto"/>
                <w:spacing w:val="6"/>
                <w:highlight w:val="none"/>
              </w:rPr>
              <w:t>设备与设施名称</w:t>
            </w:r>
          </w:p>
        </w:tc>
        <w:tc>
          <w:tcPr>
            <w:tcW w:w="1050" w:type="dxa"/>
            <w:vAlign w:val="top"/>
          </w:tcPr>
          <w:p w14:paraId="2B5F660F">
            <w:pPr>
              <w:pStyle w:val="20"/>
              <w:spacing w:before="163" w:line="217" w:lineRule="auto"/>
              <w:ind w:left="322"/>
              <w:rPr>
                <w:color w:val="auto"/>
                <w:highlight w:val="none"/>
              </w:rPr>
            </w:pPr>
            <w:r>
              <w:rPr>
                <w:b/>
                <w:bCs/>
                <w:color w:val="auto"/>
                <w:spacing w:val="3"/>
                <w:highlight w:val="none"/>
              </w:rPr>
              <w:t>单位</w:t>
            </w:r>
          </w:p>
        </w:tc>
        <w:tc>
          <w:tcPr>
            <w:tcW w:w="2164" w:type="dxa"/>
            <w:vAlign w:val="top"/>
          </w:tcPr>
          <w:p w14:paraId="173ACA25">
            <w:pPr>
              <w:pStyle w:val="20"/>
              <w:spacing w:before="163" w:line="217" w:lineRule="auto"/>
              <w:ind w:left="667"/>
              <w:rPr>
                <w:color w:val="auto"/>
                <w:highlight w:val="none"/>
              </w:rPr>
            </w:pPr>
            <w:r>
              <w:rPr>
                <w:b/>
                <w:bCs/>
                <w:color w:val="auto"/>
                <w:spacing w:val="6"/>
                <w:highlight w:val="none"/>
              </w:rPr>
              <w:t>数量要求</w:t>
            </w:r>
          </w:p>
        </w:tc>
      </w:tr>
      <w:tr w14:paraId="7690B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9290" w:type="dxa"/>
            <w:gridSpan w:val="4"/>
            <w:vAlign w:val="top"/>
          </w:tcPr>
          <w:p w14:paraId="2DB56BCE">
            <w:pPr>
              <w:pStyle w:val="20"/>
              <w:spacing w:before="160" w:line="216" w:lineRule="auto"/>
              <w:ind w:left="4024"/>
              <w:rPr>
                <w:color w:val="auto"/>
                <w:highlight w:val="none"/>
              </w:rPr>
            </w:pPr>
            <w:r>
              <w:rPr>
                <w:color w:val="auto"/>
                <w:spacing w:val="7"/>
                <w:highlight w:val="none"/>
              </w:rPr>
              <w:t>一、办公设备</w:t>
            </w:r>
          </w:p>
        </w:tc>
      </w:tr>
      <w:tr w14:paraId="1F231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180" w:type="dxa"/>
            <w:vAlign w:val="top"/>
          </w:tcPr>
          <w:p w14:paraId="77E32CC7">
            <w:pPr>
              <w:pStyle w:val="20"/>
              <w:spacing w:before="161" w:line="215" w:lineRule="auto"/>
              <w:ind w:left="559"/>
              <w:rPr>
                <w:color w:val="auto"/>
                <w:highlight w:val="none"/>
              </w:rPr>
            </w:pPr>
            <w:r>
              <w:rPr>
                <w:color w:val="auto"/>
                <w:highlight w:val="none"/>
              </w:rPr>
              <w:t>1</w:t>
            </w:r>
          </w:p>
        </w:tc>
        <w:tc>
          <w:tcPr>
            <w:tcW w:w="4896" w:type="dxa"/>
            <w:vAlign w:val="top"/>
          </w:tcPr>
          <w:p w14:paraId="5159A57F">
            <w:pPr>
              <w:pStyle w:val="20"/>
              <w:spacing w:before="161" w:line="215" w:lineRule="auto"/>
              <w:ind w:left="1943"/>
              <w:rPr>
                <w:color w:val="auto"/>
                <w:highlight w:val="none"/>
              </w:rPr>
            </w:pPr>
            <w:r>
              <w:rPr>
                <w:color w:val="auto"/>
                <w:spacing w:val="4"/>
                <w:highlight w:val="none"/>
              </w:rPr>
              <w:t>台式计算机</w:t>
            </w:r>
          </w:p>
        </w:tc>
        <w:tc>
          <w:tcPr>
            <w:tcW w:w="1050" w:type="dxa"/>
            <w:vAlign w:val="top"/>
          </w:tcPr>
          <w:p w14:paraId="2E42272A">
            <w:pPr>
              <w:pStyle w:val="20"/>
              <w:spacing w:before="161" w:line="215" w:lineRule="auto"/>
              <w:ind w:left="443"/>
              <w:rPr>
                <w:color w:val="auto"/>
                <w:highlight w:val="none"/>
              </w:rPr>
            </w:pPr>
            <w:r>
              <w:rPr>
                <w:color w:val="auto"/>
                <w:highlight w:val="none"/>
              </w:rPr>
              <w:t>台</w:t>
            </w:r>
          </w:p>
        </w:tc>
        <w:tc>
          <w:tcPr>
            <w:tcW w:w="2164" w:type="dxa"/>
            <w:vAlign w:val="top"/>
          </w:tcPr>
          <w:p w14:paraId="4BB853F8">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w:t>
            </w:r>
          </w:p>
        </w:tc>
      </w:tr>
      <w:tr w14:paraId="347DB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180" w:type="dxa"/>
            <w:vAlign w:val="top"/>
          </w:tcPr>
          <w:p w14:paraId="516B9CBB">
            <w:pPr>
              <w:pStyle w:val="20"/>
              <w:spacing w:before="162" w:line="214" w:lineRule="auto"/>
              <w:ind w:left="546"/>
              <w:rPr>
                <w:color w:val="auto"/>
                <w:highlight w:val="none"/>
              </w:rPr>
            </w:pPr>
            <w:r>
              <w:rPr>
                <w:color w:val="auto"/>
                <w:highlight w:val="none"/>
              </w:rPr>
              <w:t>2</w:t>
            </w:r>
          </w:p>
        </w:tc>
        <w:tc>
          <w:tcPr>
            <w:tcW w:w="4896" w:type="dxa"/>
            <w:vAlign w:val="top"/>
          </w:tcPr>
          <w:p w14:paraId="59798B3D">
            <w:pPr>
              <w:pStyle w:val="20"/>
              <w:spacing w:before="162" w:line="214" w:lineRule="auto"/>
              <w:ind w:left="1930"/>
              <w:rPr>
                <w:color w:val="auto"/>
                <w:highlight w:val="none"/>
              </w:rPr>
            </w:pPr>
            <w:r>
              <w:rPr>
                <w:color w:val="auto"/>
                <w:spacing w:val="7"/>
                <w:highlight w:val="none"/>
              </w:rPr>
              <w:t>笔记本电脑</w:t>
            </w:r>
          </w:p>
        </w:tc>
        <w:tc>
          <w:tcPr>
            <w:tcW w:w="1050" w:type="dxa"/>
            <w:vAlign w:val="top"/>
          </w:tcPr>
          <w:p w14:paraId="6E7FD04A">
            <w:pPr>
              <w:pStyle w:val="20"/>
              <w:spacing w:before="162" w:line="214" w:lineRule="auto"/>
              <w:ind w:left="443"/>
              <w:rPr>
                <w:color w:val="auto"/>
                <w:highlight w:val="none"/>
              </w:rPr>
            </w:pPr>
            <w:r>
              <w:rPr>
                <w:color w:val="auto"/>
                <w:highlight w:val="none"/>
              </w:rPr>
              <w:t>台</w:t>
            </w:r>
          </w:p>
        </w:tc>
        <w:tc>
          <w:tcPr>
            <w:tcW w:w="2164" w:type="dxa"/>
            <w:vAlign w:val="top"/>
          </w:tcPr>
          <w:p w14:paraId="17721E36">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05509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180" w:type="dxa"/>
            <w:vAlign w:val="top"/>
          </w:tcPr>
          <w:p w14:paraId="575249D9">
            <w:pPr>
              <w:pStyle w:val="20"/>
              <w:spacing w:before="164" w:line="212" w:lineRule="auto"/>
              <w:ind w:left="547"/>
              <w:rPr>
                <w:color w:val="auto"/>
                <w:highlight w:val="none"/>
              </w:rPr>
            </w:pPr>
            <w:r>
              <w:rPr>
                <w:color w:val="auto"/>
                <w:highlight w:val="none"/>
              </w:rPr>
              <w:t>3</w:t>
            </w:r>
          </w:p>
        </w:tc>
        <w:tc>
          <w:tcPr>
            <w:tcW w:w="4896" w:type="dxa"/>
            <w:vAlign w:val="top"/>
          </w:tcPr>
          <w:p w14:paraId="1188325A">
            <w:pPr>
              <w:pStyle w:val="20"/>
              <w:spacing w:before="164" w:line="212" w:lineRule="auto"/>
              <w:ind w:left="1742"/>
              <w:rPr>
                <w:color w:val="auto"/>
                <w:highlight w:val="none"/>
              </w:rPr>
            </w:pPr>
            <w:r>
              <w:rPr>
                <w:color w:val="auto"/>
                <w:spacing w:val="3"/>
                <w:highlight w:val="none"/>
              </w:rPr>
              <w:t>电话机（有线）</w:t>
            </w:r>
          </w:p>
        </w:tc>
        <w:tc>
          <w:tcPr>
            <w:tcW w:w="1050" w:type="dxa"/>
            <w:vAlign w:val="top"/>
          </w:tcPr>
          <w:p w14:paraId="680DE83B">
            <w:pPr>
              <w:pStyle w:val="20"/>
              <w:spacing w:before="164" w:line="212" w:lineRule="auto"/>
              <w:ind w:left="443"/>
              <w:rPr>
                <w:color w:val="auto"/>
                <w:highlight w:val="none"/>
              </w:rPr>
            </w:pPr>
            <w:r>
              <w:rPr>
                <w:color w:val="auto"/>
                <w:highlight w:val="none"/>
              </w:rPr>
              <w:t>台</w:t>
            </w:r>
          </w:p>
        </w:tc>
        <w:tc>
          <w:tcPr>
            <w:tcW w:w="2164" w:type="dxa"/>
            <w:vAlign w:val="top"/>
          </w:tcPr>
          <w:p w14:paraId="2C0930A0">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3693D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475CAA4F">
            <w:pPr>
              <w:pStyle w:val="20"/>
              <w:spacing w:before="165" w:line="212" w:lineRule="auto"/>
              <w:ind w:left="542"/>
              <w:rPr>
                <w:color w:val="auto"/>
                <w:highlight w:val="none"/>
              </w:rPr>
            </w:pPr>
            <w:r>
              <w:rPr>
                <w:color w:val="auto"/>
                <w:highlight w:val="none"/>
              </w:rPr>
              <w:t>4</w:t>
            </w:r>
          </w:p>
        </w:tc>
        <w:tc>
          <w:tcPr>
            <w:tcW w:w="4896" w:type="dxa"/>
            <w:vAlign w:val="top"/>
          </w:tcPr>
          <w:p w14:paraId="742E6249">
            <w:pPr>
              <w:pStyle w:val="20"/>
              <w:spacing w:before="165" w:line="212" w:lineRule="auto"/>
              <w:ind w:left="2136"/>
              <w:rPr>
                <w:color w:val="auto"/>
                <w:highlight w:val="none"/>
              </w:rPr>
            </w:pPr>
            <w:r>
              <w:rPr>
                <w:color w:val="auto"/>
                <w:spacing w:val="7"/>
                <w:highlight w:val="none"/>
              </w:rPr>
              <w:t>传真机</w:t>
            </w:r>
          </w:p>
        </w:tc>
        <w:tc>
          <w:tcPr>
            <w:tcW w:w="1050" w:type="dxa"/>
            <w:vAlign w:val="top"/>
          </w:tcPr>
          <w:p w14:paraId="3E956BE0">
            <w:pPr>
              <w:pStyle w:val="20"/>
              <w:spacing w:before="165" w:line="212" w:lineRule="auto"/>
              <w:ind w:left="443"/>
              <w:rPr>
                <w:color w:val="auto"/>
                <w:highlight w:val="none"/>
              </w:rPr>
            </w:pPr>
            <w:r>
              <w:rPr>
                <w:color w:val="auto"/>
                <w:highlight w:val="none"/>
              </w:rPr>
              <w:t>台</w:t>
            </w:r>
          </w:p>
        </w:tc>
        <w:tc>
          <w:tcPr>
            <w:tcW w:w="2164" w:type="dxa"/>
            <w:vAlign w:val="top"/>
          </w:tcPr>
          <w:p w14:paraId="36B7CC99">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661F1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1A7D6B3C">
            <w:pPr>
              <w:pStyle w:val="20"/>
              <w:spacing w:before="163" w:line="214" w:lineRule="auto"/>
              <w:ind w:left="547"/>
              <w:rPr>
                <w:color w:val="auto"/>
                <w:highlight w:val="none"/>
              </w:rPr>
            </w:pPr>
            <w:r>
              <w:rPr>
                <w:color w:val="auto"/>
                <w:highlight w:val="none"/>
              </w:rPr>
              <w:t>5</w:t>
            </w:r>
          </w:p>
        </w:tc>
        <w:tc>
          <w:tcPr>
            <w:tcW w:w="4896" w:type="dxa"/>
            <w:vAlign w:val="top"/>
          </w:tcPr>
          <w:p w14:paraId="1BD334BA">
            <w:pPr>
              <w:pStyle w:val="20"/>
              <w:spacing w:before="163" w:line="214" w:lineRule="auto"/>
              <w:ind w:left="1925"/>
              <w:rPr>
                <w:color w:val="auto"/>
                <w:highlight w:val="none"/>
              </w:rPr>
            </w:pPr>
            <w:r>
              <w:rPr>
                <w:color w:val="auto"/>
                <w:spacing w:val="8"/>
                <w:highlight w:val="none"/>
              </w:rPr>
              <w:t>激光打印机</w:t>
            </w:r>
          </w:p>
        </w:tc>
        <w:tc>
          <w:tcPr>
            <w:tcW w:w="1050" w:type="dxa"/>
            <w:vAlign w:val="top"/>
          </w:tcPr>
          <w:p w14:paraId="29EF8D04">
            <w:pPr>
              <w:pStyle w:val="20"/>
              <w:spacing w:before="163" w:line="214" w:lineRule="auto"/>
              <w:ind w:left="443"/>
              <w:rPr>
                <w:color w:val="auto"/>
                <w:highlight w:val="none"/>
              </w:rPr>
            </w:pPr>
            <w:r>
              <w:rPr>
                <w:color w:val="auto"/>
                <w:highlight w:val="none"/>
              </w:rPr>
              <w:t>台</w:t>
            </w:r>
          </w:p>
        </w:tc>
        <w:tc>
          <w:tcPr>
            <w:tcW w:w="2164" w:type="dxa"/>
            <w:vAlign w:val="top"/>
          </w:tcPr>
          <w:p w14:paraId="592311AF">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7FD1A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0ED6AA4E">
            <w:pPr>
              <w:pStyle w:val="20"/>
              <w:spacing w:before="164" w:line="213" w:lineRule="auto"/>
              <w:ind w:left="545"/>
              <w:rPr>
                <w:color w:val="auto"/>
                <w:highlight w:val="none"/>
              </w:rPr>
            </w:pPr>
            <w:r>
              <w:rPr>
                <w:color w:val="auto"/>
                <w:highlight w:val="none"/>
              </w:rPr>
              <w:t>6</w:t>
            </w:r>
          </w:p>
        </w:tc>
        <w:tc>
          <w:tcPr>
            <w:tcW w:w="4896" w:type="dxa"/>
            <w:vAlign w:val="top"/>
          </w:tcPr>
          <w:p w14:paraId="07575C69">
            <w:pPr>
              <w:pStyle w:val="20"/>
              <w:spacing w:before="164" w:line="213" w:lineRule="auto"/>
              <w:ind w:left="1272"/>
              <w:rPr>
                <w:color w:val="auto"/>
                <w:highlight w:val="none"/>
              </w:rPr>
            </w:pPr>
            <w:r>
              <w:rPr>
                <w:color w:val="auto"/>
                <w:spacing w:val="7"/>
                <w:highlight w:val="none"/>
              </w:rPr>
              <w:t>彩色扫描仪（可扫描</w:t>
            </w:r>
            <w:r>
              <w:rPr>
                <w:color w:val="auto"/>
                <w:spacing w:val="-43"/>
                <w:highlight w:val="none"/>
              </w:rPr>
              <w:t xml:space="preserve"> </w:t>
            </w:r>
            <w:r>
              <w:rPr>
                <w:color w:val="auto"/>
                <w:spacing w:val="7"/>
                <w:highlight w:val="none"/>
              </w:rPr>
              <w:t>A3）</w:t>
            </w:r>
          </w:p>
        </w:tc>
        <w:tc>
          <w:tcPr>
            <w:tcW w:w="1050" w:type="dxa"/>
            <w:vAlign w:val="top"/>
          </w:tcPr>
          <w:p w14:paraId="7A4EA474">
            <w:pPr>
              <w:pStyle w:val="20"/>
              <w:spacing w:before="164" w:line="213" w:lineRule="auto"/>
              <w:ind w:left="443"/>
              <w:rPr>
                <w:color w:val="auto"/>
                <w:highlight w:val="none"/>
              </w:rPr>
            </w:pPr>
            <w:r>
              <w:rPr>
                <w:color w:val="auto"/>
                <w:highlight w:val="none"/>
              </w:rPr>
              <w:t>台</w:t>
            </w:r>
          </w:p>
        </w:tc>
        <w:tc>
          <w:tcPr>
            <w:tcW w:w="2164" w:type="dxa"/>
            <w:vAlign w:val="top"/>
          </w:tcPr>
          <w:p w14:paraId="7882728A">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2EE21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6703CD18">
            <w:pPr>
              <w:pStyle w:val="20"/>
              <w:spacing w:before="164" w:line="213" w:lineRule="auto"/>
              <w:ind w:left="548"/>
              <w:rPr>
                <w:color w:val="auto"/>
                <w:highlight w:val="none"/>
              </w:rPr>
            </w:pPr>
            <w:r>
              <w:rPr>
                <w:color w:val="auto"/>
                <w:highlight w:val="none"/>
              </w:rPr>
              <w:t>7</w:t>
            </w:r>
          </w:p>
        </w:tc>
        <w:tc>
          <w:tcPr>
            <w:tcW w:w="4896" w:type="dxa"/>
            <w:vAlign w:val="top"/>
          </w:tcPr>
          <w:p w14:paraId="0D7F135C">
            <w:pPr>
              <w:pStyle w:val="20"/>
              <w:spacing w:before="164" w:line="213" w:lineRule="auto"/>
              <w:ind w:left="1928"/>
              <w:rPr>
                <w:color w:val="auto"/>
                <w:highlight w:val="none"/>
              </w:rPr>
            </w:pPr>
            <w:r>
              <w:rPr>
                <w:color w:val="auto"/>
                <w:spacing w:val="7"/>
                <w:highlight w:val="none"/>
              </w:rPr>
              <w:t>数码摄像机</w:t>
            </w:r>
          </w:p>
        </w:tc>
        <w:tc>
          <w:tcPr>
            <w:tcW w:w="1050" w:type="dxa"/>
            <w:vAlign w:val="top"/>
          </w:tcPr>
          <w:p w14:paraId="450D1393">
            <w:pPr>
              <w:pStyle w:val="20"/>
              <w:spacing w:before="164" w:line="213" w:lineRule="auto"/>
              <w:ind w:left="443"/>
              <w:rPr>
                <w:color w:val="auto"/>
                <w:highlight w:val="none"/>
              </w:rPr>
            </w:pPr>
            <w:r>
              <w:rPr>
                <w:color w:val="auto"/>
                <w:highlight w:val="none"/>
              </w:rPr>
              <w:t>台</w:t>
            </w:r>
          </w:p>
        </w:tc>
        <w:tc>
          <w:tcPr>
            <w:tcW w:w="2164" w:type="dxa"/>
            <w:vAlign w:val="top"/>
          </w:tcPr>
          <w:p w14:paraId="694B45DB">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5F117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26949544">
            <w:pPr>
              <w:pStyle w:val="20"/>
              <w:spacing w:before="164" w:line="213" w:lineRule="auto"/>
              <w:ind w:left="544"/>
              <w:rPr>
                <w:color w:val="auto"/>
                <w:highlight w:val="none"/>
              </w:rPr>
            </w:pPr>
            <w:r>
              <w:rPr>
                <w:color w:val="auto"/>
                <w:highlight w:val="none"/>
              </w:rPr>
              <w:t>8</w:t>
            </w:r>
          </w:p>
        </w:tc>
        <w:tc>
          <w:tcPr>
            <w:tcW w:w="4896" w:type="dxa"/>
            <w:vAlign w:val="top"/>
          </w:tcPr>
          <w:p w14:paraId="180628EB">
            <w:pPr>
              <w:pStyle w:val="20"/>
              <w:spacing w:before="164" w:line="213" w:lineRule="auto"/>
              <w:ind w:left="1064"/>
              <w:rPr>
                <w:color w:val="auto"/>
                <w:highlight w:val="none"/>
              </w:rPr>
            </w:pPr>
            <w:r>
              <w:rPr>
                <w:color w:val="auto"/>
                <w:spacing w:val="6"/>
                <w:highlight w:val="none"/>
              </w:rPr>
              <w:t>数码相机（1200</w:t>
            </w:r>
            <w:r>
              <w:rPr>
                <w:color w:val="auto"/>
                <w:spacing w:val="-31"/>
                <w:highlight w:val="none"/>
              </w:rPr>
              <w:t xml:space="preserve"> </w:t>
            </w:r>
            <w:r>
              <w:rPr>
                <w:color w:val="auto"/>
                <w:spacing w:val="6"/>
                <w:highlight w:val="none"/>
              </w:rPr>
              <w:t>万像素以上）</w:t>
            </w:r>
          </w:p>
        </w:tc>
        <w:tc>
          <w:tcPr>
            <w:tcW w:w="1050" w:type="dxa"/>
            <w:vAlign w:val="top"/>
          </w:tcPr>
          <w:p w14:paraId="7402495A">
            <w:pPr>
              <w:pStyle w:val="20"/>
              <w:spacing w:before="164" w:line="213" w:lineRule="auto"/>
              <w:ind w:left="443"/>
              <w:rPr>
                <w:color w:val="auto"/>
                <w:highlight w:val="none"/>
              </w:rPr>
            </w:pPr>
            <w:r>
              <w:rPr>
                <w:color w:val="auto"/>
                <w:highlight w:val="none"/>
              </w:rPr>
              <w:t>台</w:t>
            </w:r>
          </w:p>
        </w:tc>
        <w:tc>
          <w:tcPr>
            <w:tcW w:w="2164" w:type="dxa"/>
            <w:vAlign w:val="top"/>
          </w:tcPr>
          <w:p w14:paraId="4F28B5AA">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1A414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5211E8A0">
            <w:pPr>
              <w:pStyle w:val="20"/>
              <w:spacing w:before="165" w:line="212" w:lineRule="auto"/>
              <w:ind w:left="544"/>
              <w:rPr>
                <w:color w:val="auto"/>
                <w:highlight w:val="none"/>
              </w:rPr>
            </w:pPr>
            <w:r>
              <w:rPr>
                <w:color w:val="auto"/>
                <w:highlight w:val="none"/>
              </w:rPr>
              <w:t>9</w:t>
            </w:r>
          </w:p>
        </w:tc>
        <w:tc>
          <w:tcPr>
            <w:tcW w:w="4896" w:type="dxa"/>
            <w:vAlign w:val="top"/>
          </w:tcPr>
          <w:p w14:paraId="252F15CB">
            <w:pPr>
              <w:pStyle w:val="20"/>
              <w:spacing w:before="165" w:line="212" w:lineRule="auto"/>
              <w:ind w:left="1488"/>
              <w:rPr>
                <w:color w:val="auto"/>
                <w:highlight w:val="none"/>
              </w:rPr>
            </w:pPr>
            <w:r>
              <w:rPr>
                <w:color w:val="auto"/>
                <w:spacing w:val="11"/>
                <w:highlight w:val="none"/>
              </w:rPr>
              <w:t>复印机（可复印A3）</w:t>
            </w:r>
          </w:p>
        </w:tc>
        <w:tc>
          <w:tcPr>
            <w:tcW w:w="1050" w:type="dxa"/>
            <w:vAlign w:val="top"/>
          </w:tcPr>
          <w:p w14:paraId="4B206CA4">
            <w:pPr>
              <w:pStyle w:val="20"/>
              <w:spacing w:before="165" w:line="212" w:lineRule="auto"/>
              <w:ind w:left="443"/>
              <w:rPr>
                <w:color w:val="auto"/>
                <w:highlight w:val="none"/>
              </w:rPr>
            </w:pPr>
            <w:r>
              <w:rPr>
                <w:color w:val="auto"/>
                <w:highlight w:val="none"/>
              </w:rPr>
              <w:t>台</w:t>
            </w:r>
          </w:p>
        </w:tc>
        <w:tc>
          <w:tcPr>
            <w:tcW w:w="2164" w:type="dxa"/>
            <w:vAlign w:val="top"/>
          </w:tcPr>
          <w:p w14:paraId="76B839A4">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39691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290" w:type="dxa"/>
            <w:gridSpan w:val="4"/>
            <w:vAlign w:val="top"/>
          </w:tcPr>
          <w:p w14:paraId="47049D2F">
            <w:pPr>
              <w:pStyle w:val="20"/>
              <w:spacing w:before="165" w:line="212" w:lineRule="auto"/>
              <w:ind w:left="4024"/>
              <w:rPr>
                <w:color w:val="auto"/>
                <w:highlight w:val="none"/>
              </w:rPr>
            </w:pPr>
            <w:r>
              <w:rPr>
                <w:color w:val="auto"/>
                <w:spacing w:val="7"/>
                <w:highlight w:val="none"/>
              </w:rPr>
              <w:t>二、交通设施</w:t>
            </w:r>
          </w:p>
        </w:tc>
      </w:tr>
      <w:tr w14:paraId="2149E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78462D96">
            <w:pPr>
              <w:pStyle w:val="20"/>
              <w:spacing w:before="163" w:line="214" w:lineRule="auto"/>
              <w:ind w:left="559"/>
              <w:rPr>
                <w:color w:val="auto"/>
                <w:highlight w:val="none"/>
              </w:rPr>
            </w:pPr>
            <w:r>
              <w:rPr>
                <w:color w:val="auto"/>
                <w:highlight w:val="none"/>
              </w:rPr>
              <w:t>1</w:t>
            </w:r>
          </w:p>
        </w:tc>
        <w:tc>
          <w:tcPr>
            <w:tcW w:w="4896" w:type="dxa"/>
            <w:vAlign w:val="top"/>
          </w:tcPr>
          <w:p w14:paraId="568E7B25">
            <w:pPr>
              <w:pStyle w:val="20"/>
              <w:spacing w:before="163" w:line="214" w:lineRule="auto"/>
              <w:ind w:left="370"/>
              <w:rPr>
                <w:color w:val="auto"/>
                <w:highlight w:val="none"/>
              </w:rPr>
            </w:pPr>
            <w:r>
              <w:rPr>
                <w:color w:val="auto"/>
                <w:spacing w:val="4"/>
                <w:highlight w:val="none"/>
              </w:rPr>
              <w:t>交通车辆（4驱越野车（行驶里程＜15万</w:t>
            </w:r>
            <w:r>
              <w:rPr>
                <w:color w:val="auto"/>
                <w:highlight w:val="none"/>
              </w:rPr>
              <w:t>km</w:t>
            </w:r>
            <w:r>
              <w:rPr>
                <w:color w:val="auto"/>
                <w:spacing w:val="1"/>
                <w:highlight w:val="none"/>
              </w:rPr>
              <w:t>））</w:t>
            </w:r>
          </w:p>
        </w:tc>
        <w:tc>
          <w:tcPr>
            <w:tcW w:w="1050" w:type="dxa"/>
            <w:vAlign w:val="top"/>
          </w:tcPr>
          <w:p w14:paraId="4B456DB9">
            <w:pPr>
              <w:pStyle w:val="20"/>
              <w:spacing w:before="163" w:line="214" w:lineRule="auto"/>
              <w:ind w:left="425"/>
              <w:rPr>
                <w:color w:val="auto"/>
                <w:highlight w:val="none"/>
              </w:rPr>
            </w:pPr>
            <w:r>
              <w:rPr>
                <w:color w:val="auto"/>
                <w:spacing w:val="1"/>
                <w:highlight w:val="none"/>
              </w:rPr>
              <w:t>辆</w:t>
            </w:r>
          </w:p>
        </w:tc>
        <w:tc>
          <w:tcPr>
            <w:tcW w:w="2164" w:type="dxa"/>
            <w:vAlign w:val="top"/>
          </w:tcPr>
          <w:p w14:paraId="6AA8CF62">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5F07D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08BFF019">
            <w:pPr>
              <w:pStyle w:val="20"/>
              <w:spacing w:before="164" w:line="213" w:lineRule="auto"/>
              <w:ind w:left="546"/>
              <w:rPr>
                <w:color w:val="auto"/>
                <w:highlight w:val="none"/>
              </w:rPr>
            </w:pPr>
            <w:r>
              <w:rPr>
                <w:color w:val="auto"/>
                <w:highlight w:val="none"/>
              </w:rPr>
              <w:t>2</w:t>
            </w:r>
          </w:p>
        </w:tc>
        <w:tc>
          <w:tcPr>
            <w:tcW w:w="4896" w:type="dxa"/>
            <w:vAlign w:val="top"/>
          </w:tcPr>
          <w:p w14:paraId="074D6FC6">
            <w:pPr>
              <w:pStyle w:val="20"/>
              <w:spacing w:before="164" w:line="213" w:lineRule="auto"/>
              <w:ind w:left="1926"/>
              <w:rPr>
                <w:color w:val="auto"/>
                <w:highlight w:val="none"/>
              </w:rPr>
            </w:pPr>
            <w:r>
              <w:rPr>
                <w:color w:val="auto"/>
                <w:spacing w:val="8"/>
                <w:highlight w:val="none"/>
              </w:rPr>
              <w:t>双排人货车</w:t>
            </w:r>
          </w:p>
        </w:tc>
        <w:tc>
          <w:tcPr>
            <w:tcW w:w="1050" w:type="dxa"/>
            <w:vAlign w:val="top"/>
          </w:tcPr>
          <w:p w14:paraId="4774F09B">
            <w:pPr>
              <w:pStyle w:val="20"/>
              <w:spacing w:before="164" w:line="213" w:lineRule="auto"/>
              <w:ind w:left="425"/>
              <w:rPr>
                <w:color w:val="auto"/>
                <w:highlight w:val="none"/>
              </w:rPr>
            </w:pPr>
            <w:r>
              <w:rPr>
                <w:color w:val="auto"/>
                <w:spacing w:val="1"/>
                <w:highlight w:val="none"/>
              </w:rPr>
              <w:t>辆</w:t>
            </w:r>
          </w:p>
        </w:tc>
        <w:tc>
          <w:tcPr>
            <w:tcW w:w="2164" w:type="dxa"/>
            <w:vAlign w:val="top"/>
          </w:tcPr>
          <w:p w14:paraId="07F0B48D">
            <w:pPr>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r>
      <w:tr w14:paraId="07A1C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290" w:type="dxa"/>
            <w:gridSpan w:val="4"/>
            <w:vAlign w:val="top"/>
          </w:tcPr>
          <w:p w14:paraId="62FE8379">
            <w:pPr>
              <w:pStyle w:val="20"/>
              <w:spacing w:before="164" w:line="213" w:lineRule="auto"/>
              <w:ind w:left="3706"/>
              <w:rPr>
                <w:color w:val="auto"/>
                <w:highlight w:val="none"/>
              </w:rPr>
            </w:pPr>
            <w:r>
              <w:rPr>
                <w:color w:val="auto"/>
                <w:spacing w:val="8"/>
                <w:highlight w:val="none"/>
              </w:rPr>
              <w:t>三、办公、生活设施</w:t>
            </w:r>
          </w:p>
        </w:tc>
      </w:tr>
      <w:tr w14:paraId="14A07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4194909D">
            <w:pPr>
              <w:pStyle w:val="20"/>
              <w:spacing w:before="164" w:line="213" w:lineRule="auto"/>
              <w:ind w:left="559"/>
              <w:rPr>
                <w:color w:val="auto"/>
                <w:highlight w:val="none"/>
              </w:rPr>
            </w:pPr>
            <w:r>
              <w:rPr>
                <w:color w:val="auto"/>
                <w:highlight w:val="none"/>
              </w:rPr>
              <w:t>1</w:t>
            </w:r>
          </w:p>
        </w:tc>
        <w:tc>
          <w:tcPr>
            <w:tcW w:w="4896" w:type="dxa"/>
            <w:vAlign w:val="top"/>
          </w:tcPr>
          <w:p w14:paraId="78C9E3A8">
            <w:pPr>
              <w:pStyle w:val="20"/>
              <w:spacing w:before="164" w:line="213" w:lineRule="auto"/>
              <w:ind w:left="2137"/>
              <w:rPr>
                <w:color w:val="auto"/>
                <w:highlight w:val="none"/>
              </w:rPr>
            </w:pPr>
            <w:r>
              <w:rPr>
                <w:color w:val="auto"/>
                <w:spacing w:val="7"/>
                <w:highlight w:val="none"/>
              </w:rPr>
              <w:t>会议室</w:t>
            </w:r>
          </w:p>
        </w:tc>
        <w:tc>
          <w:tcPr>
            <w:tcW w:w="1050" w:type="dxa"/>
            <w:vAlign w:val="top"/>
          </w:tcPr>
          <w:p w14:paraId="086DE8BD">
            <w:pPr>
              <w:pStyle w:val="20"/>
              <w:spacing w:before="148" w:line="228" w:lineRule="auto"/>
              <w:ind w:left="447"/>
              <w:rPr>
                <w:color w:val="auto"/>
                <w:sz w:val="10"/>
                <w:szCs w:val="10"/>
                <w:highlight w:val="none"/>
              </w:rPr>
            </w:pPr>
            <w:r>
              <w:rPr>
                <w:color w:val="auto"/>
                <w:spacing w:val="3"/>
                <w:position w:val="-2"/>
                <w:highlight w:val="none"/>
              </w:rPr>
              <w:t>m</w:t>
            </w:r>
            <w:r>
              <w:rPr>
                <w:color w:val="auto"/>
                <w:spacing w:val="3"/>
                <w:position w:val="8"/>
                <w:sz w:val="10"/>
                <w:szCs w:val="10"/>
                <w:highlight w:val="none"/>
              </w:rPr>
              <w:t>2</w:t>
            </w:r>
          </w:p>
        </w:tc>
        <w:tc>
          <w:tcPr>
            <w:tcW w:w="2164" w:type="dxa"/>
            <w:vAlign w:val="center"/>
          </w:tcPr>
          <w:p w14:paraId="1CE6E73E">
            <w:pPr>
              <w:jc w:val="center"/>
              <w:rPr>
                <w:rFonts w:hint="eastAsia" w:ascii="宋体" w:hAnsi="宋体" w:eastAsia="宋体" w:cs="宋体"/>
                <w:color w:val="auto"/>
                <w:sz w:val="21"/>
                <w:highlight w:val="none"/>
              </w:rPr>
            </w:pPr>
            <w:r>
              <w:rPr>
                <w:rFonts w:hint="eastAsia" w:ascii="宋体" w:hAnsi="宋体" w:eastAsia="宋体" w:cs="宋体"/>
                <w:color w:val="auto"/>
                <w:szCs w:val="21"/>
                <w:highlight w:val="none"/>
              </w:rPr>
              <w:t>≥50</w:t>
            </w:r>
          </w:p>
        </w:tc>
      </w:tr>
      <w:tr w14:paraId="7E594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80" w:type="dxa"/>
            <w:vAlign w:val="top"/>
          </w:tcPr>
          <w:p w14:paraId="32CE9612">
            <w:pPr>
              <w:pStyle w:val="20"/>
              <w:spacing w:before="165" w:line="212" w:lineRule="auto"/>
              <w:ind w:left="546"/>
              <w:rPr>
                <w:color w:val="auto"/>
                <w:highlight w:val="none"/>
              </w:rPr>
            </w:pPr>
            <w:r>
              <w:rPr>
                <w:color w:val="auto"/>
                <w:highlight w:val="none"/>
              </w:rPr>
              <w:t>2</w:t>
            </w:r>
          </w:p>
        </w:tc>
        <w:tc>
          <w:tcPr>
            <w:tcW w:w="4896" w:type="dxa"/>
            <w:vAlign w:val="top"/>
          </w:tcPr>
          <w:p w14:paraId="4A034DDB">
            <w:pPr>
              <w:pStyle w:val="20"/>
              <w:spacing w:before="165" w:line="212" w:lineRule="auto"/>
              <w:ind w:left="1929"/>
              <w:rPr>
                <w:color w:val="auto"/>
                <w:highlight w:val="none"/>
              </w:rPr>
            </w:pPr>
            <w:r>
              <w:rPr>
                <w:color w:val="auto"/>
                <w:spacing w:val="7"/>
                <w:highlight w:val="none"/>
              </w:rPr>
              <w:t>综合办公室</w:t>
            </w:r>
          </w:p>
        </w:tc>
        <w:tc>
          <w:tcPr>
            <w:tcW w:w="1050" w:type="dxa"/>
            <w:vAlign w:val="top"/>
          </w:tcPr>
          <w:p w14:paraId="0C3AA46C">
            <w:pPr>
              <w:pStyle w:val="20"/>
              <w:spacing w:before="148" w:line="228" w:lineRule="auto"/>
              <w:ind w:left="447"/>
              <w:rPr>
                <w:color w:val="auto"/>
                <w:sz w:val="10"/>
                <w:szCs w:val="10"/>
                <w:highlight w:val="none"/>
              </w:rPr>
            </w:pPr>
            <w:r>
              <w:rPr>
                <w:color w:val="auto"/>
                <w:spacing w:val="3"/>
                <w:position w:val="-2"/>
                <w:highlight w:val="none"/>
              </w:rPr>
              <w:t>m</w:t>
            </w:r>
            <w:r>
              <w:rPr>
                <w:color w:val="auto"/>
                <w:spacing w:val="3"/>
                <w:position w:val="8"/>
                <w:sz w:val="10"/>
                <w:szCs w:val="10"/>
                <w:highlight w:val="none"/>
              </w:rPr>
              <w:t>2</w:t>
            </w:r>
          </w:p>
        </w:tc>
        <w:tc>
          <w:tcPr>
            <w:tcW w:w="2164" w:type="dxa"/>
            <w:vAlign w:val="center"/>
          </w:tcPr>
          <w:p w14:paraId="3708B2AD">
            <w:pPr>
              <w:jc w:val="center"/>
              <w:rPr>
                <w:rFonts w:hint="eastAsia" w:ascii="宋体" w:hAnsi="宋体" w:eastAsia="宋体" w:cs="宋体"/>
                <w:color w:val="auto"/>
                <w:sz w:val="21"/>
                <w:highlight w:val="none"/>
              </w:rPr>
            </w:pPr>
            <w:r>
              <w:rPr>
                <w:rFonts w:hint="eastAsia" w:ascii="宋体" w:hAnsi="宋体" w:eastAsia="宋体" w:cs="宋体"/>
                <w:color w:val="auto"/>
                <w:szCs w:val="21"/>
                <w:highlight w:val="none"/>
              </w:rPr>
              <w:t>≥6</w:t>
            </w:r>
          </w:p>
        </w:tc>
      </w:tr>
      <w:tr w14:paraId="34488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180" w:type="dxa"/>
            <w:vAlign w:val="top"/>
          </w:tcPr>
          <w:p w14:paraId="1C5BE752">
            <w:pPr>
              <w:pStyle w:val="20"/>
              <w:spacing w:before="165" w:line="216" w:lineRule="auto"/>
              <w:ind w:left="547"/>
              <w:rPr>
                <w:color w:val="auto"/>
                <w:highlight w:val="none"/>
              </w:rPr>
            </w:pPr>
            <w:r>
              <w:rPr>
                <w:color w:val="auto"/>
                <w:highlight w:val="none"/>
              </w:rPr>
              <w:t>3</w:t>
            </w:r>
          </w:p>
        </w:tc>
        <w:tc>
          <w:tcPr>
            <w:tcW w:w="4896" w:type="dxa"/>
            <w:vAlign w:val="top"/>
          </w:tcPr>
          <w:p w14:paraId="6559DBCF">
            <w:pPr>
              <w:pStyle w:val="20"/>
              <w:spacing w:before="165" w:line="216" w:lineRule="auto"/>
              <w:ind w:left="2138"/>
              <w:rPr>
                <w:color w:val="auto"/>
                <w:highlight w:val="none"/>
              </w:rPr>
            </w:pPr>
            <w:r>
              <w:rPr>
                <w:color w:val="auto"/>
                <w:spacing w:val="6"/>
                <w:highlight w:val="none"/>
              </w:rPr>
              <w:t>档案室</w:t>
            </w:r>
          </w:p>
        </w:tc>
        <w:tc>
          <w:tcPr>
            <w:tcW w:w="1050" w:type="dxa"/>
            <w:vAlign w:val="top"/>
          </w:tcPr>
          <w:p w14:paraId="67372495">
            <w:pPr>
              <w:pStyle w:val="20"/>
              <w:spacing w:before="148" w:line="231" w:lineRule="auto"/>
              <w:ind w:left="447"/>
              <w:rPr>
                <w:color w:val="auto"/>
                <w:sz w:val="10"/>
                <w:szCs w:val="10"/>
                <w:highlight w:val="none"/>
              </w:rPr>
            </w:pPr>
            <w:r>
              <w:rPr>
                <w:color w:val="auto"/>
                <w:spacing w:val="3"/>
                <w:position w:val="-2"/>
                <w:highlight w:val="none"/>
              </w:rPr>
              <w:t>m</w:t>
            </w:r>
            <w:r>
              <w:rPr>
                <w:color w:val="auto"/>
                <w:spacing w:val="3"/>
                <w:position w:val="8"/>
                <w:sz w:val="10"/>
                <w:szCs w:val="10"/>
                <w:highlight w:val="none"/>
              </w:rPr>
              <w:t>2</w:t>
            </w:r>
          </w:p>
        </w:tc>
        <w:tc>
          <w:tcPr>
            <w:tcW w:w="2164" w:type="dxa"/>
            <w:vAlign w:val="center"/>
          </w:tcPr>
          <w:p w14:paraId="3B662134">
            <w:pPr>
              <w:jc w:val="center"/>
              <w:rPr>
                <w:rFonts w:hint="eastAsia" w:ascii="宋体" w:hAnsi="宋体" w:eastAsia="宋体" w:cs="宋体"/>
                <w:color w:val="auto"/>
                <w:sz w:val="21"/>
                <w:highlight w:val="none"/>
              </w:rPr>
            </w:pPr>
            <w:r>
              <w:rPr>
                <w:rFonts w:hint="eastAsia" w:ascii="宋体" w:hAnsi="宋体" w:eastAsia="宋体" w:cs="宋体"/>
                <w:color w:val="auto"/>
                <w:szCs w:val="21"/>
                <w:highlight w:val="none"/>
              </w:rPr>
              <w:t>≥20</w:t>
            </w:r>
          </w:p>
        </w:tc>
      </w:tr>
    </w:tbl>
    <w:p w14:paraId="4E5FA633">
      <w:pPr>
        <w:spacing w:before="31" w:line="232" w:lineRule="auto"/>
        <w:ind w:left="118"/>
        <w:rPr>
          <w:rFonts w:ascii="宋体" w:hAnsi="宋体" w:eastAsia="宋体" w:cs="宋体"/>
          <w:color w:val="auto"/>
          <w:sz w:val="20"/>
          <w:szCs w:val="20"/>
          <w:highlight w:val="none"/>
        </w:rPr>
      </w:pPr>
      <w:r>
        <w:rPr>
          <w:rFonts w:ascii="宋体" w:hAnsi="宋体" w:eastAsia="宋体" w:cs="宋体"/>
          <w:color w:val="auto"/>
          <w:sz w:val="20"/>
          <w:szCs w:val="20"/>
          <w:highlight w:val="none"/>
        </w:rPr>
        <w:t>注：</w:t>
      </w:r>
    </w:p>
    <w:p w14:paraId="720DEABC">
      <w:pPr>
        <w:spacing w:before="19" w:line="227" w:lineRule="auto"/>
        <w:ind w:left="55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1、本表数量为最低要求，办公生活用房应执行省交通运输厅对高速公路标准化管理的规定。</w:t>
      </w:r>
    </w:p>
    <w:p w14:paraId="4139BDD3">
      <w:pPr>
        <w:spacing w:before="28" w:line="227" w:lineRule="auto"/>
        <w:ind w:left="54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2、监理驻地需与网络连接，充分考虑可视化管理的手段，网络流量达</w:t>
      </w:r>
      <w:r>
        <w:rPr>
          <w:rFonts w:ascii="宋体" w:hAnsi="宋体" w:eastAsia="宋体" w:cs="宋体"/>
          <w:color w:val="auto"/>
          <w:spacing w:val="-11"/>
          <w:sz w:val="20"/>
          <w:szCs w:val="20"/>
          <w:highlight w:val="none"/>
        </w:rPr>
        <w:t xml:space="preserve"> </w:t>
      </w:r>
      <w:r>
        <w:rPr>
          <w:rFonts w:ascii="宋体" w:hAnsi="宋体" w:eastAsia="宋体" w:cs="宋体"/>
          <w:color w:val="auto"/>
          <w:spacing w:val="7"/>
          <w:sz w:val="20"/>
          <w:szCs w:val="20"/>
          <w:highlight w:val="none"/>
        </w:rPr>
        <w:t>10M</w:t>
      </w:r>
      <w:r>
        <w:rPr>
          <w:rFonts w:ascii="宋体" w:hAnsi="宋体" w:eastAsia="宋体" w:cs="宋体"/>
          <w:color w:val="auto"/>
          <w:spacing w:val="-17"/>
          <w:sz w:val="20"/>
          <w:szCs w:val="20"/>
          <w:highlight w:val="none"/>
        </w:rPr>
        <w:t xml:space="preserve"> </w:t>
      </w:r>
      <w:r>
        <w:rPr>
          <w:rFonts w:ascii="宋体" w:hAnsi="宋体" w:eastAsia="宋体" w:cs="宋体"/>
          <w:color w:val="auto"/>
          <w:spacing w:val="7"/>
          <w:sz w:val="20"/>
          <w:szCs w:val="20"/>
          <w:highlight w:val="none"/>
        </w:rPr>
        <w:t>以上。</w:t>
      </w:r>
    </w:p>
    <w:p w14:paraId="0FB92F4F">
      <w:pPr>
        <w:spacing w:line="253" w:lineRule="auto"/>
        <w:rPr>
          <w:rFonts w:ascii="Arial"/>
          <w:color w:val="auto"/>
          <w:sz w:val="21"/>
          <w:highlight w:val="none"/>
        </w:rPr>
      </w:pPr>
    </w:p>
    <w:p w14:paraId="595B8321">
      <w:pPr>
        <w:spacing w:line="254" w:lineRule="auto"/>
        <w:rPr>
          <w:rFonts w:ascii="Arial"/>
          <w:color w:val="auto"/>
          <w:sz w:val="21"/>
          <w:highlight w:val="none"/>
        </w:rPr>
      </w:pPr>
    </w:p>
    <w:p w14:paraId="4E9B72BD">
      <w:pPr>
        <w:spacing w:line="254" w:lineRule="auto"/>
        <w:rPr>
          <w:rFonts w:ascii="Arial"/>
          <w:color w:val="auto"/>
          <w:sz w:val="21"/>
          <w:highlight w:val="none"/>
        </w:rPr>
      </w:pPr>
    </w:p>
    <w:p w14:paraId="2621E4F1">
      <w:pPr>
        <w:spacing w:line="254" w:lineRule="auto"/>
        <w:rPr>
          <w:rFonts w:ascii="Arial"/>
          <w:color w:val="auto"/>
          <w:sz w:val="21"/>
          <w:highlight w:val="none"/>
        </w:rPr>
      </w:pPr>
    </w:p>
    <w:p w14:paraId="3078D8A3">
      <w:pPr>
        <w:spacing w:line="254" w:lineRule="auto"/>
        <w:rPr>
          <w:rFonts w:ascii="Arial"/>
          <w:color w:val="auto"/>
          <w:sz w:val="21"/>
          <w:highlight w:val="none"/>
        </w:rPr>
      </w:pPr>
    </w:p>
    <w:p w14:paraId="220E80B1">
      <w:pPr>
        <w:spacing w:line="254" w:lineRule="auto"/>
        <w:rPr>
          <w:rFonts w:ascii="Arial"/>
          <w:color w:val="auto"/>
          <w:sz w:val="21"/>
          <w:highlight w:val="none"/>
        </w:rPr>
      </w:pPr>
    </w:p>
    <w:p w14:paraId="02EDC6B7">
      <w:pPr>
        <w:spacing w:line="254" w:lineRule="auto"/>
        <w:rPr>
          <w:rFonts w:ascii="Arial"/>
          <w:color w:val="auto"/>
          <w:sz w:val="21"/>
          <w:highlight w:val="none"/>
        </w:rPr>
      </w:pPr>
    </w:p>
    <w:p w14:paraId="07FC6B8E">
      <w:pPr>
        <w:spacing w:line="254" w:lineRule="auto"/>
        <w:rPr>
          <w:rFonts w:ascii="Arial"/>
          <w:color w:val="auto"/>
          <w:sz w:val="21"/>
          <w:highlight w:val="none"/>
        </w:rPr>
      </w:pPr>
    </w:p>
    <w:p w14:paraId="32077D2B">
      <w:pPr>
        <w:spacing w:line="254" w:lineRule="auto"/>
        <w:rPr>
          <w:rFonts w:ascii="Arial"/>
          <w:color w:val="auto"/>
          <w:sz w:val="21"/>
          <w:highlight w:val="none"/>
        </w:rPr>
      </w:pPr>
    </w:p>
    <w:p w14:paraId="795750E2">
      <w:pPr>
        <w:spacing w:line="254" w:lineRule="auto"/>
        <w:rPr>
          <w:rFonts w:ascii="Arial"/>
          <w:color w:val="auto"/>
          <w:sz w:val="21"/>
          <w:highlight w:val="none"/>
        </w:rPr>
      </w:pPr>
    </w:p>
    <w:p w14:paraId="539A3EBA">
      <w:pPr>
        <w:spacing w:line="254" w:lineRule="auto"/>
        <w:rPr>
          <w:rFonts w:ascii="Arial"/>
          <w:color w:val="auto"/>
          <w:sz w:val="21"/>
          <w:highlight w:val="none"/>
        </w:rPr>
      </w:pPr>
    </w:p>
    <w:p w14:paraId="7866F531">
      <w:pPr>
        <w:spacing w:line="254" w:lineRule="auto"/>
        <w:rPr>
          <w:rFonts w:ascii="Arial"/>
          <w:color w:val="auto"/>
          <w:sz w:val="21"/>
          <w:highlight w:val="none"/>
        </w:rPr>
      </w:pPr>
    </w:p>
    <w:p w14:paraId="40945ADE">
      <w:pPr>
        <w:spacing w:line="254" w:lineRule="auto"/>
        <w:rPr>
          <w:rFonts w:ascii="Arial"/>
          <w:color w:val="auto"/>
          <w:sz w:val="21"/>
          <w:highlight w:val="none"/>
        </w:rPr>
      </w:pPr>
    </w:p>
    <w:p w14:paraId="14882E24">
      <w:pPr>
        <w:spacing w:line="254" w:lineRule="auto"/>
        <w:rPr>
          <w:rFonts w:ascii="Arial"/>
          <w:color w:val="auto"/>
          <w:sz w:val="21"/>
          <w:highlight w:val="none"/>
        </w:rPr>
      </w:pPr>
    </w:p>
    <w:p w14:paraId="4A2CD559">
      <w:pPr>
        <w:spacing w:line="254" w:lineRule="auto"/>
        <w:rPr>
          <w:rFonts w:ascii="Arial"/>
          <w:color w:val="auto"/>
          <w:sz w:val="21"/>
          <w:highlight w:val="none"/>
        </w:rPr>
      </w:pPr>
    </w:p>
    <w:p w14:paraId="7B0DA15B">
      <w:pPr>
        <w:spacing w:line="287" w:lineRule="auto"/>
        <w:rPr>
          <w:rFonts w:ascii="Arial"/>
          <w:color w:val="auto"/>
          <w:sz w:val="21"/>
          <w:highlight w:val="none"/>
        </w:rPr>
      </w:pPr>
    </w:p>
    <w:p w14:paraId="33D5C1E2">
      <w:pPr>
        <w:spacing w:line="287" w:lineRule="auto"/>
        <w:rPr>
          <w:rFonts w:ascii="Arial"/>
          <w:color w:val="auto"/>
          <w:sz w:val="21"/>
          <w:highlight w:val="none"/>
        </w:rPr>
      </w:pPr>
    </w:p>
    <w:p w14:paraId="5764FF4F">
      <w:pPr>
        <w:spacing w:line="287" w:lineRule="auto"/>
        <w:rPr>
          <w:rFonts w:ascii="Arial"/>
          <w:color w:val="auto"/>
          <w:sz w:val="21"/>
          <w:highlight w:val="none"/>
        </w:rPr>
      </w:pPr>
    </w:p>
    <w:p w14:paraId="18CF4804">
      <w:pPr>
        <w:spacing w:line="287" w:lineRule="auto"/>
        <w:rPr>
          <w:rFonts w:ascii="Arial"/>
          <w:color w:val="auto"/>
          <w:sz w:val="21"/>
          <w:highlight w:val="none"/>
        </w:rPr>
      </w:pPr>
    </w:p>
    <w:p w14:paraId="6977C11B">
      <w:pPr>
        <w:spacing w:line="287" w:lineRule="auto"/>
        <w:rPr>
          <w:rFonts w:ascii="Arial"/>
          <w:color w:val="auto"/>
          <w:sz w:val="21"/>
          <w:highlight w:val="none"/>
        </w:rPr>
      </w:pPr>
    </w:p>
    <w:p w14:paraId="1C98751E">
      <w:pPr>
        <w:spacing w:line="287" w:lineRule="auto"/>
        <w:rPr>
          <w:rFonts w:ascii="Arial"/>
          <w:color w:val="auto"/>
          <w:sz w:val="21"/>
          <w:highlight w:val="none"/>
        </w:rPr>
      </w:pPr>
    </w:p>
    <w:p w14:paraId="0A2B1887">
      <w:pPr>
        <w:pStyle w:val="4"/>
        <w:bidi w:val="0"/>
        <w:rPr>
          <w:color w:val="auto"/>
          <w:highlight w:val="none"/>
        </w:rPr>
      </w:pPr>
      <w:r>
        <w:rPr>
          <w:color w:val="auto"/>
          <w:highlight w:val="none"/>
        </w:rPr>
        <w:t>附件六：履约保证金格式</w:t>
      </w:r>
    </w:p>
    <w:p w14:paraId="201C9C70">
      <w:pPr>
        <w:widowControl w:val="0"/>
        <w:kinsoku w:val="0"/>
        <w:overflowPunct w:val="0"/>
        <w:autoSpaceDE w:val="0"/>
        <w:autoSpaceDN w:val="0"/>
        <w:adjustRightInd w:val="0"/>
        <w:spacing w:before="44"/>
        <w:ind w:left="14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如采用银行保函，格式如下。</w:t>
      </w:r>
    </w:p>
    <w:p w14:paraId="75A81BFF">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626C5513">
      <w:pPr>
        <w:widowControl w:val="0"/>
        <w:kinsoku w:val="0"/>
        <w:overflowPunct w:val="0"/>
        <w:autoSpaceDE w:val="0"/>
        <w:autoSpaceDN w:val="0"/>
        <w:adjustRightInd w:val="0"/>
        <w:snapToGrid/>
        <w:spacing w:before="12"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4BFCD67F">
      <w:pPr>
        <w:widowControl w:val="0"/>
        <w:kinsoku w:val="0"/>
        <w:overflowPunct w:val="0"/>
        <w:autoSpaceDE w:val="0"/>
        <w:autoSpaceDN w:val="0"/>
        <w:adjustRightInd w:val="0"/>
        <w:snapToGrid/>
        <w:spacing w:line="381" w:lineRule="exact"/>
        <w:ind w:right="78"/>
        <w:jc w:val="center"/>
        <w:textAlignment w:val="auto"/>
        <w:rPr>
          <w:rFonts w:hint="eastAsia" w:ascii="宋体" w:hAnsi="Times New Roman" w:eastAsia="宋体" w:cs="Times New Roman"/>
          <w:b/>
          <w:bCs/>
          <w:snapToGrid/>
          <w:color w:val="auto"/>
          <w:kern w:val="2"/>
          <w:sz w:val="28"/>
          <w:szCs w:val="20"/>
          <w:highlight w:val="none"/>
          <w:lang w:eastAsia="zh-CN"/>
        </w:rPr>
      </w:pPr>
      <w:r>
        <w:rPr>
          <w:rFonts w:hint="eastAsia" w:ascii="宋体" w:hAnsi="宋体" w:eastAsia="宋体" w:cs="Times New Roman"/>
          <w:b/>
          <w:bCs/>
          <w:snapToGrid/>
          <w:color w:val="auto"/>
          <w:kern w:val="2"/>
          <w:sz w:val="28"/>
          <w:szCs w:val="20"/>
          <w:highlight w:val="none"/>
          <w:lang w:eastAsia="zh-CN"/>
        </w:rPr>
        <w:t>履约保</w:t>
      </w:r>
      <w:r>
        <w:rPr>
          <w:rFonts w:hint="eastAsia" w:ascii="宋体" w:hAnsi="宋体" w:eastAsia="宋体" w:cs="Times New Roman"/>
          <w:b/>
          <w:bCs/>
          <w:snapToGrid/>
          <w:color w:val="auto"/>
          <w:spacing w:val="-3"/>
          <w:kern w:val="2"/>
          <w:sz w:val="28"/>
          <w:szCs w:val="20"/>
          <w:highlight w:val="none"/>
          <w:lang w:eastAsia="zh-CN"/>
        </w:rPr>
        <w:t>证</w:t>
      </w:r>
      <w:r>
        <w:rPr>
          <w:rFonts w:hint="eastAsia" w:ascii="宋体" w:hAnsi="宋体" w:eastAsia="宋体" w:cs="Times New Roman"/>
          <w:b/>
          <w:bCs/>
          <w:snapToGrid/>
          <w:color w:val="auto"/>
          <w:kern w:val="2"/>
          <w:sz w:val="28"/>
          <w:szCs w:val="20"/>
          <w:highlight w:val="none"/>
          <w:lang w:eastAsia="zh-CN"/>
        </w:rPr>
        <w:t>金</w:t>
      </w:r>
    </w:p>
    <w:p w14:paraId="44B2551C">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365BB79D">
      <w:pPr>
        <w:widowControl w:val="0"/>
        <w:kinsoku w:val="0"/>
        <w:overflowPunct w:val="0"/>
        <w:autoSpaceDE w:val="0"/>
        <w:autoSpaceDN w:val="0"/>
        <w:adjustRightInd w:val="0"/>
        <w:snapToGrid/>
        <w:spacing w:before="8" w:line="260" w:lineRule="exact"/>
        <w:jc w:val="left"/>
        <w:textAlignment w:val="auto"/>
        <w:rPr>
          <w:rFonts w:hint="eastAsia" w:ascii="宋体" w:hAnsi="Times New Roman" w:eastAsia="宋体" w:cs="Times New Roman"/>
          <w:snapToGrid/>
          <w:color w:val="auto"/>
          <w:kern w:val="2"/>
          <w:sz w:val="26"/>
          <w:szCs w:val="20"/>
          <w:highlight w:val="none"/>
          <w:lang w:eastAsia="zh-CN"/>
        </w:rPr>
      </w:pPr>
    </w:p>
    <w:p w14:paraId="7FB4C2F5">
      <w:pPr>
        <w:widowControl w:val="0"/>
        <w:tabs>
          <w:tab w:val="left" w:pos="2484"/>
        </w:tabs>
        <w:kinsoku w:val="0"/>
        <w:overflowPunct w:val="0"/>
        <w:autoSpaceDE w:val="0"/>
        <w:autoSpaceDN w:val="0"/>
        <w:adjustRightInd w:val="0"/>
        <w:snapToGrid/>
        <w:spacing w:before="34" w:line="240" w:lineRule="auto"/>
        <w:ind w:left="264"/>
        <w:jc w:val="both"/>
        <w:textAlignment w:val="auto"/>
        <w:rPr>
          <w:rFonts w:hint="eastAsia" w:ascii="宋体" w:hAnsi="宋体" w:eastAsia="宋体" w:cs="Times New Roman"/>
          <w:snapToGrid/>
          <w:color w:val="auto"/>
          <w:kern w:val="2"/>
          <w:sz w:val="24"/>
          <w:szCs w:val="24"/>
          <w:highlight w:val="none"/>
          <w:lang w:eastAsia="zh-CN"/>
        </w:rPr>
      </w:pPr>
      <w:r>
        <w:rPr>
          <w:rFonts w:ascii="Times New Roman" w:hAnsi="Times New Roman" w:eastAsia="Times New Roman" w:cs="Times New Roman"/>
          <w:snapToGrid/>
          <w:color w:val="auto"/>
          <w:kern w:val="2"/>
          <w:sz w:val="24"/>
          <w:szCs w:val="24"/>
          <w:highlight w:val="none"/>
          <w:u w:val="single" w:color="000000"/>
          <w:lang w:eastAsia="zh-CN"/>
        </w:rPr>
        <w:t xml:space="preserve"> </w:t>
      </w:r>
      <w:r>
        <w:rPr>
          <w:rFonts w:ascii="Times New Roman" w:hAnsi="Times New Roman" w:eastAsia="Times New Roman"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（委托人名称</w:t>
      </w:r>
      <w:r>
        <w:rPr>
          <w:rFonts w:hint="eastAsia" w:ascii="宋体" w:hAnsi="宋体" w:eastAsia="宋体" w:cs="Times New Roman"/>
          <w:snapToGrid/>
          <w:color w:val="auto"/>
          <w:spacing w:val="-120"/>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w:t>
      </w:r>
    </w:p>
    <w:p w14:paraId="37FDF90B">
      <w:pPr>
        <w:widowControl w:val="0"/>
        <w:kinsoku w:val="0"/>
        <w:overflowPunct w:val="0"/>
        <w:autoSpaceDE w:val="0"/>
        <w:autoSpaceDN w:val="0"/>
        <w:adjustRightInd w:val="0"/>
        <w:snapToGrid/>
        <w:spacing w:before="1" w:line="240" w:lineRule="auto"/>
        <w:jc w:val="both"/>
        <w:textAlignment w:val="auto"/>
        <w:rPr>
          <w:rFonts w:hint="eastAsia" w:ascii="宋体" w:hAnsi="宋体" w:eastAsia="宋体" w:cs="Times New Roman"/>
          <w:snapToGrid/>
          <w:color w:val="auto"/>
          <w:kern w:val="2"/>
          <w:sz w:val="37"/>
          <w:szCs w:val="24"/>
          <w:highlight w:val="none"/>
          <w:lang w:eastAsia="zh-CN"/>
        </w:rPr>
      </w:pPr>
    </w:p>
    <w:p w14:paraId="4846B66E">
      <w:pPr>
        <w:widowControl w:val="0"/>
        <w:tabs>
          <w:tab w:val="left" w:pos="3130"/>
          <w:tab w:val="left" w:pos="6764"/>
          <w:tab w:val="left" w:pos="8341"/>
        </w:tabs>
        <w:kinsoku w:val="0"/>
        <w:overflowPunct w:val="0"/>
        <w:autoSpaceDE w:val="0"/>
        <w:autoSpaceDN w:val="0"/>
        <w:adjustRightInd w:val="0"/>
        <w:snapToGrid/>
        <w:spacing w:line="295" w:lineRule="auto"/>
        <w:ind w:left="144" w:right="222" w:firstLine="599"/>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鉴于</w:t>
      </w:r>
      <w:r>
        <w:rPr>
          <w:rFonts w:hint="eastAsia" w:ascii="宋体" w:hAnsi="宋体" w:eastAsia="宋体"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（委托人名称</w:t>
      </w:r>
      <w:r>
        <w:rPr>
          <w:rFonts w:hint="eastAsia" w:ascii="宋体" w:hAnsi="宋体" w:eastAsia="宋体" w:cs="Times New Roman"/>
          <w:snapToGrid/>
          <w:color w:val="auto"/>
          <w:spacing w:val="-15"/>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以下简称</w:t>
      </w:r>
      <w:r>
        <w:rPr>
          <w:rFonts w:ascii="Times New Roman" w:hAnsi="Times New Roman" w:eastAsia="Times New Roman" w:cs="Times New Roman"/>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委托人</w:t>
      </w:r>
      <w:r>
        <w:rPr>
          <w:rFonts w:ascii="Times New Roman" w:hAnsi="Times New Roman" w:eastAsia="Times New Roman" w:cs="Times New Roman"/>
          <w:snapToGrid/>
          <w:color w:val="auto"/>
          <w:spacing w:val="-8"/>
          <w:kern w:val="2"/>
          <w:sz w:val="24"/>
          <w:szCs w:val="24"/>
          <w:highlight w:val="none"/>
          <w:lang w:eastAsia="zh-CN"/>
        </w:rPr>
        <w:t>”</w:t>
      </w:r>
      <w:r>
        <w:rPr>
          <w:rFonts w:hint="eastAsia" w:ascii="宋体" w:hAnsi="宋体" w:eastAsia="宋体" w:cs="Times New Roman"/>
          <w:snapToGrid/>
          <w:color w:val="auto"/>
          <w:spacing w:val="-8"/>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接受</w:t>
      </w:r>
      <w:r>
        <w:rPr>
          <w:rFonts w:hint="eastAsia" w:ascii="宋体" w:hAnsi="宋体" w:eastAsia="宋体"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（监理</w:t>
      </w:r>
      <w:r>
        <w:rPr>
          <w:rFonts w:hint="eastAsia" w:ascii="宋体" w:hAnsi="宋体" w:eastAsia="宋体" w:cs="Times New Roman"/>
          <w:snapToGrid/>
          <w:color w:val="auto"/>
          <w:spacing w:val="-1"/>
          <w:kern w:val="2"/>
          <w:sz w:val="24"/>
          <w:szCs w:val="24"/>
          <w:highlight w:val="none"/>
          <w:lang w:eastAsia="zh-CN"/>
        </w:rPr>
        <w:t>人</w:t>
      </w:r>
      <w:r>
        <w:rPr>
          <w:rFonts w:hint="eastAsia" w:ascii="宋体" w:hAnsi="宋体" w:eastAsia="宋体" w:cs="Times New Roman"/>
          <w:snapToGrid/>
          <w:color w:val="auto"/>
          <w:kern w:val="2"/>
          <w:sz w:val="24"/>
          <w:szCs w:val="24"/>
          <w:highlight w:val="none"/>
          <w:lang w:eastAsia="zh-CN"/>
        </w:rPr>
        <w:t>名称</w:t>
      </w:r>
      <w:r>
        <w:rPr>
          <w:rFonts w:hint="eastAsia" w:ascii="宋体" w:hAnsi="宋体" w:eastAsia="宋体" w:cs="Times New Roman"/>
          <w:snapToGrid/>
          <w:color w:val="auto"/>
          <w:spacing w:val="-226"/>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（以下称</w:t>
      </w:r>
      <w:r>
        <w:rPr>
          <w:rFonts w:ascii="Times New Roman" w:hAnsi="Times New Roman" w:eastAsia="Times New Roman" w:cs="Times New Roman"/>
          <w:snapToGrid/>
          <w:color w:val="auto"/>
          <w:spacing w:val="-1"/>
          <w:kern w:val="2"/>
          <w:sz w:val="24"/>
          <w:szCs w:val="24"/>
          <w:highlight w:val="none"/>
          <w:lang w:eastAsia="zh-CN"/>
        </w:rPr>
        <w:t>“</w:t>
      </w:r>
      <w:r>
        <w:rPr>
          <w:rFonts w:hint="eastAsia" w:ascii="宋体" w:hAnsi="宋体" w:eastAsia="宋体" w:cs="Times New Roman"/>
          <w:snapToGrid/>
          <w:color w:val="auto"/>
          <w:spacing w:val="1"/>
          <w:kern w:val="2"/>
          <w:sz w:val="24"/>
          <w:szCs w:val="24"/>
          <w:highlight w:val="none"/>
          <w:lang w:eastAsia="zh-CN"/>
        </w:rPr>
        <w:t>监</w:t>
      </w:r>
      <w:r>
        <w:rPr>
          <w:rFonts w:hint="eastAsia" w:ascii="宋体" w:hAnsi="宋体" w:eastAsia="宋体" w:cs="Times New Roman"/>
          <w:snapToGrid/>
          <w:color w:val="auto"/>
          <w:kern w:val="2"/>
          <w:sz w:val="24"/>
          <w:szCs w:val="24"/>
          <w:highlight w:val="none"/>
          <w:lang w:eastAsia="zh-CN"/>
        </w:rPr>
        <w:t>理人”）于</w:t>
      </w:r>
      <w:r>
        <w:rPr>
          <w:rFonts w:hint="default" w:ascii="Times New Roman" w:hAnsi="Times New Roman" w:eastAsia="Times New Roman"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lang w:eastAsia="zh-CN"/>
        </w:rPr>
        <w:t>年</w:t>
      </w:r>
      <w:r>
        <w:rPr>
          <w:rFonts w:hint="default" w:ascii="Times New Roman" w:hAnsi="Times New Roman" w:eastAsia="Times New Roman" w:cs="Times New Roman"/>
          <w:snapToGrid/>
          <w:color w:val="auto"/>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lang w:eastAsia="zh-CN"/>
        </w:rPr>
        <w:t>月</w:t>
      </w:r>
      <w:r>
        <w:rPr>
          <w:rFonts w:hint="default" w:ascii="Times New Roman" w:hAnsi="Times New Roman" w:eastAsia="Times New Roman" w:cs="Times New Roman"/>
          <w:snapToGrid/>
          <w:color w:val="auto"/>
          <w:kern w:val="2"/>
          <w:sz w:val="24"/>
          <w:szCs w:val="24"/>
          <w:highlight w:val="none"/>
          <w:u w:val="single" w:color="000000"/>
          <w:lang w:eastAsia="zh-CN"/>
        </w:rPr>
        <w:t xml:space="preserve">    </w:t>
      </w:r>
      <w:r>
        <w:rPr>
          <w:rFonts w:hint="default" w:ascii="Times New Roman" w:hAnsi="Times New Roman" w:eastAsia="Times New Roman" w:cs="Times New Roman"/>
          <w:snapToGrid/>
          <w:color w:val="auto"/>
          <w:spacing w:val="1"/>
          <w:kern w:val="2"/>
          <w:sz w:val="24"/>
          <w:szCs w:val="24"/>
          <w:highlight w:val="none"/>
          <w:u w:val="single" w:color="000000"/>
          <w:lang w:eastAsia="zh-CN"/>
        </w:rPr>
        <w:t xml:space="preserve"> </w:t>
      </w:r>
      <w:r>
        <w:rPr>
          <w:rFonts w:hint="eastAsia" w:ascii="宋体" w:hAnsi="宋体" w:eastAsia="宋体" w:cs="Times New Roman"/>
          <w:snapToGrid/>
          <w:color w:val="auto"/>
          <w:kern w:val="2"/>
          <w:sz w:val="24"/>
          <w:szCs w:val="24"/>
          <w:highlight w:val="none"/>
          <w:lang w:eastAsia="zh-CN"/>
        </w:rPr>
        <w:t>日参加</w:t>
      </w:r>
      <w:r>
        <w:rPr>
          <w:rFonts w:ascii="Times New Roman" w:hAnsi="Times New Roman" w:eastAsia="Times New Roman" w:cs="Times New Roman"/>
          <w:snapToGrid/>
          <w:color w:val="auto"/>
          <w:kern w:val="2"/>
          <w:sz w:val="24"/>
          <w:szCs w:val="24"/>
          <w:highlight w:val="none"/>
          <w:u w:val="single" w:color="000000"/>
          <w:lang w:eastAsia="zh-CN"/>
        </w:rPr>
        <w:t xml:space="preserve"> </w:t>
      </w:r>
      <w:r>
        <w:rPr>
          <w:rFonts w:ascii="Times New Roman" w:hAnsi="Times New Roman" w:eastAsia="Times New Roman"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u w:val="none" w:color="auto"/>
          <w:lang w:eastAsia="zh-CN"/>
        </w:rPr>
        <w:t>（</w:t>
      </w:r>
      <w:r>
        <w:rPr>
          <w:rFonts w:hint="eastAsia" w:ascii="宋体" w:hAnsi="宋体" w:eastAsia="宋体" w:cs="Times New Roman"/>
          <w:snapToGrid/>
          <w:color w:val="auto"/>
          <w:spacing w:val="1"/>
          <w:kern w:val="2"/>
          <w:sz w:val="24"/>
          <w:szCs w:val="24"/>
          <w:highlight w:val="none"/>
          <w:lang w:eastAsia="zh-CN"/>
        </w:rPr>
        <w:t>项</w:t>
      </w:r>
      <w:r>
        <w:rPr>
          <w:rFonts w:hint="eastAsia" w:ascii="宋体" w:hAnsi="宋体" w:eastAsia="宋体" w:cs="Times New Roman"/>
          <w:snapToGrid/>
          <w:color w:val="auto"/>
          <w:kern w:val="2"/>
          <w:sz w:val="24"/>
          <w:szCs w:val="24"/>
          <w:highlight w:val="none"/>
          <w:lang w:eastAsia="zh-CN"/>
        </w:rPr>
        <w:t>目名称）</w:t>
      </w:r>
      <w:r>
        <w:rPr>
          <w:rFonts w:hint="eastAsia" w:ascii="宋体" w:hAnsi="宋体" w:eastAsia="宋体" w:cs="Times New Roman"/>
          <w:snapToGrid/>
          <w:color w:val="auto"/>
          <w:kern w:val="2"/>
          <w:sz w:val="24"/>
          <w:szCs w:val="24"/>
          <w:highlight w:val="none"/>
          <w:u w:val="single"/>
          <w:lang w:eastAsia="zh-CN"/>
        </w:rPr>
        <w:t xml:space="preserve">  </w:t>
      </w:r>
      <w:r>
        <w:rPr>
          <w:rFonts w:hint="eastAsia" w:ascii="宋体" w:hAnsi="宋体" w:eastAsia="宋体" w:cs="Times New Roman"/>
          <w:snapToGrid/>
          <w:color w:val="auto"/>
          <w:spacing w:val="13"/>
          <w:kern w:val="2"/>
          <w:sz w:val="24"/>
          <w:szCs w:val="24"/>
          <w:highlight w:val="none"/>
          <w:u w:val="single"/>
          <w:lang w:eastAsia="zh-CN"/>
        </w:rPr>
        <w:t xml:space="preserve"> </w:t>
      </w:r>
      <w:r>
        <w:rPr>
          <w:rFonts w:hint="eastAsia" w:ascii="宋体" w:hAnsi="宋体" w:eastAsia="宋体" w:cs="Times New Roman"/>
          <w:snapToGrid/>
          <w:color w:val="auto"/>
          <w:kern w:val="2"/>
          <w:sz w:val="24"/>
          <w:szCs w:val="24"/>
          <w:highlight w:val="none"/>
          <w:lang w:eastAsia="zh-CN"/>
        </w:rPr>
        <w:t>标段施工监理的投标。我方愿意无条件地、不可撤销地就监理人履行与你方订立的合同，向你方提供担保。</w:t>
      </w:r>
    </w:p>
    <w:p w14:paraId="3583DFD6">
      <w:pPr>
        <w:widowControl w:val="0"/>
        <w:numPr>
          <w:ilvl w:val="0"/>
          <w:numId w:val="6"/>
        </w:numPr>
        <w:tabs>
          <w:tab w:val="left" w:pos="925"/>
          <w:tab w:val="left" w:pos="5540"/>
          <w:tab w:val="left" w:pos="7765"/>
        </w:tabs>
        <w:kinsoku w:val="0"/>
        <w:overflowPunct w:val="0"/>
        <w:autoSpaceDE w:val="0"/>
        <w:autoSpaceDN w:val="0"/>
        <w:adjustRightInd w:val="0"/>
        <w:snapToGrid/>
        <w:spacing w:before="31" w:line="240" w:lineRule="auto"/>
        <w:ind w:left="144" w:firstLine="480"/>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担保金额人民币（大写）</w:t>
      </w:r>
      <w:r>
        <w:rPr>
          <w:rFonts w:hint="eastAsia" w:ascii="宋体" w:hAnsi="宋体" w:eastAsia="宋体"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kern w:val="2"/>
          <w:sz w:val="24"/>
          <w:szCs w:val="24"/>
          <w:highlight w:val="none"/>
          <w:lang w:eastAsia="zh-CN"/>
        </w:rPr>
        <w:t>元（</w:t>
      </w:r>
      <w:r>
        <w:rPr>
          <w:rFonts w:ascii="Times New Roman" w:hAnsi="Times New Roman" w:eastAsia="Times New Roman" w:cs="Times New Roman"/>
          <w:snapToGrid/>
          <w:color w:val="auto"/>
          <w:kern w:val="2"/>
          <w:sz w:val="24"/>
          <w:szCs w:val="24"/>
          <w:highlight w:val="none"/>
          <w:lang w:eastAsia="zh-CN"/>
        </w:rPr>
        <w:t>¥</w:t>
      </w:r>
      <w:r>
        <w:rPr>
          <w:rFonts w:ascii="Times New Roman" w:hAnsi="Times New Roman" w:eastAsia="Times New Roman" w:cs="Times New Roman"/>
          <w:snapToGrid/>
          <w:color w:val="auto"/>
          <w:kern w:val="2"/>
          <w:sz w:val="24"/>
          <w:szCs w:val="24"/>
          <w:highlight w:val="none"/>
          <w:u w:val="single" w:color="000000"/>
          <w:lang w:eastAsia="zh-CN"/>
        </w:rPr>
        <w:t xml:space="preserve"> </w:t>
      </w:r>
      <w:r>
        <w:rPr>
          <w:rFonts w:ascii="Times New Roman" w:hAnsi="Times New Roman" w:eastAsia="Times New Roman" w:cs="Times New Roman"/>
          <w:snapToGrid/>
          <w:color w:val="auto"/>
          <w:kern w:val="2"/>
          <w:sz w:val="24"/>
          <w:szCs w:val="24"/>
          <w:highlight w:val="none"/>
          <w:u w:val="single" w:color="000000"/>
          <w:lang w:eastAsia="zh-CN"/>
        </w:rPr>
        <w:tab/>
      </w:r>
      <w:r>
        <w:rPr>
          <w:rFonts w:hint="eastAsia" w:ascii="宋体" w:hAnsi="宋体" w:eastAsia="宋体" w:cs="Times New Roman"/>
          <w:snapToGrid/>
          <w:color w:val="auto"/>
          <w:spacing w:val="-120"/>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w:t>
      </w:r>
    </w:p>
    <w:p w14:paraId="089BAF0A">
      <w:pPr>
        <w:widowControl w:val="0"/>
        <w:numPr>
          <w:ilvl w:val="0"/>
          <w:numId w:val="6"/>
        </w:numPr>
        <w:tabs>
          <w:tab w:val="left" w:pos="932"/>
        </w:tabs>
        <w:kinsoku w:val="0"/>
        <w:overflowPunct w:val="0"/>
        <w:autoSpaceDE w:val="0"/>
        <w:autoSpaceDN w:val="0"/>
        <w:adjustRightInd w:val="0"/>
        <w:snapToGrid/>
        <w:spacing w:before="66" w:line="280" w:lineRule="auto"/>
        <w:ind w:left="144" w:right="215" w:firstLine="480"/>
        <w:jc w:val="both"/>
        <w:textAlignment w:val="auto"/>
        <w:rPr>
          <w:rFonts w:hint="eastAsia" w:ascii="宋体" w:hAnsi="宋体" w:eastAsia="宋体" w:cs="Times New Roman"/>
          <w:snapToGrid/>
          <w:color w:val="auto"/>
          <w:spacing w:val="-2"/>
          <w:kern w:val="2"/>
          <w:sz w:val="24"/>
          <w:szCs w:val="24"/>
          <w:highlight w:val="none"/>
          <w:lang w:eastAsia="zh-CN"/>
        </w:rPr>
      </w:pPr>
      <w:r>
        <w:rPr>
          <w:rFonts w:hint="eastAsia" w:ascii="宋体" w:hAnsi="宋体" w:eastAsia="宋体" w:cs="Times New Roman"/>
          <w:snapToGrid/>
          <w:color w:val="auto"/>
          <w:spacing w:val="-2"/>
          <w:kern w:val="2"/>
          <w:sz w:val="24"/>
          <w:szCs w:val="24"/>
          <w:highlight w:val="none"/>
          <w:lang w:eastAsia="zh-CN"/>
        </w:rPr>
        <w:t>担保有效期自委托人与监理人签订的合同生效之日起至委托人签发交工验收证书且监理人按照合同约定提交缺陷责任期保函之日止。</w:t>
      </w:r>
    </w:p>
    <w:p w14:paraId="1E50461F">
      <w:pPr>
        <w:widowControl w:val="0"/>
        <w:numPr>
          <w:ilvl w:val="0"/>
          <w:numId w:val="6"/>
        </w:numPr>
        <w:tabs>
          <w:tab w:val="left" w:pos="925"/>
        </w:tabs>
        <w:kinsoku w:val="0"/>
        <w:overflowPunct w:val="0"/>
        <w:autoSpaceDE w:val="0"/>
        <w:autoSpaceDN w:val="0"/>
        <w:adjustRightInd w:val="0"/>
        <w:snapToGrid/>
        <w:spacing w:before="38" w:line="288" w:lineRule="auto"/>
        <w:ind w:left="144" w:right="199" w:firstLine="480"/>
        <w:jc w:val="both"/>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 xml:space="preserve">在本担保有效期内，因监理人违反合同约定的义务给你方造成经济损失时， </w:t>
      </w:r>
      <w:r>
        <w:rPr>
          <w:rFonts w:hint="eastAsia" w:ascii="宋体" w:hAnsi="宋体" w:eastAsia="宋体" w:cs="Times New Roman"/>
          <w:snapToGrid/>
          <w:color w:val="auto"/>
          <w:spacing w:val="-2"/>
          <w:kern w:val="2"/>
          <w:sz w:val="24"/>
          <w:szCs w:val="24"/>
          <w:highlight w:val="none"/>
          <w:lang w:eastAsia="zh-CN"/>
        </w:rPr>
        <w:t xml:space="preserve">我方在收到你方以书面形式提出的在担保金额内的赔偿要求后，在 </w:t>
      </w:r>
      <w:r>
        <w:rPr>
          <w:rFonts w:ascii="Times New Roman" w:hAnsi="Times New Roman" w:eastAsia="Times New Roman" w:cs="Times New Roman"/>
          <w:snapToGrid/>
          <w:color w:val="auto"/>
          <w:kern w:val="2"/>
          <w:sz w:val="24"/>
          <w:szCs w:val="24"/>
          <w:highlight w:val="none"/>
          <w:lang w:eastAsia="zh-CN"/>
        </w:rPr>
        <w:t>7</w:t>
      </w:r>
      <w:r>
        <w:rPr>
          <w:rFonts w:ascii="Times New Roman" w:hAnsi="Times New Roman" w:eastAsia="Times New Roman" w:cs="Times New Roman"/>
          <w:snapToGrid/>
          <w:color w:val="auto"/>
          <w:spacing w:val="17"/>
          <w:kern w:val="2"/>
          <w:sz w:val="24"/>
          <w:szCs w:val="24"/>
          <w:highlight w:val="none"/>
          <w:lang w:eastAsia="zh-CN"/>
        </w:rPr>
        <w:t xml:space="preserve"> </w:t>
      </w:r>
      <w:r>
        <w:rPr>
          <w:rFonts w:hint="eastAsia" w:ascii="宋体" w:hAnsi="宋体" w:eastAsia="宋体" w:cs="Times New Roman"/>
          <w:snapToGrid/>
          <w:color w:val="auto"/>
          <w:kern w:val="2"/>
          <w:sz w:val="24"/>
          <w:szCs w:val="24"/>
          <w:highlight w:val="none"/>
          <w:lang w:eastAsia="zh-CN"/>
        </w:rPr>
        <w:t>天内无条件支付，无须你方出具证明或陈述理由。</w:t>
      </w:r>
    </w:p>
    <w:p w14:paraId="2F6055F9">
      <w:pPr>
        <w:widowControl w:val="0"/>
        <w:kinsoku w:val="0"/>
        <w:overflowPunct w:val="0"/>
        <w:autoSpaceDE w:val="0"/>
        <w:autoSpaceDN w:val="0"/>
        <w:adjustRightInd w:val="0"/>
        <w:spacing w:before="28"/>
        <w:ind w:left="62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委托人和监理人按合同条款变更合同时，我方承担本担保规定的义务不变。</w:t>
      </w:r>
    </w:p>
    <w:p w14:paraId="54C7E2DD">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6F8D7A78">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65388C16">
      <w:pPr>
        <w:widowControl w:val="0"/>
        <w:kinsoku w:val="0"/>
        <w:overflowPunct w:val="0"/>
        <w:autoSpaceDE w:val="0"/>
        <w:autoSpaceDN w:val="0"/>
        <w:adjustRightInd w:val="0"/>
        <w:snapToGrid/>
        <w:spacing w:line="200" w:lineRule="exact"/>
        <w:jc w:val="left"/>
        <w:textAlignment w:val="auto"/>
        <w:rPr>
          <w:rFonts w:hint="eastAsia" w:ascii="宋体" w:hAnsi="Times New Roman" w:eastAsia="宋体" w:cs="Times New Roman"/>
          <w:snapToGrid/>
          <w:color w:val="auto"/>
          <w:kern w:val="2"/>
          <w:sz w:val="20"/>
          <w:szCs w:val="20"/>
          <w:highlight w:val="none"/>
          <w:lang w:eastAsia="zh-CN"/>
        </w:rPr>
      </w:pPr>
    </w:p>
    <w:p w14:paraId="11F347A7">
      <w:pPr>
        <w:widowControl w:val="0"/>
        <w:kinsoku w:val="0"/>
        <w:overflowPunct w:val="0"/>
        <w:autoSpaceDE w:val="0"/>
        <w:autoSpaceDN w:val="0"/>
        <w:adjustRightInd w:val="0"/>
        <w:snapToGrid/>
        <w:spacing w:before="8" w:line="220" w:lineRule="exact"/>
        <w:jc w:val="left"/>
        <w:textAlignment w:val="auto"/>
        <w:rPr>
          <w:rFonts w:hint="eastAsia" w:ascii="宋体" w:hAnsi="Times New Roman" w:eastAsia="宋体" w:cs="Times New Roman"/>
          <w:snapToGrid/>
          <w:color w:val="auto"/>
          <w:kern w:val="2"/>
          <w:sz w:val="22"/>
          <w:szCs w:val="20"/>
          <w:highlight w:val="none"/>
          <w:lang w:eastAsia="zh-CN"/>
        </w:rPr>
      </w:pPr>
    </w:p>
    <w:p w14:paraId="2D01D2CB">
      <w:pPr>
        <w:widowControl w:val="0"/>
        <w:tabs>
          <w:tab w:val="left" w:pos="4361"/>
          <w:tab w:val="left" w:pos="7501"/>
          <w:tab w:val="left" w:pos="7981"/>
          <w:tab w:val="left" w:pos="8545"/>
        </w:tabs>
        <w:kinsoku w:val="0"/>
        <w:overflowPunct w:val="0"/>
        <w:autoSpaceDE w:val="0"/>
        <w:autoSpaceDN w:val="0"/>
        <w:adjustRightInd w:val="0"/>
        <w:spacing w:line="271" w:lineRule="auto"/>
        <w:ind w:left="3641"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担 保 人</w:t>
      </w:r>
      <w:r>
        <w:rPr>
          <w:rFonts w:hint="eastAsia" w:ascii="宋体" w:hAnsi="宋体" w:eastAsia="宋体" w:cs="Times New Roman"/>
          <w:color w:val="auto"/>
          <w:spacing w:val="-51"/>
          <w:kern w:val="2"/>
          <w:sz w:val="24"/>
          <w:highlight w:val="none"/>
          <w:lang w:val="en-US" w:eastAsia="zh-CN" w:bidi="ar-SA"/>
        </w:rPr>
        <w:t>：</w:t>
      </w:r>
      <w:r>
        <w:rPr>
          <w:rFonts w:hint="eastAsia" w:ascii="宋体" w:hAnsi="宋体" w:eastAsia="宋体" w:cs="Times New Roman"/>
          <w:color w:val="auto"/>
          <w:spacing w:val="-51"/>
          <w:kern w:val="2"/>
          <w:sz w:val="24"/>
          <w:highlight w:val="none"/>
          <w:u w:val="single"/>
          <w:lang w:val="en-US" w:eastAsia="zh-CN" w:bidi="ar-SA"/>
        </w:rPr>
        <w:tab/>
      </w:r>
      <w:r>
        <w:rPr>
          <w:rFonts w:hint="eastAsia" w:ascii="宋体" w:hAnsi="宋体" w:eastAsia="宋体" w:cs="Times New Roman"/>
          <w:color w:val="auto"/>
          <w:kern w:val="2"/>
          <w:sz w:val="24"/>
          <w:highlight w:val="none"/>
          <w:u w:val="none"/>
          <w:lang w:val="en-US" w:eastAsia="zh-CN" w:bidi="ar-SA"/>
        </w:rPr>
        <w:t>（</w:t>
      </w:r>
      <w:r>
        <w:rPr>
          <w:rFonts w:hint="eastAsia" w:ascii="宋体" w:hAnsi="宋体" w:eastAsia="宋体" w:cs="Times New Roman"/>
          <w:color w:val="auto"/>
          <w:kern w:val="2"/>
          <w:sz w:val="24"/>
          <w:highlight w:val="none"/>
          <w:lang w:val="en-US" w:eastAsia="zh-CN" w:bidi="ar-SA"/>
        </w:rPr>
        <w:t xml:space="preserve">盖单位章） </w:t>
      </w:r>
    </w:p>
    <w:p w14:paraId="044560DD">
      <w:pPr>
        <w:widowControl w:val="0"/>
        <w:tabs>
          <w:tab w:val="left" w:pos="4361"/>
          <w:tab w:val="left" w:pos="7501"/>
          <w:tab w:val="left" w:pos="7981"/>
          <w:tab w:val="left" w:pos="8545"/>
        </w:tabs>
        <w:kinsoku w:val="0"/>
        <w:overflowPunct w:val="0"/>
        <w:autoSpaceDE w:val="0"/>
        <w:autoSpaceDN w:val="0"/>
        <w:adjustRightInd w:val="0"/>
        <w:spacing w:line="271" w:lineRule="auto"/>
        <w:ind w:left="3641"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法定代表人或其委托代理人</w:t>
      </w:r>
      <w:r>
        <w:rPr>
          <w:rFonts w:hint="eastAsia" w:ascii="宋体" w:hAnsi="宋体" w:eastAsia="宋体" w:cs="Times New Roman"/>
          <w:color w:val="auto"/>
          <w:spacing w:val="-51"/>
          <w:kern w:val="2"/>
          <w:sz w:val="24"/>
          <w:highlight w:val="none"/>
          <w:lang w:val="en-US" w:eastAsia="zh-CN" w:bidi="ar-SA"/>
        </w:rPr>
        <w:t>：</w:t>
      </w:r>
      <w:r>
        <w:rPr>
          <w:rFonts w:hint="eastAsia" w:ascii="宋体" w:hAnsi="宋体" w:eastAsia="宋体" w:cs="Times New Roman"/>
          <w:color w:val="auto"/>
          <w:spacing w:val="-51"/>
          <w:kern w:val="2"/>
          <w:sz w:val="24"/>
          <w:highlight w:val="none"/>
          <w:u w:val="single"/>
          <w:lang w:val="en-US" w:eastAsia="zh-CN" w:bidi="ar-SA"/>
        </w:rPr>
        <w:tab/>
      </w:r>
      <w:r>
        <w:rPr>
          <w:rFonts w:hint="eastAsia" w:ascii="宋体" w:hAnsi="宋体" w:eastAsia="宋体" w:cs="Times New Roman"/>
          <w:color w:val="auto"/>
          <w:spacing w:val="-51"/>
          <w:kern w:val="2"/>
          <w:sz w:val="24"/>
          <w:highlight w:val="none"/>
          <w:u w:val="single"/>
          <w:lang w:val="en-US" w:eastAsia="zh-CN" w:bidi="ar-SA"/>
        </w:rPr>
        <w:tab/>
      </w:r>
      <w:r>
        <w:rPr>
          <w:rFonts w:hint="eastAsia" w:ascii="宋体" w:hAnsi="宋体" w:eastAsia="宋体" w:cs="Times New Roman"/>
          <w:color w:val="auto"/>
          <w:kern w:val="2"/>
          <w:sz w:val="24"/>
          <w:highlight w:val="none"/>
          <w:u w:val="none"/>
          <w:lang w:val="en-US" w:eastAsia="zh-CN" w:bidi="ar-SA"/>
        </w:rPr>
        <w:t>（</w:t>
      </w:r>
      <w:r>
        <w:rPr>
          <w:rFonts w:hint="eastAsia" w:ascii="宋体" w:hAnsi="宋体" w:eastAsia="宋体" w:cs="Times New Roman"/>
          <w:color w:val="auto"/>
          <w:kern w:val="2"/>
          <w:sz w:val="24"/>
          <w:highlight w:val="none"/>
          <w:lang w:val="en-US" w:eastAsia="zh-CN" w:bidi="ar-SA"/>
        </w:rPr>
        <w:t xml:space="preserve">签字） </w:t>
      </w:r>
    </w:p>
    <w:p w14:paraId="27410CD4">
      <w:pPr>
        <w:widowControl w:val="0"/>
        <w:tabs>
          <w:tab w:val="left" w:pos="4361"/>
          <w:tab w:val="left" w:pos="7501"/>
          <w:tab w:val="left" w:pos="7981"/>
          <w:tab w:val="left" w:pos="8545"/>
        </w:tabs>
        <w:kinsoku w:val="0"/>
        <w:overflowPunct w:val="0"/>
        <w:autoSpaceDE w:val="0"/>
        <w:autoSpaceDN w:val="0"/>
        <w:adjustRightInd w:val="0"/>
        <w:spacing w:line="271" w:lineRule="auto"/>
        <w:ind w:left="3641"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地</w:t>
      </w:r>
      <w:r>
        <w:rPr>
          <w:rFonts w:hint="eastAsia" w:ascii="宋体" w:hAnsi="宋体" w:eastAsia="宋体" w:cs="Times New Roman"/>
          <w:color w:val="auto"/>
          <w:kern w:val="2"/>
          <w:sz w:val="24"/>
          <w:highlight w:val="none"/>
          <w:lang w:val="en-US" w:eastAsia="zh-CN" w:bidi="ar-SA"/>
        </w:rPr>
        <w:tab/>
      </w:r>
      <w:r>
        <w:rPr>
          <w:rFonts w:hint="eastAsia" w:ascii="宋体" w:hAnsi="宋体" w:eastAsia="宋体" w:cs="Times New Roman"/>
          <w:color w:val="auto"/>
          <w:kern w:val="2"/>
          <w:sz w:val="24"/>
          <w:highlight w:val="none"/>
          <w:lang w:val="en-US" w:eastAsia="zh-CN" w:bidi="ar-SA"/>
        </w:rPr>
        <w:t>址：</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u w:val="single"/>
          <w:lang w:val="en-US" w:eastAsia="zh-CN" w:bidi="ar-SA"/>
        </w:rPr>
        <w:tab/>
      </w:r>
    </w:p>
    <w:p w14:paraId="4A29EBEB">
      <w:pPr>
        <w:widowControl w:val="0"/>
        <w:tabs>
          <w:tab w:val="left" w:pos="4361"/>
          <w:tab w:val="left" w:pos="7501"/>
          <w:tab w:val="left" w:pos="7981"/>
          <w:tab w:val="left" w:pos="8545"/>
        </w:tabs>
        <w:kinsoku w:val="0"/>
        <w:overflowPunct w:val="0"/>
        <w:autoSpaceDE w:val="0"/>
        <w:autoSpaceDN w:val="0"/>
        <w:adjustRightInd w:val="0"/>
        <w:spacing w:line="271" w:lineRule="auto"/>
        <w:ind w:left="3641" w:right="104"/>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邮政编码：</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u w:val="single"/>
          <w:lang w:val="en-US" w:eastAsia="zh-CN" w:bidi="ar-SA"/>
        </w:rPr>
        <w:tab/>
      </w:r>
    </w:p>
    <w:p w14:paraId="60D4C5C1">
      <w:pPr>
        <w:widowControl w:val="0"/>
        <w:tabs>
          <w:tab w:val="left" w:pos="4361"/>
          <w:tab w:val="left" w:pos="8682"/>
        </w:tabs>
        <w:kinsoku w:val="0"/>
        <w:overflowPunct w:val="0"/>
        <w:autoSpaceDE w:val="0"/>
        <w:autoSpaceDN w:val="0"/>
        <w:adjustRightInd w:val="0"/>
        <w:spacing w:before="13" w:line="271" w:lineRule="auto"/>
        <w:ind w:left="3641" w:right="363"/>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电</w:t>
      </w:r>
      <w:r>
        <w:rPr>
          <w:rFonts w:hint="eastAsia" w:ascii="宋体" w:hAnsi="宋体" w:eastAsia="宋体" w:cs="Times New Roman"/>
          <w:color w:val="auto"/>
          <w:kern w:val="2"/>
          <w:sz w:val="24"/>
          <w:highlight w:val="none"/>
          <w:lang w:val="en-US" w:eastAsia="zh-CN" w:bidi="ar-SA"/>
        </w:rPr>
        <w:tab/>
      </w:r>
      <w:r>
        <w:rPr>
          <w:rFonts w:hint="eastAsia" w:ascii="宋体" w:hAnsi="宋体" w:eastAsia="宋体" w:cs="Times New Roman"/>
          <w:color w:val="auto"/>
          <w:kern w:val="2"/>
          <w:sz w:val="24"/>
          <w:highlight w:val="none"/>
          <w:lang w:val="en-US" w:eastAsia="zh-CN" w:bidi="ar-SA"/>
        </w:rPr>
        <w:t>话：</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 xml:space="preserve"> </w:t>
      </w:r>
    </w:p>
    <w:p w14:paraId="2513FA85">
      <w:pPr>
        <w:widowControl w:val="0"/>
        <w:tabs>
          <w:tab w:val="left" w:pos="4361"/>
          <w:tab w:val="left" w:pos="8682"/>
        </w:tabs>
        <w:kinsoku w:val="0"/>
        <w:overflowPunct w:val="0"/>
        <w:autoSpaceDE w:val="0"/>
        <w:autoSpaceDN w:val="0"/>
        <w:adjustRightInd w:val="0"/>
        <w:spacing w:before="13" w:line="271" w:lineRule="auto"/>
        <w:ind w:left="3641" w:right="363"/>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传</w:t>
      </w:r>
      <w:r>
        <w:rPr>
          <w:rFonts w:hint="eastAsia" w:ascii="宋体" w:hAnsi="宋体" w:eastAsia="宋体" w:cs="Times New Roman"/>
          <w:color w:val="auto"/>
          <w:kern w:val="2"/>
          <w:sz w:val="24"/>
          <w:highlight w:val="none"/>
          <w:lang w:val="en-US" w:eastAsia="zh-CN" w:bidi="ar-SA"/>
        </w:rPr>
        <w:tab/>
      </w:r>
      <w:r>
        <w:rPr>
          <w:rFonts w:hint="eastAsia" w:ascii="宋体" w:hAnsi="宋体" w:eastAsia="宋体" w:cs="Times New Roman"/>
          <w:color w:val="auto"/>
          <w:kern w:val="2"/>
          <w:sz w:val="24"/>
          <w:highlight w:val="none"/>
          <w:lang w:val="en-US" w:eastAsia="zh-CN" w:bidi="ar-SA"/>
        </w:rPr>
        <w:t>真：</w:t>
      </w: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p>
    <w:p w14:paraId="358CC17A">
      <w:pPr>
        <w:widowControl w:val="0"/>
        <w:tabs>
          <w:tab w:val="left" w:pos="6541"/>
          <w:tab w:val="left" w:pos="7621"/>
          <w:tab w:val="left" w:pos="8581"/>
        </w:tabs>
        <w:kinsoku w:val="0"/>
        <w:overflowPunct w:val="0"/>
        <w:autoSpaceDE w:val="0"/>
        <w:autoSpaceDN w:val="0"/>
        <w:adjustRightInd w:val="0"/>
        <w:spacing w:before="15"/>
        <w:ind w:left="5701"/>
        <w:jc w:val="left"/>
        <w:rPr>
          <w:rFonts w:hint="eastAsia" w:ascii="宋体" w:hAnsi="宋体" w:eastAsia="宋体" w:cs="Times New Roman"/>
          <w:color w:val="auto"/>
          <w:kern w:val="2"/>
          <w:sz w:val="24"/>
          <w:highlight w:val="none"/>
          <w:lang w:val="en-US" w:eastAsia="zh-CN" w:bidi="ar-SA"/>
        </w:rPr>
      </w:pPr>
      <w:r>
        <w:rPr>
          <w:rFonts w:hint="eastAsia" w:ascii="宋体" w:hAnsi="宋体" w:eastAsia="宋体" w:cs="Times New Roman"/>
          <w:color w:val="auto"/>
          <w:kern w:val="2"/>
          <w:sz w:val="24"/>
          <w:highlight w:val="none"/>
          <w:u w:val="single"/>
          <w:lang w:val="en-US" w:eastAsia="zh-CN" w:bidi="ar-SA"/>
        </w:rPr>
        <w:t xml:space="preserve"> </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 xml:space="preserve"> 年</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月</w:t>
      </w:r>
      <w:r>
        <w:rPr>
          <w:rFonts w:hint="eastAsia" w:ascii="宋体" w:hAnsi="宋体" w:eastAsia="宋体" w:cs="Times New Roman"/>
          <w:color w:val="auto"/>
          <w:kern w:val="2"/>
          <w:sz w:val="24"/>
          <w:highlight w:val="none"/>
          <w:u w:val="single"/>
          <w:lang w:val="en-US" w:eastAsia="zh-CN" w:bidi="ar-SA"/>
        </w:rPr>
        <w:tab/>
      </w:r>
      <w:r>
        <w:rPr>
          <w:rFonts w:hint="eastAsia" w:ascii="宋体" w:hAnsi="宋体" w:eastAsia="宋体" w:cs="Times New Roman"/>
          <w:color w:val="auto"/>
          <w:kern w:val="2"/>
          <w:sz w:val="24"/>
          <w:highlight w:val="none"/>
          <w:lang w:val="en-US" w:eastAsia="zh-CN" w:bidi="ar-SA"/>
        </w:rPr>
        <w:t>日</w:t>
      </w:r>
    </w:p>
    <w:p w14:paraId="1B850D2F">
      <w:pPr>
        <w:spacing w:line="287" w:lineRule="auto"/>
        <w:rPr>
          <w:rFonts w:ascii="Arial"/>
          <w:color w:val="auto"/>
          <w:sz w:val="21"/>
          <w:highlight w:val="none"/>
        </w:rPr>
      </w:pPr>
    </w:p>
    <w:p w14:paraId="049968C6">
      <w:pPr>
        <w:spacing w:line="287" w:lineRule="auto"/>
        <w:rPr>
          <w:rFonts w:ascii="Arial"/>
          <w:color w:val="auto"/>
          <w:sz w:val="21"/>
          <w:highlight w:val="none"/>
        </w:rPr>
      </w:pPr>
    </w:p>
    <w:p w14:paraId="299E8DD8">
      <w:pPr>
        <w:spacing w:line="287" w:lineRule="auto"/>
        <w:rPr>
          <w:rFonts w:ascii="Arial"/>
          <w:color w:val="auto"/>
          <w:sz w:val="21"/>
          <w:highlight w:val="none"/>
        </w:rPr>
      </w:pPr>
    </w:p>
    <w:p w14:paraId="0D6852F0">
      <w:pPr>
        <w:spacing w:line="287" w:lineRule="auto"/>
        <w:rPr>
          <w:rFonts w:ascii="Arial"/>
          <w:color w:val="auto"/>
          <w:sz w:val="21"/>
          <w:highlight w:val="none"/>
        </w:rPr>
      </w:pPr>
    </w:p>
    <w:p w14:paraId="0EA173F8">
      <w:pPr>
        <w:spacing w:line="287" w:lineRule="auto"/>
        <w:rPr>
          <w:rFonts w:ascii="Arial"/>
          <w:color w:val="auto"/>
          <w:sz w:val="21"/>
          <w:highlight w:val="none"/>
        </w:rPr>
      </w:pPr>
    </w:p>
    <w:p w14:paraId="02351452">
      <w:pPr>
        <w:spacing w:line="287" w:lineRule="auto"/>
        <w:rPr>
          <w:rFonts w:ascii="Arial"/>
          <w:color w:val="auto"/>
          <w:sz w:val="21"/>
          <w:highlight w:val="none"/>
        </w:rPr>
      </w:pPr>
    </w:p>
    <w:p w14:paraId="6157DB36">
      <w:pPr>
        <w:spacing w:line="287" w:lineRule="auto"/>
        <w:rPr>
          <w:rFonts w:ascii="Arial"/>
          <w:color w:val="auto"/>
          <w:sz w:val="21"/>
          <w:highlight w:val="none"/>
        </w:rPr>
      </w:pPr>
    </w:p>
    <w:p w14:paraId="552489FB">
      <w:pPr>
        <w:spacing w:line="287" w:lineRule="auto"/>
        <w:rPr>
          <w:rFonts w:ascii="Arial"/>
          <w:color w:val="auto"/>
          <w:sz w:val="21"/>
          <w:highlight w:val="none"/>
        </w:rPr>
      </w:pPr>
    </w:p>
    <w:p w14:paraId="29A60284">
      <w:pPr>
        <w:spacing w:line="287" w:lineRule="auto"/>
        <w:rPr>
          <w:rFonts w:ascii="Arial"/>
          <w:color w:val="auto"/>
          <w:sz w:val="21"/>
          <w:highlight w:val="none"/>
        </w:rPr>
      </w:pPr>
    </w:p>
    <w:p w14:paraId="08995A8E">
      <w:pPr>
        <w:spacing w:line="287" w:lineRule="auto"/>
        <w:rPr>
          <w:rFonts w:ascii="Arial"/>
          <w:color w:val="auto"/>
          <w:sz w:val="21"/>
          <w:highlight w:val="none"/>
        </w:rPr>
      </w:pPr>
    </w:p>
    <w:p w14:paraId="60F8414C">
      <w:pPr>
        <w:spacing w:line="287" w:lineRule="auto"/>
        <w:rPr>
          <w:rFonts w:ascii="Arial"/>
          <w:color w:val="auto"/>
          <w:sz w:val="21"/>
          <w:highlight w:val="none"/>
        </w:rPr>
      </w:pPr>
    </w:p>
    <w:p w14:paraId="4E5DD346">
      <w:pPr>
        <w:spacing w:line="287" w:lineRule="auto"/>
        <w:rPr>
          <w:rFonts w:ascii="Arial"/>
          <w:color w:val="auto"/>
          <w:sz w:val="21"/>
          <w:highlight w:val="none"/>
        </w:rPr>
      </w:pPr>
    </w:p>
    <w:p w14:paraId="1885ADB8">
      <w:pPr>
        <w:spacing w:line="287" w:lineRule="auto"/>
        <w:rPr>
          <w:rFonts w:ascii="Arial"/>
          <w:color w:val="auto"/>
          <w:sz w:val="21"/>
          <w:highlight w:val="none"/>
        </w:rPr>
      </w:pPr>
    </w:p>
    <w:p w14:paraId="7BC9AB3D">
      <w:pPr>
        <w:spacing w:line="288" w:lineRule="auto"/>
        <w:rPr>
          <w:rFonts w:ascii="Arial"/>
          <w:color w:val="auto"/>
          <w:sz w:val="21"/>
          <w:highlight w:val="none"/>
        </w:rPr>
      </w:pPr>
    </w:p>
    <w:p w14:paraId="3CA629D8">
      <w:pPr>
        <w:pStyle w:val="4"/>
        <w:bidi w:val="0"/>
        <w:rPr>
          <w:color w:val="auto"/>
          <w:highlight w:val="none"/>
        </w:rPr>
      </w:pPr>
      <w:r>
        <w:rPr>
          <w:color w:val="auto"/>
          <w:highlight w:val="none"/>
        </w:rPr>
        <w:t>附件七： 安全生产合同</w:t>
      </w:r>
    </w:p>
    <w:p w14:paraId="497A972E">
      <w:pPr>
        <w:spacing w:line="388" w:lineRule="auto"/>
        <w:rPr>
          <w:rFonts w:ascii="Arial"/>
          <w:color w:val="auto"/>
          <w:sz w:val="21"/>
          <w:highlight w:val="none"/>
        </w:rPr>
      </w:pPr>
    </w:p>
    <w:p w14:paraId="1504D498">
      <w:pPr>
        <w:spacing w:before="101" w:line="225" w:lineRule="auto"/>
        <w:ind w:left="3583"/>
        <w:rPr>
          <w:rFonts w:ascii="宋体" w:hAnsi="宋体" w:eastAsia="宋体" w:cs="宋体"/>
          <w:color w:val="auto"/>
          <w:sz w:val="31"/>
          <w:szCs w:val="31"/>
          <w:highlight w:val="none"/>
        </w:rPr>
      </w:pPr>
      <w:r>
        <w:rPr>
          <w:rFonts w:ascii="宋体" w:hAnsi="宋体" w:eastAsia="宋体" w:cs="宋体"/>
          <w:b/>
          <w:bCs/>
          <w:color w:val="auto"/>
          <w:spacing w:val="4"/>
          <w:sz w:val="31"/>
          <w:szCs w:val="31"/>
          <w:highlight w:val="none"/>
        </w:rPr>
        <w:t>安全生产合同</w:t>
      </w:r>
    </w:p>
    <w:p w14:paraId="1EC0B37A">
      <w:pPr>
        <w:spacing w:line="412" w:lineRule="auto"/>
        <w:rPr>
          <w:rFonts w:ascii="Arial"/>
          <w:color w:val="auto"/>
          <w:sz w:val="21"/>
          <w:highlight w:val="none"/>
        </w:rPr>
      </w:pPr>
    </w:p>
    <w:p w14:paraId="2F582C17">
      <w:pPr>
        <w:spacing w:before="78" w:line="359" w:lineRule="auto"/>
        <w:ind w:left="1"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根据《中华人民共和国安全生产法》、国务院《建设工程安全生产管理条例》、交通运输部《公路水运工程安全生产监督管理办法》《公路水运工程施</w:t>
      </w:r>
      <w:r>
        <w:rPr>
          <w:rFonts w:ascii="宋体" w:hAnsi="宋体" w:eastAsia="宋体" w:cs="宋体"/>
          <w:color w:val="auto"/>
          <w:spacing w:val="4"/>
          <w:sz w:val="24"/>
          <w:szCs w:val="24"/>
          <w:highlight w:val="none"/>
        </w:rPr>
        <w:t>工安全标准化指南》以及《公路工程施工监理规范》等有关规定，为切实做好</w:t>
      </w:r>
      <w:r>
        <w:rPr>
          <w:rFonts w:ascii="宋体" w:hAnsi="宋体" w:eastAsia="宋体" w:cs="宋体"/>
          <w:color w:val="auto"/>
          <w:spacing w:val="-109"/>
          <w:sz w:val="24"/>
          <w:szCs w:val="24"/>
          <w:highlight w:val="none"/>
        </w:rPr>
        <w:t xml:space="preserve"> </w:t>
      </w:r>
      <w:r>
        <w:rPr>
          <w:rFonts w:ascii="宋体" w:hAnsi="宋体" w:eastAsia="宋体" w:cs="宋体"/>
          <w:color w:val="auto"/>
          <w:spacing w:val="4"/>
          <w:sz w:val="24"/>
          <w:szCs w:val="24"/>
          <w:highlight w:val="none"/>
          <w:u w:val="single" w:color="auto"/>
        </w:rPr>
        <w:t xml:space="preserve">          工程</w:t>
      </w:r>
      <w:r>
        <w:rPr>
          <w:rFonts w:ascii="宋体" w:hAnsi="宋体" w:eastAsia="宋体" w:cs="宋体"/>
          <w:color w:val="auto"/>
          <w:spacing w:val="4"/>
          <w:sz w:val="24"/>
          <w:szCs w:val="24"/>
          <w:highlight w:val="none"/>
        </w:rPr>
        <w:t>安全</w:t>
      </w:r>
      <w:r>
        <w:rPr>
          <w:rFonts w:ascii="宋体" w:hAnsi="宋体" w:eastAsia="宋体" w:cs="宋体"/>
          <w:color w:val="auto"/>
          <w:spacing w:val="-2"/>
          <w:sz w:val="24"/>
          <w:szCs w:val="24"/>
          <w:highlight w:val="none"/>
        </w:rPr>
        <w:t>生产管理工作，明确项目参建各方的安全生产责任，促进实现工程项目安全管理目标，</w:t>
      </w:r>
      <w:r>
        <w:rPr>
          <w:rFonts w:ascii="宋体" w:hAnsi="宋体" w:eastAsia="宋体" w:cs="宋体"/>
          <w:color w:val="auto"/>
          <w:spacing w:val="3"/>
          <w:sz w:val="24"/>
          <w:szCs w:val="24"/>
          <w:highlight w:val="none"/>
        </w:rPr>
        <w:t>建设单位全称（以下简称“委托人</w:t>
      </w:r>
      <w:r>
        <w:rPr>
          <w:rFonts w:ascii="宋体" w:hAnsi="宋体" w:eastAsia="宋体" w:cs="宋体"/>
          <w:color w:val="auto"/>
          <w:spacing w:val="-81"/>
          <w:sz w:val="24"/>
          <w:szCs w:val="24"/>
          <w:highlight w:val="none"/>
        </w:rPr>
        <w:t xml:space="preserve"> </w:t>
      </w:r>
      <w:r>
        <w:rPr>
          <w:rFonts w:ascii="宋体" w:hAnsi="宋体" w:eastAsia="宋体" w:cs="宋体"/>
          <w:color w:val="auto"/>
          <w:spacing w:val="3"/>
          <w:sz w:val="24"/>
          <w:szCs w:val="24"/>
          <w:highlight w:val="none"/>
        </w:rPr>
        <w:t>”）与监理单位全称（以下</w:t>
      </w:r>
      <w:r>
        <w:rPr>
          <w:rFonts w:ascii="宋体" w:hAnsi="宋体" w:eastAsia="宋体" w:cs="宋体"/>
          <w:color w:val="auto"/>
          <w:spacing w:val="2"/>
          <w:sz w:val="24"/>
          <w:szCs w:val="24"/>
          <w:highlight w:val="none"/>
        </w:rPr>
        <w:t>简称“监理人</w:t>
      </w:r>
      <w:r>
        <w:rPr>
          <w:rFonts w:ascii="宋体" w:hAnsi="宋体" w:eastAsia="宋体" w:cs="宋体"/>
          <w:color w:val="auto"/>
          <w:spacing w:val="-81"/>
          <w:sz w:val="24"/>
          <w:szCs w:val="24"/>
          <w:highlight w:val="none"/>
        </w:rPr>
        <w:t xml:space="preserve"> </w:t>
      </w:r>
      <w:r>
        <w:rPr>
          <w:rFonts w:ascii="宋体" w:hAnsi="宋体" w:eastAsia="宋体" w:cs="宋体"/>
          <w:color w:val="auto"/>
          <w:spacing w:val="2"/>
          <w:sz w:val="24"/>
          <w:szCs w:val="24"/>
          <w:highlight w:val="none"/>
        </w:rPr>
        <w:t>”）签订</w:t>
      </w:r>
      <w:r>
        <w:rPr>
          <w:rFonts w:ascii="宋体" w:hAnsi="宋体" w:eastAsia="宋体" w:cs="宋体"/>
          <w:color w:val="auto"/>
          <w:spacing w:val="-2"/>
          <w:sz w:val="24"/>
          <w:szCs w:val="24"/>
          <w:highlight w:val="none"/>
        </w:rPr>
        <w:t>如下安全生产合同：</w:t>
      </w:r>
    </w:p>
    <w:p w14:paraId="6C389AE7">
      <w:pPr>
        <w:spacing w:before="1" w:line="220" w:lineRule="auto"/>
        <w:ind w:left="483"/>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一、委托人职责</w:t>
      </w:r>
    </w:p>
    <w:p w14:paraId="5E42AEF5">
      <w:pPr>
        <w:spacing w:before="180"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1.按照法律法规及合同文件约定督促、检查监理人落实安全生产责任。</w:t>
      </w:r>
    </w:p>
    <w:p w14:paraId="04D1C19E">
      <w:pPr>
        <w:spacing w:before="181" w:line="359" w:lineRule="auto"/>
        <w:ind w:left="4"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2.按照有关规定对监理人的安全生产条件、安全生产信用情况、安全生产管</w:t>
      </w:r>
      <w:r>
        <w:rPr>
          <w:rFonts w:ascii="宋体" w:hAnsi="宋体" w:eastAsia="宋体" w:cs="宋体"/>
          <w:color w:val="auto"/>
          <w:spacing w:val="4"/>
          <w:sz w:val="24"/>
          <w:szCs w:val="24"/>
          <w:highlight w:val="none"/>
        </w:rPr>
        <w:t>理体</w:t>
      </w:r>
      <w:r>
        <w:rPr>
          <w:rFonts w:ascii="宋体" w:hAnsi="宋体" w:eastAsia="宋体" w:cs="宋体"/>
          <w:color w:val="auto"/>
          <w:spacing w:val="-1"/>
          <w:sz w:val="24"/>
          <w:szCs w:val="24"/>
          <w:highlight w:val="none"/>
        </w:rPr>
        <w:t>系及保障措施等提出明确要求并检查实施情况。</w:t>
      </w:r>
    </w:p>
    <w:p w14:paraId="6EF6080F">
      <w:pPr>
        <w:spacing w:before="1" w:line="220" w:lineRule="auto"/>
        <w:ind w:left="483"/>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二、监理人职责</w:t>
      </w:r>
    </w:p>
    <w:p w14:paraId="14C7DDE4">
      <w:pPr>
        <w:spacing w:before="181" w:line="219" w:lineRule="auto"/>
        <w:ind w:left="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1.严格遵守安全生产有关法律法规，落实合同中有关安全生产的要求。</w:t>
      </w:r>
    </w:p>
    <w:p w14:paraId="0D6B3E47">
      <w:pPr>
        <w:spacing w:before="181" w:line="219" w:lineRule="auto"/>
        <w:ind w:left="482"/>
        <w:rPr>
          <w:rFonts w:ascii="宋体" w:hAnsi="宋体" w:eastAsia="宋体" w:cs="宋体"/>
          <w:color w:val="auto"/>
          <w:sz w:val="24"/>
          <w:szCs w:val="24"/>
          <w:highlight w:val="none"/>
        </w:rPr>
      </w:pPr>
      <w:r>
        <w:rPr>
          <w:rFonts w:ascii="宋体" w:hAnsi="宋体" w:eastAsia="宋体" w:cs="宋体"/>
          <w:color w:val="auto"/>
          <w:sz w:val="24"/>
          <w:szCs w:val="24"/>
          <w:highlight w:val="none"/>
        </w:rPr>
        <w:t>2.具备相应的安全生产条件及安全生产资质，</w:t>
      </w:r>
      <w:r>
        <w:rPr>
          <w:rFonts w:ascii="宋体" w:hAnsi="宋体" w:eastAsia="宋体" w:cs="宋体"/>
          <w:color w:val="auto"/>
          <w:spacing w:val="-1"/>
          <w:sz w:val="24"/>
          <w:szCs w:val="24"/>
          <w:highlight w:val="none"/>
        </w:rPr>
        <w:t>对工程安全生产承担监理责任。</w:t>
      </w:r>
    </w:p>
    <w:p w14:paraId="05E787C8">
      <w:pPr>
        <w:spacing w:before="183" w:line="359" w:lineRule="auto"/>
        <w:ind w:left="1" w:right="10"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3.建立健全安全生产制度、责任、组织机构等内部管理体系，配齐安全管理人员，</w:t>
      </w:r>
      <w:r>
        <w:rPr>
          <w:rFonts w:ascii="宋体" w:hAnsi="宋体" w:eastAsia="宋体" w:cs="宋体"/>
          <w:color w:val="auto"/>
          <w:sz w:val="24"/>
          <w:szCs w:val="24"/>
          <w:highlight w:val="none"/>
        </w:rPr>
        <w:t>落实安全生产培训教育，依法参加各类安全保险</w:t>
      </w:r>
      <w:r>
        <w:rPr>
          <w:rFonts w:ascii="宋体" w:hAnsi="宋体" w:eastAsia="宋体" w:cs="宋体"/>
          <w:color w:val="auto"/>
          <w:spacing w:val="-1"/>
          <w:sz w:val="24"/>
          <w:szCs w:val="24"/>
          <w:highlight w:val="none"/>
        </w:rPr>
        <w:t>，落实本单位安全管理责任。</w:t>
      </w:r>
    </w:p>
    <w:p w14:paraId="46002897">
      <w:pPr>
        <w:spacing w:line="359" w:lineRule="auto"/>
        <w:ind w:firstLine="47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4.对施工单位的施工安全提出明确要求并督促落实，检查施工单位安全生产管理</w:t>
      </w:r>
      <w:r>
        <w:rPr>
          <w:rFonts w:ascii="宋体" w:hAnsi="宋体" w:eastAsia="宋体" w:cs="宋体"/>
          <w:color w:val="auto"/>
          <w:sz w:val="24"/>
          <w:szCs w:val="24"/>
          <w:highlight w:val="none"/>
        </w:rPr>
        <w:t>体系建立及落实情况，检查有关人员资格及设备设</w:t>
      </w:r>
      <w:r>
        <w:rPr>
          <w:rFonts w:ascii="宋体" w:hAnsi="宋体" w:eastAsia="宋体" w:cs="宋体"/>
          <w:color w:val="auto"/>
          <w:spacing w:val="-1"/>
          <w:sz w:val="24"/>
          <w:szCs w:val="24"/>
          <w:highlight w:val="none"/>
        </w:rPr>
        <w:t>施相关安全手续等情况。</w:t>
      </w:r>
    </w:p>
    <w:p w14:paraId="515E86E5">
      <w:pPr>
        <w:spacing w:line="359" w:lineRule="auto"/>
        <w:ind w:left="2" w:firstLine="48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5.核查施工单位安全生产条件，审查施工组织设计安全技术措施、应急</w:t>
      </w:r>
      <w:r>
        <w:rPr>
          <w:rFonts w:ascii="宋体" w:hAnsi="宋体" w:eastAsia="宋体" w:cs="宋体"/>
          <w:color w:val="auto"/>
          <w:spacing w:val="4"/>
          <w:sz w:val="24"/>
          <w:szCs w:val="24"/>
          <w:highlight w:val="none"/>
        </w:rPr>
        <w:t>预案及施</w:t>
      </w:r>
      <w:r>
        <w:rPr>
          <w:rFonts w:ascii="宋体" w:hAnsi="宋体" w:eastAsia="宋体" w:cs="宋体"/>
          <w:color w:val="auto"/>
          <w:spacing w:val="-1"/>
          <w:sz w:val="24"/>
          <w:szCs w:val="24"/>
          <w:highlight w:val="none"/>
        </w:rPr>
        <w:t>工安全风险评估报告等，检查危险性较大工程专项施工方案实施情况。</w:t>
      </w:r>
    </w:p>
    <w:p w14:paraId="682EEB0C">
      <w:pPr>
        <w:spacing w:before="1" w:line="359" w:lineRule="auto"/>
        <w:ind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6.按有关规定对施工单位开展各类安全生产检查，发现生产安全事故隐患按有关</w:t>
      </w:r>
      <w:r>
        <w:rPr>
          <w:rFonts w:ascii="宋体" w:hAnsi="宋体" w:eastAsia="宋体" w:cs="宋体"/>
          <w:color w:val="auto"/>
          <w:spacing w:val="-2"/>
          <w:sz w:val="24"/>
          <w:szCs w:val="24"/>
          <w:highlight w:val="none"/>
        </w:rPr>
        <w:t>要求及时处理和报告。</w:t>
      </w:r>
    </w:p>
    <w:p w14:paraId="7A1C1812">
      <w:pPr>
        <w:spacing w:line="219" w:lineRule="auto"/>
        <w:ind w:left="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7.建立安全监理内业台账档案。</w:t>
      </w:r>
    </w:p>
    <w:p w14:paraId="1B761D53">
      <w:pPr>
        <w:spacing w:before="183" w:line="219" w:lineRule="auto"/>
        <w:ind w:left="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8.落实安全生产法律法规、政策等规定的其他职责。</w:t>
      </w:r>
    </w:p>
    <w:p w14:paraId="4187E118">
      <w:pPr>
        <w:spacing w:before="181" w:line="219" w:lineRule="auto"/>
        <w:ind w:left="484"/>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三、违约责任</w:t>
      </w:r>
    </w:p>
    <w:p w14:paraId="0E437789">
      <w:pPr>
        <w:spacing w:before="183" w:line="219" w:lineRule="auto"/>
        <w:ind w:left="48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如因一方违约造成安全事故，将依法追究法律责任。</w:t>
      </w:r>
    </w:p>
    <w:p w14:paraId="0628C178">
      <w:pPr>
        <w:numPr>
          <w:ilvl w:val="0"/>
          <w:numId w:val="0"/>
        </w:numPr>
        <w:spacing w:before="181" w:line="219" w:lineRule="auto"/>
        <w:ind w:firstLine="480" w:firstLineChars="200"/>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en-US" w:bidi="ar-SA"/>
        </w:rPr>
        <w:t>四、</w:t>
      </w:r>
      <w:r>
        <w:rPr>
          <w:rFonts w:ascii="宋体" w:hAnsi="宋体" w:eastAsia="宋体" w:cs="宋体"/>
          <w:b/>
          <w:bCs/>
          <w:color w:val="auto"/>
          <w:spacing w:val="-1"/>
          <w:sz w:val="24"/>
          <w:szCs w:val="24"/>
          <w:highlight w:val="none"/>
        </w:rPr>
        <w:t>本合同正本一式两份，甲、乙双方各执一份；副本一式八份，甲、乙</w:t>
      </w:r>
      <w:r>
        <w:rPr>
          <w:rFonts w:ascii="宋体" w:hAnsi="宋体" w:eastAsia="宋体" w:cs="宋体"/>
          <w:b/>
          <w:bCs/>
          <w:color w:val="auto"/>
          <w:spacing w:val="-2"/>
          <w:sz w:val="24"/>
          <w:szCs w:val="24"/>
          <w:highlight w:val="none"/>
        </w:rPr>
        <w:t>双方各</w:t>
      </w:r>
      <w:r>
        <w:rPr>
          <w:rFonts w:ascii="宋体" w:hAnsi="宋体" w:eastAsia="宋体" w:cs="宋体"/>
          <w:b/>
          <w:bCs/>
          <w:color w:val="auto"/>
          <w:sz w:val="24"/>
          <w:szCs w:val="24"/>
          <w:highlight w:val="none"/>
        </w:rPr>
        <w:t>执四份。合同由双方法定代表人或其授权的</w:t>
      </w:r>
      <w:r>
        <w:rPr>
          <w:rFonts w:ascii="宋体" w:hAnsi="宋体" w:eastAsia="宋体" w:cs="宋体"/>
          <w:b/>
          <w:bCs/>
          <w:color w:val="auto"/>
          <w:spacing w:val="-1"/>
          <w:sz w:val="24"/>
          <w:szCs w:val="24"/>
          <w:highlight w:val="none"/>
        </w:rPr>
        <w:t>代理人签署并加盖公章后生效，全部工程</w:t>
      </w:r>
      <w:r>
        <w:rPr>
          <w:rFonts w:ascii="宋体" w:hAnsi="宋体" w:eastAsia="宋体" w:cs="宋体"/>
          <w:b/>
          <w:bCs/>
          <w:color w:val="auto"/>
          <w:spacing w:val="-4"/>
          <w:sz w:val="24"/>
          <w:szCs w:val="24"/>
          <w:highlight w:val="none"/>
        </w:rPr>
        <w:t>竣工验收后失效。</w:t>
      </w:r>
    </w:p>
    <w:p w14:paraId="22D1263F">
      <w:pPr>
        <w:spacing w:before="19"/>
        <w:rPr>
          <w:color w:val="auto"/>
          <w:highlight w:val="none"/>
        </w:rPr>
      </w:pPr>
    </w:p>
    <w:p w14:paraId="30045ACA">
      <w:pPr>
        <w:spacing w:before="19"/>
        <w:rPr>
          <w:color w:val="auto"/>
          <w:highlight w:val="none"/>
        </w:rPr>
      </w:pPr>
    </w:p>
    <w:p w14:paraId="5A36C883">
      <w:pPr>
        <w:spacing w:before="19"/>
        <w:rPr>
          <w:color w:val="auto"/>
          <w:highlight w:val="none"/>
        </w:rPr>
      </w:pPr>
    </w:p>
    <w:p w14:paraId="42255898">
      <w:pPr>
        <w:spacing w:line="246" w:lineRule="auto"/>
        <w:rPr>
          <w:rFonts w:ascii="Arial"/>
          <w:color w:val="auto"/>
          <w:sz w:val="21"/>
          <w:highlight w:val="none"/>
        </w:rPr>
      </w:pPr>
    </w:p>
    <w:p w14:paraId="3A99F6CF">
      <w:pPr>
        <w:keepNext w:val="0"/>
        <w:keepLines w:val="0"/>
        <w:pageBreakBefore w:val="0"/>
        <w:widowControl/>
        <w:kinsoku w:val="0"/>
        <w:wordWrap/>
        <w:overflowPunct/>
        <w:topLinePunct w:val="0"/>
        <w:autoSpaceDE w:val="0"/>
        <w:autoSpaceDN w:val="0"/>
        <w:bidi w:val="0"/>
        <w:adjustRightInd w:val="0"/>
        <w:snapToGrid w:val="0"/>
        <w:spacing w:before="46" w:line="360" w:lineRule="auto"/>
        <w:textAlignment w:val="baseline"/>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委托人</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w:t>
      </w:r>
      <w:r>
        <w:rPr>
          <w:rFonts w:ascii="宋体" w:hAnsi="宋体" w:eastAsia="宋体" w:cs="宋体"/>
          <w:color w:val="auto"/>
          <w:spacing w:val="4"/>
          <w:sz w:val="24"/>
          <w:szCs w:val="24"/>
          <w:highlight w:val="none"/>
        </w:rPr>
        <w:t>盖章）</w:t>
      </w:r>
      <w:r>
        <w:rPr>
          <w:rFonts w:hint="eastAsia" w:ascii="宋体" w:hAnsi="宋体" w:eastAsia="宋体" w:cs="宋体"/>
          <w:color w:val="auto"/>
          <w:spacing w:val="4"/>
          <w:sz w:val="24"/>
          <w:szCs w:val="24"/>
          <w:highlight w:val="none"/>
          <w:lang w:val="en-US" w:eastAsia="zh-CN"/>
        </w:rPr>
        <w:t xml:space="preserve">        </w:t>
      </w:r>
      <w:r>
        <w:rPr>
          <w:rFonts w:ascii="宋体" w:hAnsi="宋体" w:eastAsia="宋体" w:cs="宋体"/>
          <w:color w:val="auto"/>
          <w:spacing w:val="7"/>
          <w:sz w:val="24"/>
          <w:szCs w:val="24"/>
          <w:highlight w:val="none"/>
        </w:rPr>
        <w:t>监理人</w:t>
      </w:r>
      <w:r>
        <w:rPr>
          <w:rFonts w:ascii="宋体" w:hAnsi="宋体" w:eastAsia="宋体" w:cs="宋体"/>
          <w:color w:val="auto"/>
          <w:spacing w:val="-17"/>
          <w:sz w:val="24"/>
          <w:szCs w:val="24"/>
          <w:highlight w:val="none"/>
        </w:rPr>
        <w:t>：</w:t>
      </w:r>
      <w:r>
        <w:rPr>
          <w:rFonts w:ascii="宋体" w:hAnsi="宋体" w:eastAsia="宋体" w:cs="宋体"/>
          <w:color w:val="auto"/>
          <w:spacing w:val="-17"/>
          <w:sz w:val="24"/>
          <w:szCs w:val="24"/>
          <w:highlight w:val="none"/>
          <w:u w:val="single" w:color="auto"/>
        </w:rPr>
        <w:t>（</w:t>
      </w:r>
      <w:r>
        <w:rPr>
          <w:rFonts w:ascii="宋体" w:hAnsi="宋体" w:eastAsia="宋体" w:cs="宋体"/>
          <w:color w:val="auto"/>
          <w:spacing w:val="7"/>
          <w:sz w:val="24"/>
          <w:szCs w:val="24"/>
          <w:highlight w:val="none"/>
          <w:u w:val="single" w:color="auto"/>
        </w:rPr>
        <w:t>全称</w:t>
      </w:r>
      <w:r>
        <w:rPr>
          <w:rFonts w:ascii="宋体" w:hAnsi="宋体" w:eastAsia="宋体" w:cs="宋体"/>
          <w:color w:val="auto"/>
          <w:spacing w:val="-17"/>
          <w:sz w:val="24"/>
          <w:szCs w:val="24"/>
          <w:highlight w:val="none"/>
          <w:u w:val="single" w:color="auto"/>
        </w:rPr>
        <w:t>）（</w:t>
      </w:r>
      <w:r>
        <w:rPr>
          <w:rFonts w:ascii="宋体" w:hAnsi="宋体" w:eastAsia="宋体" w:cs="宋体"/>
          <w:color w:val="auto"/>
          <w:spacing w:val="7"/>
          <w:sz w:val="24"/>
          <w:szCs w:val="24"/>
          <w:highlight w:val="none"/>
          <w:u w:val="single" w:color="auto"/>
        </w:rPr>
        <w:t>盖章）</w:t>
      </w:r>
      <w:r>
        <w:rPr>
          <w:rFonts w:ascii="宋体" w:hAnsi="宋体" w:eastAsia="宋体" w:cs="宋体"/>
          <w:color w:val="auto"/>
          <w:sz w:val="24"/>
          <w:szCs w:val="24"/>
          <w:highlight w:val="none"/>
          <w:u w:val="single" w:color="auto"/>
        </w:rPr>
        <w:t xml:space="preserve">   </w:t>
      </w:r>
    </w:p>
    <w:p w14:paraId="7D0581D2">
      <w:pPr>
        <w:keepNext w:val="0"/>
        <w:keepLines w:val="0"/>
        <w:pageBreakBefore w:val="0"/>
        <w:widowControl/>
        <w:kinsoku w:val="0"/>
        <w:wordWrap/>
        <w:overflowPunct/>
        <w:topLinePunct w:val="0"/>
        <w:autoSpaceDE w:val="0"/>
        <w:autoSpaceDN w:val="0"/>
        <w:bidi w:val="0"/>
        <w:adjustRightInd w:val="0"/>
        <w:snapToGrid w:val="0"/>
        <w:spacing w:before="78" w:line="360" w:lineRule="auto"/>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法定代表人或</w:t>
      </w:r>
      <w:r>
        <w:rPr>
          <w:rFonts w:hint="eastAsia" w:ascii="宋体" w:hAnsi="宋体" w:eastAsia="宋体" w:cs="宋体"/>
          <w:color w:val="auto"/>
          <w:spacing w:val="-2"/>
          <w:sz w:val="24"/>
          <w:szCs w:val="24"/>
          <w:highlight w:val="none"/>
          <w:lang w:val="en-US" w:eastAsia="zh-CN"/>
        </w:rPr>
        <w:t xml:space="preserve">                        </w:t>
      </w:r>
      <w:r>
        <w:rPr>
          <w:rFonts w:ascii="宋体" w:hAnsi="宋体" w:eastAsia="宋体" w:cs="宋体"/>
          <w:color w:val="auto"/>
          <w:spacing w:val="-2"/>
          <w:sz w:val="24"/>
          <w:szCs w:val="24"/>
          <w:highlight w:val="none"/>
        </w:rPr>
        <w:t>法定代表人或</w:t>
      </w:r>
    </w:p>
    <w:p w14:paraId="49DD93FB">
      <w:pPr>
        <w:keepNext w:val="0"/>
        <w:keepLines w:val="0"/>
        <w:pageBreakBefore w:val="0"/>
        <w:widowControl/>
        <w:kinsoku w:val="0"/>
        <w:wordWrap/>
        <w:overflowPunct/>
        <w:topLinePunct w:val="0"/>
        <w:autoSpaceDE w:val="0"/>
        <w:autoSpaceDN w:val="0"/>
        <w:bidi w:val="0"/>
        <w:adjustRightInd w:val="0"/>
        <w:snapToGrid w:val="0"/>
        <w:spacing w:before="78" w:line="360" w:lineRule="auto"/>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其授权的代理人</w:t>
      </w:r>
      <w:r>
        <w:rPr>
          <w:rFonts w:ascii="宋体" w:hAnsi="宋体" w:eastAsia="宋体" w:cs="宋体"/>
          <w:color w:val="auto"/>
          <w:spacing w:val="-16"/>
          <w:sz w:val="24"/>
          <w:szCs w:val="24"/>
          <w:highlight w:val="none"/>
        </w:rPr>
        <w:t>：</w:t>
      </w:r>
      <w:r>
        <w:rPr>
          <w:rFonts w:ascii="宋体" w:hAnsi="宋体" w:eastAsia="宋体" w:cs="宋体"/>
          <w:color w:val="auto"/>
          <w:spacing w:val="-16"/>
          <w:sz w:val="24"/>
          <w:szCs w:val="24"/>
          <w:highlight w:val="none"/>
          <w:u w:val="single" w:color="auto"/>
        </w:rPr>
        <w:t>（</w:t>
      </w:r>
      <w:r>
        <w:rPr>
          <w:rFonts w:ascii="宋体" w:hAnsi="宋体" w:eastAsia="宋体" w:cs="宋体"/>
          <w:color w:val="auto"/>
          <w:spacing w:val="2"/>
          <w:sz w:val="24"/>
          <w:szCs w:val="24"/>
          <w:highlight w:val="none"/>
          <w:u w:val="single" w:color="auto"/>
        </w:rPr>
        <w:t>签名）</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none" w:color="auto"/>
          <w:lang w:val="en-US" w:eastAsia="zh-CN"/>
        </w:rPr>
        <w:t xml:space="preserve">         </w:t>
      </w:r>
      <w:r>
        <w:rPr>
          <w:rFonts w:ascii="宋体" w:hAnsi="宋体" w:eastAsia="宋体" w:cs="宋体"/>
          <w:color w:val="auto"/>
          <w:spacing w:val="2"/>
          <w:sz w:val="24"/>
          <w:szCs w:val="24"/>
          <w:highlight w:val="none"/>
        </w:rPr>
        <w:t>其授权的代理人</w:t>
      </w:r>
      <w:r>
        <w:rPr>
          <w:rFonts w:ascii="宋体" w:hAnsi="宋体" w:eastAsia="宋体" w:cs="宋体"/>
          <w:color w:val="auto"/>
          <w:spacing w:val="-16"/>
          <w:sz w:val="24"/>
          <w:szCs w:val="24"/>
          <w:highlight w:val="none"/>
        </w:rPr>
        <w:t>：</w:t>
      </w:r>
      <w:r>
        <w:rPr>
          <w:rFonts w:ascii="宋体" w:hAnsi="宋体" w:eastAsia="宋体" w:cs="宋体"/>
          <w:color w:val="auto"/>
          <w:spacing w:val="-16"/>
          <w:sz w:val="24"/>
          <w:szCs w:val="24"/>
          <w:highlight w:val="none"/>
          <w:u w:val="single" w:color="auto"/>
        </w:rPr>
        <w:t>（</w:t>
      </w:r>
      <w:r>
        <w:rPr>
          <w:rFonts w:ascii="宋体" w:hAnsi="宋体" w:eastAsia="宋体" w:cs="宋体"/>
          <w:color w:val="auto"/>
          <w:spacing w:val="2"/>
          <w:sz w:val="24"/>
          <w:szCs w:val="24"/>
          <w:highlight w:val="none"/>
          <w:u w:val="single" w:color="auto"/>
        </w:rPr>
        <w:t>签名）</w:t>
      </w:r>
      <w:r>
        <w:rPr>
          <w:rFonts w:ascii="宋体" w:hAnsi="宋体" w:eastAsia="宋体" w:cs="宋体"/>
          <w:color w:val="auto"/>
          <w:sz w:val="24"/>
          <w:szCs w:val="24"/>
          <w:highlight w:val="none"/>
          <w:u w:val="single" w:color="auto"/>
        </w:rPr>
        <w:t xml:space="preserve">   </w:t>
      </w:r>
    </w:p>
    <w:p w14:paraId="11A978EA">
      <w:pPr>
        <w:keepNext w:val="0"/>
        <w:keepLines w:val="0"/>
        <w:pageBreakBefore w:val="0"/>
        <w:widowControl/>
        <w:kinsoku w:val="0"/>
        <w:wordWrap/>
        <w:overflowPunct/>
        <w:topLinePunct w:val="0"/>
        <w:autoSpaceDE w:val="0"/>
        <w:autoSpaceDN w:val="0"/>
        <w:bidi w:val="0"/>
        <w:adjustRightInd w:val="0"/>
        <w:snapToGrid w:val="0"/>
        <w:spacing w:before="79" w:line="360" w:lineRule="auto"/>
        <w:ind w:left="60"/>
        <w:textAlignment w:val="baseline"/>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地址：</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z w:val="24"/>
          <w:szCs w:val="24"/>
          <w:highlight w:val="none"/>
          <w:u w:val="none" w:color="auto"/>
          <w:lang w:val="en-US" w:eastAsia="zh-CN"/>
        </w:rPr>
        <w:t xml:space="preserve">         </w:t>
      </w:r>
      <w:r>
        <w:rPr>
          <w:rFonts w:ascii="宋体" w:hAnsi="宋体" w:eastAsia="宋体" w:cs="宋体"/>
          <w:color w:val="auto"/>
          <w:spacing w:val="-4"/>
          <w:sz w:val="24"/>
          <w:szCs w:val="24"/>
          <w:highlight w:val="none"/>
        </w:rPr>
        <w:t>地址：</w:t>
      </w:r>
      <w:r>
        <w:rPr>
          <w:rFonts w:ascii="宋体" w:hAnsi="宋体" w:eastAsia="宋体" w:cs="宋体"/>
          <w:color w:val="auto"/>
          <w:sz w:val="24"/>
          <w:szCs w:val="24"/>
          <w:highlight w:val="none"/>
          <w:u w:val="single" w:color="auto"/>
        </w:rPr>
        <w:t xml:space="preserve">                    </w:t>
      </w:r>
    </w:p>
    <w:p w14:paraId="7CF6DBE1">
      <w:pPr>
        <w:keepNext w:val="0"/>
        <w:keepLines w:val="0"/>
        <w:pageBreakBefore w:val="0"/>
        <w:widowControl/>
        <w:kinsoku w:val="0"/>
        <w:wordWrap/>
        <w:overflowPunct/>
        <w:topLinePunct w:val="0"/>
        <w:autoSpaceDE w:val="0"/>
        <w:autoSpaceDN w:val="0"/>
        <w:bidi w:val="0"/>
        <w:adjustRightInd w:val="0"/>
        <w:snapToGrid w:val="0"/>
        <w:spacing w:before="79" w:line="360" w:lineRule="auto"/>
        <w:ind w:left="60"/>
        <w:textAlignment w:val="baseline"/>
        <w:rPr>
          <w:rFonts w:hint="default" w:ascii="宋体" w:hAnsi="宋体" w:eastAsia="宋体" w:cs="宋体"/>
          <w:color w:val="auto"/>
          <w:sz w:val="24"/>
          <w:szCs w:val="24"/>
          <w:highlight w:val="none"/>
          <w:lang w:val="en-US" w:eastAsia="zh-CN"/>
        </w:rPr>
      </w:pPr>
      <w:r>
        <w:rPr>
          <w:rFonts w:ascii="宋体" w:hAnsi="宋体" w:eastAsia="宋体" w:cs="宋体"/>
          <w:color w:val="auto"/>
          <w:spacing w:val="-13"/>
          <w:sz w:val="24"/>
          <w:szCs w:val="24"/>
          <w:highlight w:val="none"/>
        </w:rPr>
        <w:t>电话：</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z w:val="24"/>
          <w:szCs w:val="24"/>
          <w:highlight w:val="none"/>
          <w:u w:val="none" w:color="auto"/>
          <w:lang w:val="en-US" w:eastAsia="zh-CN"/>
        </w:rPr>
        <w:t xml:space="preserve">        </w:t>
      </w:r>
      <w:r>
        <w:rPr>
          <w:rFonts w:ascii="宋体" w:hAnsi="宋体" w:eastAsia="宋体" w:cs="宋体"/>
          <w:color w:val="auto"/>
          <w:spacing w:val="-13"/>
          <w:sz w:val="24"/>
          <w:szCs w:val="24"/>
          <w:highlight w:val="none"/>
        </w:rPr>
        <w:t>电话：</w:t>
      </w:r>
      <w:r>
        <w:rPr>
          <w:rFonts w:ascii="宋体" w:hAnsi="宋体" w:eastAsia="宋体" w:cs="宋体"/>
          <w:color w:val="auto"/>
          <w:sz w:val="24"/>
          <w:szCs w:val="24"/>
          <w:highlight w:val="none"/>
          <w:u w:val="single" w:color="auto"/>
        </w:rPr>
        <w:t xml:space="preserve">                    </w:t>
      </w:r>
    </w:p>
    <w:p w14:paraId="6EFACD43">
      <w:pPr>
        <w:keepNext w:val="0"/>
        <w:keepLines w:val="0"/>
        <w:pageBreakBefore w:val="0"/>
        <w:widowControl/>
        <w:kinsoku w:val="0"/>
        <w:wordWrap/>
        <w:overflowPunct/>
        <w:topLinePunct w:val="0"/>
        <w:autoSpaceDE w:val="0"/>
        <w:autoSpaceDN w:val="0"/>
        <w:bidi w:val="0"/>
        <w:adjustRightInd w:val="0"/>
        <w:snapToGrid w:val="0"/>
        <w:spacing w:before="78" w:line="360" w:lineRule="auto"/>
        <w:ind w:left="102"/>
        <w:textAlignment w:val="baseline"/>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3"/>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3"/>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3"/>
          <w:sz w:val="24"/>
          <w:szCs w:val="24"/>
          <w:highlight w:val="none"/>
        </w:rPr>
        <w:t>日</w:t>
      </w:r>
      <w:r>
        <w:rPr>
          <w:rFonts w:hint="eastAsia" w:ascii="宋体" w:hAnsi="宋体" w:eastAsia="宋体" w:cs="宋体"/>
          <w:color w:val="auto"/>
          <w:spacing w:val="-13"/>
          <w:sz w:val="24"/>
          <w:szCs w:val="24"/>
          <w:highlight w:val="none"/>
          <w:lang w:val="en-US" w:eastAsia="zh-CN"/>
        </w:rPr>
        <w:t xml:space="preserve">            </w:t>
      </w:r>
      <w:r>
        <w:rPr>
          <w:rFonts w:ascii="宋体" w:hAnsi="宋体" w:eastAsia="宋体" w:cs="宋体"/>
          <w:color w:val="auto"/>
          <w:spacing w:val="-13"/>
          <w:sz w:val="24"/>
          <w:szCs w:val="24"/>
          <w:highlight w:val="none"/>
        </w:rPr>
        <w:t>日期：</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3"/>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3"/>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3"/>
          <w:sz w:val="24"/>
          <w:szCs w:val="24"/>
          <w:highlight w:val="none"/>
        </w:rPr>
        <w:t>日</w:t>
      </w:r>
    </w:p>
    <w:p w14:paraId="200BE351">
      <w:pPr>
        <w:spacing w:before="78" w:line="184" w:lineRule="auto"/>
        <w:ind w:left="102"/>
        <w:rPr>
          <w:rFonts w:hint="default" w:ascii="宋体" w:hAnsi="宋体" w:eastAsia="宋体" w:cs="宋体"/>
          <w:color w:val="auto"/>
          <w:sz w:val="24"/>
          <w:szCs w:val="24"/>
          <w:highlight w:val="none"/>
          <w:lang w:val="en-US" w:eastAsia="zh-CN"/>
        </w:rPr>
      </w:pPr>
    </w:p>
    <w:p w14:paraId="60017990">
      <w:pPr>
        <w:spacing w:before="78" w:line="219" w:lineRule="auto"/>
        <w:ind w:left="1"/>
        <w:rPr>
          <w:rFonts w:hint="default" w:ascii="宋体" w:hAnsi="宋体" w:eastAsia="宋体" w:cs="宋体"/>
          <w:color w:val="auto"/>
          <w:sz w:val="24"/>
          <w:szCs w:val="24"/>
          <w:highlight w:val="none"/>
          <w:lang w:val="en-US" w:eastAsia="zh-CN"/>
        </w:rPr>
      </w:pPr>
    </w:p>
    <w:p w14:paraId="4497E6B3">
      <w:pPr>
        <w:spacing w:line="246" w:lineRule="auto"/>
        <w:rPr>
          <w:rFonts w:hint="default" w:ascii="Arial" w:eastAsia="宋体"/>
          <w:color w:val="auto"/>
          <w:sz w:val="21"/>
          <w:highlight w:val="none"/>
          <w:lang w:val="en-US" w:eastAsia="zh-CN"/>
        </w:rPr>
      </w:pPr>
    </w:p>
    <w:p w14:paraId="05DCA8F6">
      <w:pPr>
        <w:spacing w:line="246" w:lineRule="auto"/>
        <w:rPr>
          <w:rFonts w:ascii="Arial"/>
          <w:color w:val="auto"/>
          <w:sz w:val="21"/>
          <w:highlight w:val="none"/>
        </w:rPr>
      </w:pPr>
    </w:p>
    <w:p w14:paraId="54712BF8">
      <w:pPr>
        <w:spacing w:line="247" w:lineRule="auto"/>
        <w:rPr>
          <w:rFonts w:ascii="Arial"/>
          <w:color w:val="auto"/>
          <w:sz w:val="21"/>
          <w:highlight w:val="none"/>
        </w:rPr>
      </w:pPr>
    </w:p>
    <w:p w14:paraId="1347A8C5">
      <w:pPr>
        <w:spacing w:line="247" w:lineRule="auto"/>
        <w:rPr>
          <w:rFonts w:ascii="Arial"/>
          <w:color w:val="auto"/>
          <w:sz w:val="21"/>
          <w:highlight w:val="none"/>
        </w:rPr>
      </w:pPr>
    </w:p>
    <w:p w14:paraId="4997EB8F">
      <w:pPr>
        <w:spacing w:line="247" w:lineRule="auto"/>
        <w:rPr>
          <w:rFonts w:ascii="Arial"/>
          <w:color w:val="auto"/>
          <w:sz w:val="21"/>
          <w:highlight w:val="none"/>
        </w:rPr>
      </w:pPr>
    </w:p>
    <w:p w14:paraId="56D6E076">
      <w:pPr>
        <w:spacing w:line="247" w:lineRule="auto"/>
        <w:rPr>
          <w:rFonts w:ascii="Arial"/>
          <w:color w:val="auto"/>
          <w:sz w:val="21"/>
          <w:highlight w:val="none"/>
        </w:rPr>
      </w:pPr>
    </w:p>
    <w:p w14:paraId="46B1C164">
      <w:pPr>
        <w:spacing w:line="247" w:lineRule="auto"/>
        <w:rPr>
          <w:rFonts w:ascii="Arial"/>
          <w:color w:val="auto"/>
          <w:sz w:val="21"/>
          <w:highlight w:val="none"/>
        </w:rPr>
      </w:pPr>
    </w:p>
    <w:p w14:paraId="352579BF">
      <w:pPr>
        <w:spacing w:line="247" w:lineRule="auto"/>
        <w:rPr>
          <w:rFonts w:ascii="Arial"/>
          <w:color w:val="auto"/>
          <w:sz w:val="21"/>
          <w:highlight w:val="none"/>
        </w:rPr>
      </w:pPr>
    </w:p>
    <w:p w14:paraId="3AF675EB">
      <w:pPr>
        <w:spacing w:line="247" w:lineRule="auto"/>
        <w:rPr>
          <w:rFonts w:ascii="Arial"/>
          <w:color w:val="auto"/>
          <w:sz w:val="21"/>
          <w:highlight w:val="none"/>
        </w:rPr>
      </w:pPr>
    </w:p>
    <w:p w14:paraId="4DEE0784">
      <w:pPr>
        <w:spacing w:line="247" w:lineRule="auto"/>
        <w:rPr>
          <w:rFonts w:ascii="Arial"/>
          <w:color w:val="auto"/>
          <w:sz w:val="21"/>
          <w:highlight w:val="none"/>
        </w:rPr>
      </w:pPr>
    </w:p>
    <w:p w14:paraId="63E50F85">
      <w:pPr>
        <w:spacing w:line="247" w:lineRule="auto"/>
        <w:rPr>
          <w:rFonts w:ascii="Arial"/>
          <w:color w:val="auto"/>
          <w:sz w:val="21"/>
          <w:highlight w:val="none"/>
        </w:rPr>
      </w:pPr>
    </w:p>
    <w:p w14:paraId="3816F350">
      <w:pPr>
        <w:spacing w:line="247" w:lineRule="auto"/>
        <w:rPr>
          <w:rFonts w:ascii="Arial"/>
          <w:color w:val="auto"/>
          <w:sz w:val="21"/>
          <w:highlight w:val="none"/>
        </w:rPr>
      </w:pPr>
    </w:p>
    <w:p w14:paraId="24F9BFDA">
      <w:pPr>
        <w:spacing w:line="247" w:lineRule="auto"/>
        <w:rPr>
          <w:rFonts w:ascii="Arial"/>
          <w:color w:val="auto"/>
          <w:sz w:val="21"/>
          <w:highlight w:val="none"/>
        </w:rPr>
      </w:pPr>
    </w:p>
    <w:p w14:paraId="4442231A">
      <w:pPr>
        <w:spacing w:line="247" w:lineRule="auto"/>
        <w:rPr>
          <w:rFonts w:ascii="Arial"/>
          <w:color w:val="auto"/>
          <w:sz w:val="21"/>
          <w:highlight w:val="none"/>
        </w:rPr>
      </w:pPr>
    </w:p>
    <w:p w14:paraId="4B2F4DA7">
      <w:pPr>
        <w:spacing w:line="247" w:lineRule="auto"/>
        <w:rPr>
          <w:rFonts w:ascii="Arial"/>
          <w:color w:val="auto"/>
          <w:sz w:val="21"/>
          <w:highlight w:val="none"/>
        </w:rPr>
      </w:pPr>
    </w:p>
    <w:p w14:paraId="18636429">
      <w:pPr>
        <w:spacing w:line="247" w:lineRule="auto"/>
        <w:rPr>
          <w:rFonts w:ascii="Arial"/>
          <w:color w:val="auto"/>
          <w:sz w:val="21"/>
          <w:highlight w:val="none"/>
        </w:rPr>
      </w:pPr>
    </w:p>
    <w:p w14:paraId="0DE0B5B6">
      <w:pPr>
        <w:spacing w:line="247" w:lineRule="auto"/>
        <w:rPr>
          <w:rFonts w:ascii="Arial"/>
          <w:color w:val="auto"/>
          <w:sz w:val="21"/>
          <w:highlight w:val="none"/>
        </w:rPr>
      </w:pPr>
    </w:p>
    <w:p w14:paraId="6F56F2B7">
      <w:pPr>
        <w:spacing w:line="247" w:lineRule="auto"/>
        <w:rPr>
          <w:rFonts w:ascii="Arial"/>
          <w:color w:val="auto"/>
          <w:sz w:val="21"/>
          <w:highlight w:val="none"/>
        </w:rPr>
      </w:pPr>
    </w:p>
    <w:p w14:paraId="44816123">
      <w:pPr>
        <w:spacing w:line="247" w:lineRule="auto"/>
        <w:rPr>
          <w:rFonts w:ascii="Arial"/>
          <w:color w:val="auto"/>
          <w:sz w:val="21"/>
          <w:highlight w:val="none"/>
        </w:rPr>
      </w:pPr>
    </w:p>
    <w:p w14:paraId="5182B905">
      <w:pPr>
        <w:spacing w:line="247" w:lineRule="auto"/>
        <w:rPr>
          <w:rFonts w:ascii="Arial"/>
          <w:color w:val="auto"/>
          <w:sz w:val="21"/>
          <w:highlight w:val="none"/>
        </w:rPr>
      </w:pPr>
    </w:p>
    <w:p w14:paraId="25C9A32C">
      <w:pPr>
        <w:spacing w:line="247" w:lineRule="auto"/>
        <w:rPr>
          <w:rFonts w:ascii="Arial"/>
          <w:color w:val="auto"/>
          <w:sz w:val="21"/>
          <w:highlight w:val="none"/>
        </w:rPr>
      </w:pPr>
    </w:p>
    <w:p w14:paraId="1FA23BAC">
      <w:pPr>
        <w:spacing w:line="247" w:lineRule="auto"/>
        <w:rPr>
          <w:rFonts w:ascii="Arial"/>
          <w:color w:val="auto"/>
          <w:sz w:val="21"/>
          <w:highlight w:val="none"/>
        </w:rPr>
      </w:pPr>
    </w:p>
    <w:p w14:paraId="591D8F16">
      <w:pPr>
        <w:spacing w:line="247" w:lineRule="auto"/>
        <w:rPr>
          <w:rFonts w:ascii="Arial"/>
          <w:color w:val="auto"/>
          <w:sz w:val="21"/>
          <w:highlight w:val="none"/>
        </w:rPr>
      </w:pPr>
    </w:p>
    <w:p w14:paraId="35E9389C">
      <w:pPr>
        <w:spacing w:line="247" w:lineRule="auto"/>
        <w:rPr>
          <w:rFonts w:ascii="Arial"/>
          <w:color w:val="auto"/>
          <w:sz w:val="21"/>
          <w:highlight w:val="none"/>
        </w:rPr>
      </w:pPr>
    </w:p>
    <w:p w14:paraId="3B77EEB1">
      <w:pPr>
        <w:spacing w:line="247" w:lineRule="auto"/>
        <w:rPr>
          <w:rFonts w:ascii="Arial"/>
          <w:color w:val="auto"/>
          <w:sz w:val="21"/>
          <w:highlight w:val="none"/>
        </w:rPr>
      </w:pPr>
    </w:p>
    <w:p w14:paraId="3D1B783C">
      <w:pPr>
        <w:spacing w:line="247" w:lineRule="auto"/>
        <w:rPr>
          <w:rFonts w:ascii="Arial"/>
          <w:color w:val="auto"/>
          <w:sz w:val="21"/>
          <w:highlight w:val="none"/>
        </w:rPr>
      </w:pPr>
    </w:p>
    <w:p w14:paraId="233442E4">
      <w:pPr>
        <w:spacing w:line="247" w:lineRule="auto"/>
        <w:rPr>
          <w:rFonts w:ascii="Arial"/>
          <w:color w:val="auto"/>
          <w:sz w:val="21"/>
          <w:highlight w:val="none"/>
        </w:rPr>
      </w:pPr>
    </w:p>
    <w:p w14:paraId="1234D0AF">
      <w:pPr>
        <w:spacing w:line="247" w:lineRule="auto"/>
        <w:rPr>
          <w:rFonts w:ascii="Arial"/>
          <w:color w:val="auto"/>
          <w:sz w:val="21"/>
          <w:highlight w:val="none"/>
        </w:rPr>
      </w:pPr>
    </w:p>
    <w:p w14:paraId="6DECE71B">
      <w:pPr>
        <w:spacing w:line="247" w:lineRule="auto"/>
        <w:rPr>
          <w:rFonts w:ascii="Arial"/>
          <w:color w:val="auto"/>
          <w:sz w:val="21"/>
          <w:highlight w:val="none"/>
        </w:rPr>
      </w:pPr>
    </w:p>
    <w:p w14:paraId="1A8992D2">
      <w:pPr>
        <w:spacing w:line="247" w:lineRule="auto"/>
        <w:rPr>
          <w:rFonts w:ascii="Arial"/>
          <w:color w:val="auto"/>
          <w:sz w:val="21"/>
          <w:highlight w:val="none"/>
        </w:rPr>
      </w:pPr>
    </w:p>
    <w:p w14:paraId="609CE8B5">
      <w:pPr>
        <w:spacing w:line="247" w:lineRule="auto"/>
        <w:rPr>
          <w:rFonts w:ascii="Arial"/>
          <w:color w:val="auto"/>
          <w:sz w:val="21"/>
          <w:highlight w:val="none"/>
        </w:rPr>
      </w:pPr>
    </w:p>
    <w:p w14:paraId="30FF387C">
      <w:pPr>
        <w:spacing w:line="247" w:lineRule="auto"/>
        <w:rPr>
          <w:rFonts w:ascii="Arial"/>
          <w:color w:val="auto"/>
          <w:sz w:val="21"/>
          <w:highlight w:val="none"/>
        </w:rPr>
      </w:pPr>
    </w:p>
    <w:p w14:paraId="2BB35BE6">
      <w:pPr>
        <w:spacing w:line="247" w:lineRule="auto"/>
        <w:rPr>
          <w:rFonts w:ascii="Arial"/>
          <w:color w:val="auto"/>
          <w:sz w:val="21"/>
          <w:highlight w:val="none"/>
        </w:rPr>
      </w:pPr>
    </w:p>
    <w:p w14:paraId="695594E9">
      <w:pPr>
        <w:spacing w:line="247" w:lineRule="auto"/>
        <w:rPr>
          <w:rFonts w:ascii="Arial"/>
          <w:color w:val="auto"/>
          <w:sz w:val="21"/>
          <w:highlight w:val="none"/>
        </w:rPr>
      </w:pPr>
    </w:p>
    <w:p w14:paraId="614267F2">
      <w:pPr>
        <w:spacing w:line="247" w:lineRule="auto"/>
        <w:rPr>
          <w:rFonts w:ascii="Arial"/>
          <w:color w:val="auto"/>
          <w:sz w:val="21"/>
          <w:highlight w:val="none"/>
        </w:rPr>
      </w:pPr>
    </w:p>
    <w:p w14:paraId="6E178C06">
      <w:pPr>
        <w:spacing w:line="247" w:lineRule="auto"/>
        <w:rPr>
          <w:rFonts w:ascii="Arial"/>
          <w:color w:val="auto"/>
          <w:sz w:val="21"/>
          <w:highlight w:val="none"/>
        </w:rPr>
      </w:pPr>
    </w:p>
    <w:p w14:paraId="4E96FF76">
      <w:pPr>
        <w:spacing w:line="247" w:lineRule="auto"/>
        <w:rPr>
          <w:rFonts w:ascii="Arial"/>
          <w:color w:val="auto"/>
          <w:sz w:val="21"/>
          <w:highlight w:val="none"/>
        </w:rPr>
      </w:pPr>
    </w:p>
    <w:p w14:paraId="03CC11F9">
      <w:pPr>
        <w:spacing w:line="247" w:lineRule="auto"/>
        <w:rPr>
          <w:rFonts w:ascii="Arial"/>
          <w:color w:val="auto"/>
          <w:sz w:val="21"/>
          <w:highlight w:val="none"/>
        </w:rPr>
      </w:pPr>
    </w:p>
    <w:p w14:paraId="50D74506">
      <w:pPr>
        <w:spacing w:line="247" w:lineRule="auto"/>
        <w:rPr>
          <w:rFonts w:ascii="Arial"/>
          <w:color w:val="auto"/>
          <w:sz w:val="21"/>
          <w:highlight w:val="none"/>
        </w:rPr>
      </w:pPr>
    </w:p>
    <w:p w14:paraId="612F3181">
      <w:pPr>
        <w:spacing w:line="247" w:lineRule="auto"/>
        <w:rPr>
          <w:rFonts w:ascii="Arial"/>
          <w:color w:val="auto"/>
          <w:sz w:val="21"/>
          <w:highlight w:val="none"/>
        </w:rPr>
      </w:pPr>
    </w:p>
    <w:p w14:paraId="1630E8DC">
      <w:pPr>
        <w:spacing w:line="247" w:lineRule="auto"/>
        <w:rPr>
          <w:rFonts w:ascii="Arial"/>
          <w:color w:val="auto"/>
          <w:sz w:val="21"/>
          <w:highlight w:val="none"/>
        </w:rPr>
      </w:pPr>
    </w:p>
    <w:p w14:paraId="5AC64B65">
      <w:pPr>
        <w:spacing w:line="247" w:lineRule="auto"/>
        <w:rPr>
          <w:rFonts w:ascii="Arial"/>
          <w:color w:val="auto"/>
          <w:sz w:val="21"/>
          <w:highlight w:val="none"/>
        </w:rPr>
      </w:pPr>
    </w:p>
    <w:p w14:paraId="4A1EB88E">
      <w:pPr>
        <w:spacing w:line="247" w:lineRule="auto"/>
        <w:rPr>
          <w:rFonts w:ascii="Arial"/>
          <w:color w:val="auto"/>
          <w:sz w:val="21"/>
          <w:highlight w:val="none"/>
        </w:rPr>
      </w:pPr>
    </w:p>
    <w:p w14:paraId="0E0AA457">
      <w:pPr>
        <w:spacing w:line="247" w:lineRule="auto"/>
        <w:rPr>
          <w:rFonts w:ascii="Arial"/>
          <w:color w:val="auto"/>
          <w:sz w:val="21"/>
          <w:highlight w:val="none"/>
        </w:rPr>
      </w:pPr>
    </w:p>
    <w:p w14:paraId="51C83A27">
      <w:pPr>
        <w:spacing w:line="247" w:lineRule="auto"/>
        <w:rPr>
          <w:rFonts w:ascii="Arial"/>
          <w:color w:val="auto"/>
          <w:sz w:val="21"/>
          <w:highlight w:val="none"/>
        </w:rPr>
      </w:pPr>
    </w:p>
    <w:p w14:paraId="3BE58D36">
      <w:pPr>
        <w:spacing w:line="247" w:lineRule="auto"/>
        <w:rPr>
          <w:rFonts w:ascii="Arial"/>
          <w:color w:val="auto"/>
          <w:sz w:val="21"/>
          <w:highlight w:val="none"/>
        </w:rPr>
      </w:pPr>
    </w:p>
    <w:p w14:paraId="6E67DD21">
      <w:pPr>
        <w:spacing w:line="247" w:lineRule="auto"/>
        <w:rPr>
          <w:rFonts w:ascii="Arial"/>
          <w:color w:val="auto"/>
          <w:sz w:val="21"/>
          <w:highlight w:val="none"/>
        </w:rPr>
      </w:pPr>
    </w:p>
    <w:p w14:paraId="052EA292">
      <w:pPr>
        <w:spacing w:line="247" w:lineRule="auto"/>
        <w:rPr>
          <w:rFonts w:ascii="Arial"/>
          <w:color w:val="auto"/>
          <w:sz w:val="21"/>
          <w:highlight w:val="none"/>
        </w:rPr>
      </w:pPr>
    </w:p>
    <w:p w14:paraId="1ADD999B">
      <w:pPr>
        <w:spacing w:line="247" w:lineRule="auto"/>
        <w:rPr>
          <w:rFonts w:ascii="Arial"/>
          <w:color w:val="auto"/>
          <w:sz w:val="21"/>
          <w:highlight w:val="none"/>
        </w:rPr>
      </w:pPr>
    </w:p>
    <w:p w14:paraId="71F4198C">
      <w:pPr>
        <w:spacing w:line="247" w:lineRule="auto"/>
        <w:rPr>
          <w:rFonts w:ascii="Arial"/>
          <w:color w:val="auto"/>
          <w:sz w:val="21"/>
          <w:highlight w:val="none"/>
        </w:rPr>
      </w:pPr>
    </w:p>
    <w:p w14:paraId="0D2230FF">
      <w:pPr>
        <w:spacing w:line="247" w:lineRule="auto"/>
        <w:rPr>
          <w:rFonts w:ascii="Arial"/>
          <w:color w:val="auto"/>
          <w:sz w:val="21"/>
          <w:highlight w:val="none"/>
        </w:rPr>
      </w:pPr>
    </w:p>
    <w:p w14:paraId="03997255">
      <w:pPr>
        <w:spacing w:line="247" w:lineRule="auto"/>
        <w:rPr>
          <w:rFonts w:ascii="Arial"/>
          <w:color w:val="auto"/>
          <w:sz w:val="21"/>
          <w:highlight w:val="none"/>
        </w:rPr>
      </w:pPr>
    </w:p>
    <w:p w14:paraId="54AA2C60">
      <w:pPr>
        <w:spacing w:line="247" w:lineRule="auto"/>
        <w:rPr>
          <w:rFonts w:ascii="Arial"/>
          <w:color w:val="auto"/>
          <w:sz w:val="21"/>
          <w:highlight w:val="none"/>
        </w:rPr>
      </w:pPr>
    </w:p>
    <w:p w14:paraId="6ABBE569">
      <w:pPr>
        <w:spacing w:line="247" w:lineRule="auto"/>
        <w:rPr>
          <w:rFonts w:ascii="Arial"/>
          <w:color w:val="auto"/>
          <w:sz w:val="21"/>
          <w:highlight w:val="none"/>
        </w:rPr>
      </w:pPr>
    </w:p>
    <w:p w14:paraId="0C45E3A6">
      <w:pPr>
        <w:spacing w:line="247" w:lineRule="auto"/>
        <w:rPr>
          <w:rFonts w:ascii="Arial"/>
          <w:color w:val="auto"/>
          <w:sz w:val="21"/>
          <w:highlight w:val="none"/>
        </w:rPr>
      </w:pPr>
    </w:p>
    <w:p w14:paraId="06D90618">
      <w:pPr>
        <w:spacing w:line="247" w:lineRule="auto"/>
        <w:rPr>
          <w:rFonts w:ascii="Arial"/>
          <w:color w:val="auto"/>
          <w:sz w:val="21"/>
          <w:highlight w:val="none"/>
        </w:rPr>
      </w:pPr>
    </w:p>
    <w:p w14:paraId="3668DD17">
      <w:pPr>
        <w:spacing w:line="247" w:lineRule="auto"/>
        <w:rPr>
          <w:rFonts w:ascii="Arial"/>
          <w:color w:val="auto"/>
          <w:sz w:val="21"/>
          <w:highlight w:val="none"/>
        </w:rPr>
      </w:pPr>
    </w:p>
    <w:p w14:paraId="3C5087BC">
      <w:pPr>
        <w:spacing w:line="247" w:lineRule="auto"/>
        <w:rPr>
          <w:rFonts w:ascii="Arial"/>
          <w:color w:val="auto"/>
          <w:sz w:val="21"/>
          <w:highlight w:val="none"/>
        </w:rPr>
      </w:pPr>
    </w:p>
    <w:p w14:paraId="566E77D1">
      <w:pPr>
        <w:pStyle w:val="7"/>
        <w:spacing w:before="231" w:line="224" w:lineRule="auto"/>
        <w:jc w:val="center"/>
        <w:rPr>
          <w:color w:val="auto"/>
          <w:sz w:val="71"/>
          <w:szCs w:val="71"/>
          <w:highlight w:val="none"/>
        </w:rPr>
      </w:pPr>
      <w:r>
        <w:rPr>
          <w:color w:val="auto"/>
          <w:sz w:val="71"/>
          <w:szCs w:val="71"/>
          <w:highlight w:val="none"/>
        </w:rPr>
        <w:t>第二卷</w:t>
      </w:r>
    </w:p>
    <w:p w14:paraId="51937E26">
      <w:pPr>
        <w:spacing w:line="224" w:lineRule="auto"/>
        <w:rPr>
          <w:color w:val="auto"/>
          <w:sz w:val="71"/>
          <w:szCs w:val="71"/>
          <w:highlight w:val="none"/>
        </w:rPr>
        <w:sectPr>
          <w:footerReference r:id="rId28" w:type="default"/>
          <w:pgSz w:w="11905" w:h="16838"/>
          <w:pgMar w:top="1134" w:right="1134" w:bottom="1134" w:left="1134" w:header="0" w:footer="1066" w:gutter="0"/>
          <w:pgNumType w:fmt="decimal"/>
          <w:cols w:space="0" w:num="1"/>
          <w:rtlGutter w:val="0"/>
          <w:docGrid w:linePitch="0" w:charSpace="0"/>
        </w:sectPr>
      </w:pPr>
    </w:p>
    <w:p w14:paraId="6A322102">
      <w:pPr>
        <w:spacing w:line="245" w:lineRule="auto"/>
        <w:rPr>
          <w:rFonts w:ascii="Arial"/>
          <w:color w:val="auto"/>
          <w:sz w:val="21"/>
          <w:highlight w:val="none"/>
        </w:rPr>
      </w:pPr>
    </w:p>
    <w:p w14:paraId="320CB034">
      <w:pPr>
        <w:spacing w:line="245" w:lineRule="auto"/>
        <w:rPr>
          <w:rFonts w:ascii="Arial"/>
          <w:color w:val="auto"/>
          <w:sz w:val="21"/>
          <w:highlight w:val="none"/>
        </w:rPr>
      </w:pPr>
    </w:p>
    <w:p w14:paraId="707DBAB5">
      <w:pPr>
        <w:spacing w:line="246" w:lineRule="auto"/>
        <w:rPr>
          <w:rFonts w:ascii="Arial"/>
          <w:color w:val="auto"/>
          <w:sz w:val="21"/>
          <w:highlight w:val="none"/>
        </w:rPr>
      </w:pPr>
    </w:p>
    <w:p w14:paraId="5C10FC87">
      <w:pPr>
        <w:spacing w:line="246" w:lineRule="auto"/>
        <w:rPr>
          <w:rFonts w:ascii="Arial"/>
          <w:color w:val="auto"/>
          <w:sz w:val="21"/>
          <w:highlight w:val="none"/>
        </w:rPr>
      </w:pPr>
    </w:p>
    <w:p w14:paraId="5FC95A8A">
      <w:pPr>
        <w:spacing w:line="246" w:lineRule="auto"/>
        <w:rPr>
          <w:rFonts w:ascii="Arial"/>
          <w:color w:val="auto"/>
          <w:sz w:val="21"/>
          <w:highlight w:val="none"/>
        </w:rPr>
      </w:pPr>
    </w:p>
    <w:p w14:paraId="7816FD7F">
      <w:pPr>
        <w:spacing w:line="246" w:lineRule="auto"/>
        <w:rPr>
          <w:rFonts w:ascii="Arial"/>
          <w:color w:val="auto"/>
          <w:sz w:val="21"/>
          <w:highlight w:val="none"/>
        </w:rPr>
      </w:pPr>
    </w:p>
    <w:p w14:paraId="673147C0">
      <w:pPr>
        <w:spacing w:line="246" w:lineRule="auto"/>
        <w:rPr>
          <w:rFonts w:ascii="Arial"/>
          <w:color w:val="auto"/>
          <w:sz w:val="21"/>
          <w:highlight w:val="none"/>
        </w:rPr>
      </w:pPr>
    </w:p>
    <w:p w14:paraId="7BCD55CF">
      <w:pPr>
        <w:spacing w:line="246" w:lineRule="auto"/>
        <w:rPr>
          <w:rFonts w:ascii="Arial"/>
          <w:color w:val="auto"/>
          <w:sz w:val="21"/>
          <w:highlight w:val="none"/>
        </w:rPr>
      </w:pPr>
    </w:p>
    <w:p w14:paraId="78758B9D">
      <w:pPr>
        <w:spacing w:line="246" w:lineRule="auto"/>
        <w:rPr>
          <w:rFonts w:ascii="Arial"/>
          <w:color w:val="auto"/>
          <w:sz w:val="21"/>
          <w:highlight w:val="none"/>
        </w:rPr>
      </w:pPr>
    </w:p>
    <w:p w14:paraId="43065B74">
      <w:pPr>
        <w:spacing w:line="246" w:lineRule="auto"/>
        <w:rPr>
          <w:rFonts w:ascii="Arial"/>
          <w:color w:val="auto"/>
          <w:sz w:val="21"/>
          <w:highlight w:val="none"/>
        </w:rPr>
      </w:pPr>
    </w:p>
    <w:p w14:paraId="13600A65">
      <w:pPr>
        <w:spacing w:line="246" w:lineRule="auto"/>
        <w:rPr>
          <w:rFonts w:ascii="Arial"/>
          <w:color w:val="auto"/>
          <w:sz w:val="21"/>
          <w:highlight w:val="none"/>
        </w:rPr>
      </w:pPr>
    </w:p>
    <w:p w14:paraId="183CF904">
      <w:pPr>
        <w:spacing w:line="246" w:lineRule="auto"/>
        <w:rPr>
          <w:rFonts w:ascii="Arial"/>
          <w:color w:val="auto"/>
          <w:sz w:val="21"/>
          <w:highlight w:val="none"/>
        </w:rPr>
      </w:pPr>
    </w:p>
    <w:p w14:paraId="6AC67755">
      <w:pPr>
        <w:spacing w:line="246" w:lineRule="auto"/>
        <w:rPr>
          <w:rFonts w:ascii="Arial"/>
          <w:color w:val="auto"/>
          <w:sz w:val="21"/>
          <w:highlight w:val="none"/>
        </w:rPr>
      </w:pPr>
    </w:p>
    <w:p w14:paraId="51C996A0">
      <w:pPr>
        <w:spacing w:line="246" w:lineRule="auto"/>
        <w:rPr>
          <w:rFonts w:ascii="Arial"/>
          <w:color w:val="auto"/>
          <w:sz w:val="21"/>
          <w:highlight w:val="none"/>
        </w:rPr>
      </w:pPr>
    </w:p>
    <w:p w14:paraId="7FFFBB6A">
      <w:pPr>
        <w:spacing w:line="246" w:lineRule="auto"/>
        <w:rPr>
          <w:rFonts w:ascii="Arial"/>
          <w:color w:val="auto"/>
          <w:sz w:val="21"/>
          <w:highlight w:val="none"/>
        </w:rPr>
      </w:pPr>
    </w:p>
    <w:p w14:paraId="42CB5D0D">
      <w:pPr>
        <w:spacing w:line="246" w:lineRule="auto"/>
        <w:rPr>
          <w:rFonts w:ascii="Arial"/>
          <w:color w:val="auto"/>
          <w:sz w:val="21"/>
          <w:highlight w:val="none"/>
        </w:rPr>
      </w:pPr>
    </w:p>
    <w:p w14:paraId="3A17383F">
      <w:pPr>
        <w:spacing w:line="246" w:lineRule="auto"/>
        <w:rPr>
          <w:rFonts w:ascii="Arial"/>
          <w:color w:val="auto"/>
          <w:sz w:val="21"/>
          <w:highlight w:val="none"/>
        </w:rPr>
      </w:pPr>
    </w:p>
    <w:p w14:paraId="04CC2930">
      <w:pPr>
        <w:spacing w:line="246" w:lineRule="auto"/>
        <w:rPr>
          <w:rFonts w:ascii="Arial"/>
          <w:color w:val="auto"/>
          <w:sz w:val="21"/>
          <w:highlight w:val="none"/>
        </w:rPr>
      </w:pPr>
    </w:p>
    <w:p w14:paraId="3CC81B68">
      <w:pPr>
        <w:spacing w:line="246" w:lineRule="auto"/>
        <w:rPr>
          <w:rFonts w:ascii="Arial"/>
          <w:color w:val="auto"/>
          <w:sz w:val="21"/>
          <w:highlight w:val="none"/>
        </w:rPr>
      </w:pPr>
    </w:p>
    <w:p w14:paraId="5EFB66AD">
      <w:pPr>
        <w:pStyle w:val="2"/>
        <w:bidi w:val="0"/>
        <w:jc w:val="center"/>
        <w:rPr>
          <w:color w:val="auto"/>
          <w:sz w:val="40"/>
          <w:szCs w:val="40"/>
          <w:highlight w:val="none"/>
        </w:rPr>
      </w:pPr>
      <w:bookmarkStart w:id="343" w:name="bookmark10"/>
      <w:bookmarkEnd w:id="343"/>
      <w:bookmarkStart w:id="344" w:name="_Toc5822"/>
      <w:r>
        <w:rPr>
          <w:color w:val="auto"/>
          <w:sz w:val="40"/>
          <w:szCs w:val="40"/>
          <w:highlight w:val="none"/>
        </w:rPr>
        <w:t>第五章  委托人要求</w:t>
      </w:r>
      <w:bookmarkEnd w:id="344"/>
    </w:p>
    <w:p w14:paraId="1F71A8FD">
      <w:pPr>
        <w:spacing w:line="219" w:lineRule="auto"/>
        <w:rPr>
          <w:rFonts w:ascii="宋体" w:hAnsi="宋体" w:eastAsia="宋体" w:cs="宋体"/>
          <w:color w:val="auto"/>
          <w:sz w:val="52"/>
          <w:szCs w:val="52"/>
          <w:highlight w:val="none"/>
        </w:rPr>
        <w:sectPr>
          <w:footerReference r:id="rId29" w:type="default"/>
          <w:pgSz w:w="11905" w:h="16838"/>
          <w:pgMar w:top="1134" w:right="1134" w:bottom="1134" w:left="1134" w:header="0" w:footer="1066" w:gutter="0"/>
          <w:pgNumType w:fmt="decimal"/>
          <w:cols w:space="0" w:num="1"/>
          <w:rtlGutter w:val="0"/>
          <w:docGrid w:linePitch="0" w:charSpace="0"/>
        </w:sectPr>
      </w:pPr>
    </w:p>
    <w:p w14:paraId="36B90099">
      <w:pPr>
        <w:spacing w:before="98" w:line="221" w:lineRule="auto"/>
        <w:ind w:left="3789"/>
        <w:rPr>
          <w:rFonts w:ascii="宋体" w:hAnsi="宋体" w:eastAsia="宋体" w:cs="宋体"/>
          <w:color w:val="auto"/>
          <w:sz w:val="30"/>
          <w:szCs w:val="30"/>
          <w:highlight w:val="none"/>
        </w:rPr>
      </w:pPr>
      <w:r>
        <w:rPr>
          <w:rFonts w:ascii="宋体" w:hAnsi="宋体" w:eastAsia="宋体" w:cs="宋体"/>
          <w:color w:val="auto"/>
          <w:spacing w:val="-3"/>
          <w:sz w:val="30"/>
          <w:szCs w:val="30"/>
          <w:highlight w:val="none"/>
        </w:rPr>
        <w:t>委托人要求</w:t>
      </w:r>
    </w:p>
    <w:p w14:paraId="41ACE713">
      <w:pPr>
        <w:spacing w:line="265" w:lineRule="auto"/>
        <w:rPr>
          <w:rFonts w:ascii="Arial"/>
          <w:color w:val="auto"/>
          <w:sz w:val="21"/>
          <w:highlight w:val="none"/>
        </w:rPr>
      </w:pPr>
    </w:p>
    <w:p w14:paraId="23416D62">
      <w:pPr>
        <w:spacing w:line="265" w:lineRule="auto"/>
        <w:rPr>
          <w:rFonts w:ascii="Arial"/>
          <w:color w:val="auto"/>
          <w:sz w:val="21"/>
          <w:highlight w:val="none"/>
        </w:rPr>
      </w:pPr>
    </w:p>
    <w:p w14:paraId="5D2288FB">
      <w:pPr>
        <w:pStyle w:val="3"/>
        <w:bidi w:val="0"/>
        <w:rPr>
          <w:color w:val="auto"/>
          <w:highlight w:val="none"/>
        </w:rPr>
      </w:pPr>
      <w:r>
        <w:rPr>
          <w:color w:val="auto"/>
          <w:highlight w:val="none"/>
        </w:rPr>
        <w:t>一、监理要求</w:t>
      </w:r>
    </w:p>
    <w:p w14:paraId="440275CA">
      <w:pPr>
        <w:keepNext w:val="0"/>
        <w:keepLines w:val="0"/>
        <w:pageBreakBefore w:val="0"/>
        <w:widowControl w:val="0"/>
        <w:kinsoku w:val="0"/>
        <w:wordWrap/>
        <w:overflowPunct w:val="0"/>
        <w:topLinePunct w:val="0"/>
        <w:autoSpaceDE w:val="0"/>
        <w:autoSpaceDN w:val="0"/>
        <w:bidi w:val="0"/>
        <w:adjustRightInd w:val="0"/>
        <w:snapToGrid/>
        <w:spacing w:before="85" w:after="0" w:afterLines="50"/>
        <w:ind w:left="624"/>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Times New Roman"/>
          <w:color w:val="auto"/>
          <w:kern w:val="2"/>
          <w:sz w:val="24"/>
          <w:highlight w:val="none"/>
          <w:lang w:val="en-US" w:eastAsia="zh-CN" w:bidi="ar-SA"/>
        </w:rPr>
        <w:t>（一）项目概况</w:t>
      </w:r>
    </w:p>
    <w:p w14:paraId="30769471">
      <w:pPr>
        <w:widowControl w:val="0"/>
        <w:kinsoku w:val="0"/>
        <w:overflowPunct w:val="0"/>
        <w:autoSpaceDE w:val="0"/>
        <w:autoSpaceDN w:val="0"/>
        <w:adjustRightInd w:val="0"/>
        <w:spacing w:line="360" w:lineRule="auto"/>
        <w:ind w:left="0" w:right="221" w:firstLine="480" w:firstLineChars="200"/>
        <w:jc w:val="both"/>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1.项目名称：</w:t>
      </w:r>
      <w:r>
        <w:rPr>
          <w:rFonts w:hint="eastAsia" w:ascii="宋体" w:hAnsi="宋体" w:eastAsia="宋体" w:cs="宋体"/>
          <w:color w:val="auto"/>
          <w:kern w:val="2"/>
          <w:sz w:val="24"/>
          <w:highlight w:val="none"/>
          <w:u w:val="single"/>
          <w:lang w:val="en-US" w:eastAsia="zh-CN" w:bidi="ar-SA"/>
        </w:rPr>
        <w:t>国道G535线始兴下窖（江西交界）至顿岗段改建工程施工监理</w:t>
      </w:r>
    </w:p>
    <w:p w14:paraId="0F026900">
      <w:pPr>
        <w:widowControl w:val="0"/>
        <w:kinsoku w:val="0"/>
        <w:overflowPunct w:val="0"/>
        <w:autoSpaceDE w:val="0"/>
        <w:autoSpaceDN w:val="0"/>
        <w:adjustRightInd w:val="0"/>
        <w:spacing w:line="360" w:lineRule="auto"/>
        <w:ind w:left="0" w:right="221" w:firstLine="480" w:firstLineChars="200"/>
        <w:jc w:val="both"/>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2.建设单位：</w:t>
      </w:r>
      <w:r>
        <w:rPr>
          <w:rFonts w:hint="eastAsia" w:ascii="宋体" w:hAnsi="宋体" w:eastAsia="宋体" w:cs="宋体"/>
          <w:color w:val="auto"/>
          <w:kern w:val="2"/>
          <w:sz w:val="24"/>
          <w:highlight w:val="none"/>
          <w:u w:val="single"/>
          <w:lang w:val="en-US" w:eastAsia="zh-CN" w:bidi="ar-SA"/>
        </w:rPr>
        <w:t>始兴县地方公路事务中心</w:t>
      </w:r>
    </w:p>
    <w:p w14:paraId="13ED078B">
      <w:pPr>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5"/>
          <w:kern w:val="2"/>
          <w:sz w:val="24"/>
          <w:szCs w:val="24"/>
          <w:highlight w:val="none"/>
          <w:u w:val="single"/>
          <w:lang w:val="en-US" w:eastAsia="zh-CN"/>
        </w:rPr>
      </w:pPr>
      <w:r>
        <w:rPr>
          <w:rFonts w:hint="eastAsia" w:ascii="宋体" w:hAnsi="宋体" w:eastAsia="宋体" w:cs="宋体"/>
          <w:snapToGrid/>
          <w:color w:val="auto"/>
          <w:kern w:val="2"/>
          <w:sz w:val="24"/>
          <w:szCs w:val="24"/>
          <w:highlight w:val="none"/>
          <w:lang w:val="en-US" w:eastAsia="zh-CN"/>
        </w:rPr>
        <w:t>3.</w:t>
      </w:r>
      <w:r>
        <w:rPr>
          <w:rFonts w:hint="eastAsia" w:ascii="宋体" w:hAnsi="宋体" w:eastAsia="宋体" w:cs="宋体"/>
          <w:snapToGrid/>
          <w:color w:val="auto"/>
          <w:kern w:val="2"/>
          <w:sz w:val="24"/>
          <w:szCs w:val="24"/>
          <w:highlight w:val="none"/>
          <w:lang w:eastAsia="zh-CN"/>
        </w:rPr>
        <w:t>建</w:t>
      </w:r>
      <w:r>
        <w:rPr>
          <w:rFonts w:ascii="Times New Roman" w:hAnsi="Times New Roman" w:eastAsia="宋体" w:cs="Times New Roman"/>
          <w:snapToGrid/>
          <w:color w:val="auto"/>
          <w:kern w:val="2"/>
          <w:sz w:val="24"/>
          <w:szCs w:val="24"/>
          <w:highlight w:val="none"/>
          <w:lang w:eastAsia="zh-CN"/>
        </w:rPr>
        <w:t>设规模</w:t>
      </w:r>
      <w:r>
        <w:rPr>
          <w:rFonts w:ascii="Times New Roman" w:hAnsi="Times New Roman" w:eastAsia="宋体" w:cs="Times New Roman"/>
          <w:snapToGrid/>
          <w:color w:val="auto"/>
          <w:spacing w:val="-5"/>
          <w:kern w:val="2"/>
          <w:sz w:val="24"/>
          <w:szCs w:val="24"/>
          <w:highlight w:val="none"/>
          <w:lang w:eastAsia="zh-CN"/>
        </w:rPr>
        <w:t>：</w:t>
      </w:r>
      <w:r>
        <w:rPr>
          <w:rFonts w:hint="eastAsia" w:ascii="Times New Roman" w:hAnsi="Times New Roman" w:eastAsia="宋体" w:cs="Times New Roman"/>
          <w:snapToGrid/>
          <w:color w:val="auto"/>
          <w:spacing w:val="-5"/>
          <w:kern w:val="2"/>
          <w:sz w:val="24"/>
          <w:szCs w:val="24"/>
          <w:highlight w:val="none"/>
          <w:u w:val="single"/>
          <w:lang w:val="en-US" w:eastAsia="zh-CN"/>
        </w:rPr>
        <w:t>本项目路线全长35.037km</w:t>
      </w:r>
      <w:r>
        <w:rPr>
          <w:rFonts w:hint="default" w:ascii="Times New Roman" w:hAnsi="Times New Roman" w:eastAsia="宋体" w:cs="Times New Roman"/>
          <w:snapToGrid/>
          <w:color w:val="auto"/>
          <w:spacing w:val="-5"/>
          <w:kern w:val="2"/>
          <w:sz w:val="24"/>
          <w:szCs w:val="24"/>
          <w:highlight w:val="none"/>
          <w:u w:val="single"/>
          <w:lang w:val="en-US" w:eastAsia="zh-CN"/>
        </w:rPr>
        <w:t>。全线共设桥梁293m/7 座（其中拆除重建中桥138m/4座，新建中桥155m/3座）、涵洞132道（其中新建89道，拆除重建43道），设主要平面交叉3处。</w:t>
      </w:r>
    </w:p>
    <w:p w14:paraId="3D38A67D">
      <w:pPr>
        <w:kinsoku/>
        <w:autoSpaceDE/>
        <w:autoSpaceDN/>
        <w:adjustRightInd/>
        <w:snapToGrid/>
        <w:spacing w:line="360" w:lineRule="auto"/>
        <w:ind w:firstLine="460" w:firstLineChars="200"/>
        <w:jc w:val="both"/>
        <w:textAlignment w:val="auto"/>
        <w:rPr>
          <w:rFonts w:hint="eastAsia" w:ascii="Times New Roman" w:hAnsi="Times New Roman" w:eastAsia="宋体" w:cs="Times New Roman"/>
          <w:snapToGrid/>
          <w:color w:val="auto"/>
          <w:spacing w:val="-5"/>
          <w:kern w:val="2"/>
          <w:sz w:val="24"/>
          <w:szCs w:val="24"/>
          <w:highlight w:val="none"/>
          <w:u w:val="single"/>
          <w:lang w:val="en-US" w:eastAsia="zh-CN"/>
        </w:rPr>
      </w:pPr>
      <w:r>
        <w:rPr>
          <w:rFonts w:hint="eastAsia" w:ascii="Times New Roman" w:hAnsi="Times New Roman" w:eastAsia="宋体" w:cs="Times New Roman"/>
          <w:snapToGrid/>
          <w:color w:val="auto"/>
          <w:spacing w:val="-5"/>
          <w:kern w:val="2"/>
          <w:sz w:val="24"/>
          <w:szCs w:val="24"/>
          <w:highlight w:val="none"/>
          <w:u w:val="none"/>
          <w:lang w:val="en-US" w:eastAsia="zh-CN"/>
        </w:rPr>
        <w:t>4.技术标准：</w:t>
      </w:r>
      <w:r>
        <w:rPr>
          <w:rFonts w:hint="eastAsia" w:ascii="Times New Roman" w:hAnsi="Times New Roman" w:eastAsia="宋体" w:cs="Times New Roman"/>
          <w:snapToGrid/>
          <w:color w:val="auto"/>
          <w:spacing w:val="-5"/>
          <w:kern w:val="2"/>
          <w:sz w:val="24"/>
          <w:szCs w:val="24"/>
          <w:highlight w:val="none"/>
          <w:u w:val="single"/>
          <w:lang w:val="en-US" w:eastAsia="zh-CN"/>
        </w:rPr>
        <w:t>采用二级公路技术标准；设计速度：40km/h</w:t>
      </w:r>
      <w:r>
        <w:rPr>
          <w:rFonts w:hint="default" w:ascii="Times New Roman" w:hAnsi="Times New Roman" w:eastAsia="宋体" w:cs="Times New Roman"/>
          <w:snapToGrid/>
          <w:color w:val="auto"/>
          <w:spacing w:val="-5"/>
          <w:kern w:val="2"/>
          <w:sz w:val="24"/>
          <w:szCs w:val="24"/>
          <w:highlight w:val="none"/>
          <w:u w:val="single"/>
          <w:lang w:val="en-US" w:eastAsia="zh-CN"/>
        </w:rPr>
        <w:t>（K111+930.414~K119+265、K128+905 ~K141+700段）、60km/h（K119+265~K128+905、K141+700~K 146+967.413段）</w:t>
      </w:r>
      <w:r>
        <w:rPr>
          <w:rFonts w:hint="eastAsia" w:ascii="Times New Roman" w:hAnsi="Times New Roman" w:eastAsia="宋体" w:cs="Times New Roman"/>
          <w:snapToGrid/>
          <w:color w:val="auto"/>
          <w:spacing w:val="-5"/>
          <w:kern w:val="2"/>
          <w:sz w:val="24"/>
          <w:szCs w:val="24"/>
          <w:highlight w:val="none"/>
          <w:u w:val="single"/>
          <w:lang w:val="en-US" w:eastAsia="zh-CN"/>
        </w:rPr>
        <w:t>；路基宽度：10.0m。具体详见初步设计图</w:t>
      </w:r>
    </w:p>
    <w:p w14:paraId="4F6C6FF7">
      <w:pPr>
        <w:kinsoku/>
        <w:autoSpaceDE/>
        <w:autoSpaceDN/>
        <w:adjustRightInd/>
        <w:snapToGrid/>
        <w:spacing w:line="360" w:lineRule="auto"/>
        <w:ind w:firstLine="480" w:firstLineChars="200"/>
        <w:jc w:val="both"/>
        <w:textAlignment w:val="auto"/>
        <w:rPr>
          <w:rFonts w:hint="eastAsia" w:ascii="宋体" w:hAnsi="宋体" w:eastAsia="宋体" w:cs="宋体"/>
          <w:color w:val="auto"/>
          <w:spacing w:val="-2"/>
          <w:sz w:val="24"/>
          <w:szCs w:val="24"/>
          <w:highlight w:val="none"/>
          <w:lang w:val="en-US" w:eastAsia="zh-CN"/>
        </w:rPr>
      </w:pPr>
      <w:r>
        <w:rPr>
          <w:rFonts w:hint="eastAsia" w:ascii="宋体" w:hAnsi="宋体" w:eastAsia="宋体" w:cs="宋体"/>
          <w:snapToGrid/>
          <w:color w:val="auto"/>
          <w:kern w:val="2"/>
          <w:sz w:val="24"/>
          <w:szCs w:val="24"/>
          <w:highlight w:val="none"/>
          <w:lang w:val="en-US" w:eastAsia="zh-CN"/>
        </w:rPr>
        <w:t>5.建设地点</w:t>
      </w:r>
      <w:r>
        <w:rPr>
          <w:rFonts w:hint="eastAsia" w:ascii="宋体" w:hAnsi="宋体" w:eastAsia="宋体" w:cs="宋体"/>
          <w:color w:val="auto"/>
          <w:spacing w:val="-2"/>
          <w:sz w:val="24"/>
          <w:szCs w:val="24"/>
          <w:highlight w:val="none"/>
          <w:lang w:val="en-US" w:eastAsia="zh-CN"/>
        </w:rPr>
        <w:t>：韶关市始兴县</w:t>
      </w:r>
    </w:p>
    <w:p w14:paraId="70F11D65">
      <w:pPr>
        <w:kinsoku/>
        <w:autoSpaceDE/>
        <w:autoSpaceDN/>
        <w:adjustRightInd/>
        <w:snapToGrid/>
        <w:spacing w:line="360" w:lineRule="auto"/>
        <w:ind w:firstLine="460" w:firstLineChars="200"/>
        <w:jc w:val="both"/>
        <w:textAlignment w:val="auto"/>
        <w:rPr>
          <w:rFonts w:hint="eastAsia" w:ascii="宋体" w:hAnsi="宋体" w:eastAsia="宋体" w:cs="Times New Roman"/>
          <w:color w:val="auto"/>
          <w:spacing w:val="-5"/>
          <w:kern w:val="2"/>
          <w:sz w:val="24"/>
          <w:szCs w:val="22"/>
          <w:highlight w:val="none"/>
          <w:lang w:val="en-US" w:eastAsia="zh-CN" w:bidi="ar-SA"/>
        </w:rPr>
      </w:pPr>
      <w:r>
        <w:rPr>
          <w:rFonts w:hint="eastAsia" w:ascii="宋体" w:hAnsi="宋体" w:eastAsia="宋体" w:cs="Times New Roman"/>
          <w:color w:val="auto"/>
          <w:spacing w:val="-5"/>
          <w:kern w:val="2"/>
          <w:sz w:val="24"/>
          <w:szCs w:val="22"/>
          <w:highlight w:val="none"/>
          <w:lang w:val="en-US" w:eastAsia="zh-CN" w:bidi="ar-SA"/>
        </w:rPr>
        <w:t>6.项目周边环境、文物情况：详见初步设计图。</w:t>
      </w:r>
    </w:p>
    <w:p w14:paraId="424B68F0">
      <w:pPr>
        <w:kinsoku/>
        <w:autoSpaceDE/>
        <w:autoSpaceDN/>
        <w:adjustRightInd/>
        <w:snapToGrid/>
        <w:spacing w:line="360" w:lineRule="auto"/>
        <w:ind w:firstLine="460" w:firstLineChars="200"/>
        <w:jc w:val="both"/>
        <w:textAlignment w:val="auto"/>
        <w:rPr>
          <w:rFonts w:hint="eastAsia" w:ascii="宋体" w:hAnsi="宋体" w:eastAsia="宋体" w:cs="Times New Roman"/>
          <w:color w:val="auto"/>
          <w:spacing w:val="-5"/>
          <w:kern w:val="2"/>
          <w:sz w:val="24"/>
          <w:szCs w:val="22"/>
          <w:highlight w:val="none"/>
          <w:lang w:val="en-US" w:eastAsia="zh-CN" w:bidi="ar-SA"/>
        </w:rPr>
      </w:pPr>
      <w:r>
        <w:rPr>
          <w:rFonts w:hint="eastAsia" w:ascii="宋体" w:hAnsi="宋体" w:eastAsia="宋体" w:cs="Times New Roman"/>
          <w:color w:val="auto"/>
          <w:spacing w:val="-5"/>
          <w:kern w:val="2"/>
          <w:sz w:val="24"/>
          <w:szCs w:val="22"/>
          <w:highlight w:val="none"/>
          <w:lang w:val="en-US" w:eastAsia="zh-CN" w:bidi="ar-SA"/>
        </w:rPr>
        <w:t>7.水文、气候、气象及地质简况：详见初步设计图。</w:t>
      </w:r>
    </w:p>
    <w:p w14:paraId="44E3B765">
      <w:pPr>
        <w:kinsoku/>
        <w:autoSpaceDE/>
        <w:autoSpaceDN/>
        <w:adjustRightInd/>
        <w:snapToGrid/>
        <w:spacing w:line="360" w:lineRule="auto"/>
        <w:ind w:firstLine="460" w:firstLineChars="200"/>
        <w:jc w:val="both"/>
        <w:textAlignment w:val="auto"/>
        <w:rPr>
          <w:rFonts w:hint="eastAsia" w:ascii="宋体" w:hAnsi="宋体" w:eastAsia="宋体" w:cs="Times New Roman"/>
          <w:color w:val="auto"/>
          <w:spacing w:val="-5"/>
          <w:kern w:val="2"/>
          <w:sz w:val="24"/>
          <w:szCs w:val="22"/>
          <w:highlight w:val="none"/>
          <w:lang w:val="en-US" w:eastAsia="zh-CN" w:bidi="ar-SA"/>
        </w:rPr>
      </w:pPr>
      <w:r>
        <w:rPr>
          <w:rFonts w:hint="eastAsia" w:ascii="宋体" w:hAnsi="宋体" w:eastAsia="宋体" w:cs="Times New Roman"/>
          <w:color w:val="auto"/>
          <w:spacing w:val="-5"/>
          <w:kern w:val="2"/>
          <w:sz w:val="24"/>
          <w:szCs w:val="22"/>
          <w:highlight w:val="none"/>
          <w:lang w:val="en-US" w:eastAsia="zh-CN" w:bidi="ar-SA"/>
        </w:rPr>
        <w:t>8.交通、电力、通信及其他条件等：详见初步设计图。</w:t>
      </w:r>
    </w:p>
    <w:p w14:paraId="5B1C7686">
      <w:pPr>
        <w:keepNext w:val="0"/>
        <w:keepLines w:val="0"/>
        <w:pageBreakBefore w:val="0"/>
        <w:widowControl/>
        <w:kinsoku w:val="0"/>
        <w:wordWrap/>
        <w:overflowPunct/>
        <w:topLinePunct w:val="0"/>
        <w:autoSpaceDE w:val="0"/>
        <w:autoSpaceDN w:val="0"/>
        <w:bidi w:val="0"/>
        <w:adjustRightInd w:val="0"/>
        <w:snapToGrid w:val="0"/>
        <w:spacing w:before="157" w:after="0" w:afterLines="100" w:line="219" w:lineRule="auto"/>
        <w:ind w:left="493"/>
        <w:textAlignment w:val="baseline"/>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（二）监理范围及内容</w:t>
      </w:r>
    </w:p>
    <w:p w14:paraId="35871D37">
      <w:pPr>
        <w:keepNext w:val="0"/>
        <w:keepLines w:val="0"/>
        <w:pageBreakBefore w:val="0"/>
        <w:widowControl w:val="0"/>
        <w:kinsoku w:val="0"/>
        <w:wordWrap/>
        <w:overflowPunct w:val="0"/>
        <w:topLinePunct w:val="0"/>
        <w:autoSpaceDE w:val="0"/>
        <w:autoSpaceDN w:val="0"/>
        <w:bidi w:val="0"/>
        <w:adjustRightInd w:val="0"/>
        <w:snapToGrid/>
        <w:spacing w:line="360" w:lineRule="auto"/>
        <w:ind w:right="0" w:firstLine="480" w:firstLineChars="200"/>
        <w:jc w:val="left"/>
        <w:textAlignment w:val="auto"/>
        <w:rPr>
          <w:rFonts w:hint="eastAsia" w:ascii="宋体" w:hAnsi="宋体" w:eastAsia="宋体" w:cs="宋体"/>
          <w:color w:val="auto"/>
          <w:kern w:val="21"/>
          <w:sz w:val="24"/>
          <w:szCs w:val="24"/>
          <w:highlight w:val="none"/>
          <w:u w:val="single"/>
          <w:lang w:val="en-US" w:eastAsia="zh-CN" w:bidi="ar-SA"/>
        </w:rPr>
      </w:pPr>
      <w:r>
        <w:rPr>
          <w:rFonts w:hint="eastAsia" w:ascii="宋体" w:hAnsi="宋体" w:eastAsia="宋体" w:cs="宋体"/>
          <w:color w:val="auto"/>
          <w:kern w:val="21"/>
          <w:sz w:val="24"/>
          <w:szCs w:val="24"/>
          <w:highlight w:val="none"/>
          <w:lang w:val="en-US" w:eastAsia="zh-CN" w:bidi="ar-SA"/>
        </w:rPr>
        <w:t>1.监理范围：</w:t>
      </w:r>
      <w:r>
        <w:rPr>
          <w:rFonts w:hint="eastAsia" w:ascii="宋体" w:hAnsi="宋体" w:eastAsia="宋体" w:cs="宋体"/>
          <w:color w:val="auto"/>
          <w:kern w:val="21"/>
          <w:sz w:val="24"/>
          <w:szCs w:val="24"/>
          <w:highlight w:val="none"/>
          <w:u w:val="single"/>
          <w:lang w:val="en-US" w:eastAsia="zh-CN" w:bidi="ar-SA"/>
        </w:rPr>
        <w:t>详见专用合同条款。</w:t>
      </w:r>
    </w:p>
    <w:p w14:paraId="0F9CD1BE">
      <w:pPr>
        <w:keepNext w:val="0"/>
        <w:keepLines w:val="0"/>
        <w:pageBreakBefore w:val="0"/>
        <w:widowControl w:val="0"/>
        <w:kinsoku w:val="0"/>
        <w:wordWrap/>
        <w:overflowPunct w:val="0"/>
        <w:topLinePunct w:val="0"/>
        <w:autoSpaceDE w:val="0"/>
        <w:autoSpaceDN w:val="0"/>
        <w:bidi w:val="0"/>
        <w:adjustRightInd w:val="0"/>
        <w:snapToGrid/>
        <w:spacing w:line="360" w:lineRule="auto"/>
        <w:ind w:left="0" w:right="0" w:firstLine="480" w:firstLineChars="200"/>
        <w:jc w:val="left"/>
        <w:textAlignment w:val="auto"/>
        <w:rPr>
          <w:rFonts w:hint="eastAsia" w:ascii="宋体" w:hAnsi="宋体" w:eastAsia="宋体" w:cs="宋体"/>
          <w:color w:val="auto"/>
          <w:kern w:val="21"/>
          <w:sz w:val="24"/>
          <w:szCs w:val="24"/>
          <w:highlight w:val="none"/>
          <w:u w:val="none"/>
          <w:lang w:val="en-US" w:eastAsia="zh-CN" w:bidi="ar-SA"/>
        </w:rPr>
      </w:pPr>
      <w:r>
        <w:rPr>
          <w:rFonts w:hint="eastAsia" w:ascii="宋体" w:hAnsi="宋体" w:eastAsia="宋体" w:cs="宋体"/>
          <w:color w:val="auto"/>
          <w:kern w:val="21"/>
          <w:sz w:val="24"/>
          <w:szCs w:val="24"/>
          <w:highlight w:val="none"/>
          <w:u w:val="none"/>
          <w:lang w:val="en-US" w:eastAsia="zh-CN" w:bidi="ar-SA"/>
        </w:rPr>
        <w:t>2.主要监理内容：</w:t>
      </w:r>
      <w:r>
        <w:rPr>
          <w:rFonts w:hint="eastAsia" w:ascii="宋体" w:hAnsi="宋体" w:eastAsia="宋体" w:cs="宋体"/>
          <w:color w:val="auto"/>
          <w:kern w:val="21"/>
          <w:sz w:val="24"/>
          <w:szCs w:val="24"/>
          <w:highlight w:val="none"/>
          <w:u w:val="single"/>
          <w:lang w:val="en-US" w:eastAsia="zh-CN" w:bidi="ar-SA"/>
        </w:rPr>
        <w:t>详见专用合同条款。</w:t>
      </w:r>
    </w:p>
    <w:p w14:paraId="1CCDF2B8">
      <w:pPr>
        <w:keepNext w:val="0"/>
        <w:keepLines w:val="0"/>
        <w:pageBreakBefore w:val="0"/>
        <w:widowControl w:val="0"/>
        <w:kinsoku w:val="0"/>
        <w:wordWrap/>
        <w:overflowPunct w:val="0"/>
        <w:topLinePunct w:val="0"/>
        <w:autoSpaceDE w:val="0"/>
        <w:autoSpaceDN w:val="0"/>
        <w:bidi w:val="0"/>
        <w:adjustRightInd w:val="0"/>
        <w:snapToGrid/>
        <w:spacing w:line="360" w:lineRule="auto"/>
        <w:ind w:left="0" w:right="0" w:firstLine="488" w:firstLineChars="200"/>
        <w:jc w:val="left"/>
        <w:textAlignment w:val="auto"/>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3.施工标段划分：</w:t>
      </w:r>
      <w:r>
        <w:rPr>
          <w:rFonts w:hint="eastAsia" w:ascii="宋体" w:hAnsi="宋体" w:eastAsia="宋体" w:cs="宋体"/>
          <w:color w:val="auto"/>
          <w:spacing w:val="2"/>
          <w:kern w:val="2"/>
          <w:sz w:val="24"/>
          <w:szCs w:val="24"/>
          <w:highlight w:val="none"/>
          <w:u w:val="single"/>
          <w:lang w:val="en-US" w:eastAsia="zh-CN" w:bidi="ar-SA"/>
        </w:rPr>
        <w:t>详见招标文件</w:t>
      </w:r>
      <w:r>
        <w:rPr>
          <w:rFonts w:hint="eastAsia" w:ascii="宋体" w:hAnsi="宋体" w:eastAsia="宋体" w:cs="宋体"/>
          <w:color w:val="auto"/>
          <w:spacing w:val="2"/>
          <w:kern w:val="2"/>
          <w:sz w:val="24"/>
          <w:szCs w:val="24"/>
          <w:highlight w:val="none"/>
          <w:lang w:val="en-US" w:eastAsia="zh-CN" w:bidi="ar-SA"/>
        </w:rPr>
        <w:t>。</w:t>
      </w:r>
    </w:p>
    <w:p w14:paraId="7D816336">
      <w:pPr>
        <w:keepNext w:val="0"/>
        <w:keepLines w:val="0"/>
        <w:pageBreakBefore w:val="0"/>
        <w:widowControl/>
        <w:kinsoku w:val="0"/>
        <w:wordWrap/>
        <w:overflowPunct/>
        <w:topLinePunct w:val="0"/>
        <w:autoSpaceDE w:val="0"/>
        <w:autoSpaceDN w:val="0"/>
        <w:bidi w:val="0"/>
        <w:adjustRightInd w:val="0"/>
        <w:snapToGrid w:val="0"/>
        <w:spacing w:before="1" w:after="0" w:afterLines="100" w:line="219" w:lineRule="auto"/>
        <w:ind w:left="493"/>
        <w:textAlignment w:val="baseline"/>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（三）监理依据</w:t>
      </w:r>
    </w:p>
    <w:p w14:paraId="77C57A4A">
      <w:pPr>
        <w:keepNext w:val="0"/>
        <w:keepLines w:val="0"/>
        <w:pageBreakBefore w:val="0"/>
        <w:widowControl/>
        <w:suppressLineNumbers w:val="0"/>
        <w:kinsoku/>
        <w:wordWrap/>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napToGrid/>
          <w:color w:val="auto"/>
          <w:kern w:val="0"/>
          <w:sz w:val="24"/>
          <w:szCs w:val="24"/>
          <w:highlight w:val="none"/>
          <w:lang w:val="en-US" w:eastAsia="zh-CN" w:bidi="ar"/>
        </w:rPr>
      </w:pPr>
      <w:r>
        <w:rPr>
          <w:rFonts w:hint="eastAsia" w:ascii="宋体" w:hAnsi="宋体" w:eastAsia="宋体" w:cs="宋体"/>
          <w:snapToGrid/>
          <w:color w:val="auto"/>
          <w:kern w:val="0"/>
          <w:sz w:val="24"/>
          <w:szCs w:val="24"/>
          <w:highlight w:val="none"/>
          <w:lang w:val="en-US" w:eastAsia="zh-CN" w:bidi="ar"/>
        </w:rPr>
        <w:t xml:space="preserve">1.招投标文件、施工合同、监理合同、设计文件及所有与工程施工有关的国家现行的公路工程所遵循的相关建设标准、规范、规程及相关文件等； </w:t>
      </w:r>
    </w:p>
    <w:p w14:paraId="2C14CFF7">
      <w:pPr>
        <w:keepNext w:val="0"/>
        <w:keepLines w:val="0"/>
        <w:pageBreakBefore w:val="0"/>
        <w:widowControl/>
        <w:suppressLineNumbers w:val="0"/>
        <w:kinsoku/>
        <w:wordWrap/>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napToGrid/>
          <w:color w:val="auto"/>
          <w:kern w:val="0"/>
          <w:sz w:val="24"/>
          <w:szCs w:val="24"/>
          <w:highlight w:val="none"/>
          <w:lang w:val="en-US" w:eastAsia="zh-CN" w:bidi="ar"/>
        </w:rPr>
      </w:pPr>
      <w:r>
        <w:rPr>
          <w:rFonts w:hint="eastAsia" w:ascii="宋体" w:hAnsi="宋体" w:eastAsia="宋体" w:cs="宋体"/>
          <w:snapToGrid/>
          <w:color w:val="auto"/>
          <w:kern w:val="0"/>
          <w:sz w:val="24"/>
          <w:szCs w:val="24"/>
          <w:highlight w:val="none"/>
          <w:lang w:val="en-US" w:eastAsia="zh-CN" w:bidi="ar"/>
        </w:rPr>
        <w:t xml:space="preserve">2.经发包人审核的监理大纲、监理规划、监理细则及相关施工监理规范等文件。 </w:t>
      </w:r>
    </w:p>
    <w:p w14:paraId="465CF948">
      <w:pPr>
        <w:spacing w:before="155" w:line="219" w:lineRule="auto"/>
        <w:ind w:left="49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（四）监理人员和试验检测仪器设备要求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5"/>
          <w:sz w:val="24"/>
          <w:szCs w:val="24"/>
          <w:highlight w:val="none"/>
          <w:lang w:val="en-US" w:eastAsia="zh-CN"/>
        </w:rPr>
        <w:t>详见监理合同相关条款。</w:t>
      </w:r>
    </w:p>
    <w:p w14:paraId="1B60BEBF">
      <w:pPr>
        <w:spacing w:before="155" w:line="220" w:lineRule="auto"/>
        <w:ind w:left="4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（五）其他要求</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5"/>
          <w:sz w:val="24"/>
          <w:szCs w:val="24"/>
          <w:highlight w:val="none"/>
          <w:lang w:val="en-US" w:eastAsia="zh-CN"/>
        </w:rPr>
        <w:t>详见监理合同相关条款。</w:t>
      </w:r>
    </w:p>
    <w:p w14:paraId="54AC0CED">
      <w:pPr>
        <w:pStyle w:val="3"/>
        <w:bidi w:val="0"/>
        <w:rPr>
          <w:color w:val="auto"/>
          <w:highlight w:val="none"/>
        </w:rPr>
      </w:pPr>
      <w:r>
        <w:rPr>
          <w:color w:val="auto"/>
          <w:highlight w:val="none"/>
        </w:rPr>
        <w:t>二、适用规范标准</w:t>
      </w:r>
    </w:p>
    <w:p w14:paraId="6CE2402B">
      <w:pPr>
        <w:spacing w:before="163" w:line="221"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（一）通用施工监理规范</w:t>
      </w:r>
    </w:p>
    <w:p w14:paraId="559C54E2">
      <w:pPr>
        <w:spacing w:before="152"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执行最新《公路工程施工监理规范》。</w:t>
      </w:r>
    </w:p>
    <w:p w14:paraId="39FB8BDC">
      <w:pPr>
        <w:keepNext w:val="0"/>
        <w:keepLines w:val="0"/>
        <w:pageBreakBefore w:val="0"/>
        <w:widowControl/>
        <w:kinsoku w:val="0"/>
        <w:wordWrap/>
        <w:overflowPunct/>
        <w:topLinePunct w:val="0"/>
        <w:autoSpaceDE w:val="0"/>
        <w:autoSpaceDN w:val="0"/>
        <w:bidi w:val="0"/>
        <w:adjustRightInd w:val="0"/>
        <w:snapToGrid w:val="0"/>
        <w:spacing w:before="154" w:after="0" w:afterLines="100" w:line="240" w:lineRule="auto"/>
        <w:ind w:left="493"/>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（二）专用施工监理规范</w:t>
      </w:r>
    </w:p>
    <w:p w14:paraId="6E558B65">
      <w:pPr>
        <w:widowControl w:val="0"/>
        <w:autoSpaceDE w:val="0"/>
        <w:autoSpaceDN w:val="0"/>
        <w:adjustRightInd w:val="0"/>
        <w:spacing w:line="360" w:lineRule="auto"/>
        <w:ind w:firstLine="480" w:firstLineChars="200"/>
        <w:jc w:val="left"/>
        <w:rPr>
          <w:rFonts w:hint="eastAsia" w:ascii="宋体" w:hAnsi="宋体" w:eastAsia="宋体" w:cs="宋体"/>
          <w:color w:val="auto"/>
          <w:kern w:val="21"/>
          <w:sz w:val="24"/>
          <w:highlight w:val="none"/>
        </w:rPr>
      </w:pPr>
      <w:r>
        <w:rPr>
          <w:rFonts w:hint="eastAsia" w:ascii="宋体" w:hAnsi="宋体" w:eastAsia="宋体" w:cs="宋体"/>
          <w:color w:val="auto"/>
          <w:kern w:val="21"/>
          <w:sz w:val="24"/>
          <w:highlight w:val="none"/>
        </w:rPr>
        <w:t>1.本工程施工标段招标文件中的技术规范；</w:t>
      </w:r>
    </w:p>
    <w:p w14:paraId="6482464F">
      <w:pPr>
        <w:widowControl w:val="0"/>
        <w:autoSpaceDE w:val="0"/>
        <w:autoSpaceDN w:val="0"/>
        <w:adjustRightIn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kern w:val="21"/>
          <w:sz w:val="24"/>
          <w:highlight w:val="none"/>
        </w:rPr>
        <w:t>2.所有与工程施工有关的国家现行的公路建设标准、规范、规程及相关文件</w:t>
      </w:r>
      <w:r>
        <w:rPr>
          <w:rFonts w:hint="eastAsia" w:ascii="宋体" w:hAnsi="宋体" w:eastAsia="宋体" w:cs="宋体"/>
          <w:color w:val="auto"/>
          <w:sz w:val="24"/>
          <w:highlight w:val="none"/>
        </w:rPr>
        <w:t>。</w:t>
      </w:r>
    </w:p>
    <w:p w14:paraId="4D72080F">
      <w:pPr>
        <w:spacing w:before="78" w:line="219" w:lineRule="auto"/>
        <w:ind w:left="49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（三）施工技术规范</w:t>
      </w:r>
    </w:p>
    <w:p w14:paraId="54E0EF93">
      <w:pPr>
        <w:spacing w:before="154" w:line="219" w:lineRule="auto"/>
        <w:ind w:left="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施工技术规范包括以下内容：</w:t>
      </w:r>
    </w:p>
    <w:p w14:paraId="21706475">
      <w:pPr>
        <w:spacing w:before="155" w:line="219" w:lineRule="auto"/>
        <w:ind w:left="49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1.本工程施工标段招标文件中的技术规范；</w:t>
      </w:r>
    </w:p>
    <w:p w14:paraId="509D017F">
      <w:pPr>
        <w:spacing w:before="155" w:line="219" w:lineRule="auto"/>
        <w:ind w:left="482"/>
        <w:rPr>
          <w:rFonts w:ascii="宋体" w:hAnsi="宋体" w:eastAsia="宋体" w:cs="宋体"/>
          <w:color w:val="auto"/>
          <w:sz w:val="24"/>
          <w:szCs w:val="24"/>
          <w:highlight w:val="none"/>
        </w:rPr>
      </w:pPr>
      <w:r>
        <w:rPr>
          <w:rFonts w:ascii="宋体" w:hAnsi="宋体" w:eastAsia="宋体" w:cs="宋体"/>
          <w:color w:val="auto"/>
          <w:sz w:val="24"/>
          <w:szCs w:val="24"/>
          <w:highlight w:val="none"/>
        </w:rPr>
        <w:t>2.所有与工程施工有关的国家现行的公路建设</w:t>
      </w:r>
      <w:r>
        <w:rPr>
          <w:rFonts w:ascii="宋体" w:hAnsi="宋体" w:eastAsia="宋体" w:cs="宋体"/>
          <w:color w:val="auto"/>
          <w:spacing w:val="-1"/>
          <w:sz w:val="24"/>
          <w:szCs w:val="24"/>
          <w:highlight w:val="none"/>
        </w:rPr>
        <w:t>标准、规范、规程及相关文件。</w:t>
      </w:r>
    </w:p>
    <w:p w14:paraId="387D36D5">
      <w:pPr>
        <w:spacing w:before="154" w:line="218"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（四）执行广东省《公路工程造价管理指南》。</w:t>
      </w:r>
    </w:p>
    <w:p w14:paraId="1535C718">
      <w:pPr>
        <w:spacing w:before="158" w:line="219"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（五）国家、行业、项目所在地适用本工程的其他规范、标准或规程。</w:t>
      </w:r>
    </w:p>
    <w:p w14:paraId="7D6FDFD9">
      <w:pPr>
        <w:pStyle w:val="3"/>
        <w:bidi w:val="0"/>
        <w:rPr>
          <w:color w:val="auto"/>
          <w:highlight w:val="none"/>
        </w:rPr>
      </w:pPr>
      <w:r>
        <w:rPr>
          <w:color w:val="auto"/>
          <w:highlight w:val="none"/>
        </w:rPr>
        <w:t>三、成果文件要求</w:t>
      </w:r>
    </w:p>
    <w:p w14:paraId="4FA5C002">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(一) 成果文件的组成 </w:t>
      </w:r>
    </w:p>
    <w:p w14:paraId="15C2A3E5">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包括但不限于以下文件： </w:t>
      </w:r>
    </w:p>
    <w:p w14:paraId="6AEB579B">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(1) 《监理规划》和《监理实施细则》；</w:t>
      </w:r>
    </w:p>
    <w:p w14:paraId="0B4641DF">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(2) 监理月报； </w:t>
      </w:r>
    </w:p>
    <w:p w14:paraId="16E58D3E">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0"/>
          <w:sz w:val="24"/>
          <w:szCs w:val="24"/>
          <w:highlight w:val="none"/>
          <w:lang w:val="en-US" w:eastAsia="zh-CN" w:bidi="ar"/>
        </w:rPr>
      </w:pPr>
      <w:r>
        <w:rPr>
          <w:rFonts w:hint="eastAsia" w:ascii="宋体" w:hAnsi="宋体" w:eastAsia="宋体" w:cs="宋体"/>
          <w:snapToGrid/>
          <w:color w:val="auto"/>
          <w:kern w:val="0"/>
          <w:sz w:val="24"/>
          <w:szCs w:val="24"/>
          <w:highlight w:val="none"/>
          <w:lang w:val="en-US" w:eastAsia="zh-CN" w:bidi="ar"/>
        </w:rPr>
        <w:t xml:space="preserve">(3) 会议纪要、监理业务联系(通知)单； </w:t>
      </w:r>
    </w:p>
    <w:p w14:paraId="35D07D8B">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(4) 日常记录资料,应包括下列主要内容： </w:t>
      </w:r>
    </w:p>
    <w:p w14:paraId="59202CB4">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a、 各分项工程批准开工、质量检验和材料试验结果记录； </w:t>
      </w:r>
    </w:p>
    <w:p w14:paraId="53C13C94">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b、 重要部位或隐蔽工程的检验记录、照片、录像等； </w:t>
      </w:r>
    </w:p>
    <w:p w14:paraId="5853093C">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c、 监理业务联系(通知)单； </w:t>
      </w:r>
    </w:p>
    <w:p w14:paraId="327B0B00">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d、 监理日记； </w:t>
      </w:r>
    </w:p>
    <w:p w14:paraId="1BA796C4">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e、 旁站监理记录； </w:t>
      </w:r>
    </w:p>
    <w:p w14:paraId="2191B3B2">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f、 平行试验资料； </w:t>
      </w:r>
    </w:p>
    <w:p w14:paraId="24F6ED34">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firstLine="240" w:firstLineChars="1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g、 工地会议纪要、监理业务联系(通知) 单等。 </w:t>
      </w:r>
    </w:p>
    <w:p w14:paraId="730A0320">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(5) 监理专题报告； </w:t>
      </w:r>
    </w:p>
    <w:p w14:paraId="41F8EB4F">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(6) 监理日报(简报)、月报； </w:t>
      </w:r>
    </w:p>
    <w:p w14:paraId="43958B06">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(7) 工程质量、安全、进度、投资评价建议； </w:t>
      </w:r>
    </w:p>
    <w:p w14:paraId="60F3DF6B">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(8) 监理工作总结报告等； </w:t>
      </w:r>
    </w:p>
    <w:p w14:paraId="2DBB8FDE">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(二) 成果文件的深度 </w:t>
      </w:r>
    </w:p>
    <w:p w14:paraId="6DA11589">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符合施工监理规范规定、相关档案验收规定和满足施工监理工作需求。 </w:t>
      </w:r>
    </w:p>
    <w:p w14:paraId="1B46D965">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(三) 成果文件的格式要求 </w:t>
      </w:r>
    </w:p>
    <w:p w14:paraId="4956D4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应符合《公路工程竣工文件材料立卷归档管理办法》、《广东省实施公路建设项目文件材料立卷归档管理办法规定》及相关的建设工程文件整理、归档规范，并满足档案验收的要求。</w:t>
      </w:r>
    </w:p>
    <w:p w14:paraId="5812663F">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(四) 成果文件的份数要求：2套(1正1副) </w:t>
      </w:r>
    </w:p>
    <w:p w14:paraId="78313D56">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0"/>
          <w:sz w:val="24"/>
          <w:szCs w:val="24"/>
          <w:highlight w:val="none"/>
          <w:lang w:val="en-US" w:eastAsia="zh-CN" w:bidi="ar"/>
        </w:rPr>
      </w:pPr>
      <w:r>
        <w:rPr>
          <w:rFonts w:hint="eastAsia" w:ascii="宋体" w:hAnsi="宋体" w:eastAsia="宋体" w:cs="宋体"/>
          <w:snapToGrid/>
          <w:color w:val="auto"/>
          <w:kern w:val="0"/>
          <w:sz w:val="24"/>
          <w:szCs w:val="24"/>
          <w:highlight w:val="none"/>
          <w:lang w:val="en-US" w:eastAsia="zh-CN" w:bidi="ar"/>
        </w:rPr>
        <w:t>(五) 成果文件的载体要求</w:t>
      </w:r>
    </w:p>
    <w:p w14:paraId="7B2CE23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1.纸质版的要求：纸质文件应编制目录，用 A4纸幅胶装，一式2份。 </w:t>
      </w:r>
    </w:p>
    <w:p w14:paraId="600074B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2.电子版的要求：电子文件应为纸质版文件的彩色扫描件，以PDF或 word格式文件提交， 使用光盘和 U 盘分别贮存 (包括影像资料)。 </w:t>
      </w:r>
    </w:p>
    <w:p w14:paraId="3F10A6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 xml:space="preserve">3.其他要求：无 </w:t>
      </w:r>
    </w:p>
    <w:p w14:paraId="735DB7DC">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0"/>
          <w:sz w:val="24"/>
          <w:szCs w:val="24"/>
          <w:highlight w:val="none"/>
          <w:lang w:val="en-US" w:eastAsia="zh-CN" w:bidi="ar"/>
        </w:rPr>
        <w:t>(六) 成果文件的其他要求：无</w:t>
      </w:r>
    </w:p>
    <w:p w14:paraId="275AF9F5">
      <w:pPr>
        <w:pStyle w:val="3"/>
        <w:bidi w:val="0"/>
        <w:rPr>
          <w:color w:val="auto"/>
          <w:highlight w:val="none"/>
        </w:rPr>
      </w:pPr>
      <w:r>
        <w:rPr>
          <w:color w:val="auto"/>
          <w:highlight w:val="none"/>
        </w:rPr>
        <w:t>四、委托人财产清单</w:t>
      </w:r>
    </w:p>
    <w:p w14:paraId="4EB0BCBC">
      <w:pPr>
        <w:spacing w:before="163"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（一）委托人提供的设备、设施</w:t>
      </w:r>
    </w:p>
    <w:p w14:paraId="69B291D2">
      <w:pPr>
        <w:spacing w:before="155" w:line="219" w:lineRule="auto"/>
        <w:ind w:left="483"/>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不提供。</w:t>
      </w:r>
    </w:p>
    <w:p w14:paraId="59711B69">
      <w:pPr>
        <w:spacing w:before="157" w:line="219" w:lineRule="auto"/>
        <w:ind w:left="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（二）委托人提供的资料</w:t>
      </w:r>
    </w:p>
    <w:p w14:paraId="7713609F">
      <w:pPr>
        <w:spacing w:before="157" w:line="338" w:lineRule="auto"/>
        <w:ind w:firstLine="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 施工场地及毗邻区域内的供水、排水、供电、供气、供热、通信、广播电视等</w:t>
      </w:r>
      <w:r>
        <w:rPr>
          <w:rFonts w:ascii="宋体" w:hAnsi="宋体" w:eastAsia="宋体" w:cs="宋体"/>
          <w:color w:val="auto"/>
          <w:spacing w:val="5"/>
          <w:sz w:val="24"/>
          <w:szCs w:val="24"/>
          <w:highlight w:val="none"/>
        </w:rPr>
        <w:t>地下管线资料、气象和水文观测资料，相邻建筑物和构筑物、地下工程的有</w:t>
      </w:r>
      <w:r>
        <w:rPr>
          <w:rFonts w:ascii="宋体" w:hAnsi="宋体" w:eastAsia="宋体" w:cs="宋体"/>
          <w:color w:val="auto"/>
          <w:spacing w:val="4"/>
          <w:sz w:val="24"/>
          <w:szCs w:val="24"/>
          <w:highlight w:val="none"/>
        </w:rPr>
        <w:t>关资料，</w:t>
      </w:r>
      <w:r>
        <w:rPr>
          <w:rFonts w:ascii="宋体" w:hAnsi="宋体" w:eastAsia="宋体" w:cs="宋体"/>
          <w:color w:val="auto"/>
          <w:spacing w:val="-1"/>
          <w:sz w:val="24"/>
          <w:szCs w:val="24"/>
          <w:highlight w:val="none"/>
        </w:rPr>
        <w:t>以及其他与公路工程有关的原始资料</w:t>
      </w:r>
    </w:p>
    <w:p w14:paraId="27629050">
      <w:pPr>
        <w:spacing w:line="219" w:lineRule="auto"/>
        <w:ind w:left="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 定位放线的基准点、基准线和基准标高</w:t>
      </w:r>
    </w:p>
    <w:p w14:paraId="638C1DB8">
      <w:pPr>
        <w:spacing w:before="154" w:line="219" w:lineRule="auto"/>
        <w:ind w:left="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 委托人取得的有关审批、核准和备案材料</w:t>
      </w:r>
    </w:p>
    <w:p w14:paraId="67FB907C">
      <w:pPr>
        <w:spacing w:before="158" w:line="219" w:lineRule="auto"/>
        <w:ind w:left="47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 勘察文件、设计文件等资料</w:t>
      </w:r>
    </w:p>
    <w:p w14:paraId="0F81E0B3">
      <w:pPr>
        <w:spacing w:before="154" w:line="219" w:lineRule="auto"/>
        <w:ind w:left="48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 技术标准、规范</w:t>
      </w:r>
    </w:p>
    <w:p w14:paraId="4D76F5E9">
      <w:pPr>
        <w:spacing w:before="155"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 工程承包合同及其他相关合同</w:t>
      </w:r>
    </w:p>
    <w:p w14:paraId="38E76A21">
      <w:pPr>
        <w:spacing w:before="156" w:line="220" w:lineRule="auto"/>
        <w:ind w:left="485"/>
        <w:rPr>
          <w:rFonts w:hint="default" w:ascii="宋体" w:hAnsi="宋体" w:eastAsia="宋体" w:cs="宋体"/>
          <w:color w:val="auto"/>
          <w:sz w:val="24"/>
          <w:szCs w:val="24"/>
          <w:highlight w:val="none"/>
          <w:lang w:val="en-US" w:eastAsia="zh-CN"/>
        </w:rPr>
      </w:pPr>
      <w:r>
        <w:rPr>
          <w:rFonts w:ascii="宋体" w:hAnsi="宋体" w:eastAsia="宋体" w:cs="宋体"/>
          <w:color w:val="auto"/>
          <w:spacing w:val="-5"/>
          <w:sz w:val="24"/>
          <w:szCs w:val="24"/>
          <w:highlight w:val="none"/>
        </w:rPr>
        <w:t>7.</w:t>
      </w:r>
      <w:r>
        <w:rPr>
          <w:rFonts w:ascii="宋体" w:hAnsi="宋体" w:eastAsia="宋体" w:cs="宋体"/>
          <w:color w:val="auto"/>
          <w:spacing w:val="13"/>
          <w:sz w:val="24"/>
          <w:szCs w:val="24"/>
          <w:highlight w:val="none"/>
        </w:rPr>
        <w:t xml:space="preserve"> </w:t>
      </w:r>
      <w:r>
        <w:rPr>
          <w:rFonts w:ascii="宋体" w:hAnsi="宋体" w:eastAsia="宋体" w:cs="宋体"/>
          <w:color w:val="auto"/>
          <w:spacing w:val="-5"/>
          <w:sz w:val="24"/>
          <w:szCs w:val="24"/>
          <w:highlight w:val="none"/>
        </w:rPr>
        <w:t>其他资料</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w:t>
      </w:r>
    </w:p>
    <w:p w14:paraId="46FEAE01">
      <w:pPr>
        <w:keepNext w:val="0"/>
        <w:keepLines w:val="0"/>
        <w:pageBreakBefore w:val="0"/>
        <w:widowControl/>
        <w:numPr>
          <w:ilvl w:val="0"/>
          <w:numId w:val="7"/>
        </w:numPr>
        <w:kinsoku w:val="0"/>
        <w:wordWrap/>
        <w:overflowPunct/>
        <w:topLinePunct w:val="0"/>
        <w:autoSpaceDE w:val="0"/>
        <w:autoSpaceDN w:val="0"/>
        <w:bidi w:val="0"/>
        <w:adjustRightInd w:val="0"/>
        <w:snapToGrid w:val="0"/>
        <w:spacing w:before="182" w:after="0" w:afterLines="100" w:line="219" w:lineRule="auto"/>
        <w:ind w:left="493"/>
        <w:textAlignment w:val="baseline"/>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委托人财产使用要求及退还要求</w:t>
      </w:r>
    </w:p>
    <w:p w14:paraId="799E87C0">
      <w:pPr>
        <w:pStyle w:val="7"/>
        <w:widowControl w:val="0"/>
        <w:numPr>
          <w:ilvl w:val="0"/>
          <w:numId w:val="0"/>
        </w:numPr>
        <w:kinsoku w:val="0"/>
        <w:overflowPunct w:val="0"/>
        <w:snapToGrid/>
        <w:spacing w:before="67" w:line="360" w:lineRule="auto"/>
        <w:ind w:firstLine="480" w:firstLineChars="200"/>
        <w:textAlignment w:val="auto"/>
        <w:rPr>
          <w:rFonts w:hint="eastAsia" w:ascii="宋体" w:hAnsi="宋体" w:eastAsia="宋体" w:cs="Times New Roman"/>
          <w:snapToGrid/>
          <w:color w:val="auto"/>
          <w:kern w:val="2"/>
          <w:sz w:val="24"/>
          <w:szCs w:val="20"/>
          <w:highlight w:val="none"/>
          <w:lang w:eastAsia="zh-CN"/>
        </w:rPr>
      </w:pPr>
      <w:r>
        <w:rPr>
          <w:rFonts w:hint="eastAsia" w:ascii="宋体" w:hAnsi="宋体" w:eastAsia="宋体" w:cs="Times New Roman"/>
          <w:snapToGrid/>
          <w:color w:val="auto"/>
          <w:kern w:val="2"/>
          <w:sz w:val="24"/>
          <w:szCs w:val="20"/>
          <w:highlight w:val="none"/>
          <w:lang w:val="en-US" w:eastAsia="zh-CN" w:bidi="ar-SA"/>
        </w:rPr>
        <w:t>1.</w:t>
      </w:r>
      <w:r>
        <w:rPr>
          <w:rFonts w:ascii="宋体" w:hAnsi="宋体" w:eastAsia="宋体" w:cs="宋体"/>
          <w:color w:val="auto"/>
          <w:spacing w:val="-3"/>
          <w:sz w:val="24"/>
          <w:szCs w:val="24"/>
          <w:highlight w:val="none"/>
        </w:rPr>
        <w:t>委托人财产使用要求</w:t>
      </w:r>
      <w:r>
        <w:rPr>
          <w:rFonts w:hint="eastAsia" w:ascii="宋体" w:hAnsi="宋体" w:eastAsia="宋体" w:cs="宋体"/>
          <w:color w:val="auto"/>
          <w:spacing w:val="-3"/>
          <w:sz w:val="24"/>
          <w:szCs w:val="24"/>
          <w:highlight w:val="none"/>
          <w:lang w:eastAsia="zh-CN"/>
        </w:rPr>
        <w:t>：</w:t>
      </w:r>
      <w:r>
        <w:rPr>
          <w:rFonts w:hint="eastAsia" w:ascii="宋体" w:hAnsi="宋体" w:eastAsia="宋体" w:cs="Times New Roman"/>
          <w:snapToGrid/>
          <w:color w:val="auto"/>
          <w:kern w:val="2"/>
          <w:sz w:val="24"/>
          <w:szCs w:val="20"/>
          <w:highlight w:val="none"/>
          <w:lang w:eastAsia="zh-CN"/>
        </w:rPr>
        <w:t>监理人所使用的由委托人提供的设施和物品时应确保其安全，避免损坏或丢失。</w:t>
      </w:r>
    </w:p>
    <w:p w14:paraId="5F3A819C">
      <w:pPr>
        <w:pStyle w:val="7"/>
        <w:widowControl w:val="0"/>
        <w:numPr>
          <w:ilvl w:val="0"/>
          <w:numId w:val="0"/>
        </w:numPr>
        <w:kinsoku w:val="0"/>
        <w:overflowPunct w:val="0"/>
        <w:snapToGrid/>
        <w:spacing w:before="67" w:line="360" w:lineRule="auto"/>
        <w:ind w:firstLine="472"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2. 委托人财产退还要求</w:t>
      </w:r>
      <w:r>
        <w:rPr>
          <w:rFonts w:hint="eastAsia" w:ascii="宋体" w:hAnsi="宋体" w:eastAsia="宋体" w:cs="宋体"/>
          <w:color w:val="auto"/>
          <w:spacing w:val="-2"/>
          <w:sz w:val="24"/>
          <w:szCs w:val="24"/>
          <w:highlight w:val="none"/>
          <w:lang w:eastAsia="zh-CN"/>
        </w:rPr>
        <w:t>：完成全部监理工作后</w:t>
      </w:r>
      <w:r>
        <w:rPr>
          <w:rFonts w:hint="eastAsia" w:ascii="宋体" w:hAnsi="宋体" w:eastAsia="宋体" w:cs="宋体"/>
          <w:color w:val="auto"/>
          <w:spacing w:val="-2"/>
          <w:sz w:val="24"/>
          <w:szCs w:val="24"/>
          <w:highlight w:val="none"/>
          <w:lang w:val="en-US" w:eastAsia="zh-CN"/>
        </w:rPr>
        <w:t>5个工作日内退还给委托人，并</w:t>
      </w:r>
      <w:r>
        <w:rPr>
          <w:rFonts w:hint="eastAsia" w:ascii="宋体" w:hAnsi="宋体" w:eastAsia="宋体" w:cs="宋体"/>
          <w:color w:val="auto"/>
          <w:spacing w:val="-2"/>
          <w:sz w:val="24"/>
          <w:szCs w:val="24"/>
          <w:highlight w:val="none"/>
          <w:lang w:eastAsia="zh-CN"/>
        </w:rPr>
        <w:t>确保设施、物品处于与接收时相同或相近的良好状态，如有损坏或丢失，需负责维修或照价赔偿。</w:t>
      </w:r>
    </w:p>
    <w:p w14:paraId="357AA9F8">
      <w:pPr>
        <w:pStyle w:val="3"/>
        <w:bidi w:val="0"/>
        <w:rPr>
          <w:color w:val="auto"/>
          <w:highlight w:val="none"/>
        </w:rPr>
      </w:pPr>
      <w:r>
        <w:rPr>
          <w:color w:val="auto"/>
          <w:highlight w:val="none"/>
        </w:rPr>
        <w:t>五、委托人提供的便利条件</w:t>
      </w:r>
    </w:p>
    <w:p w14:paraId="1F8E6E5F">
      <w:pPr>
        <w:spacing w:before="164" w:line="219" w:lineRule="auto"/>
        <w:ind w:left="49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（一）委托人提供的生活条件</w:t>
      </w:r>
      <w:r>
        <w:rPr>
          <w:rFonts w:hint="eastAsia" w:ascii="宋体" w:hAnsi="宋体" w:eastAsia="宋体" w:cs="宋体"/>
          <w:color w:val="auto"/>
          <w:spacing w:val="-2"/>
          <w:sz w:val="24"/>
          <w:szCs w:val="24"/>
          <w:highlight w:val="none"/>
          <w:lang w:eastAsia="zh-CN"/>
        </w:rPr>
        <w:t>：无</w:t>
      </w:r>
    </w:p>
    <w:p w14:paraId="6E887FAF">
      <w:pPr>
        <w:spacing w:before="154" w:line="219" w:lineRule="auto"/>
        <w:ind w:left="49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（二）委托人提供的交通条件</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lang w:val="en-US" w:eastAsia="zh-CN"/>
        </w:rPr>
        <w:t>/</w:t>
      </w:r>
    </w:p>
    <w:p w14:paraId="03C78126">
      <w:pPr>
        <w:spacing w:before="157" w:line="219" w:lineRule="auto"/>
        <w:ind w:left="49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（三）委托人提供的网络、通讯条件</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lang w:val="en-US" w:eastAsia="zh-CN"/>
        </w:rPr>
        <w:t>/</w:t>
      </w:r>
    </w:p>
    <w:p w14:paraId="4C65B8DD">
      <w:pPr>
        <w:spacing w:before="155" w:line="219" w:lineRule="auto"/>
        <w:ind w:left="49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（四）委托人提供的协助人员</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lang w:val="en-US" w:eastAsia="zh-CN"/>
        </w:rPr>
        <w:t>/</w:t>
      </w:r>
    </w:p>
    <w:p w14:paraId="1A7C5D92">
      <w:pPr>
        <w:bidi w:val="0"/>
        <w:rPr>
          <w:color w:val="auto"/>
          <w:highlight w:val="none"/>
        </w:rPr>
      </w:pPr>
    </w:p>
    <w:p w14:paraId="109D8783">
      <w:pPr>
        <w:pStyle w:val="3"/>
        <w:bidi w:val="0"/>
        <w:rPr>
          <w:color w:val="auto"/>
          <w:highlight w:val="none"/>
        </w:rPr>
      </w:pPr>
      <w:r>
        <w:rPr>
          <w:color w:val="auto"/>
          <w:highlight w:val="none"/>
        </w:rPr>
        <w:t>六、监理人需要自备的工作条件</w:t>
      </w:r>
    </w:p>
    <w:p w14:paraId="45729AD0">
      <w:pPr>
        <w:spacing w:before="16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（一）监理人自备的工作手册：如本项目必备的规范标准、图集等</w:t>
      </w:r>
    </w:p>
    <w:p w14:paraId="10C1918E">
      <w:pPr>
        <w:spacing w:before="155" w:line="339" w:lineRule="auto"/>
        <w:ind w:left="2" w:firstLine="48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（二）监理人自备的办公设备：如电脑、软件、投影、打印机、复</w:t>
      </w:r>
      <w:r>
        <w:rPr>
          <w:rFonts w:ascii="宋体" w:hAnsi="宋体" w:eastAsia="宋体" w:cs="宋体"/>
          <w:color w:val="auto"/>
          <w:spacing w:val="4"/>
          <w:sz w:val="24"/>
          <w:szCs w:val="24"/>
          <w:highlight w:val="none"/>
        </w:rPr>
        <w:t>印机、照相机</w:t>
      </w:r>
      <w:r>
        <w:rPr>
          <w:rFonts w:ascii="宋体" w:hAnsi="宋体" w:eastAsia="宋体" w:cs="宋体"/>
          <w:color w:val="auto"/>
          <w:sz w:val="24"/>
          <w:szCs w:val="24"/>
          <w:highlight w:val="none"/>
        </w:rPr>
        <w:t>等</w:t>
      </w:r>
    </w:p>
    <w:p w14:paraId="7091FF4A">
      <w:pPr>
        <w:spacing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（三）监理人自备的交通工具：如出行车辆等</w:t>
      </w:r>
    </w:p>
    <w:p w14:paraId="41F2183C">
      <w:pPr>
        <w:spacing w:before="155"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（四）监理人自备的现场办公设施：如办公桌椅、文件柜等</w:t>
      </w:r>
    </w:p>
    <w:p w14:paraId="7322E0B1">
      <w:pPr>
        <w:spacing w:before="153"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（五）监理人自备的安全设施：如安全帽、安全鞋、手电筒等</w:t>
      </w:r>
    </w:p>
    <w:p w14:paraId="3BF45DD5">
      <w:pPr>
        <w:spacing w:before="158"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（六）监理人自备的试验检测仪器、设备、工具</w:t>
      </w:r>
    </w:p>
    <w:p w14:paraId="5F2E4E97">
      <w:pPr>
        <w:spacing w:before="154" w:line="219" w:lineRule="auto"/>
        <w:ind w:left="49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（七）监理人自备的试验用房、样品用房</w:t>
      </w:r>
    </w:p>
    <w:p w14:paraId="7845A7E1">
      <w:pPr>
        <w:bidi w:val="0"/>
        <w:rPr>
          <w:color w:val="auto"/>
          <w:highlight w:val="none"/>
        </w:rPr>
      </w:pPr>
    </w:p>
    <w:p w14:paraId="3E079011">
      <w:pPr>
        <w:pStyle w:val="3"/>
        <w:bidi w:val="0"/>
        <w:rPr>
          <w:color w:val="auto"/>
          <w:highlight w:val="none"/>
        </w:rPr>
      </w:pPr>
      <w:r>
        <w:rPr>
          <w:color w:val="auto"/>
          <w:highlight w:val="none"/>
        </w:rPr>
        <w:t>七、委托人的其他要求</w:t>
      </w:r>
    </w:p>
    <w:p w14:paraId="4308D5AC">
      <w:pPr>
        <w:spacing w:before="163" w:line="220" w:lineRule="auto"/>
        <w:ind w:left="480"/>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委托人的其他要求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5"/>
          <w:sz w:val="24"/>
          <w:szCs w:val="24"/>
          <w:highlight w:val="none"/>
          <w:lang w:val="en-US" w:eastAsia="zh-CN"/>
        </w:rPr>
        <w:t>按</w:t>
      </w:r>
      <w:r>
        <w:rPr>
          <w:rFonts w:ascii="宋体" w:hAnsi="宋体" w:eastAsia="宋体" w:cs="宋体"/>
          <w:color w:val="auto"/>
          <w:sz w:val="24"/>
          <w:szCs w:val="24"/>
          <w:highlight w:val="none"/>
        </w:rPr>
        <w:t>国家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省、市</w:t>
      </w:r>
      <w:r>
        <w:rPr>
          <w:rFonts w:ascii="宋体" w:hAnsi="宋体" w:eastAsia="宋体" w:cs="宋体"/>
          <w:color w:val="auto"/>
          <w:sz w:val="24"/>
          <w:szCs w:val="24"/>
          <w:highlight w:val="none"/>
        </w:rPr>
        <w:t>现行的公路建设</w:t>
      </w:r>
      <w:r>
        <w:rPr>
          <w:rFonts w:ascii="宋体" w:hAnsi="宋体" w:eastAsia="宋体" w:cs="宋体"/>
          <w:color w:val="auto"/>
          <w:spacing w:val="-1"/>
          <w:sz w:val="24"/>
          <w:szCs w:val="24"/>
          <w:highlight w:val="none"/>
        </w:rPr>
        <w:t>标准、规范、规程及相关文件</w:t>
      </w:r>
      <w:r>
        <w:rPr>
          <w:rFonts w:hint="eastAsia" w:ascii="宋体" w:hAnsi="宋体" w:eastAsia="宋体" w:cs="宋体"/>
          <w:color w:val="auto"/>
          <w:spacing w:val="-1"/>
          <w:sz w:val="24"/>
          <w:szCs w:val="24"/>
          <w:highlight w:val="none"/>
          <w:lang w:val="en-US" w:eastAsia="zh-CN"/>
        </w:rPr>
        <w:t>执行</w:t>
      </w:r>
      <w:r>
        <w:rPr>
          <w:rFonts w:ascii="宋体" w:hAnsi="宋体" w:eastAsia="宋体" w:cs="宋体"/>
          <w:color w:val="auto"/>
          <w:spacing w:val="-1"/>
          <w:sz w:val="24"/>
          <w:szCs w:val="24"/>
          <w:highlight w:val="none"/>
        </w:rPr>
        <w:t>。</w:t>
      </w:r>
    </w:p>
    <w:p w14:paraId="4151EC4C">
      <w:pPr>
        <w:spacing w:before="1" w:line="55" w:lineRule="exact"/>
        <w:rPr>
          <w:color w:val="auto"/>
          <w:highlight w:val="none"/>
        </w:rPr>
        <w:sectPr>
          <w:footerReference r:id="rId30" w:type="default"/>
          <w:pgSz w:w="11905" w:h="16838"/>
          <w:pgMar w:top="1134" w:right="1134" w:bottom="1134" w:left="1134" w:header="0" w:footer="1066" w:gutter="0"/>
          <w:pgNumType w:fmt="decimal"/>
          <w:cols w:space="0" w:num="1"/>
          <w:rtlGutter w:val="0"/>
          <w:docGrid w:linePitch="0" w:charSpace="0"/>
        </w:sectPr>
      </w:pPr>
    </w:p>
    <w:p w14:paraId="715E9340">
      <w:pPr>
        <w:spacing w:line="246" w:lineRule="auto"/>
        <w:rPr>
          <w:rFonts w:ascii="Arial"/>
          <w:color w:val="auto"/>
          <w:sz w:val="21"/>
          <w:highlight w:val="none"/>
        </w:rPr>
      </w:pPr>
    </w:p>
    <w:p w14:paraId="45EAEC77">
      <w:pPr>
        <w:spacing w:line="246" w:lineRule="auto"/>
        <w:rPr>
          <w:rFonts w:ascii="Arial"/>
          <w:color w:val="auto"/>
          <w:sz w:val="21"/>
          <w:highlight w:val="none"/>
        </w:rPr>
      </w:pPr>
    </w:p>
    <w:p w14:paraId="1AD7F261">
      <w:pPr>
        <w:spacing w:line="246" w:lineRule="auto"/>
        <w:rPr>
          <w:rFonts w:ascii="Arial"/>
          <w:color w:val="auto"/>
          <w:sz w:val="21"/>
          <w:highlight w:val="none"/>
        </w:rPr>
      </w:pPr>
    </w:p>
    <w:p w14:paraId="1FEB0DA1">
      <w:pPr>
        <w:spacing w:line="246" w:lineRule="auto"/>
        <w:rPr>
          <w:rFonts w:ascii="Arial"/>
          <w:color w:val="auto"/>
          <w:sz w:val="21"/>
          <w:highlight w:val="none"/>
        </w:rPr>
      </w:pPr>
    </w:p>
    <w:p w14:paraId="4A100775">
      <w:pPr>
        <w:spacing w:line="246" w:lineRule="auto"/>
        <w:rPr>
          <w:rFonts w:ascii="Arial"/>
          <w:color w:val="auto"/>
          <w:sz w:val="21"/>
          <w:highlight w:val="none"/>
        </w:rPr>
      </w:pPr>
    </w:p>
    <w:p w14:paraId="55D1E271">
      <w:pPr>
        <w:spacing w:line="246" w:lineRule="auto"/>
        <w:rPr>
          <w:rFonts w:ascii="Arial"/>
          <w:color w:val="auto"/>
          <w:sz w:val="21"/>
          <w:highlight w:val="none"/>
        </w:rPr>
      </w:pPr>
    </w:p>
    <w:p w14:paraId="2151E3E3">
      <w:pPr>
        <w:spacing w:line="246" w:lineRule="auto"/>
        <w:rPr>
          <w:rFonts w:ascii="Arial"/>
          <w:color w:val="auto"/>
          <w:sz w:val="21"/>
          <w:highlight w:val="none"/>
        </w:rPr>
      </w:pPr>
    </w:p>
    <w:p w14:paraId="2DB7B57B">
      <w:pPr>
        <w:spacing w:line="246" w:lineRule="auto"/>
        <w:rPr>
          <w:rFonts w:ascii="Arial"/>
          <w:color w:val="auto"/>
          <w:sz w:val="21"/>
          <w:highlight w:val="none"/>
        </w:rPr>
      </w:pPr>
    </w:p>
    <w:p w14:paraId="65F4EA77">
      <w:pPr>
        <w:spacing w:line="246" w:lineRule="auto"/>
        <w:rPr>
          <w:rFonts w:ascii="Arial"/>
          <w:color w:val="auto"/>
          <w:sz w:val="21"/>
          <w:highlight w:val="none"/>
        </w:rPr>
      </w:pPr>
    </w:p>
    <w:p w14:paraId="0B73F85C">
      <w:pPr>
        <w:spacing w:line="246" w:lineRule="auto"/>
        <w:rPr>
          <w:rFonts w:ascii="Arial"/>
          <w:color w:val="auto"/>
          <w:sz w:val="21"/>
          <w:highlight w:val="none"/>
        </w:rPr>
      </w:pPr>
    </w:p>
    <w:p w14:paraId="1B6D7A93">
      <w:pPr>
        <w:spacing w:line="246" w:lineRule="auto"/>
        <w:rPr>
          <w:rFonts w:ascii="Arial"/>
          <w:color w:val="auto"/>
          <w:sz w:val="21"/>
          <w:highlight w:val="none"/>
        </w:rPr>
      </w:pPr>
    </w:p>
    <w:p w14:paraId="6E3CA391">
      <w:pPr>
        <w:spacing w:before="169" w:line="219" w:lineRule="auto"/>
        <w:jc w:val="center"/>
        <w:outlineLvl w:val="0"/>
        <w:rPr>
          <w:rFonts w:ascii="宋体" w:hAnsi="宋体" w:eastAsia="宋体" w:cs="宋体"/>
          <w:color w:val="auto"/>
          <w:sz w:val="52"/>
          <w:szCs w:val="52"/>
          <w:highlight w:val="none"/>
        </w:rPr>
      </w:pPr>
      <w:bookmarkStart w:id="345" w:name="bookmark11"/>
      <w:bookmarkEnd w:id="345"/>
      <w:bookmarkStart w:id="346" w:name="_Toc1514"/>
      <w:r>
        <w:rPr>
          <w:rFonts w:ascii="宋体" w:hAnsi="宋体" w:eastAsia="宋体" w:cs="宋体"/>
          <w:b/>
          <w:bCs/>
          <w:color w:val="auto"/>
          <w:spacing w:val="-16"/>
          <w:sz w:val="52"/>
          <w:szCs w:val="52"/>
          <w:highlight w:val="none"/>
        </w:rPr>
        <w:t>第六章</w:t>
      </w:r>
      <w:r>
        <w:rPr>
          <w:rFonts w:ascii="宋体" w:hAnsi="宋体" w:eastAsia="宋体" w:cs="宋体"/>
          <w:color w:val="auto"/>
          <w:spacing w:val="39"/>
          <w:sz w:val="52"/>
          <w:szCs w:val="52"/>
          <w:highlight w:val="none"/>
        </w:rPr>
        <w:t xml:space="preserve">  </w:t>
      </w:r>
      <w:r>
        <w:rPr>
          <w:rFonts w:ascii="宋体" w:hAnsi="宋体" w:eastAsia="宋体" w:cs="宋体"/>
          <w:b/>
          <w:bCs/>
          <w:color w:val="auto"/>
          <w:spacing w:val="-16"/>
          <w:sz w:val="52"/>
          <w:szCs w:val="52"/>
          <w:highlight w:val="none"/>
        </w:rPr>
        <w:t>图纸和资料</w:t>
      </w:r>
      <w:bookmarkEnd w:id="346"/>
    </w:p>
    <w:p w14:paraId="1B60B019">
      <w:pPr>
        <w:spacing w:line="306" w:lineRule="auto"/>
        <w:rPr>
          <w:rFonts w:ascii="Arial"/>
          <w:color w:val="auto"/>
          <w:sz w:val="21"/>
          <w:highlight w:val="none"/>
        </w:rPr>
      </w:pPr>
    </w:p>
    <w:p w14:paraId="54293530">
      <w:pPr>
        <w:spacing w:line="306" w:lineRule="auto"/>
        <w:rPr>
          <w:rFonts w:ascii="Arial"/>
          <w:color w:val="auto"/>
          <w:sz w:val="21"/>
          <w:highlight w:val="none"/>
        </w:rPr>
      </w:pPr>
    </w:p>
    <w:p w14:paraId="47CCA175">
      <w:pPr>
        <w:spacing w:before="134" w:line="225" w:lineRule="auto"/>
        <w:jc w:val="center"/>
        <w:rPr>
          <w:rFonts w:ascii="宋体" w:hAnsi="宋体" w:eastAsia="宋体" w:cs="宋体"/>
          <w:color w:val="auto"/>
          <w:sz w:val="41"/>
          <w:szCs w:val="41"/>
          <w:highlight w:val="none"/>
        </w:rPr>
      </w:pPr>
      <w:r>
        <w:rPr>
          <w:rFonts w:ascii="宋体" w:hAnsi="宋体" w:eastAsia="宋体" w:cs="宋体"/>
          <w:b/>
          <w:bCs/>
          <w:color w:val="auto"/>
          <w:spacing w:val="-5"/>
          <w:sz w:val="41"/>
          <w:szCs w:val="41"/>
          <w:highlight w:val="none"/>
        </w:rPr>
        <w:t>（另册）</w:t>
      </w:r>
    </w:p>
    <w:p w14:paraId="6A418570">
      <w:pPr>
        <w:spacing w:line="225" w:lineRule="auto"/>
        <w:rPr>
          <w:rFonts w:ascii="宋体" w:hAnsi="宋体" w:eastAsia="宋体" w:cs="宋体"/>
          <w:color w:val="auto"/>
          <w:sz w:val="41"/>
          <w:szCs w:val="41"/>
          <w:highlight w:val="none"/>
        </w:rPr>
        <w:sectPr>
          <w:footerReference r:id="rId31" w:type="default"/>
          <w:pgSz w:w="11905" w:h="16838"/>
          <w:pgMar w:top="1134" w:right="1134" w:bottom="1134" w:left="1134" w:header="0" w:footer="1066" w:gutter="0"/>
          <w:pgNumType w:fmt="decimal"/>
          <w:cols w:space="0" w:num="1"/>
          <w:rtlGutter w:val="0"/>
          <w:docGrid w:linePitch="0" w:charSpace="0"/>
        </w:sectPr>
      </w:pPr>
    </w:p>
    <w:p w14:paraId="570A0012">
      <w:pPr>
        <w:spacing w:line="246" w:lineRule="auto"/>
        <w:rPr>
          <w:rFonts w:ascii="Arial"/>
          <w:color w:val="auto"/>
          <w:sz w:val="21"/>
          <w:highlight w:val="none"/>
        </w:rPr>
      </w:pPr>
    </w:p>
    <w:p w14:paraId="30FC88C5">
      <w:pPr>
        <w:spacing w:line="246" w:lineRule="auto"/>
        <w:rPr>
          <w:rFonts w:ascii="Arial"/>
          <w:color w:val="auto"/>
          <w:sz w:val="21"/>
          <w:highlight w:val="none"/>
        </w:rPr>
      </w:pPr>
    </w:p>
    <w:p w14:paraId="5C5A8FCB">
      <w:pPr>
        <w:spacing w:line="247" w:lineRule="auto"/>
        <w:rPr>
          <w:rFonts w:ascii="Arial"/>
          <w:color w:val="auto"/>
          <w:sz w:val="21"/>
          <w:highlight w:val="none"/>
        </w:rPr>
      </w:pPr>
    </w:p>
    <w:p w14:paraId="35B10481">
      <w:pPr>
        <w:spacing w:line="247" w:lineRule="auto"/>
        <w:rPr>
          <w:rFonts w:ascii="Arial"/>
          <w:color w:val="auto"/>
          <w:sz w:val="21"/>
          <w:highlight w:val="none"/>
        </w:rPr>
      </w:pPr>
    </w:p>
    <w:p w14:paraId="6D5CF36F">
      <w:pPr>
        <w:spacing w:line="247" w:lineRule="auto"/>
        <w:rPr>
          <w:rFonts w:ascii="Arial"/>
          <w:color w:val="auto"/>
          <w:sz w:val="21"/>
          <w:highlight w:val="none"/>
        </w:rPr>
      </w:pPr>
    </w:p>
    <w:p w14:paraId="47A28CFF">
      <w:pPr>
        <w:spacing w:line="247" w:lineRule="auto"/>
        <w:rPr>
          <w:rFonts w:ascii="Arial"/>
          <w:color w:val="auto"/>
          <w:sz w:val="21"/>
          <w:highlight w:val="none"/>
        </w:rPr>
      </w:pPr>
    </w:p>
    <w:p w14:paraId="68E46E90">
      <w:pPr>
        <w:spacing w:line="247" w:lineRule="auto"/>
        <w:rPr>
          <w:rFonts w:ascii="Arial"/>
          <w:color w:val="auto"/>
          <w:sz w:val="21"/>
          <w:highlight w:val="none"/>
        </w:rPr>
      </w:pPr>
    </w:p>
    <w:p w14:paraId="7970AC5F">
      <w:pPr>
        <w:spacing w:line="247" w:lineRule="auto"/>
        <w:rPr>
          <w:rFonts w:ascii="Arial"/>
          <w:color w:val="auto"/>
          <w:sz w:val="21"/>
          <w:highlight w:val="none"/>
        </w:rPr>
      </w:pPr>
    </w:p>
    <w:p w14:paraId="45EEF4B5">
      <w:pPr>
        <w:spacing w:line="247" w:lineRule="auto"/>
        <w:rPr>
          <w:rFonts w:ascii="Arial"/>
          <w:color w:val="auto"/>
          <w:sz w:val="21"/>
          <w:highlight w:val="none"/>
        </w:rPr>
      </w:pPr>
    </w:p>
    <w:p w14:paraId="1D4C6137">
      <w:pPr>
        <w:spacing w:line="247" w:lineRule="auto"/>
        <w:rPr>
          <w:rFonts w:ascii="Arial"/>
          <w:color w:val="auto"/>
          <w:sz w:val="21"/>
          <w:highlight w:val="none"/>
        </w:rPr>
      </w:pPr>
    </w:p>
    <w:p w14:paraId="3A8B8053">
      <w:pPr>
        <w:spacing w:line="247" w:lineRule="auto"/>
        <w:rPr>
          <w:rFonts w:ascii="Arial"/>
          <w:color w:val="auto"/>
          <w:sz w:val="21"/>
          <w:highlight w:val="none"/>
        </w:rPr>
      </w:pPr>
    </w:p>
    <w:p w14:paraId="69A879F1">
      <w:pPr>
        <w:spacing w:line="247" w:lineRule="auto"/>
        <w:rPr>
          <w:rFonts w:ascii="Arial"/>
          <w:color w:val="auto"/>
          <w:sz w:val="21"/>
          <w:highlight w:val="none"/>
        </w:rPr>
      </w:pPr>
    </w:p>
    <w:p w14:paraId="18110C43">
      <w:pPr>
        <w:spacing w:line="247" w:lineRule="auto"/>
        <w:rPr>
          <w:rFonts w:ascii="Arial"/>
          <w:color w:val="auto"/>
          <w:sz w:val="21"/>
          <w:highlight w:val="none"/>
        </w:rPr>
      </w:pPr>
    </w:p>
    <w:p w14:paraId="03059F4F">
      <w:pPr>
        <w:spacing w:line="247" w:lineRule="auto"/>
        <w:rPr>
          <w:rFonts w:ascii="Arial"/>
          <w:color w:val="auto"/>
          <w:sz w:val="21"/>
          <w:highlight w:val="none"/>
        </w:rPr>
      </w:pPr>
    </w:p>
    <w:p w14:paraId="0A198656">
      <w:pPr>
        <w:spacing w:line="247" w:lineRule="auto"/>
        <w:rPr>
          <w:rFonts w:ascii="Arial"/>
          <w:color w:val="auto"/>
          <w:sz w:val="21"/>
          <w:highlight w:val="none"/>
        </w:rPr>
      </w:pPr>
    </w:p>
    <w:p w14:paraId="04D9730C">
      <w:pPr>
        <w:spacing w:line="247" w:lineRule="auto"/>
        <w:rPr>
          <w:rFonts w:ascii="Arial"/>
          <w:color w:val="auto"/>
          <w:sz w:val="21"/>
          <w:highlight w:val="none"/>
        </w:rPr>
      </w:pPr>
    </w:p>
    <w:p w14:paraId="3DDB6FCD">
      <w:pPr>
        <w:pStyle w:val="7"/>
        <w:spacing w:before="231" w:line="224" w:lineRule="auto"/>
        <w:jc w:val="center"/>
        <w:rPr>
          <w:color w:val="auto"/>
          <w:sz w:val="71"/>
          <w:szCs w:val="71"/>
          <w:highlight w:val="none"/>
        </w:rPr>
      </w:pPr>
      <w:r>
        <w:rPr>
          <w:color w:val="auto"/>
          <w:sz w:val="71"/>
          <w:szCs w:val="71"/>
          <w:highlight w:val="none"/>
        </w:rPr>
        <w:t>第三卷</w:t>
      </w:r>
    </w:p>
    <w:p w14:paraId="55AAA517">
      <w:pPr>
        <w:spacing w:line="224" w:lineRule="auto"/>
        <w:rPr>
          <w:color w:val="auto"/>
          <w:sz w:val="71"/>
          <w:szCs w:val="71"/>
          <w:highlight w:val="none"/>
        </w:rPr>
        <w:sectPr>
          <w:footerReference r:id="rId32" w:type="default"/>
          <w:pgSz w:w="11905" w:h="16838"/>
          <w:pgMar w:top="1134" w:right="1134" w:bottom="1134" w:left="1134" w:header="0" w:footer="1066" w:gutter="0"/>
          <w:pgNumType w:fmt="decimal"/>
          <w:cols w:space="0" w:num="1"/>
          <w:rtlGutter w:val="0"/>
          <w:docGrid w:linePitch="0" w:charSpace="0"/>
        </w:sectPr>
      </w:pPr>
    </w:p>
    <w:p w14:paraId="4939A1C8">
      <w:pPr>
        <w:spacing w:line="245" w:lineRule="auto"/>
        <w:rPr>
          <w:rFonts w:ascii="Arial"/>
          <w:color w:val="auto"/>
          <w:sz w:val="21"/>
          <w:highlight w:val="none"/>
        </w:rPr>
      </w:pPr>
    </w:p>
    <w:p w14:paraId="5788BF62">
      <w:pPr>
        <w:spacing w:line="245" w:lineRule="auto"/>
        <w:rPr>
          <w:rFonts w:ascii="Arial"/>
          <w:color w:val="auto"/>
          <w:sz w:val="21"/>
          <w:highlight w:val="none"/>
        </w:rPr>
      </w:pPr>
    </w:p>
    <w:p w14:paraId="589FE1A5">
      <w:pPr>
        <w:spacing w:line="245" w:lineRule="auto"/>
        <w:rPr>
          <w:rFonts w:ascii="Arial"/>
          <w:color w:val="auto"/>
          <w:sz w:val="21"/>
          <w:highlight w:val="none"/>
        </w:rPr>
      </w:pPr>
    </w:p>
    <w:p w14:paraId="27089FEB">
      <w:pPr>
        <w:spacing w:line="245" w:lineRule="auto"/>
        <w:rPr>
          <w:rFonts w:ascii="Arial"/>
          <w:color w:val="auto"/>
          <w:sz w:val="21"/>
          <w:highlight w:val="none"/>
        </w:rPr>
      </w:pPr>
    </w:p>
    <w:p w14:paraId="76099F3F">
      <w:pPr>
        <w:spacing w:line="245" w:lineRule="auto"/>
        <w:rPr>
          <w:rFonts w:ascii="Arial"/>
          <w:color w:val="auto"/>
          <w:sz w:val="21"/>
          <w:highlight w:val="none"/>
        </w:rPr>
      </w:pPr>
    </w:p>
    <w:p w14:paraId="5DFD47A5">
      <w:pPr>
        <w:spacing w:line="245" w:lineRule="auto"/>
        <w:rPr>
          <w:rFonts w:ascii="Arial"/>
          <w:color w:val="auto"/>
          <w:sz w:val="21"/>
          <w:highlight w:val="none"/>
        </w:rPr>
      </w:pPr>
    </w:p>
    <w:p w14:paraId="62BB8229">
      <w:pPr>
        <w:spacing w:line="245" w:lineRule="auto"/>
        <w:rPr>
          <w:rFonts w:ascii="Arial"/>
          <w:color w:val="auto"/>
          <w:sz w:val="21"/>
          <w:highlight w:val="none"/>
        </w:rPr>
      </w:pPr>
    </w:p>
    <w:p w14:paraId="54B9556E">
      <w:pPr>
        <w:spacing w:line="246" w:lineRule="auto"/>
        <w:rPr>
          <w:rFonts w:ascii="Arial"/>
          <w:color w:val="auto"/>
          <w:sz w:val="21"/>
          <w:highlight w:val="none"/>
        </w:rPr>
      </w:pPr>
    </w:p>
    <w:p w14:paraId="040357D9">
      <w:pPr>
        <w:spacing w:line="246" w:lineRule="auto"/>
        <w:rPr>
          <w:rFonts w:ascii="Arial"/>
          <w:color w:val="auto"/>
          <w:sz w:val="21"/>
          <w:highlight w:val="none"/>
        </w:rPr>
      </w:pPr>
    </w:p>
    <w:p w14:paraId="5A4D8439">
      <w:pPr>
        <w:spacing w:line="246" w:lineRule="auto"/>
        <w:rPr>
          <w:rFonts w:ascii="Arial"/>
          <w:color w:val="auto"/>
          <w:sz w:val="21"/>
          <w:highlight w:val="none"/>
        </w:rPr>
      </w:pPr>
    </w:p>
    <w:p w14:paraId="5E83708F">
      <w:pPr>
        <w:spacing w:line="246" w:lineRule="auto"/>
        <w:rPr>
          <w:rFonts w:ascii="Arial"/>
          <w:color w:val="auto"/>
          <w:sz w:val="21"/>
          <w:highlight w:val="none"/>
        </w:rPr>
      </w:pPr>
    </w:p>
    <w:p w14:paraId="66E07CCA">
      <w:pPr>
        <w:spacing w:line="246" w:lineRule="auto"/>
        <w:rPr>
          <w:rFonts w:ascii="Arial"/>
          <w:color w:val="auto"/>
          <w:sz w:val="21"/>
          <w:highlight w:val="none"/>
        </w:rPr>
      </w:pPr>
    </w:p>
    <w:p w14:paraId="222B3C32">
      <w:pPr>
        <w:spacing w:line="246" w:lineRule="auto"/>
        <w:rPr>
          <w:rFonts w:ascii="Arial"/>
          <w:color w:val="auto"/>
          <w:sz w:val="21"/>
          <w:highlight w:val="none"/>
        </w:rPr>
      </w:pPr>
    </w:p>
    <w:p w14:paraId="02B6FD2A">
      <w:pPr>
        <w:spacing w:line="246" w:lineRule="auto"/>
        <w:rPr>
          <w:rFonts w:ascii="Arial"/>
          <w:color w:val="auto"/>
          <w:sz w:val="21"/>
          <w:highlight w:val="none"/>
        </w:rPr>
      </w:pPr>
    </w:p>
    <w:p w14:paraId="08940020">
      <w:pPr>
        <w:spacing w:line="246" w:lineRule="auto"/>
        <w:rPr>
          <w:rFonts w:ascii="Arial"/>
          <w:color w:val="auto"/>
          <w:sz w:val="21"/>
          <w:highlight w:val="none"/>
        </w:rPr>
      </w:pPr>
    </w:p>
    <w:p w14:paraId="5FCA49FF">
      <w:pPr>
        <w:spacing w:line="246" w:lineRule="auto"/>
        <w:rPr>
          <w:rFonts w:ascii="Arial"/>
          <w:color w:val="auto"/>
          <w:sz w:val="21"/>
          <w:highlight w:val="none"/>
        </w:rPr>
      </w:pPr>
    </w:p>
    <w:p w14:paraId="75EA5BC7">
      <w:pPr>
        <w:spacing w:line="246" w:lineRule="auto"/>
        <w:rPr>
          <w:rFonts w:ascii="Arial"/>
          <w:color w:val="auto"/>
          <w:sz w:val="21"/>
          <w:highlight w:val="none"/>
        </w:rPr>
      </w:pPr>
    </w:p>
    <w:p w14:paraId="5C5EFCA0">
      <w:pPr>
        <w:spacing w:line="246" w:lineRule="auto"/>
        <w:rPr>
          <w:rFonts w:ascii="Arial"/>
          <w:color w:val="auto"/>
          <w:sz w:val="21"/>
          <w:highlight w:val="none"/>
        </w:rPr>
      </w:pPr>
    </w:p>
    <w:p w14:paraId="30BD127F">
      <w:pPr>
        <w:spacing w:line="246" w:lineRule="auto"/>
        <w:rPr>
          <w:rFonts w:ascii="Arial"/>
          <w:color w:val="auto"/>
          <w:sz w:val="21"/>
          <w:highlight w:val="none"/>
        </w:rPr>
      </w:pPr>
    </w:p>
    <w:p w14:paraId="6880E9C9">
      <w:pPr>
        <w:spacing w:line="246" w:lineRule="auto"/>
        <w:rPr>
          <w:rFonts w:ascii="Arial"/>
          <w:color w:val="auto"/>
          <w:sz w:val="21"/>
          <w:highlight w:val="none"/>
        </w:rPr>
      </w:pPr>
    </w:p>
    <w:p w14:paraId="58656075">
      <w:pPr>
        <w:spacing w:line="246" w:lineRule="auto"/>
        <w:rPr>
          <w:rFonts w:ascii="Arial"/>
          <w:color w:val="auto"/>
          <w:sz w:val="21"/>
          <w:highlight w:val="none"/>
        </w:rPr>
      </w:pPr>
    </w:p>
    <w:p w14:paraId="4494FEB0">
      <w:pPr>
        <w:spacing w:line="246" w:lineRule="auto"/>
        <w:rPr>
          <w:rFonts w:ascii="Arial"/>
          <w:color w:val="auto"/>
          <w:sz w:val="21"/>
          <w:highlight w:val="none"/>
        </w:rPr>
      </w:pPr>
    </w:p>
    <w:p w14:paraId="736C8613">
      <w:pPr>
        <w:spacing w:line="246" w:lineRule="auto"/>
        <w:rPr>
          <w:rFonts w:ascii="Arial"/>
          <w:color w:val="auto"/>
          <w:sz w:val="21"/>
          <w:highlight w:val="none"/>
        </w:rPr>
      </w:pPr>
    </w:p>
    <w:p w14:paraId="4649B49F">
      <w:pPr>
        <w:spacing w:line="246" w:lineRule="auto"/>
        <w:rPr>
          <w:rFonts w:ascii="Arial"/>
          <w:color w:val="auto"/>
          <w:sz w:val="21"/>
          <w:highlight w:val="none"/>
        </w:rPr>
      </w:pPr>
    </w:p>
    <w:p w14:paraId="3595E0B3">
      <w:pPr>
        <w:pStyle w:val="2"/>
        <w:bidi w:val="0"/>
        <w:jc w:val="center"/>
        <w:rPr>
          <w:color w:val="auto"/>
          <w:sz w:val="48"/>
          <w:szCs w:val="48"/>
          <w:highlight w:val="none"/>
        </w:rPr>
      </w:pPr>
      <w:bookmarkStart w:id="347" w:name="bookmark12"/>
      <w:bookmarkEnd w:id="347"/>
      <w:bookmarkStart w:id="348" w:name="_Toc7980"/>
      <w:r>
        <w:rPr>
          <w:color w:val="auto"/>
          <w:sz w:val="48"/>
          <w:szCs w:val="48"/>
          <w:highlight w:val="none"/>
        </w:rPr>
        <w:t>第七章  投标文件格式</w:t>
      </w:r>
      <w:bookmarkEnd w:id="348"/>
    </w:p>
    <w:p w14:paraId="7799C2D1">
      <w:pPr>
        <w:spacing w:line="247" w:lineRule="auto"/>
        <w:rPr>
          <w:rFonts w:ascii="Arial"/>
          <w:color w:val="auto"/>
          <w:sz w:val="21"/>
          <w:highlight w:val="none"/>
        </w:rPr>
      </w:pPr>
    </w:p>
    <w:p w14:paraId="5708E251">
      <w:pPr>
        <w:spacing w:line="247" w:lineRule="auto"/>
        <w:rPr>
          <w:rFonts w:ascii="Arial"/>
          <w:color w:val="auto"/>
          <w:sz w:val="21"/>
          <w:highlight w:val="none"/>
        </w:rPr>
      </w:pPr>
    </w:p>
    <w:p w14:paraId="39253653">
      <w:pPr>
        <w:spacing w:line="247" w:lineRule="auto"/>
        <w:rPr>
          <w:rFonts w:ascii="Arial"/>
          <w:color w:val="auto"/>
          <w:sz w:val="21"/>
          <w:highlight w:val="none"/>
        </w:rPr>
      </w:pPr>
    </w:p>
    <w:p w14:paraId="4937FA0F">
      <w:pPr>
        <w:spacing w:line="247" w:lineRule="auto"/>
        <w:rPr>
          <w:rFonts w:ascii="Arial"/>
          <w:color w:val="auto"/>
          <w:sz w:val="21"/>
          <w:highlight w:val="none"/>
        </w:rPr>
      </w:pPr>
    </w:p>
    <w:p w14:paraId="79EF9F29">
      <w:pPr>
        <w:spacing w:line="247" w:lineRule="auto"/>
        <w:rPr>
          <w:rFonts w:ascii="Arial"/>
          <w:color w:val="auto"/>
          <w:sz w:val="21"/>
          <w:highlight w:val="none"/>
        </w:rPr>
      </w:pPr>
    </w:p>
    <w:p w14:paraId="53BD6E2C">
      <w:pPr>
        <w:spacing w:line="247" w:lineRule="auto"/>
        <w:rPr>
          <w:rFonts w:ascii="Arial"/>
          <w:color w:val="auto"/>
          <w:sz w:val="21"/>
          <w:highlight w:val="none"/>
        </w:rPr>
      </w:pPr>
    </w:p>
    <w:p w14:paraId="5CA01065">
      <w:pPr>
        <w:spacing w:line="247" w:lineRule="auto"/>
        <w:rPr>
          <w:rFonts w:ascii="Arial"/>
          <w:color w:val="auto"/>
          <w:sz w:val="21"/>
          <w:highlight w:val="none"/>
        </w:rPr>
      </w:pPr>
    </w:p>
    <w:p w14:paraId="7F7DBF29">
      <w:pPr>
        <w:spacing w:line="247" w:lineRule="auto"/>
        <w:rPr>
          <w:rFonts w:ascii="Arial"/>
          <w:color w:val="auto"/>
          <w:sz w:val="21"/>
          <w:highlight w:val="none"/>
        </w:rPr>
      </w:pPr>
    </w:p>
    <w:p w14:paraId="0ACC9CCD">
      <w:pPr>
        <w:spacing w:line="247" w:lineRule="auto"/>
        <w:rPr>
          <w:rFonts w:ascii="Arial"/>
          <w:color w:val="auto"/>
          <w:sz w:val="21"/>
          <w:highlight w:val="none"/>
        </w:rPr>
      </w:pPr>
    </w:p>
    <w:p w14:paraId="631324CF">
      <w:pPr>
        <w:spacing w:line="247" w:lineRule="auto"/>
        <w:rPr>
          <w:rFonts w:ascii="Arial"/>
          <w:color w:val="auto"/>
          <w:sz w:val="21"/>
          <w:highlight w:val="none"/>
        </w:rPr>
      </w:pPr>
    </w:p>
    <w:p w14:paraId="56245FFA">
      <w:pPr>
        <w:spacing w:line="247" w:lineRule="auto"/>
        <w:rPr>
          <w:rFonts w:ascii="Arial"/>
          <w:color w:val="auto"/>
          <w:sz w:val="21"/>
          <w:highlight w:val="none"/>
        </w:rPr>
      </w:pPr>
    </w:p>
    <w:p w14:paraId="22123866">
      <w:pPr>
        <w:spacing w:line="247" w:lineRule="auto"/>
        <w:rPr>
          <w:rFonts w:ascii="Arial"/>
          <w:color w:val="auto"/>
          <w:sz w:val="21"/>
          <w:highlight w:val="none"/>
        </w:rPr>
      </w:pPr>
    </w:p>
    <w:p w14:paraId="0985AFD1">
      <w:pPr>
        <w:spacing w:line="247" w:lineRule="auto"/>
        <w:rPr>
          <w:rFonts w:ascii="Arial"/>
          <w:color w:val="auto"/>
          <w:sz w:val="21"/>
          <w:highlight w:val="none"/>
        </w:rPr>
      </w:pPr>
    </w:p>
    <w:p w14:paraId="324E3601">
      <w:pPr>
        <w:spacing w:line="247" w:lineRule="auto"/>
        <w:rPr>
          <w:rFonts w:ascii="Arial"/>
          <w:color w:val="auto"/>
          <w:sz w:val="21"/>
          <w:highlight w:val="none"/>
        </w:rPr>
      </w:pPr>
    </w:p>
    <w:p w14:paraId="6E410B2A">
      <w:pPr>
        <w:spacing w:line="247" w:lineRule="auto"/>
        <w:rPr>
          <w:rFonts w:ascii="Arial"/>
          <w:color w:val="auto"/>
          <w:sz w:val="21"/>
          <w:highlight w:val="none"/>
        </w:rPr>
      </w:pPr>
    </w:p>
    <w:p w14:paraId="0EE862D4">
      <w:pPr>
        <w:spacing w:line="247" w:lineRule="auto"/>
        <w:rPr>
          <w:rFonts w:ascii="Arial"/>
          <w:color w:val="auto"/>
          <w:sz w:val="21"/>
          <w:highlight w:val="none"/>
        </w:rPr>
      </w:pPr>
    </w:p>
    <w:p w14:paraId="02F40FD7">
      <w:pPr>
        <w:spacing w:line="247" w:lineRule="auto"/>
        <w:rPr>
          <w:rFonts w:ascii="Arial"/>
          <w:color w:val="auto"/>
          <w:sz w:val="21"/>
          <w:highlight w:val="none"/>
        </w:rPr>
      </w:pPr>
    </w:p>
    <w:p w14:paraId="763D7BBA">
      <w:pPr>
        <w:spacing w:line="247" w:lineRule="auto"/>
        <w:rPr>
          <w:rFonts w:ascii="Arial"/>
          <w:color w:val="auto"/>
          <w:sz w:val="21"/>
          <w:highlight w:val="none"/>
        </w:rPr>
      </w:pPr>
    </w:p>
    <w:p w14:paraId="301CFD42">
      <w:pPr>
        <w:spacing w:line="247" w:lineRule="auto"/>
        <w:rPr>
          <w:rFonts w:ascii="Arial"/>
          <w:color w:val="auto"/>
          <w:sz w:val="21"/>
          <w:highlight w:val="none"/>
        </w:rPr>
      </w:pPr>
    </w:p>
    <w:p w14:paraId="6BEF62FB">
      <w:pPr>
        <w:spacing w:line="247" w:lineRule="auto"/>
        <w:rPr>
          <w:rFonts w:ascii="Arial"/>
          <w:color w:val="auto"/>
          <w:sz w:val="21"/>
          <w:highlight w:val="none"/>
        </w:rPr>
      </w:pPr>
    </w:p>
    <w:p w14:paraId="6EBAB47B">
      <w:pPr>
        <w:spacing w:line="247" w:lineRule="auto"/>
        <w:rPr>
          <w:rFonts w:ascii="Arial"/>
          <w:color w:val="auto"/>
          <w:sz w:val="21"/>
          <w:highlight w:val="none"/>
        </w:rPr>
      </w:pPr>
    </w:p>
    <w:p w14:paraId="158E6031">
      <w:pPr>
        <w:spacing w:line="247" w:lineRule="auto"/>
        <w:rPr>
          <w:rFonts w:ascii="Arial"/>
          <w:color w:val="auto"/>
          <w:sz w:val="21"/>
          <w:highlight w:val="none"/>
        </w:rPr>
      </w:pPr>
    </w:p>
    <w:p w14:paraId="47699535">
      <w:pPr>
        <w:spacing w:line="247" w:lineRule="auto"/>
        <w:rPr>
          <w:rFonts w:ascii="Arial"/>
          <w:color w:val="auto"/>
          <w:sz w:val="21"/>
          <w:highlight w:val="none"/>
        </w:rPr>
      </w:pPr>
    </w:p>
    <w:p w14:paraId="28293308">
      <w:pPr>
        <w:spacing w:line="247" w:lineRule="auto"/>
        <w:rPr>
          <w:rFonts w:ascii="Arial"/>
          <w:color w:val="auto"/>
          <w:sz w:val="21"/>
          <w:highlight w:val="none"/>
        </w:rPr>
      </w:pPr>
    </w:p>
    <w:p w14:paraId="37CDBD86">
      <w:pPr>
        <w:spacing w:line="247" w:lineRule="auto"/>
        <w:rPr>
          <w:rFonts w:ascii="Arial"/>
          <w:color w:val="auto"/>
          <w:sz w:val="21"/>
          <w:highlight w:val="none"/>
        </w:rPr>
      </w:pPr>
    </w:p>
    <w:p w14:paraId="25E578E8">
      <w:pPr>
        <w:spacing w:line="247" w:lineRule="auto"/>
        <w:rPr>
          <w:rFonts w:ascii="Arial"/>
          <w:color w:val="auto"/>
          <w:sz w:val="21"/>
          <w:highlight w:val="none"/>
        </w:rPr>
      </w:pPr>
    </w:p>
    <w:p w14:paraId="0A1D03A4">
      <w:pPr>
        <w:spacing w:line="248" w:lineRule="auto"/>
        <w:rPr>
          <w:rFonts w:ascii="Arial"/>
          <w:color w:val="auto"/>
          <w:sz w:val="21"/>
          <w:highlight w:val="none"/>
        </w:rPr>
      </w:pPr>
    </w:p>
    <w:p w14:paraId="0DD57E52">
      <w:pPr>
        <w:spacing w:line="248" w:lineRule="auto"/>
        <w:rPr>
          <w:rFonts w:ascii="Arial"/>
          <w:color w:val="auto"/>
          <w:sz w:val="21"/>
          <w:highlight w:val="none"/>
        </w:rPr>
      </w:pPr>
    </w:p>
    <w:p w14:paraId="02E89D0F">
      <w:pPr>
        <w:spacing w:line="248" w:lineRule="auto"/>
        <w:rPr>
          <w:rFonts w:ascii="Arial"/>
          <w:color w:val="auto"/>
          <w:sz w:val="21"/>
          <w:highlight w:val="none"/>
        </w:rPr>
      </w:pPr>
    </w:p>
    <w:p w14:paraId="65A20D21">
      <w:pPr>
        <w:spacing w:line="243" w:lineRule="auto"/>
        <w:rPr>
          <w:rFonts w:ascii="Arial"/>
          <w:color w:val="auto"/>
          <w:sz w:val="21"/>
          <w:highlight w:val="none"/>
        </w:rPr>
      </w:pPr>
    </w:p>
    <w:p w14:paraId="2C52B0D9">
      <w:pPr>
        <w:spacing w:line="243" w:lineRule="auto"/>
        <w:rPr>
          <w:rFonts w:ascii="Arial"/>
          <w:color w:val="auto"/>
          <w:sz w:val="21"/>
          <w:highlight w:val="none"/>
        </w:rPr>
      </w:pPr>
    </w:p>
    <w:p w14:paraId="7AA4E355">
      <w:pPr>
        <w:spacing w:line="243" w:lineRule="auto"/>
        <w:rPr>
          <w:rFonts w:ascii="Arial"/>
          <w:color w:val="auto"/>
          <w:sz w:val="21"/>
          <w:highlight w:val="none"/>
        </w:rPr>
      </w:pPr>
    </w:p>
    <w:p w14:paraId="53DC7FA8">
      <w:pPr>
        <w:spacing w:line="243" w:lineRule="auto"/>
        <w:rPr>
          <w:rFonts w:ascii="Arial"/>
          <w:color w:val="auto"/>
          <w:sz w:val="21"/>
          <w:highlight w:val="none"/>
        </w:rPr>
      </w:pPr>
    </w:p>
    <w:p w14:paraId="5EBF962E">
      <w:pPr>
        <w:spacing w:before="130" w:line="220" w:lineRule="auto"/>
        <w:jc w:val="center"/>
        <w:rPr>
          <w:rFonts w:ascii="宋体" w:hAnsi="宋体" w:eastAsia="宋体" w:cs="宋体"/>
          <w:b/>
          <w:bCs/>
          <w:color w:val="auto"/>
          <w:sz w:val="40"/>
          <w:szCs w:val="40"/>
          <w:highlight w:val="none"/>
        </w:rPr>
      </w:pPr>
      <w:r>
        <w:rPr>
          <w:rFonts w:ascii="宋体" w:hAnsi="宋体" w:eastAsia="宋体" w:cs="宋体"/>
          <w:b/>
          <w:bCs/>
          <w:color w:val="auto"/>
          <w:spacing w:val="-5"/>
          <w:sz w:val="40"/>
          <w:szCs w:val="40"/>
          <w:highlight w:val="none"/>
        </w:rPr>
        <w:t>广东省</w:t>
      </w:r>
    </w:p>
    <w:p w14:paraId="36F14B1D">
      <w:pPr>
        <w:spacing w:line="367" w:lineRule="auto"/>
        <w:rPr>
          <w:rFonts w:ascii="Arial"/>
          <w:b/>
          <w:bCs/>
          <w:color w:val="auto"/>
          <w:sz w:val="21"/>
          <w:highlight w:val="none"/>
        </w:rPr>
      </w:pPr>
    </w:p>
    <w:p w14:paraId="061E594C">
      <w:pPr>
        <w:tabs>
          <w:tab w:val="left" w:pos="2256"/>
        </w:tabs>
        <w:spacing w:before="130" w:line="221" w:lineRule="auto"/>
        <w:jc w:val="center"/>
        <w:rPr>
          <w:rFonts w:ascii="宋体" w:hAnsi="宋体" w:eastAsia="宋体" w:cs="宋体"/>
          <w:b/>
          <w:bCs/>
          <w:color w:val="auto"/>
          <w:sz w:val="40"/>
          <w:szCs w:val="40"/>
          <w:highlight w:val="none"/>
        </w:rPr>
      </w:pPr>
      <w:r>
        <w:rPr>
          <w:rFonts w:hint="eastAsia" w:ascii="宋体" w:hAnsi="宋体" w:eastAsia="宋体" w:cs="宋体"/>
          <w:b/>
          <w:bCs/>
          <w:color w:val="auto"/>
          <w:spacing w:val="-16"/>
          <w:sz w:val="40"/>
          <w:szCs w:val="40"/>
          <w:highlight w:val="none"/>
          <w:u w:val="single" w:color="auto"/>
          <w:lang w:val="en-US" w:eastAsia="zh-CN"/>
        </w:rPr>
        <w:t xml:space="preserve">       </w:t>
      </w:r>
      <w:r>
        <w:rPr>
          <w:rFonts w:ascii="宋体" w:hAnsi="宋体" w:eastAsia="宋体" w:cs="宋体"/>
          <w:b/>
          <w:bCs/>
          <w:color w:val="auto"/>
          <w:spacing w:val="-16"/>
          <w:sz w:val="40"/>
          <w:szCs w:val="40"/>
          <w:highlight w:val="none"/>
          <w:u w:val="single" w:color="auto"/>
        </w:rPr>
        <w:t>（项目名称）</w:t>
      </w:r>
      <w:r>
        <w:rPr>
          <w:rFonts w:hint="eastAsia" w:ascii="宋体" w:hAnsi="宋体" w:eastAsia="宋体" w:cs="宋体"/>
          <w:b/>
          <w:bCs/>
          <w:color w:val="auto"/>
          <w:spacing w:val="-16"/>
          <w:sz w:val="40"/>
          <w:szCs w:val="40"/>
          <w:highlight w:val="none"/>
          <w:u w:val="single" w:color="auto"/>
          <w:lang w:val="en-US" w:eastAsia="zh-CN"/>
        </w:rPr>
        <w:t xml:space="preserve">     </w:t>
      </w:r>
      <w:r>
        <w:rPr>
          <w:rFonts w:ascii="宋体" w:hAnsi="宋体" w:eastAsia="宋体" w:cs="宋体"/>
          <w:b/>
          <w:bCs/>
          <w:color w:val="auto"/>
          <w:spacing w:val="-16"/>
          <w:sz w:val="40"/>
          <w:szCs w:val="40"/>
          <w:highlight w:val="none"/>
          <w:u w:val="single" w:color="auto"/>
        </w:rPr>
        <w:t xml:space="preserve">  </w:t>
      </w:r>
      <w:r>
        <w:rPr>
          <w:rFonts w:ascii="宋体" w:hAnsi="宋体" w:eastAsia="宋体" w:cs="宋体"/>
          <w:b/>
          <w:bCs/>
          <w:color w:val="auto"/>
          <w:spacing w:val="-170"/>
          <w:sz w:val="40"/>
          <w:szCs w:val="40"/>
          <w:highlight w:val="none"/>
        </w:rPr>
        <w:t xml:space="preserve"> </w:t>
      </w:r>
      <w:r>
        <w:rPr>
          <w:rFonts w:ascii="宋体" w:hAnsi="宋体" w:eastAsia="宋体" w:cs="宋体"/>
          <w:b/>
          <w:bCs/>
          <w:color w:val="auto"/>
          <w:spacing w:val="-16"/>
          <w:sz w:val="40"/>
          <w:szCs w:val="40"/>
          <w:highlight w:val="none"/>
        </w:rPr>
        <w:t>标段施工监理招标</w:t>
      </w:r>
    </w:p>
    <w:p w14:paraId="046DDF11">
      <w:pPr>
        <w:spacing w:line="258" w:lineRule="auto"/>
        <w:rPr>
          <w:rFonts w:ascii="Arial"/>
          <w:color w:val="auto"/>
          <w:sz w:val="21"/>
          <w:highlight w:val="none"/>
        </w:rPr>
      </w:pPr>
    </w:p>
    <w:p w14:paraId="6B24D6E2">
      <w:pPr>
        <w:spacing w:line="258" w:lineRule="auto"/>
        <w:rPr>
          <w:rFonts w:ascii="Arial"/>
          <w:color w:val="auto"/>
          <w:sz w:val="21"/>
          <w:highlight w:val="none"/>
        </w:rPr>
      </w:pPr>
    </w:p>
    <w:p w14:paraId="4BA94A76">
      <w:pPr>
        <w:spacing w:line="258" w:lineRule="auto"/>
        <w:rPr>
          <w:rFonts w:ascii="Arial"/>
          <w:color w:val="auto"/>
          <w:sz w:val="21"/>
          <w:highlight w:val="none"/>
        </w:rPr>
      </w:pPr>
    </w:p>
    <w:p w14:paraId="6D5C9912">
      <w:pPr>
        <w:spacing w:line="258" w:lineRule="auto"/>
        <w:rPr>
          <w:rFonts w:ascii="Arial"/>
          <w:color w:val="auto"/>
          <w:sz w:val="21"/>
          <w:highlight w:val="none"/>
        </w:rPr>
      </w:pPr>
    </w:p>
    <w:p w14:paraId="57D9EEC1">
      <w:pPr>
        <w:spacing w:line="259" w:lineRule="auto"/>
        <w:rPr>
          <w:rFonts w:ascii="Arial"/>
          <w:color w:val="auto"/>
          <w:sz w:val="21"/>
          <w:highlight w:val="none"/>
        </w:rPr>
      </w:pPr>
    </w:p>
    <w:p w14:paraId="4B9A7942">
      <w:pPr>
        <w:spacing w:line="259" w:lineRule="auto"/>
        <w:rPr>
          <w:rFonts w:ascii="Arial"/>
          <w:color w:val="auto"/>
          <w:sz w:val="21"/>
          <w:highlight w:val="none"/>
        </w:rPr>
      </w:pPr>
    </w:p>
    <w:p w14:paraId="7D62A6CA">
      <w:pPr>
        <w:spacing w:line="259" w:lineRule="auto"/>
        <w:rPr>
          <w:rFonts w:ascii="Arial"/>
          <w:color w:val="auto"/>
          <w:sz w:val="21"/>
          <w:highlight w:val="none"/>
        </w:rPr>
      </w:pPr>
    </w:p>
    <w:p w14:paraId="156701B7">
      <w:pPr>
        <w:spacing w:line="259" w:lineRule="auto"/>
        <w:rPr>
          <w:rFonts w:ascii="Arial"/>
          <w:color w:val="auto"/>
          <w:sz w:val="21"/>
          <w:highlight w:val="none"/>
        </w:rPr>
      </w:pPr>
    </w:p>
    <w:p w14:paraId="30220F3C">
      <w:pPr>
        <w:spacing w:before="140" w:line="223" w:lineRule="auto"/>
        <w:jc w:val="center"/>
        <w:rPr>
          <w:rFonts w:ascii="宋体" w:hAnsi="宋体" w:eastAsia="宋体" w:cs="宋体"/>
          <w:color w:val="auto"/>
          <w:sz w:val="43"/>
          <w:szCs w:val="43"/>
          <w:highlight w:val="none"/>
        </w:rPr>
      </w:pPr>
      <w:r>
        <w:rPr>
          <w:rFonts w:ascii="宋体" w:hAnsi="宋体" w:eastAsia="宋体" w:cs="宋体"/>
          <w:b/>
          <w:bCs/>
          <w:color w:val="auto"/>
          <w:spacing w:val="-14"/>
          <w:sz w:val="43"/>
          <w:szCs w:val="43"/>
          <w:highlight w:val="none"/>
        </w:rPr>
        <w:t>投</w:t>
      </w:r>
      <w:r>
        <w:rPr>
          <w:rFonts w:ascii="宋体" w:hAnsi="宋体" w:eastAsia="宋体" w:cs="宋体"/>
          <w:color w:val="auto"/>
          <w:spacing w:val="17"/>
          <w:sz w:val="43"/>
          <w:szCs w:val="43"/>
          <w:highlight w:val="none"/>
        </w:rPr>
        <w:t xml:space="preserve">  </w:t>
      </w:r>
      <w:r>
        <w:rPr>
          <w:rFonts w:ascii="宋体" w:hAnsi="宋体" w:eastAsia="宋体" w:cs="宋体"/>
          <w:b/>
          <w:bCs/>
          <w:color w:val="auto"/>
          <w:spacing w:val="-14"/>
          <w:sz w:val="43"/>
          <w:szCs w:val="43"/>
          <w:highlight w:val="none"/>
        </w:rPr>
        <w:t>标</w:t>
      </w:r>
      <w:r>
        <w:rPr>
          <w:rFonts w:ascii="宋体" w:hAnsi="宋体" w:eastAsia="宋体" w:cs="宋体"/>
          <w:color w:val="auto"/>
          <w:spacing w:val="17"/>
          <w:sz w:val="43"/>
          <w:szCs w:val="43"/>
          <w:highlight w:val="none"/>
        </w:rPr>
        <w:t xml:space="preserve">  </w:t>
      </w:r>
      <w:r>
        <w:rPr>
          <w:rFonts w:ascii="宋体" w:hAnsi="宋体" w:eastAsia="宋体" w:cs="宋体"/>
          <w:b/>
          <w:bCs/>
          <w:color w:val="auto"/>
          <w:spacing w:val="-14"/>
          <w:sz w:val="43"/>
          <w:szCs w:val="43"/>
          <w:highlight w:val="none"/>
        </w:rPr>
        <w:t>文</w:t>
      </w:r>
      <w:r>
        <w:rPr>
          <w:rFonts w:ascii="宋体" w:hAnsi="宋体" w:eastAsia="宋体" w:cs="宋体"/>
          <w:color w:val="auto"/>
          <w:spacing w:val="15"/>
          <w:sz w:val="43"/>
          <w:szCs w:val="43"/>
          <w:highlight w:val="none"/>
        </w:rPr>
        <w:t xml:space="preserve">  </w:t>
      </w:r>
      <w:r>
        <w:rPr>
          <w:rFonts w:ascii="宋体" w:hAnsi="宋体" w:eastAsia="宋体" w:cs="宋体"/>
          <w:b/>
          <w:bCs/>
          <w:color w:val="auto"/>
          <w:spacing w:val="-14"/>
          <w:sz w:val="43"/>
          <w:szCs w:val="43"/>
          <w:highlight w:val="none"/>
        </w:rPr>
        <w:t>件</w:t>
      </w:r>
    </w:p>
    <w:p w14:paraId="7B79FA0D">
      <w:pPr>
        <w:pStyle w:val="2"/>
        <w:bidi w:val="0"/>
        <w:jc w:val="center"/>
        <w:rPr>
          <w:color w:val="auto"/>
          <w:highlight w:val="none"/>
        </w:rPr>
      </w:pPr>
      <w:bookmarkStart w:id="349" w:name="_Toc2052"/>
      <w:r>
        <w:rPr>
          <w:color w:val="auto"/>
          <w:highlight w:val="none"/>
        </w:rPr>
        <w:t>（商务及技术文件）</w:t>
      </w:r>
      <w:bookmarkEnd w:id="349"/>
    </w:p>
    <w:p w14:paraId="57EF57F3">
      <w:pPr>
        <w:spacing w:line="249" w:lineRule="auto"/>
        <w:rPr>
          <w:rFonts w:ascii="Arial"/>
          <w:color w:val="auto"/>
          <w:sz w:val="21"/>
          <w:highlight w:val="none"/>
        </w:rPr>
      </w:pPr>
    </w:p>
    <w:p w14:paraId="5C12D0F0">
      <w:pPr>
        <w:spacing w:line="249" w:lineRule="auto"/>
        <w:rPr>
          <w:rFonts w:ascii="Arial"/>
          <w:color w:val="auto"/>
          <w:sz w:val="21"/>
          <w:highlight w:val="none"/>
        </w:rPr>
      </w:pPr>
    </w:p>
    <w:p w14:paraId="608E5108">
      <w:pPr>
        <w:spacing w:line="249" w:lineRule="auto"/>
        <w:rPr>
          <w:rFonts w:ascii="Arial"/>
          <w:color w:val="auto"/>
          <w:sz w:val="21"/>
          <w:highlight w:val="none"/>
        </w:rPr>
      </w:pPr>
    </w:p>
    <w:p w14:paraId="07157208">
      <w:pPr>
        <w:spacing w:line="249" w:lineRule="auto"/>
        <w:rPr>
          <w:rFonts w:ascii="Arial"/>
          <w:color w:val="auto"/>
          <w:sz w:val="21"/>
          <w:highlight w:val="none"/>
        </w:rPr>
      </w:pPr>
    </w:p>
    <w:p w14:paraId="44769D0F">
      <w:pPr>
        <w:spacing w:line="249" w:lineRule="auto"/>
        <w:rPr>
          <w:rFonts w:ascii="Arial"/>
          <w:color w:val="auto"/>
          <w:sz w:val="21"/>
          <w:highlight w:val="none"/>
        </w:rPr>
      </w:pPr>
    </w:p>
    <w:p w14:paraId="0B606F47">
      <w:pPr>
        <w:spacing w:line="249" w:lineRule="auto"/>
        <w:rPr>
          <w:rFonts w:ascii="Arial"/>
          <w:color w:val="auto"/>
          <w:sz w:val="21"/>
          <w:highlight w:val="none"/>
        </w:rPr>
      </w:pPr>
    </w:p>
    <w:p w14:paraId="2C33E683">
      <w:pPr>
        <w:spacing w:line="249" w:lineRule="auto"/>
        <w:rPr>
          <w:rFonts w:ascii="Arial"/>
          <w:color w:val="auto"/>
          <w:sz w:val="21"/>
          <w:highlight w:val="none"/>
        </w:rPr>
      </w:pPr>
    </w:p>
    <w:p w14:paraId="014EEE11">
      <w:pPr>
        <w:spacing w:line="249" w:lineRule="auto"/>
        <w:rPr>
          <w:rFonts w:ascii="Arial"/>
          <w:color w:val="auto"/>
          <w:sz w:val="21"/>
          <w:highlight w:val="none"/>
        </w:rPr>
      </w:pPr>
    </w:p>
    <w:p w14:paraId="573CCD12">
      <w:pPr>
        <w:spacing w:line="249" w:lineRule="auto"/>
        <w:rPr>
          <w:rFonts w:ascii="Arial"/>
          <w:color w:val="auto"/>
          <w:sz w:val="21"/>
          <w:highlight w:val="none"/>
        </w:rPr>
      </w:pPr>
    </w:p>
    <w:p w14:paraId="79E8DA01">
      <w:pPr>
        <w:spacing w:line="249" w:lineRule="auto"/>
        <w:rPr>
          <w:rFonts w:ascii="Arial"/>
          <w:color w:val="auto"/>
          <w:sz w:val="21"/>
          <w:highlight w:val="none"/>
        </w:rPr>
      </w:pPr>
    </w:p>
    <w:p w14:paraId="0D27997E">
      <w:pPr>
        <w:spacing w:line="249" w:lineRule="auto"/>
        <w:rPr>
          <w:rFonts w:ascii="Arial"/>
          <w:color w:val="auto"/>
          <w:sz w:val="21"/>
          <w:highlight w:val="none"/>
        </w:rPr>
      </w:pPr>
    </w:p>
    <w:p w14:paraId="60F9C12E">
      <w:pPr>
        <w:spacing w:line="249" w:lineRule="auto"/>
        <w:rPr>
          <w:rFonts w:ascii="Arial"/>
          <w:color w:val="auto"/>
          <w:sz w:val="21"/>
          <w:highlight w:val="none"/>
        </w:rPr>
      </w:pPr>
    </w:p>
    <w:p w14:paraId="4E2850F2">
      <w:pPr>
        <w:spacing w:line="249" w:lineRule="auto"/>
        <w:rPr>
          <w:rFonts w:ascii="Arial"/>
          <w:color w:val="auto"/>
          <w:sz w:val="21"/>
          <w:highlight w:val="none"/>
        </w:rPr>
      </w:pPr>
    </w:p>
    <w:p w14:paraId="1DB33B70">
      <w:pPr>
        <w:spacing w:line="249" w:lineRule="auto"/>
        <w:rPr>
          <w:rFonts w:ascii="Arial"/>
          <w:color w:val="auto"/>
          <w:sz w:val="21"/>
          <w:highlight w:val="none"/>
        </w:rPr>
      </w:pPr>
    </w:p>
    <w:p w14:paraId="76C6A67A">
      <w:pPr>
        <w:spacing w:line="249" w:lineRule="auto"/>
        <w:rPr>
          <w:rFonts w:ascii="Arial"/>
          <w:color w:val="auto"/>
          <w:sz w:val="21"/>
          <w:highlight w:val="none"/>
        </w:rPr>
      </w:pPr>
    </w:p>
    <w:p w14:paraId="76D771F8">
      <w:pPr>
        <w:spacing w:line="250" w:lineRule="auto"/>
        <w:rPr>
          <w:rFonts w:ascii="Arial"/>
          <w:color w:val="auto"/>
          <w:sz w:val="21"/>
          <w:highlight w:val="none"/>
        </w:rPr>
      </w:pPr>
    </w:p>
    <w:p w14:paraId="7F80BAA0">
      <w:pPr>
        <w:spacing w:line="250" w:lineRule="auto"/>
        <w:rPr>
          <w:rFonts w:ascii="Arial"/>
          <w:color w:val="auto"/>
          <w:sz w:val="21"/>
          <w:highlight w:val="none"/>
        </w:rPr>
      </w:pPr>
    </w:p>
    <w:p w14:paraId="345C64D9">
      <w:pPr>
        <w:spacing w:line="250" w:lineRule="auto"/>
        <w:rPr>
          <w:rFonts w:ascii="Arial"/>
          <w:color w:val="auto"/>
          <w:sz w:val="21"/>
          <w:highlight w:val="none"/>
        </w:rPr>
      </w:pPr>
    </w:p>
    <w:p w14:paraId="46D89EC4">
      <w:pPr>
        <w:spacing w:line="250" w:lineRule="auto"/>
        <w:rPr>
          <w:rFonts w:ascii="Arial"/>
          <w:color w:val="auto"/>
          <w:sz w:val="21"/>
          <w:highlight w:val="none"/>
        </w:rPr>
      </w:pPr>
    </w:p>
    <w:p w14:paraId="28F7ED0D">
      <w:pPr>
        <w:spacing w:line="250" w:lineRule="auto"/>
        <w:rPr>
          <w:rFonts w:ascii="Arial"/>
          <w:color w:val="auto"/>
          <w:sz w:val="21"/>
          <w:highlight w:val="none"/>
        </w:rPr>
      </w:pPr>
    </w:p>
    <w:p w14:paraId="32539A43">
      <w:pPr>
        <w:spacing w:before="91" w:line="219" w:lineRule="auto"/>
        <w:ind w:left="400"/>
        <w:rPr>
          <w:rFonts w:ascii="宋体" w:hAnsi="宋体" w:eastAsia="宋体" w:cs="宋体"/>
          <w:color w:val="auto"/>
          <w:sz w:val="28"/>
          <w:szCs w:val="28"/>
          <w:highlight w:val="none"/>
        </w:rPr>
      </w:pPr>
      <w:r>
        <w:rPr>
          <w:rFonts w:ascii="宋体" w:hAnsi="宋体" w:eastAsia="宋体" w:cs="宋体"/>
          <w:color w:val="auto"/>
          <w:spacing w:val="3"/>
          <w:sz w:val="28"/>
          <w:szCs w:val="28"/>
          <w:highlight w:val="none"/>
        </w:rPr>
        <w:t>投标人</w:t>
      </w:r>
      <w:r>
        <w:rPr>
          <w:rFonts w:ascii="宋体" w:hAnsi="宋体" w:eastAsia="宋体" w:cs="宋体"/>
          <w:color w:val="auto"/>
          <w:spacing w:val="-19"/>
          <w:sz w:val="28"/>
          <w:szCs w:val="28"/>
          <w:highlight w:val="none"/>
        </w:rPr>
        <w:t>：</w:t>
      </w:r>
      <w:r>
        <w:rPr>
          <w:rFonts w:ascii="宋体" w:hAnsi="宋体" w:eastAsia="宋体" w:cs="宋体"/>
          <w:color w:val="auto"/>
          <w:sz w:val="28"/>
          <w:szCs w:val="28"/>
          <w:highlight w:val="none"/>
          <w:u w:val="single" w:color="auto"/>
        </w:rPr>
        <w:t xml:space="preserve">                                  </w:t>
      </w:r>
      <w:r>
        <w:rPr>
          <w:rFonts w:ascii="宋体" w:hAnsi="宋体" w:eastAsia="宋体" w:cs="宋体"/>
          <w:color w:val="auto"/>
          <w:spacing w:val="-19"/>
          <w:sz w:val="28"/>
          <w:szCs w:val="28"/>
          <w:highlight w:val="none"/>
        </w:rPr>
        <w:t>（</w:t>
      </w:r>
      <w:r>
        <w:rPr>
          <w:rFonts w:ascii="宋体" w:hAnsi="宋体" w:eastAsia="宋体" w:cs="宋体"/>
          <w:color w:val="auto"/>
          <w:spacing w:val="3"/>
          <w:sz w:val="28"/>
          <w:szCs w:val="28"/>
          <w:highlight w:val="none"/>
        </w:rPr>
        <w:t>盖单位章）</w:t>
      </w:r>
    </w:p>
    <w:p w14:paraId="42DB7D65">
      <w:pPr>
        <w:spacing w:line="452" w:lineRule="auto"/>
        <w:rPr>
          <w:rFonts w:ascii="Arial"/>
          <w:color w:val="auto"/>
          <w:sz w:val="21"/>
          <w:highlight w:val="none"/>
        </w:rPr>
      </w:pPr>
    </w:p>
    <w:p w14:paraId="2558C20C">
      <w:pPr>
        <w:tabs>
          <w:tab w:val="left" w:pos="3117"/>
        </w:tabs>
        <w:spacing w:before="91" w:line="220" w:lineRule="auto"/>
        <w:ind w:left="1996"/>
        <w:rPr>
          <w:rFonts w:ascii="宋体" w:hAnsi="宋体" w:eastAsia="宋体" w:cs="宋体"/>
          <w:color w:val="auto"/>
          <w:sz w:val="28"/>
          <w:szCs w:val="28"/>
          <w:highlight w:val="none"/>
        </w:rPr>
      </w:pPr>
      <w:r>
        <w:rPr>
          <w:rFonts w:ascii="宋体" w:hAnsi="宋体" w:eastAsia="宋体" w:cs="宋体"/>
          <w:color w:val="auto"/>
          <w:sz w:val="28"/>
          <w:szCs w:val="28"/>
          <w:highlight w:val="none"/>
          <w:u w:val="single" w:color="auto"/>
        </w:rPr>
        <w:tab/>
      </w:r>
      <w:r>
        <w:rPr>
          <w:rFonts w:ascii="宋体" w:hAnsi="宋体" w:eastAsia="宋体" w:cs="宋体"/>
          <w:color w:val="auto"/>
          <w:spacing w:val="-127"/>
          <w:sz w:val="28"/>
          <w:szCs w:val="28"/>
          <w:highlight w:val="none"/>
        </w:rPr>
        <w:t xml:space="preserve"> </w:t>
      </w:r>
      <w:r>
        <w:rPr>
          <w:rFonts w:ascii="宋体" w:hAnsi="宋体" w:eastAsia="宋体" w:cs="宋体"/>
          <w:color w:val="auto"/>
          <w:spacing w:val="-10"/>
          <w:sz w:val="28"/>
          <w:szCs w:val="28"/>
          <w:highlight w:val="none"/>
        </w:rPr>
        <w:t>年</w:t>
      </w:r>
      <w:r>
        <w:rPr>
          <w:rFonts w:ascii="宋体" w:hAnsi="宋体" w:eastAsia="宋体" w:cs="宋体"/>
          <w:color w:val="auto"/>
          <w:spacing w:val="19"/>
          <w:sz w:val="28"/>
          <w:szCs w:val="28"/>
          <w:highlight w:val="none"/>
          <w:u w:val="single" w:color="auto"/>
        </w:rPr>
        <w:t xml:space="preserve">       </w:t>
      </w:r>
      <w:r>
        <w:rPr>
          <w:rFonts w:ascii="宋体" w:hAnsi="宋体" w:eastAsia="宋体" w:cs="宋体"/>
          <w:color w:val="auto"/>
          <w:spacing w:val="-117"/>
          <w:sz w:val="28"/>
          <w:szCs w:val="28"/>
          <w:highlight w:val="none"/>
        </w:rPr>
        <w:t xml:space="preserve"> </w:t>
      </w:r>
      <w:r>
        <w:rPr>
          <w:rFonts w:ascii="宋体" w:hAnsi="宋体" w:eastAsia="宋体" w:cs="宋体"/>
          <w:color w:val="auto"/>
          <w:spacing w:val="-10"/>
          <w:sz w:val="28"/>
          <w:szCs w:val="28"/>
          <w:highlight w:val="none"/>
        </w:rPr>
        <w:t>月</w:t>
      </w:r>
      <w:r>
        <w:rPr>
          <w:rFonts w:ascii="宋体" w:hAnsi="宋体" w:eastAsia="宋体" w:cs="宋体"/>
          <w:color w:val="auto"/>
          <w:spacing w:val="17"/>
          <w:sz w:val="28"/>
          <w:szCs w:val="28"/>
          <w:highlight w:val="none"/>
          <w:u w:val="single" w:color="auto"/>
        </w:rPr>
        <w:t xml:space="preserve">        </w:t>
      </w:r>
      <w:r>
        <w:rPr>
          <w:rFonts w:ascii="宋体" w:hAnsi="宋体" w:eastAsia="宋体" w:cs="宋体"/>
          <w:color w:val="auto"/>
          <w:spacing w:val="-77"/>
          <w:sz w:val="28"/>
          <w:szCs w:val="28"/>
          <w:highlight w:val="none"/>
        </w:rPr>
        <w:t xml:space="preserve"> </w:t>
      </w:r>
      <w:r>
        <w:rPr>
          <w:rFonts w:ascii="宋体" w:hAnsi="宋体" w:eastAsia="宋体" w:cs="宋体"/>
          <w:color w:val="auto"/>
          <w:spacing w:val="-10"/>
          <w:sz w:val="28"/>
          <w:szCs w:val="28"/>
          <w:highlight w:val="none"/>
        </w:rPr>
        <w:t>日</w:t>
      </w:r>
    </w:p>
    <w:p w14:paraId="294ED18E">
      <w:pPr>
        <w:spacing w:line="220" w:lineRule="auto"/>
        <w:rPr>
          <w:rFonts w:ascii="宋体" w:hAnsi="宋体" w:eastAsia="宋体" w:cs="宋体"/>
          <w:color w:val="auto"/>
          <w:sz w:val="28"/>
          <w:szCs w:val="28"/>
          <w:highlight w:val="none"/>
        </w:rPr>
        <w:sectPr>
          <w:footerReference r:id="rId33" w:type="default"/>
          <w:pgSz w:w="11905" w:h="16838"/>
          <w:pgMar w:top="1134" w:right="1134" w:bottom="1134" w:left="1134" w:header="0" w:footer="1066" w:gutter="0"/>
          <w:pgNumType w:fmt="decimal"/>
          <w:cols w:space="0" w:num="1"/>
          <w:rtlGutter w:val="0"/>
          <w:docGrid w:linePitch="0" w:charSpace="0"/>
        </w:sectPr>
      </w:pPr>
    </w:p>
    <w:p w14:paraId="05434090">
      <w:pPr>
        <w:rPr>
          <w:rFonts w:ascii="Arial"/>
          <w:color w:val="auto"/>
          <w:sz w:val="21"/>
          <w:highlight w:val="none"/>
        </w:rPr>
      </w:pPr>
    </w:p>
    <w:p w14:paraId="50C35C28">
      <w:pPr>
        <w:rPr>
          <w:rFonts w:ascii="Arial"/>
          <w:color w:val="auto"/>
          <w:sz w:val="21"/>
          <w:highlight w:val="none"/>
        </w:rPr>
      </w:pPr>
    </w:p>
    <w:p w14:paraId="3EABAC11">
      <w:pPr>
        <w:rPr>
          <w:rFonts w:ascii="Arial"/>
          <w:color w:val="auto"/>
          <w:sz w:val="21"/>
          <w:highlight w:val="none"/>
        </w:rPr>
      </w:pPr>
    </w:p>
    <w:p w14:paraId="61F14607">
      <w:pPr>
        <w:rPr>
          <w:rFonts w:ascii="Arial"/>
          <w:color w:val="auto"/>
          <w:sz w:val="21"/>
          <w:highlight w:val="none"/>
        </w:rPr>
      </w:pPr>
    </w:p>
    <w:p w14:paraId="731A38BD">
      <w:pPr>
        <w:spacing w:before="100" w:line="227" w:lineRule="auto"/>
        <w:ind w:left="3517"/>
        <w:rPr>
          <w:rFonts w:ascii="宋体" w:hAnsi="宋体" w:eastAsia="宋体" w:cs="宋体"/>
          <w:color w:val="auto"/>
          <w:sz w:val="31"/>
          <w:szCs w:val="31"/>
          <w:highlight w:val="none"/>
        </w:rPr>
      </w:pPr>
      <w:r>
        <w:rPr>
          <w:rFonts w:ascii="宋体" w:hAnsi="宋体" w:eastAsia="宋体" w:cs="宋体"/>
          <w:b/>
          <w:bCs/>
          <w:color w:val="auto"/>
          <w:spacing w:val="-36"/>
          <w:sz w:val="31"/>
          <w:szCs w:val="31"/>
          <w:highlight w:val="none"/>
        </w:rPr>
        <w:t>目</w:t>
      </w:r>
      <w:r>
        <w:rPr>
          <w:rFonts w:ascii="宋体" w:hAnsi="宋体" w:eastAsia="宋体" w:cs="宋体"/>
          <w:color w:val="auto"/>
          <w:spacing w:val="8"/>
          <w:sz w:val="31"/>
          <w:szCs w:val="31"/>
          <w:highlight w:val="none"/>
        </w:rPr>
        <w:t xml:space="preserve">     </w:t>
      </w:r>
      <w:r>
        <w:rPr>
          <w:rFonts w:ascii="宋体" w:hAnsi="宋体" w:eastAsia="宋体" w:cs="宋体"/>
          <w:b/>
          <w:bCs/>
          <w:color w:val="auto"/>
          <w:spacing w:val="-36"/>
          <w:sz w:val="31"/>
          <w:szCs w:val="31"/>
          <w:highlight w:val="none"/>
        </w:rPr>
        <w:t>录</w:t>
      </w:r>
    </w:p>
    <w:p w14:paraId="7F78CF22">
      <w:pPr>
        <w:spacing w:line="348" w:lineRule="auto"/>
        <w:rPr>
          <w:rFonts w:ascii="Arial"/>
          <w:color w:val="auto"/>
          <w:sz w:val="21"/>
          <w:highlight w:val="none"/>
        </w:rPr>
      </w:pPr>
    </w:p>
    <w:p w14:paraId="319141DF">
      <w:pPr>
        <w:spacing w:line="348" w:lineRule="auto"/>
        <w:rPr>
          <w:rFonts w:ascii="Arial"/>
          <w:color w:val="auto"/>
          <w:sz w:val="21"/>
          <w:highlight w:val="none"/>
        </w:rPr>
      </w:pPr>
    </w:p>
    <w:p w14:paraId="2BAFC20F">
      <w:pPr>
        <w:spacing w:before="155" w:line="219" w:lineRule="auto"/>
        <w:ind w:left="490"/>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一、投标函</w:t>
      </w:r>
    </w:p>
    <w:p w14:paraId="247F87B6">
      <w:pPr>
        <w:spacing w:before="152" w:line="219" w:lineRule="auto"/>
        <w:ind w:left="49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二、授权委托书或法定代表人身份证明</w:t>
      </w:r>
    </w:p>
    <w:p w14:paraId="70F3AFF8">
      <w:pPr>
        <w:spacing w:before="154" w:line="219" w:lineRule="auto"/>
        <w:ind w:left="4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三、联合体协议书（如有）</w:t>
      </w:r>
    </w:p>
    <w:p w14:paraId="25A464B2">
      <w:pPr>
        <w:spacing w:before="158" w:line="220" w:lineRule="auto"/>
        <w:ind w:left="514"/>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四、投标保证金</w:t>
      </w:r>
    </w:p>
    <w:p w14:paraId="6E5A27BA">
      <w:pPr>
        <w:spacing w:before="153" w:line="219" w:lineRule="auto"/>
        <w:ind w:left="49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五、资格审查资料</w:t>
      </w:r>
    </w:p>
    <w:sdt>
      <w:sdtPr>
        <w:rPr>
          <w:rFonts w:ascii="宋体" w:hAnsi="宋体" w:eastAsia="宋体" w:cs="宋体"/>
          <w:color w:val="auto"/>
          <w:sz w:val="24"/>
          <w:szCs w:val="24"/>
          <w:highlight w:val="none"/>
        </w:rPr>
        <w:id w:val="147464398"/>
        <w:docPartObj>
          <w:docPartGallery w:val="Table of Contents"/>
          <w:docPartUnique/>
        </w:docPartObj>
      </w:sdtPr>
      <w:sdtEndPr>
        <w:rPr>
          <w:rFonts w:ascii="宋体" w:hAnsi="宋体" w:eastAsia="宋体" w:cs="宋体"/>
          <w:color w:val="auto"/>
          <w:sz w:val="24"/>
          <w:szCs w:val="24"/>
          <w:highlight w:val="none"/>
        </w:rPr>
      </w:sdtEndPr>
      <w:sdtContent>
        <w:p w14:paraId="4D9B7FB9">
          <w:pPr>
            <w:spacing w:before="154" w:line="220"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六、其他资料</w:t>
          </w:r>
        </w:p>
        <w:p w14:paraId="6DD7ABFC">
          <w:pPr>
            <w:spacing w:before="155" w:line="219" w:lineRule="auto"/>
            <w:ind w:left="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七、技术建议书</w:t>
          </w:r>
        </w:p>
      </w:sdtContent>
    </w:sdt>
    <w:p w14:paraId="26A0138A">
      <w:pPr>
        <w:bidi w:val="0"/>
        <w:rPr>
          <w:color w:val="auto"/>
          <w:highlight w:val="none"/>
        </w:rPr>
      </w:pPr>
    </w:p>
    <w:p w14:paraId="6711F483">
      <w:pPr>
        <w:bidi w:val="0"/>
        <w:rPr>
          <w:color w:val="auto"/>
          <w:highlight w:val="none"/>
        </w:rPr>
      </w:pPr>
    </w:p>
    <w:p w14:paraId="4A088666">
      <w:pPr>
        <w:bidi w:val="0"/>
        <w:rPr>
          <w:color w:val="auto"/>
          <w:highlight w:val="none"/>
        </w:rPr>
      </w:pPr>
    </w:p>
    <w:p w14:paraId="0C66BDE1">
      <w:pPr>
        <w:bidi w:val="0"/>
        <w:rPr>
          <w:color w:val="auto"/>
          <w:highlight w:val="none"/>
        </w:rPr>
      </w:pPr>
    </w:p>
    <w:p w14:paraId="4B6B2EE3">
      <w:pPr>
        <w:bidi w:val="0"/>
        <w:rPr>
          <w:color w:val="auto"/>
          <w:highlight w:val="none"/>
        </w:rPr>
      </w:pPr>
    </w:p>
    <w:p w14:paraId="7A0AC244">
      <w:pPr>
        <w:bidi w:val="0"/>
        <w:rPr>
          <w:color w:val="auto"/>
          <w:highlight w:val="none"/>
        </w:rPr>
      </w:pPr>
    </w:p>
    <w:p w14:paraId="668995C7">
      <w:pPr>
        <w:bidi w:val="0"/>
        <w:rPr>
          <w:color w:val="auto"/>
          <w:highlight w:val="none"/>
        </w:rPr>
      </w:pPr>
    </w:p>
    <w:p w14:paraId="3F6F67E2">
      <w:pPr>
        <w:bidi w:val="0"/>
        <w:rPr>
          <w:color w:val="auto"/>
          <w:highlight w:val="none"/>
        </w:rPr>
      </w:pPr>
    </w:p>
    <w:p w14:paraId="1FF3269E">
      <w:pPr>
        <w:bidi w:val="0"/>
        <w:rPr>
          <w:color w:val="auto"/>
          <w:highlight w:val="none"/>
        </w:rPr>
      </w:pPr>
    </w:p>
    <w:p w14:paraId="790E3EF2">
      <w:pPr>
        <w:bidi w:val="0"/>
        <w:rPr>
          <w:color w:val="auto"/>
          <w:highlight w:val="none"/>
        </w:rPr>
      </w:pPr>
    </w:p>
    <w:p w14:paraId="7A3CE5ED">
      <w:pPr>
        <w:bidi w:val="0"/>
        <w:rPr>
          <w:color w:val="auto"/>
          <w:highlight w:val="none"/>
        </w:rPr>
      </w:pPr>
    </w:p>
    <w:p w14:paraId="7DE8E14F">
      <w:pPr>
        <w:bidi w:val="0"/>
        <w:rPr>
          <w:color w:val="auto"/>
          <w:highlight w:val="none"/>
        </w:rPr>
      </w:pPr>
    </w:p>
    <w:p w14:paraId="5F18A6ED">
      <w:pPr>
        <w:bidi w:val="0"/>
        <w:rPr>
          <w:color w:val="auto"/>
          <w:highlight w:val="none"/>
        </w:rPr>
      </w:pPr>
    </w:p>
    <w:p w14:paraId="749BB00F">
      <w:pPr>
        <w:bidi w:val="0"/>
        <w:rPr>
          <w:color w:val="auto"/>
          <w:highlight w:val="none"/>
        </w:rPr>
      </w:pPr>
    </w:p>
    <w:p w14:paraId="3EE04EA9">
      <w:pPr>
        <w:bidi w:val="0"/>
        <w:rPr>
          <w:color w:val="auto"/>
          <w:highlight w:val="none"/>
        </w:rPr>
      </w:pPr>
    </w:p>
    <w:p w14:paraId="4742E440">
      <w:pPr>
        <w:bidi w:val="0"/>
        <w:rPr>
          <w:color w:val="auto"/>
          <w:highlight w:val="none"/>
        </w:rPr>
      </w:pPr>
    </w:p>
    <w:p w14:paraId="1ADAF98B">
      <w:pPr>
        <w:bidi w:val="0"/>
        <w:rPr>
          <w:color w:val="auto"/>
          <w:highlight w:val="none"/>
        </w:rPr>
      </w:pPr>
    </w:p>
    <w:p w14:paraId="23125079">
      <w:pPr>
        <w:bidi w:val="0"/>
        <w:rPr>
          <w:color w:val="auto"/>
          <w:highlight w:val="none"/>
        </w:rPr>
      </w:pPr>
    </w:p>
    <w:p w14:paraId="49AC6D2B">
      <w:pPr>
        <w:bidi w:val="0"/>
        <w:rPr>
          <w:color w:val="auto"/>
          <w:highlight w:val="none"/>
        </w:rPr>
      </w:pPr>
    </w:p>
    <w:p w14:paraId="321A9092">
      <w:pPr>
        <w:bidi w:val="0"/>
        <w:rPr>
          <w:color w:val="auto"/>
          <w:highlight w:val="none"/>
        </w:rPr>
      </w:pPr>
    </w:p>
    <w:p w14:paraId="21A31896">
      <w:pPr>
        <w:bidi w:val="0"/>
        <w:rPr>
          <w:color w:val="auto"/>
          <w:highlight w:val="none"/>
        </w:rPr>
      </w:pPr>
    </w:p>
    <w:p w14:paraId="329EE768">
      <w:pPr>
        <w:bidi w:val="0"/>
        <w:rPr>
          <w:color w:val="auto"/>
          <w:highlight w:val="none"/>
        </w:rPr>
      </w:pPr>
    </w:p>
    <w:p w14:paraId="575975FF">
      <w:pPr>
        <w:bidi w:val="0"/>
        <w:rPr>
          <w:color w:val="auto"/>
          <w:highlight w:val="none"/>
        </w:rPr>
      </w:pPr>
    </w:p>
    <w:p w14:paraId="1C4BC371">
      <w:pPr>
        <w:bidi w:val="0"/>
        <w:rPr>
          <w:color w:val="auto"/>
          <w:highlight w:val="none"/>
        </w:rPr>
      </w:pPr>
    </w:p>
    <w:p w14:paraId="310F7CB5">
      <w:pPr>
        <w:bidi w:val="0"/>
        <w:rPr>
          <w:color w:val="auto"/>
          <w:highlight w:val="none"/>
        </w:rPr>
      </w:pPr>
    </w:p>
    <w:p w14:paraId="22EA9360">
      <w:pPr>
        <w:bidi w:val="0"/>
        <w:rPr>
          <w:color w:val="auto"/>
          <w:highlight w:val="none"/>
        </w:rPr>
      </w:pPr>
    </w:p>
    <w:p w14:paraId="3445E292">
      <w:pPr>
        <w:bidi w:val="0"/>
        <w:rPr>
          <w:color w:val="auto"/>
          <w:highlight w:val="none"/>
        </w:rPr>
      </w:pPr>
    </w:p>
    <w:p w14:paraId="230787E0">
      <w:pPr>
        <w:bidi w:val="0"/>
        <w:rPr>
          <w:color w:val="auto"/>
          <w:highlight w:val="none"/>
        </w:rPr>
      </w:pPr>
    </w:p>
    <w:p w14:paraId="27AB43D5">
      <w:pPr>
        <w:bidi w:val="0"/>
        <w:rPr>
          <w:color w:val="auto"/>
          <w:highlight w:val="none"/>
        </w:rPr>
      </w:pPr>
    </w:p>
    <w:p w14:paraId="14F4BEFF">
      <w:pPr>
        <w:bidi w:val="0"/>
        <w:rPr>
          <w:color w:val="auto"/>
          <w:highlight w:val="none"/>
        </w:rPr>
      </w:pPr>
    </w:p>
    <w:p w14:paraId="016100FE">
      <w:pPr>
        <w:bidi w:val="0"/>
        <w:rPr>
          <w:color w:val="auto"/>
          <w:highlight w:val="none"/>
        </w:rPr>
      </w:pPr>
    </w:p>
    <w:p w14:paraId="5AA89809">
      <w:pPr>
        <w:bidi w:val="0"/>
        <w:rPr>
          <w:color w:val="auto"/>
          <w:highlight w:val="none"/>
        </w:rPr>
      </w:pPr>
    </w:p>
    <w:p w14:paraId="7CC32512">
      <w:pPr>
        <w:bidi w:val="0"/>
        <w:rPr>
          <w:color w:val="auto"/>
          <w:highlight w:val="none"/>
        </w:rPr>
      </w:pPr>
    </w:p>
    <w:p w14:paraId="50B98FAB">
      <w:pPr>
        <w:bidi w:val="0"/>
        <w:rPr>
          <w:color w:val="auto"/>
          <w:highlight w:val="none"/>
        </w:rPr>
      </w:pPr>
    </w:p>
    <w:p w14:paraId="5684B820">
      <w:pPr>
        <w:bidi w:val="0"/>
        <w:rPr>
          <w:color w:val="auto"/>
          <w:highlight w:val="none"/>
        </w:rPr>
      </w:pPr>
    </w:p>
    <w:p w14:paraId="3F05448B">
      <w:pPr>
        <w:bidi w:val="0"/>
        <w:rPr>
          <w:color w:val="auto"/>
          <w:highlight w:val="none"/>
        </w:rPr>
      </w:pPr>
    </w:p>
    <w:p w14:paraId="1FD30D5C">
      <w:pPr>
        <w:bidi w:val="0"/>
        <w:rPr>
          <w:color w:val="auto"/>
          <w:highlight w:val="none"/>
        </w:rPr>
      </w:pPr>
    </w:p>
    <w:p w14:paraId="2BC693E3">
      <w:pPr>
        <w:pStyle w:val="3"/>
        <w:bidi w:val="0"/>
        <w:jc w:val="center"/>
        <w:rPr>
          <w:color w:val="auto"/>
          <w:highlight w:val="none"/>
        </w:rPr>
      </w:pPr>
      <w:r>
        <w:rPr>
          <w:color w:val="auto"/>
          <w:highlight w:val="none"/>
        </w:rPr>
        <w:t>一、投标函</w:t>
      </w:r>
    </w:p>
    <w:p w14:paraId="0850D6AC">
      <w:pPr>
        <w:spacing w:line="320" w:lineRule="auto"/>
        <w:rPr>
          <w:rFonts w:ascii="Arial"/>
          <w:color w:val="auto"/>
          <w:sz w:val="21"/>
          <w:highlight w:val="none"/>
        </w:rPr>
      </w:pPr>
    </w:p>
    <w:p w14:paraId="262F0530">
      <w:pPr>
        <w:tabs>
          <w:tab w:val="left" w:pos="2880"/>
        </w:tabs>
        <w:spacing w:before="78" w:line="2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
          <w:sz w:val="24"/>
          <w:szCs w:val="24"/>
          <w:highlight w:val="none"/>
        </w:rPr>
        <w:t>（招标人名称</w:t>
      </w:r>
      <w:r>
        <w:rPr>
          <w:rFonts w:ascii="宋体" w:hAnsi="宋体" w:eastAsia="宋体" w:cs="宋体"/>
          <w:color w:val="auto"/>
          <w:spacing w:val="2"/>
          <w:sz w:val="24"/>
          <w:szCs w:val="24"/>
          <w:highlight w:val="none"/>
        </w:rPr>
        <w:t>）：</w:t>
      </w:r>
    </w:p>
    <w:p w14:paraId="22E51E3C">
      <w:pPr>
        <w:spacing w:before="233" w:line="308" w:lineRule="auto"/>
        <w:ind w:left="12" w:right="8" w:firstLine="49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1．我方已仔细研究</w:t>
      </w:r>
      <w:r>
        <w:rPr>
          <w:rFonts w:ascii="宋体" w:hAnsi="宋体" w:eastAsia="宋体" w:cs="宋体"/>
          <w:color w:val="auto"/>
          <w:spacing w:val="1"/>
          <w:sz w:val="24"/>
          <w:szCs w:val="24"/>
          <w:highlight w:val="none"/>
          <w:u w:val="single" w:color="auto"/>
        </w:rPr>
        <w:t xml:space="preserve">                  （项目名称</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z w:val="24"/>
          <w:szCs w:val="24"/>
          <w:highlight w:val="none"/>
        </w:rPr>
        <w:t>标段施工监理招标文件</w:t>
      </w:r>
      <w:r>
        <w:rPr>
          <w:rFonts w:ascii="宋体" w:hAnsi="宋体" w:eastAsia="宋体" w:cs="宋体"/>
          <w:color w:val="auto"/>
          <w:spacing w:val="4"/>
          <w:sz w:val="24"/>
          <w:szCs w:val="24"/>
          <w:highlight w:val="none"/>
        </w:rPr>
        <w:t>的全部内容（含补遗书</w:t>
      </w:r>
      <w:r>
        <w:rPr>
          <w:rFonts w:ascii="宋体" w:hAnsi="宋体" w:eastAsia="宋体" w:cs="宋体"/>
          <w:color w:val="auto"/>
          <w:spacing w:val="19"/>
          <w:sz w:val="24"/>
          <w:szCs w:val="24"/>
          <w:highlight w:val="none"/>
        </w:rPr>
        <w:t>），</w:t>
      </w:r>
      <w:r>
        <w:rPr>
          <w:rFonts w:ascii="宋体" w:hAnsi="宋体" w:eastAsia="宋体" w:cs="宋体"/>
          <w:color w:val="auto"/>
          <w:spacing w:val="4"/>
          <w:sz w:val="24"/>
          <w:szCs w:val="24"/>
          <w:highlight w:val="none"/>
        </w:rPr>
        <w:t>在考察工程现场后，愿意以第二个信封（报价文件）中的投标总报价（或根据招标文件规定修正核实后确定的另一金额</w:t>
      </w:r>
      <w:r>
        <w:rPr>
          <w:rFonts w:ascii="宋体" w:hAnsi="宋体" w:eastAsia="宋体" w:cs="宋体"/>
          <w:color w:val="auto"/>
          <w:spacing w:val="19"/>
          <w:sz w:val="24"/>
          <w:szCs w:val="24"/>
          <w:highlight w:val="none"/>
        </w:rPr>
        <w:t>），</w:t>
      </w:r>
      <w:r>
        <w:rPr>
          <w:rFonts w:ascii="宋体" w:hAnsi="宋体" w:eastAsia="宋体" w:cs="宋体"/>
          <w:color w:val="auto"/>
          <w:spacing w:val="4"/>
          <w:sz w:val="24"/>
          <w:szCs w:val="24"/>
          <w:highlight w:val="none"/>
        </w:rPr>
        <w:t>按合同约定完成施</w:t>
      </w:r>
      <w:r>
        <w:rPr>
          <w:rFonts w:ascii="宋体" w:hAnsi="宋体" w:eastAsia="宋体" w:cs="宋体"/>
          <w:color w:val="auto"/>
          <w:spacing w:val="-3"/>
          <w:sz w:val="24"/>
          <w:szCs w:val="24"/>
          <w:highlight w:val="none"/>
        </w:rPr>
        <w:t>工监理工作。</w:t>
      </w:r>
    </w:p>
    <w:p w14:paraId="2ABCD1EA">
      <w:pPr>
        <w:spacing w:line="219" w:lineRule="auto"/>
        <w:ind w:left="49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2．我方承诺在招标文件规定的投标有效期内不撤销投标文件。</w:t>
      </w:r>
    </w:p>
    <w:p w14:paraId="3B803F60">
      <w:pPr>
        <w:spacing w:before="114" w:line="308" w:lineRule="auto"/>
        <w:ind w:left="8" w:right="8" w:firstLine="485"/>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3．总监理工程师或驻地监理工程师姓名</w:t>
      </w:r>
      <w:r>
        <w:rPr>
          <w:rFonts w:ascii="宋体" w:hAnsi="宋体" w:eastAsia="宋体" w:cs="宋体"/>
          <w:color w:val="auto"/>
          <w:spacing w:val="5"/>
          <w:sz w:val="24"/>
          <w:szCs w:val="24"/>
          <w:highlight w:val="none"/>
        </w:rPr>
        <w:t>：</w:t>
      </w:r>
      <w:r>
        <w:rPr>
          <w:rFonts w:ascii="宋体" w:hAnsi="宋体" w:eastAsia="宋体" w:cs="宋体"/>
          <w:color w:val="auto"/>
          <w:spacing w:val="10"/>
          <w:sz w:val="24"/>
          <w:szCs w:val="24"/>
          <w:highlight w:val="none"/>
          <w:u w:val="single" w:color="auto"/>
        </w:rPr>
        <w:t xml:space="preserve">          </w:t>
      </w:r>
      <w:r>
        <w:rPr>
          <w:rFonts w:ascii="宋体" w:hAnsi="宋体" w:eastAsia="宋体" w:cs="宋体"/>
          <w:color w:val="auto"/>
          <w:spacing w:val="-91"/>
          <w:sz w:val="24"/>
          <w:szCs w:val="24"/>
          <w:highlight w:val="none"/>
        </w:rPr>
        <w:t xml:space="preserve"> </w:t>
      </w:r>
      <w:r>
        <w:rPr>
          <w:rFonts w:ascii="宋体" w:hAnsi="宋体" w:eastAsia="宋体" w:cs="宋体"/>
          <w:color w:val="auto"/>
          <w:spacing w:val="5"/>
          <w:sz w:val="24"/>
          <w:szCs w:val="24"/>
          <w:highlight w:val="none"/>
        </w:rPr>
        <w:t>，</w:t>
      </w:r>
      <w:r>
        <w:rPr>
          <w:rFonts w:ascii="宋体" w:hAnsi="宋体" w:eastAsia="宋体" w:cs="宋体"/>
          <w:color w:val="auto"/>
          <w:spacing w:val="7"/>
          <w:sz w:val="24"/>
          <w:szCs w:val="24"/>
          <w:highlight w:val="none"/>
        </w:rPr>
        <w:t>年龄</w:t>
      </w:r>
      <w:r>
        <w:rPr>
          <w:rFonts w:ascii="宋体" w:hAnsi="宋体" w:eastAsia="宋体" w:cs="宋体"/>
          <w:color w:val="auto"/>
          <w:spacing w:val="5"/>
          <w:sz w:val="24"/>
          <w:szCs w:val="24"/>
          <w:highlight w:val="none"/>
        </w:rPr>
        <w:t>：</w:t>
      </w:r>
      <w:r>
        <w:rPr>
          <w:rFonts w:ascii="宋体" w:hAnsi="宋体" w:eastAsia="宋体" w:cs="宋体"/>
          <w:color w:val="auto"/>
          <w:spacing w:val="10"/>
          <w:sz w:val="24"/>
          <w:szCs w:val="24"/>
          <w:highlight w:val="none"/>
          <w:u w:val="single" w:color="auto"/>
        </w:rPr>
        <w:t xml:space="preserve">         </w:t>
      </w:r>
      <w:r>
        <w:rPr>
          <w:rFonts w:ascii="宋体" w:hAnsi="宋体" w:eastAsia="宋体" w:cs="宋体"/>
          <w:color w:val="auto"/>
          <w:spacing w:val="-90"/>
          <w:sz w:val="24"/>
          <w:szCs w:val="24"/>
          <w:highlight w:val="none"/>
        </w:rPr>
        <w:t xml:space="preserve"> </w:t>
      </w:r>
      <w:r>
        <w:rPr>
          <w:rFonts w:ascii="宋体" w:hAnsi="宋体" w:eastAsia="宋体" w:cs="宋体"/>
          <w:color w:val="auto"/>
          <w:spacing w:val="5"/>
          <w:sz w:val="24"/>
          <w:szCs w:val="24"/>
          <w:highlight w:val="none"/>
        </w:rPr>
        <w:t>，</w:t>
      </w:r>
      <w:r>
        <w:rPr>
          <w:rFonts w:ascii="宋体" w:hAnsi="宋体" w:eastAsia="宋体" w:cs="宋体"/>
          <w:color w:val="auto"/>
          <w:spacing w:val="7"/>
          <w:sz w:val="24"/>
          <w:szCs w:val="24"/>
          <w:highlight w:val="none"/>
        </w:rPr>
        <w:t>职</w:t>
      </w:r>
      <w:r>
        <w:rPr>
          <w:rFonts w:ascii="宋体" w:hAnsi="宋体" w:eastAsia="宋体" w:cs="宋体"/>
          <w:color w:val="auto"/>
          <w:spacing w:val="1"/>
          <w:sz w:val="24"/>
          <w:szCs w:val="24"/>
          <w:highlight w:val="none"/>
        </w:rPr>
        <w:t>称</w:t>
      </w:r>
      <w:r>
        <w:rPr>
          <w:rFonts w:ascii="宋体" w:hAnsi="宋体" w:eastAsia="宋体" w:cs="宋体"/>
          <w:color w:val="auto"/>
          <w:spacing w:val="-25"/>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90"/>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
          <w:sz w:val="24"/>
          <w:szCs w:val="24"/>
          <w:highlight w:val="none"/>
        </w:rPr>
        <w:t>监理工程师证书：</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
          <w:sz w:val="24"/>
          <w:szCs w:val="24"/>
          <w:highlight w:val="none"/>
        </w:rPr>
        <w:t>。</w:t>
      </w:r>
    </w:p>
    <w:p w14:paraId="310F23C0">
      <w:pPr>
        <w:spacing w:line="219" w:lineRule="auto"/>
        <w:ind w:firstLine="468" w:firstLineChars="200"/>
        <w:jc w:val="both"/>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 质量要求</w:t>
      </w:r>
      <w:r>
        <w:rPr>
          <w:rFonts w:ascii="宋体" w:hAnsi="宋体" w:eastAsia="宋体" w:cs="宋体"/>
          <w:color w:val="auto"/>
          <w:spacing w:val="-8"/>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89"/>
          <w:sz w:val="24"/>
          <w:szCs w:val="24"/>
          <w:highlight w:val="none"/>
        </w:rPr>
        <w:t xml:space="preserve"> </w:t>
      </w:r>
      <w:r>
        <w:rPr>
          <w:rFonts w:ascii="宋体" w:hAnsi="宋体" w:eastAsia="宋体" w:cs="宋体"/>
          <w:color w:val="auto"/>
          <w:spacing w:val="-8"/>
          <w:sz w:val="24"/>
          <w:szCs w:val="24"/>
          <w:highlight w:val="none"/>
        </w:rPr>
        <w:t>，</w:t>
      </w:r>
      <w:r>
        <w:rPr>
          <w:rFonts w:ascii="宋体" w:hAnsi="宋体" w:eastAsia="宋体" w:cs="宋体"/>
          <w:color w:val="auto"/>
          <w:spacing w:val="-3"/>
          <w:sz w:val="24"/>
          <w:szCs w:val="24"/>
          <w:highlight w:val="none"/>
        </w:rPr>
        <w:t>安全目标</w:t>
      </w:r>
      <w:r>
        <w:rPr>
          <w:rFonts w:ascii="宋体" w:hAnsi="宋体" w:eastAsia="宋体" w:cs="宋体"/>
          <w:color w:val="auto"/>
          <w:spacing w:val="-8"/>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91"/>
          <w:sz w:val="24"/>
          <w:szCs w:val="24"/>
          <w:highlight w:val="none"/>
        </w:rPr>
        <w:t xml:space="preserve"> </w:t>
      </w:r>
      <w:r>
        <w:rPr>
          <w:rFonts w:ascii="宋体" w:hAnsi="宋体" w:eastAsia="宋体" w:cs="宋体"/>
          <w:color w:val="auto"/>
          <w:spacing w:val="-8"/>
          <w:sz w:val="24"/>
          <w:szCs w:val="24"/>
          <w:highlight w:val="none"/>
        </w:rPr>
        <w:t>，</w:t>
      </w:r>
      <w:r>
        <w:rPr>
          <w:rFonts w:ascii="宋体" w:hAnsi="宋体" w:eastAsia="宋体" w:cs="宋体"/>
          <w:color w:val="auto"/>
          <w:spacing w:val="-3"/>
          <w:sz w:val="24"/>
          <w:szCs w:val="24"/>
          <w:highlight w:val="none"/>
        </w:rPr>
        <w:t>监理服务期限：</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3"/>
          <w:sz w:val="24"/>
          <w:szCs w:val="24"/>
          <w:highlight w:val="none"/>
        </w:rPr>
        <w:t>。</w:t>
      </w:r>
    </w:p>
    <w:p w14:paraId="5293FA60">
      <w:pPr>
        <w:spacing w:before="114" w:line="219" w:lineRule="auto"/>
        <w:ind w:left="49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 如我方中标，我方承诺：</w:t>
      </w:r>
    </w:p>
    <w:p w14:paraId="41B747D9">
      <w:pPr>
        <w:spacing w:before="115" w:line="219" w:lineRule="auto"/>
        <w:ind w:left="50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（1）在收到中标通知书后，在规定的期限内与你方签订合同；</w:t>
      </w:r>
    </w:p>
    <w:p w14:paraId="00C1175E">
      <w:pPr>
        <w:spacing w:before="116" w:line="219" w:lineRule="auto"/>
        <w:ind w:left="50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（2）在签订合同时不向你方提出附加条件；</w:t>
      </w:r>
    </w:p>
    <w:p w14:paraId="7F195076">
      <w:pPr>
        <w:spacing w:before="114" w:line="219" w:lineRule="auto"/>
        <w:ind w:left="50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（3）按照招标文件要求提交履约保证金；</w:t>
      </w:r>
    </w:p>
    <w:p w14:paraId="2CA4AF44">
      <w:pPr>
        <w:spacing w:before="117" w:line="219" w:lineRule="auto"/>
        <w:ind w:left="50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（4）在合同约定的期限内完成合同规定的全部义务；</w:t>
      </w:r>
    </w:p>
    <w:p w14:paraId="49C3AF8C">
      <w:pPr>
        <w:spacing w:before="117" w:line="290" w:lineRule="auto"/>
        <w:ind w:left="11" w:right="8" w:firstLine="489"/>
        <w:rPr>
          <w:rFonts w:ascii="宋体" w:hAnsi="宋体" w:eastAsia="宋体" w:cs="宋体"/>
          <w:color w:val="auto"/>
          <w:sz w:val="12"/>
          <w:szCs w:val="12"/>
          <w:highlight w:val="none"/>
        </w:rPr>
      </w:pPr>
      <w:r>
        <w:rPr>
          <w:rFonts w:ascii="宋体" w:hAnsi="宋体" w:eastAsia="宋体" w:cs="宋体"/>
          <w:color w:val="auto"/>
          <w:spacing w:val="1"/>
          <w:sz w:val="24"/>
          <w:szCs w:val="24"/>
          <w:highlight w:val="none"/>
        </w:rPr>
        <w:t>（5）在你方和我方进行合同谈判之前，我方将按照合同附件提出的最低要求填报</w:t>
      </w:r>
      <w:r>
        <w:rPr>
          <w:rFonts w:ascii="宋体" w:hAnsi="宋体" w:eastAsia="宋体" w:cs="宋体"/>
          <w:color w:val="auto"/>
          <w:spacing w:val="5"/>
          <w:sz w:val="24"/>
          <w:szCs w:val="24"/>
          <w:highlight w:val="none"/>
        </w:rPr>
        <w:t>派驻本标段的其他主要监理人员及主要试验检测设备，经你方审批后作</w:t>
      </w:r>
      <w:r>
        <w:rPr>
          <w:rFonts w:ascii="宋体" w:hAnsi="宋体" w:eastAsia="宋体" w:cs="宋体"/>
          <w:color w:val="auto"/>
          <w:spacing w:val="4"/>
          <w:sz w:val="24"/>
          <w:szCs w:val="24"/>
          <w:highlight w:val="none"/>
        </w:rPr>
        <w:t>为派驻本标段</w:t>
      </w:r>
      <w:r>
        <w:rPr>
          <w:rFonts w:ascii="宋体" w:hAnsi="宋体" w:eastAsia="宋体" w:cs="宋体"/>
          <w:color w:val="auto"/>
          <w:spacing w:val="5"/>
          <w:sz w:val="24"/>
          <w:szCs w:val="24"/>
          <w:highlight w:val="none"/>
        </w:rPr>
        <w:t>的主要监理人员和主要试验检测设备且不进行更换。如我方拟派驻的人</w:t>
      </w:r>
      <w:r>
        <w:rPr>
          <w:rFonts w:ascii="宋体" w:hAnsi="宋体" w:eastAsia="宋体" w:cs="宋体"/>
          <w:color w:val="auto"/>
          <w:spacing w:val="4"/>
          <w:sz w:val="24"/>
          <w:szCs w:val="24"/>
          <w:highlight w:val="none"/>
        </w:rPr>
        <w:t>员和设备不满</w:t>
      </w:r>
      <w:r>
        <w:rPr>
          <w:rFonts w:ascii="宋体" w:hAnsi="宋体" w:eastAsia="宋体" w:cs="宋体"/>
          <w:color w:val="auto"/>
          <w:spacing w:val="-1"/>
          <w:sz w:val="24"/>
          <w:szCs w:val="24"/>
          <w:highlight w:val="none"/>
        </w:rPr>
        <w:t>足合同附件要求，你方有权取消我方中标资格。</w:t>
      </w:r>
    </w:p>
    <w:p w14:paraId="5D117FA0">
      <w:pPr>
        <w:spacing w:before="3" w:line="358" w:lineRule="auto"/>
        <w:ind w:left="13" w:right="8" w:firstLine="4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（6）我方在此承诺：拟投入本项目的总监理工程师（包括备选人，如有）无在岗</w:t>
      </w:r>
      <w:r>
        <w:rPr>
          <w:rFonts w:ascii="宋体" w:hAnsi="宋体" w:eastAsia="宋体" w:cs="宋体"/>
          <w:color w:val="auto"/>
          <w:spacing w:val="5"/>
          <w:sz w:val="24"/>
          <w:szCs w:val="24"/>
          <w:highlight w:val="none"/>
        </w:rPr>
        <w:t>项目（指目前未在其他项目上任职，或虽在其他项目上任职但本项</w:t>
      </w:r>
      <w:r>
        <w:rPr>
          <w:rFonts w:ascii="宋体" w:hAnsi="宋体" w:eastAsia="宋体" w:cs="宋体"/>
          <w:color w:val="auto"/>
          <w:spacing w:val="4"/>
          <w:sz w:val="24"/>
          <w:szCs w:val="24"/>
          <w:highlight w:val="none"/>
        </w:rPr>
        <w:t>目中标后能够从该</w:t>
      </w:r>
      <w:r>
        <w:rPr>
          <w:rFonts w:ascii="宋体" w:hAnsi="宋体" w:eastAsia="宋体" w:cs="宋体"/>
          <w:color w:val="auto"/>
          <w:spacing w:val="-1"/>
          <w:sz w:val="24"/>
          <w:szCs w:val="24"/>
          <w:highlight w:val="none"/>
        </w:rPr>
        <w:t>项目撤离）,否则自愿按照招标人的有关规定接受处罚。</w:t>
      </w:r>
    </w:p>
    <w:p w14:paraId="557FA660">
      <w:pPr>
        <w:spacing w:line="360" w:lineRule="auto"/>
        <w:ind w:left="8" w:right="8"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6．我方在此声明，所递交的投标文件及有关资料内</w:t>
      </w:r>
      <w:r>
        <w:rPr>
          <w:rFonts w:ascii="宋体" w:hAnsi="宋体" w:eastAsia="宋体" w:cs="宋体"/>
          <w:color w:val="auto"/>
          <w:spacing w:val="1"/>
          <w:sz w:val="24"/>
          <w:szCs w:val="24"/>
          <w:highlight w:val="none"/>
        </w:rPr>
        <w:t>容完整、真实和准确，且不存</w:t>
      </w:r>
      <w:r>
        <w:rPr>
          <w:rFonts w:ascii="宋体" w:hAnsi="宋体" w:eastAsia="宋体" w:cs="宋体"/>
          <w:color w:val="auto"/>
          <w:spacing w:val="-3"/>
          <w:sz w:val="24"/>
          <w:szCs w:val="24"/>
          <w:highlight w:val="none"/>
        </w:rPr>
        <w:t>在招标文件第二章“投标人须知</w:t>
      </w:r>
      <w:r>
        <w:rPr>
          <w:rFonts w:ascii="宋体" w:hAnsi="宋体" w:eastAsia="宋体" w:cs="宋体"/>
          <w:color w:val="auto"/>
          <w:spacing w:val="-89"/>
          <w:sz w:val="24"/>
          <w:szCs w:val="24"/>
          <w:highlight w:val="none"/>
        </w:rPr>
        <w:t xml:space="preserve"> </w:t>
      </w:r>
      <w:r>
        <w:rPr>
          <w:rFonts w:ascii="宋体" w:hAnsi="宋体" w:eastAsia="宋体" w:cs="宋体"/>
          <w:color w:val="auto"/>
          <w:spacing w:val="-3"/>
          <w:sz w:val="24"/>
          <w:szCs w:val="24"/>
          <w:highlight w:val="none"/>
        </w:rPr>
        <w:t>”第</w:t>
      </w:r>
      <w:r>
        <w:rPr>
          <w:rFonts w:ascii="宋体" w:hAnsi="宋体" w:eastAsia="宋体" w:cs="宋体"/>
          <w:color w:val="auto"/>
          <w:spacing w:val="-32"/>
          <w:sz w:val="24"/>
          <w:szCs w:val="24"/>
          <w:highlight w:val="none"/>
        </w:rPr>
        <w:t xml:space="preserve"> </w:t>
      </w:r>
      <w:r>
        <w:rPr>
          <w:rFonts w:ascii="宋体" w:hAnsi="宋体" w:eastAsia="宋体" w:cs="宋体"/>
          <w:color w:val="auto"/>
          <w:spacing w:val="-3"/>
          <w:sz w:val="24"/>
          <w:szCs w:val="24"/>
          <w:highlight w:val="none"/>
        </w:rPr>
        <w:t>1.4.3</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项和第</w:t>
      </w:r>
      <w:r>
        <w:rPr>
          <w:rFonts w:ascii="宋体" w:hAnsi="宋体" w:eastAsia="宋体" w:cs="宋体"/>
          <w:color w:val="auto"/>
          <w:spacing w:val="-33"/>
          <w:sz w:val="24"/>
          <w:szCs w:val="24"/>
          <w:highlight w:val="none"/>
        </w:rPr>
        <w:t xml:space="preserve"> </w:t>
      </w:r>
      <w:r>
        <w:rPr>
          <w:rFonts w:ascii="宋体" w:hAnsi="宋体" w:eastAsia="宋体" w:cs="宋体"/>
          <w:color w:val="auto"/>
          <w:spacing w:val="-3"/>
          <w:sz w:val="24"/>
          <w:szCs w:val="24"/>
          <w:highlight w:val="none"/>
        </w:rPr>
        <w:t>1.4.4</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项规定的任何一种情</w:t>
      </w:r>
      <w:r>
        <w:rPr>
          <w:rFonts w:ascii="宋体" w:hAnsi="宋体" w:eastAsia="宋体" w:cs="宋体"/>
          <w:color w:val="auto"/>
          <w:spacing w:val="-4"/>
          <w:sz w:val="24"/>
          <w:szCs w:val="24"/>
          <w:highlight w:val="none"/>
        </w:rPr>
        <w:t>形。</w:t>
      </w:r>
    </w:p>
    <w:p w14:paraId="1C3528EB">
      <w:pPr>
        <w:spacing w:line="219" w:lineRule="auto"/>
        <w:ind w:left="49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7.我方在此承诺：权利义务满足招标文件规定。</w:t>
      </w:r>
    </w:p>
    <w:p w14:paraId="045F9FCA">
      <w:pPr>
        <w:spacing w:before="181" w:line="362" w:lineRule="auto"/>
        <w:ind w:left="9" w:right="8" w:firstLine="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8．在合同协议书正式签署生效之前，本投标函连同你</w:t>
      </w:r>
      <w:r>
        <w:rPr>
          <w:rFonts w:ascii="宋体" w:hAnsi="宋体" w:eastAsia="宋体" w:cs="宋体"/>
          <w:color w:val="auto"/>
          <w:spacing w:val="1"/>
          <w:sz w:val="24"/>
          <w:szCs w:val="24"/>
          <w:highlight w:val="none"/>
        </w:rPr>
        <w:t>方的中标通知书将构成我们</w:t>
      </w:r>
      <w:r>
        <w:rPr>
          <w:rFonts w:ascii="宋体" w:hAnsi="宋体" w:eastAsia="宋体" w:cs="宋体"/>
          <w:color w:val="auto"/>
          <w:spacing w:val="-1"/>
          <w:sz w:val="24"/>
          <w:szCs w:val="24"/>
          <w:highlight w:val="none"/>
        </w:rPr>
        <w:t>双方之间共同遵守的文件，对双方具有约束力。</w:t>
      </w:r>
    </w:p>
    <w:p w14:paraId="4DF38BE7">
      <w:pPr>
        <w:spacing w:before="81" w:line="219" w:lineRule="auto"/>
        <w:ind w:left="4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9</w:t>
      </w:r>
      <w:r>
        <w:rPr>
          <w:rFonts w:ascii="宋体" w:hAnsi="宋体" w:eastAsia="宋体" w:cs="宋体"/>
          <w:color w:val="auto"/>
          <w:spacing w:val="-15"/>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5"/>
          <w:sz w:val="24"/>
          <w:szCs w:val="24"/>
          <w:highlight w:val="none"/>
        </w:rPr>
        <w:t>（</w:t>
      </w:r>
      <w:r>
        <w:rPr>
          <w:rFonts w:ascii="宋体" w:hAnsi="宋体" w:eastAsia="宋体" w:cs="宋体"/>
          <w:color w:val="auto"/>
          <w:spacing w:val="2"/>
          <w:sz w:val="24"/>
          <w:szCs w:val="24"/>
          <w:highlight w:val="none"/>
        </w:rPr>
        <w:t>其他补充说明）。</w:t>
      </w:r>
    </w:p>
    <w:p w14:paraId="2B1FA25C">
      <w:pPr>
        <w:spacing w:line="311" w:lineRule="auto"/>
        <w:rPr>
          <w:rFonts w:ascii="Arial"/>
          <w:color w:val="auto"/>
          <w:sz w:val="21"/>
          <w:highlight w:val="none"/>
        </w:rPr>
      </w:pPr>
    </w:p>
    <w:p w14:paraId="3702E1F8">
      <w:pPr>
        <w:spacing w:before="79" w:line="342" w:lineRule="auto"/>
        <w:ind w:firstLine="3472" w:firstLineChars="1400"/>
        <w:rPr>
          <w:rFonts w:ascii="Arial"/>
          <w:color w:val="auto"/>
          <w:sz w:val="21"/>
          <w:highlight w:val="none"/>
        </w:rPr>
      </w:pPr>
      <w:r>
        <w:rPr>
          <w:rFonts w:ascii="宋体" w:hAnsi="宋体" w:eastAsia="宋体" w:cs="宋体"/>
          <w:color w:val="auto"/>
          <w:spacing w:val="4"/>
          <w:sz w:val="24"/>
          <w:szCs w:val="24"/>
          <w:highlight w:val="none"/>
        </w:rPr>
        <w:t>投 标 人</w:t>
      </w:r>
      <w:r>
        <w:rPr>
          <w:rFonts w:ascii="宋体" w:hAnsi="宋体" w:eastAsia="宋体" w:cs="宋体"/>
          <w:color w:val="auto"/>
          <w:spacing w:val="-29"/>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29"/>
          <w:sz w:val="24"/>
          <w:szCs w:val="24"/>
          <w:highlight w:val="none"/>
        </w:rPr>
        <w:t>（</w:t>
      </w:r>
      <w:r>
        <w:rPr>
          <w:rFonts w:ascii="宋体" w:hAnsi="宋体" w:eastAsia="宋体" w:cs="宋体"/>
          <w:color w:val="auto"/>
          <w:spacing w:val="4"/>
          <w:sz w:val="24"/>
          <w:szCs w:val="24"/>
          <w:highlight w:val="none"/>
        </w:rPr>
        <w:t>盖单位章）</w:t>
      </w:r>
    </w:p>
    <w:p w14:paraId="18D09CD0">
      <w:pPr>
        <w:spacing w:before="78" w:line="219"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法定代表人或其委托代理人</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rPr>
        <w:t>签字）</w:t>
      </w:r>
    </w:p>
    <w:p w14:paraId="25136CEF">
      <w:pPr>
        <w:spacing w:before="115" w:line="229" w:lineRule="auto"/>
        <w:ind w:firstLine="3480" w:firstLineChars="150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地址：</w:t>
      </w:r>
      <w:r>
        <w:rPr>
          <w:rFonts w:ascii="宋体" w:hAnsi="宋体" w:eastAsia="宋体" w:cs="宋体"/>
          <w:color w:val="auto"/>
          <w:sz w:val="24"/>
          <w:szCs w:val="24"/>
          <w:highlight w:val="none"/>
          <w:u w:val="single" w:color="auto"/>
        </w:rPr>
        <w:t xml:space="preserve">                                     </w:t>
      </w:r>
    </w:p>
    <w:p w14:paraId="729703FD">
      <w:pPr>
        <w:spacing w:before="101" w:line="224" w:lineRule="auto"/>
        <w:ind w:left="3078" w:firstLine="440" w:firstLineChars="200"/>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网址：</w:t>
      </w:r>
      <w:r>
        <w:rPr>
          <w:rFonts w:ascii="宋体" w:hAnsi="宋体" w:eastAsia="宋体" w:cs="宋体"/>
          <w:color w:val="auto"/>
          <w:sz w:val="24"/>
          <w:szCs w:val="24"/>
          <w:highlight w:val="none"/>
          <w:u w:val="single" w:color="auto"/>
        </w:rPr>
        <w:t xml:space="preserve">                                     </w:t>
      </w:r>
    </w:p>
    <w:p w14:paraId="43594FD3">
      <w:pPr>
        <w:spacing w:before="109" w:line="221" w:lineRule="auto"/>
        <w:ind w:left="3087" w:firstLine="214" w:firstLineChars="100"/>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电话：</w:t>
      </w:r>
      <w:r>
        <w:rPr>
          <w:rFonts w:ascii="宋体" w:hAnsi="宋体" w:eastAsia="宋体" w:cs="宋体"/>
          <w:color w:val="auto"/>
          <w:sz w:val="24"/>
          <w:szCs w:val="24"/>
          <w:highlight w:val="none"/>
          <w:u w:val="single" w:color="auto"/>
        </w:rPr>
        <w:t xml:space="preserve">                                     </w:t>
      </w:r>
    </w:p>
    <w:p w14:paraId="6EC72610">
      <w:pPr>
        <w:spacing w:before="112" w:line="219" w:lineRule="auto"/>
        <w:ind w:left="3057" w:firstLine="234" w:firstLineChars="10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传真：</w:t>
      </w:r>
      <w:r>
        <w:rPr>
          <w:rFonts w:ascii="宋体" w:hAnsi="宋体" w:eastAsia="宋体" w:cs="宋体"/>
          <w:color w:val="auto"/>
          <w:sz w:val="24"/>
          <w:szCs w:val="24"/>
          <w:highlight w:val="none"/>
          <w:u w:val="single" w:color="auto"/>
        </w:rPr>
        <w:t xml:space="preserve">                                     </w:t>
      </w:r>
    </w:p>
    <w:p w14:paraId="10051633">
      <w:pPr>
        <w:spacing w:before="115" w:line="219" w:lineRule="auto"/>
        <w:ind w:left="3077" w:firstLine="232" w:firstLineChars="10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邮政编码：</w:t>
      </w:r>
      <w:r>
        <w:rPr>
          <w:rFonts w:ascii="宋体" w:hAnsi="宋体" w:eastAsia="宋体" w:cs="宋体"/>
          <w:color w:val="auto"/>
          <w:spacing w:val="-4"/>
          <w:sz w:val="24"/>
          <w:szCs w:val="24"/>
          <w:highlight w:val="none"/>
          <w:u w:val="single" w:color="auto"/>
        </w:rPr>
        <w:t xml:space="preserve">                                   </w:t>
      </w:r>
    </w:p>
    <w:p w14:paraId="6A9F6B89">
      <w:pPr>
        <w:spacing w:before="115" w:line="219" w:lineRule="auto"/>
        <w:ind w:left="3077" w:firstLine="1392" w:firstLineChars="600"/>
        <w:rPr>
          <w:rFonts w:ascii="宋体" w:hAnsi="宋体" w:eastAsia="宋体" w:cs="宋体"/>
          <w:color w:val="auto"/>
          <w:spacing w:val="-4"/>
          <w:sz w:val="24"/>
          <w:szCs w:val="24"/>
          <w:highlight w:val="none"/>
        </w:rPr>
      </w:pPr>
      <w:r>
        <w:rPr>
          <w:rFonts w:ascii="宋体" w:hAnsi="宋体" w:eastAsia="宋体" w:cs="宋体"/>
          <w:color w:val="auto"/>
          <w:spacing w:val="-4"/>
          <w:sz w:val="24"/>
          <w:szCs w:val="24"/>
          <w:highlight w:val="none"/>
          <w:u w:val="single"/>
        </w:rPr>
        <w:tab/>
      </w:r>
      <w:r>
        <w:rPr>
          <w:rFonts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u w:val="single"/>
          <w:lang w:val="en-US" w:eastAsia="zh-CN"/>
        </w:rPr>
        <w:t xml:space="preserve">       </w:t>
      </w:r>
      <w:r>
        <w:rPr>
          <w:rFonts w:hint="eastAsia" w:ascii="宋体" w:hAnsi="宋体" w:eastAsia="宋体" w:cs="宋体"/>
          <w:color w:val="auto"/>
          <w:spacing w:val="-4"/>
          <w:sz w:val="24"/>
          <w:szCs w:val="24"/>
          <w:highlight w:val="none"/>
          <w:lang w:val="en-US" w:eastAsia="zh-CN"/>
        </w:rPr>
        <w:t xml:space="preserve"> </w:t>
      </w:r>
      <w:r>
        <w:rPr>
          <w:rFonts w:ascii="宋体" w:hAnsi="宋体" w:eastAsia="宋体" w:cs="宋体"/>
          <w:color w:val="auto"/>
          <w:spacing w:val="-4"/>
          <w:sz w:val="24"/>
          <w:szCs w:val="24"/>
          <w:highlight w:val="none"/>
        </w:rPr>
        <w:t>年</w:t>
      </w:r>
      <w:r>
        <w:rPr>
          <w:rFonts w:ascii="宋体" w:hAnsi="宋体" w:eastAsia="宋体" w:cs="宋体"/>
          <w:color w:val="auto"/>
          <w:spacing w:val="-4"/>
          <w:sz w:val="24"/>
          <w:szCs w:val="24"/>
          <w:highlight w:val="none"/>
          <w:u w:val="single"/>
        </w:rPr>
        <w:t xml:space="preserve">        </w:t>
      </w:r>
      <w:r>
        <w:rPr>
          <w:rFonts w:ascii="宋体" w:hAnsi="宋体" w:eastAsia="宋体" w:cs="宋体"/>
          <w:color w:val="auto"/>
          <w:spacing w:val="-4"/>
          <w:sz w:val="24"/>
          <w:szCs w:val="24"/>
          <w:highlight w:val="none"/>
        </w:rPr>
        <w:t>月</w:t>
      </w:r>
      <w:r>
        <w:rPr>
          <w:rFonts w:ascii="宋体" w:hAnsi="宋体" w:eastAsia="宋体" w:cs="宋体"/>
          <w:color w:val="auto"/>
          <w:spacing w:val="-4"/>
          <w:sz w:val="24"/>
          <w:szCs w:val="24"/>
          <w:highlight w:val="none"/>
          <w:u w:val="single"/>
        </w:rPr>
        <w:t xml:space="preserve">        </w:t>
      </w:r>
      <w:r>
        <w:rPr>
          <w:rFonts w:ascii="宋体" w:hAnsi="宋体" w:eastAsia="宋体" w:cs="宋体"/>
          <w:color w:val="auto"/>
          <w:spacing w:val="-4"/>
          <w:sz w:val="24"/>
          <w:szCs w:val="24"/>
          <w:highlight w:val="none"/>
        </w:rPr>
        <w:t>日</w:t>
      </w:r>
    </w:p>
    <w:p w14:paraId="1C3A650E">
      <w:pPr>
        <w:spacing w:before="115" w:line="219" w:lineRule="auto"/>
        <w:ind w:left="3077" w:firstLine="232" w:firstLineChars="100"/>
        <w:rPr>
          <w:rFonts w:ascii="宋体" w:hAnsi="宋体" w:eastAsia="宋体" w:cs="宋体"/>
          <w:color w:val="auto"/>
          <w:spacing w:val="-4"/>
          <w:sz w:val="24"/>
          <w:szCs w:val="24"/>
          <w:highlight w:val="none"/>
        </w:rPr>
        <w:sectPr>
          <w:footerReference r:id="rId34" w:type="default"/>
          <w:pgSz w:w="11905" w:h="16838"/>
          <w:pgMar w:top="1134" w:right="1134" w:bottom="1134" w:left="1134" w:header="0" w:footer="1066" w:gutter="0"/>
          <w:pgNumType w:fmt="decimal"/>
          <w:cols w:space="0" w:num="1"/>
          <w:rtlGutter w:val="0"/>
          <w:docGrid w:linePitch="0" w:charSpace="0"/>
        </w:sectPr>
      </w:pPr>
    </w:p>
    <w:p w14:paraId="7821FB6D">
      <w:pPr>
        <w:spacing w:line="278" w:lineRule="auto"/>
        <w:rPr>
          <w:rFonts w:ascii="Arial"/>
          <w:color w:val="auto"/>
          <w:sz w:val="21"/>
          <w:highlight w:val="none"/>
        </w:rPr>
      </w:pPr>
    </w:p>
    <w:p w14:paraId="7A26132A">
      <w:pPr>
        <w:pStyle w:val="3"/>
        <w:bidi w:val="0"/>
        <w:jc w:val="center"/>
        <w:rPr>
          <w:color w:val="auto"/>
          <w:highlight w:val="none"/>
        </w:rPr>
      </w:pPr>
      <w:r>
        <w:rPr>
          <w:color w:val="auto"/>
          <w:highlight w:val="none"/>
        </w:rPr>
        <w:t>二、授权委托书或法定代表人身份证明</w:t>
      </w:r>
    </w:p>
    <w:p w14:paraId="72E44D0D">
      <w:pPr>
        <w:spacing w:line="267" w:lineRule="auto"/>
        <w:rPr>
          <w:rFonts w:ascii="Arial"/>
          <w:color w:val="auto"/>
          <w:sz w:val="21"/>
          <w:highlight w:val="none"/>
        </w:rPr>
      </w:pPr>
    </w:p>
    <w:p w14:paraId="738FABA6">
      <w:pPr>
        <w:spacing w:line="267" w:lineRule="auto"/>
        <w:rPr>
          <w:rFonts w:ascii="Arial"/>
          <w:color w:val="auto"/>
          <w:sz w:val="21"/>
          <w:highlight w:val="none"/>
        </w:rPr>
      </w:pPr>
    </w:p>
    <w:p w14:paraId="35A9E116">
      <w:pPr>
        <w:spacing w:line="267" w:lineRule="auto"/>
        <w:rPr>
          <w:rFonts w:ascii="Arial"/>
          <w:color w:val="auto"/>
          <w:sz w:val="21"/>
          <w:highlight w:val="none"/>
        </w:rPr>
      </w:pPr>
    </w:p>
    <w:p w14:paraId="20A3655B">
      <w:pPr>
        <w:pStyle w:val="4"/>
        <w:bidi w:val="0"/>
        <w:jc w:val="center"/>
        <w:rPr>
          <w:color w:val="auto"/>
          <w:sz w:val="28"/>
          <w:szCs w:val="36"/>
          <w:highlight w:val="none"/>
        </w:rPr>
      </w:pPr>
      <w:r>
        <w:rPr>
          <w:color w:val="auto"/>
          <w:sz w:val="28"/>
          <w:szCs w:val="36"/>
          <w:highlight w:val="none"/>
        </w:rPr>
        <w:t>（一）授权委托书</w:t>
      </w:r>
    </w:p>
    <w:p w14:paraId="77E6A431">
      <w:pPr>
        <w:spacing w:line="345" w:lineRule="auto"/>
        <w:rPr>
          <w:rFonts w:ascii="Arial"/>
          <w:color w:val="auto"/>
          <w:sz w:val="21"/>
          <w:highlight w:val="none"/>
        </w:rPr>
      </w:pPr>
    </w:p>
    <w:p w14:paraId="5A3B37A2">
      <w:pPr>
        <w:spacing w:line="345" w:lineRule="auto"/>
        <w:rPr>
          <w:rFonts w:ascii="Arial"/>
          <w:color w:val="auto"/>
          <w:sz w:val="21"/>
          <w:highlight w:val="none"/>
        </w:rPr>
      </w:pPr>
    </w:p>
    <w:p w14:paraId="32F51BE0">
      <w:pPr>
        <w:spacing w:before="78" w:line="338" w:lineRule="auto"/>
        <w:ind w:firstLine="589"/>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本</w:t>
      </w:r>
      <w:r>
        <w:rPr>
          <w:rFonts w:ascii="宋体" w:hAnsi="宋体" w:eastAsia="宋体" w:cs="宋体"/>
          <w:color w:val="auto"/>
          <w:spacing w:val="-68"/>
          <w:sz w:val="24"/>
          <w:szCs w:val="24"/>
          <w:highlight w:val="none"/>
        </w:rPr>
        <w:t xml:space="preserve"> </w:t>
      </w:r>
      <w:r>
        <w:rPr>
          <w:rFonts w:ascii="宋体" w:hAnsi="宋体" w:eastAsia="宋体" w:cs="宋体"/>
          <w:color w:val="auto"/>
          <w:spacing w:val="-5"/>
          <w:sz w:val="24"/>
          <w:szCs w:val="24"/>
          <w:highlight w:val="none"/>
        </w:rPr>
        <w:t>人</w:t>
      </w:r>
      <w:r>
        <w:rPr>
          <w:rFonts w:ascii="宋体" w:hAnsi="宋体" w:eastAsia="宋体" w:cs="宋体"/>
          <w:color w:val="auto"/>
          <w:spacing w:val="-82"/>
          <w:sz w:val="24"/>
          <w:szCs w:val="24"/>
          <w:highlight w:val="none"/>
        </w:rPr>
        <w:t xml:space="preserve"> </w:t>
      </w:r>
      <w:r>
        <w:rPr>
          <w:rFonts w:ascii="宋体" w:hAnsi="宋体" w:eastAsia="宋体" w:cs="宋体"/>
          <w:color w:val="auto"/>
          <w:spacing w:val="-5"/>
          <w:sz w:val="24"/>
          <w:szCs w:val="24"/>
          <w:highlight w:val="none"/>
          <w:u w:val="single" w:color="auto"/>
        </w:rPr>
        <w:t xml:space="preserve">        （姓</w:t>
      </w:r>
      <w:r>
        <w:rPr>
          <w:rFonts w:ascii="宋体" w:hAnsi="宋体" w:eastAsia="宋体" w:cs="宋体"/>
          <w:color w:val="auto"/>
          <w:spacing w:val="-69"/>
          <w:sz w:val="24"/>
          <w:szCs w:val="24"/>
          <w:highlight w:val="none"/>
          <w:u w:val="single" w:color="auto"/>
        </w:rPr>
        <w:t xml:space="preserve"> </w:t>
      </w:r>
      <w:r>
        <w:rPr>
          <w:rFonts w:ascii="宋体" w:hAnsi="宋体" w:eastAsia="宋体" w:cs="宋体"/>
          <w:color w:val="auto"/>
          <w:spacing w:val="-5"/>
          <w:sz w:val="24"/>
          <w:szCs w:val="24"/>
          <w:highlight w:val="none"/>
          <w:u w:val="single" w:color="auto"/>
        </w:rPr>
        <w:t>名</w:t>
      </w:r>
      <w:r>
        <w:rPr>
          <w:rFonts w:ascii="宋体" w:hAnsi="宋体" w:eastAsia="宋体" w:cs="宋体"/>
          <w:color w:val="auto"/>
          <w:spacing w:val="-45"/>
          <w:sz w:val="24"/>
          <w:szCs w:val="24"/>
          <w:highlight w:val="none"/>
          <w:u w:val="single" w:color="auto"/>
        </w:rPr>
        <w:t xml:space="preserve"> </w:t>
      </w:r>
      <w:r>
        <w:rPr>
          <w:rFonts w:ascii="宋体" w:hAnsi="宋体" w:eastAsia="宋体" w:cs="宋体"/>
          <w:color w:val="auto"/>
          <w:spacing w:val="-5"/>
          <w:sz w:val="24"/>
          <w:szCs w:val="24"/>
          <w:highlight w:val="none"/>
          <w:u w:val="single" w:color="auto"/>
        </w:rPr>
        <w:t>）</w:t>
      </w:r>
      <w:r>
        <w:rPr>
          <w:rFonts w:ascii="宋体" w:hAnsi="宋体" w:eastAsia="宋体" w:cs="宋体"/>
          <w:color w:val="auto"/>
          <w:spacing w:val="-67"/>
          <w:sz w:val="24"/>
          <w:szCs w:val="24"/>
          <w:highlight w:val="none"/>
          <w:u w:val="single" w:color="auto"/>
        </w:rPr>
        <w:t xml:space="preserve"> </w:t>
      </w:r>
      <w:r>
        <w:rPr>
          <w:rFonts w:ascii="宋体" w:hAnsi="宋体" w:eastAsia="宋体" w:cs="宋体"/>
          <w:color w:val="auto"/>
          <w:spacing w:val="-5"/>
          <w:sz w:val="24"/>
          <w:szCs w:val="24"/>
          <w:highlight w:val="none"/>
        </w:rPr>
        <w:t>系</w:t>
      </w:r>
      <w:r>
        <w:rPr>
          <w:rFonts w:ascii="宋体" w:hAnsi="宋体" w:eastAsia="宋体" w:cs="宋体"/>
          <w:color w:val="auto"/>
          <w:spacing w:val="-80"/>
          <w:sz w:val="24"/>
          <w:szCs w:val="24"/>
          <w:highlight w:val="none"/>
        </w:rPr>
        <w:t xml:space="preserve"> </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32"/>
          <w:sz w:val="24"/>
          <w:szCs w:val="24"/>
          <w:highlight w:val="none"/>
          <w:u w:val="single" w:color="auto"/>
        </w:rPr>
        <w:t xml:space="preserve"> </w:t>
      </w:r>
      <w:r>
        <w:rPr>
          <w:rFonts w:ascii="宋体" w:hAnsi="宋体" w:eastAsia="宋体" w:cs="宋体"/>
          <w:color w:val="auto"/>
          <w:spacing w:val="-5"/>
          <w:sz w:val="24"/>
          <w:szCs w:val="24"/>
          <w:highlight w:val="none"/>
          <w:u w:val="single" w:color="auto"/>
        </w:rPr>
        <w:t>投</w:t>
      </w:r>
      <w:r>
        <w:rPr>
          <w:rFonts w:ascii="宋体" w:hAnsi="宋体" w:eastAsia="宋体" w:cs="宋体"/>
          <w:color w:val="auto"/>
          <w:spacing w:val="-71"/>
          <w:sz w:val="24"/>
          <w:szCs w:val="24"/>
          <w:highlight w:val="none"/>
          <w:u w:val="single" w:color="auto"/>
        </w:rPr>
        <w:t xml:space="preserve"> </w:t>
      </w:r>
      <w:r>
        <w:rPr>
          <w:rFonts w:ascii="宋体" w:hAnsi="宋体" w:eastAsia="宋体" w:cs="宋体"/>
          <w:color w:val="auto"/>
          <w:spacing w:val="-6"/>
          <w:sz w:val="24"/>
          <w:szCs w:val="24"/>
          <w:highlight w:val="none"/>
          <w:u w:val="single" w:color="auto"/>
        </w:rPr>
        <w:t>标</w:t>
      </w:r>
      <w:r>
        <w:rPr>
          <w:rFonts w:ascii="宋体" w:hAnsi="宋体" w:eastAsia="宋体" w:cs="宋体"/>
          <w:color w:val="auto"/>
          <w:spacing w:val="-68"/>
          <w:sz w:val="24"/>
          <w:szCs w:val="24"/>
          <w:highlight w:val="none"/>
          <w:u w:val="single" w:color="auto"/>
        </w:rPr>
        <w:t xml:space="preserve"> </w:t>
      </w:r>
      <w:r>
        <w:rPr>
          <w:rFonts w:ascii="宋体" w:hAnsi="宋体" w:eastAsia="宋体" w:cs="宋体"/>
          <w:color w:val="auto"/>
          <w:spacing w:val="-6"/>
          <w:sz w:val="24"/>
          <w:szCs w:val="24"/>
          <w:highlight w:val="none"/>
          <w:u w:val="single" w:color="auto"/>
        </w:rPr>
        <w:t>人</w:t>
      </w:r>
      <w:r>
        <w:rPr>
          <w:rFonts w:ascii="宋体" w:hAnsi="宋体" w:eastAsia="宋体" w:cs="宋体"/>
          <w:color w:val="auto"/>
          <w:spacing w:val="-70"/>
          <w:sz w:val="24"/>
          <w:szCs w:val="24"/>
          <w:highlight w:val="none"/>
          <w:u w:val="single" w:color="auto"/>
        </w:rPr>
        <w:t xml:space="preserve"> </w:t>
      </w:r>
      <w:r>
        <w:rPr>
          <w:rFonts w:ascii="宋体" w:hAnsi="宋体" w:eastAsia="宋体" w:cs="宋体"/>
          <w:color w:val="auto"/>
          <w:spacing w:val="-6"/>
          <w:sz w:val="24"/>
          <w:szCs w:val="24"/>
          <w:highlight w:val="none"/>
          <w:u w:val="single" w:color="auto"/>
        </w:rPr>
        <w:t>名</w:t>
      </w:r>
      <w:r>
        <w:rPr>
          <w:rFonts w:ascii="宋体" w:hAnsi="宋体" w:eastAsia="宋体" w:cs="宋体"/>
          <w:color w:val="auto"/>
          <w:spacing w:val="-71"/>
          <w:sz w:val="24"/>
          <w:szCs w:val="24"/>
          <w:highlight w:val="none"/>
          <w:u w:val="single" w:color="auto"/>
        </w:rPr>
        <w:t xml:space="preserve"> </w:t>
      </w:r>
      <w:r>
        <w:rPr>
          <w:rFonts w:ascii="宋体" w:hAnsi="宋体" w:eastAsia="宋体" w:cs="宋体"/>
          <w:color w:val="auto"/>
          <w:spacing w:val="-6"/>
          <w:sz w:val="24"/>
          <w:szCs w:val="24"/>
          <w:highlight w:val="none"/>
          <w:u w:val="single" w:color="auto"/>
        </w:rPr>
        <w:t>称</w:t>
      </w:r>
      <w:r>
        <w:rPr>
          <w:rFonts w:ascii="宋体" w:hAnsi="宋体" w:eastAsia="宋体" w:cs="宋体"/>
          <w:color w:val="auto"/>
          <w:spacing w:val="-46"/>
          <w:sz w:val="24"/>
          <w:szCs w:val="24"/>
          <w:highlight w:val="none"/>
          <w:u w:val="single" w:color="auto"/>
        </w:rPr>
        <w:t xml:space="preserve"> </w:t>
      </w:r>
      <w:r>
        <w:rPr>
          <w:rFonts w:ascii="宋体" w:hAnsi="宋体" w:eastAsia="宋体" w:cs="宋体"/>
          <w:color w:val="auto"/>
          <w:spacing w:val="-6"/>
          <w:sz w:val="24"/>
          <w:szCs w:val="24"/>
          <w:highlight w:val="none"/>
          <w:u w:val="single" w:color="auto"/>
        </w:rPr>
        <w:t>）</w:t>
      </w:r>
      <w:r>
        <w:rPr>
          <w:rFonts w:ascii="宋体" w:hAnsi="宋体" w:eastAsia="宋体" w:cs="宋体"/>
          <w:color w:val="auto"/>
          <w:spacing w:val="-51"/>
          <w:sz w:val="24"/>
          <w:szCs w:val="24"/>
          <w:highlight w:val="none"/>
          <w:u w:val="single" w:color="auto"/>
        </w:rPr>
        <w:t xml:space="preserve"> </w:t>
      </w:r>
      <w:r>
        <w:rPr>
          <w:rFonts w:ascii="宋体" w:hAnsi="宋体" w:eastAsia="宋体" w:cs="宋体"/>
          <w:color w:val="auto"/>
          <w:spacing w:val="-6"/>
          <w:sz w:val="24"/>
          <w:szCs w:val="24"/>
          <w:highlight w:val="none"/>
        </w:rPr>
        <w:t>的</w:t>
      </w:r>
      <w:r>
        <w:rPr>
          <w:rFonts w:ascii="宋体" w:hAnsi="宋体" w:eastAsia="宋体" w:cs="宋体"/>
          <w:color w:val="auto"/>
          <w:spacing w:val="-68"/>
          <w:sz w:val="24"/>
          <w:szCs w:val="24"/>
          <w:highlight w:val="none"/>
        </w:rPr>
        <w:t xml:space="preserve"> </w:t>
      </w:r>
      <w:r>
        <w:rPr>
          <w:rFonts w:ascii="宋体" w:hAnsi="宋体" w:eastAsia="宋体" w:cs="宋体"/>
          <w:color w:val="auto"/>
          <w:spacing w:val="-6"/>
          <w:sz w:val="24"/>
          <w:szCs w:val="24"/>
          <w:highlight w:val="none"/>
        </w:rPr>
        <w:t>法</w:t>
      </w:r>
      <w:r>
        <w:rPr>
          <w:rFonts w:ascii="宋体" w:hAnsi="宋体" w:eastAsia="宋体" w:cs="宋体"/>
          <w:color w:val="auto"/>
          <w:spacing w:val="-67"/>
          <w:sz w:val="24"/>
          <w:szCs w:val="24"/>
          <w:highlight w:val="none"/>
        </w:rPr>
        <w:t xml:space="preserve"> </w:t>
      </w:r>
      <w:r>
        <w:rPr>
          <w:rFonts w:ascii="宋体" w:hAnsi="宋体" w:eastAsia="宋体" w:cs="宋体"/>
          <w:color w:val="auto"/>
          <w:spacing w:val="-6"/>
          <w:sz w:val="24"/>
          <w:szCs w:val="24"/>
          <w:highlight w:val="none"/>
        </w:rPr>
        <w:t>定</w:t>
      </w:r>
      <w:r>
        <w:rPr>
          <w:rFonts w:ascii="宋体" w:hAnsi="宋体" w:eastAsia="宋体" w:cs="宋体"/>
          <w:color w:val="auto"/>
          <w:spacing w:val="-71"/>
          <w:sz w:val="24"/>
          <w:szCs w:val="24"/>
          <w:highlight w:val="none"/>
        </w:rPr>
        <w:t xml:space="preserve"> </w:t>
      </w:r>
      <w:r>
        <w:rPr>
          <w:rFonts w:ascii="宋体" w:hAnsi="宋体" w:eastAsia="宋体" w:cs="宋体"/>
          <w:color w:val="auto"/>
          <w:spacing w:val="-6"/>
          <w:sz w:val="24"/>
          <w:szCs w:val="24"/>
          <w:highlight w:val="none"/>
        </w:rPr>
        <w:t>代表</w:t>
      </w:r>
      <w:r>
        <w:rPr>
          <w:rFonts w:ascii="宋体" w:hAnsi="宋体" w:eastAsia="宋体" w:cs="宋体"/>
          <w:color w:val="auto"/>
          <w:spacing w:val="-68"/>
          <w:sz w:val="24"/>
          <w:szCs w:val="24"/>
          <w:highlight w:val="none"/>
        </w:rPr>
        <w:t xml:space="preserve"> </w:t>
      </w:r>
      <w:r>
        <w:rPr>
          <w:rFonts w:ascii="宋体" w:hAnsi="宋体" w:eastAsia="宋体" w:cs="宋体"/>
          <w:color w:val="auto"/>
          <w:spacing w:val="-6"/>
          <w:sz w:val="24"/>
          <w:szCs w:val="24"/>
          <w:highlight w:val="none"/>
        </w:rPr>
        <w:t>人</w:t>
      </w:r>
      <w:r>
        <w:rPr>
          <w:rFonts w:ascii="宋体" w:hAnsi="宋体" w:eastAsia="宋体" w:cs="宋体"/>
          <w:color w:val="auto"/>
          <w:spacing w:val="-52"/>
          <w:sz w:val="24"/>
          <w:szCs w:val="24"/>
          <w:highlight w:val="none"/>
        </w:rPr>
        <w:t xml:space="preserve"> </w:t>
      </w:r>
      <w:r>
        <w:rPr>
          <w:rFonts w:ascii="宋体" w:hAnsi="宋体" w:eastAsia="宋体" w:cs="宋体"/>
          <w:color w:val="auto"/>
          <w:spacing w:val="-6"/>
          <w:sz w:val="24"/>
          <w:szCs w:val="24"/>
          <w:highlight w:val="none"/>
        </w:rPr>
        <w:t>，</w:t>
      </w:r>
      <w:r>
        <w:rPr>
          <w:rFonts w:ascii="宋体" w:hAnsi="宋体" w:eastAsia="宋体" w:cs="宋体"/>
          <w:color w:val="auto"/>
          <w:spacing w:val="-68"/>
          <w:sz w:val="24"/>
          <w:szCs w:val="24"/>
          <w:highlight w:val="none"/>
        </w:rPr>
        <w:t xml:space="preserve"> </w:t>
      </w:r>
      <w:r>
        <w:rPr>
          <w:rFonts w:ascii="宋体" w:hAnsi="宋体" w:eastAsia="宋体" w:cs="宋体"/>
          <w:color w:val="auto"/>
          <w:spacing w:val="-6"/>
          <w:sz w:val="24"/>
          <w:szCs w:val="24"/>
          <w:highlight w:val="none"/>
        </w:rPr>
        <w:t>现</w:t>
      </w:r>
      <w:r>
        <w:rPr>
          <w:rFonts w:ascii="宋体" w:hAnsi="宋体" w:eastAsia="宋体" w:cs="宋体"/>
          <w:color w:val="auto"/>
          <w:spacing w:val="-71"/>
          <w:sz w:val="24"/>
          <w:szCs w:val="24"/>
          <w:highlight w:val="none"/>
        </w:rPr>
        <w:t xml:space="preserve"> </w:t>
      </w:r>
      <w:r>
        <w:rPr>
          <w:rFonts w:ascii="宋体" w:hAnsi="宋体" w:eastAsia="宋体" w:cs="宋体"/>
          <w:color w:val="auto"/>
          <w:spacing w:val="-6"/>
          <w:sz w:val="24"/>
          <w:szCs w:val="24"/>
          <w:highlight w:val="none"/>
        </w:rPr>
        <w:t>委托</w:t>
      </w:r>
      <w:r>
        <w:rPr>
          <w:rFonts w:ascii="宋体" w:hAnsi="宋体" w:eastAsia="宋体" w:cs="宋体"/>
          <w:color w:val="auto"/>
          <w:spacing w:val="1"/>
          <w:sz w:val="24"/>
          <w:szCs w:val="24"/>
          <w:highlight w:val="none"/>
          <w:u w:val="single" w:color="auto"/>
        </w:rPr>
        <w:t>（姓名）</w:t>
      </w:r>
      <w:r>
        <w:rPr>
          <w:rFonts w:ascii="宋体" w:hAnsi="宋体" w:eastAsia="宋体" w:cs="宋体"/>
          <w:color w:val="auto"/>
          <w:spacing w:val="1"/>
          <w:sz w:val="24"/>
          <w:szCs w:val="24"/>
          <w:highlight w:val="none"/>
        </w:rPr>
        <w:t>为我方代理人。代理人根据授权，以我方名义签署、澄清确认、递交、撤回、</w:t>
      </w:r>
      <w:r>
        <w:rPr>
          <w:rFonts w:ascii="宋体" w:hAnsi="宋体" w:eastAsia="宋体" w:cs="宋体"/>
          <w:color w:val="auto"/>
          <w:spacing w:val="6"/>
          <w:sz w:val="24"/>
          <w:szCs w:val="24"/>
          <w:highlight w:val="none"/>
        </w:rPr>
        <w:t>修改</w:t>
      </w:r>
      <w:r>
        <w:rPr>
          <w:rFonts w:ascii="宋体" w:hAnsi="宋体" w:eastAsia="宋体" w:cs="宋体"/>
          <w:color w:val="auto"/>
          <w:spacing w:val="6"/>
          <w:sz w:val="24"/>
          <w:szCs w:val="24"/>
          <w:highlight w:val="none"/>
          <w:u w:val="single" w:color="auto"/>
        </w:rPr>
        <w:t xml:space="preserve">                     （项目名称）</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5"/>
          <w:sz w:val="24"/>
          <w:szCs w:val="24"/>
          <w:highlight w:val="none"/>
        </w:rPr>
        <w:t>标段施工监理投标文件、签订合同和处理有关事宜，其法律后果由我方承担。</w:t>
      </w:r>
    </w:p>
    <w:p w14:paraId="2ACC7C4C">
      <w:pPr>
        <w:spacing w:line="218" w:lineRule="auto"/>
        <w:ind w:left="58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委托期限：</w:t>
      </w:r>
      <w:r>
        <w:rPr>
          <w:rFonts w:ascii="宋体" w:hAnsi="宋体" w:eastAsia="宋体" w:cs="宋体"/>
          <w:color w:val="auto"/>
          <w:spacing w:val="-58"/>
          <w:sz w:val="24"/>
          <w:szCs w:val="24"/>
          <w:highlight w:val="none"/>
        </w:rPr>
        <w:t xml:space="preserve"> </w:t>
      </w:r>
      <w:r>
        <w:rPr>
          <w:rFonts w:ascii="宋体" w:hAnsi="宋体" w:eastAsia="宋体" w:cs="宋体"/>
          <w:color w:val="auto"/>
          <w:spacing w:val="-3"/>
          <w:sz w:val="24"/>
          <w:szCs w:val="24"/>
          <w:highlight w:val="none"/>
        </w:rPr>
        <w:t>自本委托书签署之日起至投标有效期期满。</w:t>
      </w:r>
    </w:p>
    <w:p w14:paraId="4C94DE91">
      <w:pPr>
        <w:spacing w:before="158" w:line="219" w:lineRule="auto"/>
        <w:ind w:left="5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代理人无转委托权。</w:t>
      </w:r>
    </w:p>
    <w:p w14:paraId="6AE9B70C">
      <w:pPr>
        <w:spacing w:line="275" w:lineRule="auto"/>
        <w:rPr>
          <w:rFonts w:ascii="Arial"/>
          <w:color w:val="auto"/>
          <w:sz w:val="21"/>
          <w:highlight w:val="none"/>
        </w:rPr>
      </w:pPr>
    </w:p>
    <w:p w14:paraId="6F843C62">
      <w:pPr>
        <w:spacing w:line="276" w:lineRule="auto"/>
        <w:rPr>
          <w:rFonts w:ascii="Arial"/>
          <w:color w:val="auto"/>
          <w:sz w:val="21"/>
          <w:highlight w:val="none"/>
        </w:rPr>
      </w:pPr>
    </w:p>
    <w:p w14:paraId="5083D0A2">
      <w:pPr>
        <w:spacing w:before="65" w:line="227" w:lineRule="auto"/>
        <w:ind w:left="1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附：法定代表人身份证扫描件及委托代理人身份证扫描件。</w:t>
      </w:r>
    </w:p>
    <w:p w14:paraId="5A17E02B">
      <w:pPr>
        <w:spacing w:line="252" w:lineRule="auto"/>
        <w:rPr>
          <w:rFonts w:ascii="Arial"/>
          <w:color w:val="auto"/>
          <w:sz w:val="21"/>
          <w:highlight w:val="none"/>
        </w:rPr>
      </w:pPr>
    </w:p>
    <w:p w14:paraId="1C1998BD">
      <w:pPr>
        <w:spacing w:line="253" w:lineRule="auto"/>
        <w:rPr>
          <w:rFonts w:ascii="Arial"/>
          <w:color w:val="auto"/>
          <w:sz w:val="21"/>
          <w:highlight w:val="none"/>
        </w:rPr>
      </w:pPr>
    </w:p>
    <w:p w14:paraId="251E2AF0">
      <w:pPr>
        <w:spacing w:before="79" w:line="219" w:lineRule="auto"/>
        <w:ind w:left="340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投标人</w:t>
      </w:r>
      <w:r>
        <w:rPr>
          <w:rFonts w:ascii="宋体" w:hAnsi="宋体" w:eastAsia="宋体" w:cs="宋体"/>
          <w:color w:val="auto"/>
          <w:spacing w:val="-15"/>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5"/>
          <w:sz w:val="24"/>
          <w:szCs w:val="24"/>
          <w:highlight w:val="none"/>
        </w:rPr>
        <w:t>（</w:t>
      </w:r>
      <w:r>
        <w:rPr>
          <w:rFonts w:ascii="宋体" w:hAnsi="宋体" w:eastAsia="宋体" w:cs="宋体"/>
          <w:color w:val="auto"/>
          <w:spacing w:val="2"/>
          <w:sz w:val="24"/>
          <w:szCs w:val="24"/>
          <w:highlight w:val="none"/>
        </w:rPr>
        <w:t>盖单位章）</w:t>
      </w:r>
    </w:p>
    <w:p w14:paraId="3DFCD959">
      <w:pPr>
        <w:spacing w:line="434" w:lineRule="auto"/>
        <w:rPr>
          <w:rFonts w:ascii="Arial"/>
          <w:color w:val="auto"/>
          <w:sz w:val="21"/>
          <w:highlight w:val="none"/>
        </w:rPr>
      </w:pPr>
    </w:p>
    <w:p w14:paraId="77318201">
      <w:pPr>
        <w:spacing w:before="78" w:line="219" w:lineRule="auto"/>
        <w:ind w:left="339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w:t>
      </w:r>
      <w:r>
        <w:rPr>
          <w:rFonts w:ascii="宋体" w:hAnsi="宋体" w:eastAsia="宋体" w:cs="宋体"/>
          <w:color w:val="auto"/>
          <w:spacing w:val="-18"/>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8"/>
          <w:sz w:val="24"/>
          <w:szCs w:val="24"/>
          <w:highlight w:val="none"/>
        </w:rPr>
        <w:t>（</w:t>
      </w:r>
      <w:r>
        <w:rPr>
          <w:rFonts w:ascii="宋体" w:hAnsi="宋体" w:eastAsia="宋体" w:cs="宋体"/>
          <w:color w:val="auto"/>
          <w:spacing w:val="3"/>
          <w:sz w:val="24"/>
          <w:szCs w:val="24"/>
          <w:highlight w:val="none"/>
        </w:rPr>
        <w:t>签字）</w:t>
      </w:r>
    </w:p>
    <w:p w14:paraId="520DDBA3">
      <w:pPr>
        <w:spacing w:line="433" w:lineRule="auto"/>
        <w:rPr>
          <w:rFonts w:ascii="Arial"/>
          <w:color w:val="auto"/>
          <w:sz w:val="21"/>
          <w:highlight w:val="none"/>
        </w:rPr>
      </w:pPr>
    </w:p>
    <w:p w14:paraId="216439D4">
      <w:pPr>
        <w:spacing w:before="79" w:line="219" w:lineRule="auto"/>
        <w:ind w:left="340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身份证号码：</w:t>
      </w:r>
      <w:r>
        <w:rPr>
          <w:rFonts w:ascii="宋体" w:hAnsi="宋体" w:eastAsia="宋体" w:cs="宋体"/>
          <w:color w:val="auto"/>
          <w:sz w:val="24"/>
          <w:szCs w:val="24"/>
          <w:highlight w:val="none"/>
          <w:u w:val="single" w:color="auto"/>
        </w:rPr>
        <w:t xml:space="preserve">                            </w:t>
      </w:r>
    </w:p>
    <w:p w14:paraId="16040D80">
      <w:pPr>
        <w:spacing w:line="436" w:lineRule="auto"/>
        <w:rPr>
          <w:rFonts w:ascii="Arial"/>
          <w:color w:val="auto"/>
          <w:sz w:val="21"/>
          <w:highlight w:val="none"/>
        </w:rPr>
      </w:pPr>
    </w:p>
    <w:p w14:paraId="781C0945">
      <w:pPr>
        <w:spacing w:before="78" w:line="219" w:lineRule="auto"/>
        <w:ind w:left="339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委托代理人</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w:t>
      </w:r>
      <w:r>
        <w:rPr>
          <w:rFonts w:ascii="宋体" w:hAnsi="宋体" w:eastAsia="宋体" w:cs="宋体"/>
          <w:color w:val="auto"/>
          <w:spacing w:val="3"/>
          <w:sz w:val="24"/>
          <w:szCs w:val="24"/>
          <w:highlight w:val="none"/>
        </w:rPr>
        <w:t>签字）</w:t>
      </w:r>
    </w:p>
    <w:p w14:paraId="1C3FFC57">
      <w:pPr>
        <w:spacing w:line="433" w:lineRule="auto"/>
        <w:rPr>
          <w:rFonts w:ascii="Arial"/>
          <w:color w:val="auto"/>
          <w:sz w:val="21"/>
          <w:highlight w:val="none"/>
        </w:rPr>
      </w:pPr>
    </w:p>
    <w:p w14:paraId="04A7921B">
      <w:pPr>
        <w:spacing w:before="79" w:line="219" w:lineRule="auto"/>
        <w:ind w:left="340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身份证号码：</w:t>
      </w:r>
      <w:r>
        <w:rPr>
          <w:rFonts w:ascii="宋体" w:hAnsi="宋体" w:eastAsia="宋体" w:cs="宋体"/>
          <w:color w:val="auto"/>
          <w:sz w:val="24"/>
          <w:szCs w:val="24"/>
          <w:highlight w:val="none"/>
          <w:u w:val="single" w:color="auto"/>
        </w:rPr>
        <w:t xml:space="preserve">                             </w:t>
      </w:r>
    </w:p>
    <w:p w14:paraId="40211F42">
      <w:pPr>
        <w:spacing w:line="433" w:lineRule="auto"/>
        <w:rPr>
          <w:rFonts w:ascii="Arial"/>
          <w:color w:val="auto"/>
          <w:sz w:val="21"/>
          <w:highlight w:val="none"/>
        </w:rPr>
      </w:pPr>
    </w:p>
    <w:p w14:paraId="370EFC69">
      <w:pPr>
        <w:bidi w:val="0"/>
        <w:rPr>
          <w:rFonts w:hint="default" w:eastAsia="宋体"/>
          <w:color w:val="auto"/>
          <w:highlight w:val="none"/>
          <w:lang w:val="en-US" w:eastAsia="zh-CN"/>
        </w:rPr>
      </w:pPr>
      <w:r>
        <w:rPr>
          <w:color w:val="auto"/>
          <w:highlight w:val="none"/>
        </w:rPr>
        <w:tab/>
      </w:r>
      <w:r>
        <w:rPr>
          <w:rFonts w:hint="eastAsia" w:eastAsia="宋体"/>
          <w:color w:val="auto"/>
          <w:highlight w:val="none"/>
          <w:lang w:val="en-US" w:eastAsia="zh-CN"/>
        </w:rPr>
        <w:t xml:space="preserve">                                                                       </w:t>
      </w:r>
      <w:r>
        <w:rPr>
          <w:rFonts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u w:val="single"/>
          <w:lang w:val="en-US" w:eastAsia="zh-CN"/>
        </w:rPr>
        <w:t xml:space="preserve">       </w:t>
      </w:r>
      <w:r>
        <w:rPr>
          <w:rFonts w:hint="eastAsia" w:ascii="宋体" w:hAnsi="宋体" w:eastAsia="宋体" w:cs="宋体"/>
          <w:color w:val="auto"/>
          <w:spacing w:val="-4"/>
          <w:sz w:val="24"/>
          <w:szCs w:val="24"/>
          <w:highlight w:val="none"/>
          <w:lang w:val="en-US" w:eastAsia="zh-CN"/>
        </w:rPr>
        <w:t xml:space="preserve"> </w:t>
      </w:r>
      <w:r>
        <w:rPr>
          <w:rFonts w:ascii="宋体" w:hAnsi="宋体" w:eastAsia="宋体" w:cs="宋体"/>
          <w:color w:val="auto"/>
          <w:spacing w:val="-4"/>
          <w:sz w:val="24"/>
          <w:szCs w:val="24"/>
          <w:highlight w:val="none"/>
        </w:rPr>
        <w:t>年</w:t>
      </w:r>
      <w:r>
        <w:rPr>
          <w:rFonts w:ascii="宋体" w:hAnsi="宋体" w:eastAsia="宋体" w:cs="宋体"/>
          <w:color w:val="auto"/>
          <w:spacing w:val="-4"/>
          <w:sz w:val="24"/>
          <w:szCs w:val="24"/>
          <w:highlight w:val="none"/>
          <w:u w:val="single"/>
        </w:rPr>
        <w:t xml:space="preserve">        </w:t>
      </w:r>
      <w:r>
        <w:rPr>
          <w:rFonts w:ascii="宋体" w:hAnsi="宋体" w:eastAsia="宋体" w:cs="宋体"/>
          <w:color w:val="auto"/>
          <w:spacing w:val="-4"/>
          <w:sz w:val="24"/>
          <w:szCs w:val="24"/>
          <w:highlight w:val="none"/>
        </w:rPr>
        <w:t>月</w:t>
      </w:r>
      <w:r>
        <w:rPr>
          <w:rFonts w:ascii="宋体" w:hAnsi="宋体" w:eastAsia="宋体" w:cs="宋体"/>
          <w:color w:val="auto"/>
          <w:spacing w:val="-4"/>
          <w:sz w:val="24"/>
          <w:szCs w:val="24"/>
          <w:highlight w:val="none"/>
          <w:u w:val="single"/>
        </w:rPr>
        <w:t xml:space="preserve">        </w:t>
      </w:r>
      <w:r>
        <w:rPr>
          <w:rFonts w:ascii="宋体" w:hAnsi="宋体" w:eastAsia="宋体" w:cs="宋体"/>
          <w:color w:val="auto"/>
          <w:spacing w:val="-4"/>
          <w:sz w:val="24"/>
          <w:szCs w:val="24"/>
          <w:highlight w:val="none"/>
        </w:rPr>
        <w:t>日</w:t>
      </w:r>
    </w:p>
    <w:p w14:paraId="36E85813">
      <w:pPr>
        <w:spacing w:line="394" w:lineRule="auto"/>
        <w:rPr>
          <w:rFonts w:ascii="Arial"/>
          <w:color w:val="auto"/>
          <w:sz w:val="21"/>
          <w:highlight w:val="none"/>
        </w:rPr>
      </w:pPr>
    </w:p>
    <w:p w14:paraId="29EE2EFA">
      <w:pPr>
        <w:spacing w:before="65" w:line="232" w:lineRule="auto"/>
        <w:ind w:left="107"/>
        <w:rPr>
          <w:rFonts w:ascii="宋体" w:hAnsi="宋体" w:eastAsia="宋体" w:cs="宋体"/>
          <w:color w:val="auto"/>
          <w:sz w:val="20"/>
          <w:szCs w:val="20"/>
          <w:highlight w:val="none"/>
        </w:rPr>
      </w:pPr>
      <w:r>
        <w:rPr>
          <w:rFonts w:ascii="宋体" w:hAnsi="宋体" w:eastAsia="宋体" w:cs="宋体"/>
          <w:color w:val="auto"/>
          <w:sz w:val="20"/>
          <w:szCs w:val="20"/>
          <w:highlight w:val="none"/>
        </w:rPr>
        <w:t>注：</w:t>
      </w:r>
    </w:p>
    <w:p w14:paraId="06226DB0">
      <w:pPr>
        <w:spacing w:before="149" w:line="369" w:lineRule="auto"/>
        <w:ind w:left="111" w:right="51" w:firstLine="43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1.法定代表人和委托代理人必须在授权书上签名；如果由投标人的委托代理人签署投标文</w:t>
      </w:r>
      <w:r>
        <w:rPr>
          <w:rFonts w:ascii="宋体" w:hAnsi="宋体" w:eastAsia="宋体" w:cs="宋体"/>
          <w:color w:val="auto"/>
          <w:spacing w:val="8"/>
          <w:sz w:val="20"/>
          <w:szCs w:val="20"/>
          <w:highlight w:val="none"/>
        </w:rPr>
        <w:t>件，则不需提交（二）法定代表人身份证明；</w:t>
      </w:r>
    </w:p>
    <w:p w14:paraId="68B495F1">
      <w:pPr>
        <w:spacing w:before="1" w:line="226" w:lineRule="auto"/>
        <w:ind w:left="52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2.以联合体形式投标的，本授权委托书应由联合体牵头人的法定代表人按上述规定签署。</w:t>
      </w:r>
    </w:p>
    <w:p w14:paraId="4A7C9B73">
      <w:pPr>
        <w:spacing w:before="155" w:line="227" w:lineRule="auto"/>
        <w:ind w:left="53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3.如果由投标人的法定代表人签署投标文件，则无须提交授权委托</w:t>
      </w:r>
      <w:r>
        <w:rPr>
          <w:rFonts w:ascii="宋体" w:hAnsi="宋体" w:eastAsia="宋体" w:cs="宋体"/>
          <w:color w:val="auto"/>
          <w:spacing w:val="8"/>
          <w:sz w:val="20"/>
          <w:szCs w:val="20"/>
          <w:highlight w:val="none"/>
        </w:rPr>
        <w:t>书。</w:t>
      </w:r>
    </w:p>
    <w:p w14:paraId="6E4CCAB3">
      <w:pPr>
        <w:spacing w:line="227" w:lineRule="auto"/>
        <w:rPr>
          <w:rFonts w:ascii="宋体" w:hAnsi="宋体" w:eastAsia="宋体" w:cs="宋体"/>
          <w:color w:val="auto"/>
          <w:sz w:val="20"/>
          <w:szCs w:val="20"/>
          <w:highlight w:val="none"/>
        </w:rPr>
        <w:sectPr>
          <w:footerReference r:id="rId35" w:type="default"/>
          <w:pgSz w:w="11905" w:h="16838"/>
          <w:pgMar w:top="1134" w:right="1134" w:bottom="1134" w:left="1134" w:header="0" w:footer="1066" w:gutter="0"/>
          <w:pgNumType w:fmt="decimal"/>
          <w:cols w:space="0" w:num="1"/>
          <w:rtlGutter w:val="0"/>
          <w:docGrid w:linePitch="0" w:charSpace="0"/>
        </w:sectPr>
      </w:pPr>
    </w:p>
    <w:p w14:paraId="421D5D09">
      <w:pPr>
        <w:spacing w:line="319" w:lineRule="auto"/>
        <w:rPr>
          <w:rFonts w:ascii="Arial"/>
          <w:color w:val="auto"/>
          <w:sz w:val="21"/>
          <w:highlight w:val="none"/>
        </w:rPr>
      </w:pPr>
    </w:p>
    <w:p w14:paraId="01F85894">
      <w:pPr>
        <w:spacing w:line="319" w:lineRule="auto"/>
        <w:rPr>
          <w:rFonts w:ascii="Arial"/>
          <w:color w:val="auto"/>
          <w:sz w:val="21"/>
          <w:highlight w:val="none"/>
        </w:rPr>
      </w:pPr>
    </w:p>
    <w:p w14:paraId="7E08CBBB">
      <w:pPr>
        <w:spacing w:line="320" w:lineRule="auto"/>
        <w:rPr>
          <w:rFonts w:ascii="Arial"/>
          <w:color w:val="auto"/>
          <w:sz w:val="21"/>
          <w:highlight w:val="none"/>
        </w:rPr>
      </w:pPr>
    </w:p>
    <w:p w14:paraId="316D4240">
      <w:pPr>
        <w:pStyle w:val="4"/>
        <w:bidi w:val="0"/>
        <w:jc w:val="center"/>
        <w:rPr>
          <w:color w:val="auto"/>
          <w:sz w:val="28"/>
          <w:szCs w:val="36"/>
          <w:highlight w:val="none"/>
        </w:rPr>
      </w:pPr>
      <w:r>
        <w:rPr>
          <w:color w:val="auto"/>
          <w:sz w:val="28"/>
          <w:szCs w:val="36"/>
          <w:highlight w:val="none"/>
        </w:rPr>
        <w:t>（二） 法定代表人身份证明</w:t>
      </w:r>
    </w:p>
    <w:p w14:paraId="2BBDDB42">
      <w:pPr>
        <w:spacing w:line="342" w:lineRule="auto"/>
        <w:rPr>
          <w:rFonts w:ascii="Arial"/>
          <w:color w:val="auto"/>
          <w:sz w:val="21"/>
          <w:highlight w:val="none"/>
        </w:rPr>
      </w:pPr>
    </w:p>
    <w:p w14:paraId="5119F131">
      <w:pPr>
        <w:spacing w:line="343" w:lineRule="auto"/>
        <w:rPr>
          <w:rFonts w:ascii="Arial"/>
          <w:color w:val="auto"/>
          <w:sz w:val="21"/>
          <w:highlight w:val="none"/>
        </w:rPr>
      </w:pPr>
    </w:p>
    <w:p w14:paraId="57762E93">
      <w:pPr>
        <w:spacing w:before="78" w:line="220" w:lineRule="auto"/>
        <w:ind w:left="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投标人名称：</w:t>
      </w:r>
      <w:r>
        <w:rPr>
          <w:rFonts w:ascii="宋体" w:hAnsi="宋体" w:eastAsia="宋体" w:cs="宋体"/>
          <w:color w:val="auto"/>
          <w:sz w:val="24"/>
          <w:szCs w:val="24"/>
          <w:highlight w:val="none"/>
          <w:u w:val="single" w:color="auto"/>
        </w:rPr>
        <w:t xml:space="preserve">                             </w:t>
      </w:r>
    </w:p>
    <w:p w14:paraId="00901F0E">
      <w:pPr>
        <w:spacing w:before="155" w:line="338" w:lineRule="auto"/>
        <w:ind w:left="4" w:right="184" w:hanging="4"/>
        <w:rPr>
          <w:rFonts w:ascii="宋体" w:hAnsi="宋体" w:eastAsia="宋体" w:cs="宋体"/>
          <w:color w:val="auto"/>
          <w:sz w:val="24"/>
          <w:szCs w:val="24"/>
          <w:highlight w:val="none"/>
        </w:rPr>
      </w:pPr>
      <w:r>
        <w:rPr>
          <w:rFonts w:ascii="宋体" w:hAnsi="宋体" w:eastAsia="宋体" w:cs="宋体"/>
          <w:color w:val="auto"/>
          <w:sz w:val="24"/>
          <w:szCs w:val="24"/>
          <w:highlight w:val="none"/>
        </w:rPr>
        <w:t>姓名</w:t>
      </w:r>
      <w:r>
        <w:rPr>
          <w:rFonts w:ascii="宋体" w:hAnsi="宋体" w:eastAsia="宋体" w:cs="宋体"/>
          <w:color w:val="auto"/>
          <w:spacing w:val="-11"/>
          <w:sz w:val="24"/>
          <w:szCs w:val="24"/>
          <w:highlight w:val="none"/>
        </w:rPr>
        <w:t>：</w:t>
      </w:r>
      <w:r>
        <w:rPr>
          <w:rFonts w:ascii="宋体" w:hAnsi="宋体" w:eastAsia="宋体" w:cs="宋体"/>
          <w:color w:val="auto"/>
          <w:spacing w:val="20"/>
          <w:sz w:val="24"/>
          <w:szCs w:val="24"/>
          <w:highlight w:val="none"/>
          <w:u w:val="single" w:color="auto"/>
        </w:rPr>
        <w:t xml:space="preserve">      </w:t>
      </w:r>
      <w:r>
        <w:rPr>
          <w:rFonts w:ascii="宋体" w:hAnsi="宋体" w:eastAsia="宋体" w:cs="宋体"/>
          <w:color w:val="auto"/>
          <w:spacing w:val="-11"/>
          <w:sz w:val="24"/>
          <w:szCs w:val="24"/>
          <w:highlight w:val="none"/>
          <w:u w:val="single" w:color="auto"/>
        </w:rPr>
        <w:t>（</w:t>
      </w:r>
      <w:r>
        <w:rPr>
          <w:rFonts w:ascii="宋体" w:hAnsi="宋体" w:eastAsia="宋体" w:cs="宋体"/>
          <w:color w:val="auto"/>
          <w:sz w:val="24"/>
          <w:szCs w:val="24"/>
          <w:highlight w:val="none"/>
          <w:u w:val="single" w:color="auto"/>
        </w:rPr>
        <w:t>法定代表人签字）</w:t>
      </w:r>
      <w:r>
        <w:rPr>
          <w:rFonts w:ascii="宋体" w:hAnsi="宋体" w:eastAsia="宋体" w:cs="宋体"/>
          <w:color w:val="auto"/>
          <w:sz w:val="24"/>
          <w:szCs w:val="24"/>
          <w:highlight w:val="none"/>
        </w:rPr>
        <w:t>性别：</w:t>
      </w:r>
      <w:r>
        <w:rPr>
          <w:rFonts w:ascii="宋体" w:hAnsi="宋体" w:eastAsia="宋体" w:cs="宋体"/>
          <w:color w:val="auto"/>
          <w:sz w:val="24"/>
          <w:szCs w:val="24"/>
          <w:highlight w:val="none"/>
          <w:u w:val="single" w:color="auto"/>
        </w:rPr>
        <w:t xml:space="preserve">     </w:t>
      </w:r>
      <w:r>
        <w:rPr>
          <w:rFonts w:ascii="宋体" w:hAnsi="宋体" w:eastAsia="宋体" w:cs="宋体"/>
          <w:color w:val="auto"/>
          <w:sz w:val="24"/>
          <w:szCs w:val="24"/>
          <w:highlight w:val="none"/>
        </w:rPr>
        <w:t xml:space="preserve"> 年龄：</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z w:val="24"/>
          <w:szCs w:val="24"/>
          <w:highlight w:val="none"/>
        </w:rPr>
        <w:t>职务：</w:t>
      </w:r>
      <w:r>
        <w:rPr>
          <w:rFonts w:ascii="宋体" w:hAnsi="宋体" w:eastAsia="宋体" w:cs="宋体"/>
          <w:color w:val="auto"/>
          <w:sz w:val="24"/>
          <w:szCs w:val="24"/>
          <w:highlight w:val="none"/>
          <w:u w:val="single" w:color="auto"/>
        </w:rPr>
        <w:t xml:space="preserve">        </w:t>
      </w:r>
      <w:r>
        <w:rPr>
          <w:rFonts w:ascii="宋体" w:hAnsi="宋体" w:eastAsia="宋体" w:cs="宋体"/>
          <w:color w:val="auto"/>
          <w:sz w:val="24"/>
          <w:szCs w:val="24"/>
          <w:highlight w:val="none"/>
        </w:rPr>
        <w:t>系</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
          <w:sz w:val="24"/>
          <w:szCs w:val="24"/>
          <w:highlight w:val="none"/>
          <w:u w:val="single" w:color="auto"/>
        </w:rPr>
        <w:t xml:space="preserve">  （投标人名称）</w:t>
      </w:r>
      <w:r>
        <w:rPr>
          <w:rFonts w:ascii="宋体" w:hAnsi="宋体" w:eastAsia="宋体" w:cs="宋体"/>
          <w:color w:val="auto"/>
          <w:spacing w:val="-1"/>
          <w:sz w:val="24"/>
          <w:szCs w:val="24"/>
          <w:highlight w:val="none"/>
        </w:rPr>
        <w:t>的法定代表人。</w:t>
      </w:r>
    </w:p>
    <w:p w14:paraId="6BEE5404">
      <w:pPr>
        <w:spacing w:line="219" w:lineRule="auto"/>
        <w:ind w:left="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特此证明。</w:t>
      </w:r>
    </w:p>
    <w:p w14:paraId="33D05941">
      <w:pPr>
        <w:spacing w:line="276" w:lineRule="auto"/>
        <w:rPr>
          <w:rFonts w:ascii="Arial"/>
          <w:color w:val="auto"/>
          <w:sz w:val="21"/>
          <w:highlight w:val="none"/>
        </w:rPr>
      </w:pPr>
    </w:p>
    <w:p w14:paraId="1E76838D">
      <w:pPr>
        <w:spacing w:line="277" w:lineRule="auto"/>
        <w:rPr>
          <w:rFonts w:ascii="Arial"/>
          <w:color w:val="auto"/>
          <w:sz w:val="21"/>
          <w:highlight w:val="none"/>
        </w:rPr>
      </w:pPr>
    </w:p>
    <w:p w14:paraId="58BB6319">
      <w:pPr>
        <w:spacing w:before="65" w:line="227" w:lineRule="auto"/>
        <w:ind w:left="1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附：法定代表人身份证扫描件。</w:t>
      </w:r>
    </w:p>
    <w:p w14:paraId="440C6681">
      <w:pPr>
        <w:spacing w:line="279" w:lineRule="auto"/>
        <w:rPr>
          <w:rFonts w:ascii="Arial"/>
          <w:color w:val="auto"/>
          <w:sz w:val="21"/>
          <w:highlight w:val="none"/>
        </w:rPr>
      </w:pPr>
    </w:p>
    <w:p w14:paraId="7F65E16F">
      <w:pPr>
        <w:spacing w:line="280" w:lineRule="auto"/>
        <w:rPr>
          <w:rFonts w:ascii="Arial"/>
          <w:color w:val="auto"/>
          <w:sz w:val="21"/>
          <w:highlight w:val="none"/>
        </w:rPr>
      </w:pPr>
    </w:p>
    <w:p w14:paraId="200F96C0">
      <w:pPr>
        <w:spacing w:line="280" w:lineRule="auto"/>
        <w:rPr>
          <w:rFonts w:ascii="Arial"/>
          <w:color w:val="auto"/>
          <w:sz w:val="21"/>
          <w:highlight w:val="none"/>
        </w:rPr>
      </w:pPr>
    </w:p>
    <w:p w14:paraId="1478E879">
      <w:pPr>
        <w:spacing w:line="280" w:lineRule="auto"/>
        <w:rPr>
          <w:rFonts w:ascii="Arial"/>
          <w:color w:val="auto"/>
          <w:sz w:val="21"/>
          <w:highlight w:val="none"/>
        </w:rPr>
      </w:pPr>
    </w:p>
    <w:p w14:paraId="5630107D">
      <w:pPr>
        <w:spacing w:line="280" w:lineRule="auto"/>
        <w:rPr>
          <w:rFonts w:ascii="Arial"/>
          <w:color w:val="auto"/>
          <w:sz w:val="21"/>
          <w:highlight w:val="none"/>
        </w:rPr>
      </w:pPr>
    </w:p>
    <w:p w14:paraId="5ECD9658">
      <w:pPr>
        <w:keepNext w:val="0"/>
        <w:keepLines w:val="0"/>
        <w:pageBreakBefore w:val="0"/>
        <w:widowControl/>
        <w:tabs>
          <w:tab w:val="left" w:pos="5390"/>
        </w:tabs>
        <w:kinsoku w:val="0"/>
        <w:wordWrap/>
        <w:overflowPunct/>
        <w:topLinePunct w:val="0"/>
        <w:autoSpaceDE w:val="0"/>
        <w:autoSpaceDN w:val="0"/>
        <w:bidi w:val="0"/>
        <w:adjustRightInd w:val="0"/>
        <w:snapToGrid w:val="0"/>
        <w:spacing w:before="79" w:line="341" w:lineRule="auto"/>
        <w:ind w:left="4019" w:leftChars="1914" w:right="0" w:firstLine="326" w:firstLineChars="136"/>
        <w:textAlignment w:val="baseline"/>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pacing w:val="-18"/>
          <w:sz w:val="24"/>
          <w:szCs w:val="24"/>
          <w:highlight w:val="none"/>
        </w:rPr>
        <w:t>：</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8"/>
          <w:sz w:val="24"/>
          <w:szCs w:val="24"/>
          <w:highlight w:val="none"/>
        </w:rPr>
        <w:t>（</w:t>
      </w:r>
      <w:r>
        <w:rPr>
          <w:rFonts w:ascii="宋体" w:hAnsi="宋体" w:eastAsia="宋体" w:cs="宋体"/>
          <w:color w:val="auto"/>
          <w:sz w:val="24"/>
          <w:szCs w:val="24"/>
          <w:highlight w:val="none"/>
        </w:rPr>
        <w:t>盖单位章）</w:t>
      </w:r>
    </w:p>
    <w:p w14:paraId="27CA4162">
      <w:pPr>
        <w:keepNext w:val="0"/>
        <w:keepLines w:val="0"/>
        <w:pageBreakBefore w:val="0"/>
        <w:widowControl/>
        <w:tabs>
          <w:tab w:val="left" w:pos="5390"/>
        </w:tabs>
        <w:kinsoku w:val="0"/>
        <w:wordWrap/>
        <w:overflowPunct/>
        <w:topLinePunct w:val="0"/>
        <w:autoSpaceDE w:val="0"/>
        <w:autoSpaceDN w:val="0"/>
        <w:bidi w:val="0"/>
        <w:adjustRightInd w:val="0"/>
        <w:snapToGrid w:val="0"/>
        <w:spacing w:before="79" w:line="341" w:lineRule="auto"/>
        <w:ind w:left="4019" w:leftChars="1914" w:right="0" w:firstLine="1521" w:firstLineChars="634"/>
        <w:textAlignment w:val="baseline"/>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9"/>
          <w:sz w:val="24"/>
          <w:szCs w:val="24"/>
          <w:highlight w:val="none"/>
        </w:rPr>
        <w:t>日</w:t>
      </w:r>
    </w:p>
    <w:p w14:paraId="6C52A529">
      <w:pPr>
        <w:spacing w:line="241" w:lineRule="auto"/>
        <w:rPr>
          <w:rFonts w:ascii="Arial"/>
          <w:color w:val="auto"/>
          <w:sz w:val="21"/>
          <w:highlight w:val="none"/>
        </w:rPr>
      </w:pPr>
    </w:p>
    <w:p w14:paraId="09734B73">
      <w:pPr>
        <w:spacing w:line="241" w:lineRule="auto"/>
        <w:rPr>
          <w:rFonts w:ascii="Arial"/>
          <w:color w:val="auto"/>
          <w:sz w:val="21"/>
          <w:highlight w:val="none"/>
        </w:rPr>
      </w:pPr>
    </w:p>
    <w:p w14:paraId="25D93F0D">
      <w:pPr>
        <w:spacing w:line="241" w:lineRule="auto"/>
        <w:rPr>
          <w:rFonts w:ascii="Arial"/>
          <w:color w:val="auto"/>
          <w:sz w:val="21"/>
          <w:highlight w:val="none"/>
        </w:rPr>
      </w:pPr>
    </w:p>
    <w:p w14:paraId="670C2E47">
      <w:pPr>
        <w:spacing w:line="241" w:lineRule="auto"/>
        <w:rPr>
          <w:rFonts w:ascii="Arial"/>
          <w:color w:val="auto"/>
          <w:sz w:val="21"/>
          <w:highlight w:val="none"/>
        </w:rPr>
      </w:pPr>
    </w:p>
    <w:p w14:paraId="6629A426">
      <w:pPr>
        <w:spacing w:line="241" w:lineRule="auto"/>
        <w:rPr>
          <w:rFonts w:ascii="Arial"/>
          <w:color w:val="auto"/>
          <w:sz w:val="21"/>
          <w:highlight w:val="none"/>
        </w:rPr>
      </w:pPr>
    </w:p>
    <w:p w14:paraId="18D3AD0F">
      <w:pPr>
        <w:spacing w:line="241" w:lineRule="auto"/>
        <w:rPr>
          <w:rFonts w:ascii="Arial"/>
          <w:color w:val="auto"/>
          <w:sz w:val="21"/>
          <w:highlight w:val="none"/>
        </w:rPr>
      </w:pPr>
    </w:p>
    <w:p w14:paraId="44E8AB37">
      <w:pPr>
        <w:spacing w:line="241" w:lineRule="auto"/>
        <w:rPr>
          <w:rFonts w:ascii="Arial"/>
          <w:color w:val="auto"/>
          <w:sz w:val="21"/>
          <w:highlight w:val="none"/>
        </w:rPr>
      </w:pPr>
    </w:p>
    <w:p w14:paraId="7A134017">
      <w:pPr>
        <w:spacing w:before="65" w:line="228" w:lineRule="auto"/>
        <w:ind w:left="41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注：法定代表人必须在法定代表人身份证明上签名。</w:t>
      </w:r>
    </w:p>
    <w:p w14:paraId="3B6DDE30">
      <w:pPr>
        <w:spacing w:line="228" w:lineRule="auto"/>
        <w:rPr>
          <w:rFonts w:ascii="宋体" w:hAnsi="宋体" w:eastAsia="宋体" w:cs="宋体"/>
          <w:color w:val="auto"/>
          <w:sz w:val="20"/>
          <w:szCs w:val="20"/>
          <w:highlight w:val="none"/>
        </w:rPr>
        <w:sectPr>
          <w:footerReference r:id="rId36" w:type="default"/>
          <w:pgSz w:w="11905" w:h="16838"/>
          <w:pgMar w:top="1134" w:right="1134" w:bottom="1134" w:left="1134" w:header="0" w:footer="1066" w:gutter="0"/>
          <w:pgNumType w:fmt="decimal"/>
          <w:cols w:space="0" w:num="1"/>
          <w:rtlGutter w:val="0"/>
          <w:docGrid w:linePitch="0" w:charSpace="0"/>
        </w:sectPr>
      </w:pPr>
    </w:p>
    <w:p w14:paraId="0A2AE1DC">
      <w:pPr>
        <w:spacing w:line="278" w:lineRule="auto"/>
        <w:rPr>
          <w:rFonts w:ascii="Arial"/>
          <w:color w:val="auto"/>
          <w:sz w:val="21"/>
          <w:highlight w:val="none"/>
        </w:rPr>
      </w:pPr>
    </w:p>
    <w:p w14:paraId="09230023">
      <w:pPr>
        <w:pStyle w:val="3"/>
        <w:bidi w:val="0"/>
        <w:jc w:val="center"/>
        <w:rPr>
          <w:color w:val="auto"/>
          <w:highlight w:val="none"/>
        </w:rPr>
      </w:pPr>
      <w:r>
        <w:rPr>
          <w:color w:val="auto"/>
          <w:highlight w:val="none"/>
        </w:rPr>
        <w:t>三、联合体协议书</w:t>
      </w:r>
    </w:p>
    <w:p w14:paraId="74C86132">
      <w:pPr>
        <w:spacing w:line="253" w:lineRule="auto"/>
        <w:rPr>
          <w:rFonts w:ascii="Arial"/>
          <w:color w:val="auto"/>
          <w:sz w:val="21"/>
          <w:highlight w:val="none"/>
        </w:rPr>
      </w:pPr>
    </w:p>
    <w:p w14:paraId="304B8B2C">
      <w:pPr>
        <w:spacing w:line="253" w:lineRule="auto"/>
        <w:rPr>
          <w:rFonts w:ascii="Arial"/>
          <w:color w:val="auto"/>
          <w:sz w:val="21"/>
          <w:highlight w:val="none"/>
        </w:rPr>
      </w:pPr>
    </w:p>
    <w:p w14:paraId="5566B5AF">
      <w:pPr>
        <w:spacing w:line="253" w:lineRule="auto"/>
        <w:rPr>
          <w:rFonts w:ascii="Arial"/>
          <w:color w:val="auto"/>
          <w:sz w:val="21"/>
          <w:highlight w:val="none"/>
        </w:rPr>
      </w:pPr>
    </w:p>
    <w:p w14:paraId="6F914F3B">
      <w:pPr>
        <w:tabs>
          <w:tab w:val="left" w:pos="2406"/>
        </w:tabs>
        <w:spacing w:before="78" w:line="308" w:lineRule="auto"/>
        <w:ind w:firstLine="351"/>
        <w:jc w:val="both"/>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7"/>
          <w:sz w:val="24"/>
          <w:szCs w:val="24"/>
          <w:highlight w:val="none"/>
          <w:u w:val="single" w:color="auto"/>
        </w:rPr>
        <w:t>（所有成员单位名称）</w:t>
      </w:r>
      <w:r>
        <w:rPr>
          <w:rFonts w:ascii="宋体" w:hAnsi="宋体" w:eastAsia="宋体" w:cs="宋体"/>
          <w:color w:val="auto"/>
          <w:spacing w:val="-71"/>
          <w:sz w:val="24"/>
          <w:szCs w:val="24"/>
          <w:highlight w:val="none"/>
          <w:u w:val="single" w:color="auto"/>
        </w:rPr>
        <w:t xml:space="preserve"> </w:t>
      </w:r>
      <w:r>
        <w:rPr>
          <w:rFonts w:ascii="宋体" w:hAnsi="宋体" w:eastAsia="宋体" w:cs="宋体"/>
          <w:color w:val="auto"/>
          <w:spacing w:val="-7"/>
          <w:sz w:val="24"/>
          <w:szCs w:val="24"/>
          <w:highlight w:val="none"/>
        </w:rPr>
        <w:t>自愿组成</w:t>
      </w:r>
      <w:r>
        <w:rPr>
          <w:rFonts w:ascii="宋体" w:hAnsi="宋体" w:eastAsia="宋体" w:cs="宋体"/>
          <w:color w:val="auto"/>
          <w:spacing w:val="-7"/>
          <w:sz w:val="24"/>
          <w:szCs w:val="24"/>
          <w:highlight w:val="none"/>
          <w:u w:val="single" w:color="auto"/>
        </w:rPr>
        <w:t xml:space="preserve">      </w:t>
      </w:r>
      <w:r>
        <w:rPr>
          <w:rFonts w:ascii="宋体" w:hAnsi="宋体" w:eastAsia="宋体" w:cs="宋体"/>
          <w:color w:val="auto"/>
          <w:spacing w:val="-8"/>
          <w:sz w:val="24"/>
          <w:szCs w:val="24"/>
          <w:highlight w:val="none"/>
          <w:u w:val="single" w:color="auto"/>
        </w:rPr>
        <w:t xml:space="preserve">  （联合体名称）</w:t>
      </w:r>
      <w:r>
        <w:rPr>
          <w:rFonts w:ascii="宋体" w:hAnsi="宋体" w:eastAsia="宋体" w:cs="宋体"/>
          <w:color w:val="auto"/>
          <w:spacing w:val="-8"/>
          <w:sz w:val="24"/>
          <w:szCs w:val="24"/>
          <w:highlight w:val="none"/>
        </w:rPr>
        <w:t>联合体，</w:t>
      </w:r>
      <w:r>
        <w:rPr>
          <w:rFonts w:ascii="宋体" w:hAnsi="宋体" w:eastAsia="宋体" w:cs="宋体"/>
          <w:color w:val="auto"/>
          <w:spacing w:val="4"/>
          <w:sz w:val="24"/>
          <w:szCs w:val="24"/>
          <w:highlight w:val="none"/>
        </w:rPr>
        <w:t>共同参加</w:t>
      </w:r>
      <w:r>
        <w:rPr>
          <w:rFonts w:ascii="宋体" w:hAnsi="宋体" w:eastAsia="宋体" w:cs="宋体"/>
          <w:color w:val="auto"/>
          <w:spacing w:val="4"/>
          <w:sz w:val="24"/>
          <w:szCs w:val="24"/>
          <w:highlight w:val="none"/>
          <w:u w:val="single" w:color="auto"/>
        </w:rPr>
        <w:t xml:space="preserve">         （项目名称）     </w:t>
      </w:r>
      <w:r>
        <w:rPr>
          <w:rFonts w:ascii="宋体" w:hAnsi="宋体" w:eastAsia="宋体" w:cs="宋体"/>
          <w:color w:val="auto"/>
          <w:spacing w:val="-110"/>
          <w:sz w:val="24"/>
          <w:szCs w:val="24"/>
          <w:highlight w:val="none"/>
        </w:rPr>
        <w:t xml:space="preserve"> </w:t>
      </w:r>
      <w:r>
        <w:rPr>
          <w:rFonts w:ascii="宋体" w:hAnsi="宋体" w:eastAsia="宋体" w:cs="宋体"/>
          <w:color w:val="auto"/>
          <w:spacing w:val="4"/>
          <w:sz w:val="24"/>
          <w:szCs w:val="24"/>
          <w:highlight w:val="none"/>
        </w:rPr>
        <w:t>标段施工监理投标。现就联合体投标</w:t>
      </w:r>
      <w:r>
        <w:rPr>
          <w:rFonts w:ascii="宋体" w:hAnsi="宋体" w:eastAsia="宋体" w:cs="宋体"/>
          <w:color w:val="auto"/>
          <w:spacing w:val="3"/>
          <w:sz w:val="24"/>
          <w:szCs w:val="24"/>
          <w:highlight w:val="none"/>
        </w:rPr>
        <w:t>事宜订立</w:t>
      </w:r>
      <w:r>
        <w:rPr>
          <w:rFonts w:ascii="宋体" w:hAnsi="宋体" w:eastAsia="宋体" w:cs="宋体"/>
          <w:color w:val="auto"/>
          <w:spacing w:val="-2"/>
          <w:sz w:val="24"/>
          <w:szCs w:val="24"/>
          <w:highlight w:val="none"/>
        </w:rPr>
        <w:t>如下协议。</w:t>
      </w:r>
    </w:p>
    <w:p w14:paraId="5FF7F4CA">
      <w:pPr>
        <w:spacing w:line="218" w:lineRule="auto"/>
        <w:ind w:left="40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w:t>
      </w:r>
      <w:r>
        <w:rPr>
          <w:rFonts w:ascii="宋体" w:hAnsi="宋体" w:eastAsia="宋体" w:cs="宋体"/>
          <w:color w:val="auto"/>
          <w:spacing w:val="-1"/>
          <w:sz w:val="24"/>
          <w:szCs w:val="24"/>
          <w:highlight w:val="none"/>
          <w:u w:val="single" w:color="auto"/>
        </w:rPr>
        <w:t xml:space="preserve">          （某成员单位名称）</w:t>
      </w:r>
      <w:r>
        <w:rPr>
          <w:rFonts w:ascii="宋体" w:hAnsi="宋体" w:eastAsia="宋体" w:cs="宋体"/>
          <w:color w:val="auto"/>
          <w:spacing w:val="-1"/>
          <w:sz w:val="24"/>
          <w:szCs w:val="24"/>
          <w:highlight w:val="none"/>
        </w:rPr>
        <w:t>为</w:t>
      </w:r>
      <w:r>
        <w:rPr>
          <w:rFonts w:ascii="宋体" w:hAnsi="宋体" w:eastAsia="宋体" w:cs="宋体"/>
          <w:color w:val="auto"/>
          <w:spacing w:val="-1"/>
          <w:sz w:val="24"/>
          <w:szCs w:val="24"/>
          <w:highlight w:val="none"/>
          <w:u w:val="single" w:color="auto"/>
        </w:rPr>
        <w:t xml:space="preserve">        （联合体名称）</w:t>
      </w:r>
      <w:r>
        <w:rPr>
          <w:rFonts w:ascii="宋体" w:hAnsi="宋体" w:eastAsia="宋体" w:cs="宋体"/>
          <w:color w:val="auto"/>
          <w:spacing w:val="-1"/>
          <w:sz w:val="24"/>
          <w:szCs w:val="24"/>
          <w:highlight w:val="none"/>
        </w:rPr>
        <w:t>牵头人。</w:t>
      </w:r>
    </w:p>
    <w:p w14:paraId="3B7339EB">
      <w:pPr>
        <w:spacing w:before="113" w:line="308" w:lineRule="auto"/>
        <w:ind w:right="109" w:firstLine="39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2.联合体各成员授权牵头人代表联合体参加投标活动，签署</w:t>
      </w:r>
      <w:r>
        <w:rPr>
          <w:rFonts w:ascii="宋体" w:hAnsi="宋体" w:eastAsia="宋体" w:cs="宋体"/>
          <w:color w:val="auto"/>
          <w:sz w:val="24"/>
          <w:szCs w:val="24"/>
          <w:highlight w:val="none"/>
        </w:rPr>
        <w:t>文件，提交和接收相关</w:t>
      </w:r>
      <w:r>
        <w:rPr>
          <w:rFonts w:ascii="宋体" w:hAnsi="宋体" w:eastAsia="宋体" w:cs="宋体"/>
          <w:color w:val="auto"/>
          <w:spacing w:val="5"/>
          <w:sz w:val="24"/>
          <w:szCs w:val="24"/>
          <w:highlight w:val="none"/>
        </w:rPr>
        <w:t>的资料、信息及指示，进行合同谈判活动，负责合同实施阶段的组织和协调工</w:t>
      </w:r>
      <w:r>
        <w:rPr>
          <w:rFonts w:ascii="宋体" w:hAnsi="宋体" w:eastAsia="宋体" w:cs="宋体"/>
          <w:color w:val="auto"/>
          <w:spacing w:val="4"/>
          <w:sz w:val="24"/>
          <w:szCs w:val="24"/>
          <w:highlight w:val="none"/>
        </w:rPr>
        <w:t>作，以</w:t>
      </w:r>
      <w:r>
        <w:rPr>
          <w:rFonts w:ascii="宋体" w:hAnsi="宋体" w:eastAsia="宋体" w:cs="宋体"/>
          <w:color w:val="auto"/>
          <w:spacing w:val="-1"/>
          <w:sz w:val="24"/>
          <w:szCs w:val="24"/>
          <w:highlight w:val="none"/>
        </w:rPr>
        <w:t>及处理与本招标项目有关的一切事宜。</w:t>
      </w:r>
    </w:p>
    <w:p w14:paraId="4A974378">
      <w:pPr>
        <w:spacing w:before="2" w:line="307" w:lineRule="auto"/>
        <w:ind w:left="6" w:right="109" w:firstLine="39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3.联合体牵头人在本项目中签署的一切文件和处理的一</w:t>
      </w:r>
      <w:r>
        <w:rPr>
          <w:rFonts w:ascii="宋体" w:hAnsi="宋体" w:eastAsia="宋体" w:cs="宋体"/>
          <w:color w:val="auto"/>
          <w:sz w:val="24"/>
          <w:szCs w:val="24"/>
          <w:highlight w:val="none"/>
        </w:rPr>
        <w:t>切事宜，联合体各成员均予</w:t>
      </w:r>
      <w:r>
        <w:rPr>
          <w:rFonts w:ascii="宋体" w:hAnsi="宋体" w:eastAsia="宋体" w:cs="宋体"/>
          <w:color w:val="auto"/>
          <w:spacing w:val="5"/>
          <w:sz w:val="24"/>
          <w:szCs w:val="24"/>
          <w:highlight w:val="none"/>
        </w:rPr>
        <w:t>以承认。联合体各成员将严格按照招标文件、投标文件和合同</w:t>
      </w:r>
      <w:r>
        <w:rPr>
          <w:rFonts w:ascii="宋体" w:hAnsi="宋体" w:eastAsia="宋体" w:cs="宋体"/>
          <w:color w:val="auto"/>
          <w:spacing w:val="4"/>
          <w:sz w:val="24"/>
          <w:szCs w:val="24"/>
          <w:highlight w:val="none"/>
        </w:rPr>
        <w:t>的要求全面履行义务，</w:t>
      </w:r>
      <w:r>
        <w:rPr>
          <w:rFonts w:ascii="宋体" w:hAnsi="宋体" w:eastAsia="宋体" w:cs="宋体"/>
          <w:color w:val="auto"/>
          <w:spacing w:val="-2"/>
          <w:sz w:val="24"/>
          <w:szCs w:val="24"/>
          <w:highlight w:val="none"/>
        </w:rPr>
        <w:t>并向招标人承担连带责任。</w:t>
      </w:r>
    </w:p>
    <w:p w14:paraId="343C1B08">
      <w:pPr>
        <w:spacing w:before="3" w:line="307" w:lineRule="auto"/>
        <w:ind w:right="107" w:firstLine="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4.联合体各成员单位内部的职责分工如下</w:t>
      </w:r>
      <w:r>
        <w:rPr>
          <w:rFonts w:ascii="宋体" w:hAnsi="宋体" w:eastAsia="宋体" w:cs="宋体"/>
          <w:color w:val="auto"/>
          <w:spacing w:val="-13"/>
          <w:sz w:val="24"/>
          <w:szCs w:val="24"/>
          <w:highlight w:val="none"/>
        </w:rPr>
        <w:t>：</w:t>
      </w:r>
      <w:r>
        <w:rPr>
          <w:rFonts w:ascii="宋体" w:hAnsi="宋体" w:eastAsia="宋体" w:cs="宋体"/>
          <w:color w:val="auto"/>
          <w:spacing w:val="2"/>
          <w:sz w:val="24"/>
          <w:szCs w:val="24"/>
          <w:highlight w:val="none"/>
          <w:u w:val="single" w:color="auto"/>
        </w:rPr>
        <w:t xml:space="preserve">   </w:t>
      </w:r>
      <w:r>
        <w:rPr>
          <w:rFonts w:ascii="宋体" w:hAnsi="宋体" w:eastAsia="宋体" w:cs="宋体"/>
          <w:color w:val="auto"/>
          <w:spacing w:val="-13"/>
          <w:sz w:val="24"/>
          <w:szCs w:val="24"/>
          <w:highlight w:val="none"/>
          <w:u w:val="single" w:color="auto"/>
        </w:rPr>
        <w:t>（</w:t>
      </w:r>
      <w:r>
        <w:rPr>
          <w:rFonts w:ascii="宋体" w:hAnsi="宋体" w:eastAsia="宋体" w:cs="宋体"/>
          <w:color w:val="auto"/>
          <w:spacing w:val="2"/>
          <w:sz w:val="24"/>
          <w:szCs w:val="24"/>
          <w:highlight w:val="none"/>
          <w:u w:val="single" w:color="auto"/>
        </w:rPr>
        <w:t>牵头人名称）</w:t>
      </w:r>
      <w:r>
        <w:rPr>
          <w:rFonts w:ascii="宋体" w:hAnsi="宋体" w:eastAsia="宋体" w:cs="宋体"/>
          <w:color w:val="auto"/>
          <w:spacing w:val="2"/>
          <w:sz w:val="24"/>
          <w:szCs w:val="24"/>
          <w:highlight w:val="none"/>
        </w:rPr>
        <w:t>承担</w:t>
      </w:r>
      <w:r>
        <w:rPr>
          <w:rFonts w:ascii="宋体" w:hAnsi="宋体" w:eastAsia="宋体" w:cs="宋体"/>
          <w:color w:val="auto"/>
          <w:spacing w:val="-118"/>
          <w:sz w:val="24"/>
          <w:szCs w:val="24"/>
          <w:highlight w:val="none"/>
        </w:rPr>
        <w:t xml:space="preserve"> </w:t>
      </w:r>
      <w:r>
        <w:rPr>
          <w:rFonts w:ascii="宋体" w:hAnsi="宋体" w:eastAsia="宋体" w:cs="宋体"/>
          <w:color w:val="auto"/>
          <w:spacing w:val="2"/>
          <w:sz w:val="24"/>
          <w:szCs w:val="24"/>
          <w:highlight w:val="none"/>
          <w:u w:val="single" w:color="auto"/>
        </w:rPr>
        <w:t xml:space="preserve">      </w:t>
      </w:r>
      <w:r>
        <w:rPr>
          <w:rFonts w:ascii="宋体" w:hAnsi="宋体" w:eastAsia="宋体" w:cs="宋体"/>
          <w:color w:val="auto"/>
          <w:spacing w:val="-110"/>
          <w:sz w:val="24"/>
          <w:szCs w:val="24"/>
          <w:highlight w:val="none"/>
        </w:rPr>
        <w:t xml:space="preserve"> </w:t>
      </w:r>
      <w:r>
        <w:rPr>
          <w:rFonts w:ascii="宋体" w:hAnsi="宋体" w:eastAsia="宋体" w:cs="宋体"/>
          <w:color w:val="auto"/>
          <w:spacing w:val="2"/>
          <w:sz w:val="24"/>
          <w:szCs w:val="24"/>
          <w:highlight w:val="none"/>
        </w:rPr>
        <w:t>专业工</w:t>
      </w:r>
      <w:r>
        <w:rPr>
          <w:rFonts w:ascii="宋体" w:hAnsi="宋体" w:eastAsia="宋体" w:cs="宋体"/>
          <w:color w:val="auto"/>
          <w:spacing w:val="9"/>
          <w:sz w:val="24"/>
          <w:szCs w:val="24"/>
          <w:highlight w:val="none"/>
        </w:rPr>
        <w:t>程</w:t>
      </w:r>
      <w:r>
        <w:rPr>
          <w:rFonts w:ascii="宋体" w:hAnsi="宋体" w:eastAsia="宋体" w:cs="宋体"/>
          <w:color w:val="auto"/>
          <w:spacing w:val="-71"/>
          <w:sz w:val="24"/>
          <w:szCs w:val="24"/>
          <w:highlight w:val="none"/>
        </w:rPr>
        <w:t xml:space="preserve"> </w:t>
      </w:r>
      <w:r>
        <w:rPr>
          <w:rFonts w:ascii="宋体" w:hAnsi="宋体" w:eastAsia="宋体" w:cs="宋体"/>
          <w:color w:val="auto"/>
          <w:spacing w:val="9"/>
          <w:sz w:val="24"/>
          <w:szCs w:val="24"/>
          <w:highlight w:val="none"/>
        </w:rPr>
        <w:t>，</w:t>
      </w:r>
      <w:r>
        <w:rPr>
          <w:rFonts w:ascii="宋体" w:hAnsi="宋体" w:eastAsia="宋体" w:cs="宋体"/>
          <w:color w:val="auto"/>
          <w:spacing w:val="-52"/>
          <w:sz w:val="24"/>
          <w:szCs w:val="24"/>
          <w:highlight w:val="none"/>
        </w:rPr>
        <w:t xml:space="preserve"> </w:t>
      </w:r>
      <w:r>
        <w:rPr>
          <w:rFonts w:ascii="宋体" w:hAnsi="宋体" w:eastAsia="宋体" w:cs="宋体"/>
          <w:color w:val="auto"/>
          <w:spacing w:val="9"/>
          <w:sz w:val="24"/>
          <w:szCs w:val="24"/>
          <w:highlight w:val="none"/>
        </w:rPr>
        <w:t>占总工程量的</w:t>
      </w:r>
      <w:r>
        <w:rPr>
          <w:rFonts w:ascii="宋体" w:hAnsi="宋体" w:eastAsia="宋体" w:cs="宋体"/>
          <w:color w:val="auto"/>
          <w:spacing w:val="-101"/>
          <w:sz w:val="24"/>
          <w:szCs w:val="24"/>
          <w:highlight w:val="none"/>
        </w:rPr>
        <w:t xml:space="preserve"> </w:t>
      </w:r>
      <w:r>
        <w:rPr>
          <w:rFonts w:ascii="宋体" w:hAnsi="宋体" w:eastAsia="宋体" w:cs="宋体"/>
          <w:color w:val="auto"/>
          <w:spacing w:val="20"/>
          <w:sz w:val="24"/>
          <w:szCs w:val="24"/>
          <w:highlight w:val="none"/>
          <w:u w:val="single" w:color="auto"/>
        </w:rPr>
        <w:t xml:space="preserve">   </w:t>
      </w:r>
      <w:r>
        <w:rPr>
          <w:rFonts w:ascii="宋体" w:hAnsi="宋体" w:eastAsia="宋体" w:cs="宋体"/>
          <w:color w:val="auto"/>
          <w:spacing w:val="-117"/>
          <w:sz w:val="24"/>
          <w:szCs w:val="24"/>
          <w:highlight w:val="none"/>
        </w:rPr>
        <w:t xml:space="preserve"> </w:t>
      </w:r>
      <w:r>
        <w:rPr>
          <w:rFonts w:ascii="宋体" w:hAnsi="宋体" w:eastAsia="宋体" w:cs="宋体"/>
          <w:color w:val="auto"/>
          <w:spacing w:val="9"/>
          <w:sz w:val="24"/>
          <w:szCs w:val="24"/>
          <w:highlight w:val="none"/>
        </w:rPr>
        <w:t>%</w:t>
      </w:r>
      <w:r>
        <w:rPr>
          <w:rFonts w:ascii="宋体" w:hAnsi="宋体" w:eastAsia="宋体" w:cs="宋体"/>
          <w:color w:val="auto"/>
          <w:spacing w:val="-71"/>
          <w:sz w:val="24"/>
          <w:szCs w:val="24"/>
          <w:highlight w:val="none"/>
        </w:rPr>
        <w:t xml:space="preserve"> </w:t>
      </w:r>
      <w:r>
        <w:rPr>
          <w:rFonts w:ascii="宋体" w:hAnsi="宋体" w:eastAsia="宋体" w:cs="宋体"/>
          <w:color w:val="auto"/>
          <w:spacing w:val="-19"/>
          <w:sz w:val="24"/>
          <w:szCs w:val="24"/>
          <w:highlight w:val="none"/>
        </w:rPr>
        <w:t>；</w:t>
      </w:r>
      <w:r>
        <w:rPr>
          <w:rFonts w:ascii="宋体" w:hAnsi="宋体" w:eastAsia="宋体" w:cs="宋体"/>
          <w:color w:val="auto"/>
          <w:spacing w:val="20"/>
          <w:sz w:val="24"/>
          <w:szCs w:val="24"/>
          <w:highlight w:val="none"/>
          <w:u w:val="single" w:color="auto"/>
        </w:rPr>
        <w:t xml:space="preserve">     </w:t>
      </w:r>
      <w:r>
        <w:rPr>
          <w:rFonts w:ascii="宋体" w:hAnsi="宋体" w:eastAsia="宋体" w:cs="宋体"/>
          <w:color w:val="auto"/>
          <w:spacing w:val="-19"/>
          <w:sz w:val="24"/>
          <w:szCs w:val="24"/>
          <w:highlight w:val="none"/>
          <w:u w:val="single" w:color="auto"/>
        </w:rPr>
        <w:t>（</w:t>
      </w:r>
      <w:r>
        <w:rPr>
          <w:rFonts w:ascii="宋体" w:hAnsi="宋体" w:eastAsia="宋体" w:cs="宋体"/>
          <w:color w:val="auto"/>
          <w:spacing w:val="9"/>
          <w:sz w:val="24"/>
          <w:szCs w:val="24"/>
          <w:highlight w:val="none"/>
          <w:u w:val="single" w:color="auto"/>
        </w:rPr>
        <w:t>成员一名称）</w:t>
      </w:r>
      <w:r>
        <w:rPr>
          <w:rFonts w:ascii="宋体" w:hAnsi="宋体" w:eastAsia="宋体" w:cs="宋体"/>
          <w:color w:val="auto"/>
          <w:spacing w:val="9"/>
          <w:sz w:val="24"/>
          <w:szCs w:val="24"/>
          <w:highlight w:val="none"/>
        </w:rPr>
        <w:t>承担</w:t>
      </w:r>
      <w:r>
        <w:rPr>
          <w:rFonts w:ascii="宋体" w:hAnsi="宋体" w:eastAsia="宋体" w:cs="宋体"/>
          <w:color w:val="auto"/>
          <w:spacing w:val="-97"/>
          <w:sz w:val="24"/>
          <w:szCs w:val="24"/>
          <w:highlight w:val="none"/>
        </w:rPr>
        <w:t xml:space="preserve"> </w:t>
      </w:r>
      <w:r>
        <w:rPr>
          <w:rFonts w:ascii="宋体" w:hAnsi="宋体" w:eastAsia="宋体" w:cs="宋体"/>
          <w:color w:val="auto"/>
          <w:spacing w:val="19"/>
          <w:sz w:val="24"/>
          <w:szCs w:val="24"/>
          <w:highlight w:val="none"/>
          <w:u w:val="single" w:color="auto"/>
        </w:rPr>
        <w:t xml:space="preserve">    </w:t>
      </w:r>
      <w:r>
        <w:rPr>
          <w:rFonts w:ascii="宋体" w:hAnsi="宋体" w:eastAsia="宋体" w:cs="宋体"/>
          <w:color w:val="auto"/>
          <w:spacing w:val="-106"/>
          <w:sz w:val="24"/>
          <w:szCs w:val="24"/>
          <w:highlight w:val="none"/>
        </w:rPr>
        <w:t xml:space="preserve"> </w:t>
      </w:r>
      <w:r>
        <w:rPr>
          <w:rFonts w:ascii="宋体" w:hAnsi="宋体" w:eastAsia="宋体" w:cs="宋体"/>
          <w:color w:val="auto"/>
          <w:spacing w:val="9"/>
          <w:sz w:val="24"/>
          <w:szCs w:val="24"/>
          <w:highlight w:val="none"/>
        </w:rPr>
        <w:t>专业工程</w:t>
      </w:r>
      <w:r>
        <w:rPr>
          <w:rFonts w:ascii="宋体" w:hAnsi="宋体" w:eastAsia="宋体" w:cs="宋体"/>
          <w:color w:val="auto"/>
          <w:spacing w:val="-72"/>
          <w:sz w:val="24"/>
          <w:szCs w:val="24"/>
          <w:highlight w:val="none"/>
        </w:rPr>
        <w:t xml:space="preserve"> </w:t>
      </w:r>
      <w:r>
        <w:rPr>
          <w:rFonts w:ascii="宋体" w:hAnsi="宋体" w:eastAsia="宋体" w:cs="宋体"/>
          <w:color w:val="auto"/>
          <w:spacing w:val="9"/>
          <w:sz w:val="24"/>
          <w:szCs w:val="24"/>
          <w:highlight w:val="none"/>
        </w:rPr>
        <w:t>，</w:t>
      </w:r>
      <w:r>
        <w:rPr>
          <w:rFonts w:ascii="宋体" w:hAnsi="宋体" w:eastAsia="宋体" w:cs="宋体"/>
          <w:color w:val="auto"/>
          <w:spacing w:val="-52"/>
          <w:sz w:val="24"/>
          <w:szCs w:val="24"/>
          <w:highlight w:val="none"/>
        </w:rPr>
        <w:t xml:space="preserve"> </w:t>
      </w:r>
      <w:r>
        <w:rPr>
          <w:rFonts w:ascii="宋体" w:hAnsi="宋体" w:eastAsia="宋体" w:cs="宋体"/>
          <w:color w:val="auto"/>
          <w:spacing w:val="9"/>
          <w:sz w:val="24"/>
          <w:szCs w:val="24"/>
          <w:highlight w:val="none"/>
        </w:rPr>
        <w:t>占总工程量</w:t>
      </w:r>
      <w:r>
        <w:rPr>
          <w:rFonts w:ascii="宋体" w:hAnsi="宋体" w:eastAsia="宋体" w:cs="宋体"/>
          <w:color w:val="auto"/>
          <w:spacing w:val="-1"/>
          <w:sz w:val="24"/>
          <w:szCs w:val="24"/>
          <w:highlight w:val="none"/>
        </w:rPr>
        <w:t>的</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
          <w:sz w:val="24"/>
          <w:szCs w:val="24"/>
          <w:highlight w:val="none"/>
        </w:rPr>
        <w:t>%；……。</w:t>
      </w:r>
    </w:p>
    <w:p w14:paraId="3DB94751">
      <w:pPr>
        <w:spacing w:before="1" w:line="308" w:lineRule="auto"/>
        <w:ind w:right="109" w:firstLine="485"/>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5.投标工作和联合体在中标后工程实施过程中的有关费用按各自承担的</w:t>
      </w:r>
      <w:r>
        <w:rPr>
          <w:rFonts w:ascii="宋体" w:hAnsi="宋体" w:eastAsia="宋体" w:cs="宋体"/>
          <w:color w:val="auto"/>
          <w:spacing w:val="4"/>
          <w:sz w:val="24"/>
          <w:szCs w:val="24"/>
          <w:highlight w:val="none"/>
        </w:rPr>
        <w:t>工作量分</w:t>
      </w:r>
      <w:r>
        <w:rPr>
          <w:rFonts w:ascii="宋体" w:hAnsi="宋体" w:eastAsia="宋体" w:cs="宋体"/>
          <w:color w:val="auto"/>
          <w:spacing w:val="-5"/>
          <w:sz w:val="24"/>
          <w:szCs w:val="24"/>
          <w:highlight w:val="none"/>
        </w:rPr>
        <w:t>摊。</w:t>
      </w:r>
    </w:p>
    <w:p w14:paraId="4A45285A">
      <w:pPr>
        <w:spacing w:before="1" w:line="307" w:lineRule="auto"/>
        <w:ind w:left="5" w:right="109" w:firstLine="477"/>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6.本协议书自所有成员单位法定代表人签字或盖单位章之日起生效，合同履行完</w:t>
      </w:r>
      <w:r>
        <w:rPr>
          <w:rFonts w:ascii="宋体" w:hAnsi="宋体" w:eastAsia="宋体" w:cs="宋体"/>
          <w:color w:val="auto"/>
          <w:spacing w:val="-3"/>
          <w:sz w:val="24"/>
          <w:szCs w:val="24"/>
          <w:highlight w:val="none"/>
        </w:rPr>
        <w:t>毕后自动失效。</w:t>
      </w:r>
    </w:p>
    <w:p w14:paraId="4DF15DB7">
      <w:pPr>
        <w:spacing w:before="1" w:line="218" w:lineRule="auto"/>
        <w:ind w:left="48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7.本协议书一式</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
          <w:sz w:val="24"/>
          <w:szCs w:val="24"/>
          <w:highlight w:val="none"/>
        </w:rPr>
        <w:t>份，联合体成员和招标人各执一份。</w:t>
      </w:r>
    </w:p>
    <w:p w14:paraId="1975BA2C">
      <w:pPr>
        <w:spacing w:line="433" w:lineRule="auto"/>
        <w:rPr>
          <w:rFonts w:ascii="Arial"/>
          <w:color w:val="auto"/>
          <w:sz w:val="21"/>
          <w:highlight w:val="none"/>
        </w:rPr>
      </w:pPr>
    </w:p>
    <w:p w14:paraId="7076C972">
      <w:pPr>
        <w:spacing w:before="79" w:line="219" w:lineRule="auto"/>
        <w:ind w:left="47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联合体牵头人名称</w:t>
      </w:r>
      <w:r>
        <w:rPr>
          <w:rFonts w:ascii="宋体" w:hAnsi="宋体" w:eastAsia="宋体" w:cs="宋体"/>
          <w:color w:val="auto"/>
          <w:spacing w:val="-13"/>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3"/>
          <w:sz w:val="24"/>
          <w:szCs w:val="24"/>
          <w:highlight w:val="none"/>
        </w:rPr>
        <w:t>（</w:t>
      </w:r>
      <w:r>
        <w:rPr>
          <w:rFonts w:ascii="宋体" w:hAnsi="宋体" w:eastAsia="宋体" w:cs="宋体"/>
          <w:color w:val="auto"/>
          <w:spacing w:val="1"/>
          <w:sz w:val="24"/>
          <w:szCs w:val="24"/>
          <w:highlight w:val="none"/>
        </w:rPr>
        <w:t>盖单位章）</w:t>
      </w:r>
    </w:p>
    <w:p w14:paraId="635A52CC">
      <w:pPr>
        <w:spacing w:before="117" w:line="219" w:lineRule="auto"/>
        <w:ind w:left="47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w:t>
      </w:r>
      <w:r>
        <w:rPr>
          <w:rFonts w:ascii="宋体" w:hAnsi="宋体" w:eastAsia="宋体" w:cs="宋体"/>
          <w:color w:val="auto"/>
          <w:spacing w:val="-18"/>
          <w:sz w:val="24"/>
          <w:szCs w:val="24"/>
          <w:highlight w:val="none"/>
        </w:rPr>
        <w:t>：</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18"/>
          <w:sz w:val="24"/>
          <w:szCs w:val="24"/>
          <w:highlight w:val="none"/>
        </w:rPr>
        <w:t>（</w:t>
      </w:r>
      <w:r>
        <w:rPr>
          <w:rFonts w:ascii="宋体" w:hAnsi="宋体" w:eastAsia="宋体" w:cs="宋体"/>
          <w:color w:val="auto"/>
          <w:spacing w:val="3"/>
          <w:sz w:val="24"/>
          <w:szCs w:val="24"/>
          <w:highlight w:val="none"/>
        </w:rPr>
        <w:t>签字）</w:t>
      </w:r>
    </w:p>
    <w:p w14:paraId="5A7E62DC">
      <w:pPr>
        <w:spacing w:line="432" w:lineRule="auto"/>
        <w:rPr>
          <w:rFonts w:ascii="Arial"/>
          <w:color w:val="auto"/>
          <w:sz w:val="21"/>
          <w:highlight w:val="none"/>
        </w:rPr>
      </w:pPr>
    </w:p>
    <w:p w14:paraId="3AA3291B">
      <w:pPr>
        <w:spacing w:before="78" w:line="219" w:lineRule="auto"/>
        <w:ind w:left="47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联合体成员名称</w:t>
      </w:r>
      <w:r>
        <w:rPr>
          <w:rFonts w:ascii="宋体" w:hAnsi="宋体" w:eastAsia="宋体" w:cs="宋体"/>
          <w:color w:val="auto"/>
          <w:spacing w:val="-18"/>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8"/>
          <w:sz w:val="24"/>
          <w:szCs w:val="24"/>
          <w:highlight w:val="none"/>
        </w:rPr>
        <w:t>（</w:t>
      </w:r>
      <w:r>
        <w:rPr>
          <w:rFonts w:ascii="宋体" w:hAnsi="宋体" w:eastAsia="宋体" w:cs="宋体"/>
          <w:color w:val="auto"/>
          <w:spacing w:val="2"/>
          <w:sz w:val="24"/>
          <w:szCs w:val="24"/>
          <w:highlight w:val="none"/>
        </w:rPr>
        <w:t>盖单位章）</w:t>
      </w:r>
    </w:p>
    <w:p w14:paraId="7A54FDDD">
      <w:pPr>
        <w:spacing w:before="118" w:line="219" w:lineRule="auto"/>
        <w:ind w:left="47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w:t>
      </w:r>
      <w:r>
        <w:rPr>
          <w:rFonts w:ascii="宋体" w:hAnsi="宋体" w:eastAsia="宋体" w:cs="宋体"/>
          <w:color w:val="auto"/>
          <w:spacing w:val="-18"/>
          <w:sz w:val="24"/>
          <w:szCs w:val="24"/>
          <w:highlight w:val="none"/>
        </w:rPr>
        <w:t>：</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18"/>
          <w:sz w:val="24"/>
          <w:szCs w:val="24"/>
          <w:highlight w:val="none"/>
        </w:rPr>
        <w:t>（</w:t>
      </w:r>
      <w:r>
        <w:rPr>
          <w:rFonts w:ascii="宋体" w:hAnsi="宋体" w:eastAsia="宋体" w:cs="宋体"/>
          <w:color w:val="auto"/>
          <w:spacing w:val="3"/>
          <w:sz w:val="24"/>
          <w:szCs w:val="24"/>
          <w:highlight w:val="none"/>
        </w:rPr>
        <w:t>签字）</w:t>
      </w:r>
    </w:p>
    <w:p w14:paraId="785DF4FA">
      <w:pPr>
        <w:spacing w:line="433" w:lineRule="auto"/>
        <w:rPr>
          <w:rFonts w:ascii="Arial"/>
          <w:color w:val="auto"/>
          <w:sz w:val="21"/>
          <w:highlight w:val="none"/>
        </w:rPr>
      </w:pPr>
    </w:p>
    <w:p w14:paraId="052BD901">
      <w:pPr>
        <w:spacing w:before="78" w:line="378" w:lineRule="exact"/>
        <w:ind w:left="496"/>
        <w:rPr>
          <w:rFonts w:ascii="宋体" w:hAnsi="宋体" w:eastAsia="宋体" w:cs="宋体"/>
          <w:color w:val="auto"/>
          <w:sz w:val="24"/>
          <w:szCs w:val="24"/>
          <w:highlight w:val="none"/>
        </w:rPr>
      </w:pPr>
      <w:r>
        <w:rPr>
          <w:rFonts w:ascii="宋体" w:hAnsi="宋体" w:eastAsia="宋体" w:cs="宋体"/>
          <w:color w:val="auto"/>
          <w:spacing w:val="-13"/>
          <w:position w:val="3"/>
          <w:sz w:val="24"/>
          <w:szCs w:val="24"/>
          <w:highlight w:val="none"/>
        </w:rPr>
        <w:t>……</w:t>
      </w:r>
    </w:p>
    <w:p w14:paraId="4BDA8AF3">
      <w:pPr>
        <w:bidi w:val="0"/>
        <w:jc w:val="right"/>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8"/>
          <w:sz w:val="24"/>
          <w:szCs w:val="24"/>
          <w:highlight w:val="none"/>
        </w:rPr>
        <w:t xml:space="preserve"> </w:t>
      </w:r>
      <w:r>
        <w:rPr>
          <w:rFonts w:ascii="宋体" w:hAnsi="宋体" w:eastAsia="宋体" w:cs="宋体"/>
          <w:color w:val="auto"/>
          <w:spacing w:val="-7"/>
          <w:sz w:val="24"/>
          <w:szCs w:val="24"/>
          <w:highlight w:val="none"/>
        </w:rPr>
        <w:t xml:space="preserve">年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7"/>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7"/>
          <w:sz w:val="24"/>
          <w:szCs w:val="24"/>
          <w:highlight w:val="none"/>
        </w:rPr>
        <w:t>日</w:t>
      </w:r>
    </w:p>
    <w:p w14:paraId="5BE2ADE0">
      <w:pPr>
        <w:spacing w:line="219" w:lineRule="auto"/>
        <w:rPr>
          <w:rFonts w:ascii="宋体" w:hAnsi="宋体" w:eastAsia="宋体" w:cs="宋体"/>
          <w:color w:val="auto"/>
          <w:sz w:val="24"/>
          <w:szCs w:val="24"/>
          <w:highlight w:val="none"/>
        </w:rPr>
      </w:pPr>
    </w:p>
    <w:p w14:paraId="30E3B9B3">
      <w:pPr>
        <w:spacing w:line="219" w:lineRule="auto"/>
        <w:rPr>
          <w:rFonts w:ascii="宋体" w:hAnsi="宋体" w:eastAsia="宋体" w:cs="宋体"/>
          <w:color w:val="auto"/>
          <w:sz w:val="24"/>
          <w:szCs w:val="24"/>
          <w:highlight w:val="none"/>
        </w:rPr>
      </w:pPr>
    </w:p>
    <w:p w14:paraId="44EA78D9">
      <w:pPr>
        <w:spacing w:line="219" w:lineRule="auto"/>
        <w:rPr>
          <w:rFonts w:ascii="宋体" w:hAnsi="宋体" w:eastAsia="宋体" w:cs="宋体"/>
          <w:color w:val="auto"/>
          <w:sz w:val="24"/>
          <w:szCs w:val="24"/>
          <w:highlight w:val="none"/>
        </w:rPr>
      </w:pPr>
    </w:p>
    <w:p w14:paraId="76C51B6A">
      <w:pPr>
        <w:spacing w:line="219" w:lineRule="auto"/>
        <w:rPr>
          <w:rFonts w:ascii="宋体" w:hAnsi="宋体" w:eastAsia="宋体" w:cs="宋体"/>
          <w:color w:val="auto"/>
          <w:sz w:val="24"/>
          <w:szCs w:val="24"/>
          <w:highlight w:val="none"/>
        </w:rPr>
      </w:pPr>
    </w:p>
    <w:p w14:paraId="2F0D5558">
      <w:pPr>
        <w:spacing w:line="219" w:lineRule="auto"/>
        <w:rPr>
          <w:rFonts w:ascii="宋体" w:hAnsi="宋体" w:eastAsia="宋体" w:cs="宋体"/>
          <w:color w:val="auto"/>
          <w:sz w:val="24"/>
          <w:szCs w:val="24"/>
          <w:highlight w:val="none"/>
        </w:rPr>
      </w:pPr>
    </w:p>
    <w:p w14:paraId="79DE7C2C">
      <w:pPr>
        <w:spacing w:line="219" w:lineRule="auto"/>
        <w:rPr>
          <w:rFonts w:ascii="宋体" w:hAnsi="宋体" w:eastAsia="宋体" w:cs="宋体"/>
          <w:color w:val="auto"/>
          <w:sz w:val="24"/>
          <w:szCs w:val="24"/>
          <w:highlight w:val="none"/>
        </w:rPr>
      </w:pPr>
    </w:p>
    <w:p w14:paraId="437DF139">
      <w:pPr>
        <w:spacing w:line="219" w:lineRule="auto"/>
        <w:rPr>
          <w:rFonts w:ascii="宋体" w:hAnsi="宋体" w:eastAsia="宋体" w:cs="宋体"/>
          <w:color w:val="auto"/>
          <w:sz w:val="24"/>
          <w:szCs w:val="24"/>
          <w:highlight w:val="none"/>
        </w:rPr>
      </w:pPr>
    </w:p>
    <w:p w14:paraId="67EE8CE4">
      <w:pPr>
        <w:spacing w:line="219" w:lineRule="auto"/>
        <w:rPr>
          <w:rFonts w:ascii="宋体" w:hAnsi="宋体" w:eastAsia="宋体" w:cs="宋体"/>
          <w:color w:val="auto"/>
          <w:sz w:val="24"/>
          <w:szCs w:val="24"/>
          <w:highlight w:val="none"/>
        </w:rPr>
        <w:sectPr>
          <w:footerReference r:id="rId37" w:type="default"/>
          <w:pgSz w:w="11905" w:h="16838"/>
          <w:pgMar w:top="1134" w:right="1134" w:bottom="1134" w:left="1134" w:header="0" w:footer="1066" w:gutter="0"/>
          <w:pgNumType w:fmt="decimal"/>
          <w:cols w:space="0" w:num="1"/>
          <w:rtlGutter w:val="0"/>
          <w:docGrid w:linePitch="0" w:charSpace="0"/>
        </w:sectPr>
      </w:pPr>
    </w:p>
    <w:p w14:paraId="015677CD">
      <w:pPr>
        <w:pStyle w:val="3"/>
        <w:bidi w:val="0"/>
        <w:jc w:val="center"/>
        <w:rPr>
          <w:color w:val="auto"/>
          <w:highlight w:val="none"/>
        </w:rPr>
      </w:pPr>
      <w:r>
        <w:rPr>
          <w:color w:val="auto"/>
          <w:highlight w:val="none"/>
        </w:rPr>
        <w:t>四、投标保证金</w:t>
      </w:r>
    </w:p>
    <w:p w14:paraId="6AEDF1C7">
      <w:pPr>
        <w:spacing w:line="252" w:lineRule="auto"/>
        <w:rPr>
          <w:rFonts w:ascii="Arial"/>
          <w:color w:val="auto"/>
          <w:sz w:val="21"/>
          <w:highlight w:val="none"/>
        </w:rPr>
      </w:pPr>
    </w:p>
    <w:p w14:paraId="08541652">
      <w:pPr>
        <w:spacing w:line="253" w:lineRule="auto"/>
        <w:rPr>
          <w:rFonts w:ascii="Arial"/>
          <w:color w:val="auto"/>
          <w:sz w:val="21"/>
          <w:highlight w:val="none"/>
        </w:rPr>
      </w:pPr>
    </w:p>
    <w:p w14:paraId="19A3DA6A">
      <w:pPr>
        <w:spacing w:line="253" w:lineRule="auto"/>
        <w:rPr>
          <w:rFonts w:ascii="Arial"/>
          <w:color w:val="auto"/>
          <w:sz w:val="21"/>
          <w:highlight w:val="none"/>
        </w:rPr>
      </w:pPr>
    </w:p>
    <w:p w14:paraId="025B87AA">
      <w:pPr>
        <w:kinsoku w:val="0"/>
        <w:autoSpaceDE w:val="0"/>
        <w:autoSpaceDN w:val="0"/>
        <w:adjustRightInd w:val="0"/>
        <w:snapToGrid w:val="0"/>
        <w:spacing w:line="252" w:lineRule="auto"/>
        <w:jc w:val="left"/>
        <w:textAlignment w:val="baseline"/>
        <w:rPr>
          <w:rFonts w:hint="eastAsia" w:ascii="Arial" w:hAnsi="Arial" w:eastAsia="Arial" w:cs="Arial"/>
          <w:snapToGrid w:val="0"/>
          <w:color w:val="auto"/>
          <w:kern w:val="0"/>
          <w:szCs w:val="21"/>
          <w:highlight w:val="none"/>
          <w:lang w:eastAsia="zh-CN"/>
        </w:rPr>
      </w:pPr>
      <w:r>
        <w:rPr>
          <w:rFonts w:hint="eastAsia" w:ascii="Arial" w:hAnsi="Arial" w:eastAsia="Arial" w:cs="Arial"/>
          <w:snapToGrid w:val="0"/>
          <w:color w:val="auto"/>
          <w:kern w:val="0"/>
          <w:szCs w:val="21"/>
          <w:highlight w:val="none"/>
          <w:lang w:eastAsia="zh-CN"/>
        </w:rPr>
        <w:t>如采用银行转账，投标人应在此提供汇款凭证的</w:t>
      </w:r>
      <w:r>
        <w:rPr>
          <w:rFonts w:hint="eastAsia" w:cs="Arial"/>
          <w:snapToGrid w:val="0"/>
          <w:color w:val="auto"/>
          <w:kern w:val="0"/>
          <w:szCs w:val="21"/>
          <w:highlight w:val="none"/>
          <w:lang w:eastAsia="zh-CN"/>
        </w:rPr>
        <w:t>扫描</w:t>
      </w:r>
      <w:r>
        <w:rPr>
          <w:rFonts w:hint="eastAsia" w:ascii="Arial" w:hAnsi="Arial" w:eastAsia="Arial" w:cs="Arial"/>
          <w:snapToGrid w:val="0"/>
          <w:color w:val="auto"/>
          <w:kern w:val="0"/>
          <w:szCs w:val="21"/>
          <w:highlight w:val="none"/>
          <w:lang w:eastAsia="zh-CN"/>
        </w:rPr>
        <w:t>件。</w:t>
      </w:r>
    </w:p>
    <w:p w14:paraId="4CFBBFDB">
      <w:pPr>
        <w:kinsoku w:val="0"/>
        <w:autoSpaceDE w:val="0"/>
        <w:autoSpaceDN w:val="0"/>
        <w:adjustRightInd w:val="0"/>
        <w:snapToGrid w:val="0"/>
        <w:spacing w:line="252" w:lineRule="auto"/>
        <w:jc w:val="left"/>
        <w:textAlignment w:val="baseline"/>
        <w:rPr>
          <w:rFonts w:hint="eastAsia" w:ascii="Arial" w:hAnsi="Arial" w:eastAsia="Arial" w:cs="Arial"/>
          <w:snapToGrid w:val="0"/>
          <w:color w:val="auto"/>
          <w:kern w:val="0"/>
          <w:szCs w:val="21"/>
          <w:highlight w:val="none"/>
          <w:lang w:eastAsia="zh-CN"/>
        </w:rPr>
      </w:pPr>
      <w:r>
        <w:rPr>
          <w:rFonts w:hint="eastAsia" w:ascii="Arial" w:hAnsi="Arial" w:eastAsia="Arial" w:cs="Arial"/>
          <w:snapToGrid w:val="0"/>
          <w:color w:val="auto"/>
          <w:kern w:val="0"/>
          <w:szCs w:val="21"/>
          <w:highlight w:val="none"/>
          <w:lang w:eastAsia="zh-CN"/>
        </w:rPr>
        <w:t>如采用银行保函，投标人应在此提供银行保函</w:t>
      </w:r>
      <w:r>
        <w:rPr>
          <w:rFonts w:hint="eastAsia" w:cs="Arial"/>
          <w:snapToGrid w:val="0"/>
          <w:color w:val="auto"/>
          <w:kern w:val="0"/>
          <w:szCs w:val="21"/>
          <w:highlight w:val="none"/>
          <w:lang w:eastAsia="zh-CN"/>
        </w:rPr>
        <w:t>扫描</w:t>
      </w:r>
      <w:r>
        <w:rPr>
          <w:rFonts w:hint="eastAsia" w:ascii="Arial" w:hAnsi="Arial" w:eastAsia="Arial" w:cs="Arial"/>
          <w:snapToGrid w:val="0"/>
          <w:color w:val="auto"/>
          <w:kern w:val="0"/>
          <w:szCs w:val="21"/>
          <w:highlight w:val="none"/>
          <w:lang w:eastAsia="zh-CN"/>
        </w:rPr>
        <w:t>件。</w:t>
      </w:r>
    </w:p>
    <w:p w14:paraId="182FDBE8">
      <w:pPr>
        <w:spacing w:before="24" w:line="217" w:lineRule="auto"/>
        <w:rPr>
          <w:rFonts w:ascii="宋体" w:hAnsi="宋体" w:eastAsia="宋体" w:cs="宋体"/>
          <w:color w:val="auto"/>
          <w:sz w:val="4"/>
          <w:szCs w:val="4"/>
          <w:highlight w:val="none"/>
        </w:rPr>
        <w:sectPr>
          <w:footerReference r:id="rId38" w:type="default"/>
          <w:type w:val="continuous"/>
          <w:pgSz w:w="11905" w:h="16838"/>
          <w:pgMar w:top="1134" w:right="1134" w:bottom="1134" w:left="1134" w:header="0" w:footer="1066" w:gutter="0"/>
          <w:pgNumType w:fmt="decimal"/>
          <w:cols w:space="0" w:num="1"/>
          <w:rtlGutter w:val="0"/>
          <w:docGrid w:linePitch="0" w:charSpace="0"/>
        </w:sectPr>
      </w:pPr>
      <w:r>
        <w:rPr>
          <w:rFonts w:hint="eastAsia" w:ascii="Arial" w:hAnsi="Arial" w:eastAsia="Arial" w:cs="Arial"/>
          <w:snapToGrid w:val="0"/>
          <w:color w:val="auto"/>
          <w:kern w:val="0"/>
          <w:szCs w:val="21"/>
          <w:highlight w:val="none"/>
          <w:lang w:eastAsia="zh-CN"/>
        </w:rPr>
        <w:t>如采用投标保证保险的，附电子保单</w:t>
      </w:r>
      <w:r>
        <w:rPr>
          <w:rFonts w:hint="eastAsia" w:cs="Arial"/>
          <w:snapToGrid w:val="0"/>
          <w:color w:val="auto"/>
          <w:kern w:val="0"/>
          <w:szCs w:val="21"/>
          <w:highlight w:val="none"/>
          <w:lang w:eastAsia="zh-CN"/>
        </w:rPr>
        <w:t>扫描</w:t>
      </w:r>
      <w:r>
        <w:rPr>
          <w:rFonts w:hint="eastAsia" w:ascii="Arial" w:hAnsi="Arial" w:eastAsia="Arial" w:cs="Arial"/>
          <w:snapToGrid w:val="0"/>
          <w:color w:val="auto"/>
          <w:kern w:val="0"/>
          <w:szCs w:val="21"/>
          <w:highlight w:val="none"/>
          <w:lang w:eastAsia="zh-CN"/>
        </w:rPr>
        <w:t>件</w:t>
      </w:r>
    </w:p>
    <w:p w14:paraId="5D49F8D7">
      <w:pPr>
        <w:spacing w:line="282" w:lineRule="auto"/>
        <w:rPr>
          <w:rFonts w:ascii="Arial"/>
          <w:color w:val="auto"/>
          <w:sz w:val="21"/>
          <w:highlight w:val="none"/>
        </w:rPr>
      </w:pPr>
    </w:p>
    <w:p w14:paraId="35B77D40">
      <w:pPr>
        <w:spacing w:line="282" w:lineRule="auto"/>
        <w:rPr>
          <w:rFonts w:ascii="Arial"/>
          <w:color w:val="auto"/>
          <w:sz w:val="21"/>
          <w:highlight w:val="none"/>
        </w:rPr>
      </w:pPr>
    </w:p>
    <w:p w14:paraId="79E5C1B0">
      <w:pPr>
        <w:tabs>
          <w:tab w:val="left" w:pos="1920"/>
        </w:tabs>
        <w:spacing w:before="79" w:line="2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z w:val="24"/>
          <w:szCs w:val="24"/>
          <w:highlight w:val="none"/>
        </w:rPr>
        <w:t>（招标人名称）：</w:t>
      </w:r>
    </w:p>
    <w:p w14:paraId="6382AB84">
      <w:pPr>
        <w:spacing w:line="253" w:lineRule="auto"/>
        <w:rPr>
          <w:rFonts w:ascii="Arial"/>
          <w:color w:val="auto"/>
          <w:sz w:val="21"/>
          <w:highlight w:val="none"/>
        </w:rPr>
      </w:pPr>
    </w:p>
    <w:p w14:paraId="269F8A99">
      <w:pPr>
        <w:spacing w:line="254" w:lineRule="auto"/>
        <w:rPr>
          <w:rFonts w:ascii="Arial"/>
          <w:color w:val="auto"/>
          <w:sz w:val="21"/>
          <w:highlight w:val="none"/>
        </w:rPr>
      </w:pPr>
    </w:p>
    <w:p w14:paraId="77DD01E4">
      <w:pPr>
        <w:spacing w:before="78" w:line="339" w:lineRule="auto"/>
        <w:ind w:left="8" w:firstLine="483"/>
        <w:jc w:val="both"/>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鉴于</w:t>
      </w:r>
      <w:r>
        <w:rPr>
          <w:rFonts w:ascii="宋体" w:hAnsi="宋体" w:eastAsia="宋体" w:cs="宋体"/>
          <w:color w:val="auto"/>
          <w:spacing w:val="-1"/>
          <w:sz w:val="24"/>
          <w:szCs w:val="24"/>
          <w:highlight w:val="none"/>
          <w:u w:val="single" w:color="auto"/>
        </w:rPr>
        <w:t xml:space="preserve">             （投标人名称</w:t>
      </w:r>
      <w:r>
        <w:rPr>
          <w:rFonts w:ascii="宋体" w:hAnsi="宋体" w:eastAsia="宋体" w:cs="宋体"/>
          <w:color w:val="auto"/>
          <w:spacing w:val="-13"/>
          <w:sz w:val="24"/>
          <w:szCs w:val="24"/>
          <w:highlight w:val="none"/>
          <w:u w:val="single" w:color="auto"/>
        </w:rPr>
        <w:t>）</w:t>
      </w:r>
      <w:r>
        <w:rPr>
          <w:rFonts w:ascii="宋体" w:hAnsi="宋体" w:eastAsia="宋体" w:cs="宋体"/>
          <w:color w:val="auto"/>
          <w:spacing w:val="-13"/>
          <w:sz w:val="24"/>
          <w:szCs w:val="24"/>
          <w:highlight w:val="none"/>
        </w:rPr>
        <w:t>（</w:t>
      </w:r>
      <w:r>
        <w:rPr>
          <w:rFonts w:ascii="宋体" w:hAnsi="宋体" w:eastAsia="宋体" w:cs="宋体"/>
          <w:color w:val="auto"/>
          <w:spacing w:val="-1"/>
          <w:sz w:val="24"/>
          <w:szCs w:val="24"/>
          <w:highlight w:val="none"/>
        </w:rPr>
        <w:t>以下称“投标人</w:t>
      </w:r>
      <w:r>
        <w:rPr>
          <w:rFonts w:ascii="宋体" w:hAnsi="宋体" w:eastAsia="宋体" w:cs="宋体"/>
          <w:color w:val="auto"/>
          <w:spacing w:val="-86"/>
          <w:sz w:val="24"/>
          <w:szCs w:val="24"/>
          <w:highlight w:val="none"/>
        </w:rPr>
        <w:t xml:space="preserve"> </w:t>
      </w:r>
      <w:r>
        <w:rPr>
          <w:rFonts w:ascii="宋体" w:hAnsi="宋体" w:eastAsia="宋体" w:cs="宋体"/>
          <w:color w:val="auto"/>
          <w:spacing w:val="-1"/>
          <w:sz w:val="24"/>
          <w:szCs w:val="24"/>
          <w:highlight w:val="none"/>
        </w:rPr>
        <w:t>”）于</w:t>
      </w:r>
      <w:r>
        <w:rPr>
          <w:rFonts w:ascii="宋体" w:hAnsi="宋体" w:eastAsia="宋体" w:cs="宋体"/>
          <w:color w:val="auto"/>
          <w:spacing w:val="-118"/>
          <w:sz w:val="24"/>
          <w:szCs w:val="24"/>
          <w:highlight w:val="none"/>
        </w:rPr>
        <w:t xml:space="preserve"> </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08"/>
          <w:sz w:val="24"/>
          <w:szCs w:val="24"/>
          <w:highlight w:val="none"/>
        </w:rPr>
        <w:t xml:space="preserve"> </w:t>
      </w:r>
      <w:r>
        <w:rPr>
          <w:rFonts w:ascii="宋体" w:hAnsi="宋体" w:eastAsia="宋体" w:cs="宋体"/>
          <w:color w:val="auto"/>
          <w:spacing w:val="-1"/>
          <w:sz w:val="24"/>
          <w:szCs w:val="24"/>
          <w:highlight w:val="none"/>
        </w:rPr>
        <w:t>年</w:t>
      </w:r>
      <w:r>
        <w:rPr>
          <w:rFonts w:ascii="宋体" w:hAnsi="宋体" w:eastAsia="宋体" w:cs="宋体"/>
          <w:color w:val="auto"/>
          <w:spacing w:val="-118"/>
          <w:sz w:val="24"/>
          <w:szCs w:val="24"/>
          <w:highlight w:val="none"/>
        </w:rPr>
        <w:t xml:space="preserve"> </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03"/>
          <w:sz w:val="24"/>
          <w:szCs w:val="24"/>
          <w:highlight w:val="none"/>
        </w:rPr>
        <w:t xml:space="preserve"> </w:t>
      </w:r>
      <w:r>
        <w:rPr>
          <w:rFonts w:ascii="宋体" w:hAnsi="宋体" w:eastAsia="宋体" w:cs="宋体"/>
          <w:color w:val="auto"/>
          <w:spacing w:val="-1"/>
          <w:sz w:val="24"/>
          <w:szCs w:val="24"/>
          <w:highlight w:val="none"/>
        </w:rPr>
        <w:t>月</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
          <w:sz w:val="24"/>
          <w:szCs w:val="24"/>
          <w:highlight w:val="none"/>
        </w:rPr>
        <w:t>日参</w:t>
      </w:r>
      <w:r>
        <w:rPr>
          <w:rFonts w:ascii="宋体" w:hAnsi="宋体" w:eastAsia="宋体" w:cs="宋体"/>
          <w:color w:val="auto"/>
          <w:spacing w:val="5"/>
          <w:sz w:val="24"/>
          <w:szCs w:val="24"/>
          <w:highlight w:val="none"/>
        </w:rPr>
        <w:t>加</w:t>
      </w:r>
      <w:r>
        <w:rPr>
          <w:rFonts w:ascii="宋体" w:hAnsi="宋体" w:eastAsia="宋体" w:cs="宋体"/>
          <w:color w:val="auto"/>
          <w:spacing w:val="-115"/>
          <w:sz w:val="24"/>
          <w:szCs w:val="24"/>
          <w:highlight w:val="none"/>
        </w:rPr>
        <w:t xml:space="preserve"> </w:t>
      </w:r>
      <w:r>
        <w:rPr>
          <w:rFonts w:ascii="宋体" w:hAnsi="宋体" w:eastAsia="宋体" w:cs="宋体"/>
          <w:color w:val="auto"/>
          <w:spacing w:val="5"/>
          <w:sz w:val="24"/>
          <w:szCs w:val="24"/>
          <w:highlight w:val="none"/>
          <w:u w:val="single" w:color="auto"/>
        </w:rPr>
        <w:t xml:space="preserve">          （项目名称）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5"/>
          <w:sz w:val="24"/>
          <w:szCs w:val="24"/>
          <w:highlight w:val="none"/>
        </w:rPr>
        <w:t>标段施工监理的投标</w:t>
      </w:r>
      <w:r>
        <w:rPr>
          <w:rFonts w:ascii="宋体" w:hAnsi="宋体" w:eastAsia="宋体" w:cs="宋体"/>
          <w:color w:val="auto"/>
          <w:spacing w:val="-30"/>
          <w:sz w:val="24"/>
          <w:szCs w:val="24"/>
          <w:highlight w:val="none"/>
        </w:rPr>
        <w:t>，</w:t>
      </w:r>
      <w:r>
        <w:rPr>
          <w:rFonts w:ascii="宋体" w:hAnsi="宋体" w:eastAsia="宋体" w:cs="宋体"/>
          <w:color w:val="auto"/>
          <w:spacing w:val="4"/>
          <w:sz w:val="24"/>
          <w:szCs w:val="24"/>
          <w:highlight w:val="none"/>
          <w:u w:val="single" w:color="auto"/>
        </w:rPr>
        <w:t xml:space="preserve">        </w:t>
      </w:r>
      <w:r>
        <w:rPr>
          <w:rFonts w:ascii="宋体" w:hAnsi="宋体" w:eastAsia="宋体" w:cs="宋体"/>
          <w:color w:val="auto"/>
          <w:spacing w:val="-30"/>
          <w:sz w:val="24"/>
          <w:szCs w:val="24"/>
          <w:highlight w:val="none"/>
          <w:u w:val="single" w:color="auto"/>
        </w:rPr>
        <w:t>（</w:t>
      </w:r>
      <w:r>
        <w:rPr>
          <w:rFonts w:ascii="宋体" w:hAnsi="宋体" w:eastAsia="宋体" w:cs="宋体"/>
          <w:color w:val="auto"/>
          <w:spacing w:val="5"/>
          <w:sz w:val="24"/>
          <w:szCs w:val="24"/>
          <w:highlight w:val="none"/>
          <w:u w:val="single" w:color="auto"/>
        </w:rPr>
        <w:t>担保人名称，以</w:t>
      </w:r>
      <w:r>
        <w:rPr>
          <w:rFonts w:ascii="宋体" w:hAnsi="宋体" w:eastAsia="宋体" w:cs="宋体"/>
          <w:color w:val="auto"/>
          <w:spacing w:val="4"/>
          <w:sz w:val="24"/>
          <w:szCs w:val="24"/>
          <w:highlight w:val="none"/>
          <w:u w:val="single" w:color="auto"/>
        </w:rPr>
        <w:t>下简称“我方</w:t>
      </w:r>
      <w:r>
        <w:rPr>
          <w:rFonts w:ascii="宋体" w:hAnsi="宋体" w:eastAsia="宋体" w:cs="宋体"/>
          <w:color w:val="auto"/>
          <w:spacing w:val="-83"/>
          <w:sz w:val="24"/>
          <w:szCs w:val="24"/>
          <w:highlight w:val="none"/>
          <w:u w:val="single" w:color="auto"/>
        </w:rPr>
        <w:t xml:space="preserve"> </w:t>
      </w:r>
      <w:r>
        <w:rPr>
          <w:rFonts w:ascii="宋体" w:hAnsi="宋体" w:eastAsia="宋体" w:cs="宋体"/>
          <w:color w:val="auto"/>
          <w:spacing w:val="4"/>
          <w:sz w:val="24"/>
          <w:szCs w:val="24"/>
          <w:highlight w:val="none"/>
          <w:u w:val="single" w:color="auto"/>
        </w:rPr>
        <w:t>”）</w:t>
      </w:r>
      <w:r>
        <w:rPr>
          <w:rFonts w:ascii="宋体" w:hAnsi="宋体" w:eastAsia="宋体" w:cs="宋体"/>
          <w:color w:val="auto"/>
          <w:spacing w:val="4"/>
          <w:sz w:val="24"/>
          <w:szCs w:val="24"/>
          <w:highlight w:val="none"/>
        </w:rPr>
        <w:t>无条件地、不可撤销地保证：若投标人在投标有效期内撤销</w:t>
      </w:r>
      <w:r>
        <w:rPr>
          <w:rFonts w:ascii="宋体" w:hAnsi="宋体" w:eastAsia="宋体" w:cs="宋体"/>
          <w:color w:val="auto"/>
          <w:spacing w:val="3"/>
          <w:sz w:val="24"/>
          <w:szCs w:val="24"/>
          <w:highlight w:val="none"/>
        </w:rPr>
        <w:t>投标文</w:t>
      </w:r>
      <w:r>
        <w:rPr>
          <w:rFonts w:ascii="宋体" w:hAnsi="宋体" w:eastAsia="宋体" w:cs="宋体"/>
          <w:color w:val="auto"/>
          <w:spacing w:val="5"/>
          <w:sz w:val="24"/>
          <w:szCs w:val="24"/>
          <w:highlight w:val="none"/>
        </w:rPr>
        <w:t>件，中标后无正当理由不与招标人订立合同，在签订合同时向招标人提出附加条件，不按照招标文件要求提交履约保证金，或发生招标文件明确规定可以不予退还</w:t>
      </w:r>
      <w:r>
        <w:rPr>
          <w:rFonts w:ascii="宋体" w:hAnsi="宋体" w:eastAsia="宋体" w:cs="宋体"/>
          <w:color w:val="auto"/>
          <w:spacing w:val="4"/>
          <w:sz w:val="24"/>
          <w:szCs w:val="24"/>
          <w:highlight w:val="none"/>
        </w:rPr>
        <w:t>投标保</w:t>
      </w:r>
      <w:r>
        <w:rPr>
          <w:rFonts w:ascii="宋体" w:hAnsi="宋体" w:eastAsia="宋体" w:cs="宋体"/>
          <w:color w:val="auto"/>
          <w:spacing w:val="3"/>
          <w:sz w:val="24"/>
          <w:szCs w:val="24"/>
          <w:highlight w:val="none"/>
        </w:rPr>
        <w:t>证金的其他情形，我方承担保证责任。收到你方书面通</w:t>
      </w:r>
      <w:r>
        <w:rPr>
          <w:rFonts w:ascii="宋体" w:hAnsi="宋体" w:eastAsia="宋体" w:cs="宋体"/>
          <w:color w:val="auto"/>
          <w:spacing w:val="2"/>
          <w:sz w:val="24"/>
          <w:szCs w:val="24"/>
          <w:highlight w:val="none"/>
        </w:rPr>
        <w:t>知后，我方在</w:t>
      </w:r>
      <w:r>
        <w:rPr>
          <w:rFonts w:ascii="宋体" w:hAnsi="宋体" w:eastAsia="宋体" w:cs="宋体"/>
          <w:color w:val="auto"/>
          <w:spacing w:val="-38"/>
          <w:sz w:val="24"/>
          <w:szCs w:val="24"/>
          <w:highlight w:val="none"/>
        </w:rPr>
        <w:t xml:space="preserve"> </w:t>
      </w:r>
      <w:r>
        <w:rPr>
          <w:rFonts w:ascii="宋体" w:hAnsi="宋体" w:eastAsia="宋体" w:cs="宋体"/>
          <w:color w:val="auto"/>
          <w:spacing w:val="2"/>
          <w:sz w:val="24"/>
          <w:szCs w:val="24"/>
          <w:highlight w:val="none"/>
        </w:rPr>
        <w:t>7 日内向你方无</w:t>
      </w:r>
      <w:r>
        <w:rPr>
          <w:rFonts w:ascii="宋体" w:hAnsi="宋体" w:eastAsia="宋体" w:cs="宋体"/>
          <w:color w:val="auto"/>
          <w:spacing w:val="-1"/>
          <w:sz w:val="24"/>
          <w:szCs w:val="24"/>
          <w:highlight w:val="none"/>
        </w:rPr>
        <w:t>条件支付人民币（大写）</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
          <w:sz w:val="24"/>
          <w:szCs w:val="24"/>
          <w:highlight w:val="none"/>
        </w:rPr>
        <w:t>元。</w:t>
      </w:r>
    </w:p>
    <w:p w14:paraId="2AD200D5">
      <w:pPr>
        <w:spacing w:before="2" w:line="339" w:lineRule="auto"/>
        <w:ind w:left="29" w:right="2" w:firstLine="46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本保函在投标有效期或经延长的投标有效期内保持有效。要求我方承担保证责任</w:t>
      </w:r>
      <w:r>
        <w:rPr>
          <w:rFonts w:ascii="宋体" w:hAnsi="宋体" w:eastAsia="宋体" w:cs="宋体"/>
          <w:color w:val="auto"/>
          <w:spacing w:val="-1"/>
          <w:sz w:val="24"/>
          <w:szCs w:val="24"/>
          <w:highlight w:val="none"/>
        </w:rPr>
        <w:t>的通知应在上述期限内送达我方。你方延长投标有效期的决定，应通知我方。</w:t>
      </w:r>
    </w:p>
    <w:p w14:paraId="4396E35E">
      <w:pPr>
        <w:spacing w:line="264" w:lineRule="auto"/>
        <w:rPr>
          <w:rFonts w:ascii="Arial"/>
          <w:color w:val="auto"/>
          <w:sz w:val="21"/>
          <w:highlight w:val="none"/>
        </w:rPr>
      </w:pPr>
    </w:p>
    <w:p w14:paraId="35CAB6F3">
      <w:pPr>
        <w:spacing w:line="264" w:lineRule="auto"/>
        <w:rPr>
          <w:rFonts w:ascii="Arial"/>
          <w:color w:val="auto"/>
          <w:sz w:val="21"/>
          <w:highlight w:val="none"/>
        </w:rPr>
      </w:pPr>
    </w:p>
    <w:p w14:paraId="452946A0">
      <w:pPr>
        <w:spacing w:line="264" w:lineRule="auto"/>
        <w:rPr>
          <w:rFonts w:ascii="Arial"/>
          <w:color w:val="auto"/>
          <w:sz w:val="21"/>
          <w:highlight w:val="none"/>
        </w:rPr>
      </w:pPr>
    </w:p>
    <w:p w14:paraId="2D1A2CA1">
      <w:pPr>
        <w:spacing w:before="78" w:line="219" w:lineRule="auto"/>
        <w:ind w:left="199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担保人名称</w:t>
      </w:r>
      <w:r>
        <w:rPr>
          <w:rFonts w:ascii="宋体" w:hAnsi="宋体" w:eastAsia="宋体" w:cs="宋体"/>
          <w:color w:val="auto"/>
          <w:spacing w:val="-16"/>
          <w:sz w:val="24"/>
          <w:szCs w:val="24"/>
          <w:highlight w:val="none"/>
        </w:rPr>
        <w:t>：</w:t>
      </w:r>
      <w:r>
        <w:rPr>
          <w:rFonts w:ascii="宋体" w:hAnsi="宋体" w:eastAsia="宋体" w:cs="宋体"/>
          <w:color w:val="auto"/>
          <w:spacing w:val="4"/>
          <w:sz w:val="24"/>
          <w:szCs w:val="24"/>
          <w:highlight w:val="none"/>
          <w:u w:val="single" w:color="auto"/>
        </w:rPr>
        <w:t xml:space="preserve">                             </w:t>
      </w:r>
      <w:r>
        <w:rPr>
          <w:rFonts w:ascii="宋体" w:hAnsi="宋体" w:eastAsia="宋体" w:cs="宋体"/>
          <w:color w:val="auto"/>
          <w:spacing w:val="-16"/>
          <w:sz w:val="24"/>
          <w:szCs w:val="24"/>
          <w:highlight w:val="none"/>
        </w:rPr>
        <w:t>（</w:t>
      </w:r>
      <w:r>
        <w:rPr>
          <w:rFonts w:ascii="宋体" w:hAnsi="宋体" w:eastAsia="宋体" w:cs="宋体"/>
          <w:color w:val="auto"/>
          <w:spacing w:val="2"/>
          <w:sz w:val="24"/>
          <w:szCs w:val="24"/>
          <w:highlight w:val="none"/>
        </w:rPr>
        <w:t>盖单位章）</w:t>
      </w:r>
    </w:p>
    <w:p w14:paraId="560A8751">
      <w:pPr>
        <w:spacing w:before="156" w:line="219" w:lineRule="auto"/>
        <w:ind w:left="199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法定代表人或其委托代理人</w:t>
      </w:r>
      <w:r>
        <w:rPr>
          <w:rFonts w:ascii="宋体" w:hAnsi="宋体" w:eastAsia="宋体" w:cs="宋体"/>
          <w:color w:val="auto"/>
          <w:spacing w:val="-14"/>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
          <w:sz w:val="24"/>
          <w:szCs w:val="24"/>
          <w:highlight w:val="none"/>
        </w:rPr>
        <w:t>签字）</w:t>
      </w:r>
    </w:p>
    <w:p w14:paraId="359B533D">
      <w:pPr>
        <w:spacing w:before="156" w:line="229" w:lineRule="auto"/>
        <w:ind w:left="1989"/>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地</w:t>
      </w:r>
      <w:r>
        <w:rPr>
          <w:rFonts w:ascii="宋体" w:hAnsi="宋体" w:eastAsia="宋体" w:cs="宋体"/>
          <w:color w:val="auto"/>
          <w:spacing w:val="2"/>
          <w:sz w:val="24"/>
          <w:szCs w:val="24"/>
          <w:highlight w:val="none"/>
        </w:rPr>
        <w:t xml:space="preserve">    </w:t>
      </w:r>
      <w:r>
        <w:rPr>
          <w:rFonts w:ascii="宋体" w:hAnsi="宋体" w:eastAsia="宋体" w:cs="宋体"/>
          <w:color w:val="auto"/>
          <w:spacing w:val="-17"/>
          <w:sz w:val="24"/>
          <w:szCs w:val="24"/>
          <w:highlight w:val="none"/>
        </w:rPr>
        <w:t>址</w:t>
      </w:r>
      <w:r>
        <w:rPr>
          <w:rFonts w:ascii="宋体" w:hAnsi="宋体" w:eastAsia="宋体" w:cs="宋体"/>
          <w:color w:val="auto"/>
          <w:spacing w:val="-88"/>
          <w:sz w:val="24"/>
          <w:szCs w:val="24"/>
          <w:highlight w:val="none"/>
        </w:rPr>
        <w:t xml:space="preserve"> </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p>
    <w:p w14:paraId="1CCC1FD4">
      <w:pPr>
        <w:spacing w:before="142" w:line="219" w:lineRule="auto"/>
        <w:ind w:left="20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邮政编码：</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4"/>
          <w:sz w:val="24"/>
          <w:szCs w:val="24"/>
          <w:highlight w:val="none"/>
          <w:u w:val="single" w:color="auto"/>
        </w:rPr>
        <w:t xml:space="preserve">           </w:t>
      </w:r>
    </w:p>
    <w:p w14:paraId="4D2998A1">
      <w:pPr>
        <w:spacing w:before="155" w:line="221" w:lineRule="auto"/>
        <w:ind w:left="2017"/>
        <w:rPr>
          <w:rFonts w:ascii="宋体" w:hAnsi="宋体" w:eastAsia="宋体" w:cs="宋体"/>
          <w:color w:val="auto"/>
          <w:sz w:val="24"/>
          <w:szCs w:val="24"/>
          <w:highlight w:val="none"/>
        </w:rPr>
      </w:pPr>
      <w:r>
        <w:rPr>
          <w:rFonts w:ascii="宋体" w:hAnsi="宋体" w:eastAsia="宋体" w:cs="宋体"/>
          <w:color w:val="auto"/>
          <w:spacing w:val="-26"/>
          <w:sz w:val="24"/>
          <w:szCs w:val="24"/>
          <w:highlight w:val="none"/>
        </w:rPr>
        <w:t>电</w:t>
      </w:r>
      <w:r>
        <w:rPr>
          <w:rFonts w:ascii="宋体" w:hAnsi="宋体" w:eastAsia="宋体" w:cs="宋体"/>
          <w:color w:val="auto"/>
          <w:spacing w:val="2"/>
          <w:sz w:val="24"/>
          <w:szCs w:val="24"/>
          <w:highlight w:val="none"/>
        </w:rPr>
        <w:t xml:space="preserve">    </w:t>
      </w:r>
      <w:r>
        <w:rPr>
          <w:rFonts w:ascii="宋体" w:hAnsi="宋体" w:eastAsia="宋体" w:cs="宋体"/>
          <w:color w:val="auto"/>
          <w:spacing w:val="-26"/>
          <w:sz w:val="24"/>
          <w:szCs w:val="24"/>
          <w:highlight w:val="none"/>
        </w:rPr>
        <w:t>话</w:t>
      </w:r>
      <w:r>
        <w:rPr>
          <w:rFonts w:ascii="宋体" w:hAnsi="宋体" w:eastAsia="宋体" w:cs="宋体"/>
          <w:color w:val="auto"/>
          <w:spacing w:val="-89"/>
          <w:sz w:val="24"/>
          <w:szCs w:val="24"/>
          <w:highlight w:val="none"/>
        </w:rPr>
        <w:t xml:space="preserve"> </w:t>
      </w:r>
      <w:r>
        <w:rPr>
          <w:rFonts w:ascii="宋体" w:hAnsi="宋体" w:eastAsia="宋体" w:cs="宋体"/>
          <w:color w:val="auto"/>
          <w:spacing w:val="-26"/>
          <w:sz w:val="24"/>
          <w:szCs w:val="24"/>
          <w:highlight w:val="none"/>
        </w:rPr>
        <w:t>：</w:t>
      </w:r>
      <w:r>
        <w:rPr>
          <w:rFonts w:ascii="宋体" w:hAnsi="宋体" w:eastAsia="宋体" w:cs="宋体"/>
          <w:color w:val="auto"/>
          <w:sz w:val="24"/>
          <w:szCs w:val="24"/>
          <w:highlight w:val="none"/>
          <w:u w:val="single" w:color="auto"/>
        </w:rPr>
        <w:t xml:space="preserve">                                        </w:t>
      </w:r>
    </w:p>
    <w:p w14:paraId="6CA9B814">
      <w:pPr>
        <w:spacing w:before="153" w:line="219" w:lineRule="auto"/>
        <w:ind w:left="1987"/>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传</w:t>
      </w:r>
      <w:r>
        <w:rPr>
          <w:rFonts w:ascii="宋体" w:hAnsi="宋体" w:eastAsia="宋体" w:cs="宋体"/>
          <w:color w:val="auto"/>
          <w:spacing w:val="3"/>
          <w:sz w:val="24"/>
          <w:szCs w:val="24"/>
          <w:highlight w:val="none"/>
        </w:rPr>
        <w:t xml:space="preserve">    </w:t>
      </w:r>
      <w:r>
        <w:rPr>
          <w:rFonts w:ascii="宋体" w:hAnsi="宋体" w:eastAsia="宋体" w:cs="宋体"/>
          <w:color w:val="auto"/>
          <w:spacing w:val="-17"/>
          <w:sz w:val="24"/>
          <w:szCs w:val="24"/>
          <w:highlight w:val="none"/>
        </w:rPr>
        <w:t>真</w:t>
      </w:r>
      <w:r>
        <w:rPr>
          <w:rFonts w:ascii="宋体" w:hAnsi="宋体" w:eastAsia="宋体" w:cs="宋体"/>
          <w:color w:val="auto"/>
          <w:spacing w:val="-90"/>
          <w:sz w:val="24"/>
          <w:szCs w:val="24"/>
          <w:highlight w:val="none"/>
        </w:rPr>
        <w:t xml:space="preserve"> </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p>
    <w:p w14:paraId="1CCF22C4">
      <w:pPr>
        <w:tabs>
          <w:tab w:val="left" w:pos="5999"/>
        </w:tabs>
        <w:spacing w:before="156" w:line="219" w:lineRule="auto"/>
        <w:ind w:left="503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9"/>
          <w:sz w:val="24"/>
          <w:szCs w:val="24"/>
          <w:highlight w:val="none"/>
        </w:rPr>
        <w:t>日</w:t>
      </w:r>
    </w:p>
    <w:p w14:paraId="305C8307">
      <w:pPr>
        <w:spacing w:before="181" w:line="406" w:lineRule="auto"/>
        <w:ind w:left="21" w:right="2" w:hanging="13"/>
        <w:rPr>
          <w:rFonts w:ascii="宋体" w:hAnsi="宋体" w:eastAsia="宋体" w:cs="宋体"/>
          <w:color w:val="auto"/>
          <w:spacing w:val="11"/>
          <w:sz w:val="20"/>
          <w:szCs w:val="20"/>
          <w:highlight w:val="none"/>
        </w:rPr>
      </w:pPr>
    </w:p>
    <w:p w14:paraId="69E46889">
      <w:pPr>
        <w:spacing w:before="181" w:line="406" w:lineRule="auto"/>
        <w:ind w:left="21" w:right="2" w:hanging="13"/>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注：本保函格式只作为参考，投标人可根据当地银行及相关规定的格</w:t>
      </w:r>
      <w:r>
        <w:rPr>
          <w:rFonts w:ascii="宋体" w:hAnsi="宋体" w:eastAsia="宋体" w:cs="宋体"/>
          <w:color w:val="auto"/>
          <w:spacing w:val="10"/>
          <w:sz w:val="20"/>
          <w:szCs w:val="20"/>
          <w:highlight w:val="none"/>
        </w:rPr>
        <w:t>式填写，但主要内容须与本保函内容原则上保持一致。如：“本保函在投标有效期或经延长的投标有</w:t>
      </w:r>
      <w:r>
        <w:rPr>
          <w:rFonts w:ascii="宋体" w:hAnsi="宋体" w:eastAsia="宋体" w:cs="宋体"/>
          <w:color w:val="auto"/>
          <w:spacing w:val="9"/>
          <w:sz w:val="20"/>
          <w:szCs w:val="20"/>
          <w:highlight w:val="none"/>
        </w:rPr>
        <w:t>效期内保持有效</w:t>
      </w:r>
      <w:r>
        <w:rPr>
          <w:rFonts w:ascii="宋体" w:hAnsi="宋体" w:eastAsia="宋体" w:cs="宋体"/>
          <w:color w:val="auto"/>
          <w:spacing w:val="-69"/>
          <w:sz w:val="20"/>
          <w:szCs w:val="20"/>
          <w:highlight w:val="none"/>
        </w:rPr>
        <w:t xml:space="preserve"> </w:t>
      </w:r>
      <w:r>
        <w:rPr>
          <w:rFonts w:ascii="宋体" w:hAnsi="宋体" w:eastAsia="宋体" w:cs="宋体"/>
          <w:color w:val="auto"/>
          <w:spacing w:val="9"/>
          <w:sz w:val="20"/>
          <w:szCs w:val="20"/>
          <w:highlight w:val="none"/>
        </w:rPr>
        <w:t>”可改为本</w:t>
      </w:r>
    </w:p>
    <w:p w14:paraId="32B3221A">
      <w:pPr>
        <w:bidi w:val="0"/>
        <w:rPr>
          <w:rFonts w:ascii="宋体" w:hAnsi="宋体" w:eastAsia="宋体" w:cs="宋体"/>
          <w:color w:val="auto"/>
          <w:sz w:val="20"/>
          <w:szCs w:val="20"/>
          <w:highlight w:val="none"/>
        </w:rPr>
      </w:pPr>
      <w:bookmarkStart w:id="350" w:name="bookmark191"/>
      <w:bookmarkEnd w:id="350"/>
      <w:r>
        <w:rPr>
          <w:rFonts w:ascii="宋体" w:hAnsi="宋体" w:eastAsia="宋体" w:cs="宋体"/>
          <w:color w:val="auto"/>
          <w:spacing w:val="8"/>
          <w:sz w:val="20"/>
          <w:szCs w:val="20"/>
          <w:highlight w:val="none"/>
        </w:rPr>
        <w:t>保函自</w:t>
      </w:r>
      <w:r>
        <w:rPr>
          <w:rFonts w:ascii="宋体" w:hAnsi="宋体" w:eastAsia="宋体" w:cs="宋体"/>
          <w:color w:val="auto"/>
          <w:spacing w:val="8"/>
          <w:sz w:val="20"/>
          <w:szCs w:val="20"/>
          <w:highlight w:val="none"/>
          <w:u w:val="single" w:color="auto"/>
        </w:rPr>
        <w:t xml:space="preserve">     （生效日期）</w:t>
      </w:r>
      <w:r>
        <w:rPr>
          <w:rFonts w:ascii="宋体" w:hAnsi="宋体" w:eastAsia="宋体" w:cs="宋体"/>
          <w:color w:val="auto"/>
          <w:spacing w:val="8"/>
          <w:sz w:val="20"/>
          <w:szCs w:val="20"/>
          <w:highlight w:val="none"/>
        </w:rPr>
        <w:t>之日起生效，至</w:t>
      </w:r>
      <w:r>
        <w:rPr>
          <w:rFonts w:ascii="宋体" w:hAnsi="宋体" w:eastAsia="宋体" w:cs="宋体"/>
          <w:color w:val="auto"/>
          <w:spacing w:val="8"/>
          <w:sz w:val="20"/>
          <w:szCs w:val="20"/>
          <w:highlight w:val="none"/>
          <w:u w:val="single" w:color="auto"/>
        </w:rPr>
        <w:t xml:space="preserve">     （失效日期）</w:t>
      </w:r>
      <w:r>
        <w:rPr>
          <w:rFonts w:ascii="宋体" w:hAnsi="宋体" w:eastAsia="宋体" w:cs="宋体"/>
          <w:color w:val="auto"/>
          <w:spacing w:val="8"/>
          <w:sz w:val="20"/>
          <w:szCs w:val="20"/>
          <w:highlight w:val="none"/>
        </w:rPr>
        <w:t>之日失效。</w:t>
      </w:r>
    </w:p>
    <w:p w14:paraId="2078A1B2">
      <w:pPr>
        <w:spacing w:line="184" w:lineRule="auto"/>
        <w:rPr>
          <w:rFonts w:ascii="宋体" w:hAnsi="宋体" w:eastAsia="宋体" w:cs="宋体"/>
          <w:color w:val="auto"/>
          <w:sz w:val="18"/>
          <w:szCs w:val="18"/>
          <w:highlight w:val="none"/>
        </w:rPr>
        <w:sectPr>
          <w:type w:val="continuous"/>
          <w:pgSz w:w="11905" w:h="16838"/>
          <w:pgMar w:top="1134" w:right="1134" w:bottom="1134" w:left="1134" w:header="0" w:footer="1066" w:gutter="0"/>
          <w:pgNumType w:fmt="decimal"/>
          <w:cols w:space="0" w:num="1"/>
          <w:rtlGutter w:val="0"/>
          <w:docGrid w:linePitch="0" w:charSpace="0"/>
        </w:sectPr>
      </w:pPr>
    </w:p>
    <w:p w14:paraId="54EB80D2">
      <w:pPr>
        <w:spacing w:line="278" w:lineRule="auto"/>
        <w:rPr>
          <w:rFonts w:ascii="Arial"/>
          <w:color w:val="auto"/>
          <w:sz w:val="21"/>
          <w:highlight w:val="none"/>
        </w:rPr>
      </w:pPr>
    </w:p>
    <w:p w14:paraId="7E3F0FEC">
      <w:pPr>
        <w:pStyle w:val="3"/>
        <w:bidi w:val="0"/>
        <w:jc w:val="center"/>
        <w:rPr>
          <w:color w:val="auto"/>
          <w:highlight w:val="none"/>
        </w:rPr>
      </w:pPr>
      <w:r>
        <w:rPr>
          <w:color w:val="auto"/>
          <w:highlight w:val="none"/>
        </w:rPr>
        <w:t>五、资格审查资料</w:t>
      </w:r>
    </w:p>
    <w:p w14:paraId="0F270C5C">
      <w:pPr>
        <w:pStyle w:val="4"/>
        <w:bidi w:val="0"/>
        <w:jc w:val="center"/>
        <w:rPr>
          <w:color w:val="auto"/>
          <w:highlight w:val="none"/>
        </w:rPr>
      </w:pPr>
      <w:r>
        <w:rPr>
          <w:color w:val="auto"/>
          <w:highlight w:val="none"/>
        </w:rPr>
        <w:t>（一）投标人基本情况表</w:t>
      </w:r>
    </w:p>
    <w:p w14:paraId="6FEEB4B2">
      <w:pPr>
        <w:spacing w:line="182" w:lineRule="exact"/>
        <w:rPr>
          <w:color w:val="auto"/>
          <w:highlight w:val="none"/>
        </w:rPr>
      </w:pPr>
    </w:p>
    <w:tbl>
      <w:tblPr>
        <w:tblStyle w:val="19"/>
        <w:tblW w:w="88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50"/>
        <w:gridCol w:w="897"/>
        <w:gridCol w:w="1025"/>
        <w:gridCol w:w="1286"/>
        <w:gridCol w:w="414"/>
        <w:gridCol w:w="872"/>
        <w:gridCol w:w="828"/>
        <w:gridCol w:w="284"/>
        <w:gridCol w:w="1234"/>
      </w:tblGrid>
      <w:tr w14:paraId="6ADA8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2050" w:type="dxa"/>
            <w:vAlign w:val="top"/>
          </w:tcPr>
          <w:p w14:paraId="0F339E3C">
            <w:pPr>
              <w:pStyle w:val="20"/>
              <w:spacing w:before="176" w:line="228" w:lineRule="auto"/>
              <w:ind w:left="509"/>
              <w:rPr>
                <w:color w:val="auto"/>
                <w:highlight w:val="none"/>
              </w:rPr>
            </w:pPr>
            <w:r>
              <w:rPr>
                <w:color w:val="auto"/>
                <w:spacing w:val="7"/>
                <w:highlight w:val="none"/>
              </w:rPr>
              <w:t>投标人名称</w:t>
            </w:r>
          </w:p>
        </w:tc>
        <w:tc>
          <w:tcPr>
            <w:tcW w:w="6840" w:type="dxa"/>
            <w:gridSpan w:val="8"/>
            <w:vAlign w:val="top"/>
          </w:tcPr>
          <w:p w14:paraId="03E01172">
            <w:pPr>
              <w:rPr>
                <w:rFonts w:ascii="Arial"/>
                <w:color w:val="auto"/>
                <w:sz w:val="21"/>
                <w:highlight w:val="none"/>
              </w:rPr>
            </w:pPr>
          </w:p>
        </w:tc>
      </w:tr>
      <w:tr w14:paraId="58245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2050" w:type="dxa"/>
            <w:vAlign w:val="top"/>
          </w:tcPr>
          <w:p w14:paraId="42184CB5">
            <w:pPr>
              <w:pStyle w:val="20"/>
              <w:spacing w:before="173" w:line="229" w:lineRule="auto"/>
              <w:ind w:left="609"/>
              <w:rPr>
                <w:color w:val="auto"/>
                <w:highlight w:val="none"/>
              </w:rPr>
            </w:pPr>
            <w:r>
              <w:rPr>
                <w:color w:val="auto"/>
                <w:spacing w:val="7"/>
                <w:highlight w:val="none"/>
              </w:rPr>
              <w:t>注册地址</w:t>
            </w:r>
          </w:p>
        </w:tc>
        <w:tc>
          <w:tcPr>
            <w:tcW w:w="3208" w:type="dxa"/>
            <w:gridSpan w:val="3"/>
            <w:vAlign w:val="top"/>
          </w:tcPr>
          <w:p w14:paraId="30F174F9">
            <w:pPr>
              <w:rPr>
                <w:rFonts w:ascii="Arial"/>
                <w:color w:val="auto"/>
                <w:sz w:val="21"/>
                <w:highlight w:val="none"/>
              </w:rPr>
            </w:pPr>
          </w:p>
        </w:tc>
        <w:tc>
          <w:tcPr>
            <w:tcW w:w="1286" w:type="dxa"/>
            <w:gridSpan w:val="2"/>
            <w:vAlign w:val="top"/>
          </w:tcPr>
          <w:p w14:paraId="468BFCCB">
            <w:pPr>
              <w:pStyle w:val="20"/>
              <w:spacing w:before="173" w:line="228" w:lineRule="auto"/>
              <w:ind w:left="244"/>
              <w:rPr>
                <w:color w:val="auto"/>
                <w:highlight w:val="none"/>
              </w:rPr>
            </w:pPr>
            <w:r>
              <w:rPr>
                <w:color w:val="auto"/>
                <w:spacing w:val="3"/>
                <w:highlight w:val="none"/>
              </w:rPr>
              <w:t>邮政编码</w:t>
            </w:r>
          </w:p>
        </w:tc>
        <w:tc>
          <w:tcPr>
            <w:tcW w:w="2346" w:type="dxa"/>
            <w:gridSpan w:val="3"/>
            <w:vAlign w:val="top"/>
          </w:tcPr>
          <w:p w14:paraId="061594CE">
            <w:pPr>
              <w:rPr>
                <w:rFonts w:ascii="Arial"/>
                <w:color w:val="auto"/>
                <w:sz w:val="21"/>
                <w:highlight w:val="none"/>
              </w:rPr>
            </w:pPr>
          </w:p>
        </w:tc>
      </w:tr>
      <w:tr w14:paraId="66359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Merge w:val="restart"/>
            <w:tcBorders>
              <w:bottom w:val="nil"/>
            </w:tcBorders>
            <w:vAlign w:val="top"/>
          </w:tcPr>
          <w:p w14:paraId="38BE7B61">
            <w:pPr>
              <w:spacing w:line="331" w:lineRule="auto"/>
              <w:rPr>
                <w:rFonts w:ascii="Arial"/>
                <w:color w:val="auto"/>
                <w:sz w:val="21"/>
                <w:highlight w:val="none"/>
              </w:rPr>
            </w:pPr>
          </w:p>
          <w:p w14:paraId="66A42313">
            <w:pPr>
              <w:pStyle w:val="20"/>
              <w:spacing w:before="65" w:line="227" w:lineRule="auto"/>
              <w:ind w:left="610"/>
              <w:rPr>
                <w:color w:val="auto"/>
                <w:highlight w:val="none"/>
              </w:rPr>
            </w:pPr>
            <w:r>
              <w:rPr>
                <w:color w:val="auto"/>
                <w:spacing w:val="7"/>
                <w:highlight w:val="none"/>
              </w:rPr>
              <w:t>联系方式</w:t>
            </w:r>
          </w:p>
        </w:tc>
        <w:tc>
          <w:tcPr>
            <w:tcW w:w="897" w:type="dxa"/>
            <w:vAlign w:val="top"/>
          </w:tcPr>
          <w:p w14:paraId="107B8E86">
            <w:pPr>
              <w:pStyle w:val="20"/>
              <w:spacing w:before="173" w:line="230" w:lineRule="auto"/>
              <w:ind w:left="137"/>
              <w:rPr>
                <w:color w:val="auto"/>
                <w:highlight w:val="none"/>
              </w:rPr>
            </w:pPr>
            <w:r>
              <w:rPr>
                <w:color w:val="auto"/>
                <w:spacing w:val="6"/>
                <w:highlight w:val="none"/>
              </w:rPr>
              <w:t>联系人</w:t>
            </w:r>
          </w:p>
        </w:tc>
        <w:tc>
          <w:tcPr>
            <w:tcW w:w="2311" w:type="dxa"/>
            <w:gridSpan w:val="2"/>
            <w:vAlign w:val="top"/>
          </w:tcPr>
          <w:p w14:paraId="41A1EA73">
            <w:pPr>
              <w:rPr>
                <w:rFonts w:ascii="Arial"/>
                <w:color w:val="auto"/>
                <w:sz w:val="21"/>
                <w:highlight w:val="none"/>
              </w:rPr>
            </w:pPr>
          </w:p>
        </w:tc>
        <w:tc>
          <w:tcPr>
            <w:tcW w:w="1286" w:type="dxa"/>
            <w:gridSpan w:val="2"/>
            <w:vAlign w:val="top"/>
          </w:tcPr>
          <w:p w14:paraId="2987F3D2">
            <w:pPr>
              <w:pStyle w:val="20"/>
              <w:spacing w:before="173" w:line="230" w:lineRule="auto"/>
              <w:ind w:left="411"/>
              <w:rPr>
                <w:color w:val="auto"/>
                <w:highlight w:val="none"/>
              </w:rPr>
            </w:pPr>
            <w:r>
              <w:rPr>
                <w:color w:val="auto"/>
                <w:spacing w:val="-12"/>
                <w:highlight w:val="none"/>
              </w:rPr>
              <w:t>电</w:t>
            </w:r>
            <w:r>
              <w:rPr>
                <w:color w:val="auto"/>
                <w:spacing w:val="16"/>
                <w:highlight w:val="none"/>
              </w:rPr>
              <w:t xml:space="preserve"> </w:t>
            </w:r>
            <w:r>
              <w:rPr>
                <w:color w:val="auto"/>
                <w:spacing w:val="-12"/>
                <w:highlight w:val="none"/>
              </w:rPr>
              <w:t>话</w:t>
            </w:r>
          </w:p>
        </w:tc>
        <w:tc>
          <w:tcPr>
            <w:tcW w:w="2346" w:type="dxa"/>
            <w:gridSpan w:val="3"/>
            <w:vAlign w:val="top"/>
          </w:tcPr>
          <w:p w14:paraId="42123F36">
            <w:pPr>
              <w:rPr>
                <w:rFonts w:ascii="Arial"/>
                <w:color w:val="auto"/>
                <w:sz w:val="21"/>
                <w:highlight w:val="none"/>
              </w:rPr>
            </w:pPr>
          </w:p>
        </w:tc>
      </w:tr>
      <w:tr w14:paraId="79C54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Merge w:val="continue"/>
            <w:tcBorders>
              <w:top w:val="nil"/>
            </w:tcBorders>
            <w:vAlign w:val="top"/>
          </w:tcPr>
          <w:p w14:paraId="3FA2DD1E">
            <w:pPr>
              <w:rPr>
                <w:rFonts w:ascii="Arial"/>
                <w:color w:val="auto"/>
                <w:sz w:val="21"/>
                <w:highlight w:val="none"/>
              </w:rPr>
            </w:pPr>
          </w:p>
        </w:tc>
        <w:tc>
          <w:tcPr>
            <w:tcW w:w="897" w:type="dxa"/>
            <w:vAlign w:val="top"/>
          </w:tcPr>
          <w:p w14:paraId="51766ED4">
            <w:pPr>
              <w:pStyle w:val="20"/>
              <w:spacing w:before="174" w:line="224" w:lineRule="auto"/>
              <w:ind w:left="135"/>
              <w:rPr>
                <w:color w:val="auto"/>
                <w:highlight w:val="none"/>
              </w:rPr>
            </w:pPr>
            <w:r>
              <w:rPr>
                <w:color w:val="auto"/>
                <w:spacing w:val="1"/>
                <w:highlight w:val="none"/>
              </w:rPr>
              <w:t>传</w:t>
            </w:r>
            <w:r>
              <w:rPr>
                <w:color w:val="auto"/>
                <w:spacing w:val="10"/>
                <w:highlight w:val="none"/>
              </w:rPr>
              <w:t xml:space="preserve">  </w:t>
            </w:r>
            <w:r>
              <w:rPr>
                <w:color w:val="auto"/>
                <w:spacing w:val="1"/>
                <w:highlight w:val="none"/>
              </w:rPr>
              <w:t>真</w:t>
            </w:r>
          </w:p>
        </w:tc>
        <w:tc>
          <w:tcPr>
            <w:tcW w:w="2311" w:type="dxa"/>
            <w:gridSpan w:val="2"/>
            <w:vAlign w:val="top"/>
          </w:tcPr>
          <w:p w14:paraId="349338AC">
            <w:pPr>
              <w:rPr>
                <w:rFonts w:ascii="Arial"/>
                <w:color w:val="auto"/>
                <w:sz w:val="21"/>
                <w:highlight w:val="none"/>
              </w:rPr>
            </w:pPr>
          </w:p>
        </w:tc>
        <w:tc>
          <w:tcPr>
            <w:tcW w:w="1286" w:type="dxa"/>
            <w:gridSpan w:val="2"/>
            <w:vAlign w:val="top"/>
          </w:tcPr>
          <w:p w14:paraId="6A58EF13">
            <w:pPr>
              <w:pStyle w:val="20"/>
              <w:spacing w:before="174" w:line="228" w:lineRule="auto"/>
              <w:ind w:left="253"/>
              <w:rPr>
                <w:color w:val="auto"/>
                <w:highlight w:val="none"/>
              </w:rPr>
            </w:pPr>
            <w:r>
              <w:rPr>
                <w:color w:val="auto"/>
                <w:spacing w:val="1"/>
                <w:highlight w:val="none"/>
              </w:rPr>
              <w:t>电子邮件</w:t>
            </w:r>
          </w:p>
        </w:tc>
        <w:tc>
          <w:tcPr>
            <w:tcW w:w="2346" w:type="dxa"/>
            <w:gridSpan w:val="3"/>
            <w:vAlign w:val="top"/>
          </w:tcPr>
          <w:p w14:paraId="119E2EA6">
            <w:pPr>
              <w:rPr>
                <w:rFonts w:ascii="Arial"/>
                <w:color w:val="auto"/>
                <w:sz w:val="21"/>
                <w:highlight w:val="none"/>
              </w:rPr>
            </w:pPr>
          </w:p>
        </w:tc>
      </w:tr>
      <w:tr w14:paraId="08900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0CBF73A8">
            <w:pPr>
              <w:pStyle w:val="20"/>
              <w:spacing w:before="173" w:line="226" w:lineRule="auto"/>
              <w:ind w:left="507"/>
              <w:rPr>
                <w:color w:val="auto"/>
                <w:highlight w:val="none"/>
              </w:rPr>
            </w:pPr>
            <w:r>
              <w:rPr>
                <w:color w:val="auto"/>
                <w:spacing w:val="7"/>
                <w:highlight w:val="none"/>
              </w:rPr>
              <w:t>法定代表人</w:t>
            </w:r>
          </w:p>
        </w:tc>
        <w:tc>
          <w:tcPr>
            <w:tcW w:w="897" w:type="dxa"/>
            <w:vAlign w:val="top"/>
          </w:tcPr>
          <w:p w14:paraId="71E5819C">
            <w:pPr>
              <w:pStyle w:val="20"/>
              <w:spacing w:before="172" w:line="228" w:lineRule="auto"/>
              <w:ind w:left="242"/>
              <w:rPr>
                <w:color w:val="auto"/>
                <w:highlight w:val="none"/>
              </w:rPr>
            </w:pPr>
            <w:r>
              <w:rPr>
                <w:color w:val="auto"/>
                <w:spacing w:val="4"/>
                <w:highlight w:val="none"/>
              </w:rPr>
              <w:t>姓名</w:t>
            </w:r>
          </w:p>
        </w:tc>
        <w:tc>
          <w:tcPr>
            <w:tcW w:w="1025" w:type="dxa"/>
            <w:vAlign w:val="top"/>
          </w:tcPr>
          <w:p w14:paraId="37A7BCB4">
            <w:pPr>
              <w:rPr>
                <w:rFonts w:ascii="Arial"/>
                <w:color w:val="auto"/>
                <w:sz w:val="21"/>
                <w:highlight w:val="none"/>
              </w:rPr>
            </w:pPr>
          </w:p>
        </w:tc>
        <w:tc>
          <w:tcPr>
            <w:tcW w:w="1286" w:type="dxa"/>
            <w:vAlign w:val="top"/>
          </w:tcPr>
          <w:p w14:paraId="0674001F">
            <w:pPr>
              <w:pStyle w:val="20"/>
              <w:spacing w:before="172" w:line="228" w:lineRule="auto"/>
              <w:ind w:left="229"/>
              <w:rPr>
                <w:color w:val="auto"/>
                <w:highlight w:val="none"/>
              </w:rPr>
            </w:pPr>
            <w:r>
              <w:rPr>
                <w:color w:val="auto"/>
                <w:spacing w:val="7"/>
                <w:highlight w:val="none"/>
              </w:rPr>
              <w:t>技术职称</w:t>
            </w:r>
          </w:p>
        </w:tc>
        <w:tc>
          <w:tcPr>
            <w:tcW w:w="1286" w:type="dxa"/>
            <w:gridSpan w:val="2"/>
            <w:vAlign w:val="top"/>
          </w:tcPr>
          <w:p w14:paraId="4F00EC09">
            <w:pPr>
              <w:rPr>
                <w:rFonts w:ascii="Arial"/>
                <w:color w:val="auto"/>
                <w:sz w:val="21"/>
                <w:highlight w:val="none"/>
              </w:rPr>
            </w:pPr>
          </w:p>
        </w:tc>
        <w:tc>
          <w:tcPr>
            <w:tcW w:w="1112" w:type="dxa"/>
            <w:gridSpan w:val="2"/>
            <w:vAlign w:val="top"/>
          </w:tcPr>
          <w:p w14:paraId="7C8263E7">
            <w:pPr>
              <w:pStyle w:val="20"/>
              <w:spacing w:before="173" w:line="230" w:lineRule="auto"/>
              <w:ind w:left="378"/>
              <w:rPr>
                <w:color w:val="auto"/>
                <w:highlight w:val="none"/>
              </w:rPr>
            </w:pPr>
            <w:r>
              <w:rPr>
                <w:color w:val="auto"/>
                <w:spacing w:val="-8"/>
                <w:highlight w:val="none"/>
              </w:rPr>
              <w:t>电话</w:t>
            </w:r>
          </w:p>
        </w:tc>
        <w:tc>
          <w:tcPr>
            <w:tcW w:w="1234" w:type="dxa"/>
            <w:vAlign w:val="top"/>
          </w:tcPr>
          <w:p w14:paraId="6FD781E5">
            <w:pPr>
              <w:rPr>
                <w:rFonts w:ascii="Arial"/>
                <w:color w:val="auto"/>
                <w:sz w:val="21"/>
                <w:highlight w:val="none"/>
              </w:rPr>
            </w:pPr>
          </w:p>
        </w:tc>
      </w:tr>
      <w:tr w14:paraId="27908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23AD4A0B">
            <w:pPr>
              <w:pStyle w:val="20"/>
              <w:spacing w:before="174" w:line="225" w:lineRule="auto"/>
              <w:ind w:left="507"/>
              <w:rPr>
                <w:color w:val="auto"/>
                <w:highlight w:val="none"/>
              </w:rPr>
            </w:pPr>
            <w:r>
              <w:rPr>
                <w:color w:val="auto"/>
                <w:spacing w:val="7"/>
                <w:highlight w:val="none"/>
              </w:rPr>
              <w:t>技术负责人</w:t>
            </w:r>
          </w:p>
        </w:tc>
        <w:tc>
          <w:tcPr>
            <w:tcW w:w="897" w:type="dxa"/>
            <w:vAlign w:val="top"/>
          </w:tcPr>
          <w:p w14:paraId="4739FA5A">
            <w:pPr>
              <w:pStyle w:val="20"/>
              <w:spacing w:before="174" w:line="228" w:lineRule="auto"/>
              <w:ind w:left="242"/>
              <w:rPr>
                <w:color w:val="auto"/>
                <w:highlight w:val="none"/>
              </w:rPr>
            </w:pPr>
            <w:r>
              <w:rPr>
                <w:color w:val="auto"/>
                <w:spacing w:val="4"/>
                <w:highlight w:val="none"/>
              </w:rPr>
              <w:t>姓名</w:t>
            </w:r>
          </w:p>
        </w:tc>
        <w:tc>
          <w:tcPr>
            <w:tcW w:w="1025" w:type="dxa"/>
            <w:vAlign w:val="top"/>
          </w:tcPr>
          <w:p w14:paraId="6F9C9114">
            <w:pPr>
              <w:rPr>
                <w:rFonts w:ascii="Arial"/>
                <w:color w:val="auto"/>
                <w:sz w:val="21"/>
                <w:highlight w:val="none"/>
              </w:rPr>
            </w:pPr>
          </w:p>
        </w:tc>
        <w:tc>
          <w:tcPr>
            <w:tcW w:w="1286" w:type="dxa"/>
            <w:vAlign w:val="top"/>
          </w:tcPr>
          <w:p w14:paraId="4FE9F1F3">
            <w:pPr>
              <w:pStyle w:val="20"/>
              <w:spacing w:before="174" w:line="228" w:lineRule="auto"/>
              <w:ind w:left="229"/>
              <w:rPr>
                <w:color w:val="auto"/>
                <w:highlight w:val="none"/>
              </w:rPr>
            </w:pPr>
            <w:r>
              <w:rPr>
                <w:color w:val="auto"/>
                <w:spacing w:val="7"/>
                <w:highlight w:val="none"/>
              </w:rPr>
              <w:t>技术职称</w:t>
            </w:r>
          </w:p>
        </w:tc>
        <w:tc>
          <w:tcPr>
            <w:tcW w:w="1286" w:type="dxa"/>
            <w:gridSpan w:val="2"/>
            <w:vAlign w:val="top"/>
          </w:tcPr>
          <w:p w14:paraId="3B91AC0D">
            <w:pPr>
              <w:rPr>
                <w:rFonts w:ascii="Arial"/>
                <w:color w:val="auto"/>
                <w:sz w:val="21"/>
                <w:highlight w:val="none"/>
              </w:rPr>
            </w:pPr>
          </w:p>
        </w:tc>
        <w:tc>
          <w:tcPr>
            <w:tcW w:w="1112" w:type="dxa"/>
            <w:gridSpan w:val="2"/>
            <w:vAlign w:val="top"/>
          </w:tcPr>
          <w:p w14:paraId="6DF18F81">
            <w:pPr>
              <w:pStyle w:val="20"/>
              <w:spacing w:before="174" w:line="230" w:lineRule="auto"/>
              <w:ind w:left="378"/>
              <w:rPr>
                <w:color w:val="auto"/>
                <w:highlight w:val="none"/>
              </w:rPr>
            </w:pPr>
            <w:r>
              <w:rPr>
                <w:color w:val="auto"/>
                <w:spacing w:val="-8"/>
                <w:highlight w:val="none"/>
              </w:rPr>
              <w:t>电话</w:t>
            </w:r>
          </w:p>
        </w:tc>
        <w:tc>
          <w:tcPr>
            <w:tcW w:w="1234" w:type="dxa"/>
            <w:vAlign w:val="top"/>
          </w:tcPr>
          <w:p w14:paraId="64C3A459">
            <w:pPr>
              <w:rPr>
                <w:rFonts w:ascii="Arial"/>
                <w:color w:val="auto"/>
                <w:sz w:val="21"/>
                <w:highlight w:val="none"/>
              </w:rPr>
            </w:pPr>
          </w:p>
        </w:tc>
      </w:tr>
      <w:tr w14:paraId="49B8D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005F5297">
            <w:pPr>
              <w:pStyle w:val="20"/>
              <w:spacing w:before="173" w:line="226" w:lineRule="auto"/>
              <w:ind w:left="193"/>
              <w:rPr>
                <w:color w:val="auto"/>
                <w:highlight w:val="none"/>
              </w:rPr>
            </w:pPr>
            <w:r>
              <w:rPr>
                <w:color w:val="auto"/>
                <w:spacing w:val="8"/>
                <w:highlight w:val="none"/>
              </w:rPr>
              <w:t>企业监理资质证书</w:t>
            </w:r>
          </w:p>
        </w:tc>
        <w:tc>
          <w:tcPr>
            <w:tcW w:w="6840" w:type="dxa"/>
            <w:gridSpan w:val="8"/>
            <w:vAlign w:val="top"/>
          </w:tcPr>
          <w:p w14:paraId="09EC4695">
            <w:pPr>
              <w:pStyle w:val="20"/>
              <w:spacing w:before="173" w:line="227" w:lineRule="auto"/>
              <w:ind w:left="219"/>
              <w:rPr>
                <w:color w:val="auto"/>
                <w:highlight w:val="none"/>
              </w:rPr>
            </w:pPr>
            <w:r>
              <w:rPr>
                <w:color w:val="auto"/>
                <w:spacing w:val="4"/>
                <w:highlight w:val="none"/>
              </w:rPr>
              <w:t>发证机关：</w:t>
            </w:r>
            <w:r>
              <w:rPr>
                <w:color w:val="auto"/>
                <w:spacing w:val="10"/>
                <w:highlight w:val="none"/>
              </w:rPr>
              <w:t xml:space="preserve">     </w:t>
            </w:r>
            <w:r>
              <w:rPr>
                <w:color w:val="auto"/>
                <w:spacing w:val="4"/>
                <w:highlight w:val="none"/>
              </w:rPr>
              <w:t>类型：</w:t>
            </w:r>
            <w:r>
              <w:rPr>
                <w:color w:val="auto"/>
                <w:spacing w:val="6"/>
                <w:highlight w:val="none"/>
              </w:rPr>
              <w:t xml:space="preserve">              </w:t>
            </w:r>
            <w:r>
              <w:rPr>
                <w:color w:val="auto"/>
                <w:spacing w:val="4"/>
                <w:highlight w:val="none"/>
              </w:rPr>
              <w:t>等级：</w:t>
            </w:r>
            <w:r>
              <w:rPr>
                <w:color w:val="auto"/>
                <w:spacing w:val="9"/>
                <w:highlight w:val="none"/>
              </w:rPr>
              <w:t xml:space="preserve">      </w:t>
            </w:r>
            <w:r>
              <w:rPr>
                <w:color w:val="auto"/>
                <w:spacing w:val="4"/>
                <w:highlight w:val="none"/>
              </w:rPr>
              <w:t>证书号：</w:t>
            </w:r>
          </w:p>
        </w:tc>
      </w:tr>
      <w:tr w14:paraId="2F3EA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4EA59D1C">
            <w:pPr>
              <w:pStyle w:val="20"/>
              <w:spacing w:before="174" w:line="224" w:lineRule="auto"/>
              <w:ind w:left="194"/>
              <w:rPr>
                <w:color w:val="auto"/>
                <w:highlight w:val="none"/>
              </w:rPr>
            </w:pPr>
            <w:r>
              <w:rPr>
                <w:color w:val="auto"/>
                <w:spacing w:val="8"/>
                <w:highlight w:val="none"/>
              </w:rPr>
              <w:t>统一社会信用代码</w:t>
            </w:r>
          </w:p>
        </w:tc>
        <w:tc>
          <w:tcPr>
            <w:tcW w:w="3208" w:type="dxa"/>
            <w:gridSpan w:val="3"/>
            <w:vAlign w:val="top"/>
          </w:tcPr>
          <w:p w14:paraId="69D693F6">
            <w:pPr>
              <w:rPr>
                <w:rFonts w:ascii="Arial"/>
                <w:color w:val="auto"/>
                <w:sz w:val="21"/>
                <w:highlight w:val="none"/>
              </w:rPr>
            </w:pPr>
          </w:p>
        </w:tc>
        <w:tc>
          <w:tcPr>
            <w:tcW w:w="3632" w:type="dxa"/>
            <w:gridSpan w:val="5"/>
            <w:vAlign w:val="top"/>
          </w:tcPr>
          <w:p w14:paraId="1D8CF6E5">
            <w:pPr>
              <w:pStyle w:val="20"/>
              <w:spacing w:before="174" w:line="228" w:lineRule="auto"/>
              <w:ind w:left="1199"/>
              <w:rPr>
                <w:color w:val="auto"/>
                <w:highlight w:val="none"/>
              </w:rPr>
            </w:pPr>
            <w:r>
              <w:rPr>
                <w:color w:val="auto"/>
                <w:spacing w:val="5"/>
                <w:highlight w:val="none"/>
              </w:rPr>
              <w:t>员工总人数：</w:t>
            </w:r>
          </w:p>
        </w:tc>
      </w:tr>
      <w:tr w14:paraId="4289E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2050" w:type="dxa"/>
            <w:vAlign w:val="top"/>
          </w:tcPr>
          <w:p w14:paraId="5B9FAB02">
            <w:pPr>
              <w:pStyle w:val="20"/>
              <w:spacing w:before="173" w:line="226" w:lineRule="auto"/>
              <w:ind w:left="609"/>
              <w:rPr>
                <w:color w:val="auto"/>
                <w:highlight w:val="none"/>
              </w:rPr>
            </w:pPr>
            <w:r>
              <w:rPr>
                <w:color w:val="auto"/>
                <w:spacing w:val="7"/>
                <w:highlight w:val="none"/>
              </w:rPr>
              <w:t>注册资本</w:t>
            </w:r>
          </w:p>
        </w:tc>
        <w:tc>
          <w:tcPr>
            <w:tcW w:w="3208" w:type="dxa"/>
            <w:gridSpan w:val="3"/>
            <w:vAlign w:val="top"/>
          </w:tcPr>
          <w:p w14:paraId="1FD24C94">
            <w:pPr>
              <w:rPr>
                <w:rFonts w:ascii="Arial"/>
                <w:color w:val="auto"/>
                <w:sz w:val="21"/>
                <w:highlight w:val="none"/>
              </w:rPr>
            </w:pPr>
          </w:p>
        </w:tc>
        <w:tc>
          <w:tcPr>
            <w:tcW w:w="414" w:type="dxa"/>
            <w:vMerge w:val="restart"/>
            <w:tcBorders>
              <w:bottom w:val="nil"/>
            </w:tcBorders>
            <w:textDirection w:val="tbRlV"/>
            <w:vAlign w:val="top"/>
          </w:tcPr>
          <w:p w14:paraId="10F3BABA">
            <w:pPr>
              <w:pStyle w:val="20"/>
              <w:spacing w:before="91" w:line="213" w:lineRule="auto"/>
              <w:ind w:left="629"/>
              <w:rPr>
                <w:color w:val="auto"/>
                <w:highlight w:val="none"/>
              </w:rPr>
            </w:pPr>
            <w:r>
              <w:rPr>
                <w:color w:val="auto"/>
                <w:spacing w:val="8"/>
                <w:highlight w:val="none"/>
              </w:rPr>
              <w:t>其</w:t>
            </w:r>
            <w:r>
              <w:rPr>
                <w:color w:val="auto"/>
                <w:spacing w:val="15"/>
                <w:highlight w:val="none"/>
              </w:rPr>
              <w:t xml:space="preserve">  </w:t>
            </w:r>
            <w:r>
              <w:rPr>
                <w:color w:val="auto"/>
                <w:spacing w:val="8"/>
                <w:highlight w:val="none"/>
              </w:rPr>
              <w:t>中</w:t>
            </w:r>
          </w:p>
        </w:tc>
        <w:tc>
          <w:tcPr>
            <w:tcW w:w="1700" w:type="dxa"/>
            <w:gridSpan w:val="2"/>
            <w:vAlign w:val="top"/>
          </w:tcPr>
          <w:p w14:paraId="359E3414">
            <w:pPr>
              <w:pStyle w:val="20"/>
              <w:spacing w:before="172" w:line="228" w:lineRule="auto"/>
              <w:ind w:left="233"/>
              <w:rPr>
                <w:color w:val="auto"/>
                <w:highlight w:val="none"/>
              </w:rPr>
            </w:pPr>
            <w:r>
              <w:rPr>
                <w:color w:val="auto"/>
                <w:spacing w:val="7"/>
                <w:highlight w:val="none"/>
              </w:rPr>
              <w:t>高级职称人员</w:t>
            </w:r>
          </w:p>
        </w:tc>
        <w:tc>
          <w:tcPr>
            <w:tcW w:w="1518" w:type="dxa"/>
            <w:gridSpan w:val="2"/>
            <w:vAlign w:val="top"/>
          </w:tcPr>
          <w:p w14:paraId="4F1A4DD5">
            <w:pPr>
              <w:rPr>
                <w:rFonts w:ascii="Arial"/>
                <w:color w:val="auto"/>
                <w:sz w:val="21"/>
                <w:highlight w:val="none"/>
              </w:rPr>
            </w:pPr>
          </w:p>
        </w:tc>
      </w:tr>
      <w:tr w14:paraId="41E06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75BC8640">
            <w:pPr>
              <w:pStyle w:val="20"/>
              <w:spacing w:before="175" w:line="228" w:lineRule="auto"/>
              <w:ind w:left="611"/>
              <w:rPr>
                <w:color w:val="auto"/>
                <w:highlight w:val="none"/>
              </w:rPr>
            </w:pPr>
            <w:r>
              <w:rPr>
                <w:color w:val="auto"/>
                <w:spacing w:val="6"/>
                <w:highlight w:val="none"/>
              </w:rPr>
              <w:t>成立日期</w:t>
            </w:r>
          </w:p>
        </w:tc>
        <w:tc>
          <w:tcPr>
            <w:tcW w:w="3208" w:type="dxa"/>
            <w:gridSpan w:val="3"/>
            <w:vAlign w:val="top"/>
          </w:tcPr>
          <w:p w14:paraId="023E06D0">
            <w:pPr>
              <w:rPr>
                <w:rFonts w:ascii="Arial"/>
                <w:color w:val="auto"/>
                <w:sz w:val="21"/>
                <w:highlight w:val="none"/>
              </w:rPr>
            </w:pPr>
          </w:p>
        </w:tc>
        <w:tc>
          <w:tcPr>
            <w:tcW w:w="414" w:type="dxa"/>
            <w:vMerge w:val="continue"/>
            <w:tcBorders>
              <w:top w:val="nil"/>
              <w:bottom w:val="nil"/>
            </w:tcBorders>
            <w:textDirection w:val="tbRlV"/>
            <w:vAlign w:val="top"/>
          </w:tcPr>
          <w:p w14:paraId="453BB1F4">
            <w:pPr>
              <w:rPr>
                <w:rFonts w:ascii="Arial"/>
                <w:color w:val="auto"/>
                <w:sz w:val="21"/>
                <w:highlight w:val="none"/>
              </w:rPr>
            </w:pPr>
          </w:p>
        </w:tc>
        <w:tc>
          <w:tcPr>
            <w:tcW w:w="1700" w:type="dxa"/>
            <w:gridSpan w:val="2"/>
            <w:vAlign w:val="top"/>
          </w:tcPr>
          <w:p w14:paraId="3E175FF2">
            <w:pPr>
              <w:pStyle w:val="20"/>
              <w:spacing w:before="175" w:line="228" w:lineRule="auto"/>
              <w:ind w:left="247"/>
              <w:rPr>
                <w:color w:val="auto"/>
                <w:highlight w:val="none"/>
              </w:rPr>
            </w:pPr>
            <w:r>
              <w:rPr>
                <w:color w:val="auto"/>
                <w:spacing w:val="4"/>
                <w:highlight w:val="none"/>
              </w:rPr>
              <w:t>中级职称人员</w:t>
            </w:r>
          </w:p>
        </w:tc>
        <w:tc>
          <w:tcPr>
            <w:tcW w:w="1518" w:type="dxa"/>
            <w:gridSpan w:val="2"/>
            <w:vAlign w:val="top"/>
          </w:tcPr>
          <w:p w14:paraId="552335C7">
            <w:pPr>
              <w:rPr>
                <w:rFonts w:ascii="Arial"/>
                <w:color w:val="auto"/>
                <w:sz w:val="21"/>
                <w:highlight w:val="none"/>
              </w:rPr>
            </w:pPr>
          </w:p>
        </w:tc>
      </w:tr>
      <w:tr w14:paraId="4A160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625B8953">
            <w:pPr>
              <w:pStyle w:val="20"/>
              <w:spacing w:before="174" w:line="227" w:lineRule="auto"/>
              <w:ind w:left="189"/>
              <w:rPr>
                <w:color w:val="auto"/>
                <w:highlight w:val="none"/>
              </w:rPr>
            </w:pPr>
            <w:r>
              <w:rPr>
                <w:color w:val="auto"/>
                <w:spacing w:val="8"/>
                <w:highlight w:val="none"/>
              </w:rPr>
              <w:t>基本账户开户银行</w:t>
            </w:r>
          </w:p>
        </w:tc>
        <w:tc>
          <w:tcPr>
            <w:tcW w:w="3208" w:type="dxa"/>
            <w:gridSpan w:val="3"/>
            <w:vAlign w:val="top"/>
          </w:tcPr>
          <w:p w14:paraId="4A96AAEF">
            <w:pPr>
              <w:rPr>
                <w:rFonts w:ascii="Arial"/>
                <w:color w:val="auto"/>
                <w:sz w:val="21"/>
                <w:highlight w:val="none"/>
              </w:rPr>
            </w:pPr>
          </w:p>
        </w:tc>
        <w:tc>
          <w:tcPr>
            <w:tcW w:w="414" w:type="dxa"/>
            <w:vMerge w:val="continue"/>
            <w:tcBorders>
              <w:top w:val="nil"/>
              <w:bottom w:val="nil"/>
            </w:tcBorders>
            <w:textDirection w:val="tbRlV"/>
            <w:vAlign w:val="top"/>
          </w:tcPr>
          <w:p w14:paraId="4BD75B6C">
            <w:pPr>
              <w:rPr>
                <w:rFonts w:ascii="Arial"/>
                <w:color w:val="auto"/>
                <w:sz w:val="21"/>
                <w:highlight w:val="none"/>
              </w:rPr>
            </w:pPr>
          </w:p>
        </w:tc>
        <w:tc>
          <w:tcPr>
            <w:tcW w:w="1700" w:type="dxa"/>
            <w:gridSpan w:val="2"/>
            <w:vAlign w:val="top"/>
          </w:tcPr>
          <w:p w14:paraId="43A2ECA2">
            <w:pPr>
              <w:pStyle w:val="20"/>
              <w:spacing w:before="173" w:line="228" w:lineRule="auto"/>
              <w:ind w:left="228"/>
              <w:rPr>
                <w:color w:val="auto"/>
                <w:highlight w:val="none"/>
              </w:rPr>
            </w:pPr>
            <w:r>
              <w:rPr>
                <w:color w:val="auto"/>
                <w:spacing w:val="8"/>
                <w:highlight w:val="none"/>
              </w:rPr>
              <w:t>技术人员数量</w:t>
            </w:r>
          </w:p>
        </w:tc>
        <w:tc>
          <w:tcPr>
            <w:tcW w:w="1518" w:type="dxa"/>
            <w:gridSpan w:val="2"/>
            <w:vAlign w:val="top"/>
          </w:tcPr>
          <w:p w14:paraId="4D03513E">
            <w:pPr>
              <w:rPr>
                <w:rFonts w:ascii="Arial"/>
                <w:color w:val="auto"/>
                <w:sz w:val="21"/>
                <w:highlight w:val="none"/>
              </w:rPr>
            </w:pPr>
          </w:p>
        </w:tc>
      </w:tr>
      <w:tr w14:paraId="63632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69F605D1">
            <w:pPr>
              <w:pStyle w:val="20"/>
              <w:spacing w:before="175" w:line="227" w:lineRule="auto"/>
              <w:ind w:left="189"/>
              <w:rPr>
                <w:color w:val="auto"/>
                <w:highlight w:val="none"/>
              </w:rPr>
            </w:pPr>
            <w:r>
              <w:rPr>
                <w:color w:val="auto"/>
                <w:spacing w:val="8"/>
                <w:highlight w:val="none"/>
              </w:rPr>
              <w:t>基本账户银行账号</w:t>
            </w:r>
          </w:p>
        </w:tc>
        <w:tc>
          <w:tcPr>
            <w:tcW w:w="3208" w:type="dxa"/>
            <w:gridSpan w:val="3"/>
            <w:vAlign w:val="top"/>
          </w:tcPr>
          <w:p w14:paraId="4B93124D">
            <w:pPr>
              <w:rPr>
                <w:rFonts w:ascii="Arial"/>
                <w:color w:val="auto"/>
                <w:sz w:val="21"/>
                <w:highlight w:val="none"/>
              </w:rPr>
            </w:pPr>
          </w:p>
        </w:tc>
        <w:tc>
          <w:tcPr>
            <w:tcW w:w="414" w:type="dxa"/>
            <w:vMerge w:val="continue"/>
            <w:tcBorders>
              <w:top w:val="nil"/>
            </w:tcBorders>
            <w:textDirection w:val="tbRlV"/>
            <w:vAlign w:val="top"/>
          </w:tcPr>
          <w:p w14:paraId="42DB4819">
            <w:pPr>
              <w:rPr>
                <w:rFonts w:ascii="Arial"/>
                <w:color w:val="auto"/>
                <w:sz w:val="21"/>
                <w:highlight w:val="none"/>
              </w:rPr>
            </w:pPr>
          </w:p>
        </w:tc>
        <w:tc>
          <w:tcPr>
            <w:tcW w:w="1700" w:type="dxa"/>
            <w:gridSpan w:val="2"/>
            <w:vAlign w:val="top"/>
          </w:tcPr>
          <w:p w14:paraId="2681F7BD">
            <w:pPr>
              <w:pStyle w:val="20"/>
              <w:spacing w:before="175" w:line="228" w:lineRule="auto"/>
              <w:ind w:left="230"/>
              <w:rPr>
                <w:color w:val="auto"/>
                <w:highlight w:val="none"/>
              </w:rPr>
            </w:pPr>
            <w:r>
              <w:rPr>
                <w:color w:val="auto"/>
                <w:spacing w:val="7"/>
                <w:highlight w:val="none"/>
              </w:rPr>
              <w:t>各类注册人员</w:t>
            </w:r>
          </w:p>
        </w:tc>
        <w:tc>
          <w:tcPr>
            <w:tcW w:w="1518" w:type="dxa"/>
            <w:gridSpan w:val="2"/>
            <w:vAlign w:val="top"/>
          </w:tcPr>
          <w:p w14:paraId="3CCA6B74">
            <w:pPr>
              <w:rPr>
                <w:rFonts w:ascii="Arial"/>
                <w:color w:val="auto"/>
                <w:sz w:val="21"/>
                <w:highlight w:val="none"/>
              </w:rPr>
            </w:pPr>
          </w:p>
        </w:tc>
      </w:tr>
      <w:tr w14:paraId="2E081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050" w:type="dxa"/>
            <w:vAlign w:val="top"/>
          </w:tcPr>
          <w:p w14:paraId="3B0CAD9F">
            <w:pPr>
              <w:pStyle w:val="20"/>
              <w:spacing w:before="174" w:line="228" w:lineRule="auto"/>
              <w:ind w:left="717"/>
              <w:rPr>
                <w:color w:val="auto"/>
                <w:highlight w:val="none"/>
              </w:rPr>
            </w:pPr>
            <w:r>
              <w:rPr>
                <w:color w:val="auto"/>
                <w:spacing w:val="6"/>
                <w:highlight w:val="none"/>
              </w:rPr>
              <w:t>经营范围</w:t>
            </w:r>
          </w:p>
        </w:tc>
        <w:tc>
          <w:tcPr>
            <w:tcW w:w="6840" w:type="dxa"/>
            <w:gridSpan w:val="8"/>
            <w:vAlign w:val="top"/>
          </w:tcPr>
          <w:p w14:paraId="025CFCDA">
            <w:pPr>
              <w:rPr>
                <w:rFonts w:ascii="Arial"/>
                <w:color w:val="auto"/>
                <w:sz w:val="21"/>
                <w:highlight w:val="none"/>
              </w:rPr>
            </w:pPr>
          </w:p>
        </w:tc>
      </w:tr>
      <w:tr w14:paraId="14FC8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3" w:hRule="atLeast"/>
          <w:jc w:val="center"/>
        </w:trPr>
        <w:tc>
          <w:tcPr>
            <w:tcW w:w="2050" w:type="dxa"/>
            <w:vAlign w:val="top"/>
          </w:tcPr>
          <w:p w14:paraId="69E5EF9A">
            <w:pPr>
              <w:spacing w:line="266" w:lineRule="auto"/>
              <w:rPr>
                <w:rFonts w:ascii="Arial"/>
                <w:color w:val="auto"/>
                <w:sz w:val="21"/>
                <w:highlight w:val="none"/>
              </w:rPr>
            </w:pPr>
          </w:p>
          <w:p w14:paraId="632114D5">
            <w:pPr>
              <w:spacing w:line="266" w:lineRule="auto"/>
              <w:rPr>
                <w:rFonts w:ascii="Arial"/>
                <w:color w:val="auto"/>
                <w:sz w:val="21"/>
                <w:highlight w:val="none"/>
              </w:rPr>
            </w:pPr>
          </w:p>
          <w:p w14:paraId="03F75363">
            <w:pPr>
              <w:spacing w:line="266" w:lineRule="auto"/>
              <w:rPr>
                <w:rFonts w:ascii="Arial"/>
                <w:color w:val="auto"/>
                <w:sz w:val="21"/>
                <w:highlight w:val="none"/>
              </w:rPr>
            </w:pPr>
          </w:p>
          <w:p w14:paraId="546BCBF6">
            <w:pPr>
              <w:spacing w:line="266" w:lineRule="auto"/>
              <w:rPr>
                <w:rFonts w:ascii="Arial"/>
                <w:color w:val="auto"/>
                <w:sz w:val="21"/>
                <w:highlight w:val="none"/>
              </w:rPr>
            </w:pPr>
          </w:p>
          <w:p w14:paraId="4C754D28">
            <w:pPr>
              <w:pStyle w:val="20"/>
              <w:spacing w:before="65" w:line="228" w:lineRule="auto"/>
              <w:ind w:left="192"/>
              <w:rPr>
                <w:color w:val="auto"/>
                <w:highlight w:val="none"/>
              </w:rPr>
            </w:pPr>
            <w:r>
              <w:rPr>
                <w:color w:val="auto"/>
                <w:spacing w:val="8"/>
                <w:highlight w:val="none"/>
              </w:rPr>
              <w:t>投标人关联企业情</w:t>
            </w:r>
          </w:p>
          <w:p w14:paraId="3361EDA9">
            <w:pPr>
              <w:pStyle w:val="20"/>
              <w:spacing w:before="192" w:line="228" w:lineRule="auto"/>
              <w:ind w:left="928"/>
              <w:rPr>
                <w:color w:val="auto"/>
                <w:highlight w:val="none"/>
              </w:rPr>
            </w:pPr>
            <w:r>
              <w:rPr>
                <w:color w:val="auto"/>
                <w:highlight w:val="none"/>
              </w:rPr>
              <w:t>况</w:t>
            </w:r>
          </w:p>
        </w:tc>
        <w:tc>
          <w:tcPr>
            <w:tcW w:w="6840" w:type="dxa"/>
            <w:gridSpan w:val="8"/>
            <w:vAlign w:val="top"/>
          </w:tcPr>
          <w:p w14:paraId="3A55DF9B">
            <w:pPr>
              <w:pStyle w:val="20"/>
              <w:spacing w:before="160" w:line="227" w:lineRule="auto"/>
              <w:ind w:left="115"/>
              <w:rPr>
                <w:color w:val="auto"/>
                <w:highlight w:val="none"/>
              </w:rPr>
            </w:pPr>
            <w:r>
              <w:rPr>
                <w:color w:val="auto"/>
                <w:spacing w:val="8"/>
                <w:highlight w:val="none"/>
              </w:rPr>
              <w:t>投标人应提供关联企业情况，包括：</w:t>
            </w:r>
          </w:p>
          <w:p w14:paraId="679EDB74">
            <w:pPr>
              <w:pStyle w:val="20"/>
              <w:spacing w:before="155" w:line="369" w:lineRule="auto"/>
              <w:ind w:left="112" w:right="108" w:hanging="95"/>
              <w:rPr>
                <w:color w:val="auto"/>
                <w:highlight w:val="none"/>
              </w:rPr>
            </w:pPr>
            <w:r>
              <w:rPr>
                <w:color w:val="auto"/>
                <w:spacing w:val="11"/>
                <w:highlight w:val="none"/>
              </w:rPr>
              <w:t>（1）投标人的所有股东名称及相应股权（出资额）</w:t>
            </w:r>
            <w:r>
              <w:rPr>
                <w:color w:val="auto"/>
                <w:spacing w:val="-45"/>
                <w:highlight w:val="none"/>
              </w:rPr>
              <w:t xml:space="preserve"> </w:t>
            </w:r>
            <w:r>
              <w:rPr>
                <w:color w:val="auto"/>
                <w:spacing w:val="11"/>
                <w:highlight w:val="none"/>
              </w:rPr>
              <w:t>比例；如投标人为上</w:t>
            </w:r>
            <w:r>
              <w:rPr>
                <w:color w:val="auto"/>
                <w:spacing w:val="12"/>
                <w:highlight w:val="none"/>
              </w:rPr>
              <w:t>市公司，投标人应提供股权占公司股份总数</w:t>
            </w:r>
            <w:r>
              <w:rPr>
                <w:color w:val="auto"/>
                <w:spacing w:val="12"/>
                <w:highlight w:val="none"/>
                <w:u w:val="single" w:color="auto"/>
              </w:rPr>
              <w:t xml:space="preserve"> 5 </w:t>
            </w:r>
            <w:r>
              <w:rPr>
                <w:color w:val="auto"/>
                <w:spacing w:val="12"/>
                <w:highlight w:val="none"/>
              </w:rPr>
              <w:t>%以上的所有股东名称及</w:t>
            </w:r>
            <w:r>
              <w:rPr>
                <w:color w:val="auto"/>
                <w:spacing w:val="7"/>
                <w:highlight w:val="none"/>
              </w:rPr>
              <w:t>相应股权比例；</w:t>
            </w:r>
          </w:p>
          <w:p w14:paraId="43EFFC8C">
            <w:pPr>
              <w:pStyle w:val="20"/>
              <w:spacing w:before="1" w:line="368" w:lineRule="auto"/>
              <w:ind w:left="135" w:right="127" w:hanging="118"/>
              <w:rPr>
                <w:color w:val="auto"/>
                <w:highlight w:val="none"/>
              </w:rPr>
            </w:pPr>
            <w:r>
              <w:rPr>
                <w:color w:val="auto"/>
                <w:spacing w:val="12"/>
                <w:highlight w:val="none"/>
              </w:rPr>
              <w:t>（2）投标人投资（控股）或管理的下属企业名称、持有股权（出资额）</w:t>
            </w:r>
            <w:r>
              <w:rPr>
                <w:color w:val="auto"/>
                <w:spacing w:val="-5"/>
                <w:highlight w:val="none"/>
              </w:rPr>
              <w:t>比例；</w:t>
            </w:r>
          </w:p>
          <w:p w14:paraId="25A7E674">
            <w:pPr>
              <w:pStyle w:val="20"/>
              <w:spacing w:line="214" w:lineRule="auto"/>
              <w:ind w:left="17"/>
              <w:rPr>
                <w:color w:val="auto"/>
                <w:highlight w:val="none"/>
              </w:rPr>
            </w:pPr>
            <w:r>
              <w:rPr>
                <w:color w:val="auto"/>
                <w:spacing w:val="9"/>
                <w:highlight w:val="none"/>
              </w:rPr>
              <w:t>（3）与投标人单位负责人（即法定代表人）为同一人的其他</w:t>
            </w:r>
            <w:r>
              <w:rPr>
                <w:color w:val="auto"/>
                <w:spacing w:val="8"/>
                <w:highlight w:val="none"/>
              </w:rPr>
              <w:t>单位名称。</w:t>
            </w:r>
          </w:p>
        </w:tc>
      </w:tr>
      <w:tr w14:paraId="57E4F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2050" w:type="dxa"/>
            <w:vAlign w:val="top"/>
          </w:tcPr>
          <w:p w14:paraId="0F244450">
            <w:pPr>
              <w:pStyle w:val="20"/>
              <w:spacing w:before="175" w:line="229" w:lineRule="auto"/>
              <w:ind w:left="823"/>
              <w:rPr>
                <w:color w:val="auto"/>
                <w:highlight w:val="none"/>
              </w:rPr>
            </w:pPr>
            <w:r>
              <w:rPr>
                <w:color w:val="auto"/>
                <w:spacing w:val="3"/>
                <w:highlight w:val="none"/>
              </w:rPr>
              <w:t>备注</w:t>
            </w:r>
          </w:p>
        </w:tc>
        <w:tc>
          <w:tcPr>
            <w:tcW w:w="6840" w:type="dxa"/>
            <w:gridSpan w:val="8"/>
            <w:vAlign w:val="top"/>
          </w:tcPr>
          <w:p w14:paraId="78FD8937">
            <w:pPr>
              <w:rPr>
                <w:rFonts w:ascii="Arial"/>
                <w:color w:val="auto"/>
                <w:sz w:val="21"/>
                <w:highlight w:val="none"/>
              </w:rPr>
            </w:pPr>
          </w:p>
        </w:tc>
      </w:tr>
    </w:tbl>
    <w:p w14:paraId="1A87EEE9">
      <w:pPr>
        <w:spacing w:before="119" w:line="227" w:lineRule="auto"/>
        <w:ind w:firstLine="432" w:firstLineChars="20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注：1.投标人应根据招标文件第二章“投标人须知</w:t>
      </w:r>
      <w:r>
        <w:rPr>
          <w:rFonts w:ascii="宋体" w:hAnsi="宋体" w:eastAsia="宋体" w:cs="宋体"/>
          <w:color w:val="auto"/>
          <w:spacing w:val="-63"/>
          <w:sz w:val="20"/>
          <w:szCs w:val="20"/>
          <w:highlight w:val="none"/>
        </w:rPr>
        <w:t xml:space="preserve"> </w:t>
      </w:r>
      <w:r>
        <w:rPr>
          <w:rFonts w:ascii="宋体" w:hAnsi="宋体" w:eastAsia="宋体" w:cs="宋体"/>
          <w:color w:val="auto"/>
          <w:spacing w:val="8"/>
          <w:sz w:val="20"/>
          <w:szCs w:val="20"/>
          <w:highlight w:val="none"/>
        </w:rPr>
        <w:t>”第3.5.1项的要求在本表后附相关证明材料。</w:t>
      </w:r>
    </w:p>
    <w:p w14:paraId="7B9ED2EF">
      <w:pPr>
        <w:spacing w:before="113" w:line="225" w:lineRule="auto"/>
        <w:ind w:left="42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2.以联合体形式参与投标的，联合体各成员</w:t>
      </w:r>
      <w:r>
        <w:rPr>
          <w:rFonts w:ascii="宋体" w:hAnsi="宋体" w:eastAsia="宋体" w:cs="宋体"/>
          <w:color w:val="auto"/>
          <w:spacing w:val="8"/>
          <w:sz w:val="20"/>
          <w:szCs w:val="20"/>
          <w:highlight w:val="none"/>
        </w:rPr>
        <w:t>应分别填写。</w:t>
      </w:r>
    </w:p>
    <w:p w14:paraId="4DD6435B">
      <w:pPr>
        <w:spacing w:line="225" w:lineRule="auto"/>
        <w:rPr>
          <w:rFonts w:ascii="宋体" w:hAnsi="宋体" w:eastAsia="宋体" w:cs="宋体"/>
          <w:color w:val="auto"/>
          <w:sz w:val="20"/>
          <w:szCs w:val="20"/>
          <w:highlight w:val="none"/>
        </w:rPr>
        <w:sectPr>
          <w:footerReference r:id="rId39" w:type="default"/>
          <w:pgSz w:w="11905" w:h="16838"/>
          <w:pgMar w:top="1134" w:right="1134" w:bottom="1134" w:left="1134" w:header="0" w:footer="1066" w:gutter="0"/>
          <w:pgNumType w:fmt="decimal"/>
          <w:cols w:space="0" w:num="1"/>
          <w:rtlGutter w:val="0"/>
          <w:docGrid w:linePitch="0" w:charSpace="0"/>
        </w:sectPr>
      </w:pPr>
    </w:p>
    <w:p w14:paraId="55629200">
      <w:pPr>
        <w:spacing w:line="319" w:lineRule="auto"/>
        <w:rPr>
          <w:rFonts w:ascii="Arial"/>
          <w:color w:val="auto"/>
          <w:sz w:val="21"/>
          <w:highlight w:val="none"/>
        </w:rPr>
      </w:pPr>
    </w:p>
    <w:p w14:paraId="0A4AFB18">
      <w:pPr>
        <w:pStyle w:val="4"/>
        <w:bidi w:val="0"/>
        <w:jc w:val="center"/>
        <w:rPr>
          <w:color w:val="auto"/>
          <w:highlight w:val="none"/>
        </w:rPr>
      </w:pPr>
      <w:r>
        <w:rPr>
          <w:color w:val="auto"/>
          <w:highlight w:val="none"/>
        </w:rPr>
        <w:t>（二）投标人企业组织机构框图</w:t>
      </w:r>
    </w:p>
    <w:p w14:paraId="3BC2812F">
      <w:pPr>
        <w:spacing w:line="184" w:lineRule="exact"/>
        <w:rPr>
          <w:color w:val="auto"/>
          <w:highlight w:val="none"/>
        </w:rPr>
      </w:pPr>
    </w:p>
    <w:tbl>
      <w:tblPr>
        <w:tblStyle w:val="19"/>
        <w:tblW w:w="88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95"/>
      </w:tblGrid>
      <w:tr w14:paraId="146CB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428" w:hRule="atLeast"/>
          <w:jc w:val="center"/>
        </w:trPr>
        <w:tc>
          <w:tcPr>
            <w:tcW w:w="8895" w:type="dxa"/>
            <w:vAlign w:val="top"/>
          </w:tcPr>
          <w:p w14:paraId="0D246B97">
            <w:pPr>
              <w:spacing w:line="307" w:lineRule="auto"/>
              <w:rPr>
                <w:rFonts w:ascii="Arial"/>
                <w:color w:val="auto"/>
                <w:sz w:val="21"/>
                <w:highlight w:val="none"/>
              </w:rPr>
            </w:pPr>
          </w:p>
          <w:p w14:paraId="42E908C6">
            <w:pPr>
              <w:spacing w:line="307" w:lineRule="auto"/>
              <w:rPr>
                <w:rFonts w:ascii="Arial"/>
                <w:color w:val="auto"/>
                <w:sz w:val="21"/>
                <w:highlight w:val="none"/>
              </w:rPr>
            </w:pPr>
          </w:p>
          <w:p w14:paraId="1E9CFE98">
            <w:pPr>
              <w:pStyle w:val="20"/>
              <w:spacing w:before="65" w:line="228" w:lineRule="auto"/>
              <w:ind w:left="407"/>
              <w:rPr>
                <w:color w:val="auto"/>
                <w:highlight w:val="none"/>
              </w:rPr>
            </w:pPr>
            <w:r>
              <w:rPr>
                <w:color w:val="auto"/>
                <w:spacing w:val="5"/>
                <w:highlight w:val="none"/>
              </w:rPr>
              <w:t>以框图方式表示</w:t>
            </w:r>
          </w:p>
        </w:tc>
      </w:tr>
      <w:tr w14:paraId="4E6DE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6" w:hRule="atLeast"/>
          <w:jc w:val="center"/>
        </w:trPr>
        <w:tc>
          <w:tcPr>
            <w:tcW w:w="8895" w:type="dxa"/>
            <w:vAlign w:val="top"/>
          </w:tcPr>
          <w:p w14:paraId="38239E97">
            <w:pPr>
              <w:pStyle w:val="20"/>
              <w:spacing w:before="163" w:line="228" w:lineRule="auto"/>
              <w:ind w:left="386"/>
              <w:rPr>
                <w:color w:val="auto"/>
                <w:highlight w:val="none"/>
              </w:rPr>
            </w:pPr>
            <w:r>
              <w:rPr>
                <w:color w:val="auto"/>
                <w:spacing w:val="3"/>
                <w:highlight w:val="none"/>
              </w:rPr>
              <w:t>说明</w:t>
            </w:r>
          </w:p>
        </w:tc>
      </w:tr>
    </w:tbl>
    <w:p w14:paraId="521D5891">
      <w:pPr>
        <w:rPr>
          <w:rFonts w:ascii="Arial"/>
          <w:color w:val="auto"/>
          <w:sz w:val="21"/>
          <w:highlight w:val="none"/>
        </w:rPr>
      </w:pPr>
    </w:p>
    <w:p w14:paraId="5E6CBA5E">
      <w:pPr>
        <w:rPr>
          <w:rFonts w:ascii="Arial" w:hAnsi="Arial" w:eastAsia="Arial" w:cs="Arial"/>
          <w:color w:val="auto"/>
          <w:sz w:val="21"/>
          <w:szCs w:val="21"/>
          <w:highlight w:val="none"/>
        </w:rPr>
        <w:sectPr>
          <w:footerReference r:id="rId40" w:type="default"/>
          <w:pgSz w:w="11905" w:h="16838"/>
          <w:pgMar w:top="1134" w:right="1134" w:bottom="1134" w:left="1134" w:header="0" w:footer="1066" w:gutter="0"/>
          <w:pgNumType w:fmt="decimal"/>
          <w:cols w:space="0" w:num="1"/>
          <w:rtlGutter w:val="0"/>
          <w:docGrid w:linePitch="0" w:charSpace="0"/>
        </w:sectPr>
      </w:pPr>
    </w:p>
    <w:p w14:paraId="2735CA04">
      <w:pPr>
        <w:spacing w:line="253" w:lineRule="auto"/>
        <w:rPr>
          <w:rFonts w:ascii="Arial"/>
          <w:color w:val="auto"/>
          <w:sz w:val="21"/>
          <w:highlight w:val="none"/>
        </w:rPr>
      </w:pPr>
    </w:p>
    <w:p w14:paraId="354A3BBC">
      <w:pPr>
        <w:spacing w:line="253" w:lineRule="auto"/>
        <w:rPr>
          <w:rFonts w:ascii="Arial"/>
          <w:color w:val="auto"/>
          <w:sz w:val="21"/>
          <w:highlight w:val="none"/>
        </w:rPr>
      </w:pPr>
    </w:p>
    <w:p w14:paraId="6800BD87">
      <w:pPr>
        <w:spacing w:line="254" w:lineRule="auto"/>
        <w:rPr>
          <w:rFonts w:ascii="Arial"/>
          <w:color w:val="auto"/>
          <w:sz w:val="21"/>
          <w:highlight w:val="none"/>
        </w:rPr>
      </w:pPr>
    </w:p>
    <w:p w14:paraId="49050F3A">
      <w:pPr>
        <w:spacing w:line="254" w:lineRule="auto"/>
        <w:rPr>
          <w:rFonts w:ascii="Arial"/>
          <w:color w:val="auto"/>
          <w:sz w:val="21"/>
          <w:highlight w:val="none"/>
        </w:rPr>
      </w:pPr>
    </w:p>
    <w:p w14:paraId="20AF55FA">
      <w:pPr>
        <w:spacing w:line="254" w:lineRule="auto"/>
        <w:rPr>
          <w:rFonts w:ascii="Arial"/>
          <w:color w:val="auto"/>
          <w:sz w:val="21"/>
          <w:highlight w:val="none"/>
        </w:rPr>
      </w:pPr>
    </w:p>
    <w:p w14:paraId="1B60178F">
      <w:pPr>
        <w:pStyle w:val="4"/>
        <w:bidi w:val="0"/>
        <w:jc w:val="center"/>
        <w:rPr>
          <w:color w:val="auto"/>
          <w:highlight w:val="none"/>
        </w:rPr>
      </w:pPr>
      <w:r>
        <w:rPr>
          <w:color w:val="auto"/>
          <w:highlight w:val="none"/>
        </w:rPr>
        <w:t>（三）近年完成的类似项目情况汇总表</w:t>
      </w:r>
    </w:p>
    <w:p w14:paraId="5E699F69">
      <w:pPr>
        <w:spacing w:line="181" w:lineRule="exact"/>
        <w:rPr>
          <w:color w:val="auto"/>
          <w:highlight w:val="none"/>
        </w:rPr>
      </w:pPr>
    </w:p>
    <w:tbl>
      <w:tblPr>
        <w:tblStyle w:val="19"/>
        <w:tblW w:w="142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2"/>
        <w:gridCol w:w="1047"/>
        <w:gridCol w:w="1309"/>
        <w:gridCol w:w="1047"/>
        <w:gridCol w:w="1456"/>
        <w:gridCol w:w="1327"/>
        <w:gridCol w:w="1158"/>
        <w:gridCol w:w="808"/>
        <w:gridCol w:w="753"/>
        <w:gridCol w:w="1750"/>
        <w:gridCol w:w="1047"/>
        <w:gridCol w:w="1871"/>
      </w:tblGrid>
      <w:tr w14:paraId="220FF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5" w:hRule="atLeast"/>
        </w:trPr>
        <w:tc>
          <w:tcPr>
            <w:tcW w:w="642" w:type="dxa"/>
            <w:textDirection w:val="tbRlV"/>
            <w:vAlign w:val="top"/>
          </w:tcPr>
          <w:p w14:paraId="5D207D86">
            <w:pPr>
              <w:pStyle w:val="20"/>
              <w:spacing w:before="210" w:line="218" w:lineRule="auto"/>
              <w:ind w:left="170"/>
              <w:rPr>
                <w:color w:val="auto"/>
                <w:highlight w:val="none"/>
              </w:rPr>
            </w:pPr>
            <w:r>
              <w:rPr>
                <w:color w:val="auto"/>
                <w:spacing w:val="8"/>
                <w:highlight w:val="none"/>
              </w:rPr>
              <w:t>序</w:t>
            </w:r>
            <w:r>
              <w:rPr>
                <w:color w:val="auto"/>
                <w:spacing w:val="-35"/>
                <w:highlight w:val="none"/>
              </w:rPr>
              <w:t xml:space="preserve"> </w:t>
            </w:r>
            <w:r>
              <w:rPr>
                <w:color w:val="auto"/>
                <w:spacing w:val="8"/>
                <w:highlight w:val="none"/>
              </w:rPr>
              <w:t>号</w:t>
            </w:r>
          </w:p>
        </w:tc>
        <w:tc>
          <w:tcPr>
            <w:tcW w:w="1047" w:type="dxa"/>
            <w:vAlign w:val="top"/>
          </w:tcPr>
          <w:p w14:paraId="70598F99">
            <w:pPr>
              <w:pStyle w:val="20"/>
              <w:spacing w:before="170" w:line="255" w:lineRule="auto"/>
              <w:ind w:left="413" w:right="202" w:hanging="207"/>
              <w:rPr>
                <w:color w:val="auto"/>
                <w:highlight w:val="none"/>
              </w:rPr>
            </w:pPr>
            <w:r>
              <w:rPr>
                <w:color w:val="auto"/>
                <w:spacing w:val="5"/>
                <w:highlight w:val="none"/>
              </w:rPr>
              <w:t>项目名</w:t>
            </w:r>
            <w:r>
              <w:rPr>
                <w:color w:val="auto"/>
                <w:spacing w:val="1"/>
                <w:highlight w:val="none"/>
              </w:rPr>
              <w:t>称</w:t>
            </w:r>
          </w:p>
        </w:tc>
        <w:tc>
          <w:tcPr>
            <w:tcW w:w="1309" w:type="dxa"/>
            <w:vAlign w:val="top"/>
          </w:tcPr>
          <w:p w14:paraId="13DC0095">
            <w:pPr>
              <w:pStyle w:val="20"/>
              <w:spacing w:before="170" w:line="255" w:lineRule="auto"/>
              <w:ind w:left="546" w:right="173" w:hanging="371"/>
              <w:rPr>
                <w:color w:val="auto"/>
                <w:highlight w:val="none"/>
              </w:rPr>
            </w:pPr>
            <w:r>
              <w:rPr>
                <w:color w:val="auto"/>
                <w:spacing w:val="6"/>
                <w:highlight w:val="none"/>
              </w:rPr>
              <w:t>新建/改扩</w:t>
            </w:r>
            <w:r>
              <w:rPr>
                <w:color w:val="auto"/>
                <w:highlight w:val="none"/>
              </w:rPr>
              <w:t>建</w:t>
            </w:r>
          </w:p>
        </w:tc>
        <w:tc>
          <w:tcPr>
            <w:tcW w:w="1047" w:type="dxa"/>
            <w:vAlign w:val="top"/>
          </w:tcPr>
          <w:p w14:paraId="0649021C">
            <w:pPr>
              <w:pStyle w:val="20"/>
              <w:spacing w:before="170" w:line="255" w:lineRule="auto"/>
              <w:ind w:left="418" w:right="201" w:hanging="208"/>
              <w:rPr>
                <w:color w:val="auto"/>
                <w:highlight w:val="none"/>
              </w:rPr>
            </w:pPr>
            <w:r>
              <w:rPr>
                <w:color w:val="auto"/>
                <w:spacing w:val="4"/>
                <w:highlight w:val="none"/>
              </w:rPr>
              <w:t>公路等</w:t>
            </w:r>
            <w:r>
              <w:rPr>
                <w:color w:val="auto"/>
                <w:highlight w:val="none"/>
              </w:rPr>
              <w:t>级</w:t>
            </w:r>
          </w:p>
        </w:tc>
        <w:tc>
          <w:tcPr>
            <w:tcW w:w="1456" w:type="dxa"/>
            <w:vAlign w:val="top"/>
          </w:tcPr>
          <w:p w14:paraId="453FDB12">
            <w:pPr>
              <w:pStyle w:val="20"/>
              <w:spacing w:before="171" w:line="255" w:lineRule="auto"/>
              <w:ind w:left="633" w:right="190" w:hanging="432"/>
              <w:rPr>
                <w:color w:val="auto"/>
                <w:highlight w:val="none"/>
              </w:rPr>
            </w:pPr>
            <w:r>
              <w:rPr>
                <w:color w:val="auto"/>
                <w:spacing w:val="7"/>
                <w:highlight w:val="none"/>
              </w:rPr>
              <w:t>交工验收时</w:t>
            </w:r>
            <w:r>
              <w:rPr>
                <w:color w:val="auto"/>
                <w:highlight w:val="none"/>
              </w:rPr>
              <w:t>间</w:t>
            </w:r>
          </w:p>
        </w:tc>
        <w:tc>
          <w:tcPr>
            <w:tcW w:w="1327" w:type="dxa"/>
            <w:vAlign w:val="top"/>
          </w:tcPr>
          <w:p w14:paraId="7FAAF692">
            <w:pPr>
              <w:rPr>
                <w:rFonts w:ascii="Arial"/>
                <w:color w:val="auto"/>
                <w:sz w:val="21"/>
                <w:highlight w:val="none"/>
              </w:rPr>
            </w:pPr>
          </w:p>
          <w:p w14:paraId="47244321">
            <w:pPr>
              <w:pStyle w:val="20"/>
              <w:spacing w:before="65" w:line="228" w:lineRule="auto"/>
              <w:ind w:left="135"/>
              <w:rPr>
                <w:color w:val="auto"/>
                <w:highlight w:val="none"/>
              </w:rPr>
            </w:pPr>
            <w:r>
              <w:rPr>
                <w:color w:val="auto"/>
                <w:spacing w:val="7"/>
                <w:highlight w:val="none"/>
              </w:rPr>
              <w:t>路基（</w:t>
            </w:r>
            <w:r>
              <w:rPr>
                <w:color w:val="auto"/>
                <w:highlight w:val="none"/>
              </w:rPr>
              <w:t>km</w:t>
            </w:r>
            <w:r>
              <w:rPr>
                <w:color w:val="auto"/>
                <w:spacing w:val="7"/>
                <w:highlight w:val="none"/>
              </w:rPr>
              <w:t>）</w:t>
            </w:r>
          </w:p>
        </w:tc>
        <w:tc>
          <w:tcPr>
            <w:tcW w:w="1158" w:type="dxa"/>
            <w:vAlign w:val="top"/>
          </w:tcPr>
          <w:p w14:paraId="0812DBFE">
            <w:pPr>
              <w:pStyle w:val="20"/>
              <w:spacing w:before="171" w:line="260" w:lineRule="auto"/>
              <w:ind w:left="272" w:right="270" w:firstLine="97"/>
              <w:rPr>
                <w:color w:val="auto"/>
                <w:highlight w:val="none"/>
              </w:rPr>
            </w:pPr>
            <w:r>
              <w:rPr>
                <w:color w:val="auto"/>
                <w:spacing w:val="3"/>
                <w:highlight w:val="none"/>
              </w:rPr>
              <w:t>路面</w:t>
            </w:r>
            <w:r>
              <w:rPr>
                <w:color w:val="auto"/>
                <w:spacing w:val="-2"/>
                <w:highlight w:val="none"/>
              </w:rPr>
              <w:t>（km）</w:t>
            </w:r>
          </w:p>
        </w:tc>
        <w:tc>
          <w:tcPr>
            <w:tcW w:w="808" w:type="dxa"/>
            <w:vAlign w:val="top"/>
          </w:tcPr>
          <w:p w14:paraId="3EFFD203">
            <w:pPr>
              <w:pStyle w:val="20"/>
              <w:spacing w:before="170" w:line="254" w:lineRule="auto"/>
              <w:ind w:left="194" w:right="186"/>
              <w:rPr>
                <w:color w:val="auto"/>
                <w:highlight w:val="none"/>
              </w:rPr>
            </w:pPr>
            <w:r>
              <w:rPr>
                <w:color w:val="auto"/>
                <w:spacing w:val="4"/>
                <w:highlight w:val="none"/>
              </w:rPr>
              <w:t>桥梁概况</w:t>
            </w:r>
          </w:p>
        </w:tc>
        <w:tc>
          <w:tcPr>
            <w:tcW w:w="753" w:type="dxa"/>
            <w:vAlign w:val="top"/>
          </w:tcPr>
          <w:p w14:paraId="02E83D93">
            <w:pPr>
              <w:pStyle w:val="20"/>
              <w:spacing w:before="170" w:line="254" w:lineRule="auto"/>
              <w:ind w:left="166" w:right="160" w:firstLine="10"/>
              <w:rPr>
                <w:color w:val="auto"/>
                <w:highlight w:val="none"/>
              </w:rPr>
            </w:pPr>
            <w:r>
              <w:rPr>
                <w:color w:val="auto"/>
                <w:spacing w:val="-1"/>
                <w:highlight w:val="none"/>
              </w:rPr>
              <w:t>隧道</w:t>
            </w:r>
            <w:r>
              <w:rPr>
                <w:color w:val="auto"/>
                <w:spacing w:val="4"/>
                <w:highlight w:val="none"/>
              </w:rPr>
              <w:t>概况</w:t>
            </w:r>
          </w:p>
        </w:tc>
        <w:tc>
          <w:tcPr>
            <w:tcW w:w="1750" w:type="dxa"/>
            <w:vAlign w:val="top"/>
          </w:tcPr>
          <w:p w14:paraId="5FB8D50A">
            <w:pPr>
              <w:pStyle w:val="20"/>
              <w:spacing w:before="170" w:line="228" w:lineRule="auto"/>
              <w:ind w:left="137"/>
              <w:rPr>
                <w:color w:val="auto"/>
                <w:highlight w:val="none"/>
              </w:rPr>
            </w:pPr>
            <w:r>
              <w:rPr>
                <w:color w:val="auto"/>
                <w:spacing w:val="8"/>
                <w:highlight w:val="none"/>
              </w:rPr>
              <w:t>交通安全设施工</w:t>
            </w:r>
          </w:p>
          <w:p w14:paraId="6B13A8EB">
            <w:pPr>
              <w:pStyle w:val="20"/>
              <w:spacing w:before="27" w:line="228" w:lineRule="auto"/>
              <w:ind w:left="448"/>
              <w:rPr>
                <w:color w:val="auto"/>
                <w:highlight w:val="none"/>
              </w:rPr>
            </w:pPr>
            <w:r>
              <w:rPr>
                <w:color w:val="auto"/>
                <w:spacing w:val="7"/>
                <w:highlight w:val="none"/>
              </w:rPr>
              <w:t>程（</w:t>
            </w:r>
            <w:r>
              <w:rPr>
                <w:color w:val="auto"/>
                <w:highlight w:val="none"/>
              </w:rPr>
              <w:t>km</w:t>
            </w:r>
            <w:r>
              <w:rPr>
                <w:color w:val="auto"/>
                <w:spacing w:val="7"/>
                <w:highlight w:val="none"/>
              </w:rPr>
              <w:t>）</w:t>
            </w:r>
          </w:p>
        </w:tc>
        <w:tc>
          <w:tcPr>
            <w:tcW w:w="1047" w:type="dxa"/>
            <w:vAlign w:val="top"/>
          </w:tcPr>
          <w:p w14:paraId="071A5791">
            <w:pPr>
              <w:pStyle w:val="20"/>
              <w:spacing w:before="37" w:line="250" w:lineRule="auto"/>
              <w:ind w:left="417" w:right="197" w:hanging="211"/>
              <w:rPr>
                <w:color w:val="auto"/>
                <w:highlight w:val="none"/>
              </w:rPr>
            </w:pPr>
            <w:r>
              <w:rPr>
                <w:color w:val="auto"/>
                <w:spacing w:val="7"/>
                <w:highlight w:val="none"/>
              </w:rPr>
              <w:t>机电工</w:t>
            </w:r>
            <w:r>
              <w:rPr>
                <w:color w:val="auto"/>
                <w:spacing w:val="1"/>
                <w:highlight w:val="none"/>
              </w:rPr>
              <w:t>程</w:t>
            </w:r>
          </w:p>
          <w:p w14:paraId="6E69AF32">
            <w:pPr>
              <w:pStyle w:val="20"/>
              <w:spacing w:line="218" w:lineRule="auto"/>
              <w:ind w:left="217"/>
              <w:rPr>
                <w:color w:val="auto"/>
                <w:highlight w:val="none"/>
              </w:rPr>
            </w:pPr>
            <w:r>
              <w:rPr>
                <w:color w:val="auto"/>
                <w:spacing w:val="1"/>
                <w:highlight w:val="none"/>
              </w:rPr>
              <w:t>（</w:t>
            </w:r>
            <w:r>
              <w:rPr>
                <w:color w:val="auto"/>
                <w:highlight w:val="none"/>
              </w:rPr>
              <w:t>km</w:t>
            </w:r>
            <w:r>
              <w:rPr>
                <w:color w:val="auto"/>
                <w:spacing w:val="1"/>
                <w:highlight w:val="none"/>
              </w:rPr>
              <w:t>）</w:t>
            </w:r>
          </w:p>
        </w:tc>
        <w:tc>
          <w:tcPr>
            <w:tcW w:w="1871" w:type="dxa"/>
            <w:vAlign w:val="top"/>
          </w:tcPr>
          <w:p w14:paraId="4D58F84A">
            <w:pPr>
              <w:pStyle w:val="20"/>
              <w:spacing w:before="170" w:line="256" w:lineRule="auto"/>
              <w:ind w:left="821" w:right="184" w:hanging="630"/>
              <w:rPr>
                <w:color w:val="auto"/>
                <w:highlight w:val="none"/>
              </w:rPr>
            </w:pPr>
            <w:r>
              <w:rPr>
                <w:color w:val="auto"/>
                <w:spacing w:val="8"/>
                <w:highlight w:val="none"/>
              </w:rPr>
              <w:t>证明资料所在页</w:t>
            </w:r>
            <w:r>
              <w:rPr>
                <w:color w:val="auto"/>
                <w:spacing w:val="1"/>
                <w:highlight w:val="none"/>
              </w:rPr>
              <w:t>码</w:t>
            </w:r>
          </w:p>
        </w:tc>
      </w:tr>
      <w:tr w14:paraId="4A6B4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4B706281">
            <w:pPr>
              <w:rPr>
                <w:rFonts w:ascii="Arial"/>
                <w:color w:val="auto"/>
                <w:sz w:val="21"/>
                <w:highlight w:val="none"/>
              </w:rPr>
            </w:pPr>
          </w:p>
        </w:tc>
        <w:tc>
          <w:tcPr>
            <w:tcW w:w="1047" w:type="dxa"/>
            <w:vAlign w:val="top"/>
          </w:tcPr>
          <w:p w14:paraId="71673F0E">
            <w:pPr>
              <w:rPr>
                <w:rFonts w:ascii="Arial"/>
                <w:color w:val="auto"/>
                <w:sz w:val="21"/>
                <w:highlight w:val="none"/>
              </w:rPr>
            </w:pPr>
          </w:p>
        </w:tc>
        <w:tc>
          <w:tcPr>
            <w:tcW w:w="1309" w:type="dxa"/>
            <w:vAlign w:val="top"/>
          </w:tcPr>
          <w:p w14:paraId="70697689">
            <w:pPr>
              <w:rPr>
                <w:rFonts w:ascii="Arial"/>
                <w:color w:val="auto"/>
                <w:sz w:val="21"/>
                <w:highlight w:val="none"/>
              </w:rPr>
            </w:pPr>
          </w:p>
        </w:tc>
        <w:tc>
          <w:tcPr>
            <w:tcW w:w="1047" w:type="dxa"/>
            <w:vAlign w:val="top"/>
          </w:tcPr>
          <w:p w14:paraId="6811E8F6">
            <w:pPr>
              <w:rPr>
                <w:rFonts w:ascii="Arial"/>
                <w:color w:val="auto"/>
                <w:sz w:val="21"/>
                <w:highlight w:val="none"/>
              </w:rPr>
            </w:pPr>
          </w:p>
        </w:tc>
        <w:tc>
          <w:tcPr>
            <w:tcW w:w="1456" w:type="dxa"/>
            <w:vAlign w:val="top"/>
          </w:tcPr>
          <w:p w14:paraId="6EE821B5">
            <w:pPr>
              <w:rPr>
                <w:rFonts w:ascii="Arial"/>
                <w:color w:val="auto"/>
                <w:sz w:val="21"/>
                <w:highlight w:val="none"/>
              </w:rPr>
            </w:pPr>
          </w:p>
        </w:tc>
        <w:tc>
          <w:tcPr>
            <w:tcW w:w="1327" w:type="dxa"/>
            <w:vAlign w:val="top"/>
          </w:tcPr>
          <w:p w14:paraId="165DBE3B">
            <w:pPr>
              <w:rPr>
                <w:rFonts w:ascii="Arial"/>
                <w:color w:val="auto"/>
                <w:sz w:val="21"/>
                <w:highlight w:val="none"/>
              </w:rPr>
            </w:pPr>
          </w:p>
        </w:tc>
        <w:tc>
          <w:tcPr>
            <w:tcW w:w="1158" w:type="dxa"/>
            <w:vAlign w:val="top"/>
          </w:tcPr>
          <w:p w14:paraId="1852AD34">
            <w:pPr>
              <w:rPr>
                <w:rFonts w:ascii="Arial"/>
                <w:color w:val="auto"/>
                <w:sz w:val="21"/>
                <w:highlight w:val="none"/>
              </w:rPr>
            </w:pPr>
          </w:p>
        </w:tc>
        <w:tc>
          <w:tcPr>
            <w:tcW w:w="808" w:type="dxa"/>
            <w:vAlign w:val="top"/>
          </w:tcPr>
          <w:p w14:paraId="3A159ABB">
            <w:pPr>
              <w:rPr>
                <w:rFonts w:ascii="Arial"/>
                <w:color w:val="auto"/>
                <w:sz w:val="21"/>
                <w:highlight w:val="none"/>
              </w:rPr>
            </w:pPr>
          </w:p>
        </w:tc>
        <w:tc>
          <w:tcPr>
            <w:tcW w:w="753" w:type="dxa"/>
            <w:vAlign w:val="top"/>
          </w:tcPr>
          <w:p w14:paraId="16BBF05A">
            <w:pPr>
              <w:rPr>
                <w:rFonts w:ascii="Arial"/>
                <w:color w:val="auto"/>
                <w:sz w:val="21"/>
                <w:highlight w:val="none"/>
              </w:rPr>
            </w:pPr>
          </w:p>
        </w:tc>
        <w:tc>
          <w:tcPr>
            <w:tcW w:w="1750" w:type="dxa"/>
            <w:vAlign w:val="top"/>
          </w:tcPr>
          <w:p w14:paraId="5426D6E1">
            <w:pPr>
              <w:rPr>
                <w:rFonts w:ascii="Arial"/>
                <w:color w:val="auto"/>
                <w:sz w:val="21"/>
                <w:highlight w:val="none"/>
              </w:rPr>
            </w:pPr>
          </w:p>
        </w:tc>
        <w:tc>
          <w:tcPr>
            <w:tcW w:w="1047" w:type="dxa"/>
            <w:vAlign w:val="top"/>
          </w:tcPr>
          <w:p w14:paraId="2EC9E720">
            <w:pPr>
              <w:rPr>
                <w:rFonts w:ascii="Arial"/>
                <w:color w:val="auto"/>
                <w:sz w:val="21"/>
                <w:highlight w:val="none"/>
              </w:rPr>
            </w:pPr>
          </w:p>
        </w:tc>
        <w:tc>
          <w:tcPr>
            <w:tcW w:w="1871" w:type="dxa"/>
            <w:vAlign w:val="top"/>
          </w:tcPr>
          <w:p w14:paraId="7F99CF4E">
            <w:pPr>
              <w:rPr>
                <w:rFonts w:ascii="Arial"/>
                <w:color w:val="auto"/>
                <w:sz w:val="21"/>
                <w:highlight w:val="none"/>
              </w:rPr>
            </w:pPr>
          </w:p>
        </w:tc>
      </w:tr>
      <w:tr w14:paraId="39AE6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3484C228">
            <w:pPr>
              <w:rPr>
                <w:rFonts w:ascii="Arial"/>
                <w:color w:val="auto"/>
                <w:sz w:val="21"/>
                <w:highlight w:val="none"/>
              </w:rPr>
            </w:pPr>
          </w:p>
        </w:tc>
        <w:tc>
          <w:tcPr>
            <w:tcW w:w="1047" w:type="dxa"/>
            <w:vAlign w:val="top"/>
          </w:tcPr>
          <w:p w14:paraId="3B7E347A">
            <w:pPr>
              <w:rPr>
                <w:rFonts w:ascii="Arial"/>
                <w:color w:val="auto"/>
                <w:sz w:val="21"/>
                <w:highlight w:val="none"/>
              </w:rPr>
            </w:pPr>
          </w:p>
        </w:tc>
        <w:tc>
          <w:tcPr>
            <w:tcW w:w="1309" w:type="dxa"/>
            <w:vAlign w:val="top"/>
          </w:tcPr>
          <w:p w14:paraId="55366E91">
            <w:pPr>
              <w:rPr>
                <w:rFonts w:ascii="Arial"/>
                <w:color w:val="auto"/>
                <w:sz w:val="21"/>
                <w:highlight w:val="none"/>
              </w:rPr>
            </w:pPr>
          </w:p>
        </w:tc>
        <w:tc>
          <w:tcPr>
            <w:tcW w:w="1047" w:type="dxa"/>
            <w:vAlign w:val="top"/>
          </w:tcPr>
          <w:p w14:paraId="360987C2">
            <w:pPr>
              <w:rPr>
                <w:rFonts w:ascii="Arial"/>
                <w:color w:val="auto"/>
                <w:sz w:val="21"/>
                <w:highlight w:val="none"/>
              </w:rPr>
            </w:pPr>
          </w:p>
        </w:tc>
        <w:tc>
          <w:tcPr>
            <w:tcW w:w="1456" w:type="dxa"/>
            <w:vAlign w:val="top"/>
          </w:tcPr>
          <w:p w14:paraId="23EF5F67">
            <w:pPr>
              <w:rPr>
                <w:rFonts w:ascii="Arial"/>
                <w:color w:val="auto"/>
                <w:sz w:val="21"/>
                <w:highlight w:val="none"/>
              </w:rPr>
            </w:pPr>
          </w:p>
        </w:tc>
        <w:tc>
          <w:tcPr>
            <w:tcW w:w="1327" w:type="dxa"/>
            <w:vAlign w:val="top"/>
          </w:tcPr>
          <w:p w14:paraId="77B579F3">
            <w:pPr>
              <w:rPr>
                <w:rFonts w:ascii="Arial"/>
                <w:color w:val="auto"/>
                <w:sz w:val="21"/>
                <w:highlight w:val="none"/>
              </w:rPr>
            </w:pPr>
          </w:p>
        </w:tc>
        <w:tc>
          <w:tcPr>
            <w:tcW w:w="1158" w:type="dxa"/>
            <w:vAlign w:val="top"/>
          </w:tcPr>
          <w:p w14:paraId="7A9748E0">
            <w:pPr>
              <w:rPr>
                <w:rFonts w:ascii="Arial"/>
                <w:color w:val="auto"/>
                <w:sz w:val="21"/>
                <w:highlight w:val="none"/>
              </w:rPr>
            </w:pPr>
          </w:p>
        </w:tc>
        <w:tc>
          <w:tcPr>
            <w:tcW w:w="808" w:type="dxa"/>
            <w:vAlign w:val="top"/>
          </w:tcPr>
          <w:p w14:paraId="651C2D34">
            <w:pPr>
              <w:rPr>
                <w:rFonts w:ascii="Arial"/>
                <w:color w:val="auto"/>
                <w:sz w:val="21"/>
                <w:highlight w:val="none"/>
              </w:rPr>
            </w:pPr>
          </w:p>
        </w:tc>
        <w:tc>
          <w:tcPr>
            <w:tcW w:w="753" w:type="dxa"/>
            <w:vAlign w:val="top"/>
          </w:tcPr>
          <w:p w14:paraId="4D7BB79E">
            <w:pPr>
              <w:rPr>
                <w:rFonts w:ascii="Arial"/>
                <w:color w:val="auto"/>
                <w:sz w:val="21"/>
                <w:highlight w:val="none"/>
              </w:rPr>
            </w:pPr>
          </w:p>
        </w:tc>
        <w:tc>
          <w:tcPr>
            <w:tcW w:w="1750" w:type="dxa"/>
            <w:vAlign w:val="top"/>
          </w:tcPr>
          <w:p w14:paraId="62EB7208">
            <w:pPr>
              <w:rPr>
                <w:rFonts w:ascii="Arial"/>
                <w:color w:val="auto"/>
                <w:sz w:val="21"/>
                <w:highlight w:val="none"/>
              </w:rPr>
            </w:pPr>
          </w:p>
        </w:tc>
        <w:tc>
          <w:tcPr>
            <w:tcW w:w="1047" w:type="dxa"/>
            <w:vAlign w:val="top"/>
          </w:tcPr>
          <w:p w14:paraId="3404DCB7">
            <w:pPr>
              <w:rPr>
                <w:rFonts w:ascii="Arial"/>
                <w:color w:val="auto"/>
                <w:sz w:val="21"/>
                <w:highlight w:val="none"/>
              </w:rPr>
            </w:pPr>
          </w:p>
        </w:tc>
        <w:tc>
          <w:tcPr>
            <w:tcW w:w="1871" w:type="dxa"/>
            <w:vAlign w:val="top"/>
          </w:tcPr>
          <w:p w14:paraId="3D72323E">
            <w:pPr>
              <w:rPr>
                <w:rFonts w:ascii="Arial"/>
                <w:color w:val="auto"/>
                <w:sz w:val="21"/>
                <w:highlight w:val="none"/>
              </w:rPr>
            </w:pPr>
          </w:p>
        </w:tc>
      </w:tr>
      <w:tr w14:paraId="2E1B9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2611AFEE">
            <w:pPr>
              <w:rPr>
                <w:rFonts w:ascii="Arial"/>
                <w:color w:val="auto"/>
                <w:sz w:val="21"/>
                <w:highlight w:val="none"/>
              </w:rPr>
            </w:pPr>
          </w:p>
        </w:tc>
        <w:tc>
          <w:tcPr>
            <w:tcW w:w="1047" w:type="dxa"/>
            <w:vAlign w:val="top"/>
          </w:tcPr>
          <w:p w14:paraId="7197FD0D">
            <w:pPr>
              <w:rPr>
                <w:rFonts w:ascii="Arial"/>
                <w:color w:val="auto"/>
                <w:sz w:val="21"/>
                <w:highlight w:val="none"/>
              </w:rPr>
            </w:pPr>
          </w:p>
        </w:tc>
        <w:tc>
          <w:tcPr>
            <w:tcW w:w="1309" w:type="dxa"/>
            <w:vAlign w:val="top"/>
          </w:tcPr>
          <w:p w14:paraId="32EA7AAD">
            <w:pPr>
              <w:rPr>
                <w:rFonts w:ascii="Arial"/>
                <w:color w:val="auto"/>
                <w:sz w:val="21"/>
                <w:highlight w:val="none"/>
              </w:rPr>
            </w:pPr>
          </w:p>
        </w:tc>
        <w:tc>
          <w:tcPr>
            <w:tcW w:w="1047" w:type="dxa"/>
            <w:vAlign w:val="top"/>
          </w:tcPr>
          <w:p w14:paraId="66B8E853">
            <w:pPr>
              <w:rPr>
                <w:rFonts w:ascii="Arial"/>
                <w:color w:val="auto"/>
                <w:sz w:val="21"/>
                <w:highlight w:val="none"/>
              </w:rPr>
            </w:pPr>
          </w:p>
        </w:tc>
        <w:tc>
          <w:tcPr>
            <w:tcW w:w="1456" w:type="dxa"/>
            <w:vAlign w:val="top"/>
          </w:tcPr>
          <w:p w14:paraId="35A8FDF1">
            <w:pPr>
              <w:rPr>
                <w:rFonts w:ascii="Arial"/>
                <w:color w:val="auto"/>
                <w:sz w:val="21"/>
                <w:highlight w:val="none"/>
              </w:rPr>
            </w:pPr>
          </w:p>
        </w:tc>
        <w:tc>
          <w:tcPr>
            <w:tcW w:w="1327" w:type="dxa"/>
            <w:vAlign w:val="top"/>
          </w:tcPr>
          <w:p w14:paraId="1A1CB892">
            <w:pPr>
              <w:rPr>
                <w:rFonts w:ascii="Arial"/>
                <w:color w:val="auto"/>
                <w:sz w:val="21"/>
                <w:highlight w:val="none"/>
              </w:rPr>
            </w:pPr>
          </w:p>
        </w:tc>
        <w:tc>
          <w:tcPr>
            <w:tcW w:w="1158" w:type="dxa"/>
            <w:vAlign w:val="top"/>
          </w:tcPr>
          <w:p w14:paraId="5E8553E6">
            <w:pPr>
              <w:rPr>
                <w:rFonts w:ascii="Arial"/>
                <w:color w:val="auto"/>
                <w:sz w:val="21"/>
                <w:highlight w:val="none"/>
              </w:rPr>
            </w:pPr>
          </w:p>
        </w:tc>
        <w:tc>
          <w:tcPr>
            <w:tcW w:w="808" w:type="dxa"/>
            <w:vAlign w:val="top"/>
          </w:tcPr>
          <w:p w14:paraId="2D18548C">
            <w:pPr>
              <w:rPr>
                <w:rFonts w:ascii="Arial"/>
                <w:color w:val="auto"/>
                <w:sz w:val="21"/>
                <w:highlight w:val="none"/>
              </w:rPr>
            </w:pPr>
          </w:p>
        </w:tc>
        <w:tc>
          <w:tcPr>
            <w:tcW w:w="753" w:type="dxa"/>
            <w:vAlign w:val="top"/>
          </w:tcPr>
          <w:p w14:paraId="452B3166">
            <w:pPr>
              <w:rPr>
                <w:rFonts w:ascii="Arial"/>
                <w:color w:val="auto"/>
                <w:sz w:val="21"/>
                <w:highlight w:val="none"/>
              </w:rPr>
            </w:pPr>
          </w:p>
        </w:tc>
        <w:tc>
          <w:tcPr>
            <w:tcW w:w="1750" w:type="dxa"/>
            <w:vAlign w:val="top"/>
          </w:tcPr>
          <w:p w14:paraId="62840816">
            <w:pPr>
              <w:rPr>
                <w:rFonts w:ascii="Arial"/>
                <w:color w:val="auto"/>
                <w:sz w:val="21"/>
                <w:highlight w:val="none"/>
              </w:rPr>
            </w:pPr>
          </w:p>
        </w:tc>
        <w:tc>
          <w:tcPr>
            <w:tcW w:w="1047" w:type="dxa"/>
            <w:vAlign w:val="top"/>
          </w:tcPr>
          <w:p w14:paraId="239E285D">
            <w:pPr>
              <w:rPr>
                <w:rFonts w:ascii="Arial"/>
                <w:color w:val="auto"/>
                <w:sz w:val="21"/>
                <w:highlight w:val="none"/>
              </w:rPr>
            </w:pPr>
          </w:p>
        </w:tc>
        <w:tc>
          <w:tcPr>
            <w:tcW w:w="1871" w:type="dxa"/>
            <w:vAlign w:val="top"/>
          </w:tcPr>
          <w:p w14:paraId="2FC3179E">
            <w:pPr>
              <w:rPr>
                <w:rFonts w:ascii="Arial"/>
                <w:color w:val="auto"/>
                <w:sz w:val="21"/>
                <w:highlight w:val="none"/>
              </w:rPr>
            </w:pPr>
          </w:p>
        </w:tc>
      </w:tr>
      <w:tr w14:paraId="1F20C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369D2230">
            <w:pPr>
              <w:rPr>
                <w:rFonts w:ascii="Arial"/>
                <w:color w:val="auto"/>
                <w:sz w:val="21"/>
                <w:highlight w:val="none"/>
              </w:rPr>
            </w:pPr>
          </w:p>
        </w:tc>
        <w:tc>
          <w:tcPr>
            <w:tcW w:w="1047" w:type="dxa"/>
            <w:vAlign w:val="top"/>
          </w:tcPr>
          <w:p w14:paraId="51C81746">
            <w:pPr>
              <w:rPr>
                <w:rFonts w:ascii="Arial"/>
                <w:color w:val="auto"/>
                <w:sz w:val="21"/>
                <w:highlight w:val="none"/>
              </w:rPr>
            </w:pPr>
          </w:p>
        </w:tc>
        <w:tc>
          <w:tcPr>
            <w:tcW w:w="1309" w:type="dxa"/>
            <w:vAlign w:val="top"/>
          </w:tcPr>
          <w:p w14:paraId="2D698C33">
            <w:pPr>
              <w:rPr>
                <w:rFonts w:ascii="Arial"/>
                <w:color w:val="auto"/>
                <w:sz w:val="21"/>
                <w:highlight w:val="none"/>
              </w:rPr>
            </w:pPr>
          </w:p>
        </w:tc>
        <w:tc>
          <w:tcPr>
            <w:tcW w:w="1047" w:type="dxa"/>
            <w:vAlign w:val="top"/>
          </w:tcPr>
          <w:p w14:paraId="1734421C">
            <w:pPr>
              <w:rPr>
                <w:rFonts w:ascii="Arial"/>
                <w:color w:val="auto"/>
                <w:sz w:val="21"/>
                <w:highlight w:val="none"/>
              </w:rPr>
            </w:pPr>
          </w:p>
        </w:tc>
        <w:tc>
          <w:tcPr>
            <w:tcW w:w="1456" w:type="dxa"/>
            <w:vAlign w:val="top"/>
          </w:tcPr>
          <w:p w14:paraId="29D94B90">
            <w:pPr>
              <w:rPr>
                <w:rFonts w:ascii="Arial"/>
                <w:color w:val="auto"/>
                <w:sz w:val="21"/>
                <w:highlight w:val="none"/>
              </w:rPr>
            </w:pPr>
          </w:p>
        </w:tc>
        <w:tc>
          <w:tcPr>
            <w:tcW w:w="1327" w:type="dxa"/>
            <w:vAlign w:val="top"/>
          </w:tcPr>
          <w:p w14:paraId="569A404A">
            <w:pPr>
              <w:rPr>
                <w:rFonts w:ascii="Arial"/>
                <w:color w:val="auto"/>
                <w:sz w:val="21"/>
                <w:highlight w:val="none"/>
              </w:rPr>
            </w:pPr>
          </w:p>
        </w:tc>
        <w:tc>
          <w:tcPr>
            <w:tcW w:w="1158" w:type="dxa"/>
            <w:vAlign w:val="top"/>
          </w:tcPr>
          <w:p w14:paraId="60085D53">
            <w:pPr>
              <w:rPr>
                <w:rFonts w:ascii="Arial"/>
                <w:color w:val="auto"/>
                <w:sz w:val="21"/>
                <w:highlight w:val="none"/>
              </w:rPr>
            </w:pPr>
          </w:p>
        </w:tc>
        <w:tc>
          <w:tcPr>
            <w:tcW w:w="808" w:type="dxa"/>
            <w:vAlign w:val="top"/>
          </w:tcPr>
          <w:p w14:paraId="67D0D293">
            <w:pPr>
              <w:rPr>
                <w:rFonts w:ascii="Arial"/>
                <w:color w:val="auto"/>
                <w:sz w:val="21"/>
                <w:highlight w:val="none"/>
              </w:rPr>
            </w:pPr>
          </w:p>
        </w:tc>
        <w:tc>
          <w:tcPr>
            <w:tcW w:w="753" w:type="dxa"/>
            <w:vAlign w:val="top"/>
          </w:tcPr>
          <w:p w14:paraId="056037E6">
            <w:pPr>
              <w:rPr>
                <w:rFonts w:ascii="Arial"/>
                <w:color w:val="auto"/>
                <w:sz w:val="21"/>
                <w:highlight w:val="none"/>
              </w:rPr>
            </w:pPr>
          </w:p>
        </w:tc>
        <w:tc>
          <w:tcPr>
            <w:tcW w:w="1750" w:type="dxa"/>
            <w:vAlign w:val="top"/>
          </w:tcPr>
          <w:p w14:paraId="3FD35746">
            <w:pPr>
              <w:rPr>
                <w:rFonts w:ascii="Arial"/>
                <w:color w:val="auto"/>
                <w:sz w:val="21"/>
                <w:highlight w:val="none"/>
              </w:rPr>
            </w:pPr>
          </w:p>
        </w:tc>
        <w:tc>
          <w:tcPr>
            <w:tcW w:w="1047" w:type="dxa"/>
            <w:vAlign w:val="top"/>
          </w:tcPr>
          <w:p w14:paraId="3197B835">
            <w:pPr>
              <w:rPr>
                <w:rFonts w:ascii="Arial"/>
                <w:color w:val="auto"/>
                <w:sz w:val="21"/>
                <w:highlight w:val="none"/>
              </w:rPr>
            </w:pPr>
          </w:p>
        </w:tc>
        <w:tc>
          <w:tcPr>
            <w:tcW w:w="1871" w:type="dxa"/>
            <w:vAlign w:val="top"/>
          </w:tcPr>
          <w:p w14:paraId="13150AF3">
            <w:pPr>
              <w:rPr>
                <w:rFonts w:ascii="Arial"/>
                <w:color w:val="auto"/>
                <w:sz w:val="21"/>
                <w:highlight w:val="none"/>
              </w:rPr>
            </w:pPr>
          </w:p>
        </w:tc>
      </w:tr>
      <w:tr w14:paraId="78DD7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3FFA239F">
            <w:pPr>
              <w:rPr>
                <w:rFonts w:ascii="Arial"/>
                <w:color w:val="auto"/>
                <w:sz w:val="21"/>
                <w:highlight w:val="none"/>
              </w:rPr>
            </w:pPr>
          </w:p>
        </w:tc>
        <w:tc>
          <w:tcPr>
            <w:tcW w:w="1047" w:type="dxa"/>
            <w:vAlign w:val="top"/>
          </w:tcPr>
          <w:p w14:paraId="0B4F23D0">
            <w:pPr>
              <w:rPr>
                <w:rFonts w:ascii="Arial"/>
                <w:color w:val="auto"/>
                <w:sz w:val="21"/>
                <w:highlight w:val="none"/>
              </w:rPr>
            </w:pPr>
          </w:p>
        </w:tc>
        <w:tc>
          <w:tcPr>
            <w:tcW w:w="1309" w:type="dxa"/>
            <w:vAlign w:val="top"/>
          </w:tcPr>
          <w:p w14:paraId="3E440C44">
            <w:pPr>
              <w:rPr>
                <w:rFonts w:ascii="Arial"/>
                <w:color w:val="auto"/>
                <w:sz w:val="21"/>
                <w:highlight w:val="none"/>
              </w:rPr>
            </w:pPr>
          </w:p>
        </w:tc>
        <w:tc>
          <w:tcPr>
            <w:tcW w:w="1047" w:type="dxa"/>
            <w:vAlign w:val="top"/>
          </w:tcPr>
          <w:p w14:paraId="4AF0DA28">
            <w:pPr>
              <w:rPr>
                <w:rFonts w:ascii="Arial"/>
                <w:color w:val="auto"/>
                <w:sz w:val="21"/>
                <w:highlight w:val="none"/>
              </w:rPr>
            </w:pPr>
          </w:p>
        </w:tc>
        <w:tc>
          <w:tcPr>
            <w:tcW w:w="1456" w:type="dxa"/>
            <w:vAlign w:val="top"/>
          </w:tcPr>
          <w:p w14:paraId="08733978">
            <w:pPr>
              <w:rPr>
                <w:rFonts w:ascii="Arial"/>
                <w:color w:val="auto"/>
                <w:sz w:val="21"/>
                <w:highlight w:val="none"/>
              </w:rPr>
            </w:pPr>
          </w:p>
        </w:tc>
        <w:tc>
          <w:tcPr>
            <w:tcW w:w="1327" w:type="dxa"/>
            <w:vAlign w:val="top"/>
          </w:tcPr>
          <w:p w14:paraId="37F6AAD8">
            <w:pPr>
              <w:rPr>
                <w:rFonts w:ascii="Arial"/>
                <w:color w:val="auto"/>
                <w:sz w:val="21"/>
                <w:highlight w:val="none"/>
              </w:rPr>
            </w:pPr>
          </w:p>
        </w:tc>
        <w:tc>
          <w:tcPr>
            <w:tcW w:w="1158" w:type="dxa"/>
            <w:vAlign w:val="top"/>
          </w:tcPr>
          <w:p w14:paraId="4B6EE181">
            <w:pPr>
              <w:rPr>
                <w:rFonts w:ascii="Arial"/>
                <w:color w:val="auto"/>
                <w:sz w:val="21"/>
                <w:highlight w:val="none"/>
              </w:rPr>
            </w:pPr>
          </w:p>
        </w:tc>
        <w:tc>
          <w:tcPr>
            <w:tcW w:w="808" w:type="dxa"/>
            <w:vAlign w:val="top"/>
          </w:tcPr>
          <w:p w14:paraId="6378BE70">
            <w:pPr>
              <w:rPr>
                <w:rFonts w:ascii="Arial"/>
                <w:color w:val="auto"/>
                <w:sz w:val="21"/>
                <w:highlight w:val="none"/>
              </w:rPr>
            </w:pPr>
          </w:p>
        </w:tc>
        <w:tc>
          <w:tcPr>
            <w:tcW w:w="753" w:type="dxa"/>
            <w:vAlign w:val="top"/>
          </w:tcPr>
          <w:p w14:paraId="3D116B46">
            <w:pPr>
              <w:rPr>
                <w:rFonts w:ascii="Arial"/>
                <w:color w:val="auto"/>
                <w:sz w:val="21"/>
                <w:highlight w:val="none"/>
              </w:rPr>
            </w:pPr>
          </w:p>
        </w:tc>
        <w:tc>
          <w:tcPr>
            <w:tcW w:w="1750" w:type="dxa"/>
            <w:vAlign w:val="top"/>
          </w:tcPr>
          <w:p w14:paraId="7EF92F5B">
            <w:pPr>
              <w:rPr>
                <w:rFonts w:ascii="Arial"/>
                <w:color w:val="auto"/>
                <w:sz w:val="21"/>
                <w:highlight w:val="none"/>
              </w:rPr>
            </w:pPr>
          </w:p>
        </w:tc>
        <w:tc>
          <w:tcPr>
            <w:tcW w:w="1047" w:type="dxa"/>
            <w:vAlign w:val="top"/>
          </w:tcPr>
          <w:p w14:paraId="16AC596D">
            <w:pPr>
              <w:rPr>
                <w:rFonts w:ascii="Arial"/>
                <w:color w:val="auto"/>
                <w:sz w:val="21"/>
                <w:highlight w:val="none"/>
              </w:rPr>
            </w:pPr>
          </w:p>
        </w:tc>
        <w:tc>
          <w:tcPr>
            <w:tcW w:w="1871" w:type="dxa"/>
            <w:vAlign w:val="top"/>
          </w:tcPr>
          <w:p w14:paraId="3E66DCBE">
            <w:pPr>
              <w:rPr>
                <w:rFonts w:ascii="Arial"/>
                <w:color w:val="auto"/>
                <w:sz w:val="21"/>
                <w:highlight w:val="none"/>
              </w:rPr>
            </w:pPr>
          </w:p>
        </w:tc>
      </w:tr>
      <w:tr w14:paraId="33048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31A56063">
            <w:pPr>
              <w:rPr>
                <w:rFonts w:ascii="Arial"/>
                <w:color w:val="auto"/>
                <w:sz w:val="21"/>
                <w:highlight w:val="none"/>
              </w:rPr>
            </w:pPr>
          </w:p>
        </w:tc>
        <w:tc>
          <w:tcPr>
            <w:tcW w:w="1047" w:type="dxa"/>
            <w:vAlign w:val="top"/>
          </w:tcPr>
          <w:p w14:paraId="746A72DE">
            <w:pPr>
              <w:rPr>
                <w:rFonts w:ascii="Arial"/>
                <w:color w:val="auto"/>
                <w:sz w:val="21"/>
                <w:highlight w:val="none"/>
              </w:rPr>
            </w:pPr>
          </w:p>
        </w:tc>
        <w:tc>
          <w:tcPr>
            <w:tcW w:w="1309" w:type="dxa"/>
            <w:vAlign w:val="top"/>
          </w:tcPr>
          <w:p w14:paraId="18E9B0D0">
            <w:pPr>
              <w:rPr>
                <w:rFonts w:ascii="Arial"/>
                <w:color w:val="auto"/>
                <w:sz w:val="21"/>
                <w:highlight w:val="none"/>
              </w:rPr>
            </w:pPr>
          </w:p>
        </w:tc>
        <w:tc>
          <w:tcPr>
            <w:tcW w:w="1047" w:type="dxa"/>
            <w:vAlign w:val="top"/>
          </w:tcPr>
          <w:p w14:paraId="64A9C4CE">
            <w:pPr>
              <w:rPr>
                <w:rFonts w:ascii="Arial"/>
                <w:color w:val="auto"/>
                <w:sz w:val="21"/>
                <w:highlight w:val="none"/>
              </w:rPr>
            </w:pPr>
          </w:p>
        </w:tc>
        <w:tc>
          <w:tcPr>
            <w:tcW w:w="1456" w:type="dxa"/>
            <w:vAlign w:val="top"/>
          </w:tcPr>
          <w:p w14:paraId="643CD814">
            <w:pPr>
              <w:rPr>
                <w:rFonts w:ascii="Arial"/>
                <w:color w:val="auto"/>
                <w:sz w:val="21"/>
                <w:highlight w:val="none"/>
              </w:rPr>
            </w:pPr>
          </w:p>
        </w:tc>
        <w:tc>
          <w:tcPr>
            <w:tcW w:w="1327" w:type="dxa"/>
            <w:vAlign w:val="top"/>
          </w:tcPr>
          <w:p w14:paraId="04FA21F6">
            <w:pPr>
              <w:rPr>
                <w:rFonts w:ascii="Arial"/>
                <w:color w:val="auto"/>
                <w:sz w:val="21"/>
                <w:highlight w:val="none"/>
              </w:rPr>
            </w:pPr>
          </w:p>
        </w:tc>
        <w:tc>
          <w:tcPr>
            <w:tcW w:w="1158" w:type="dxa"/>
            <w:vAlign w:val="top"/>
          </w:tcPr>
          <w:p w14:paraId="3621C894">
            <w:pPr>
              <w:rPr>
                <w:rFonts w:ascii="Arial"/>
                <w:color w:val="auto"/>
                <w:sz w:val="21"/>
                <w:highlight w:val="none"/>
              </w:rPr>
            </w:pPr>
          </w:p>
        </w:tc>
        <w:tc>
          <w:tcPr>
            <w:tcW w:w="808" w:type="dxa"/>
            <w:vAlign w:val="top"/>
          </w:tcPr>
          <w:p w14:paraId="73946B3D">
            <w:pPr>
              <w:rPr>
                <w:rFonts w:ascii="Arial"/>
                <w:color w:val="auto"/>
                <w:sz w:val="21"/>
                <w:highlight w:val="none"/>
              </w:rPr>
            </w:pPr>
          </w:p>
        </w:tc>
        <w:tc>
          <w:tcPr>
            <w:tcW w:w="753" w:type="dxa"/>
            <w:vAlign w:val="top"/>
          </w:tcPr>
          <w:p w14:paraId="3F5A7D63">
            <w:pPr>
              <w:rPr>
                <w:rFonts w:ascii="Arial"/>
                <w:color w:val="auto"/>
                <w:sz w:val="21"/>
                <w:highlight w:val="none"/>
              </w:rPr>
            </w:pPr>
          </w:p>
        </w:tc>
        <w:tc>
          <w:tcPr>
            <w:tcW w:w="1750" w:type="dxa"/>
            <w:vAlign w:val="top"/>
          </w:tcPr>
          <w:p w14:paraId="760D3E0B">
            <w:pPr>
              <w:rPr>
                <w:rFonts w:ascii="Arial"/>
                <w:color w:val="auto"/>
                <w:sz w:val="21"/>
                <w:highlight w:val="none"/>
              </w:rPr>
            </w:pPr>
          </w:p>
        </w:tc>
        <w:tc>
          <w:tcPr>
            <w:tcW w:w="1047" w:type="dxa"/>
            <w:vAlign w:val="top"/>
          </w:tcPr>
          <w:p w14:paraId="65B14823">
            <w:pPr>
              <w:rPr>
                <w:rFonts w:ascii="Arial"/>
                <w:color w:val="auto"/>
                <w:sz w:val="21"/>
                <w:highlight w:val="none"/>
              </w:rPr>
            </w:pPr>
          </w:p>
        </w:tc>
        <w:tc>
          <w:tcPr>
            <w:tcW w:w="1871" w:type="dxa"/>
            <w:vAlign w:val="top"/>
          </w:tcPr>
          <w:p w14:paraId="3691E4BF">
            <w:pPr>
              <w:rPr>
                <w:rFonts w:ascii="Arial"/>
                <w:color w:val="auto"/>
                <w:sz w:val="21"/>
                <w:highlight w:val="none"/>
              </w:rPr>
            </w:pPr>
          </w:p>
        </w:tc>
      </w:tr>
      <w:tr w14:paraId="1DE3D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1193F072">
            <w:pPr>
              <w:rPr>
                <w:rFonts w:ascii="Arial"/>
                <w:color w:val="auto"/>
                <w:sz w:val="21"/>
                <w:highlight w:val="none"/>
              </w:rPr>
            </w:pPr>
          </w:p>
        </w:tc>
        <w:tc>
          <w:tcPr>
            <w:tcW w:w="1047" w:type="dxa"/>
            <w:vAlign w:val="top"/>
          </w:tcPr>
          <w:p w14:paraId="5734D217">
            <w:pPr>
              <w:rPr>
                <w:rFonts w:ascii="Arial"/>
                <w:color w:val="auto"/>
                <w:sz w:val="21"/>
                <w:highlight w:val="none"/>
              </w:rPr>
            </w:pPr>
          </w:p>
        </w:tc>
        <w:tc>
          <w:tcPr>
            <w:tcW w:w="1309" w:type="dxa"/>
            <w:vAlign w:val="top"/>
          </w:tcPr>
          <w:p w14:paraId="324428BD">
            <w:pPr>
              <w:rPr>
                <w:rFonts w:ascii="Arial"/>
                <w:color w:val="auto"/>
                <w:sz w:val="21"/>
                <w:highlight w:val="none"/>
              </w:rPr>
            </w:pPr>
          </w:p>
        </w:tc>
        <w:tc>
          <w:tcPr>
            <w:tcW w:w="1047" w:type="dxa"/>
            <w:vAlign w:val="top"/>
          </w:tcPr>
          <w:p w14:paraId="7AE488C3">
            <w:pPr>
              <w:rPr>
                <w:rFonts w:ascii="Arial"/>
                <w:color w:val="auto"/>
                <w:sz w:val="21"/>
                <w:highlight w:val="none"/>
              </w:rPr>
            </w:pPr>
          </w:p>
        </w:tc>
        <w:tc>
          <w:tcPr>
            <w:tcW w:w="1456" w:type="dxa"/>
            <w:vAlign w:val="top"/>
          </w:tcPr>
          <w:p w14:paraId="16121265">
            <w:pPr>
              <w:rPr>
                <w:rFonts w:ascii="Arial"/>
                <w:color w:val="auto"/>
                <w:sz w:val="21"/>
                <w:highlight w:val="none"/>
              </w:rPr>
            </w:pPr>
          </w:p>
        </w:tc>
        <w:tc>
          <w:tcPr>
            <w:tcW w:w="1327" w:type="dxa"/>
            <w:vAlign w:val="top"/>
          </w:tcPr>
          <w:p w14:paraId="1DC4DA76">
            <w:pPr>
              <w:rPr>
                <w:rFonts w:ascii="Arial"/>
                <w:color w:val="auto"/>
                <w:sz w:val="21"/>
                <w:highlight w:val="none"/>
              </w:rPr>
            </w:pPr>
          </w:p>
        </w:tc>
        <w:tc>
          <w:tcPr>
            <w:tcW w:w="1158" w:type="dxa"/>
            <w:vAlign w:val="top"/>
          </w:tcPr>
          <w:p w14:paraId="26FC6D34">
            <w:pPr>
              <w:rPr>
                <w:rFonts w:ascii="Arial"/>
                <w:color w:val="auto"/>
                <w:sz w:val="21"/>
                <w:highlight w:val="none"/>
              </w:rPr>
            </w:pPr>
          </w:p>
        </w:tc>
        <w:tc>
          <w:tcPr>
            <w:tcW w:w="808" w:type="dxa"/>
            <w:vAlign w:val="top"/>
          </w:tcPr>
          <w:p w14:paraId="799B0236">
            <w:pPr>
              <w:rPr>
                <w:rFonts w:ascii="Arial"/>
                <w:color w:val="auto"/>
                <w:sz w:val="21"/>
                <w:highlight w:val="none"/>
              </w:rPr>
            </w:pPr>
          </w:p>
        </w:tc>
        <w:tc>
          <w:tcPr>
            <w:tcW w:w="753" w:type="dxa"/>
            <w:vAlign w:val="top"/>
          </w:tcPr>
          <w:p w14:paraId="0921D852">
            <w:pPr>
              <w:rPr>
                <w:rFonts w:ascii="Arial"/>
                <w:color w:val="auto"/>
                <w:sz w:val="21"/>
                <w:highlight w:val="none"/>
              </w:rPr>
            </w:pPr>
          </w:p>
        </w:tc>
        <w:tc>
          <w:tcPr>
            <w:tcW w:w="1750" w:type="dxa"/>
            <w:vAlign w:val="top"/>
          </w:tcPr>
          <w:p w14:paraId="50B230F2">
            <w:pPr>
              <w:rPr>
                <w:rFonts w:ascii="Arial"/>
                <w:color w:val="auto"/>
                <w:sz w:val="21"/>
                <w:highlight w:val="none"/>
              </w:rPr>
            </w:pPr>
          </w:p>
        </w:tc>
        <w:tc>
          <w:tcPr>
            <w:tcW w:w="1047" w:type="dxa"/>
            <w:vAlign w:val="top"/>
          </w:tcPr>
          <w:p w14:paraId="67664E68">
            <w:pPr>
              <w:rPr>
                <w:rFonts w:ascii="Arial"/>
                <w:color w:val="auto"/>
                <w:sz w:val="21"/>
                <w:highlight w:val="none"/>
              </w:rPr>
            </w:pPr>
          </w:p>
        </w:tc>
        <w:tc>
          <w:tcPr>
            <w:tcW w:w="1871" w:type="dxa"/>
            <w:vAlign w:val="top"/>
          </w:tcPr>
          <w:p w14:paraId="40133ACB">
            <w:pPr>
              <w:rPr>
                <w:rFonts w:ascii="Arial"/>
                <w:color w:val="auto"/>
                <w:sz w:val="21"/>
                <w:highlight w:val="none"/>
              </w:rPr>
            </w:pPr>
          </w:p>
        </w:tc>
      </w:tr>
      <w:tr w14:paraId="5FEEF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08D24B70">
            <w:pPr>
              <w:rPr>
                <w:rFonts w:ascii="Arial"/>
                <w:color w:val="auto"/>
                <w:sz w:val="21"/>
                <w:highlight w:val="none"/>
              </w:rPr>
            </w:pPr>
          </w:p>
        </w:tc>
        <w:tc>
          <w:tcPr>
            <w:tcW w:w="1047" w:type="dxa"/>
            <w:vAlign w:val="top"/>
          </w:tcPr>
          <w:p w14:paraId="55145F47">
            <w:pPr>
              <w:rPr>
                <w:rFonts w:ascii="Arial"/>
                <w:color w:val="auto"/>
                <w:sz w:val="21"/>
                <w:highlight w:val="none"/>
              </w:rPr>
            </w:pPr>
          </w:p>
        </w:tc>
        <w:tc>
          <w:tcPr>
            <w:tcW w:w="1309" w:type="dxa"/>
            <w:vAlign w:val="top"/>
          </w:tcPr>
          <w:p w14:paraId="216CBBC7">
            <w:pPr>
              <w:rPr>
                <w:rFonts w:ascii="Arial"/>
                <w:color w:val="auto"/>
                <w:sz w:val="21"/>
                <w:highlight w:val="none"/>
              </w:rPr>
            </w:pPr>
          </w:p>
        </w:tc>
        <w:tc>
          <w:tcPr>
            <w:tcW w:w="1047" w:type="dxa"/>
            <w:vAlign w:val="top"/>
          </w:tcPr>
          <w:p w14:paraId="4E07C86F">
            <w:pPr>
              <w:rPr>
                <w:rFonts w:ascii="Arial"/>
                <w:color w:val="auto"/>
                <w:sz w:val="21"/>
                <w:highlight w:val="none"/>
              </w:rPr>
            </w:pPr>
          </w:p>
        </w:tc>
        <w:tc>
          <w:tcPr>
            <w:tcW w:w="1456" w:type="dxa"/>
            <w:vAlign w:val="top"/>
          </w:tcPr>
          <w:p w14:paraId="50B14DE2">
            <w:pPr>
              <w:rPr>
                <w:rFonts w:ascii="Arial"/>
                <w:color w:val="auto"/>
                <w:sz w:val="21"/>
                <w:highlight w:val="none"/>
              </w:rPr>
            </w:pPr>
          </w:p>
        </w:tc>
        <w:tc>
          <w:tcPr>
            <w:tcW w:w="1327" w:type="dxa"/>
            <w:vAlign w:val="top"/>
          </w:tcPr>
          <w:p w14:paraId="35DC7E7E">
            <w:pPr>
              <w:rPr>
                <w:rFonts w:ascii="Arial"/>
                <w:color w:val="auto"/>
                <w:sz w:val="21"/>
                <w:highlight w:val="none"/>
              </w:rPr>
            </w:pPr>
          </w:p>
        </w:tc>
        <w:tc>
          <w:tcPr>
            <w:tcW w:w="1158" w:type="dxa"/>
            <w:vAlign w:val="top"/>
          </w:tcPr>
          <w:p w14:paraId="3A554A1B">
            <w:pPr>
              <w:rPr>
                <w:rFonts w:ascii="Arial"/>
                <w:color w:val="auto"/>
                <w:sz w:val="21"/>
                <w:highlight w:val="none"/>
              </w:rPr>
            </w:pPr>
          </w:p>
        </w:tc>
        <w:tc>
          <w:tcPr>
            <w:tcW w:w="808" w:type="dxa"/>
            <w:vAlign w:val="top"/>
          </w:tcPr>
          <w:p w14:paraId="09CCB5BA">
            <w:pPr>
              <w:rPr>
                <w:rFonts w:ascii="Arial"/>
                <w:color w:val="auto"/>
                <w:sz w:val="21"/>
                <w:highlight w:val="none"/>
              </w:rPr>
            </w:pPr>
          </w:p>
        </w:tc>
        <w:tc>
          <w:tcPr>
            <w:tcW w:w="753" w:type="dxa"/>
            <w:vAlign w:val="top"/>
          </w:tcPr>
          <w:p w14:paraId="0B981A22">
            <w:pPr>
              <w:rPr>
                <w:rFonts w:ascii="Arial"/>
                <w:color w:val="auto"/>
                <w:sz w:val="21"/>
                <w:highlight w:val="none"/>
              </w:rPr>
            </w:pPr>
          </w:p>
        </w:tc>
        <w:tc>
          <w:tcPr>
            <w:tcW w:w="1750" w:type="dxa"/>
            <w:vAlign w:val="top"/>
          </w:tcPr>
          <w:p w14:paraId="452487CB">
            <w:pPr>
              <w:rPr>
                <w:rFonts w:ascii="Arial"/>
                <w:color w:val="auto"/>
                <w:sz w:val="21"/>
                <w:highlight w:val="none"/>
              </w:rPr>
            </w:pPr>
          </w:p>
        </w:tc>
        <w:tc>
          <w:tcPr>
            <w:tcW w:w="1047" w:type="dxa"/>
            <w:vAlign w:val="top"/>
          </w:tcPr>
          <w:p w14:paraId="5681B623">
            <w:pPr>
              <w:rPr>
                <w:rFonts w:ascii="Arial"/>
                <w:color w:val="auto"/>
                <w:sz w:val="21"/>
                <w:highlight w:val="none"/>
              </w:rPr>
            </w:pPr>
          </w:p>
        </w:tc>
        <w:tc>
          <w:tcPr>
            <w:tcW w:w="1871" w:type="dxa"/>
            <w:vAlign w:val="top"/>
          </w:tcPr>
          <w:p w14:paraId="4560C0D9">
            <w:pPr>
              <w:rPr>
                <w:rFonts w:ascii="Arial"/>
                <w:color w:val="auto"/>
                <w:sz w:val="21"/>
                <w:highlight w:val="none"/>
              </w:rPr>
            </w:pPr>
          </w:p>
        </w:tc>
      </w:tr>
      <w:tr w14:paraId="680F7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7BEC8BB0">
            <w:pPr>
              <w:rPr>
                <w:rFonts w:ascii="Arial"/>
                <w:color w:val="auto"/>
                <w:sz w:val="21"/>
                <w:highlight w:val="none"/>
              </w:rPr>
            </w:pPr>
          </w:p>
        </w:tc>
        <w:tc>
          <w:tcPr>
            <w:tcW w:w="1047" w:type="dxa"/>
            <w:vAlign w:val="top"/>
          </w:tcPr>
          <w:p w14:paraId="4F275AF7">
            <w:pPr>
              <w:rPr>
                <w:rFonts w:ascii="Arial"/>
                <w:color w:val="auto"/>
                <w:sz w:val="21"/>
                <w:highlight w:val="none"/>
              </w:rPr>
            </w:pPr>
          </w:p>
        </w:tc>
        <w:tc>
          <w:tcPr>
            <w:tcW w:w="1309" w:type="dxa"/>
            <w:vAlign w:val="top"/>
          </w:tcPr>
          <w:p w14:paraId="0C900A31">
            <w:pPr>
              <w:rPr>
                <w:rFonts w:ascii="Arial"/>
                <w:color w:val="auto"/>
                <w:sz w:val="21"/>
                <w:highlight w:val="none"/>
              </w:rPr>
            </w:pPr>
          </w:p>
        </w:tc>
        <w:tc>
          <w:tcPr>
            <w:tcW w:w="1047" w:type="dxa"/>
            <w:vAlign w:val="top"/>
          </w:tcPr>
          <w:p w14:paraId="4B07AF99">
            <w:pPr>
              <w:rPr>
                <w:rFonts w:ascii="Arial"/>
                <w:color w:val="auto"/>
                <w:sz w:val="21"/>
                <w:highlight w:val="none"/>
              </w:rPr>
            </w:pPr>
          </w:p>
        </w:tc>
        <w:tc>
          <w:tcPr>
            <w:tcW w:w="1456" w:type="dxa"/>
            <w:vAlign w:val="top"/>
          </w:tcPr>
          <w:p w14:paraId="435F1E8D">
            <w:pPr>
              <w:rPr>
                <w:rFonts w:ascii="Arial"/>
                <w:color w:val="auto"/>
                <w:sz w:val="21"/>
                <w:highlight w:val="none"/>
              </w:rPr>
            </w:pPr>
          </w:p>
        </w:tc>
        <w:tc>
          <w:tcPr>
            <w:tcW w:w="1327" w:type="dxa"/>
            <w:vAlign w:val="top"/>
          </w:tcPr>
          <w:p w14:paraId="26FEDE9C">
            <w:pPr>
              <w:rPr>
                <w:rFonts w:ascii="Arial"/>
                <w:color w:val="auto"/>
                <w:sz w:val="21"/>
                <w:highlight w:val="none"/>
              </w:rPr>
            </w:pPr>
          </w:p>
        </w:tc>
        <w:tc>
          <w:tcPr>
            <w:tcW w:w="1158" w:type="dxa"/>
            <w:vAlign w:val="top"/>
          </w:tcPr>
          <w:p w14:paraId="4BA296E8">
            <w:pPr>
              <w:rPr>
                <w:rFonts w:ascii="Arial"/>
                <w:color w:val="auto"/>
                <w:sz w:val="21"/>
                <w:highlight w:val="none"/>
              </w:rPr>
            </w:pPr>
          </w:p>
        </w:tc>
        <w:tc>
          <w:tcPr>
            <w:tcW w:w="808" w:type="dxa"/>
            <w:vAlign w:val="top"/>
          </w:tcPr>
          <w:p w14:paraId="1A6CC85B">
            <w:pPr>
              <w:rPr>
                <w:rFonts w:ascii="Arial"/>
                <w:color w:val="auto"/>
                <w:sz w:val="21"/>
                <w:highlight w:val="none"/>
              </w:rPr>
            </w:pPr>
          </w:p>
        </w:tc>
        <w:tc>
          <w:tcPr>
            <w:tcW w:w="753" w:type="dxa"/>
            <w:vAlign w:val="top"/>
          </w:tcPr>
          <w:p w14:paraId="71C735DF">
            <w:pPr>
              <w:rPr>
                <w:rFonts w:ascii="Arial"/>
                <w:color w:val="auto"/>
                <w:sz w:val="21"/>
                <w:highlight w:val="none"/>
              </w:rPr>
            </w:pPr>
          </w:p>
        </w:tc>
        <w:tc>
          <w:tcPr>
            <w:tcW w:w="1750" w:type="dxa"/>
            <w:vAlign w:val="top"/>
          </w:tcPr>
          <w:p w14:paraId="71B9C93C">
            <w:pPr>
              <w:rPr>
                <w:rFonts w:ascii="Arial"/>
                <w:color w:val="auto"/>
                <w:sz w:val="21"/>
                <w:highlight w:val="none"/>
              </w:rPr>
            </w:pPr>
          </w:p>
        </w:tc>
        <w:tc>
          <w:tcPr>
            <w:tcW w:w="1047" w:type="dxa"/>
            <w:vAlign w:val="top"/>
          </w:tcPr>
          <w:p w14:paraId="7385C5A4">
            <w:pPr>
              <w:rPr>
                <w:rFonts w:ascii="Arial"/>
                <w:color w:val="auto"/>
                <w:sz w:val="21"/>
                <w:highlight w:val="none"/>
              </w:rPr>
            </w:pPr>
          </w:p>
        </w:tc>
        <w:tc>
          <w:tcPr>
            <w:tcW w:w="1871" w:type="dxa"/>
            <w:vAlign w:val="top"/>
          </w:tcPr>
          <w:p w14:paraId="2372607C">
            <w:pPr>
              <w:rPr>
                <w:rFonts w:ascii="Arial"/>
                <w:color w:val="auto"/>
                <w:sz w:val="21"/>
                <w:highlight w:val="none"/>
              </w:rPr>
            </w:pPr>
          </w:p>
        </w:tc>
      </w:tr>
      <w:tr w14:paraId="247FC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6E1333E8">
            <w:pPr>
              <w:rPr>
                <w:rFonts w:ascii="Arial"/>
                <w:color w:val="auto"/>
                <w:sz w:val="21"/>
                <w:highlight w:val="none"/>
              </w:rPr>
            </w:pPr>
          </w:p>
        </w:tc>
        <w:tc>
          <w:tcPr>
            <w:tcW w:w="1047" w:type="dxa"/>
            <w:vAlign w:val="top"/>
          </w:tcPr>
          <w:p w14:paraId="1197E04F">
            <w:pPr>
              <w:rPr>
                <w:rFonts w:ascii="Arial"/>
                <w:color w:val="auto"/>
                <w:sz w:val="21"/>
                <w:highlight w:val="none"/>
              </w:rPr>
            </w:pPr>
          </w:p>
        </w:tc>
        <w:tc>
          <w:tcPr>
            <w:tcW w:w="1309" w:type="dxa"/>
            <w:vAlign w:val="top"/>
          </w:tcPr>
          <w:p w14:paraId="3244E919">
            <w:pPr>
              <w:rPr>
                <w:rFonts w:ascii="Arial"/>
                <w:color w:val="auto"/>
                <w:sz w:val="21"/>
                <w:highlight w:val="none"/>
              </w:rPr>
            </w:pPr>
          </w:p>
        </w:tc>
        <w:tc>
          <w:tcPr>
            <w:tcW w:w="1047" w:type="dxa"/>
            <w:vAlign w:val="top"/>
          </w:tcPr>
          <w:p w14:paraId="7AFC5E1D">
            <w:pPr>
              <w:rPr>
                <w:rFonts w:ascii="Arial"/>
                <w:color w:val="auto"/>
                <w:sz w:val="21"/>
                <w:highlight w:val="none"/>
              </w:rPr>
            </w:pPr>
          </w:p>
        </w:tc>
        <w:tc>
          <w:tcPr>
            <w:tcW w:w="1456" w:type="dxa"/>
            <w:vAlign w:val="top"/>
          </w:tcPr>
          <w:p w14:paraId="58685C76">
            <w:pPr>
              <w:rPr>
                <w:rFonts w:ascii="Arial"/>
                <w:color w:val="auto"/>
                <w:sz w:val="21"/>
                <w:highlight w:val="none"/>
              </w:rPr>
            </w:pPr>
          </w:p>
        </w:tc>
        <w:tc>
          <w:tcPr>
            <w:tcW w:w="1327" w:type="dxa"/>
            <w:vAlign w:val="top"/>
          </w:tcPr>
          <w:p w14:paraId="12A0BE9B">
            <w:pPr>
              <w:rPr>
                <w:rFonts w:ascii="Arial"/>
                <w:color w:val="auto"/>
                <w:sz w:val="21"/>
                <w:highlight w:val="none"/>
              </w:rPr>
            </w:pPr>
          </w:p>
        </w:tc>
        <w:tc>
          <w:tcPr>
            <w:tcW w:w="1158" w:type="dxa"/>
            <w:vAlign w:val="top"/>
          </w:tcPr>
          <w:p w14:paraId="76F6A39F">
            <w:pPr>
              <w:rPr>
                <w:rFonts w:ascii="Arial"/>
                <w:color w:val="auto"/>
                <w:sz w:val="21"/>
                <w:highlight w:val="none"/>
              </w:rPr>
            </w:pPr>
          </w:p>
        </w:tc>
        <w:tc>
          <w:tcPr>
            <w:tcW w:w="808" w:type="dxa"/>
            <w:vAlign w:val="top"/>
          </w:tcPr>
          <w:p w14:paraId="41B32DC6">
            <w:pPr>
              <w:rPr>
                <w:rFonts w:ascii="Arial"/>
                <w:color w:val="auto"/>
                <w:sz w:val="21"/>
                <w:highlight w:val="none"/>
              </w:rPr>
            </w:pPr>
          </w:p>
        </w:tc>
        <w:tc>
          <w:tcPr>
            <w:tcW w:w="753" w:type="dxa"/>
            <w:vAlign w:val="top"/>
          </w:tcPr>
          <w:p w14:paraId="345D40CF">
            <w:pPr>
              <w:rPr>
                <w:rFonts w:ascii="Arial"/>
                <w:color w:val="auto"/>
                <w:sz w:val="21"/>
                <w:highlight w:val="none"/>
              </w:rPr>
            </w:pPr>
          </w:p>
        </w:tc>
        <w:tc>
          <w:tcPr>
            <w:tcW w:w="1750" w:type="dxa"/>
            <w:vAlign w:val="top"/>
          </w:tcPr>
          <w:p w14:paraId="471B5FC9">
            <w:pPr>
              <w:rPr>
                <w:rFonts w:ascii="Arial"/>
                <w:color w:val="auto"/>
                <w:sz w:val="21"/>
                <w:highlight w:val="none"/>
              </w:rPr>
            </w:pPr>
          </w:p>
        </w:tc>
        <w:tc>
          <w:tcPr>
            <w:tcW w:w="1047" w:type="dxa"/>
            <w:vAlign w:val="top"/>
          </w:tcPr>
          <w:p w14:paraId="5E358876">
            <w:pPr>
              <w:rPr>
                <w:rFonts w:ascii="Arial"/>
                <w:color w:val="auto"/>
                <w:sz w:val="21"/>
                <w:highlight w:val="none"/>
              </w:rPr>
            </w:pPr>
          </w:p>
        </w:tc>
        <w:tc>
          <w:tcPr>
            <w:tcW w:w="1871" w:type="dxa"/>
            <w:vAlign w:val="top"/>
          </w:tcPr>
          <w:p w14:paraId="75807E78">
            <w:pPr>
              <w:rPr>
                <w:rFonts w:ascii="Arial"/>
                <w:color w:val="auto"/>
                <w:sz w:val="21"/>
                <w:highlight w:val="none"/>
              </w:rPr>
            </w:pPr>
          </w:p>
        </w:tc>
      </w:tr>
      <w:tr w14:paraId="2628A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737FC0D5">
            <w:pPr>
              <w:rPr>
                <w:rFonts w:ascii="Arial"/>
                <w:color w:val="auto"/>
                <w:sz w:val="21"/>
                <w:highlight w:val="none"/>
              </w:rPr>
            </w:pPr>
          </w:p>
        </w:tc>
        <w:tc>
          <w:tcPr>
            <w:tcW w:w="1047" w:type="dxa"/>
            <w:vAlign w:val="top"/>
          </w:tcPr>
          <w:p w14:paraId="4DB9014B">
            <w:pPr>
              <w:rPr>
                <w:rFonts w:ascii="Arial"/>
                <w:color w:val="auto"/>
                <w:sz w:val="21"/>
                <w:highlight w:val="none"/>
              </w:rPr>
            </w:pPr>
          </w:p>
        </w:tc>
        <w:tc>
          <w:tcPr>
            <w:tcW w:w="1309" w:type="dxa"/>
            <w:vAlign w:val="top"/>
          </w:tcPr>
          <w:p w14:paraId="00AEA296">
            <w:pPr>
              <w:rPr>
                <w:rFonts w:ascii="Arial"/>
                <w:color w:val="auto"/>
                <w:sz w:val="21"/>
                <w:highlight w:val="none"/>
              </w:rPr>
            </w:pPr>
          </w:p>
        </w:tc>
        <w:tc>
          <w:tcPr>
            <w:tcW w:w="1047" w:type="dxa"/>
            <w:vAlign w:val="top"/>
          </w:tcPr>
          <w:p w14:paraId="5DACB766">
            <w:pPr>
              <w:rPr>
                <w:rFonts w:ascii="Arial"/>
                <w:color w:val="auto"/>
                <w:sz w:val="21"/>
                <w:highlight w:val="none"/>
              </w:rPr>
            </w:pPr>
          </w:p>
        </w:tc>
        <w:tc>
          <w:tcPr>
            <w:tcW w:w="1456" w:type="dxa"/>
            <w:vAlign w:val="top"/>
          </w:tcPr>
          <w:p w14:paraId="28DF00AB">
            <w:pPr>
              <w:rPr>
                <w:rFonts w:ascii="Arial"/>
                <w:color w:val="auto"/>
                <w:sz w:val="21"/>
                <w:highlight w:val="none"/>
              </w:rPr>
            </w:pPr>
          </w:p>
        </w:tc>
        <w:tc>
          <w:tcPr>
            <w:tcW w:w="1327" w:type="dxa"/>
            <w:vAlign w:val="top"/>
          </w:tcPr>
          <w:p w14:paraId="5D725B31">
            <w:pPr>
              <w:rPr>
                <w:rFonts w:ascii="Arial"/>
                <w:color w:val="auto"/>
                <w:sz w:val="21"/>
                <w:highlight w:val="none"/>
              </w:rPr>
            </w:pPr>
          </w:p>
        </w:tc>
        <w:tc>
          <w:tcPr>
            <w:tcW w:w="1158" w:type="dxa"/>
            <w:vAlign w:val="top"/>
          </w:tcPr>
          <w:p w14:paraId="0B43BFB0">
            <w:pPr>
              <w:rPr>
                <w:rFonts w:ascii="Arial"/>
                <w:color w:val="auto"/>
                <w:sz w:val="21"/>
                <w:highlight w:val="none"/>
              </w:rPr>
            </w:pPr>
          </w:p>
        </w:tc>
        <w:tc>
          <w:tcPr>
            <w:tcW w:w="808" w:type="dxa"/>
            <w:vAlign w:val="top"/>
          </w:tcPr>
          <w:p w14:paraId="76629648">
            <w:pPr>
              <w:rPr>
                <w:rFonts w:ascii="Arial"/>
                <w:color w:val="auto"/>
                <w:sz w:val="21"/>
                <w:highlight w:val="none"/>
              </w:rPr>
            </w:pPr>
          </w:p>
        </w:tc>
        <w:tc>
          <w:tcPr>
            <w:tcW w:w="753" w:type="dxa"/>
            <w:vAlign w:val="top"/>
          </w:tcPr>
          <w:p w14:paraId="54DBDD7A">
            <w:pPr>
              <w:rPr>
                <w:rFonts w:ascii="Arial"/>
                <w:color w:val="auto"/>
                <w:sz w:val="21"/>
                <w:highlight w:val="none"/>
              </w:rPr>
            </w:pPr>
          </w:p>
        </w:tc>
        <w:tc>
          <w:tcPr>
            <w:tcW w:w="1750" w:type="dxa"/>
            <w:vAlign w:val="top"/>
          </w:tcPr>
          <w:p w14:paraId="4947BEB6">
            <w:pPr>
              <w:rPr>
                <w:rFonts w:ascii="Arial"/>
                <w:color w:val="auto"/>
                <w:sz w:val="21"/>
                <w:highlight w:val="none"/>
              </w:rPr>
            </w:pPr>
          </w:p>
        </w:tc>
        <w:tc>
          <w:tcPr>
            <w:tcW w:w="1047" w:type="dxa"/>
            <w:vAlign w:val="top"/>
          </w:tcPr>
          <w:p w14:paraId="15C37E47">
            <w:pPr>
              <w:rPr>
                <w:rFonts w:ascii="Arial"/>
                <w:color w:val="auto"/>
                <w:sz w:val="21"/>
                <w:highlight w:val="none"/>
              </w:rPr>
            </w:pPr>
          </w:p>
        </w:tc>
        <w:tc>
          <w:tcPr>
            <w:tcW w:w="1871" w:type="dxa"/>
            <w:vAlign w:val="top"/>
          </w:tcPr>
          <w:p w14:paraId="0DBFA5AA">
            <w:pPr>
              <w:rPr>
                <w:rFonts w:ascii="Arial"/>
                <w:color w:val="auto"/>
                <w:sz w:val="21"/>
                <w:highlight w:val="none"/>
              </w:rPr>
            </w:pPr>
          </w:p>
        </w:tc>
      </w:tr>
      <w:tr w14:paraId="5FF4A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4021A92B">
            <w:pPr>
              <w:rPr>
                <w:rFonts w:ascii="Arial"/>
                <w:color w:val="auto"/>
                <w:sz w:val="21"/>
                <w:highlight w:val="none"/>
              </w:rPr>
            </w:pPr>
          </w:p>
        </w:tc>
        <w:tc>
          <w:tcPr>
            <w:tcW w:w="1047" w:type="dxa"/>
            <w:vAlign w:val="top"/>
          </w:tcPr>
          <w:p w14:paraId="4BEF1A3E">
            <w:pPr>
              <w:rPr>
                <w:rFonts w:ascii="Arial"/>
                <w:color w:val="auto"/>
                <w:sz w:val="21"/>
                <w:highlight w:val="none"/>
              </w:rPr>
            </w:pPr>
          </w:p>
        </w:tc>
        <w:tc>
          <w:tcPr>
            <w:tcW w:w="1309" w:type="dxa"/>
            <w:vAlign w:val="top"/>
          </w:tcPr>
          <w:p w14:paraId="3A209BE8">
            <w:pPr>
              <w:rPr>
                <w:rFonts w:ascii="Arial"/>
                <w:color w:val="auto"/>
                <w:sz w:val="21"/>
                <w:highlight w:val="none"/>
              </w:rPr>
            </w:pPr>
          </w:p>
        </w:tc>
        <w:tc>
          <w:tcPr>
            <w:tcW w:w="1047" w:type="dxa"/>
            <w:vAlign w:val="top"/>
          </w:tcPr>
          <w:p w14:paraId="1D970BCE">
            <w:pPr>
              <w:rPr>
                <w:rFonts w:ascii="Arial"/>
                <w:color w:val="auto"/>
                <w:sz w:val="21"/>
                <w:highlight w:val="none"/>
              </w:rPr>
            </w:pPr>
          </w:p>
        </w:tc>
        <w:tc>
          <w:tcPr>
            <w:tcW w:w="1456" w:type="dxa"/>
            <w:vAlign w:val="top"/>
          </w:tcPr>
          <w:p w14:paraId="08754BE4">
            <w:pPr>
              <w:rPr>
                <w:rFonts w:ascii="Arial"/>
                <w:color w:val="auto"/>
                <w:sz w:val="21"/>
                <w:highlight w:val="none"/>
              </w:rPr>
            </w:pPr>
          </w:p>
        </w:tc>
        <w:tc>
          <w:tcPr>
            <w:tcW w:w="1327" w:type="dxa"/>
            <w:vAlign w:val="top"/>
          </w:tcPr>
          <w:p w14:paraId="4417003A">
            <w:pPr>
              <w:rPr>
                <w:rFonts w:ascii="Arial"/>
                <w:color w:val="auto"/>
                <w:sz w:val="21"/>
                <w:highlight w:val="none"/>
              </w:rPr>
            </w:pPr>
          </w:p>
        </w:tc>
        <w:tc>
          <w:tcPr>
            <w:tcW w:w="1158" w:type="dxa"/>
            <w:vAlign w:val="top"/>
          </w:tcPr>
          <w:p w14:paraId="48702B3E">
            <w:pPr>
              <w:rPr>
                <w:rFonts w:ascii="Arial"/>
                <w:color w:val="auto"/>
                <w:sz w:val="21"/>
                <w:highlight w:val="none"/>
              </w:rPr>
            </w:pPr>
          </w:p>
        </w:tc>
        <w:tc>
          <w:tcPr>
            <w:tcW w:w="808" w:type="dxa"/>
            <w:vAlign w:val="top"/>
          </w:tcPr>
          <w:p w14:paraId="759971B5">
            <w:pPr>
              <w:rPr>
                <w:rFonts w:ascii="Arial"/>
                <w:color w:val="auto"/>
                <w:sz w:val="21"/>
                <w:highlight w:val="none"/>
              </w:rPr>
            </w:pPr>
          </w:p>
        </w:tc>
        <w:tc>
          <w:tcPr>
            <w:tcW w:w="753" w:type="dxa"/>
            <w:vAlign w:val="top"/>
          </w:tcPr>
          <w:p w14:paraId="4E11D20E">
            <w:pPr>
              <w:rPr>
                <w:rFonts w:ascii="Arial"/>
                <w:color w:val="auto"/>
                <w:sz w:val="21"/>
                <w:highlight w:val="none"/>
              </w:rPr>
            </w:pPr>
          </w:p>
        </w:tc>
        <w:tc>
          <w:tcPr>
            <w:tcW w:w="1750" w:type="dxa"/>
            <w:vAlign w:val="top"/>
          </w:tcPr>
          <w:p w14:paraId="59E6B4E4">
            <w:pPr>
              <w:rPr>
                <w:rFonts w:ascii="Arial"/>
                <w:color w:val="auto"/>
                <w:sz w:val="21"/>
                <w:highlight w:val="none"/>
              </w:rPr>
            </w:pPr>
          </w:p>
        </w:tc>
        <w:tc>
          <w:tcPr>
            <w:tcW w:w="1047" w:type="dxa"/>
            <w:vAlign w:val="top"/>
          </w:tcPr>
          <w:p w14:paraId="67BDB6F0">
            <w:pPr>
              <w:rPr>
                <w:rFonts w:ascii="Arial"/>
                <w:color w:val="auto"/>
                <w:sz w:val="21"/>
                <w:highlight w:val="none"/>
              </w:rPr>
            </w:pPr>
          </w:p>
        </w:tc>
        <w:tc>
          <w:tcPr>
            <w:tcW w:w="1871" w:type="dxa"/>
            <w:vAlign w:val="top"/>
          </w:tcPr>
          <w:p w14:paraId="25C87982">
            <w:pPr>
              <w:rPr>
                <w:rFonts w:ascii="Arial"/>
                <w:color w:val="auto"/>
                <w:sz w:val="21"/>
                <w:highlight w:val="none"/>
              </w:rPr>
            </w:pPr>
          </w:p>
        </w:tc>
      </w:tr>
      <w:tr w14:paraId="4E48C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642" w:type="dxa"/>
            <w:vAlign w:val="top"/>
          </w:tcPr>
          <w:p w14:paraId="06CC8FA9">
            <w:pPr>
              <w:rPr>
                <w:rFonts w:ascii="Arial"/>
                <w:color w:val="auto"/>
                <w:sz w:val="21"/>
                <w:highlight w:val="none"/>
              </w:rPr>
            </w:pPr>
          </w:p>
        </w:tc>
        <w:tc>
          <w:tcPr>
            <w:tcW w:w="1047" w:type="dxa"/>
            <w:vAlign w:val="top"/>
          </w:tcPr>
          <w:p w14:paraId="0262306C">
            <w:pPr>
              <w:rPr>
                <w:rFonts w:ascii="Arial"/>
                <w:color w:val="auto"/>
                <w:sz w:val="21"/>
                <w:highlight w:val="none"/>
              </w:rPr>
            </w:pPr>
          </w:p>
        </w:tc>
        <w:tc>
          <w:tcPr>
            <w:tcW w:w="1309" w:type="dxa"/>
            <w:vAlign w:val="top"/>
          </w:tcPr>
          <w:p w14:paraId="1F552E6D">
            <w:pPr>
              <w:rPr>
                <w:rFonts w:ascii="Arial"/>
                <w:color w:val="auto"/>
                <w:sz w:val="21"/>
                <w:highlight w:val="none"/>
              </w:rPr>
            </w:pPr>
          </w:p>
        </w:tc>
        <w:tc>
          <w:tcPr>
            <w:tcW w:w="1047" w:type="dxa"/>
            <w:vAlign w:val="top"/>
          </w:tcPr>
          <w:p w14:paraId="068A4DFF">
            <w:pPr>
              <w:rPr>
                <w:rFonts w:ascii="Arial"/>
                <w:color w:val="auto"/>
                <w:sz w:val="21"/>
                <w:highlight w:val="none"/>
              </w:rPr>
            </w:pPr>
          </w:p>
        </w:tc>
        <w:tc>
          <w:tcPr>
            <w:tcW w:w="1456" w:type="dxa"/>
            <w:vAlign w:val="top"/>
          </w:tcPr>
          <w:p w14:paraId="74AC8212">
            <w:pPr>
              <w:rPr>
                <w:rFonts w:ascii="Arial"/>
                <w:color w:val="auto"/>
                <w:sz w:val="21"/>
                <w:highlight w:val="none"/>
              </w:rPr>
            </w:pPr>
          </w:p>
        </w:tc>
        <w:tc>
          <w:tcPr>
            <w:tcW w:w="1327" w:type="dxa"/>
            <w:vAlign w:val="top"/>
          </w:tcPr>
          <w:p w14:paraId="52AA6DCA">
            <w:pPr>
              <w:rPr>
                <w:rFonts w:ascii="Arial"/>
                <w:color w:val="auto"/>
                <w:sz w:val="21"/>
                <w:highlight w:val="none"/>
              </w:rPr>
            </w:pPr>
          </w:p>
        </w:tc>
        <w:tc>
          <w:tcPr>
            <w:tcW w:w="1158" w:type="dxa"/>
            <w:vAlign w:val="top"/>
          </w:tcPr>
          <w:p w14:paraId="46AA60EE">
            <w:pPr>
              <w:rPr>
                <w:rFonts w:ascii="Arial"/>
                <w:color w:val="auto"/>
                <w:sz w:val="21"/>
                <w:highlight w:val="none"/>
              </w:rPr>
            </w:pPr>
          </w:p>
        </w:tc>
        <w:tc>
          <w:tcPr>
            <w:tcW w:w="808" w:type="dxa"/>
            <w:vAlign w:val="top"/>
          </w:tcPr>
          <w:p w14:paraId="50BFA3F5">
            <w:pPr>
              <w:rPr>
                <w:rFonts w:ascii="Arial"/>
                <w:color w:val="auto"/>
                <w:sz w:val="21"/>
                <w:highlight w:val="none"/>
              </w:rPr>
            </w:pPr>
          </w:p>
        </w:tc>
        <w:tc>
          <w:tcPr>
            <w:tcW w:w="753" w:type="dxa"/>
            <w:vAlign w:val="top"/>
          </w:tcPr>
          <w:p w14:paraId="05E22ABC">
            <w:pPr>
              <w:rPr>
                <w:rFonts w:ascii="Arial"/>
                <w:color w:val="auto"/>
                <w:sz w:val="21"/>
                <w:highlight w:val="none"/>
              </w:rPr>
            </w:pPr>
          </w:p>
        </w:tc>
        <w:tc>
          <w:tcPr>
            <w:tcW w:w="1750" w:type="dxa"/>
            <w:vAlign w:val="top"/>
          </w:tcPr>
          <w:p w14:paraId="490492EE">
            <w:pPr>
              <w:rPr>
                <w:rFonts w:ascii="Arial"/>
                <w:color w:val="auto"/>
                <w:sz w:val="21"/>
                <w:highlight w:val="none"/>
              </w:rPr>
            </w:pPr>
          </w:p>
        </w:tc>
        <w:tc>
          <w:tcPr>
            <w:tcW w:w="1047" w:type="dxa"/>
            <w:vAlign w:val="top"/>
          </w:tcPr>
          <w:p w14:paraId="7D457AF8">
            <w:pPr>
              <w:rPr>
                <w:rFonts w:ascii="Arial"/>
                <w:color w:val="auto"/>
                <w:sz w:val="21"/>
                <w:highlight w:val="none"/>
              </w:rPr>
            </w:pPr>
          </w:p>
        </w:tc>
        <w:tc>
          <w:tcPr>
            <w:tcW w:w="1871" w:type="dxa"/>
            <w:vAlign w:val="top"/>
          </w:tcPr>
          <w:p w14:paraId="095943C6">
            <w:pPr>
              <w:rPr>
                <w:rFonts w:ascii="Arial"/>
                <w:color w:val="auto"/>
                <w:sz w:val="21"/>
                <w:highlight w:val="none"/>
              </w:rPr>
            </w:pPr>
          </w:p>
        </w:tc>
      </w:tr>
      <w:tr w14:paraId="09AD1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2" w:type="dxa"/>
            <w:vAlign w:val="top"/>
          </w:tcPr>
          <w:p w14:paraId="68103D34">
            <w:pPr>
              <w:rPr>
                <w:rFonts w:ascii="Arial"/>
                <w:color w:val="auto"/>
                <w:sz w:val="21"/>
                <w:highlight w:val="none"/>
              </w:rPr>
            </w:pPr>
          </w:p>
        </w:tc>
        <w:tc>
          <w:tcPr>
            <w:tcW w:w="1047" w:type="dxa"/>
            <w:vAlign w:val="top"/>
          </w:tcPr>
          <w:p w14:paraId="2A162C4D">
            <w:pPr>
              <w:rPr>
                <w:rFonts w:ascii="Arial"/>
                <w:color w:val="auto"/>
                <w:sz w:val="21"/>
                <w:highlight w:val="none"/>
              </w:rPr>
            </w:pPr>
          </w:p>
        </w:tc>
        <w:tc>
          <w:tcPr>
            <w:tcW w:w="1309" w:type="dxa"/>
            <w:vAlign w:val="top"/>
          </w:tcPr>
          <w:p w14:paraId="0E4266A9">
            <w:pPr>
              <w:rPr>
                <w:rFonts w:ascii="Arial"/>
                <w:color w:val="auto"/>
                <w:sz w:val="21"/>
                <w:highlight w:val="none"/>
              </w:rPr>
            </w:pPr>
          </w:p>
        </w:tc>
        <w:tc>
          <w:tcPr>
            <w:tcW w:w="1047" w:type="dxa"/>
            <w:vAlign w:val="top"/>
          </w:tcPr>
          <w:p w14:paraId="3DC52291">
            <w:pPr>
              <w:rPr>
                <w:rFonts w:ascii="Arial"/>
                <w:color w:val="auto"/>
                <w:sz w:val="21"/>
                <w:highlight w:val="none"/>
              </w:rPr>
            </w:pPr>
          </w:p>
        </w:tc>
        <w:tc>
          <w:tcPr>
            <w:tcW w:w="1456" w:type="dxa"/>
            <w:vAlign w:val="top"/>
          </w:tcPr>
          <w:p w14:paraId="4DEBF16B">
            <w:pPr>
              <w:rPr>
                <w:rFonts w:ascii="Arial"/>
                <w:color w:val="auto"/>
                <w:sz w:val="21"/>
                <w:highlight w:val="none"/>
              </w:rPr>
            </w:pPr>
          </w:p>
        </w:tc>
        <w:tc>
          <w:tcPr>
            <w:tcW w:w="1327" w:type="dxa"/>
            <w:vAlign w:val="top"/>
          </w:tcPr>
          <w:p w14:paraId="1C48B1F7">
            <w:pPr>
              <w:rPr>
                <w:rFonts w:ascii="Arial"/>
                <w:color w:val="auto"/>
                <w:sz w:val="21"/>
                <w:highlight w:val="none"/>
              </w:rPr>
            </w:pPr>
          </w:p>
        </w:tc>
        <w:tc>
          <w:tcPr>
            <w:tcW w:w="1158" w:type="dxa"/>
            <w:vAlign w:val="top"/>
          </w:tcPr>
          <w:p w14:paraId="072A7D9B">
            <w:pPr>
              <w:rPr>
                <w:rFonts w:ascii="Arial"/>
                <w:color w:val="auto"/>
                <w:sz w:val="21"/>
                <w:highlight w:val="none"/>
              </w:rPr>
            </w:pPr>
          </w:p>
        </w:tc>
        <w:tc>
          <w:tcPr>
            <w:tcW w:w="808" w:type="dxa"/>
            <w:vAlign w:val="top"/>
          </w:tcPr>
          <w:p w14:paraId="788216E9">
            <w:pPr>
              <w:rPr>
                <w:rFonts w:ascii="Arial"/>
                <w:color w:val="auto"/>
                <w:sz w:val="21"/>
                <w:highlight w:val="none"/>
              </w:rPr>
            </w:pPr>
          </w:p>
        </w:tc>
        <w:tc>
          <w:tcPr>
            <w:tcW w:w="753" w:type="dxa"/>
            <w:vAlign w:val="top"/>
          </w:tcPr>
          <w:p w14:paraId="010124D0">
            <w:pPr>
              <w:rPr>
                <w:rFonts w:ascii="Arial"/>
                <w:color w:val="auto"/>
                <w:sz w:val="21"/>
                <w:highlight w:val="none"/>
              </w:rPr>
            </w:pPr>
          </w:p>
        </w:tc>
        <w:tc>
          <w:tcPr>
            <w:tcW w:w="1750" w:type="dxa"/>
            <w:vAlign w:val="top"/>
          </w:tcPr>
          <w:p w14:paraId="341F24BC">
            <w:pPr>
              <w:rPr>
                <w:rFonts w:ascii="Arial"/>
                <w:color w:val="auto"/>
                <w:sz w:val="21"/>
                <w:highlight w:val="none"/>
              </w:rPr>
            </w:pPr>
          </w:p>
        </w:tc>
        <w:tc>
          <w:tcPr>
            <w:tcW w:w="1047" w:type="dxa"/>
            <w:vAlign w:val="top"/>
          </w:tcPr>
          <w:p w14:paraId="3C134CD1">
            <w:pPr>
              <w:rPr>
                <w:rFonts w:ascii="Arial"/>
                <w:color w:val="auto"/>
                <w:sz w:val="21"/>
                <w:highlight w:val="none"/>
              </w:rPr>
            </w:pPr>
          </w:p>
        </w:tc>
        <w:tc>
          <w:tcPr>
            <w:tcW w:w="1871" w:type="dxa"/>
            <w:vAlign w:val="top"/>
          </w:tcPr>
          <w:p w14:paraId="1CB143F1">
            <w:pPr>
              <w:rPr>
                <w:rFonts w:ascii="Arial"/>
                <w:color w:val="auto"/>
                <w:sz w:val="21"/>
                <w:highlight w:val="none"/>
              </w:rPr>
            </w:pPr>
          </w:p>
        </w:tc>
      </w:tr>
    </w:tbl>
    <w:p w14:paraId="46758DDB">
      <w:pPr>
        <w:rPr>
          <w:rFonts w:ascii="Arial"/>
          <w:color w:val="auto"/>
          <w:sz w:val="21"/>
          <w:highlight w:val="none"/>
        </w:rPr>
      </w:pPr>
    </w:p>
    <w:p w14:paraId="29D800DA">
      <w:pPr>
        <w:rPr>
          <w:rFonts w:ascii="Arial" w:hAnsi="Arial" w:eastAsia="Arial" w:cs="Arial"/>
          <w:color w:val="auto"/>
          <w:sz w:val="21"/>
          <w:szCs w:val="21"/>
          <w:highlight w:val="none"/>
        </w:rPr>
        <w:sectPr>
          <w:footerReference r:id="rId41" w:type="default"/>
          <w:pgSz w:w="16838" w:h="11905" w:orient="landscape"/>
          <w:pgMar w:top="1134" w:right="1134" w:bottom="1134" w:left="1134" w:header="0" w:footer="1066" w:gutter="0"/>
          <w:pgNumType w:fmt="decimal"/>
          <w:cols w:space="0" w:num="1"/>
          <w:rtlGutter w:val="0"/>
          <w:docGrid w:linePitch="0" w:charSpace="0"/>
        </w:sectPr>
      </w:pPr>
    </w:p>
    <w:p w14:paraId="5101B2C5">
      <w:pPr>
        <w:spacing w:line="320" w:lineRule="auto"/>
        <w:rPr>
          <w:rFonts w:ascii="Arial"/>
          <w:color w:val="auto"/>
          <w:sz w:val="21"/>
          <w:highlight w:val="none"/>
        </w:rPr>
      </w:pPr>
    </w:p>
    <w:p w14:paraId="12970EEC">
      <w:pPr>
        <w:pStyle w:val="4"/>
        <w:bidi w:val="0"/>
        <w:jc w:val="center"/>
        <w:rPr>
          <w:color w:val="auto"/>
          <w:highlight w:val="none"/>
        </w:rPr>
      </w:pPr>
      <w:r>
        <w:rPr>
          <w:color w:val="auto"/>
          <w:highlight w:val="none"/>
        </w:rPr>
        <w:t>（四）近年完成的类似项目情况表</w:t>
      </w:r>
    </w:p>
    <w:p w14:paraId="1B99F3C4">
      <w:pPr>
        <w:spacing w:before="10"/>
        <w:rPr>
          <w:color w:val="auto"/>
          <w:highlight w:val="none"/>
        </w:rPr>
      </w:pPr>
    </w:p>
    <w:p w14:paraId="7A31546C">
      <w:pPr>
        <w:spacing w:before="9"/>
        <w:rPr>
          <w:color w:val="auto"/>
          <w:highlight w:val="none"/>
        </w:rPr>
      </w:pPr>
    </w:p>
    <w:tbl>
      <w:tblPr>
        <w:tblStyle w:val="19"/>
        <w:tblW w:w="88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6525"/>
      </w:tblGrid>
      <w:tr w14:paraId="524DD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2370" w:type="dxa"/>
            <w:vAlign w:val="top"/>
          </w:tcPr>
          <w:p w14:paraId="7A61D5C3">
            <w:pPr>
              <w:pStyle w:val="20"/>
              <w:spacing w:before="274" w:line="229" w:lineRule="auto"/>
              <w:ind w:left="769"/>
              <w:rPr>
                <w:color w:val="auto"/>
                <w:highlight w:val="none"/>
              </w:rPr>
            </w:pPr>
            <w:r>
              <w:rPr>
                <w:color w:val="auto"/>
                <w:highlight w:val="none"/>
              </w:rPr>
              <w:t>序</w:t>
            </w:r>
            <w:r>
              <w:rPr>
                <w:color w:val="auto"/>
                <w:spacing w:val="9"/>
                <w:highlight w:val="none"/>
              </w:rPr>
              <w:t xml:space="preserve">    </w:t>
            </w:r>
            <w:r>
              <w:rPr>
                <w:color w:val="auto"/>
                <w:highlight w:val="none"/>
              </w:rPr>
              <w:t>号</w:t>
            </w:r>
          </w:p>
        </w:tc>
        <w:tc>
          <w:tcPr>
            <w:tcW w:w="6525" w:type="dxa"/>
            <w:vAlign w:val="top"/>
          </w:tcPr>
          <w:p w14:paraId="47AEFF60">
            <w:pPr>
              <w:rPr>
                <w:rFonts w:ascii="Arial"/>
                <w:color w:val="auto"/>
                <w:sz w:val="21"/>
                <w:highlight w:val="none"/>
              </w:rPr>
            </w:pPr>
          </w:p>
        </w:tc>
      </w:tr>
      <w:tr w14:paraId="683C9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037C97C9">
            <w:pPr>
              <w:pStyle w:val="20"/>
              <w:spacing w:before="270" w:line="228" w:lineRule="auto"/>
              <w:ind w:left="773"/>
              <w:rPr>
                <w:color w:val="auto"/>
                <w:highlight w:val="none"/>
              </w:rPr>
            </w:pPr>
            <w:r>
              <w:rPr>
                <w:color w:val="auto"/>
                <w:spacing w:val="6"/>
                <w:highlight w:val="none"/>
              </w:rPr>
              <w:t>项目名称</w:t>
            </w:r>
          </w:p>
        </w:tc>
        <w:tc>
          <w:tcPr>
            <w:tcW w:w="6525" w:type="dxa"/>
            <w:vAlign w:val="top"/>
          </w:tcPr>
          <w:p w14:paraId="674F0035">
            <w:pPr>
              <w:rPr>
                <w:rFonts w:ascii="Arial"/>
                <w:color w:val="auto"/>
                <w:sz w:val="21"/>
                <w:highlight w:val="none"/>
              </w:rPr>
            </w:pPr>
          </w:p>
        </w:tc>
      </w:tr>
      <w:tr w14:paraId="21D64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7EF7ADB8">
            <w:pPr>
              <w:pStyle w:val="20"/>
              <w:spacing w:before="272" w:line="228" w:lineRule="auto"/>
              <w:ind w:left="670"/>
              <w:rPr>
                <w:color w:val="auto"/>
                <w:highlight w:val="none"/>
              </w:rPr>
            </w:pPr>
            <w:r>
              <w:rPr>
                <w:color w:val="auto"/>
                <w:spacing w:val="7"/>
                <w:highlight w:val="none"/>
              </w:rPr>
              <w:t>项目所在地</w:t>
            </w:r>
          </w:p>
        </w:tc>
        <w:tc>
          <w:tcPr>
            <w:tcW w:w="6525" w:type="dxa"/>
            <w:vAlign w:val="top"/>
          </w:tcPr>
          <w:p w14:paraId="1B90935C">
            <w:pPr>
              <w:rPr>
                <w:rFonts w:ascii="Arial"/>
                <w:color w:val="auto"/>
                <w:sz w:val="21"/>
                <w:highlight w:val="none"/>
              </w:rPr>
            </w:pPr>
          </w:p>
        </w:tc>
      </w:tr>
      <w:tr w14:paraId="45587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2370" w:type="dxa"/>
            <w:vAlign w:val="top"/>
          </w:tcPr>
          <w:p w14:paraId="73CD3A4A">
            <w:pPr>
              <w:pStyle w:val="20"/>
              <w:spacing w:before="271" w:line="229" w:lineRule="auto"/>
              <w:ind w:left="666"/>
              <w:rPr>
                <w:color w:val="auto"/>
                <w:highlight w:val="none"/>
              </w:rPr>
            </w:pPr>
            <w:r>
              <w:rPr>
                <w:color w:val="auto"/>
                <w:spacing w:val="8"/>
                <w:highlight w:val="none"/>
              </w:rPr>
              <w:t>委托人名称</w:t>
            </w:r>
          </w:p>
        </w:tc>
        <w:tc>
          <w:tcPr>
            <w:tcW w:w="6525" w:type="dxa"/>
            <w:vAlign w:val="top"/>
          </w:tcPr>
          <w:p w14:paraId="13E47204">
            <w:pPr>
              <w:rPr>
                <w:rFonts w:ascii="Arial"/>
                <w:color w:val="auto"/>
                <w:sz w:val="21"/>
                <w:highlight w:val="none"/>
              </w:rPr>
            </w:pPr>
          </w:p>
        </w:tc>
      </w:tr>
      <w:tr w14:paraId="56FDD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270083E6">
            <w:pPr>
              <w:pStyle w:val="20"/>
              <w:spacing w:before="272" w:line="229" w:lineRule="auto"/>
              <w:ind w:left="666"/>
              <w:rPr>
                <w:color w:val="auto"/>
                <w:highlight w:val="none"/>
              </w:rPr>
            </w:pPr>
            <w:r>
              <w:rPr>
                <w:color w:val="auto"/>
                <w:spacing w:val="8"/>
                <w:highlight w:val="none"/>
              </w:rPr>
              <w:t>委托人地址</w:t>
            </w:r>
          </w:p>
        </w:tc>
        <w:tc>
          <w:tcPr>
            <w:tcW w:w="6525" w:type="dxa"/>
            <w:vAlign w:val="top"/>
          </w:tcPr>
          <w:p w14:paraId="6E80479F">
            <w:pPr>
              <w:rPr>
                <w:rFonts w:ascii="Arial"/>
                <w:color w:val="auto"/>
                <w:sz w:val="21"/>
                <w:highlight w:val="none"/>
              </w:rPr>
            </w:pPr>
          </w:p>
        </w:tc>
      </w:tr>
      <w:tr w14:paraId="75FDE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2370" w:type="dxa"/>
            <w:vAlign w:val="top"/>
          </w:tcPr>
          <w:p w14:paraId="33ECA4A9">
            <w:pPr>
              <w:pStyle w:val="20"/>
              <w:spacing w:before="272" w:line="229" w:lineRule="auto"/>
              <w:ind w:left="666"/>
              <w:rPr>
                <w:color w:val="auto"/>
                <w:highlight w:val="none"/>
              </w:rPr>
            </w:pPr>
            <w:r>
              <w:rPr>
                <w:color w:val="auto"/>
                <w:spacing w:val="8"/>
                <w:highlight w:val="none"/>
              </w:rPr>
              <w:t>委托人电话</w:t>
            </w:r>
          </w:p>
        </w:tc>
        <w:tc>
          <w:tcPr>
            <w:tcW w:w="6525" w:type="dxa"/>
            <w:vAlign w:val="top"/>
          </w:tcPr>
          <w:p w14:paraId="21467662">
            <w:pPr>
              <w:rPr>
                <w:rFonts w:ascii="Arial"/>
                <w:color w:val="auto"/>
                <w:sz w:val="21"/>
                <w:highlight w:val="none"/>
              </w:rPr>
            </w:pPr>
          </w:p>
        </w:tc>
      </w:tr>
      <w:tr w14:paraId="23E6D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0099A24C">
            <w:pPr>
              <w:pStyle w:val="20"/>
              <w:spacing w:before="272" w:line="228" w:lineRule="auto"/>
              <w:ind w:left="773"/>
              <w:rPr>
                <w:color w:val="auto"/>
                <w:highlight w:val="none"/>
              </w:rPr>
            </w:pPr>
            <w:r>
              <w:rPr>
                <w:color w:val="auto"/>
                <w:spacing w:val="6"/>
                <w:highlight w:val="none"/>
              </w:rPr>
              <w:t>项目等级</w:t>
            </w:r>
          </w:p>
        </w:tc>
        <w:tc>
          <w:tcPr>
            <w:tcW w:w="6525" w:type="dxa"/>
            <w:vAlign w:val="top"/>
          </w:tcPr>
          <w:p w14:paraId="586C1F88">
            <w:pPr>
              <w:rPr>
                <w:rFonts w:ascii="Arial"/>
                <w:color w:val="auto"/>
                <w:sz w:val="21"/>
                <w:highlight w:val="none"/>
              </w:rPr>
            </w:pPr>
          </w:p>
        </w:tc>
      </w:tr>
      <w:tr w14:paraId="467A2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7F653BD0">
            <w:pPr>
              <w:pStyle w:val="20"/>
              <w:spacing w:before="272" w:line="228" w:lineRule="auto"/>
              <w:ind w:left="670"/>
              <w:rPr>
                <w:color w:val="auto"/>
                <w:highlight w:val="none"/>
              </w:rPr>
            </w:pPr>
            <w:r>
              <w:rPr>
                <w:color w:val="auto"/>
                <w:spacing w:val="7"/>
                <w:highlight w:val="none"/>
              </w:rPr>
              <w:t>项目总投资</w:t>
            </w:r>
          </w:p>
        </w:tc>
        <w:tc>
          <w:tcPr>
            <w:tcW w:w="6525" w:type="dxa"/>
            <w:vAlign w:val="top"/>
          </w:tcPr>
          <w:p w14:paraId="71DBD36E">
            <w:pPr>
              <w:rPr>
                <w:rFonts w:ascii="Arial"/>
                <w:color w:val="auto"/>
                <w:sz w:val="21"/>
                <w:highlight w:val="none"/>
              </w:rPr>
            </w:pPr>
          </w:p>
        </w:tc>
      </w:tr>
      <w:tr w14:paraId="49172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48018FBE">
            <w:pPr>
              <w:pStyle w:val="20"/>
              <w:spacing w:before="273" w:line="228" w:lineRule="auto"/>
              <w:ind w:left="667"/>
              <w:rPr>
                <w:color w:val="auto"/>
                <w:highlight w:val="none"/>
              </w:rPr>
            </w:pPr>
            <w:r>
              <w:rPr>
                <w:color w:val="auto"/>
                <w:spacing w:val="7"/>
                <w:highlight w:val="none"/>
              </w:rPr>
              <w:t>监理服务费</w:t>
            </w:r>
          </w:p>
        </w:tc>
        <w:tc>
          <w:tcPr>
            <w:tcW w:w="6525" w:type="dxa"/>
            <w:vAlign w:val="top"/>
          </w:tcPr>
          <w:p w14:paraId="705AD72E">
            <w:pPr>
              <w:rPr>
                <w:rFonts w:ascii="Arial"/>
                <w:color w:val="auto"/>
                <w:sz w:val="21"/>
                <w:highlight w:val="none"/>
              </w:rPr>
            </w:pPr>
          </w:p>
        </w:tc>
      </w:tr>
      <w:tr w14:paraId="74CE7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7999CA00">
            <w:pPr>
              <w:pStyle w:val="20"/>
              <w:spacing w:before="273" w:line="228" w:lineRule="auto"/>
              <w:ind w:left="562"/>
              <w:rPr>
                <w:color w:val="auto"/>
                <w:highlight w:val="none"/>
              </w:rPr>
            </w:pPr>
            <w:r>
              <w:rPr>
                <w:color w:val="auto"/>
                <w:spacing w:val="8"/>
                <w:highlight w:val="none"/>
              </w:rPr>
              <w:t>监理服务期限</w:t>
            </w:r>
          </w:p>
        </w:tc>
        <w:tc>
          <w:tcPr>
            <w:tcW w:w="6525" w:type="dxa"/>
            <w:vAlign w:val="top"/>
          </w:tcPr>
          <w:p w14:paraId="68B2B782">
            <w:pPr>
              <w:rPr>
                <w:rFonts w:ascii="Arial"/>
                <w:color w:val="auto"/>
                <w:sz w:val="21"/>
                <w:highlight w:val="none"/>
              </w:rPr>
            </w:pPr>
          </w:p>
        </w:tc>
      </w:tr>
      <w:tr w14:paraId="164CF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2370" w:type="dxa"/>
            <w:vAlign w:val="top"/>
          </w:tcPr>
          <w:p w14:paraId="625F4640">
            <w:pPr>
              <w:pStyle w:val="20"/>
              <w:spacing w:before="273" w:line="228" w:lineRule="auto"/>
              <w:ind w:left="770"/>
              <w:rPr>
                <w:color w:val="auto"/>
                <w:highlight w:val="none"/>
              </w:rPr>
            </w:pPr>
            <w:r>
              <w:rPr>
                <w:color w:val="auto"/>
                <w:spacing w:val="7"/>
                <w:highlight w:val="none"/>
              </w:rPr>
              <w:t>监理内容</w:t>
            </w:r>
          </w:p>
        </w:tc>
        <w:tc>
          <w:tcPr>
            <w:tcW w:w="6525" w:type="dxa"/>
            <w:vAlign w:val="top"/>
          </w:tcPr>
          <w:p w14:paraId="7B1EFC2A">
            <w:pPr>
              <w:rPr>
                <w:rFonts w:ascii="Arial"/>
                <w:color w:val="auto"/>
                <w:sz w:val="21"/>
                <w:highlight w:val="none"/>
              </w:rPr>
            </w:pPr>
          </w:p>
        </w:tc>
      </w:tr>
      <w:tr w14:paraId="270BD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jc w:val="center"/>
        </w:trPr>
        <w:tc>
          <w:tcPr>
            <w:tcW w:w="2370" w:type="dxa"/>
            <w:vAlign w:val="top"/>
          </w:tcPr>
          <w:p w14:paraId="00927A23">
            <w:pPr>
              <w:pStyle w:val="20"/>
              <w:spacing w:before="161" w:line="292" w:lineRule="auto"/>
              <w:ind w:left="771" w:right="134" w:hanging="625"/>
              <w:rPr>
                <w:color w:val="auto"/>
                <w:highlight w:val="none"/>
              </w:rPr>
            </w:pPr>
            <w:r>
              <w:rPr>
                <w:color w:val="auto"/>
                <w:spacing w:val="8"/>
                <w:highlight w:val="none"/>
              </w:rPr>
              <w:t>总监理工程师或驻地监</w:t>
            </w:r>
            <w:r>
              <w:rPr>
                <w:color w:val="auto"/>
                <w:spacing w:val="6"/>
                <w:highlight w:val="none"/>
              </w:rPr>
              <w:t>理工程师</w:t>
            </w:r>
          </w:p>
        </w:tc>
        <w:tc>
          <w:tcPr>
            <w:tcW w:w="6525" w:type="dxa"/>
            <w:vAlign w:val="top"/>
          </w:tcPr>
          <w:p w14:paraId="625F81B6">
            <w:pPr>
              <w:rPr>
                <w:rFonts w:ascii="Arial"/>
                <w:color w:val="auto"/>
                <w:sz w:val="21"/>
                <w:highlight w:val="none"/>
              </w:rPr>
            </w:pPr>
          </w:p>
        </w:tc>
      </w:tr>
      <w:tr w14:paraId="3989E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jc w:val="center"/>
        </w:trPr>
        <w:tc>
          <w:tcPr>
            <w:tcW w:w="2370" w:type="dxa"/>
            <w:vAlign w:val="top"/>
          </w:tcPr>
          <w:p w14:paraId="25D24A21">
            <w:pPr>
              <w:spacing w:line="306" w:lineRule="auto"/>
              <w:rPr>
                <w:rFonts w:ascii="Arial"/>
                <w:color w:val="auto"/>
                <w:sz w:val="21"/>
                <w:highlight w:val="none"/>
              </w:rPr>
            </w:pPr>
          </w:p>
          <w:p w14:paraId="21E8C814">
            <w:pPr>
              <w:spacing w:line="306" w:lineRule="auto"/>
              <w:rPr>
                <w:rFonts w:ascii="Arial"/>
                <w:color w:val="auto"/>
                <w:sz w:val="21"/>
                <w:highlight w:val="none"/>
              </w:rPr>
            </w:pPr>
          </w:p>
          <w:p w14:paraId="45A5168A">
            <w:pPr>
              <w:pStyle w:val="20"/>
              <w:spacing w:before="65" w:line="228" w:lineRule="auto"/>
              <w:ind w:left="773"/>
              <w:rPr>
                <w:color w:val="auto"/>
                <w:highlight w:val="none"/>
              </w:rPr>
            </w:pPr>
            <w:r>
              <w:rPr>
                <w:color w:val="auto"/>
                <w:spacing w:val="6"/>
                <w:highlight w:val="none"/>
              </w:rPr>
              <w:t>项目描述</w:t>
            </w:r>
          </w:p>
        </w:tc>
        <w:tc>
          <w:tcPr>
            <w:tcW w:w="6525" w:type="dxa"/>
            <w:vAlign w:val="top"/>
          </w:tcPr>
          <w:p w14:paraId="36BD6DDD">
            <w:pPr>
              <w:rPr>
                <w:rFonts w:ascii="Arial"/>
                <w:color w:val="auto"/>
                <w:sz w:val="21"/>
                <w:highlight w:val="none"/>
              </w:rPr>
            </w:pPr>
          </w:p>
        </w:tc>
      </w:tr>
      <w:tr w14:paraId="047F7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jc w:val="center"/>
        </w:trPr>
        <w:tc>
          <w:tcPr>
            <w:tcW w:w="2370" w:type="dxa"/>
            <w:vAlign w:val="top"/>
          </w:tcPr>
          <w:p w14:paraId="3DA2D270">
            <w:pPr>
              <w:spacing w:line="296" w:lineRule="auto"/>
              <w:rPr>
                <w:rFonts w:ascii="Arial"/>
                <w:color w:val="auto"/>
                <w:sz w:val="21"/>
                <w:highlight w:val="none"/>
              </w:rPr>
            </w:pPr>
          </w:p>
          <w:p w14:paraId="76611B3A">
            <w:pPr>
              <w:pStyle w:val="20"/>
              <w:spacing w:before="65" w:line="229" w:lineRule="auto"/>
              <w:ind w:left="983"/>
              <w:rPr>
                <w:color w:val="auto"/>
                <w:highlight w:val="none"/>
              </w:rPr>
            </w:pPr>
            <w:r>
              <w:rPr>
                <w:color w:val="auto"/>
                <w:spacing w:val="3"/>
                <w:highlight w:val="none"/>
              </w:rPr>
              <w:t>备注</w:t>
            </w:r>
          </w:p>
        </w:tc>
        <w:tc>
          <w:tcPr>
            <w:tcW w:w="6525" w:type="dxa"/>
            <w:vAlign w:val="top"/>
          </w:tcPr>
          <w:p w14:paraId="2C3423F3">
            <w:pPr>
              <w:rPr>
                <w:rFonts w:ascii="Arial"/>
                <w:color w:val="auto"/>
                <w:sz w:val="21"/>
                <w:highlight w:val="none"/>
              </w:rPr>
            </w:pPr>
          </w:p>
        </w:tc>
      </w:tr>
    </w:tbl>
    <w:p w14:paraId="706DAC4B">
      <w:pPr>
        <w:spacing w:before="30" w:line="228" w:lineRule="auto"/>
        <w:ind w:left="1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注：1.每张表格只填写一个项目，并标明序号，序号应与汇总表中一致。</w:t>
      </w:r>
    </w:p>
    <w:p w14:paraId="417E71D4">
      <w:pPr>
        <w:spacing w:before="161" w:line="227" w:lineRule="auto"/>
        <w:ind w:left="54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2.投标人应根据招标文件第二章“投标人须知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w:t>
      </w:r>
      <w:r>
        <w:rPr>
          <w:rFonts w:ascii="宋体" w:hAnsi="宋体" w:eastAsia="宋体" w:cs="宋体"/>
          <w:color w:val="auto"/>
          <w:spacing w:val="7"/>
          <w:sz w:val="20"/>
          <w:szCs w:val="20"/>
          <w:highlight w:val="none"/>
        </w:rPr>
        <w:t>第</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3.5.2</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项的要求在本表后附相关证明材料。</w:t>
      </w:r>
    </w:p>
    <w:p w14:paraId="3842FF36">
      <w:pPr>
        <w:spacing w:before="161" w:line="378" w:lineRule="auto"/>
        <w:ind w:left="706" w:hanging="16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3.如近年来，投标人法人机构发生合法变更或重组或法人名称变更时，应提供相关部门的合法</w:t>
      </w:r>
      <w:r>
        <w:rPr>
          <w:rFonts w:ascii="宋体" w:hAnsi="宋体" w:eastAsia="宋体" w:cs="宋体"/>
          <w:color w:val="auto"/>
          <w:spacing w:val="9"/>
          <w:sz w:val="20"/>
          <w:szCs w:val="20"/>
          <w:highlight w:val="none"/>
        </w:rPr>
        <w:t>批件或其他相关证明材料来证明其所附业绩的继承性。</w:t>
      </w:r>
    </w:p>
    <w:p w14:paraId="141FF921">
      <w:pPr>
        <w:spacing w:before="1" w:line="228" w:lineRule="auto"/>
        <w:ind w:left="53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4.以联合体形式参与投标的，联合体各成员应分别</w:t>
      </w:r>
      <w:r>
        <w:rPr>
          <w:rFonts w:ascii="宋体" w:hAnsi="宋体" w:eastAsia="宋体" w:cs="宋体"/>
          <w:color w:val="auto"/>
          <w:spacing w:val="8"/>
          <w:sz w:val="20"/>
          <w:szCs w:val="20"/>
          <w:highlight w:val="none"/>
        </w:rPr>
        <w:t>填写。</w:t>
      </w:r>
    </w:p>
    <w:p w14:paraId="7192C2D8">
      <w:pPr>
        <w:spacing w:line="228" w:lineRule="auto"/>
        <w:rPr>
          <w:rFonts w:ascii="宋体" w:hAnsi="宋体" w:eastAsia="宋体" w:cs="宋体"/>
          <w:color w:val="auto"/>
          <w:sz w:val="20"/>
          <w:szCs w:val="20"/>
          <w:highlight w:val="none"/>
        </w:rPr>
        <w:sectPr>
          <w:footerReference r:id="rId42" w:type="default"/>
          <w:pgSz w:w="11905" w:h="16838"/>
          <w:pgMar w:top="1134" w:right="1134" w:bottom="1134" w:left="1134" w:header="0" w:footer="1066" w:gutter="0"/>
          <w:pgNumType w:fmt="decimal"/>
          <w:cols w:space="0" w:num="1"/>
          <w:rtlGutter w:val="0"/>
          <w:docGrid w:linePitch="0" w:charSpace="0"/>
        </w:sectPr>
      </w:pPr>
    </w:p>
    <w:p w14:paraId="0C98749E">
      <w:pPr>
        <w:pStyle w:val="4"/>
        <w:bidi w:val="0"/>
        <w:jc w:val="center"/>
        <w:rPr>
          <w:color w:val="auto"/>
          <w:highlight w:val="none"/>
        </w:rPr>
      </w:pPr>
      <w:r>
        <w:rPr>
          <w:color w:val="auto"/>
          <w:highlight w:val="none"/>
        </w:rPr>
        <w:t>（五）投标人的信誉情况表</w:t>
      </w:r>
    </w:p>
    <w:p w14:paraId="7A285DF3">
      <w:pPr>
        <w:spacing w:before="214"/>
        <w:rPr>
          <w:color w:val="auto"/>
          <w:highlight w:val="none"/>
        </w:rPr>
      </w:pPr>
    </w:p>
    <w:tbl>
      <w:tblPr>
        <w:tblStyle w:val="19"/>
        <w:tblW w:w="882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558"/>
      </w:tblGrid>
      <w:tr w14:paraId="02924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4263" w:type="dxa"/>
            <w:vAlign w:val="top"/>
          </w:tcPr>
          <w:p w14:paraId="2FC0066E">
            <w:pPr>
              <w:spacing w:line="336" w:lineRule="auto"/>
              <w:rPr>
                <w:rFonts w:ascii="Arial"/>
                <w:color w:val="auto"/>
                <w:sz w:val="21"/>
                <w:highlight w:val="none"/>
              </w:rPr>
            </w:pPr>
          </w:p>
          <w:p w14:paraId="4966AF9D">
            <w:pPr>
              <w:pStyle w:val="20"/>
              <w:spacing w:before="62" w:line="229" w:lineRule="auto"/>
              <w:ind w:left="1891"/>
              <w:rPr>
                <w:color w:val="auto"/>
                <w:sz w:val="19"/>
                <w:szCs w:val="19"/>
                <w:highlight w:val="none"/>
              </w:rPr>
            </w:pPr>
            <w:r>
              <w:rPr>
                <w:color w:val="auto"/>
                <w:spacing w:val="-1"/>
                <w:sz w:val="19"/>
                <w:szCs w:val="19"/>
                <w:highlight w:val="none"/>
              </w:rPr>
              <w:t>项</w:t>
            </w:r>
            <w:r>
              <w:rPr>
                <w:color w:val="auto"/>
                <w:spacing w:val="51"/>
                <w:sz w:val="19"/>
                <w:szCs w:val="19"/>
                <w:highlight w:val="none"/>
              </w:rPr>
              <w:t xml:space="preserve"> </w:t>
            </w:r>
            <w:r>
              <w:rPr>
                <w:color w:val="auto"/>
                <w:spacing w:val="-1"/>
                <w:sz w:val="19"/>
                <w:szCs w:val="19"/>
                <w:highlight w:val="none"/>
              </w:rPr>
              <w:t>目</w:t>
            </w:r>
          </w:p>
        </w:tc>
        <w:tc>
          <w:tcPr>
            <w:tcW w:w="4558" w:type="dxa"/>
            <w:vAlign w:val="top"/>
          </w:tcPr>
          <w:p w14:paraId="541822D2">
            <w:pPr>
              <w:spacing w:line="337" w:lineRule="auto"/>
              <w:rPr>
                <w:rFonts w:ascii="Arial"/>
                <w:color w:val="auto"/>
                <w:sz w:val="21"/>
                <w:highlight w:val="none"/>
              </w:rPr>
            </w:pPr>
          </w:p>
          <w:p w14:paraId="4AE844EE">
            <w:pPr>
              <w:pStyle w:val="20"/>
              <w:spacing w:before="61" w:line="228" w:lineRule="auto"/>
              <w:ind w:left="1438"/>
              <w:rPr>
                <w:color w:val="auto"/>
                <w:sz w:val="19"/>
                <w:szCs w:val="19"/>
                <w:highlight w:val="none"/>
              </w:rPr>
            </w:pPr>
            <w:r>
              <w:rPr>
                <w:color w:val="auto"/>
                <w:spacing w:val="8"/>
                <w:sz w:val="19"/>
                <w:szCs w:val="19"/>
                <w:highlight w:val="none"/>
              </w:rPr>
              <w:t>投标人情况说明</w:t>
            </w:r>
          </w:p>
        </w:tc>
      </w:tr>
      <w:tr w14:paraId="655FF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4263" w:type="dxa"/>
            <w:vAlign w:val="top"/>
          </w:tcPr>
          <w:p w14:paraId="08044847">
            <w:pPr>
              <w:rPr>
                <w:rFonts w:ascii="Arial"/>
                <w:color w:val="auto"/>
                <w:sz w:val="21"/>
                <w:highlight w:val="none"/>
              </w:rPr>
            </w:pPr>
          </w:p>
        </w:tc>
        <w:tc>
          <w:tcPr>
            <w:tcW w:w="4558" w:type="dxa"/>
            <w:vAlign w:val="top"/>
          </w:tcPr>
          <w:p w14:paraId="4849B4BB">
            <w:pPr>
              <w:rPr>
                <w:rFonts w:ascii="Arial"/>
                <w:color w:val="auto"/>
                <w:sz w:val="21"/>
                <w:highlight w:val="none"/>
              </w:rPr>
            </w:pPr>
          </w:p>
        </w:tc>
      </w:tr>
      <w:tr w14:paraId="78DC1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4263" w:type="dxa"/>
            <w:vAlign w:val="top"/>
          </w:tcPr>
          <w:p w14:paraId="219B1634">
            <w:pPr>
              <w:rPr>
                <w:rFonts w:ascii="Arial"/>
                <w:color w:val="auto"/>
                <w:sz w:val="21"/>
                <w:highlight w:val="none"/>
              </w:rPr>
            </w:pPr>
          </w:p>
        </w:tc>
        <w:tc>
          <w:tcPr>
            <w:tcW w:w="4558" w:type="dxa"/>
            <w:vAlign w:val="top"/>
          </w:tcPr>
          <w:p w14:paraId="4736E755">
            <w:pPr>
              <w:rPr>
                <w:rFonts w:ascii="Arial"/>
                <w:color w:val="auto"/>
                <w:sz w:val="21"/>
                <w:highlight w:val="none"/>
              </w:rPr>
            </w:pPr>
          </w:p>
        </w:tc>
      </w:tr>
      <w:tr w14:paraId="21E7B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4263" w:type="dxa"/>
            <w:vAlign w:val="top"/>
          </w:tcPr>
          <w:p w14:paraId="172E07DF">
            <w:pPr>
              <w:rPr>
                <w:rFonts w:ascii="Arial"/>
                <w:color w:val="auto"/>
                <w:sz w:val="21"/>
                <w:highlight w:val="none"/>
              </w:rPr>
            </w:pPr>
          </w:p>
        </w:tc>
        <w:tc>
          <w:tcPr>
            <w:tcW w:w="4558" w:type="dxa"/>
            <w:vAlign w:val="top"/>
          </w:tcPr>
          <w:p w14:paraId="3EE42EBE">
            <w:pPr>
              <w:rPr>
                <w:rFonts w:ascii="Arial"/>
                <w:color w:val="auto"/>
                <w:sz w:val="21"/>
                <w:highlight w:val="none"/>
              </w:rPr>
            </w:pPr>
          </w:p>
        </w:tc>
      </w:tr>
      <w:tr w14:paraId="0F775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jc w:val="center"/>
        </w:trPr>
        <w:tc>
          <w:tcPr>
            <w:tcW w:w="4263" w:type="dxa"/>
            <w:vAlign w:val="top"/>
          </w:tcPr>
          <w:p w14:paraId="493360E7">
            <w:pPr>
              <w:rPr>
                <w:rFonts w:ascii="Arial"/>
                <w:color w:val="auto"/>
                <w:sz w:val="21"/>
                <w:highlight w:val="none"/>
              </w:rPr>
            </w:pPr>
          </w:p>
        </w:tc>
        <w:tc>
          <w:tcPr>
            <w:tcW w:w="4558" w:type="dxa"/>
            <w:vAlign w:val="top"/>
          </w:tcPr>
          <w:p w14:paraId="07E43122">
            <w:pPr>
              <w:rPr>
                <w:rFonts w:ascii="Arial"/>
                <w:color w:val="auto"/>
                <w:sz w:val="21"/>
                <w:highlight w:val="none"/>
              </w:rPr>
            </w:pPr>
          </w:p>
        </w:tc>
      </w:tr>
      <w:tr w14:paraId="6B9EA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4263" w:type="dxa"/>
            <w:vAlign w:val="top"/>
          </w:tcPr>
          <w:p w14:paraId="39D0AE0E">
            <w:pPr>
              <w:rPr>
                <w:rFonts w:ascii="Arial"/>
                <w:color w:val="auto"/>
                <w:sz w:val="21"/>
                <w:highlight w:val="none"/>
              </w:rPr>
            </w:pPr>
          </w:p>
        </w:tc>
        <w:tc>
          <w:tcPr>
            <w:tcW w:w="4558" w:type="dxa"/>
            <w:vAlign w:val="top"/>
          </w:tcPr>
          <w:p w14:paraId="3EA7D947">
            <w:pPr>
              <w:rPr>
                <w:rFonts w:ascii="Arial"/>
                <w:color w:val="auto"/>
                <w:sz w:val="21"/>
                <w:highlight w:val="none"/>
              </w:rPr>
            </w:pPr>
          </w:p>
        </w:tc>
      </w:tr>
      <w:tr w14:paraId="70CA0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jc w:val="center"/>
        </w:trPr>
        <w:tc>
          <w:tcPr>
            <w:tcW w:w="4263" w:type="dxa"/>
            <w:vAlign w:val="top"/>
          </w:tcPr>
          <w:p w14:paraId="48D4851C">
            <w:pPr>
              <w:rPr>
                <w:rFonts w:ascii="Arial"/>
                <w:color w:val="auto"/>
                <w:sz w:val="21"/>
                <w:highlight w:val="none"/>
              </w:rPr>
            </w:pPr>
          </w:p>
        </w:tc>
        <w:tc>
          <w:tcPr>
            <w:tcW w:w="4558" w:type="dxa"/>
            <w:vAlign w:val="top"/>
          </w:tcPr>
          <w:p w14:paraId="3F9C84A7">
            <w:pPr>
              <w:rPr>
                <w:rFonts w:ascii="Arial"/>
                <w:color w:val="auto"/>
                <w:sz w:val="21"/>
                <w:highlight w:val="none"/>
              </w:rPr>
            </w:pPr>
          </w:p>
        </w:tc>
      </w:tr>
    </w:tbl>
    <w:p w14:paraId="7D83A38D">
      <w:pPr>
        <w:spacing w:before="303" w:line="377" w:lineRule="auto"/>
        <w:ind w:left="542" w:hanging="42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注：1.投标人应按照招标文件第二章“投</w:t>
      </w:r>
      <w:r>
        <w:rPr>
          <w:rFonts w:ascii="宋体" w:hAnsi="宋体" w:eastAsia="宋体" w:cs="宋体"/>
          <w:color w:val="auto"/>
          <w:spacing w:val="8"/>
          <w:sz w:val="20"/>
          <w:szCs w:val="20"/>
          <w:highlight w:val="none"/>
        </w:rPr>
        <w:t>标人须知</w:t>
      </w:r>
      <w:r>
        <w:rPr>
          <w:rFonts w:ascii="宋体" w:hAnsi="宋体" w:eastAsia="宋体" w:cs="宋体"/>
          <w:color w:val="auto"/>
          <w:spacing w:val="-67"/>
          <w:sz w:val="20"/>
          <w:szCs w:val="20"/>
          <w:highlight w:val="none"/>
        </w:rPr>
        <w:t xml:space="preserve"> </w:t>
      </w:r>
      <w:r>
        <w:rPr>
          <w:rFonts w:ascii="宋体" w:hAnsi="宋体" w:eastAsia="宋体" w:cs="宋体"/>
          <w:color w:val="auto"/>
          <w:spacing w:val="8"/>
          <w:sz w:val="20"/>
          <w:szCs w:val="20"/>
          <w:highlight w:val="none"/>
        </w:rPr>
        <w:t>”前附表附录</w:t>
      </w:r>
      <w:r>
        <w:rPr>
          <w:rFonts w:ascii="宋体" w:hAnsi="宋体" w:eastAsia="宋体" w:cs="宋体"/>
          <w:color w:val="auto"/>
          <w:spacing w:val="-30"/>
          <w:sz w:val="20"/>
          <w:szCs w:val="20"/>
          <w:highlight w:val="none"/>
        </w:rPr>
        <w:t xml:space="preserve"> </w:t>
      </w:r>
      <w:r>
        <w:rPr>
          <w:rFonts w:ascii="宋体" w:hAnsi="宋体" w:eastAsia="宋体" w:cs="宋体"/>
          <w:color w:val="auto"/>
          <w:spacing w:val="8"/>
          <w:sz w:val="20"/>
          <w:szCs w:val="20"/>
          <w:highlight w:val="none"/>
        </w:rPr>
        <w:t>3</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和“投标人须知</w:t>
      </w:r>
      <w:r>
        <w:rPr>
          <w:rFonts w:ascii="宋体" w:hAnsi="宋体" w:eastAsia="宋体" w:cs="宋体"/>
          <w:color w:val="auto"/>
          <w:spacing w:val="-70"/>
          <w:sz w:val="20"/>
          <w:szCs w:val="20"/>
          <w:highlight w:val="none"/>
        </w:rPr>
        <w:t xml:space="preserve"> </w:t>
      </w:r>
      <w:r>
        <w:rPr>
          <w:rFonts w:ascii="宋体" w:hAnsi="宋体" w:eastAsia="宋体" w:cs="宋体"/>
          <w:color w:val="auto"/>
          <w:spacing w:val="8"/>
          <w:sz w:val="20"/>
          <w:szCs w:val="20"/>
          <w:highlight w:val="none"/>
        </w:rPr>
        <w:t>”正文第</w:t>
      </w:r>
      <w:r>
        <w:rPr>
          <w:rFonts w:ascii="宋体" w:hAnsi="宋体" w:eastAsia="宋体" w:cs="宋体"/>
          <w:color w:val="auto"/>
          <w:spacing w:val="-22"/>
          <w:sz w:val="20"/>
          <w:szCs w:val="20"/>
          <w:highlight w:val="none"/>
        </w:rPr>
        <w:t xml:space="preserve"> </w:t>
      </w:r>
      <w:r>
        <w:rPr>
          <w:rFonts w:ascii="宋体" w:hAnsi="宋体" w:eastAsia="宋体" w:cs="宋体"/>
          <w:color w:val="auto"/>
          <w:spacing w:val="8"/>
          <w:sz w:val="20"/>
          <w:szCs w:val="20"/>
          <w:highlight w:val="none"/>
        </w:rPr>
        <w:t>1.4.4项规定，逐条说明其信誉情况。</w:t>
      </w:r>
    </w:p>
    <w:p w14:paraId="470AD8DD">
      <w:pPr>
        <w:spacing w:line="226" w:lineRule="auto"/>
        <w:ind w:left="54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2.投标人应根据招标文件第二章“投标人须知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w:t>
      </w:r>
      <w:r>
        <w:rPr>
          <w:rFonts w:ascii="宋体" w:hAnsi="宋体" w:eastAsia="宋体" w:cs="宋体"/>
          <w:color w:val="auto"/>
          <w:spacing w:val="7"/>
          <w:sz w:val="20"/>
          <w:szCs w:val="20"/>
          <w:highlight w:val="none"/>
        </w:rPr>
        <w:t>第</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3.5.3</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项的要求在本表后附相关证明材料。</w:t>
      </w:r>
    </w:p>
    <w:p w14:paraId="525D1D99">
      <w:pPr>
        <w:spacing w:before="163" w:line="228" w:lineRule="auto"/>
        <w:ind w:left="54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3.以联合体形式参与投标的，联合体各成员应分别填写。</w:t>
      </w:r>
    </w:p>
    <w:p w14:paraId="7256BD3B">
      <w:pPr>
        <w:spacing w:line="228" w:lineRule="auto"/>
        <w:rPr>
          <w:rFonts w:ascii="宋体" w:hAnsi="宋体" w:eastAsia="宋体" w:cs="宋体"/>
          <w:color w:val="auto"/>
          <w:sz w:val="20"/>
          <w:szCs w:val="20"/>
          <w:highlight w:val="none"/>
        </w:rPr>
        <w:sectPr>
          <w:footerReference r:id="rId43" w:type="default"/>
          <w:pgSz w:w="11905" w:h="16838"/>
          <w:pgMar w:top="1134" w:right="1134" w:bottom="1134" w:left="1134" w:header="0" w:footer="1066" w:gutter="0"/>
          <w:pgNumType w:fmt="decimal"/>
          <w:cols w:space="0" w:num="1"/>
          <w:rtlGutter w:val="0"/>
          <w:docGrid w:linePitch="0" w:charSpace="0"/>
        </w:sectPr>
      </w:pPr>
    </w:p>
    <w:p w14:paraId="49C146D9">
      <w:pPr>
        <w:spacing w:line="319" w:lineRule="auto"/>
        <w:rPr>
          <w:rFonts w:ascii="Arial"/>
          <w:color w:val="auto"/>
          <w:sz w:val="21"/>
          <w:highlight w:val="none"/>
        </w:rPr>
      </w:pPr>
    </w:p>
    <w:p w14:paraId="72444F61">
      <w:pPr>
        <w:pStyle w:val="4"/>
        <w:bidi w:val="0"/>
        <w:jc w:val="center"/>
        <w:rPr>
          <w:color w:val="auto"/>
          <w:highlight w:val="none"/>
        </w:rPr>
      </w:pPr>
      <w:r>
        <w:rPr>
          <w:color w:val="auto"/>
          <w:highlight w:val="none"/>
        </w:rPr>
        <w:t>（六）拟委任的总监理工程师或驻地监理工程师资历表</w:t>
      </w:r>
    </w:p>
    <w:p w14:paraId="79158759">
      <w:pPr>
        <w:spacing w:before="147"/>
        <w:rPr>
          <w:color w:val="auto"/>
          <w:highlight w:val="none"/>
        </w:rPr>
      </w:pPr>
    </w:p>
    <w:tbl>
      <w:tblPr>
        <w:tblStyle w:val="19"/>
        <w:tblW w:w="87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9"/>
        <w:gridCol w:w="51"/>
        <w:gridCol w:w="1151"/>
        <w:gridCol w:w="302"/>
        <w:gridCol w:w="1059"/>
        <w:gridCol w:w="1380"/>
        <w:gridCol w:w="337"/>
        <w:gridCol w:w="1543"/>
        <w:gridCol w:w="386"/>
        <w:gridCol w:w="1287"/>
      </w:tblGrid>
      <w:tr w14:paraId="2F7EF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jc w:val="center"/>
        </w:trPr>
        <w:tc>
          <w:tcPr>
            <w:tcW w:w="1239" w:type="dxa"/>
            <w:vAlign w:val="top"/>
          </w:tcPr>
          <w:p w14:paraId="61E61A57">
            <w:pPr>
              <w:spacing w:line="355" w:lineRule="auto"/>
              <w:rPr>
                <w:rFonts w:ascii="Arial"/>
                <w:color w:val="auto"/>
                <w:sz w:val="21"/>
                <w:highlight w:val="none"/>
              </w:rPr>
            </w:pPr>
          </w:p>
          <w:p w14:paraId="64EC8EE7">
            <w:pPr>
              <w:pStyle w:val="20"/>
              <w:spacing w:before="65" w:line="228" w:lineRule="auto"/>
              <w:ind w:left="205"/>
              <w:rPr>
                <w:color w:val="auto"/>
                <w:highlight w:val="none"/>
              </w:rPr>
            </w:pPr>
            <w:r>
              <w:rPr>
                <w:color w:val="auto"/>
                <w:highlight w:val="none"/>
              </w:rPr>
              <w:t>姓</w:t>
            </w:r>
            <w:r>
              <w:rPr>
                <w:color w:val="auto"/>
                <w:spacing w:val="7"/>
                <w:highlight w:val="none"/>
              </w:rPr>
              <w:t xml:space="preserve">    </w:t>
            </w:r>
            <w:r>
              <w:rPr>
                <w:color w:val="auto"/>
                <w:highlight w:val="none"/>
              </w:rPr>
              <w:t>名</w:t>
            </w:r>
          </w:p>
        </w:tc>
        <w:tc>
          <w:tcPr>
            <w:tcW w:w="1504" w:type="dxa"/>
            <w:gridSpan w:val="3"/>
            <w:vAlign w:val="top"/>
          </w:tcPr>
          <w:p w14:paraId="59C7A2D9">
            <w:pPr>
              <w:rPr>
                <w:rFonts w:ascii="Arial"/>
                <w:color w:val="auto"/>
                <w:sz w:val="21"/>
                <w:highlight w:val="none"/>
              </w:rPr>
            </w:pPr>
          </w:p>
        </w:tc>
        <w:tc>
          <w:tcPr>
            <w:tcW w:w="1059" w:type="dxa"/>
            <w:vAlign w:val="top"/>
          </w:tcPr>
          <w:p w14:paraId="4F23BED6">
            <w:pPr>
              <w:spacing w:line="355" w:lineRule="auto"/>
              <w:rPr>
                <w:rFonts w:ascii="Arial"/>
                <w:color w:val="auto"/>
                <w:sz w:val="21"/>
                <w:highlight w:val="none"/>
              </w:rPr>
            </w:pPr>
          </w:p>
          <w:p w14:paraId="505EC801">
            <w:pPr>
              <w:pStyle w:val="20"/>
              <w:spacing w:before="65" w:line="228" w:lineRule="auto"/>
              <w:ind w:left="115"/>
              <w:rPr>
                <w:color w:val="auto"/>
                <w:highlight w:val="none"/>
              </w:rPr>
            </w:pPr>
            <w:r>
              <w:rPr>
                <w:color w:val="auto"/>
                <w:highlight w:val="none"/>
              </w:rPr>
              <w:t>年</w:t>
            </w:r>
            <w:r>
              <w:rPr>
                <w:color w:val="auto"/>
                <w:spacing w:val="7"/>
                <w:highlight w:val="none"/>
              </w:rPr>
              <w:t xml:space="preserve">    </w:t>
            </w:r>
            <w:r>
              <w:rPr>
                <w:color w:val="auto"/>
                <w:highlight w:val="none"/>
              </w:rPr>
              <w:t>龄</w:t>
            </w:r>
          </w:p>
        </w:tc>
        <w:tc>
          <w:tcPr>
            <w:tcW w:w="1380" w:type="dxa"/>
            <w:vAlign w:val="top"/>
          </w:tcPr>
          <w:p w14:paraId="0DE96FAC">
            <w:pPr>
              <w:rPr>
                <w:rFonts w:ascii="Arial"/>
                <w:color w:val="auto"/>
                <w:sz w:val="21"/>
                <w:highlight w:val="none"/>
              </w:rPr>
            </w:pPr>
          </w:p>
        </w:tc>
        <w:tc>
          <w:tcPr>
            <w:tcW w:w="1880" w:type="dxa"/>
            <w:gridSpan w:val="2"/>
            <w:vAlign w:val="top"/>
          </w:tcPr>
          <w:p w14:paraId="1D8D5A14">
            <w:pPr>
              <w:pStyle w:val="20"/>
              <w:spacing w:before="223" w:line="321" w:lineRule="auto"/>
              <w:ind w:left="635" w:right="98" w:hanging="529"/>
              <w:rPr>
                <w:color w:val="auto"/>
                <w:highlight w:val="none"/>
              </w:rPr>
            </w:pPr>
            <w:r>
              <w:rPr>
                <w:color w:val="auto"/>
                <w:spacing w:val="8"/>
                <w:highlight w:val="none"/>
              </w:rPr>
              <w:t>执业或职业资格证</w:t>
            </w:r>
            <w:r>
              <w:rPr>
                <w:color w:val="auto"/>
                <w:spacing w:val="5"/>
                <w:highlight w:val="none"/>
              </w:rPr>
              <w:t>书名称</w:t>
            </w:r>
          </w:p>
        </w:tc>
        <w:tc>
          <w:tcPr>
            <w:tcW w:w="1673" w:type="dxa"/>
            <w:gridSpan w:val="2"/>
            <w:vAlign w:val="top"/>
          </w:tcPr>
          <w:p w14:paraId="210AB783">
            <w:pPr>
              <w:rPr>
                <w:rFonts w:ascii="Arial"/>
                <w:color w:val="auto"/>
                <w:sz w:val="21"/>
                <w:highlight w:val="none"/>
              </w:rPr>
            </w:pPr>
          </w:p>
        </w:tc>
      </w:tr>
      <w:tr w14:paraId="3A1CB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1239" w:type="dxa"/>
            <w:vAlign w:val="top"/>
          </w:tcPr>
          <w:p w14:paraId="490D478A">
            <w:pPr>
              <w:spacing w:line="381" w:lineRule="auto"/>
              <w:rPr>
                <w:rFonts w:ascii="Arial"/>
                <w:color w:val="auto"/>
                <w:sz w:val="21"/>
                <w:highlight w:val="none"/>
              </w:rPr>
            </w:pPr>
          </w:p>
          <w:p w14:paraId="78030F05">
            <w:pPr>
              <w:pStyle w:val="20"/>
              <w:spacing w:before="65" w:line="228" w:lineRule="auto"/>
              <w:ind w:left="206"/>
              <w:rPr>
                <w:color w:val="auto"/>
                <w:highlight w:val="none"/>
              </w:rPr>
            </w:pPr>
            <w:r>
              <w:rPr>
                <w:color w:val="auto"/>
                <w:spacing w:val="7"/>
                <w:highlight w:val="none"/>
              </w:rPr>
              <w:t>技术职称</w:t>
            </w:r>
          </w:p>
        </w:tc>
        <w:tc>
          <w:tcPr>
            <w:tcW w:w="1504" w:type="dxa"/>
            <w:gridSpan w:val="3"/>
            <w:vAlign w:val="top"/>
          </w:tcPr>
          <w:p w14:paraId="63C0CBB7">
            <w:pPr>
              <w:rPr>
                <w:rFonts w:ascii="Arial"/>
                <w:color w:val="auto"/>
                <w:sz w:val="21"/>
                <w:highlight w:val="none"/>
              </w:rPr>
            </w:pPr>
          </w:p>
        </w:tc>
        <w:tc>
          <w:tcPr>
            <w:tcW w:w="1059" w:type="dxa"/>
            <w:vAlign w:val="top"/>
          </w:tcPr>
          <w:p w14:paraId="7C41968C">
            <w:pPr>
              <w:spacing w:line="381" w:lineRule="auto"/>
              <w:rPr>
                <w:rFonts w:ascii="Arial"/>
                <w:color w:val="auto"/>
                <w:sz w:val="21"/>
                <w:highlight w:val="none"/>
              </w:rPr>
            </w:pPr>
          </w:p>
          <w:p w14:paraId="19B81A1E">
            <w:pPr>
              <w:pStyle w:val="20"/>
              <w:spacing w:before="66" w:line="229" w:lineRule="auto"/>
              <w:ind w:left="118"/>
              <w:rPr>
                <w:color w:val="auto"/>
                <w:highlight w:val="none"/>
              </w:rPr>
            </w:pPr>
            <w:r>
              <w:rPr>
                <w:color w:val="auto"/>
                <w:spacing w:val="-2"/>
                <w:highlight w:val="none"/>
              </w:rPr>
              <w:t>学</w:t>
            </w:r>
            <w:r>
              <w:rPr>
                <w:color w:val="auto"/>
                <w:spacing w:val="8"/>
                <w:highlight w:val="none"/>
              </w:rPr>
              <w:t xml:space="preserve">    </w:t>
            </w:r>
            <w:r>
              <w:rPr>
                <w:color w:val="auto"/>
                <w:spacing w:val="-2"/>
                <w:highlight w:val="none"/>
              </w:rPr>
              <w:t>历</w:t>
            </w:r>
          </w:p>
        </w:tc>
        <w:tc>
          <w:tcPr>
            <w:tcW w:w="1380" w:type="dxa"/>
            <w:vAlign w:val="top"/>
          </w:tcPr>
          <w:p w14:paraId="21772C5A">
            <w:pPr>
              <w:rPr>
                <w:rFonts w:ascii="Arial"/>
                <w:color w:val="auto"/>
                <w:sz w:val="21"/>
                <w:highlight w:val="none"/>
              </w:rPr>
            </w:pPr>
          </w:p>
        </w:tc>
        <w:tc>
          <w:tcPr>
            <w:tcW w:w="1880" w:type="dxa"/>
            <w:gridSpan w:val="2"/>
            <w:vAlign w:val="top"/>
          </w:tcPr>
          <w:p w14:paraId="43289CB3">
            <w:pPr>
              <w:pStyle w:val="20"/>
              <w:spacing w:before="222" w:line="347" w:lineRule="auto"/>
              <w:ind w:left="528" w:right="413" w:hanging="108"/>
              <w:rPr>
                <w:color w:val="auto"/>
                <w:highlight w:val="none"/>
              </w:rPr>
            </w:pPr>
            <w:r>
              <w:rPr>
                <w:color w:val="auto"/>
                <w:spacing w:val="8"/>
                <w:highlight w:val="none"/>
              </w:rPr>
              <w:t>拟在本标段</w:t>
            </w:r>
            <w:r>
              <w:rPr>
                <w:color w:val="auto"/>
                <w:spacing w:val="6"/>
                <w:highlight w:val="none"/>
              </w:rPr>
              <w:t>工程任职</w:t>
            </w:r>
          </w:p>
        </w:tc>
        <w:tc>
          <w:tcPr>
            <w:tcW w:w="1673" w:type="dxa"/>
            <w:gridSpan w:val="2"/>
            <w:vAlign w:val="top"/>
          </w:tcPr>
          <w:p w14:paraId="72A70102">
            <w:pPr>
              <w:rPr>
                <w:rFonts w:ascii="Arial"/>
                <w:color w:val="auto"/>
                <w:sz w:val="21"/>
                <w:highlight w:val="none"/>
              </w:rPr>
            </w:pPr>
          </w:p>
        </w:tc>
      </w:tr>
      <w:tr w14:paraId="3B4CB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1239" w:type="dxa"/>
            <w:vAlign w:val="top"/>
          </w:tcPr>
          <w:p w14:paraId="36B1524C">
            <w:pPr>
              <w:rPr>
                <w:rFonts w:ascii="Arial"/>
                <w:color w:val="auto"/>
                <w:sz w:val="21"/>
                <w:highlight w:val="none"/>
              </w:rPr>
            </w:pPr>
          </w:p>
          <w:p w14:paraId="0E75B392">
            <w:pPr>
              <w:pStyle w:val="20"/>
              <w:spacing w:before="65" w:line="228" w:lineRule="auto"/>
              <w:ind w:left="207"/>
              <w:rPr>
                <w:color w:val="auto"/>
                <w:highlight w:val="none"/>
              </w:rPr>
            </w:pPr>
            <w:r>
              <w:rPr>
                <w:color w:val="auto"/>
                <w:spacing w:val="6"/>
                <w:highlight w:val="none"/>
              </w:rPr>
              <w:t>工作年限</w:t>
            </w:r>
          </w:p>
        </w:tc>
        <w:tc>
          <w:tcPr>
            <w:tcW w:w="3943" w:type="dxa"/>
            <w:gridSpan w:val="5"/>
            <w:vAlign w:val="top"/>
          </w:tcPr>
          <w:p w14:paraId="2C1A4C4C">
            <w:pPr>
              <w:rPr>
                <w:rFonts w:ascii="Arial"/>
                <w:color w:val="auto"/>
                <w:sz w:val="21"/>
                <w:highlight w:val="none"/>
              </w:rPr>
            </w:pPr>
          </w:p>
        </w:tc>
        <w:tc>
          <w:tcPr>
            <w:tcW w:w="1880" w:type="dxa"/>
            <w:gridSpan w:val="2"/>
            <w:vAlign w:val="top"/>
          </w:tcPr>
          <w:p w14:paraId="6FEF9711">
            <w:pPr>
              <w:rPr>
                <w:rFonts w:ascii="Arial"/>
                <w:color w:val="auto"/>
                <w:sz w:val="21"/>
                <w:highlight w:val="none"/>
              </w:rPr>
            </w:pPr>
          </w:p>
          <w:p w14:paraId="5D2C82BE">
            <w:pPr>
              <w:pStyle w:val="20"/>
              <w:spacing w:before="65" w:line="228" w:lineRule="auto"/>
              <w:ind w:left="109"/>
              <w:rPr>
                <w:color w:val="auto"/>
                <w:highlight w:val="none"/>
              </w:rPr>
            </w:pPr>
            <w:r>
              <w:rPr>
                <w:color w:val="auto"/>
                <w:spacing w:val="8"/>
                <w:highlight w:val="none"/>
              </w:rPr>
              <w:t>从事监理工作年限</w:t>
            </w:r>
          </w:p>
        </w:tc>
        <w:tc>
          <w:tcPr>
            <w:tcW w:w="1673" w:type="dxa"/>
            <w:gridSpan w:val="2"/>
            <w:vAlign w:val="top"/>
          </w:tcPr>
          <w:p w14:paraId="5EDACA08">
            <w:pPr>
              <w:rPr>
                <w:rFonts w:ascii="Arial"/>
                <w:color w:val="auto"/>
                <w:sz w:val="21"/>
                <w:highlight w:val="none"/>
              </w:rPr>
            </w:pPr>
          </w:p>
        </w:tc>
      </w:tr>
      <w:tr w14:paraId="04944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1239" w:type="dxa"/>
            <w:vAlign w:val="top"/>
          </w:tcPr>
          <w:p w14:paraId="6518926B">
            <w:pPr>
              <w:pStyle w:val="20"/>
              <w:spacing w:before="221" w:line="228" w:lineRule="auto"/>
              <w:ind w:left="209"/>
              <w:rPr>
                <w:color w:val="auto"/>
                <w:highlight w:val="none"/>
              </w:rPr>
            </w:pPr>
            <w:r>
              <w:rPr>
                <w:color w:val="auto"/>
                <w:spacing w:val="6"/>
                <w:highlight w:val="none"/>
              </w:rPr>
              <w:t>毕业学校</w:t>
            </w:r>
          </w:p>
        </w:tc>
        <w:tc>
          <w:tcPr>
            <w:tcW w:w="7496" w:type="dxa"/>
            <w:gridSpan w:val="9"/>
            <w:vAlign w:val="top"/>
          </w:tcPr>
          <w:p w14:paraId="2B2D558D">
            <w:pPr>
              <w:pStyle w:val="20"/>
              <w:tabs>
                <w:tab w:val="left" w:pos="866"/>
              </w:tabs>
              <w:spacing w:before="221" w:line="228" w:lineRule="auto"/>
              <w:ind w:left="237"/>
              <w:rPr>
                <w:color w:val="auto"/>
                <w:highlight w:val="none"/>
              </w:rPr>
            </w:pPr>
            <w:r>
              <w:rPr>
                <w:color w:val="auto"/>
                <w:highlight w:val="none"/>
                <w:u w:val="single" w:color="auto"/>
              </w:rPr>
              <w:tab/>
            </w:r>
            <w:r>
              <w:rPr>
                <w:color w:val="auto"/>
                <w:spacing w:val="-85"/>
                <w:highlight w:val="none"/>
              </w:rPr>
              <w:t xml:space="preserve"> </w:t>
            </w:r>
            <w:r>
              <w:rPr>
                <w:color w:val="auto"/>
                <w:spacing w:val="5"/>
                <w:highlight w:val="none"/>
              </w:rPr>
              <w:t>年</w:t>
            </w:r>
            <w:r>
              <w:rPr>
                <w:color w:val="auto"/>
                <w:spacing w:val="5"/>
                <w:highlight w:val="none"/>
                <w:u w:val="single" w:color="auto"/>
              </w:rPr>
              <w:t xml:space="preserve">   </w:t>
            </w:r>
            <w:r>
              <w:rPr>
                <w:color w:val="auto"/>
                <w:spacing w:val="-88"/>
                <w:highlight w:val="none"/>
              </w:rPr>
              <w:t xml:space="preserve"> </w:t>
            </w:r>
            <w:r>
              <w:rPr>
                <w:color w:val="auto"/>
                <w:spacing w:val="5"/>
                <w:highlight w:val="none"/>
              </w:rPr>
              <w:t>月毕业于</w:t>
            </w:r>
            <w:r>
              <w:rPr>
                <w:color w:val="auto"/>
                <w:spacing w:val="-98"/>
                <w:highlight w:val="none"/>
              </w:rPr>
              <w:t xml:space="preserve"> </w:t>
            </w:r>
            <w:r>
              <w:rPr>
                <w:color w:val="auto"/>
                <w:spacing w:val="4"/>
                <w:highlight w:val="none"/>
                <w:u w:val="single" w:color="auto"/>
              </w:rPr>
              <w:t xml:space="preserve">             </w:t>
            </w:r>
            <w:r>
              <w:rPr>
                <w:color w:val="auto"/>
                <w:spacing w:val="-74"/>
                <w:highlight w:val="none"/>
              </w:rPr>
              <w:t xml:space="preserve"> </w:t>
            </w:r>
            <w:r>
              <w:rPr>
                <w:color w:val="auto"/>
                <w:spacing w:val="5"/>
                <w:highlight w:val="none"/>
              </w:rPr>
              <w:t>学校</w:t>
            </w:r>
            <w:r>
              <w:rPr>
                <w:color w:val="auto"/>
                <w:spacing w:val="-98"/>
                <w:highlight w:val="none"/>
              </w:rPr>
              <w:t xml:space="preserve"> </w:t>
            </w:r>
            <w:r>
              <w:rPr>
                <w:color w:val="auto"/>
                <w:spacing w:val="5"/>
                <w:highlight w:val="none"/>
                <w:u w:val="single" w:color="auto"/>
              </w:rPr>
              <w:t xml:space="preserve">           </w:t>
            </w:r>
            <w:r>
              <w:rPr>
                <w:color w:val="auto"/>
                <w:spacing w:val="-92"/>
                <w:highlight w:val="none"/>
              </w:rPr>
              <w:t xml:space="preserve"> </w:t>
            </w:r>
            <w:r>
              <w:rPr>
                <w:color w:val="auto"/>
                <w:spacing w:val="5"/>
                <w:highlight w:val="none"/>
              </w:rPr>
              <w:t>专业，学制</w:t>
            </w:r>
            <w:r>
              <w:rPr>
                <w:color w:val="auto"/>
                <w:spacing w:val="-98"/>
                <w:highlight w:val="none"/>
              </w:rPr>
              <w:t xml:space="preserve"> </w:t>
            </w:r>
            <w:r>
              <w:rPr>
                <w:color w:val="auto"/>
                <w:spacing w:val="5"/>
                <w:highlight w:val="none"/>
                <w:u w:val="single" w:color="auto"/>
              </w:rPr>
              <w:t xml:space="preserve">      </w:t>
            </w:r>
            <w:r>
              <w:rPr>
                <w:color w:val="auto"/>
                <w:spacing w:val="-92"/>
                <w:highlight w:val="none"/>
              </w:rPr>
              <w:t xml:space="preserve"> </w:t>
            </w:r>
            <w:r>
              <w:rPr>
                <w:color w:val="auto"/>
                <w:spacing w:val="5"/>
                <w:highlight w:val="none"/>
              </w:rPr>
              <w:t>年</w:t>
            </w:r>
          </w:p>
        </w:tc>
      </w:tr>
      <w:tr w14:paraId="62F6E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8735" w:type="dxa"/>
            <w:gridSpan w:val="10"/>
            <w:vAlign w:val="top"/>
          </w:tcPr>
          <w:p w14:paraId="54C1090D">
            <w:pPr>
              <w:pStyle w:val="20"/>
              <w:spacing w:before="221" w:line="231" w:lineRule="auto"/>
              <w:ind w:left="3691"/>
              <w:rPr>
                <w:color w:val="auto"/>
                <w:highlight w:val="none"/>
              </w:rPr>
            </w:pPr>
            <w:r>
              <w:rPr>
                <w:color w:val="auto"/>
                <w:spacing w:val="-1"/>
                <w:highlight w:val="none"/>
              </w:rPr>
              <w:t>经</w:t>
            </w:r>
            <w:r>
              <w:rPr>
                <w:color w:val="auto"/>
                <w:spacing w:val="6"/>
                <w:highlight w:val="none"/>
              </w:rPr>
              <w:t xml:space="preserve">         </w:t>
            </w:r>
            <w:r>
              <w:rPr>
                <w:color w:val="auto"/>
                <w:spacing w:val="-1"/>
                <w:highlight w:val="none"/>
              </w:rPr>
              <w:t>历</w:t>
            </w:r>
          </w:p>
        </w:tc>
      </w:tr>
      <w:tr w14:paraId="5C6E8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1290" w:type="dxa"/>
            <w:gridSpan w:val="2"/>
            <w:vAlign w:val="top"/>
          </w:tcPr>
          <w:p w14:paraId="0F6BDE72">
            <w:pPr>
              <w:spacing w:line="354" w:lineRule="auto"/>
              <w:rPr>
                <w:rFonts w:ascii="Arial"/>
                <w:color w:val="auto"/>
                <w:sz w:val="21"/>
                <w:highlight w:val="none"/>
              </w:rPr>
            </w:pPr>
          </w:p>
          <w:p w14:paraId="68106E38">
            <w:pPr>
              <w:pStyle w:val="20"/>
              <w:spacing w:before="65" w:line="230" w:lineRule="auto"/>
              <w:ind w:left="344"/>
              <w:rPr>
                <w:color w:val="auto"/>
                <w:highlight w:val="none"/>
              </w:rPr>
            </w:pPr>
            <w:r>
              <w:rPr>
                <w:color w:val="auto"/>
                <w:spacing w:val="-5"/>
                <w:highlight w:val="none"/>
              </w:rPr>
              <w:t>时</w:t>
            </w:r>
            <w:r>
              <w:rPr>
                <w:color w:val="auto"/>
                <w:spacing w:val="17"/>
                <w:highlight w:val="none"/>
              </w:rPr>
              <w:t xml:space="preserve">  </w:t>
            </w:r>
            <w:r>
              <w:rPr>
                <w:color w:val="auto"/>
                <w:spacing w:val="-5"/>
                <w:highlight w:val="none"/>
              </w:rPr>
              <w:t>间</w:t>
            </w:r>
          </w:p>
        </w:tc>
        <w:tc>
          <w:tcPr>
            <w:tcW w:w="4229" w:type="dxa"/>
            <w:gridSpan w:val="5"/>
            <w:vAlign w:val="top"/>
          </w:tcPr>
          <w:p w14:paraId="17B4F6B1">
            <w:pPr>
              <w:spacing w:line="354" w:lineRule="auto"/>
              <w:rPr>
                <w:rFonts w:ascii="Arial"/>
                <w:color w:val="auto"/>
                <w:sz w:val="21"/>
                <w:highlight w:val="none"/>
              </w:rPr>
            </w:pPr>
          </w:p>
          <w:p w14:paraId="208D4BFB">
            <w:pPr>
              <w:pStyle w:val="20"/>
              <w:spacing w:before="65" w:line="228" w:lineRule="auto"/>
              <w:ind w:left="861"/>
              <w:rPr>
                <w:color w:val="auto"/>
                <w:highlight w:val="none"/>
              </w:rPr>
            </w:pPr>
            <w:r>
              <w:rPr>
                <w:color w:val="auto"/>
                <w:spacing w:val="8"/>
                <w:highlight w:val="none"/>
              </w:rPr>
              <w:t>参加过的类似工程项目名称</w:t>
            </w:r>
          </w:p>
        </w:tc>
        <w:tc>
          <w:tcPr>
            <w:tcW w:w="1929" w:type="dxa"/>
            <w:gridSpan w:val="2"/>
            <w:vAlign w:val="top"/>
          </w:tcPr>
          <w:p w14:paraId="3AC2F975">
            <w:pPr>
              <w:spacing w:line="354" w:lineRule="auto"/>
              <w:rPr>
                <w:rFonts w:ascii="Arial"/>
                <w:color w:val="auto"/>
                <w:sz w:val="21"/>
                <w:highlight w:val="none"/>
              </w:rPr>
            </w:pPr>
          </w:p>
          <w:p w14:paraId="1924B4AB">
            <w:pPr>
              <w:pStyle w:val="20"/>
              <w:spacing w:before="65" w:line="228" w:lineRule="auto"/>
              <w:ind w:left="552"/>
              <w:rPr>
                <w:color w:val="auto"/>
                <w:highlight w:val="none"/>
              </w:rPr>
            </w:pPr>
            <w:r>
              <w:rPr>
                <w:color w:val="auto"/>
                <w:spacing w:val="7"/>
                <w:highlight w:val="none"/>
              </w:rPr>
              <w:t>担任职务</w:t>
            </w:r>
          </w:p>
        </w:tc>
        <w:tc>
          <w:tcPr>
            <w:tcW w:w="1287" w:type="dxa"/>
            <w:vAlign w:val="top"/>
          </w:tcPr>
          <w:p w14:paraId="3C22278D">
            <w:pPr>
              <w:pStyle w:val="20"/>
              <w:spacing w:before="220" w:line="320" w:lineRule="auto"/>
              <w:ind w:left="338" w:right="118" w:hanging="216"/>
              <w:rPr>
                <w:color w:val="auto"/>
                <w:highlight w:val="none"/>
              </w:rPr>
            </w:pPr>
            <w:r>
              <w:rPr>
                <w:color w:val="auto"/>
                <w:spacing w:val="8"/>
                <w:highlight w:val="none"/>
              </w:rPr>
              <w:t>委托人及联</w:t>
            </w:r>
            <w:r>
              <w:rPr>
                <w:color w:val="auto"/>
                <w:spacing w:val="5"/>
                <w:highlight w:val="none"/>
              </w:rPr>
              <w:t>系电话</w:t>
            </w:r>
          </w:p>
        </w:tc>
      </w:tr>
      <w:tr w14:paraId="05AC9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1290" w:type="dxa"/>
            <w:gridSpan w:val="2"/>
            <w:vAlign w:val="top"/>
          </w:tcPr>
          <w:p w14:paraId="5DB6BFCF">
            <w:pPr>
              <w:rPr>
                <w:rFonts w:ascii="Arial"/>
                <w:color w:val="auto"/>
                <w:sz w:val="21"/>
                <w:highlight w:val="none"/>
              </w:rPr>
            </w:pPr>
          </w:p>
        </w:tc>
        <w:tc>
          <w:tcPr>
            <w:tcW w:w="4229" w:type="dxa"/>
            <w:gridSpan w:val="5"/>
            <w:vAlign w:val="top"/>
          </w:tcPr>
          <w:p w14:paraId="340D4BC4">
            <w:pPr>
              <w:rPr>
                <w:rFonts w:ascii="Arial"/>
                <w:color w:val="auto"/>
                <w:sz w:val="21"/>
                <w:highlight w:val="none"/>
              </w:rPr>
            </w:pPr>
          </w:p>
        </w:tc>
        <w:tc>
          <w:tcPr>
            <w:tcW w:w="1929" w:type="dxa"/>
            <w:gridSpan w:val="2"/>
            <w:vAlign w:val="top"/>
          </w:tcPr>
          <w:p w14:paraId="512BCBEC">
            <w:pPr>
              <w:rPr>
                <w:rFonts w:ascii="Arial"/>
                <w:color w:val="auto"/>
                <w:sz w:val="21"/>
                <w:highlight w:val="none"/>
              </w:rPr>
            </w:pPr>
          </w:p>
        </w:tc>
        <w:tc>
          <w:tcPr>
            <w:tcW w:w="1287" w:type="dxa"/>
            <w:vAlign w:val="top"/>
          </w:tcPr>
          <w:p w14:paraId="1E2E3260">
            <w:pPr>
              <w:rPr>
                <w:rFonts w:ascii="Arial"/>
                <w:color w:val="auto"/>
                <w:sz w:val="21"/>
                <w:highlight w:val="none"/>
              </w:rPr>
            </w:pPr>
          </w:p>
        </w:tc>
      </w:tr>
      <w:tr w14:paraId="4BED2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1290" w:type="dxa"/>
            <w:gridSpan w:val="2"/>
            <w:vAlign w:val="top"/>
          </w:tcPr>
          <w:p w14:paraId="7C9B5E71">
            <w:pPr>
              <w:rPr>
                <w:rFonts w:ascii="Arial"/>
                <w:color w:val="auto"/>
                <w:sz w:val="21"/>
                <w:highlight w:val="none"/>
              </w:rPr>
            </w:pPr>
          </w:p>
        </w:tc>
        <w:tc>
          <w:tcPr>
            <w:tcW w:w="4229" w:type="dxa"/>
            <w:gridSpan w:val="5"/>
            <w:vAlign w:val="top"/>
          </w:tcPr>
          <w:p w14:paraId="734705F8">
            <w:pPr>
              <w:rPr>
                <w:rFonts w:ascii="Arial"/>
                <w:color w:val="auto"/>
                <w:sz w:val="21"/>
                <w:highlight w:val="none"/>
              </w:rPr>
            </w:pPr>
          </w:p>
        </w:tc>
        <w:tc>
          <w:tcPr>
            <w:tcW w:w="1929" w:type="dxa"/>
            <w:gridSpan w:val="2"/>
            <w:vAlign w:val="top"/>
          </w:tcPr>
          <w:p w14:paraId="57871594">
            <w:pPr>
              <w:rPr>
                <w:rFonts w:ascii="Arial"/>
                <w:color w:val="auto"/>
                <w:sz w:val="21"/>
                <w:highlight w:val="none"/>
              </w:rPr>
            </w:pPr>
          </w:p>
        </w:tc>
        <w:tc>
          <w:tcPr>
            <w:tcW w:w="1287" w:type="dxa"/>
            <w:vAlign w:val="top"/>
          </w:tcPr>
          <w:p w14:paraId="18A9BABB">
            <w:pPr>
              <w:rPr>
                <w:rFonts w:ascii="Arial"/>
                <w:color w:val="auto"/>
                <w:sz w:val="21"/>
                <w:highlight w:val="none"/>
              </w:rPr>
            </w:pPr>
          </w:p>
        </w:tc>
      </w:tr>
      <w:tr w14:paraId="78CEE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1290" w:type="dxa"/>
            <w:gridSpan w:val="2"/>
            <w:vAlign w:val="top"/>
          </w:tcPr>
          <w:p w14:paraId="402D8A3D">
            <w:pPr>
              <w:rPr>
                <w:rFonts w:ascii="Arial"/>
                <w:color w:val="auto"/>
                <w:sz w:val="21"/>
                <w:highlight w:val="none"/>
              </w:rPr>
            </w:pPr>
          </w:p>
        </w:tc>
        <w:tc>
          <w:tcPr>
            <w:tcW w:w="4229" w:type="dxa"/>
            <w:gridSpan w:val="5"/>
            <w:vAlign w:val="top"/>
          </w:tcPr>
          <w:p w14:paraId="4FF05350">
            <w:pPr>
              <w:rPr>
                <w:rFonts w:ascii="Arial"/>
                <w:color w:val="auto"/>
                <w:sz w:val="21"/>
                <w:highlight w:val="none"/>
              </w:rPr>
            </w:pPr>
          </w:p>
        </w:tc>
        <w:tc>
          <w:tcPr>
            <w:tcW w:w="1929" w:type="dxa"/>
            <w:gridSpan w:val="2"/>
            <w:vAlign w:val="top"/>
          </w:tcPr>
          <w:p w14:paraId="5BEB99CC">
            <w:pPr>
              <w:rPr>
                <w:rFonts w:ascii="Arial"/>
                <w:color w:val="auto"/>
                <w:sz w:val="21"/>
                <w:highlight w:val="none"/>
              </w:rPr>
            </w:pPr>
          </w:p>
        </w:tc>
        <w:tc>
          <w:tcPr>
            <w:tcW w:w="1287" w:type="dxa"/>
            <w:vAlign w:val="top"/>
          </w:tcPr>
          <w:p w14:paraId="459618BA">
            <w:pPr>
              <w:rPr>
                <w:rFonts w:ascii="Arial"/>
                <w:color w:val="auto"/>
                <w:sz w:val="21"/>
                <w:highlight w:val="none"/>
              </w:rPr>
            </w:pPr>
          </w:p>
        </w:tc>
      </w:tr>
      <w:tr w14:paraId="58403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1290" w:type="dxa"/>
            <w:gridSpan w:val="2"/>
            <w:vAlign w:val="top"/>
          </w:tcPr>
          <w:p w14:paraId="2D984E90">
            <w:pPr>
              <w:rPr>
                <w:rFonts w:ascii="Arial"/>
                <w:color w:val="auto"/>
                <w:sz w:val="21"/>
                <w:highlight w:val="none"/>
              </w:rPr>
            </w:pPr>
          </w:p>
        </w:tc>
        <w:tc>
          <w:tcPr>
            <w:tcW w:w="4229" w:type="dxa"/>
            <w:gridSpan w:val="5"/>
            <w:vAlign w:val="top"/>
          </w:tcPr>
          <w:p w14:paraId="1B6FBC39">
            <w:pPr>
              <w:rPr>
                <w:rFonts w:ascii="Arial"/>
                <w:color w:val="auto"/>
                <w:sz w:val="21"/>
                <w:highlight w:val="none"/>
              </w:rPr>
            </w:pPr>
          </w:p>
        </w:tc>
        <w:tc>
          <w:tcPr>
            <w:tcW w:w="1929" w:type="dxa"/>
            <w:gridSpan w:val="2"/>
            <w:vAlign w:val="top"/>
          </w:tcPr>
          <w:p w14:paraId="021DF6D5">
            <w:pPr>
              <w:rPr>
                <w:rFonts w:ascii="Arial"/>
                <w:color w:val="auto"/>
                <w:sz w:val="21"/>
                <w:highlight w:val="none"/>
              </w:rPr>
            </w:pPr>
          </w:p>
        </w:tc>
        <w:tc>
          <w:tcPr>
            <w:tcW w:w="1287" w:type="dxa"/>
            <w:vAlign w:val="top"/>
          </w:tcPr>
          <w:p w14:paraId="6F03567E">
            <w:pPr>
              <w:rPr>
                <w:rFonts w:ascii="Arial"/>
                <w:color w:val="auto"/>
                <w:sz w:val="21"/>
                <w:highlight w:val="none"/>
              </w:rPr>
            </w:pPr>
          </w:p>
        </w:tc>
      </w:tr>
      <w:tr w14:paraId="1B2BC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1290" w:type="dxa"/>
            <w:gridSpan w:val="2"/>
            <w:vAlign w:val="top"/>
          </w:tcPr>
          <w:p w14:paraId="2F4C28EE">
            <w:pPr>
              <w:rPr>
                <w:rFonts w:ascii="Arial"/>
                <w:color w:val="auto"/>
                <w:sz w:val="21"/>
                <w:highlight w:val="none"/>
              </w:rPr>
            </w:pPr>
          </w:p>
        </w:tc>
        <w:tc>
          <w:tcPr>
            <w:tcW w:w="4229" w:type="dxa"/>
            <w:gridSpan w:val="5"/>
            <w:vAlign w:val="top"/>
          </w:tcPr>
          <w:p w14:paraId="3CBD482B">
            <w:pPr>
              <w:rPr>
                <w:rFonts w:ascii="Arial"/>
                <w:color w:val="auto"/>
                <w:sz w:val="21"/>
                <w:highlight w:val="none"/>
              </w:rPr>
            </w:pPr>
          </w:p>
        </w:tc>
        <w:tc>
          <w:tcPr>
            <w:tcW w:w="1929" w:type="dxa"/>
            <w:gridSpan w:val="2"/>
            <w:vAlign w:val="top"/>
          </w:tcPr>
          <w:p w14:paraId="4A9DCCBD">
            <w:pPr>
              <w:rPr>
                <w:rFonts w:ascii="Arial"/>
                <w:color w:val="auto"/>
                <w:sz w:val="21"/>
                <w:highlight w:val="none"/>
              </w:rPr>
            </w:pPr>
          </w:p>
        </w:tc>
        <w:tc>
          <w:tcPr>
            <w:tcW w:w="1287" w:type="dxa"/>
            <w:vAlign w:val="top"/>
          </w:tcPr>
          <w:p w14:paraId="29B28B90">
            <w:pPr>
              <w:rPr>
                <w:rFonts w:ascii="Arial"/>
                <w:color w:val="auto"/>
                <w:sz w:val="21"/>
                <w:highlight w:val="none"/>
              </w:rPr>
            </w:pPr>
          </w:p>
        </w:tc>
      </w:tr>
      <w:tr w14:paraId="41BDD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1290" w:type="dxa"/>
            <w:gridSpan w:val="2"/>
            <w:vAlign w:val="top"/>
          </w:tcPr>
          <w:p w14:paraId="7C984348">
            <w:pPr>
              <w:rPr>
                <w:rFonts w:ascii="Arial"/>
                <w:color w:val="auto"/>
                <w:sz w:val="21"/>
                <w:highlight w:val="none"/>
              </w:rPr>
            </w:pPr>
          </w:p>
        </w:tc>
        <w:tc>
          <w:tcPr>
            <w:tcW w:w="4229" w:type="dxa"/>
            <w:gridSpan w:val="5"/>
            <w:vAlign w:val="top"/>
          </w:tcPr>
          <w:p w14:paraId="34140A81">
            <w:pPr>
              <w:rPr>
                <w:rFonts w:ascii="Arial"/>
                <w:color w:val="auto"/>
                <w:sz w:val="21"/>
                <w:highlight w:val="none"/>
              </w:rPr>
            </w:pPr>
          </w:p>
        </w:tc>
        <w:tc>
          <w:tcPr>
            <w:tcW w:w="1929" w:type="dxa"/>
            <w:gridSpan w:val="2"/>
            <w:vAlign w:val="top"/>
          </w:tcPr>
          <w:p w14:paraId="0EFBDA79">
            <w:pPr>
              <w:rPr>
                <w:rFonts w:ascii="Arial"/>
                <w:color w:val="auto"/>
                <w:sz w:val="21"/>
                <w:highlight w:val="none"/>
              </w:rPr>
            </w:pPr>
          </w:p>
        </w:tc>
        <w:tc>
          <w:tcPr>
            <w:tcW w:w="1287" w:type="dxa"/>
            <w:vAlign w:val="top"/>
          </w:tcPr>
          <w:p w14:paraId="6DBD6975">
            <w:pPr>
              <w:rPr>
                <w:rFonts w:ascii="Arial"/>
                <w:color w:val="auto"/>
                <w:sz w:val="21"/>
                <w:highlight w:val="none"/>
              </w:rPr>
            </w:pPr>
          </w:p>
        </w:tc>
      </w:tr>
      <w:tr w14:paraId="0FFBA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2441" w:type="dxa"/>
            <w:gridSpan w:val="3"/>
            <w:vAlign w:val="top"/>
          </w:tcPr>
          <w:p w14:paraId="6FAD6085">
            <w:pPr>
              <w:spacing w:line="242" w:lineRule="auto"/>
              <w:rPr>
                <w:rFonts w:ascii="Arial"/>
                <w:color w:val="auto"/>
                <w:sz w:val="21"/>
                <w:highlight w:val="none"/>
              </w:rPr>
            </w:pPr>
          </w:p>
          <w:p w14:paraId="75D2F692">
            <w:pPr>
              <w:pStyle w:val="20"/>
              <w:spacing w:before="65" w:line="228" w:lineRule="auto"/>
              <w:ind w:left="811"/>
              <w:rPr>
                <w:color w:val="auto"/>
                <w:highlight w:val="none"/>
              </w:rPr>
            </w:pPr>
            <w:r>
              <w:rPr>
                <w:color w:val="auto"/>
                <w:spacing w:val="6"/>
                <w:highlight w:val="none"/>
              </w:rPr>
              <w:t>获奖情况</w:t>
            </w:r>
          </w:p>
        </w:tc>
        <w:tc>
          <w:tcPr>
            <w:tcW w:w="6294" w:type="dxa"/>
            <w:gridSpan w:val="7"/>
            <w:vAlign w:val="top"/>
          </w:tcPr>
          <w:p w14:paraId="446F826D">
            <w:pPr>
              <w:rPr>
                <w:rFonts w:ascii="Arial"/>
                <w:color w:val="auto"/>
                <w:sz w:val="21"/>
                <w:highlight w:val="none"/>
              </w:rPr>
            </w:pPr>
          </w:p>
        </w:tc>
      </w:tr>
      <w:tr w14:paraId="6389E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3" w:hRule="atLeast"/>
          <w:jc w:val="center"/>
        </w:trPr>
        <w:tc>
          <w:tcPr>
            <w:tcW w:w="2441" w:type="dxa"/>
            <w:gridSpan w:val="3"/>
            <w:vAlign w:val="top"/>
          </w:tcPr>
          <w:p w14:paraId="069F128B">
            <w:pPr>
              <w:spacing w:line="464" w:lineRule="auto"/>
              <w:rPr>
                <w:rFonts w:ascii="Arial"/>
                <w:color w:val="auto"/>
                <w:sz w:val="21"/>
                <w:highlight w:val="none"/>
              </w:rPr>
            </w:pPr>
          </w:p>
          <w:p w14:paraId="7F90E532">
            <w:pPr>
              <w:pStyle w:val="20"/>
              <w:spacing w:before="65" w:line="229" w:lineRule="auto"/>
              <w:ind w:left="757"/>
              <w:rPr>
                <w:color w:val="auto"/>
                <w:highlight w:val="none"/>
              </w:rPr>
            </w:pPr>
            <w:r>
              <w:rPr>
                <w:color w:val="auto"/>
                <w:spacing w:val="-1"/>
                <w:highlight w:val="none"/>
              </w:rPr>
              <w:t>备</w:t>
            </w:r>
            <w:r>
              <w:rPr>
                <w:color w:val="auto"/>
                <w:spacing w:val="6"/>
                <w:highlight w:val="none"/>
              </w:rPr>
              <w:t xml:space="preserve">     </w:t>
            </w:r>
            <w:r>
              <w:rPr>
                <w:color w:val="auto"/>
                <w:spacing w:val="-1"/>
                <w:highlight w:val="none"/>
              </w:rPr>
              <w:t>注</w:t>
            </w:r>
          </w:p>
        </w:tc>
        <w:tc>
          <w:tcPr>
            <w:tcW w:w="6294" w:type="dxa"/>
            <w:gridSpan w:val="7"/>
            <w:vAlign w:val="top"/>
          </w:tcPr>
          <w:p w14:paraId="75CEFEA0">
            <w:pPr>
              <w:pStyle w:val="20"/>
              <w:spacing w:before="165" w:line="369" w:lineRule="auto"/>
              <w:ind w:left="114" w:right="108"/>
              <w:rPr>
                <w:color w:val="auto"/>
                <w:highlight w:val="none"/>
              </w:rPr>
            </w:pPr>
            <w:r>
              <w:rPr>
                <w:color w:val="auto"/>
                <w:spacing w:val="13"/>
                <w:highlight w:val="none"/>
              </w:rPr>
              <w:t>本人</w:t>
            </w:r>
            <w:r>
              <w:rPr>
                <w:color w:val="auto"/>
                <w:spacing w:val="-91"/>
                <w:highlight w:val="none"/>
              </w:rPr>
              <w:t xml:space="preserve"> </w:t>
            </w:r>
            <w:r>
              <w:rPr>
                <w:color w:val="auto"/>
                <w:spacing w:val="13"/>
                <w:highlight w:val="none"/>
                <w:u w:val="single" w:color="auto"/>
              </w:rPr>
              <w:t xml:space="preserve">             （签名）</w:t>
            </w:r>
            <w:r>
              <w:rPr>
                <w:color w:val="auto"/>
                <w:spacing w:val="13"/>
                <w:highlight w:val="none"/>
              </w:rPr>
              <w:t>知晓为本项目的总监理工程师/驻地</w:t>
            </w:r>
            <w:r>
              <w:rPr>
                <w:color w:val="auto"/>
                <w:spacing w:val="8"/>
                <w:highlight w:val="none"/>
              </w:rPr>
              <w:t>监理工程师，并对其真实性负责。</w:t>
            </w:r>
          </w:p>
        </w:tc>
      </w:tr>
    </w:tbl>
    <w:p w14:paraId="4E3E868E">
      <w:pPr>
        <w:spacing w:before="158" w:line="227" w:lineRule="auto"/>
        <w:ind w:left="39" w:firstLine="436" w:firstLineChars="20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注：1.本表应填写总监理工程师（含备选）或驻地监理工程师（含备选）相关情况。</w:t>
      </w:r>
    </w:p>
    <w:p w14:paraId="3A1328D2">
      <w:pPr>
        <w:spacing w:before="154" w:line="227" w:lineRule="auto"/>
        <w:jc w:val="center"/>
        <w:rPr>
          <w:rFonts w:ascii="宋体" w:hAnsi="宋体" w:eastAsia="宋体" w:cs="宋体"/>
          <w:color w:val="auto"/>
          <w:sz w:val="20"/>
          <w:szCs w:val="20"/>
          <w:highlight w:val="none"/>
        </w:rPr>
      </w:pPr>
      <w:r>
        <w:rPr>
          <w:rFonts w:hint="eastAsia" w:ascii="宋体" w:hAnsi="宋体" w:eastAsia="宋体" w:cs="宋体"/>
          <w:color w:val="auto"/>
          <w:spacing w:val="7"/>
          <w:sz w:val="20"/>
          <w:szCs w:val="20"/>
          <w:highlight w:val="none"/>
          <w:lang w:val="en-US" w:eastAsia="zh-CN"/>
        </w:rPr>
        <w:t xml:space="preserve">      </w:t>
      </w:r>
      <w:r>
        <w:rPr>
          <w:rFonts w:ascii="宋体" w:hAnsi="宋体" w:eastAsia="宋体" w:cs="宋体"/>
          <w:color w:val="auto"/>
          <w:spacing w:val="7"/>
          <w:sz w:val="20"/>
          <w:szCs w:val="20"/>
          <w:highlight w:val="none"/>
        </w:rPr>
        <w:t>2.投标人应根据招标文件第二章“投标人须知</w:t>
      </w:r>
      <w:r>
        <w:rPr>
          <w:rFonts w:ascii="宋体" w:hAnsi="宋体" w:eastAsia="宋体" w:cs="宋体"/>
          <w:color w:val="auto"/>
          <w:spacing w:val="-72"/>
          <w:sz w:val="20"/>
          <w:szCs w:val="20"/>
          <w:highlight w:val="none"/>
        </w:rPr>
        <w:t xml:space="preserve"> </w:t>
      </w:r>
      <w:r>
        <w:rPr>
          <w:rFonts w:ascii="宋体" w:hAnsi="宋体" w:eastAsia="宋体" w:cs="宋体"/>
          <w:color w:val="auto"/>
          <w:spacing w:val="7"/>
          <w:sz w:val="20"/>
          <w:szCs w:val="20"/>
          <w:highlight w:val="none"/>
        </w:rPr>
        <w:t>”第</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3.5.4</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项的要求在本表后附相关证</w:t>
      </w:r>
      <w:r>
        <w:rPr>
          <w:rFonts w:ascii="宋体" w:hAnsi="宋体" w:eastAsia="宋体" w:cs="宋体"/>
          <w:color w:val="auto"/>
          <w:spacing w:val="6"/>
          <w:sz w:val="20"/>
          <w:szCs w:val="20"/>
          <w:highlight w:val="none"/>
        </w:rPr>
        <w:t>明材料。</w:t>
      </w:r>
    </w:p>
    <w:p w14:paraId="5A025283">
      <w:pPr>
        <w:spacing w:line="227" w:lineRule="auto"/>
        <w:rPr>
          <w:rFonts w:ascii="宋体" w:hAnsi="宋体" w:eastAsia="宋体" w:cs="宋体"/>
          <w:color w:val="auto"/>
          <w:sz w:val="20"/>
          <w:szCs w:val="20"/>
          <w:highlight w:val="none"/>
        </w:rPr>
        <w:sectPr>
          <w:footerReference r:id="rId44" w:type="default"/>
          <w:pgSz w:w="11905" w:h="16838"/>
          <w:pgMar w:top="1134" w:right="1134" w:bottom="1134" w:left="1134" w:header="0" w:footer="1066" w:gutter="0"/>
          <w:pgNumType w:fmt="decimal"/>
          <w:cols w:space="0" w:num="1"/>
          <w:rtlGutter w:val="0"/>
          <w:docGrid w:linePitch="0" w:charSpace="0"/>
        </w:sectPr>
      </w:pPr>
    </w:p>
    <w:p w14:paraId="6B9CA889">
      <w:pPr>
        <w:pStyle w:val="4"/>
        <w:bidi w:val="0"/>
        <w:jc w:val="center"/>
        <w:rPr>
          <w:color w:val="auto"/>
          <w:highlight w:val="none"/>
        </w:rPr>
      </w:pPr>
      <w:r>
        <w:rPr>
          <w:color w:val="auto"/>
          <w:highlight w:val="none"/>
        </w:rPr>
        <w:t>（</w:t>
      </w:r>
      <w:r>
        <w:rPr>
          <w:rFonts w:hint="eastAsia"/>
          <w:color w:val="auto"/>
          <w:highlight w:val="none"/>
          <w:lang w:eastAsia="zh-CN"/>
        </w:rPr>
        <w:t>七</w:t>
      </w:r>
      <w:r>
        <w:rPr>
          <w:color w:val="auto"/>
          <w:highlight w:val="none"/>
        </w:rPr>
        <w:t>）关于使用广东省信用评价等级的申请承诺书</w:t>
      </w:r>
    </w:p>
    <w:p w14:paraId="0CB6E184">
      <w:pPr>
        <w:spacing w:line="306" w:lineRule="auto"/>
        <w:rPr>
          <w:rFonts w:ascii="Arial"/>
          <w:color w:val="auto"/>
          <w:sz w:val="21"/>
          <w:highlight w:val="none"/>
        </w:rPr>
      </w:pPr>
    </w:p>
    <w:p w14:paraId="53A8DB9E">
      <w:pPr>
        <w:spacing w:before="78" w:line="220" w:lineRule="auto"/>
        <w:ind w:left="109"/>
        <w:rPr>
          <w:rFonts w:ascii="宋体" w:hAnsi="宋体" w:eastAsia="宋体" w:cs="宋体"/>
          <w:color w:val="auto"/>
          <w:spacing w:val="2"/>
          <w:sz w:val="24"/>
          <w:szCs w:val="24"/>
          <w:highlight w:val="none"/>
        </w:rPr>
      </w:pPr>
    </w:p>
    <w:p w14:paraId="4B0AC3F5">
      <w:pPr>
        <w:spacing w:before="78" w:line="220" w:lineRule="auto"/>
        <w:ind w:left="10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致招标人</w:t>
      </w:r>
      <w:r>
        <w:rPr>
          <w:rFonts w:ascii="宋体" w:hAnsi="宋体" w:eastAsia="宋体" w:cs="宋体"/>
          <w:color w:val="auto"/>
          <w:spacing w:val="-16"/>
          <w:sz w:val="24"/>
          <w:szCs w:val="24"/>
          <w:highlight w:val="none"/>
        </w:rPr>
        <w:t>：</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6"/>
          <w:sz w:val="24"/>
          <w:szCs w:val="24"/>
          <w:highlight w:val="none"/>
          <w:u w:val="single" w:color="auto"/>
        </w:rPr>
        <w:t>（</w:t>
      </w:r>
      <w:r>
        <w:rPr>
          <w:rFonts w:ascii="宋体" w:hAnsi="宋体" w:eastAsia="宋体" w:cs="宋体"/>
          <w:color w:val="auto"/>
          <w:spacing w:val="2"/>
          <w:sz w:val="24"/>
          <w:szCs w:val="24"/>
          <w:highlight w:val="none"/>
          <w:u w:val="single" w:color="auto"/>
        </w:rPr>
        <w:t>招标人全称）</w:t>
      </w:r>
    </w:p>
    <w:p w14:paraId="5A549CEB">
      <w:pPr>
        <w:spacing w:before="115" w:line="219" w:lineRule="auto"/>
        <w:ind w:left="59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按照相关要求，现我单位对使用信用等级申请如下：</w:t>
      </w:r>
    </w:p>
    <w:p w14:paraId="267905A9">
      <w:pPr>
        <w:spacing w:before="114" w:line="308" w:lineRule="auto"/>
        <w:ind w:left="109" w:right="10" w:firstLine="483"/>
        <w:jc w:val="both"/>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一、我单位在</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2"/>
          <w:sz w:val="24"/>
          <w:szCs w:val="24"/>
          <w:highlight w:val="none"/>
          <w:u w:val="single" w:color="auto"/>
        </w:rPr>
        <w:t xml:space="preserve"> 施工监理</w:t>
      </w:r>
      <w:r>
        <w:rPr>
          <w:rFonts w:ascii="宋体" w:hAnsi="宋体" w:eastAsia="宋体" w:cs="宋体"/>
          <w:color w:val="auto"/>
          <w:spacing w:val="-2"/>
          <w:sz w:val="24"/>
          <w:szCs w:val="24"/>
          <w:highlight w:val="none"/>
        </w:rPr>
        <w:t>招标（第</w:t>
      </w:r>
      <w:r>
        <w:rPr>
          <w:rFonts w:ascii="宋体" w:hAnsi="宋体" w:eastAsia="宋体" w:cs="宋体"/>
          <w:color w:val="auto"/>
          <w:spacing w:val="-2"/>
          <w:sz w:val="24"/>
          <w:szCs w:val="24"/>
          <w:highlight w:val="none"/>
          <w:u w:val="single" w:color="auto"/>
        </w:rPr>
        <w:t xml:space="preserve">      标段）</w:t>
      </w:r>
      <w:r>
        <w:rPr>
          <w:rFonts w:ascii="宋体" w:hAnsi="宋体" w:eastAsia="宋体" w:cs="宋体"/>
          <w:color w:val="auto"/>
          <w:spacing w:val="-2"/>
          <w:sz w:val="24"/>
          <w:szCs w:val="24"/>
          <w:highlight w:val="none"/>
        </w:rPr>
        <w:t>的招标中，</w:t>
      </w:r>
      <w:r>
        <w:rPr>
          <w:rFonts w:ascii="宋体" w:hAnsi="宋体" w:eastAsia="宋体" w:cs="宋体"/>
          <w:b/>
          <w:bCs/>
          <w:color w:val="auto"/>
          <w:spacing w:val="-2"/>
          <w:sz w:val="24"/>
          <w:szCs w:val="24"/>
          <w:highlight w:val="none"/>
        </w:rPr>
        <w:t>第</w:t>
      </w:r>
      <w:r>
        <w:rPr>
          <w:rFonts w:ascii="宋体" w:hAnsi="宋体" w:eastAsia="宋体" w:cs="宋体"/>
          <w:color w:val="auto"/>
          <w:spacing w:val="-2"/>
          <w:sz w:val="24"/>
          <w:szCs w:val="24"/>
          <w:highlight w:val="none"/>
          <w:u w:val="single" w:color="auto"/>
        </w:rPr>
        <w:t xml:space="preserve">    </w:t>
      </w:r>
      <w:r>
        <w:rPr>
          <w:rFonts w:ascii="宋体" w:hAnsi="宋体" w:eastAsia="宋体" w:cs="宋体"/>
          <w:color w:val="auto"/>
          <w:spacing w:val="-104"/>
          <w:sz w:val="24"/>
          <w:szCs w:val="24"/>
          <w:highlight w:val="none"/>
        </w:rPr>
        <w:t xml:space="preserve"> </w:t>
      </w:r>
      <w:r>
        <w:rPr>
          <w:rFonts w:ascii="宋体" w:hAnsi="宋体" w:eastAsia="宋体" w:cs="宋体"/>
          <w:b/>
          <w:bCs/>
          <w:color w:val="auto"/>
          <w:spacing w:val="-2"/>
          <w:sz w:val="24"/>
          <w:szCs w:val="24"/>
          <w:highlight w:val="none"/>
        </w:rPr>
        <w:t>次使用（</w:t>
      </w:r>
      <w:r>
        <w:rPr>
          <w:rFonts w:ascii="宋体" w:hAnsi="宋体" w:eastAsia="宋体" w:cs="宋体"/>
          <w:color w:val="auto"/>
          <w:spacing w:val="-71"/>
          <w:sz w:val="24"/>
          <w:szCs w:val="24"/>
          <w:highlight w:val="none"/>
        </w:rPr>
        <w:t xml:space="preserve"> </w:t>
      </w:r>
      <w:r>
        <w:rPr>
          <w:rFonts w:ascii="宋体" w:hAnsi="宋体" w:eastAsia="宋体" w:cs="宋体"/>
          <w:b/>
          <w:bCs/>
          <w:color w:val="auto"/>
          <w:spacing w:val="-2"/>
          <w:sz w:val="24"/>
          <w:szCs w:val="24"/>
          <w:highlight w:val="none"/>
          <w:u w:val="single" w:color="auto"/>
        </w:rPr>
        <w:t>或不使用</w:t>
      </w:r>
      <w:r>
        <w:rPr>
          <w:rFonts w:ascii="宋体" w:hAnsi="宋体" w:eastAsia="宋体" w:cs="宋体"/>
          <w:b/>
          <w:bCs/>
          <w:color w:val="auto"/>
          <w:spacing w:val="-2"/>
          <w:sz w:val="24"/>
          <w:szCs w:val="24"/>
          <w:highlight w:val="none"/>
        </w:rPr>
        <w:t>）</w:t>
      </w:r>
      <w:r>
        <w:rPr>
          <w:rFonts w:ascii="宋体" w:hAnsi="宋体" w:eastAsia="宋体" w:cs="宋体"/>
          <w:color w:val="auto"/>
          <w:spacing w:val="-2"/>
          <w:sz w:val="24"/>
          <w:szCs w:val="24"/>
          <w:highlight w:val="none"/>
        </w:rPr>
        <w:t>广东省交通运输</w:t>
      </w:r>
      <w:r>
        <w:rPr>
          <w:rFonts w:ascii="宋体" w:hAnsi="宋体" w:eastAsia="宋体" w:cs="宋体"/>
          <w:color w:val="auto"/>
          <w:spacing w:val="-3"/>
          <w:sz w:val="24"/>
          <w:szCs w:val="24"/>
          <w:highlight w:val="none"/>
        </w:rPr>
        <w:t>厅发布的</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3"/>
          <w:sz w:val="24"/>
          <w:szCs w:val="24"/>
          <w:highlight w:val="none"/>
        </w:rPr>
        <w:t>年度信用评价</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3"/>
          <w:sz w:val="24"/>
          <w:szCs w:val="24"/>
          <w:highlight w:val="none"/>
        </w:rPr>
        <w:t>等级结果</w:t>
      </w:r>
      <w:r>
        <w:rPr>
          <w:rFonts w:ascii="宋体" w:hAnsi="宋体" w:eastAsia="宋体" w:cs="宋体"/>
          <w:color w:val="auto"/>
          <w:spacing w:val="-2"/>
          <w:sz w:val="24"/>
          <w:szCs w:val="24"/>
          <w:highlight w:val="none"/>
        </w:rPr>
        <w:t>和对应等级分值。</w:t>
      </w:r>
    </w:p>
    <w:p w14:paraId="0B979058">
      <w:pPr>
        <w:spacing w:line="218" w:lineRule="auto"/>
        <w:ind w:left="5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二、我单位承诺，在递交本次申请后，我单位将失去一次使用</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98"/>
          <w:sz w:val="24"/>
          <w:szCs w:val="24"/>
          <w:highlight w:val="none"/>
        </w:rPr>
        <w:t xml:space="preserve"> </w:t>
      </w:r>
      <w:r>
        <w:rPr>
          <w:rFonts w:ascii="宋体" w:hAnsi="宋体" w:eastAsia="宋体" w:cs="宋体"/>
          <w:color w:val="auto"/>
          <w:spacing w:val="-1"/>
          <w:sz w:val="24"/>
          <w:szCs w:val="24"/>
          <w:highlight w:val="none"/>
        </w:rPr>
        <w:t>等级结果</w:t>
      </w:r>
    </w:p>
    <w:p w14:paraId="6425FEA9">
      <w:pPr>
        <w:spacing w:before="115" w:line="308" w:lineRule="auto"/>
        <w:ind w:left="110" w:right="180" w:hanging="11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w:t>
      </w:r>
      <w:r>
        <w:rPr>
          <w:rFonts w:ascii="宋体" w:hAnsi="宋体" w:eastAsia="宋体" w:cs="宋体"/>
          <w:b/>
          <w:bCs/>
          <w:color w:val="auto"/>
          <w:spacing w:val="-2"/>
          <w:sz w:val="24"/>
          <w:szCs w:val="24"/>
          <w:highlight w:val="none"/>
          <w:u w:val="single" w:color="auto"/>
        </w:rPr>
        <w:t>不使用时上述填“/</w:t>
      </w:r>
      <w:r>
        <w:rPr>
          <w:rFonts w:ascii="宋体" w:hAnsi="宋体" w:eastAsia="宋体" w:cs="宋体"/>
          <w:color w:val="auto"/>
          <w:spacing w:val="-82"/>
          <w:sz w:val="24"/>
          <w:szCs w:val="24"/>
          <w:highlight w:val="none"/>
          <w:u w:val="single" w:color="auto"/>
        </w:rPr>
        <w:t xml:space="preserve"> </w:t>
      </w:r>
      <w:r>
        <w:rPr>
          <w:rFonts w:ascii="宋体" w:hAnsi="宋体" w:eastAsia="宋体" w:cs="宋体"/>
          <w:b/>
          <w:bCs/>
          <w:color w:val="auto"/>
          <w:spacing w:val="-2"/>
          <w:sz w:val="24"/>
          <w:szCs w:val="24"/>
          <w:highlight w:val="none"/>
          <w:u w:val="single" w:color="auto"/>
        </w:rPr>
        <w:t>”）</w:t>
      </w:r>
      <w:r>
        <w:rPr>
          <w:rFonts w:ascii="宋体" w:hAnsi="宋体" w:eastAsia="宋体" w:cs="宋体"/>
          <w:color w:val="auto"/>
          <w:spacing w:val="-2"/>
          <w:sz w:val="24"/>
          <w:szCs w:val="24"/>
          <w:highlight w:val="none"/>
        </w:rPr>
        <w:t>参与投标的机会。当累计使用超过规定的次数，我单位同意</w:t>
      </w:r>
      <w:r>
        <w:rPr>
          <w:rFonts w:ascii="宋体" w:hAnsi="宋体" w:eastAsia="宋体" w:cs="宋体"/>
          <w:color w:val="auto"/>
          <w:spacing w:val="-1"/>
          <w:sz w:val="24"/>
          <w:szCs w:val="24"/>
          <w:highlight w:val="none"/>
        </w:rPr>
        <w:t>按降低一个信用等级对应分值来认定参与投标评审。</w:t>
      </w:r>
    </w:p>
    <w:p w14:paraId="4B39388D">
      <w:pPr>
        <w:spacing w:before="1" w:line="307" w:lineRule="auto"/>
        <w:ind w:left="111" w:right="192" w:firstLine="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三、如果我单位发生违反规定使用信用等级结果的情形，</w:t>
      </w:r>
      <w:r>
        <w:rPr>
          <w:rFonts w:ascii="宋体" w:hAnsi="宋体" w:eastAsia="宋体" w:cs="宋体"/>
          <w:color w:val="auto"/>
          <w:spacing w:val="-61"/>
          <w:sz w:val="24"/>
          <w:szCs w:val="24"/>
          <w:highlight w:val="none"/>
        </w:rPr>
        <w:t xml:space="preserve"> </w:t>
      </w:r>
      <w:r>
        <w:rPr>
          <w:rFonts w:ascii="宋体" w:hAnsi="宋体" w:eastAsia="宋体" w:cs="宋体"/>
          <w:color w:val="auto"/>
          <w:spacing w:val="-2"/>
          <w:sz w:val="24"/>
          <w:szCs w:val="24"/>
          <w:highlight w:val="none"/>
        </w:rPr>
        <w:t>自愿接受省级交通运输主管部门的处理。</w:t>
      </w:r>
    </w:p>
    <w:p w14:paraId="08EC43E6">
      <w:pPr>
        <w:spacing w:before="1" w:line="310" w:lineRule="auto"/>
        <w:ind w:left="589" w:right="312" w:firstLine="1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 xml:space="preserve">附件：本单位使用 </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110"/>
          <w:sz w:val="24"/>
          <w:szCs w:val="24"/>
          <w:highlight w:val="none"/>
        </w:rPr>
        <w:t xml:space="preserve"> </w:t>
      </w:r>
      <w:r>
        <w:rPr>
          <w:rFonts w:ascii="宋体" w:hAnsi="宋体" w:eastAsia="宋体" w:cs="宋体"/>
          <w:color w:val="auto"/>
          <w:spacing w:val="-1"/>
          <w:sz w:val="24"/>
          <w:szCs w:val="24"/>
          <w:highlight w:val="none"/>
        </w:rPr>
        <w:t>年度广东省公路水运工程从业单位信用等级情况</w:t>
      </w:r>
      <w:r>
        <w:rPr>
          <w:rFonts w:ascii="宋体" w:hAnsi="宋体" w:eastAsia="宋体" w:cs="宋体"/>
          <w:color w:val="auto"/>
          <w:spacing w:val="-2"/>
          <w:sz w:val="24"/>
          <w:szCs w:val="24"/>
          <w:highlight w:val="none"/>
        </w:rPr>
        <w:t>汇总表</w:t>
      </w:r>
      <w:r>
        <w:rPr>
          <w:rFonts w:ascii="宋体" w:hAnsi="宋体" w:eastAsia="宋体" w:cs="宋体"/>
          <w:color w:val="auto"/>
          <w:spacing w:val="-3"/>
          <w:sz w:val="24"/>
          <w:szCs w:val="24"/>
          <w:highlight w:val="none"/>
        </w:rPr>
        <w:t>特此承诺</w:t>
      </w:r>
    </w:p>
    <w:p w14:paraId="53ADD3E0">
      <w:pPr>
        <w:spacing w:before="304" w:line="220" w:lineRule="auto"/>
        <w:ind w:left="2248" w:firstLine="944" w:firstLineChars="40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投标人（单位全称</w:t>
      </w:r>
      <w:r>
        <w:rPr>
          <w:rFonts w:ascii="宋体" w:hAnsi="宋体" w:eastAsia="宋体" w:cs="宋体"/>
          <w:color w:val="auto"/>
          <w:spacing w:val="1"/>
          <w:sz w:val="24"/>
          <w:szCs w:val="24"/>
          <w:highlight w:val="none"/>
        </w:rPr>
        <w:t>）：</w:t>
      </w:r>
      <w:r>
        <w:rPr>
          <w:rFonts w:ascii="宋体" w:hAnsi="宋体" w:eastAsia="宋体" w:cs="宋体"/>
          <w:color w:val="auto"/>
          <w:sz w:val="24"/>
          <w:szCs w:val="24"/>
          <w:highlight w:val="none"/>
          <w:u w:val="single" w:color="auto"/>
        </w:rPr>
        <w:t xml:space="preserve">                          </w:t>
      </w:r>
    </w:p>
    <w:p w14:paraId="6C30F4B4">
      <w:pPr>
        <w:spacing w:line="283" w:lineRule="auto"/>
        <w:rPr>
          <w:rFonts w:ascii="Arial"/>
          <w:color w:val="auto"/>
          <w:sz w:val="21"/>
          <w:highlight w:val="none"/>
        </w:rPr>
      </w:pPr>
    </w:p>
    <w:p w14:paraId="12EF2E22">
      <w:pPr>
        <w:spacing w:line="283" w:lineRule="auto"/>
        <w:rPr>
          <w:rFonts w:ascii="Arial"/>
          <w:color w:val="auto"/>
          <w:sz w:val="21"/>
          <w:highlight w:val="none"/>
        </w:rPr>
      </w:pPr>
    </w:p>
    <w:p w14:paraId="77003161">
      <w:pPr>
        <w:spacing w:before="79" w:line="219" w:lineRule="auto"/>
        <w:ind w:left="2305" w:firstLine="476" w:firstLineChars="20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投标人的法定代表人或其委托代理人签名：</w:t>
      </w:r>
      <w:r>
        <w:rPr>
          <w:rFonts w:ascii="宋体" w:hAnsi="宋体" w:eastAsia="宋体" w:cs="宋体"/>
          <w:color w:val="auto"/>
          <w:sz w:val="24"/>
          <w:szCs w:val="24"/>
          <w:highlight w:val="none"/>
          <w:u w:val="single" w:color="auto"/>
        </w:rPr>
        <w:t xml:space="preserve">            </w:t>
      </w:r>
    </w:p>
    <w:p w14:paraId="5E9F334E">
      <w:pPr>
        <w:spacing w:line="327" w:lineRule="auto"/>
        <w:rPr>
          <w:rFonts w:ascii="Arial"/>
          <w:color w:val="auto"/>
          <w:sz w:val="21"/>
          <w:highlight w:val="none"/>
        </w:rPr>
      </w:pPr>
    </w:p>
    <w:p w14:paraId="2D9B14A8">
      <w:pPr>
        <w:spacing w:line="328" w:lineRule="auto"/>
        <w:rPr>
          <w:rFonts w:ascii="Arial"/>
          <w:color w:val="auto"/>
          <w:sz w:val="21"/>
          <w:highlight w:val="none"/>
        </w:rPr>
      </w:pPr>
    </w:p>
    <w:p w14:paraId="12967619">
      <w:pPr>
        <w:spacing w:before="78" w:line="219" w:lineRule="auto"/>
        <w:jc w:val="center"/>
        <w:rPr>
          <w:rFonts w:ascii="宋体" w:hAnsi="宋体" w:eastAsia="宋体" w:cs="宋体"/>
          <w:color w:val="auto"/>
          <w:sz w:val="24"/>
          <w:szCs w:val="24"/>
          <w:highlight w:val="none"/>
        </w:rPr>
      </w:pPr>
      <w:r>
        <w:rPr>
          <w:rFonts w:hint="eastAsia" w:ascii="宋体" w:hAnsi="宋体" w:eastAsia="宋体" w:cs="宋体"/>
          <w:color w:val="auto"/>
          <w:spacing w:val="-26"/>
          <w:sz w:val="24"/>
          <w:szCs w:val="24"/>
          <w:highlight w:val="none"/>
          <w:lang w:val="en-US" w:eastAsia="zh-CN"/>
        </w:rPr>
        <w:t xml:space="preserve">                                                                   </w:t>
      </w:r>
      <w:r>
        <w:rPr>
          <w:rFonts w:ascii="宋体" w:hAnsi="宋体" w:eastAsia="宋体" w:cs="宋体"/>
          <w:color w:val="auto"/>
          <w:spacing w:val="-26"/>
          <w:sz w:val="24"/>
          <w:szCs w:val="24"/>
          <w:highlight w:val="none"/>
        </w:rPr>
        <w:t>年</w:t>
      </w:r>
      <w:r>
        <w:rPr>
          <w:rFonts w:ascii="宋体" w:hAnsi="宋体" w:eastAsia="宋体" w:cs="宋体"/>
          <w:color w:val="auto"/>
          <w:spacing w:val="4"/>
          <w:sz w:val="24"/>
          <w:szCs w:val="24"/>
          <w:highlight w:val="none"/>
        </w:rPr>
        <w:t xml:space="preserve">    </w:t>
      </w:r>
      <w:r>
        <w:rPr>
          <w:rFonts w:ascii="宋体" w:hAnsi="宋体" w:eastAsia="宋体" w:cs="宋体"/>
          <w:color w:val="auto"/>
          <w:spacing w:val="-26"/>
          <w:sz w:val="24"/>
          <w:szCs w:val="24"/>
          <w:highlight w:val="none"/>
        </w:rPr>
        <w:t>月</w:t>
      </w:r>
      <w:r>
        <w:rPr>
          <w:rFonts w:ascii="宋体" w:hAnsi="宋体" w:eastAsia="宋体" w:cs="宋体"/>
          <w:color w:val="auto"/>
          <w:spacing w:val="12"/>
          <w:sz w:val="24"/>
          <w:szCs w:val="24"/>
          <w:highlight w:val="none"/>
        </w:rPr>
        <w:t xml:space="preserve">    </w:t>
      </w:r>
      <w:r>
        <w:rPr>
          <w:rFonts w:ascii="宋体" w:hAnsi="宋体" w:eastAsia="宋体" w:cs="宋体"/>
          <w:color w:val="auto"/>
          <w:spacing w:val="-26"/>
          <w:sz w:val="24"/>
          <w:szCs w:val="24"/>
          <w:highlight w:val="none"/>
        </w:rPr>
        <w:t>日</w:t>
      </w:r>
    </w:p>
    <w:p w14:paraId="08D60600">
      <w:pPr>
        <w:spacing w:before="163" w:line="230" w:lineRule="auto"/>
        <w:ind w:left="537"/>
        <w:rPr>
          <w:rFonts w:ascii="宋体" w:hAnsi="宋体" w:eastAsia="宋体" w:cs="宋体"/>
          <w:color w:val="auto"/>
          <w:sz w:val="19"/>
          <w:szCs w:val="19"/>
          <w:highlight w:val="none"/>
        </w:rPr>
      </w:pPr>
      <w:r>
        <w:rPr>
          <w:rFonts w:ascii="宋体" w:hAnsi="宋体" w:eastAsia="宋体" w:cs="宋体"/>
          <w:color w:val="auto"/>
          <w:spacing w:val="2"/>
          <w:sz w:val="19"/>
          <w:szCs w:val="19"/>
          <w:highlight w:val="none"/>
        </w:rPr>
        <w:t>备注：</w:t>
      </w:r>
    </w:p>
    <w:p w14:paraId="7B75E72C">
      <w:pPr>
        <w:spacing w:before="163" w:line="389" w:lineRule="auto"/>
        <w:ind w:left="109" w:right="197" w:firstLine="440"/>
        <w:rPr>
          <w:rFonts w:ascii="宋体" w:hAnsi="宋体" w:eastAsia="宋体" w:cs="宋体"/>
          <w:color w:val="auto"/>
          <w:sz w:val="19"/>
          <w:szCs w:val="19"/>
          <w:highlight w:val="none"/>
        </w:rPr>
      </w:pPr>
      <w:r>
        <w:rPr>
          <w:rFonts w:ascii="宋体" w:hAnsi="宋体" w:eastAsia="宋体" w:cs="宋体"/>
          <w:color w:val="auto"/>
          <w:spacing w:val="8"/>
          <w:sz w:val="19"/>
          <w:szCs w:val="19"/>
          <w:highlight w:val="none"/>
        </w:rPr>
        <w:t>1、</w:t>
      </w:r>
      <w:r>
        <w:rPr>
          <w:rFonts w:ascii="宋体" w:hAnsi="宋体" w:eastAsia="宋体" w:cs="宋体"/>
          <w:color w:val="auto"/>
          <w:sz w:val="19"/>
          <w:szCs w:val="19"/>
          <w:highlight w:val="none"/>
        </w:rPr>
        <w:t>AA</w:t>
      </w:r>
      <w:r>
        <w:rPr>
          <w:rFonts w:ascii="宋体" w:hAnsi="宋体" w:eastAsia="宋体" w:cs="宋体"/>
          <w:color w:val="auto"/>
          <w:spacing w:val="8"/>
          <w:sz w:val="19"/>
          <w:szCs w:val="19"/>
          <w:highlight w:val="none"/>
        </w:rPr>
        <w:t>、A</w:t>
      </w:r>
      <w:r>
        <w:rPr>
          <w:rFonts w:ascii="宋体" w:hAnsi="宋体" w:eastAsia="宋体" w:cs="宋体"/>
          <w:color w:val="auto"/>
          <w:spacing w:val="-16"/>
          <w:sz w:val="19"/>
          <w:szCs w:val="19"/>
          <w:highlight w:val="none"/>
        </w:rPr>
        <w:t xml:space="preserve"> </w:t>
      </w:r>
      <w:r>
        <w:rPr>
          <w:rFonts w:ascii="宋体" w:hAnsi="宋体" w:eastAsia="宋体" w:cs="宋体"/>
          <w:color w:val="auto"/>
          <w:spacing w:val="8"/>
          <w:sz w:val="19"/>
          <w:szCs w:val="19"/>
          <w:highlight w:val="none"/>
        </w:rPr>
        <w:t>级信用等级企业必须填写此申请承诺书；选择“使用</w:t>
      </w:r>
      <w:r>
        <w:rPr>
          <w:rFonts w:ascii="宋体" w:hAnsi="宋体" w:eastAsia="宋体" w:cs="宋体"/>
          <w:color w:val="auto"/>
          <w:spacing w:val="-66"/>
          <w:sz w:val="19"/>
          <w:szCs w:val="19"/>
          <w:highlight w:val="none"/>
        </w:rPr>
        <w:t xml:space="preserve"> </w:t>
      </w:r>
      <w:r>
        <w:rPr>
          <w:rFonts w:ascii="宋体" w:hAnsi="宋体" w:eastAsia="宋体" w:cs="宋体"/>
          <w:color w:val="auto"/>
          <w:spacing w:val="8"/>
          <w:sz w:val="19"/>
          <w:szCs w:val="19"/>
          <w:highlight w:val="none"/>
        </w:rPr>
        <w:t>”时需和附表（情况汇总表）一起</w:t>
      </w:r>
      <w:r>
        <w:rPr>
          <w:rFonts w:ascii="宋体" w:hAnsi="宋体" w:eastAsia="宋体" w:cs="宋体"/>
          <w:color w:val="auto"/>
          <w:spacing w:val="7"/>
          <w:sz w:val="19"/>
          <w:szCs w:val="19"/>
          <w:highlight w:val="none"/>
        </w:rPr>
        <w:t>编入投标文件中。</w:t>
      </w:r>
    </w:p>
    <w:p w14:paraId="44CD103E">
      <w:pPr>
        <w:spacing w:line="227" w:lineRule="auto"/>
        <w:ind w:left="537"/>
        <w:rPr>
          <w:rFonts w:ascii="宋体" w:hAnsi="宋体" w:eastAsia="宋体" w:cs="宋体"/>
          <w:color w:val="auto"/>
          <w:sz w:val="19"/>
          <w:szCs w:val="19"/>
          <w:highlight w:val="none"/>
        </w:rPr>
      </w:pPr>
      <w:r>
        <w:rPr>
          <w:rFonts w:ascii="宋体" w:hAnsi="宋体" w:eastAsia="宋体" w:cs="宋体"/>
          <w:color w:val="auto"/>
          <w:spacing w:val="10"/>
          <w:sz w:val="19"/>
          <w:szCs w:val="19"/>
          <w:highlight w:val="none"/>
        </w:rPr>
        <w:t>2、</w:t>
      </w:r>
      <w:r>
        <w:rPr>
          <w:rFonts w:ascii="宋体" w:hAnsi="宋体" w:eastAsia="宋体" w:cs="宋体"/>
          <w:color w:val="auto"/>
          <w:sz w:val="19"/>
          <w:szCs w:val="19"/>
          <w:highlight w:val="none"/>
        </w:rPr>
        <w:t>AA</w:t>
      </w:r>
      <w:r>
        <w:rPr>
          <w:rFonts w:ascii="宋体" w:hAnsi="宋体" w:eastAsia="宋体" w:cs="宋体"/>
          <w:color w:val="auto"/>
          <w:spacing w:val="10"/>
          <w:sz w:val="19"/>
          <w:szCs w:val="19"/>
          <w:highlight w:val="none"/>
        </w:rPr>
        <w:t>、A 级信用等级企业应区分标段、分别填写并提</w:t>
      </w:r>
      <w:r>
        <w:rPr>
          <w:rFonts w:ascii="宋体" w:hAnsi="宋体" w:eastAsia="宋体" w:cs="宋体"/>
          <w:color w:val="auto"/>
          <w:spacing w:val="9"/>
          <w:sz w:val="19"/>
          <w:szCs w:val="19"/>
          <w:highlight w:val="none"/>
        </w:rPr>
        <w:t>交此申请承诺书；如同时对多个标段选择</w:t>
      </w:r>
    </w:p>
    <w:p w14:paraId="1FDA02A9">
      <w:pPr>
        <w:spacing w:before="164" w:line="389" w:lineRule="auto"/>
        <w:ind w:left="106" w:right="72" w:hanging="107"/>
        <w:rPr>
          <w:rFonts w:ascii="宋体" w:hAnsi="宋体" w:eastAsia="宋体" w:cs="宋体"/>
          <w:color w:val="auto"/>
          <w:sz w:val="19"/>
          <w:szCs w:val="19"/>
          <w:highlight w:val="none"/>
        </w:rPr>
      </w:pPr>
      <w:r>
        <w:rPr>
          <w:rFonts w:ascii="宋体" w:hAnsi="宋体" w:eastAsia="宋体" w:cs="宋体"/>
          <w:color w:val="auto"/>
          <w:spacing w:val="9"/>
          <w:sz w:val="19"/>
          <w:szCs w:val="19"/>
          <w:highlight w:val="none"/>
        </w:rPr>
        <w:t>“使用</w:t>
      </w:r>
      <w:r>
        <w:rPr>
          <w:rFonts w:ascii="宋体" w:hAnsi="宋体" w:eastAsia="宋体" w:cs="宋体"/>
          <w:color w:val="auto"/>
          <w:spacing w:val="-66"/>
          <w:sz w:val="19"/>
          <w:szCs w:val="19"/>
          <w:highlight w:val="none"/>
        </w:rPr>
        <w:t xml:space="preserve"> </w:t>
      </w:r>
      <w:r>
        <w:rPr>
          <w:rFonts w:ascii="宋体" w:hAnsi="宋体" w:eastAsia="宋体" w:cs="宋体"/>
          <w:color w:val="auto"/>
          <w:spacing w:val="9"/>
          <w:sz w:val="19"/>
          <w:szCs w:val="19"/>
          <w:highlight w:val="none"/>
        </w:rPr>
        <w:t>”时，使用次数应按标段累加（即各</w:t>
      </w:r>
      <w:r>
        <w:rPr>
          <w:rFonts w:ascii="宋体" w:hAnsi="宋体" w:eastAsia="宋体" w:cs="宋体"/>
          <w:color w:val="auto"/>
          <w:spacing w:val="8"/>
          <w:sz w:val="19"/>
          <w:szCs w:val="19"/>
          <w:highlight w:val="none"/>
        </w:rPr>
        <w:t>个标段申请承诺书的使用次数应不一致）</w:t>
      </w:r>
      <w:r>
        <w:rPr>
          <w:rFonts w:ascii="宋体" w:hAnsi="宋体" w:eastAsia="宋体" w:cs="宋体"/>
          <w:color w:val="auto"/>
          <w:spacing w:val="-56"/>
          <w:sz w:val="19"/>
          <w:szCs w:val="19"/>
          <w:highlight w:val="none"/>
        </w:rPr>
        <w:t xml:space="preserve"> </w:t>
      </w:r>
      <w:r>
        <w:rPr>
          <w:rFonts w:ascii="宋体" w:hAnsi="宋体" w:eastAsia="宋体" w:cs="宋体"/>
          <w:color w:val="auto"/>
          <w:spacing w:val="8"/>
          <w:sz w:val="19"/>
          <w:szCs w:val="19"/>
          <w:highlight w:val="none"/>
        </w:rPr>
        <w:t>。如同时对多个标</w:t>
      </w:r>
      <w:r>
        <w:rPr>
          <w:rFonts w:ascii="宋体" w:hAnsi="宋体" w:eastAsia="宋体" w:cs="宋体"/>
          <w:color w:val="auto"/>
          <w:spacing w:val="9"/>
          <w:sz w:val="19"/>
          <w:szCs w:val="19"/>
          <w:highlight w:val="none"/>
        </w:rPr>
        <w:t>段选择“使用</w:t>
      </w:r>
      <w:r>
        <w:rPr>
          <w:rFonts w:ascii="宋体" w:hAnsi="宋体" w:eastAsia="宋体" w:cs="宋体"/>
          <w:color w:val="auto"/>
          <w:spacing w:val="-60"/>
          <w:sz w:val="19"/>
          <w:szCs w:val="19"/>
          <w:highlight w:val="none"/>
        </w:rPr>
        <w:t xml:space="preserve"> </w:t>
      </w:r>
      <w:r>
        <w:rPr>
          <w:rFonts w:ascii="宋体" w:hAnsi="宋体" w:eastAsia="宋体" w:cs="宋体"/>
          <w:color w:val="auto"/>
          <w:spacing w:val="9"/>
          <w:sz w:val="19"/>
          <w:szCs w:val="19"/>
          <w:highlight w:val="none"/>
        </w:rPr>
        <w:t>”而多个标段所附申请承诺书的使用次数为同一次时，多个标段均视为未正确填报申请承诺书，均按不承诺使用对应的信用等级处理。</w:t>
      </w:r>
    </w:p>
    <w:p w14:paraId="2F712728">
      <w:pPr>
        <w:spacing w:before="2" w:line="382" w:lineRule="auto"/>
        <w:ind w:left="108" w:right="144" w:firstLine="430"/>
        <w:rPr>
          <w:rFonts w:ascii="宋体" w:hAnsi="宋体" w:eastAsia="宋体" w:cs="宋体"/>
          <w:color w:val="auto"/>
          <w:sz w:val="19"/>
          <w:szCs w:val="19"/>
          <w:highlight w:val="none"/>
        </w:rPr>
      </w:pPr>
      <w:r>
        <w:rPr>
          <w:rFonts w:ascii="宋体" w:hAnsi="宋体" w:eastAsia="宋体" w:cs="宋体"/>
          <w:color w:val="auto"/>
          <w:spacing w:val="9"/>
          <w:sz w:val="19"/>
          <w:szCs w:val="19"/>
          <w:highlight w:val="none"/>
        </w:rPr>
        <w:t>3、中标候选人公示将对所有承诺使用最新一年度</w:t>
      </w:r>
      <w:r>
        <w:rPr>
          <w:rFonts w:ascii="宋体" w:hAnsi="宋体" w:eastAsia="宋体" w:cs="宋体"/>
          <w:color w:val="auto"/>
          <w:spacing w:val="-28"/>
          <w:sz w:val="19"/>
          <w:szCs w:val="19"/>
          <w:highlight w:val="none"/>
        </w:rPr>
        <w:t xml:space="preserve"> </w:t>
      </w:r>
      <w:r>
        <w:rPr>
          <w:rFonts w:ascii="宋体" w:hAnsi="宋体" w:eastAsia="宋体" w:cs="宋体"/>
          <w:color w:val="auto"/>
          <w:sz w:val="19"/>
          <w:szCs w:val="19"/>
          <w:highlight w:val="none"/>
        </w:rPr>
        <w:t>AA</w:t>
      </w:r>
      <w:r>
        <w:rPr>
          <w:rFonts w:ascii="宋体" w:hAnsi="宋体" w:eastAsia="宋体" w:cs="宋体"/>
          <w:color w:val="auto"/>
          <w:spacing w:val="9"/>
          <w:sz w:val="19"/>
          <w:szCs w:val="19"/>
          <w:highlight w:val="none"/>
        </w:rPr>
        <w:t>、A</w:t>
      </w:r>
      <w:r>
        <w:rPr>
          <w:rFonts w:ascii="宋体" w:hAnsi="宋体" w:eastAsia="宋体" w:cs="宋体"/>
          <w:color w:val="auto"/>
          <w:spacing w:val="-33"/>
          <w:sz w:val="19"/>
          <w:szCs w:val="19"/>
          <w:highlight w:val="none"/>
        </w:rPr>
        <w:t xml:space="preserve"> </w:t>
      </w:r>
      <w:r>
        <w:rPr>
          <w:rFonts w:ascii="宋体" w:hAnsi="宋体" w:eastAsia="宋体" w:cs="宋体"/>
          <w:color w:val="auto"/>
          <w:spacing w:val="9"/>
          <w:sz w:val="19"/>
          <w:szCs w:val="19"/>
          <w:highlight w:val="none"/>
        </w:rPr>
        <w:t>级投标人的年度信用等级使用情况进行公</w:t>
      </w:r>
      <w:r>
        <w:rPr>
          <w:rFonts w:ascii="宋体" w:hAnsi="宋体" w:eastAsia="宋体" w:cs="宋体"/>
          <w:color w:val="auto"/>
          <w:sz w:val="19"/>
          <w:szCs w:val="19"/>
          <w:highlight w:val="none"/>
        </w:rPr>
        <w:t>开。</w:t>
      </w:r>
    </w:p>
    <w:p w14:paraId="3BD3EC44">
      <w:pPr>
        <w:spacing w:line="229" w:lineRule="auto"/>
        <w:ind w:left="556"/>
        <w:rPr>
          <w:rFonts w:ascii="宋体" w:hAnsi="宋体" w:eastAsia="宋体" w:cs="宋体"/>
          <w:color w:val="auto"/>
          <w:sz w:val="20"/>
          <w:szCs w:val="20"/>
          <w:highlight w:val="none"/>
        </w:rPr>
        <w:sectPr>
          <w:footerReference r:id="rId45" w:type="default"/>
          <w:pgSz w:w="11905" w:h="16838"/>
          <w:pgMar w:top="1134" w:right="1134" w:bottom="1134" w:left="1134" w:header="0" w:footer="1066" w:gutter="0"/>
          <w:pgNumType w:fmt="decimal"/>
          <w:cols w:space="0" w:num="1"/>
          <w:rtlGutter w:val="0"/>
          <w:docGrid w:linePitch="0" w:charSpace="0"/>
        </w:sectPr>
      </w:pPr>
      <w:r>
        <w:rPr>
          <w:rFonts w:ascii="宋体" w:hAnsi="宋体" w:eastAsia="宋体" w:cs="宋体"/>
          <w:color w:val="auto"/>
          <w:spacing w:val="9"/>
          <w:sz w:val="20"/>
          <w:szCs w:val="20"/>
          <w:highlight w:val="none"/>
        </w:rPr>
        <w:t>4、</w:t>
      </w:r>
      <w:r>
        <w:rPr>
          <w:rFonts w:ascii="宋体" w:hAnsi="宋体" w:eastAsia="宋体" w:cs="宋体"/>
          <w:color w:val="auto"/>
          <w:spacing w:val="9"/>
          <w:sz w:val="19"/>
          <w:szCs w:val="19"/>
          <w:highlight w:val="none"/>
        </w:rPr>
        <w:t>以联合体形式投标的，联合体各成员应分别填写</w:t>
      </w:r>
      <w:r>
        <w:rPr>
          <w:rFonts w:ascii="宋体" w:hAnsi="宋体" w:eastAsia="宋体" w:cs="宋体"/>
          <w:color w:val="auto"/>
          <w:spacing w:val="9"/>
          <w:sz w:val="20"/>
          <w:szCs w:val="20"/>
          <w:highlight w:val="none"/>
        </w:rPr>
        <w:t>。</w:t>
      </w:r>
    </w:p>
    <w:p w14:paraId="7464A0CD">
      <w:pPr>
        <w:spacing w:line="241" w:lineRule="auto"/>
        <w:rPr>
          <w:rFonts w:ascii="Arial"/>
          <w:color w:val="auto"/>
          <w:sz w:val="21"/>
          <w:highlight w:val="none"/>
        </w:rPr>
      </w:pPr>
    </w:p>
    <w:p w14:paraId="7855F547">
      <w:pPr>
        <w:spacing w:before="91" w:line="219" w:lineRule="auto"/>
        <w:ind w:left="144"/>
        <w:rPr>
          <w:rFonts w:ascii="宋体" w:hAnsi="宋体" w:eastAsia="宋体" w:cs="宋体"/>
          <w:color w:val="auto"/>
          <w:sz w:val="28"/>
          <w:szCs w:val="28"/>
          <w:highlight w:val="none"/>
        </w:rPr>
      </w:pPr>
      <w:r>
        <w:rPr>
          <w:rFonts w:ascii="宋体" w:hAnsi="宋体" w:eastAsia="宋体" w:cs="宋体"/>
          <w:color w:val="auto"/>
          <w:spacing w:val="-11"/>
          <w:sz w:val="28"/>
          <w:szCs w:val="28"/>
          <w:highlight w:val="none"/>
        </w:rPr>
        <w:t>附表：</w:t>
      </w:r>
    </w:p>
    <w:p w14:paraId="0EAD87F2">
      <w:pPr>
        <w:spacing w:line="298" w:lineRule="auto"/>
        <w:rPr>
          <w:rFonts w:ascii="Arial"/>
          <w:color w:val="auto"/>
          <w:sz w:val="21"/>
          <w:highlight w:val="none"/>
        </w:rPr>
      </w:pPr>
    </w:p>
    <w:p w14:paraId="2C82D55D">
      <w:pPr>
        <w:tabs>
          <w:tab w:val="left" w:pos="2338"/>
        </w:tabs>
        <w:spacing w:before="91" w:line="243" w:lineRule="auto"/>
        <w:ind w:left="3397" w:right="793" w:hanging="2600"/>
        <w:rPr>
          <w:rFonts w:ascii="宋体" w:hAnsi="宋体" w:eastAsia="宋体" w:cs="宋体"/>
          <w:color w:val="auto"/>
          <w:sz w:val="28"/>
          <w:szCs w:val="28"/>
          <w:highlight w:val="none"/>
        </w:rPr>
      </w:pPr>
      <w:r>
        <w:rPr>
          <w:rFonts w:ascii="宋体" w:hAnsi="宋体" w:eastAsia="宋体" w:cs="宋体"/>
          <w:color w:val="auto"/>
          <w:sz w:val="28"/>
          <w:szCs w:val="28"/>
          <w:highlight w:val="none"/>
          <w:u w:val="single" w:color="auto"/>
        </w:rPr>
        <w:tab/>
      </w:r>
      <w:r>
        <w:rPr>
          <w:rFonts w:ascii="宋体" w:hAnsi="宋体" w:eastAsia="宋体" w:cs="宋体"/>
          <w:color w:val="auto"/>
          <w:spacing w:val="-125"/>
          <w:sz w:val="28"/>
          <w:szCs w:val="28"/>
          <w:highlight w:val="none"/>
        </w:rPr>
        <w:t xml:space="preserve"> </w:t>
      </w:r>
      <w:r>
        <w:rPr>
          <w:rFonts w:ascii="宋体" w:hAnsi="宋体" w:eastAsia="宋体" w:cs="宋体"/>
          <w:color w:val="auto"/>
          <w:spacing w:val="-1"/>
          <w:sz w:val="28"/>
          <w:szCs w:val="28"/>
          <w:highlight w:val="none"/>
        </w:rPr>
        <w:t>单位使用</w:t>
      </w:r>
      <w:r>
        <w:rPr>
          <w:rFonts w:ascii="宋体" w:hAnsi="宋体" w:eastAsia="宋体" w:cs="宋体"/>
          <w:color w:val="auto"/>
          <w:spacing w:val="-1"/>
          <w:sz w:val="28"/>
          <w:szCs w:val="28"/>
          <w:highlight w:val="none"/>
          <w:u w:val="single" w:color="auto"/>
        </w:rPr>
        <w:t xml:space="preserve">          </w:t>
      </w:r>
      <w:r>
        <w:rPr>
          <w:rFonts w:ascii="宋体" w:hAnsi="宋体" w:eastAsia="宋体" w:cs="宋体"/>
          <w:color w:val="auto"/>
          <w:spacing w:val="-128"/>
          <w:sz w:val="28"/>
          <w:szCs w:val="28"/>
          <w:highlight w:val="none"/>
        </w:rPr>
        <w:t xml:space="preserve"> </w:t>
      </w:r>
      <w:r>
        <w:rPr>
          <w:rFonts w:ascii="宋体" w:hAnsi="宋体" w:eastAsia="宋体" w:cs="宋体"/>
          <w:color w:val="auto"/>
          <w:spacing w:val="-1"/>
          <w:sz w:val="28"/>
          <w:szCs w:val="28"/>
          <w:highlight w:val="none"/>
        </w:rPr>
        <w:t>年度广东省公路工程从业单位</w:t>
      </w:r>
      <w:r>
        <w:rPr>
          <w:rFonts w:ascii="宋体" w:hAnsi="宋体" w:eastAsia="宋体" w:cs="宋体"/>
          <w:color w:val="auto"/>
          <w:spacing w:val="-2"/>
          <w:sz w:val="28"/>
          <w:szCs w:val="28"/>
          <w:highlight w:val="none"/>
        </w:rPr>
        <w:t>信用等级情况汇总表</w:t>
      </w:r>
    </w:p>
    <w:p w14:paraId="06D5AA3E">
      <w:pPr>
        <w:spacing w:before="75"/>
        <w:rPr>
          <w:color w:val="auto"/>
          <w:highlight w:val="none"/>
        </w:rPr>
      </w:pPr>
    </w:p>
    <w:p w14:paraId="52F8B12E">
      <w:pPr>
        <w:spacing w:before="75"/>
        <w:rPr>
          <w:color w:val="auto"/>
          <w:highlight w:val="none"/>
        </w:rPr>
      </w:pPr>
    </w:p>
    <w:p w14:paraId="0E6BBA11">
      <w:pPr>
        <w:spacing w:before="74"/>
        <w:rPr>
          <w:color w:val="auto"/>
          <w:highlight w:val="none"/>
        </w:rPr>
      </w:pPr>
    </w:p>
    <w:tbl>
      <w:tblPr>
        <w:tblStyle w:val="19"/>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5"/>
        <w:gridCol w:w="2171"/>
        <w:gridCol w:w="1547"/>
        <w:gridCol w:w="1720"/>
        <w:gridCol w:w="1671"/>
        <w:gridCol w:w="1254"/>
      </w:tblGrid>
      <w:tr w14:paraId="2CB06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25" w:type="dxa"/>
            <w:vAlign w:val="top"/>
          </w:tcPr>
          <w:p w14:paraId="19D50F94">
            <w:pPr>
              <w:pStyle w:val="20"/>
              <w:spacing w:before="172" w:line="229" w:lineRule="auto"/>
              <w:ind w:left="258"/>
              <w:rPr>
                <w:color w:val="auto"/>
                <w:highlight w:val="none"/>
              </w:rPr>
            </w:pPr>
            <w:r>
              <w:rPr>
                <w:color w:val="auto"/>
                <w:spacing w:val="5"/>
                <w:highlight w:val="none"/>
              </w:rPr>
              <w:t>序号</w:t>
            </w:r>
          </w:p>
        </w:tc>
        <w:tc>
          <w:tcPr>
            <w:tcW w:w="2171" w:type="dxa"/>
            <w:vAlign w:val="top"/>
          </w:tcPr>
          <w:p w14:paraId="7C2285CF">
            <w:pPr>
              <w:pStyle w:val="20"/>
              <w:spacing w:before="172" w:line="228" w:lineRule="auto"/>
              <w:ind w:left="565"/>
              <w:rPr>
                <w:color w:val="auto"/>
                <w:highlight w:val="none"/>
              </w:rPr>
            </w:pPr>
            <w:r>
              <w:rPr>
                <w:color w:val="auto"/>
                <w:spacing w:val="7"/>
                <w:highlight w:val="none"/>
              </w:rPr>
              <w:t>招标人名称</w:t>
            </w:r>
          </w:p>
        </w:tc>
        <w:tc>
          <w:tcPr>
            <w:tcW w:w="1547" w:type="dxa"/>
            <w:vAlign w:val="top"/>
          </w:tcPr>
          <w:p w14:paraId="58031CA3">
            <w:pPr>
              <w:pStyle w:val="20"/>
              <w:spacing w:before="34" w:line="235" w:lineRule="auto"/>
              <w:ind w:left="570" w:right="162" w:hanging="421"/>
              <w:rPr>
                <w:color w:val="auto"/>
                <w:highlight w:val="none"/>
              </w:rPr>
            </w:pPr>
            <w:r>
              <w:rPr>
                <w:color w:val="auto"/>
                <w:spacing w:val="5"/>
                <w:highlight w:val="none"/>
              </w:rPr>
              <w:t>标段（标类）</w:t>
            </w:r>
            <w:r>
              <w:rPr>
                <w:color w:val="auto"/>
                <w:spacing w:val="3"/>
                <w:highlight w:val="none"/>
              </w:rPr>
              <w:t>名称</w:t>
            </w:r>
          </w:p>
        </w:tc>
        <w:tc>
          <w:tcPr>
            <w:tcW w:w="1720" w:type="dxa"/>
            <w:vAlign w:val="top"/>
          </w:tcPr>
          <w:p w14:paraId="763B6070">
            <w:pPr>
              <w:pStyle w:val="20"/>
              <w:spacing w:before="34" w:line="235" w:lineRule="auto"/>
              <w:ind w:left="350" w:right="229" w:hanging="114"/>
              <w:rPr>
                <w:color w:val="auto"/>
                <w:highlight w:val="none"/>
              </w:rPr>
            </w:pPr>
            <w:r>
              <w:rPr>
                <w:color w:val="auto"/>
                <w:spacing w:val="8"/>
                <w:highlight w:val="none"/>
              </w:rPr>
              <w:t>递交文件时间</w:t>
            </w:r>
            <w:r>
              <w:rPr>
                <w:color w:val="auto"/>
                <w:spacing w:val="3"/>
                <w:highlight w:val="none"/>
              </w:rPr>
              <w:t>（年月日）</w:t>
            </w:r>
          </w:p>
        </w:tc>
        <w:tc>
          <w:tcPr>
            <w:tcW w:w="1671" w:type="dxa"/>
            <w:vAlign w:val="top"/>
          </w:tcPr>
          <w:p w14:paraId="4E9B1906">
            <w:pPr>
              <w:pStyle w:val="20"/>
              <w:spacing w:before="35" w:line="228" w:lineRule="auto"/>
              <w:ind w:left="213"/>
              <w:rPr>
                <w:color w:val="auto"/>
                <w:highlight w:val="none"/>
              </w:rPr>
            </w:pPr>
            <w:r>
              <w:rPr>
                <w:color w:val="auto"/>
                <w:spacing w:val="8"/>
                <w:highlight w:val="none"/>
              </w:rPr>
              <w:t>使用信用等级</w:t>
            </w:r>
          </w:p>
          <w:p w14:paraId="48E593F6">
            <w:pPr>
              <w:pStyle w:val="20"/>
              <w:spacing w:before="26" w:line="217" w:lineRule="auto"/>
              <w:ind w:left="434"/>
              <w:rPr>
                <w:color w:val="auto"/>
                <w:highlight w:val="none"/>
              </w:rPr>
            </w:pPr>
            <w:r>
              <w:rPr>
                <w:color w:val="auto"/>
                <w:spacing w:val="2"/>
                <w:highlight w:val="none"/>
              </w:rPr>
              <w:t>（</w:t>
            </w:r>
            <w:r>
              <w:rPr>
                <w:color w:val="auto"/>
                <w:highlight w:val="none"/>
              </w:rPr>
              <w:t>AA</w:t>
            </w:r>
            <w:r>
              <w:rPr>
                <w:color w:val="auto"/>
                <w:spacing w:val="2"/>
                <w:highlight w:val="none"/>
              </w:rPr>
              <w:t>/A）</w:t>
            </w:r>
          </w:p>
        </w:tc>
        <w:tc>
          <w:tcPr>
            <w:tcW w:w="1254" w:type="dxa"/>
            <w:vAlign w:val="top"/>
          </w:tcPr>
          <w:p w14:paraId="55AAB84D">
            <w:pPr>
              <w:pStyle w:val="20"/>
              <w:spacing w:before="172" w:line="229" w:lineRule="auto"/>
              <w:ind w:left="425"/>
              <w:rPr>
                <w:color w:val="auto"/>
                <w:highlight w:val="none"/>
              </w:rPr>
            </w:pPr>
            <w:r>
              <w:rPr>
                <w:color w:val="auto"/>
                <w:spacing w:val="3"/>
                <w:highlight w:val="none"/>
              </w:rPr>
              <w:t>备注</w:t>
            </w:r>
          </w:p>
        </w:tc>
      </w:tr>
      <w:tr w14:paraId="5BF57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5" w:type="dxa"/>
            <w:vAlign w:val="top"/>
          </w:tcPr>
          <w:p w14:paraId="5C1B127C">
            <w:pPr>
              <w:pStyle w:val="20"/>
              <w:spacing w:before="31" w:line="270" w:lineRule="exact"/>
              <w:ind w:left="430"/>
              <w:rPr>
                <w:color w:val="auto"/>
                <w:highlight w:val="none"/>
              </w:rPr>
            </w:pPr>
            <w:r>
              <w:rPr>
                <w:color w:val="auto"/>
                <w:position w:val="1"/>
                <w:highlight w:val="none"/>
              </w:rPr>
              <w:t>1</w:t>
            </w:r>
          </w:p>
        </w:tc>
        <w:tc>
          <w:tcPr>
            <w:tcW w:w="2171" w:type="dxa"/>
            <w:vAlign w:val="top"/>
          </w:tcPr>
          <w:p w14:paraId="7A65238B">
            <w:pPr>
              <w:rPr>
                <w:rFonts w:ascii="Arial"/>
                <w:color w:val="auto"/>
                <w:sz w:val="21"/>
                <w:highlight w:val="none"/>
              </w:rPr>
            </w:pPr>
          </w:p>
        </w:tc>
        <w:tc>
          <w:tcPr>
            <w:tcW w:w="1547" w:type="dxa"/>
            <w:vAlign w:val="top"/>
          </w:tcPr>
          <w:p w14:paraId="5A08F49B">
            <w:pPr>
              <w:rPr>
                <w:rFonts w:ascii="Arial"/>
                <w:color w:val="auto"/>
                <w:sz w:val="21"/>
                <w:highlight w:val="none"/>
              </w:rPr>
            </w:pPr>
          </w:p>
        </w:tc>
        <w:tc>
          <w:tcPr>
            <w:tcW w:w="1720" w:type="dxa"/>
            <w:vAlign w:val="top"/>
          </w:tcPr>
          <w:p w14:paraId="7C5B0759">
            <w:pPr>
              <w:rPr>
                <w:rFonts w:ascii="Arial"/>
                <w:color w:val="auto"/>
                <w:sz w:val="21"/>
                <w:highlight w:val="none"/>
              </w:rPr>
            </w:pPr>
          </w:p>
        </w:tc>
        <w:tc>
          <w:tcPr>
            <w:tcW w:w="1671" w:type="dxa"/>
            <w:vAlign w:val="top"/>
          </w:tcPr>
          <w:p w14:paraId="48B60F2F">
            <w:pPr>
              <w:rPr>
                <w:rFonts w:ascii="Arial"/>
                <w:color w:val="auto"/>
                <w:sz w:val="21"/>
                <w:highlight w:val="none"/>
              </w:rPr>
            </w:pPr>
          </w:p>
        </w:tc>
        <w:tc>
          <w:tcPr>
            <w:tcW w:w="1254" w:type="dxa"/>
            <w:vAlign w:val="top"/>
          </w:tcPr>
          <w:p w14:paraId="52068768">
            <w:pPr>
              <w:rPr>
                <w:rFonts w:ascii="Arial"/>
                <w:color w:val="auto"/>
                <w:sz w:val="21"/>
                <w:highlight w:val="none"/>
              </w:rPr>
            </w:pPr>
          </w:p>
        </w:tc>
      </w:tr>
      <w:tr w14:paraId="7D445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25" w:type="dxa"/>
            <w:vAlign w:val="top"/>
          </w:tcPr>
          <w:p w14:paraId="7BC80225">
            <w:pPr>
              <w:pStyle w:val="20"/>
              <w:spacing w:before="32" w:line="270" w:lineRule="exact"/>
              <w:ind w:left="417"/>
              <w:rPr>
                <w:color w:val="auto"/>
                <w:highlight w:val="none"/>
              </w:rPr>
            </w:pPr>
            <w:r>
              <w:rPr>
                <w:color w:val="auto"/>
                <w:position w:val="1"/>
                <w:highlight w:val="none"/>
              </w:rPr>
              <w:t>2</w:t>
            </w:r>
          </w:p>
        </w:tc>
        <w:tc>
          <w:tcPr>
            <w:tcW w:w="2171" w:type="dxa"/>
            <w:vAlign w:val="top"/>
          </w:tcPr>
          <w:p w14:paraId="39F7DCA9">
            <w:pPr>
              <w:rPr>
                <w:rFonts w:ascii="Arial"/>
                <w:color w:val="auto"/>
                <w:sz w:val="21"/>
                <w:highlight w:val="none"/>
              </w:rPr>
            </w:pPr>
          </w:p>
        </w:tc>
        <w:tc>
          <w:tcPr>
            <w:tcW w:w="1547" w:type="dxa"/>
            <w:vAlign w:val="top"/>
          </w:tcPr>
          <w:p w14:paraId="36C880CB">
            <w:pPr>
              <w:rPr>
                <w:rFonts w:ascii="Arial"/>
                <w:color w:val="auto"/>
                <w:sz w:val="21"/>
                <w:highlight w:val="none"/>
              </w:rPr>
            </w:pPr>
          </w:p>
        </w:tc>
        <w:tc>
          <w:tcPr>
            <w:tcW w:w="1720" w:type="dxa"/>
            <w:vAlign w:val="top"/>
          </w:tcPr>
          <w:p w14:paraId="4AD44AB8">
            <w:pPr>
              <w:rPr>
                <w:rFonts w:ascii="Arial"/>
                <w:color w:val="auto"/>
                <w:sz w:val="21"/>
                <w:highlight w:val="none"/>
              </w:rPr>
            </w:pPr>
          </w:p>
        </w:tc>
        <w:tc>
          <w:tcPr>
            <w:tcW w:w="1671" w:type="dxa"/>
            <w:vAlign w:val="top"/>
          </w:tcPr>
          <w:p w14:paraId="1561DF32">
            <w:pPr>
              <w:rPr>
                <w:rFonts w:ascii="Arial"/>
                <w:color w:val="auto"/>
                <w:sz w:val="21"/>
                <w:highlight w:val="none"/>
              </w:rPr>
            </w:pPr>
          </w:p>
        </w:tc>
        <w:tc>
          <w:tcPr>
            <w:tcW w:w="1254" w:type="dxa"/>
            <w:vAlign w:val="top"/>
          </w:tcPr>
          <w:p w14:paraId="33C8053C">
            <w:pPr>
              <w:rPr>
                <w:rFonts w:ascii="Arial"/>
                <w:color w:val="auto"/>
                <w:sz w:val="21"/>
                <w:highlight w:val="none"/>
              </w:rPr>
            </w:pPr>
          </w:p>
        </w:tc>
      </w:tr>
      <w:tr w14:paraId="0CE74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25" w:type="dxa"/>
            <w:vAlign w:val="top"/>
          </w:tcPr>
          <w:p w14:paraId="02410AE2">
            <w:pPr>
              <w:pStyle w:val="20"/>
              <w:spacing w:before="32" w:line="268" w:lineRule="exact"/>
              <w:ind w:left="419"/>
              <w:rPr>
                <w:color w:val="auto"/>
                <w:highlight w:val="none"/>
              </w:rPr>
            </w:pPr>
            <w:r>
              <w:rPr>
                <w:color w:val="auto"/>
                <w:position w:val="1"/>
                <w:highlight w:val="none"/>
              </w:rPr>
              <w:t>3</w:t>
            </w:r>
          </w:p>
        </w:tc>
        <w:tc>
          <w:tcPr>
            <w:tcW w:w="2171" w:type="dxa"/>
            <w:vAlign w:val="top"/>
          </w:tcPr>
          <w:p w14:paraId="707651BD">
            <w:pPr>
              <w:rPr>
                <w:rFonts w:ascii="Arial"/>
                <w:color w:val="auto"/>
                <w:sz w:val="21"/>
                <w:highlight w:val="none"/>
              </w:rPr>
            </w:pPr>
          </w:p>
        </w:tc>
        <w:tc>
          <w:tcPr>
            <w:tcW w:w="1547" w:type="dxa"/>
            <w:vAlign w:val="top"/>
          </w:tcPr>
          <w:p w14:paraId="35FA6C69">
            <w:pPr>
              <w:rPr>
                <w:rFonts w:ascii="Arial"/>
                <w:color w:val="auto"/>
                <w:sz w:val="21"/>
                <w:highlight w:val="none"/>
              </w:rPr>
            </w:pPr>
          </w:p>
        </w:tc>
        <w:tc>
          <w:tcPr>
            <w:tcW w:w="1720" w:type="dxa"/>
            <w:vAlign w:val="top"/>
          </w:tcPr>
          <w:p w14:paraId="24B4804D">
            <w:pPr>
              <w:rPr>
                <w:rFonts w:ascii="Arial"/>
                <w:color w:val="auto"/>
                <w:sz w:val="21"/>
                <w:highlight w:val="none"/>
              </w:rPr>
            </w:pPr>
          </w:p>
        </w:tc>
        <w:tc>
          <w:tcPr>
            <w:tcW w:w="1671" w:type="dxa"/>
            <w:vAlign w:val="top"/>
          </w:tcPr>
          <w:p w14:paraId="289D82EC">
            <w:pPr>
              <w:rPr>
                <w:rFonts w:ascii="Arial"/>
                <w:color w:val="auto"/>
                <w:sz w:val="21"/>
                <w:highlight w:val="none"/>
              </w:rPr>
            </w:pPr>
          </w:p>
        </w:tc>
        <w:tc>
          <w:tcPr>
            <w:tcW w:w="1254" w:type="dxa"/>
            <w:vAlign w:val="top"/>
          </w:tcPr>
          <w:p w14:paraId="4A562BA7">
            <w:pPr>
              <w:rPr>
                <w:rFonts w:ascii="Arial"/>
                <w:color w:val="auto"/>
                <w:sz w:val="21"/>
                <w:highlight w:val="none"/>
              </w:rPr>
            </w:pPr>
          </w:p>
        </w:tc>
      </w:tr>
      <w:tr w14:paraId="2B5A4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5" w:type="dxa"/>
            <w:vAlign w:val="top"/>
          </w:tcPr>
          <w:p w14:paraId="39C1D600">
            <w:pPr>
              <w:pStyle w:val="20"/>
              <w:spacing w:before="34" w:line="270" w:lineRule="exact"/>
              <w:ind w:left="414"/>
              <w:rPr>
                <w:color w:val="auto"/>
                <w:highlight w:val="none"/>
              </w:rPr>
            </w:pPr>
            <w:r>
              <w:rPr>
                <w:color w:val="auto"/>
                <w:position w:val="1"/>
                <w:highlight w:val="none"/>
              </w:rPr>
              <w:t>4</w:t>
            </w:r>
          </w:p>
        </w:tc>
        <w:tc>
          <w:tcPr>
            <w:tcW w:w="2171" w:type="dxa"/>
            <w:vAlign w:val="top"/>
          </w:tcPr>
          <w:p w14:paraId="651AB2B4">
            <w:pPr>
              <w:rPr>
                <w:rFonts w:ascii="Arial"/>
                <w:color w:val="auto"/>
                <w:sz w:val="21"/>
                <w:highlight w:val="none"/>
              </w:rPr>
            </w:pPr>
          </w:p>
        </w:tc>
        <w:tc>
          <w:tcPr>
            <w:tcW w:w="1547" w:type="dxa"/>
            <w:vAlign w:val="top"/>
          </w:tcPr>
          <w:p w14:paraId="41023233">
            <w:pPr>
              <w:rPr>
                <w:rFonts w:ascii="Arial"/>
                <w:color w:val="auto"/>
                <w:sz w:val="21"/>
                <w:highlight w:val="none"/>
              </w:rPr>
            </w:pPr>
          </w:p>
        </w:tc>
        <w:tc>
          <w:tcPr>
            <w:tcW w:w="1720" w:type="dxa"/>
            <w:vAlign w:val="top"/>
          </w:tcPr>
          <w:p w14:paraId="213D075E">
            <w:pPr>
              <w:rPr>
                <w:rFonts w:ascii="Arial"/>
                <w:color w:val="auto"/>
                <w:sz w:val="21"/>
                <w:highlight w:val="none"/>
              </w:rPr>
            </w:pPr>
          </w:p>
        </w:tc>
        <w:tc>
          <w:tcPr>
            <w:tcW w:w="1671" w:type="dxa"/>
            <w:vAlign w:val="top"/>
          </w:tcPr>
          <w:p w14:paraId="4DDAE018">
            <w:pPr>
              <w:rPr>
                <w:rFonts w:ascii="Arial"/>
                <w:color w:val="auto"/>
                <w:sz w:val="21"/>
                <w:highlight w:val="none"/>
              </w:rPr>
            </w:pPr>
          </w:p>
        </w:tc>
        <w:tc>
          <w:tcPr>
            <w:tcW w:w="1254" w:type="dxa"/>
            <w:vAlign w:val="top"/>
          </w:tcPr>
          <w:p w14:paraId="1C3A2B5F">
            <w:pPr>
              <w:rPr>
                <w:rFonts w:ascii="Arial"/>
                <w:color w:val="auto"/>
                <w:sz w:val="21"/>
                <w:highlight w:val="none"/>
              </w:rPr>
            </w:pPr>
          </w:p>
        </w:tc>
      </w:tr>
      <w:tr w14:paraId="02147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5" w:type="dxa"/>
            <w:vAlign w:val="top"/>
          </w:tcPr>
          <w:p w14:paraId="6AB3C2CE">
            <w:pPr>
              <w:pStyle w:val="20"/>
              <w:spacing w:before="33" w:line="269" w:lineRule="exact"/>
              <w:ind w:left="419"/>
              <w:rPr>
                <w:color w:val="auto"/>
                <w:highlight w:val="none"/>
              </w:rPr>
            </w:pPr>
            <w:r>
              <w:rPr>
                <w:color w:val="auto"/>
                <w:position w:val="1"/>
                <w:highlight w:val="none"/>
              </w:rPr>
              <w:t>5</w:t>
            </w:r>
          </w:p>
        </w:tc>
        <w:tc>
          <w:tcPr>
            <w:tcW w:w="2171" w:type="dxa"/>
            <w:vAlign w:val="top"/>
          </w:tcPr>
          <w:p w14:paraId="09056C33">
            <w:pPr>
              <w:rPr>
                <w:rFonts w:ascii="Arial"/>
                <w:color w:val="auto"/>
                <w:sz w:val="21"/>
                <w:highlight w:val="none"/>
              </w:rPr>
            </w:pPr>
          </w:p>
        </w:tc>
        <w:tc>
          <w:tcPr>
            <w:tcW w:w="1547" w:type="dxa"/>
            <w:vAlign w:val="top"/>
          </w:tcPr>
          <w:p w14:paraId="05E38FBE">
            <w:pPr>
              <w:rPr>
                <w:rFonts w:ascii="Arial"/>
                <w:color w:val="auto"/>
                <w:sz w:val="21"/>
                <w:highlight w:val="none"/>
              </w:rPr>
            </w:pPr>
          </w:p>
        </w:tc>
        <w:tc>
          <w:tcPr>
            <w:tcW w:w="1720" w:type="dxa"/>
            <w:vAlign w:val="top"/>
          </w:tcPr>
          <w:p w14:paraId="046E05CA">
            <w:pPr>
              <w:rPr>
                <w:rFonts w:ascii="Arial"/>
                <w:color w:val="auto"/>
                <w:sz w:val="21"/>
                <w:highlight w:val="none"/>
              </w:rPr>
            </w:pPr>
          </w:p>
        </w:tc>
        <w:tc>
          <w:tcPr>
            <w:tcW w:w="1671" w:type="dxa"/>
            <w:vAlign w:val="top"/>
          </w:tcPr>
          <w:p w14:paraId="2C05DD1F">
            <w:pPr>
              <w:rPr>
                <w:rFonts w:ascii="Arial"/>
                <w:color w:val="auto"/>
                <w:sz w:val="21"/>
                <w:highlight w:val="none"/>
              </w:rPr>
            </w:pPr>
          </w:p>
        </w:tc>
        <w:tc>
          <w:tcPr>
            <w:tcW w:w="1254" w:type="dxa"/>
            <w:vAlign w:val="top"/>
          </w:tcPr>
          <w:p w14:paraId="1C2CA03D">
            <w:pPr>
              <w:rPr>
                <w:rFonts w:ascii="Arial"/>
                <w:color w:val="auto"/>
                <w:sz w:val="21"/>
                <w:highlight w:val="none"/>
              </w:rPr>
            </w:pPr>
          </w:p>
        </w:tc>
      </w:tr>
      <w:tr w14:paraId="3C811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5" w:type="dxa"/>
            <w:vAlign w:val="top"/>
          </w:tcPr>
          <w:p w14:paraId="3442F06D">
            <w:pPr>
              <w:pStyle w:val="20"/>
              <w:spacing w:before="35" w:line="268" w:lineRule="exact"/>
              <w:ind w:left="416"/>
              <w:rPr>
                <w:color w:val="auto"/>
                <w:highlight w:val="none"/>
              </w:rPr>
            </w:pPr>
            <w:r>
              <w:rPr>
                <w:color w:val="auto"/>
                <w:position w:val="1"/>
                <w:highlight w:val="none"/>
              </w:rPr>
              <w:t>6</w:t>
            </w:r>
          </w:p>
        </w:tc>
        <w:tc>
          <w:tcPr>
            <w:tcW w:w="2171" w:type="dxa"/>
            <w:vAlign w:val="top"/>
          </w:tcPr>
          <w:p w14:paraId="0FE235BF">
            <w:pPr>
              <w:rPr>
                <w:rFonts w:ascii="Arial"/>
                <w:color w:val="auto"/>
                <w:sz w:val="21"/>
                <w:highlight w:val="none"/>
              </w:rPr>
            </w:pPr>
          </w:p>
        </w:tc>
        <w:tc>
          <w:tcPr>
            <w:tcW w:w="1547" w:type="dxa"/>
            <w:vAlign w:val="top"/>
          </w:tcPr>
          <w:p w14:paraId="4963C763">
            <w:pPr>
              <w:rPr>
                <w:rFonts w:ascii="Arial"/>
                <w:color w:val="auto"/>
                <w:sz w:val="21"/>
                <w:highlight w:val="none"/>
              </w:rPr>
            </w:pPr>
          </w:p>
        </w:tc>
        <w:tc>
          <w:tcPr>
            <w:tcW w:w="1720" w:type="dxa"/>
            <w:vAlign w:val="top"/>
          </w:tcPr>
          <w:p w14:paraId="1832DE70">
            <w:pPr>
              <w:rPr>
                <w:rFonts w:ascii="Arial"/>
                <w:color w:val="auto"/>
                <w:sz w:val="21"/>
                <w:highlight w:val="none"/>
              </w:rPr>
            </w:pPr>
          </w:p>
        </w:tc>
        <w:tc>
          <w:tcPr>
            <w:tcW w:w="1671" w:type="dxa"/>
            <w:vAlign w:val="top"/>
          </w:tcPr>
          <w:p w14:paraId="385800B2">
            <w:pPr>
              <w:rPr>
                <w:rFonts w:ascii="Arial"/>
                <w:color w:val="auto"/>
                <w:sz w:val="21"/>
                <w:highlight w:val="none"/>
              </w:rPr>
            </w:pPr>
          </w:p>
        </w:tc>
        <w:tc>
          <w:tcPr>
            <w:tcW w:w="1254" w:type="dxa"/>
            <w:vAlign w:val="top"/>
          </w:tcPr>
          <w:p w14:paraId="1DDEF857">
            <w:pPr>
              <w:rPr>
                <w:rFonts w:ascii="Arial"/>
                <w:color w:val="auto"/>
                <w:sz w:val="21"/>
                <w:highlight w:val="none"/>
              </w:rPr>
            </w:pPr>
          </w:p>
        </w:tc>
      </w:tr>
      <w:tr w14:paraId="6E24E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25" w:type="dxa"/>
            <w:vAlign w:val="top"/>
          </w:tcPr>
          <w:p w14:paraId="3A43D73C">
            <w:pPr>
              <w:pStyle w:val="20"/>
              <w:spacing w:before="34" w:line="268" w:lineRule="exact"/>
              <w:ind w:left="419"/>
              <w:rPr>
                <w:color w:val="auto"/>
                <w:highlight w:val="none"/>
              </w:rPr>
            </w:pPr>
            <w:r>
              <w:rPr>
                <w:color w:val="auto"/>
                <w:position w:val="1"/>
                <w:highlight w:val="none"/>
              </w:rPr>
              <w:t>7</w:t>
            </w:r>
          </w:p>
        </w:tc>
        <w:tc>
          <w:tcPr>
            <w:tcW w:w="2171" w:type="dxa"/>
            <w:vAlign w:val="top"/>
          </w:tcPr>
          <w:p w14:paraId="5718C4BA">
            <w:pPr>
              <w:rPr>
                <w:rFonts w:ascii="Arial"/>
                <w:color w:val="auto"/>
                <w:sz w:val="21"/>
                <w:highlight w:val="none"/>
              </w:rPr>
            </w:pPr>
          </w:p>
        </w:tc>
        <w:tc>
          <w:tcPr>
            <w:tcW w:w="1547" w:type="dxa"/>
            <w:vAlign w:val="top"/>
          </w:tcPr>
          <w:p w14:paraId="2B0E7B70">
            <w:pPr>
              <w:rPr>
                <w:rFonts w:ascii="Arial"/>
                <w:color w:val="auto"/>
                <w:sz w:val="21"/>
                <w:highlight w:val="none"/>
              </w:rPr>
            </w:pPr>
          </w:p>
        </w:tc>
        <w:tc>
          <w:tcPr>
            <w:tcW w:w="1720" w:type="dxa"/>
            <w:vAlign w:val="top"/>
          </w:tcPr>
          <w:p w14:paraId="7DE603F3">
            <w:pPr>
              <w:rPr>
                <w:rFonts w:ascii="Arial"/>
                <w:color w:val="auto"/>
                <w:sz w:val="21"/>
                <w:highlight w:val="none"/>
              </w:rPr>
            </w:pPr>
          </w:p>
        </w:tc>
        <w:tc>
          <w:tcPr>
            <w:tcW w:w="1671" w:type="dxa"/>
            <w:vAlign w:val="top"/>
          </w:tcPr>
          <w:p w14:paraId="425A89E9">
            <w:pPr>
              <w:rPr>
                <w:rFonts w:ascii="Arial"/>
                <w:color w:val="auto"/>
                <w:sz w:val="21"/>
                <w:highlight w:val="none"/>
              </w:rPr>
            </w:pPr>
          </w:p>
        </w:tc>
        <w:tc>
          <w:tcPr>
            <w:tcW w:w="1254" w:type="dxa"/>
            <w:vAlign w:val="top"/>
          </w:tcPr>
          <w:p w14:paraId="4A0D32C4">
            <w:pPr>
              <w:rPr>
                <w:rFonts w:ascii="Arial"/>
                <w:color w:val="auto"/>
                <w:sz w:val="21"/>
                <w:highlight w:val="none"/>
              </w:rPr>
            </w:pPr>
          </w:p>
        </w:tc>
      </w:tr>
      <w:tr w14:paraId="75584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5" w:type="dxa"/>
            <w:vAlign w:val="top"/>
          </w:tcPr>
          <w:p w14:paraId="4C901C94">
            <w:pPr>
              <w:pStyle w:val="20"/>
              <w:spacing w:before="34" w:line="268" w:lineRule="exact"/>
              <w:ind w:left="415"/>
              <w:rPr>
                <w:color w:val="auto"/>
                <w:highlight w:val="none"/>
              </w:rPr>
            </w:pPr>
            <w:r>
              <w:rPr>
                <w:color w:val="auto"/>
                <w:position w:val="1"/>
                <w:highlight w:val="none"/>
              </w:rPr>
              <w:t>8</w:t>
            </w:r>
          </w:p>
        </w:tc>
        <w:tc>
          <w:tcPr>
            <w:tcW w:w="2171" w:type="dxa"/>
            <w:vAlign w:val="top"/>
          </w:tcPr>
          <w:p w14:paraId="6CAD8C7D">
            <w:pPr>
              <w:rPr>
                <w:rFonts w:ascii="Arial"/>
                <w:color w:val="auto"/>
                <w:sz w:val="21"/>
                <w:highlight w:val="none"/>
              </w:rPr>
            </w:pPr>
          </w:p>
        </w:tc>
        <w:tc>
          <w:tcPr>
            <w:tcW w:w="1547" w:type="dxa"/>
            <w:vAlign w:val="top"/>
          </w:tcPr>
          <w:p w14:paraId="37559AE0">
            <w:pPr>
              <w:rPr>
                <w:rFonts w:ascii="Arial"/>
                <w:color w:val="auto"/>
                <w:sz w:val="21"/>
                <w:highlight w:val="none"/>
              </w:rPr>
            </w:pPr>
          </w:p>
        </w:tc>
        <w:tc>
          <w:tcPr>
            <w:tcW w:w="1720" w:type="dxa"/>
            <w:vAlign w:val="top"/>
          </w:tcPr>
          <w:p w14:paraId="725CE2DE">
            <w:pPr>
              <w:rPr>
                <w:rFonts w:ascii="Arial"/>
                <w:color w:val="auto"/>
                <w:sz w:val="21"/>
                <w:highlight w:val="none"/>
              </w:rPr>
            </w:pPr>
          </w:p>
        </w:tc>
        <w:tc>
          <w:tcPr>
            <w:tcW w:w="1671" w:type="dxa"/>
            <w:vAlign w:val="top"/>
          </w:tcPr>
          <w:p w14:paraId="1A047942">
            <w:pPr>
              <w:rPr>
                <w:rFonts w:ascii="Arial"/>
                <w:color w:val="auto"/>
                <w:sz w:val="21"/>
                <w:highlight w:val="none"/>
              </w:rPr>
            </w:pPr>
          </w:p>
        </w:tc>
        <w:tc>
          <w:tcPr>
            <w:tcW w:w="1254" w:type="dxa"/>
            <w:vAlign w:val="top"/>
          </w:tcPr>
          <w:p w14:paraId="5FC7043E">
            <w:pPr>
              <w:rPr>
                <w:rFonts w:ascii="Arial"/>
                <w:color w:val="auto"/>
                <w:sz w:val="21"/>
                <w:highlight w:val="none"/>
              </w:rPr>
            </w:pPr>
          </w:p>
        </w:tc>
      </w:tr>
      <w:tr w14:paraId="34939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5" w:type="dxa"/>
            <w:vAlign w:val="top"/>
          </w:tcPr>
          <w:p w14:paraId="5CDC972B">
            <w:pPr>
              <w:pStyle w:val="20"/>
              <w:spacing w:before="189" w:line="84" w:lineRule="exact"/>
              <w:ind w:left="317"/>
              <w:rPr>
                <w:color w:val="auto"/>
                <w:highlight w:val="none"/>
              </w:rPr>
            </w:pPr>
            <w:r>
              <w:rPr>
                <w:color w:val="auto"/>
                <w:spacing w:val="3"/>
                <w:position w:val="1"/>
                <w:highlight w:val="none"/>
              </w:rPr>
              <w:t>...</w:t>
            </w:r>
          </w:p>
        </w:tc>
        <w:tc>
          <w:tcPr>
            <w:tcW w:w="2171" w:type="dxa"/>
            <w:vAlign w:val="top"/>
          </w:tcPr>
          <w:p w14:paraId="5685D9AA">
            <w:pPr>
              <w:rPr>
                <w:rFonts w:ascii="Arial"/>
                <w:color w:val="auto"/>
                <w:sz w:val="21"/>
                <w:highlight w:val="none"/>
              </w:rPr>
            </w:pPr>
          </w:p>
        </w:tc>
        <w:tc>
          <w:tcPr>
            <w:tcW w:w="1547" w:type="dxa"/>
            <w:vAlign w:val="top"/>
          </w:tcPr>
          <w:p w14:paraId="486248D4">
            <w:pPr>
              <w:rPr>
                <w:rFonts w:ascii="Arial"/>
                <w:color w:val="auto"/>
                <w:sz w:val="21"/>
                <w:highlight w:val="none"/>
              </w:rPr>
            </w:pPr>
          </w:p>
        </w:tc>
        <w:tc>
          <w:tcPr>
            <w:tcW w:w="1720" w:type="dxa"/>
            <w:vAlign w:val="top"/>
          </w:tcPr>
          <w:p w14:paraId="3831A1A0">
            <w:pPr>
              <w:rPr>
                <w:rFonts w:ascii="Arial"/>
                <w:color w:val="auto"/>
                <w:sz w:val="21"/>
                <w:highlight w:val="none"/>
              </w:rPr>
            </w:pPr>
          </w:p>
        </w:tc>
        <w:tc>
          <w:tcPr>
            <w:tcW w:w="1671" w:type="dxa"/>
            <w:vAlign w:val="top"/>
          </w:tcPr>
          <w:p w14:paraId="3E07E942">
            <w:pPr>
              <w:rPr>
                <w:rFonts w:ascii="Arial"/>
                <w:color w:val="auto"/>
                <w:sz w:val="21"/>
                <w:highlight w:val="none"/>
              </w:rPr>
            </w:pPr>
          </w:p>
        </w:tc>
        <w:tc>
          <w:tcPr>
            <w:tcW w:w="1254" w:type="dxa"/>
            <w:vAlign w:val="top"/>
          </w:tcPr>
          <w:p w14:paraId="0F404E70">
            <w:pPr>
              <w:rPr>
                <w:rFonts w:ascii="Arial"/>
                <w:color w:val="auto"/>
                <w:sz w:val="21"/>
                <w:highlight w:val="none"/>
              </w:rPr>
            </w:pPr>
          </w:p>
        </w:tc>
      </w:tr>
    </w:tbl>
    <w:p w14:paraId="1A5CC593">
      <w:pPr>
        <w:spacing w:before="30" w:line="226" w:lineRule="auto"/>
        <w:ind w:left="1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备注：1、应如实填报信用评价等级使用情况。</w:t>
      </w:r>
    </w:p>
    <w:p w14:paraId="0C20413F">
      <w:pPr>
        <w:spacing w:before="165" w:line="228" w:lineRule="auto"/>
        <w:ind w:left="75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2、以联合体形式投标的，联合体各成员应</w:t>
      </w:r>
      <w:r>
        <w:rPr>
          <w:rFonts w:ascii="宋体" w:hAnsi="宋体" w:eastAsia="宋体" w:cs="宋体"/>
          <w:color w:val="auto"/>
          <w:spacing w:val="8"/>
          <w:sz w:val="20"/>
          <w:szCs w:val="20"/>
          <w:highlight w:val="none"/>
        </w:rPr>
        <w:t>分别填写。</w:t>
      </w:r>
    </w:p>
    <w:p w14:paraId="5DC96118">
      <w:pPr>
        <w:spacing w:line="228" w:lineRule="auto"/>
        <w:rPr>
          <w:rFonts w:ascii="宋体" w:hAnsi="宋体" w:eastAsia="宋体" w:cs="宋体"/>
          <w:color w:val="auto"/>
          <w:sz w:val="20"/>
          <w:szCs w:val="20"/>
          <w:highlight w:val="none"/>
        </w:rPr>
        <w:sectPr>
          <w:footerReference r:id="rId46" w:type="default"/>
          <w:pgSz w:w="11905" w:h="16838"/>
          <w:pgMar w:top="1134" w:right="1134" w:bottom="1134" w:left="1134" w:header="0" w:footer="1066" w:gutter="0"/>
          <w:pgNumType w:fmt="decimal"/>
          <w:cols w:space="0" w:num="1"/>
          <w:rtlGutter w:val="0"/>
          <w:docGrid w:linePitch="0" w:charSpace="0"/>
        </w:sectPr>
      </w:pPr>
    </w:p>
    <w:p w14:paraId="6B24DD20">
      <w:pPr>
        <w:spacing w:line="278" w:lineRule="auto"/>
        <w:rPr>
          <w:rFonts w:ascii="Arial"/>
          <w:color w:val="auto"/>
          <w:sz w:val="21"/>
          <w:highlight w:val="none"/>
        </w:rPr>
      </w:pPr>
    </w:p>
    <w:p w14:paraId="2F682287">
      <w:pPr>
        <w:pStyle w:val="3"/>
        <w:bidi w:val="0"/>
        <w:jc w:val="center"/>
        <w:rPr>
          <w:color w:val="auto"/>
          <w:highlight w:val="none"/>
        </w:rPr>
      </w:pPr>
      <w:r>
        <w:rPr>
          <w:color w:val="auto"/>
          <w:highlight w:val="none"/>
        </w:rPr>
        <w:t>六、其他资料</w:t>
      </w:r>
    </w:p>
    <w:p w14:paraId="4D87D982">
      <w:pPr>
        <w:spacing w:line="250" w:lineRule="auto"/>
        <w:rPr>
          <w:rFonts w:ascii="Arial"/>
          <w:color w:val="auto"/>
          <w:sz w:val="21"/>
          <w:highlight w:val="none"/>
        </w:rPr>
      </w:pPr>
    </w:p>
    <w:p w14:paraId="53E55851">
      <w:pPr>
        <w:spacing w:line="251" w:lineRule="auto"/>
        <w:rPr>
          <w:rFonts w:ascii="Arial"/>
          <w:color w:val="auto"/>
          <w:sz w:val="21"/>
          <w:highlight w:val="none"/>
        </w:rPr>
      </w:pPr>
    </w:p>
    <w:p w14:paraId="61E58ABC">
      <w:pPr>
        <w:spacing w:before="78" w:line="360" w:lineRule="auto"/>
        <w:ind w:left="8" w:firstLine="53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（一）提供最新年度广东省公路工程从业单位信用评价等级（若有</w:t>
      </w:r>
      <w:r>
        <w:rPr>
          <w:rFonts w:ascii="宋体" w:hAnsi="宋体" w:eastAsia="宋体" w:cs="宋体"/>
          <w:color w:val="auto"/>
          <w:spacing w:val="7"/>
          <w:sz w:val="24"/>
          <w:szCs w:val="24"/>
          <w:highlight w:val="none"/>
        </w:rPr>
        <w:t>），</w:t>
      </w:r>
      <w:r>
        <w:rPr>
          <w:rFonts w:ascii="宋体" w:hAnsi="宋体" w:eastAsia="宋体" w:cs="宋体"/>
          <w:color w:val="auto"/>
          <w:spacing w:val="-2"/>
          <w:sz w:val="24"/>
          <w:szCs w:val="24"/>
          <w:highlight w:val="none"/>
        </w:rPr>
        <w:t>并标识单位所在位置；</w:t>
      </w:r>
    </w:p>
    <w:p w14:paraId="3843FD0C">
      <w:pPr>
        <w:spacing w:line="358" w:lineRule="auto"/>
        <w:ind w:left="9" w:firstLine="53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（二）初次进入且无广东省最新年度信用评价等级的，但在最新一年度的全国综合评价结果为</w:t>
      </w:r>
      <w:r>
        <w:rPr>
          <w:rFonts w:ascii="宋体" w:hAnsi="宋体" w:eastAsia="宋体" w:cs="宋体"/>
          <w:color w:val="auto"/>
          <w:spacing w:val="-53"/>
          <w:sz w:val="24"/>
          <w:szCs w:val="24"/>
          <w:highlight w:val="none"/>
        </w:rPr>
        <w:t xml:space="preserve"> </w:t>
      </w:r>
      <w:r>
        <w:rPr>
          <w:rFonts w:ascii="宋体" w:hAnsi="宋体" w:eastAsia="宋体" w:cs="宋体"/>
          <w:color w:val="auto"/>
          <w:spacing w:val="-1"/>
          <w:sz w:val="24"/>
          <w:szCs w:val="24"/>
          <w:highlight w:val="none"/>
        </w:rPr>
        <w:t>C</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级或</w:t>
      </w:r>
      <w:r>
        <w:rPr>
          <w:rFonts w:ascii="宋体" w:hAnsi="宋体" w:eastAsia="宋体" w:cs="宋体"/>
          <w:color w:val="auto"/>
          <w:spacing w:val="-55"/>
          <w:sz w:val="24"/>
          <w:szCs w:val="24"/>
          <w:highlight w:val="none"/>
        </w:rPr>
        <w:t xml:space="preserve"> </w:t>
      </w:r>
      <w:r>
        <w:rPr>
          <w:rFonts w:ascii="宋体" w:hAnsi="宋体" w:eastAsia="宋体" w:cs="宋体"/>
          <w:color w:val="auto"/>
          <w:spacing w:val="-1"/>
          <w:sz w:val="24"/>
          <w:szCs w:val="24"/>
          <w:highlight w:val="none"/>
        </w:rPr>
        <w:t>D</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级的，提供最新一年度的全国综</w:t>
      </w:r>
      <w:r>
        <w:rPr>
          <w:rFonts w:ascii="宋体" w:hAnsi="宋体" w:eastAsia="宋体" w:cs="宋体"/>
          <w:color w:val="auto"/>
          <w:spacing w:val="-2"/>
          <w:sz w:val="24"/>
          <w:szCs w:val="24"/>
          <w:highlight w:val="none"/>
        </w:rPr>
        <w:t>合评价结果单位查询所在页；</w:t>
      </w:r>
    </w:p>
    <w:p w14:paraId="694F7D7D">
      <w:pPr>
        <w:spacing w:line="360" w:lineRule="auto"/>
        <w:ind w:left="9" w:firstLine="53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（三）如上一年度有信用评价而最新年度在广东省无信用等级的需提供上一年度</w:t>
      </w:r>
      <w:r>
        <w:rPr>
          <w:rFonts w:ascii="宋体" w:hAnsi="宋体" w:eastAsia="宋体" w:cs="宋体"/>
          <w:color w:val="auto"/>
          <w:spacing w:val="-2"/>
          <w:sz w:val="24"/>
          <w:szCs w:val="24"/>
          <w:highlight w:val="none"/>
        </w:rPr>
        <w:t>有信用评价（若有</w:t>
      </w:r>
      <w:r>
        <w:rPr>
          <w:rFonts w:ascii="宋体" w:hAnsi="宋体" w:eastAsia="宋体" w:cs="宋体"/>
          <w:color w:val="auto"/>
          <w:spacing w:val="12"/>
          <w:sz w:val="24"/>
          <w:szCs w:val="24"/>
          <w:highlight w:val="none"/>
        </w:rPr>
        <w:t>），</w:t>
      </w:r>
      <w:r>
        <w:rPr>
          <w:rFonts w:ascii="宋体" w:hAnsi="宋体" w:eastAsia="宋体" w:cs="宋体"/>
          <w:color w:val="auto"/>
          <w:spacing w:val="-2"/>
          <w:sz w:val="24"/>
          <w:szCs w:val="24"/>
          <w:highlight w:val="none"/>
        </w:rPr>
        <w:t>并标识单位所在位置。</w:t>
      </w:r>
    </w:p>
    <w:p w14:paraId="08303AC8">
      <w:pPr>
        <w:spacing w:before="3" w:line="357" w:lineRule="auto"/>
        <w:ind w:left="11" w:right="39" w:firstLine="53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（四）详细说明投标人因供应公路工程（含附属设施）施工监理原因导致质量、</w:t>
      </w:r>
      <w:r>
        <w:rPr>
          <w:rFonts w:ascii="宋体" w:hAnsi="宋体" w:eastAsia="宋体" w:cs="宋体"/>
          <w:color w:val="auto"/>
          <w:sz w:val="24"/>
          <w:szCs w:val="24"/>
          <w:highlight w:val="none"/>
        </w:rPr>
        <w:t>安全事故被交通运输部、广东省交通运输厅、</w:t>
      </w:r>
      <w:r>
        <w:rPr>
          <w:rFonts w:ascii="宋体" w:hAnsi="宋体" w:eastAsia="宋体" w:cs="宋体"/>
          <w:color w:val="auto"/>
          <w:sz w:val="24"/>
          <w:szCs w:val="24"/>
          <w:highlight w:val="none"/>
          <w:u w:val="single" w:color="auto"/>
        </w:rPr>
        <w:t>（项目</w:t>
      </w:r>
      <w:r>
        <w:rPr>
          <w:rFonts w:ascii="宋体" w:hAnsi="宋体" w:eastAsia="宋体" w:cs="宋体"/>
          <w:color w:val="auto"/>
          <w:spacing w:val="-1"/>
          <w:sz w:val="24"/>
          <w:szCs w:val="24"/>
          <w:highlight w:val="none"/>
          <w:u w:val="single" w:color="auto"/>
        </w:rPr>
        <w:t>涉及各地级以上市）市交通运输局行政处罚</w:t>
      </w:r>
      <w:r>
        <w:rPr>
          <w:rFonts w:ascii="宋体" w:hAnsi="宋体" w:eastAsia="宋体" w:cs="宋体"/>
          <w:color w:val="auto"/>
          <w:spacing w:val="-1"/>
          <w:sz w:val="24"/>
          <w:szCs w:val="24"/>
          <w:highlight w:val="none"/>
        </w:rPr>
        <w:t>且在处罚信息公示期内的情况，并附相关文件。</w:t>
      </w:r>
    </w:p>
    <w:p w14:paraId="7B50EF15">
      <w:pPr>
        <w:spacing w:before="2" w:line="219" w:lineRule="auto"/>
        <w:ind w:left="547"/>
        <w:rPr>
          <w:rFonts w:ascii="宋体" w:hAnsi="宋体" w:eastAsia="宋体" w:cs="宋体"/>
          <w:color w:val="auto"/>
          <w:sz w:val="24"/>
          <w:szCs w:val="24"/>
          <w:highlight w:val="none"/>
        </w:rPr>
      </w:pPr>
      <w:bookmarkStart w:id="351" w:name="bookmark196"/>
      <w:bookmarkEnd w:id="351"/>
      <w:r>
        <w:rPr>
          <w:rFonts w:ascii="宋体" w:hAnsi="宋体" w:eastAsia="宋体" w:cs="宋体"/>
          <w:color w:val="auto"/>
          <w:spacing w:val="-1"/>
          <w:sz w:val="24"/>
          <w:szCs w:val="24"/>
          <w:highlight w:val="none"/>
        </w:rPr>
        <w:t>（五）投标人认为需要的其他内容（如体现技术能力的相关证明材料）。</w:t>
      </w:r>
    </w:p>
    <w:p w14:paraId="4FC67D67">
      <w:pPr>
        <w:spacing w:line="247" w:lineRule="auto"/>
        <w:rPr>
          <w:rFonts w:ascii="Arial"/>
          <w:color w:val="auto"/>
          <w:sz w:val="21"/>
          <w:highlight w:val="none"/>
        </w:rPr>
      </w:pPr>
    </w:p>
    <w:p w14:paraId="3F3CDB7F">
      <w:pPr>
        <w:spacing w:line="247" w:lineRule="auto"/>
        <w:rPr>
          <w:rFonts w:ascii="Arial"/>
          <w:color w:val="auto"/>
          <w:sz w:val="21"/>
          <w:highlight w:val="none"/>
        </w:rPr>
      </w:pPr>
    </w:p>
    <w:p w14:paraId="3B6297F3">
      <w:pPr>
        <w:spacing w:line="247" w:lineRule="auto"/>
        <w:rPr>
          <w:rFonts w:ascii="Arial"/>
          <w:color w:val="auto"/>
          <w:sz w:val="21"/>
          <w:highlight w:val="none"/>
        </w:rPr>
      </w:pPr>
    </w:p>
    <w:p w14:paraId="624B99BC">
      <w:pPr>
        <w:spacing w:line="247" w:lineRule="auto"/>
        <w:rPr>
          <w:rFonts w:ascii="Arial"/>
          <w:color w:val="auto"/>
          <w:sz w:val="21"/>
          <w:highlight w:val="none"/>
        </w:rPr>
      </w:pPr>
    </w:p>
    <w:p w14:paraId="19191CCD">
      <w:pPr>
        <w:spacing w:line="247" w:lineRule="auto"/>
        <w:rPr>
          <w:rFonts w:ascii="Arial"/>
          <w:color w:val="auto"/>
          <w:sz w:val="21"/>
          <w:highlight w:val="none"/>
        </w:rPr>
      </w:pPr>
    </w:p>
    <w:p w14:paraId="5D2DD5EE">
      <w:pPr>
        <w:spacing w:line="247" w:lineRule="auto"/>
        <w:rPr>
          <w:rFonts w:ascii="Arial"/>
          <w:color w:val="auto"/>
          <w:sz w:val="21"/>
          <w:highlight w:val="none"/>
        </w:rPr>
      </w:pPr>
    </w:p>
    <w:p w14:paraId="3617A11A">
      <w:pPr>
        <w:spacing w:line="247" w:lineRule="auto"/>
        <w:rPr>
          <w:rFonts w:ascii="Arial"/>
          <w:color w:val="auto"/>
          <w:sz w:val="21"/>
          <w:highlight w:val="none"/>
        </w:rPr>
      </w:pPr>
    </w:p>
    <w:p w14:paraId="5EEDBDC3">
      <w:pPr>
        <w:spacing w:line="247" w:lineRule="auto"/>
        <w:rPr>
          <w:rFonts w:ascii="Arial"/>
          <w:color w:val="auto"/>
          <w:sz w:val="21"/>
          <w:highlight w:val="none"/>
        </w:rPr>
      </w:pPr>
    </w:p>
    <w:p w14:paraId="183B9CC6">
      <w:pPr>
        <w:spacing w:line="247" w:lineRule="auto"/>
        <w:rPr>
          <w:rFonts w:ascii="Arial"/>
          <w:color w:val="auto"/>
          <w:sz w:val="21"/>
          <w:highlight w:val="none"/>
        </w:rPr>
      </w:pPr>
    </w:p>
    <w:p w14:paraId="5A3B2C84">
      <w:pPr>
        <w:spacing w:line="247" w:lineRule="auto"/>
        <w:rPr>
          <w:rFonts w:ascii="Arial"/>
          <w:color w:val="auto"/>
          <w:sz w:val="21"/>
          <w:highlight w:val="none"/>
        </w:rPr>
      </w:pPr>
    </w:p>
    <w:p w14:paraId="05BD821A">
      <w:pPr>
        <w:spacing w:line="247" w:lineRule="auto"/>
        <w:rPr>
          <w:rFonts w:ascii="Arial"/>
          <w:color w:val="auto"/>
          <w:sz w:val="21"/>
          <w:highlight w:val="none"/>
        </w:rPr>
      </w:pPr>
    </w:p>
    <w:p w14:paraId="799D7B73">
      <w:pPr>
        <w:spacing w:line="247" w:lineRule="auto"/>
        <w:rPr>
          <w:rFonts w:ascii="Arial"/>
          <w:color w:val="auto"/>
          <w:sz w:val="21"/>
          <w:highlight w:val="none"/>
        </w:rPr>
      </w:pPr>
    </w:p>
    <w:p w14:paraId="3CBB358C">
      <w:pPr>
        <w:spacing w:line="247" w:lineRule="auto"/>
        <w:rPr>
          <w:rFonts w:ascii="Arial"/>
          <w:color w:val="auto"/>
          <w:sz w:val="21"/>
          <w:highlight w:val="none"/>
        </w:rPr>
      </w:pPr>
    </w:p>
    <w:p w14:paraId="157DA7A6">
      <w:pPr>
        <w:spacing w:line="247" w:lineRule="auto"/>
        <w:rPr>
          <w:rFonts w:ascii="Arial"/>
          <w:color w:val="auto"/>
          <w:sz w:val="21"/>
          <w:highlight w:val="none"/>
        </w:rPr>
      </w:pPr>
    </w:p>
    <w:p w14:paraId="7E48A5F1">
      <w:pPr>
        <w:spacing w:line="247" w:lineRule="auto"/>
        <w:rPr>
          <w:rFonts w:ascii="Arial"/>
          <w:color w:val="auto"/>
          <w:sz w:val="21"/>
          <w:highlight w:val="none"/>
        </w:rPr>
      </w:pPr>
    </w:p>
    <w:p w14:paraId="657EBB58">
      <w:pPr>
        <w:spacing w:line="247" w:lineRule="auto"/>
        <w:rPr>
          <w:rFonts w:ascii="Arial"/>
          <w:color w:val="auto"/>
          <w:sz w:val="21"/>
          <w:highlight w:val="none"/>
        </w:rPr>
      </w:pPr>
    </w:p>
    <w:p w14:paraId="57E8CA94">
      <w:pPr>
        <w:spacing w:line="247" w:lineRule="auto"/>
        <w:rPr>
          <w:rFonts w:ascii="Arial"/>
          <w:color w:val="auto"/>
          <w:sz w:val="21"/>
          <w:highlight w:val="none"/>
        </w:rPr>
      </w:pPr>
    </w:p>
    <w:p w14:paraId="081E50A9">
      <w:pPr>
        <w:spacing w:line="247" w:lineRule="auto"/>
        <w:rPr>
          <w:rFonts w:ascii="Arial"/>
          <w:color w:val="auto"/>
          <w:sz w:val="21"/>
          <w:highlight w:val="none"/>
        </w:rPr>
      </w:pPr>
    </w:p>
    <w:p w14:paraId="5F4216D8">
      <w:pPr>
        <w:spacing w:line="247" w:lineRule="auto"/>
        <w:rPr>
          <w:rFonts w:ascii="Arial"/>
          <w:color w:val="auto"/>
          <w:sz w:val="21"/>
          <w:highlight w:val="none"/>
        </w:rPr>
      </w:pPr>
    </w:p>
    <w:p w14:paraId="559901D3">
      <w:pPr>
        <w:spacing w:line="247" w:lineRule="auto"/>
        <w:rPr>
          <w:rFonts w:ascii="Arial"/>
          <w:color w:val="auto"/>
          <w:sz w:val="21"/>
          <w:highlight w:val="none"/>
        </w:rPr>
      </w:pPr>
    </w:p>
    <w:p w14:paraId="07CF7587">
      <w:pPr>
        <w:spacing w:line="247" w:lineRule="auto"/>
        <w:rPr>
          <w:rFonts w:ascii="Arial"/>
          <w:color w:val="auto"/>
          <w:sz w:val="21"/>
          <w:highlight w:val="none"/>
        </w:rPr>
      </w:pPr>
    </w:p>
    <w:p w14:paraId="078F48C4">
      <w:pPr>
        <w:spacing w:line="247" w:lineRule="auto"/>
        <w:rPr>
          <w:rFonts w:ascii="Arial"/>
          <w:color w:val="auto"/>
          <w:sz w:val="21"/>
          <w:highlight w:val="none"/>
        </w:rPr>
      </w:pPr>
    </w:p>
    <w:p w14:paraId="4EC129AB">
      <w:pPr>
        <w:spacing w:line="247" w:lineRule="auto"/>
        <w:rPr>
          <w:rFonts w:ascii="Arial"/>
          <w:color w:val="auto"/>
          <w:sz w:val="21"/>
          <w:highlight w:val="none"/>
        </w:rPr>
      </w:pPr>
    </w:p>
    <w:p w14:paraId="65C45976">
      <w:pPr>
        <w:spacing w:line="247" w:lineRule="auto"/>
        <w:rPr>
          <w:rFonts w:ascii="Arial"/>
          <w:color w:val="auto"/>
          <w:sz w:val="21"/>
          <w:highlight w:val="none"/>
        </w:rPr>
      </w:pPr>
    </w:p>
    <w:p w14:paraId="182E2DCE">
      <w:pPr>
        <w:spacing w:line="247" w:lineRule="auto"/>
        <w:rPr>
          <w:rFonts w:ascii="Arial"/>
          <w:color w:val="auto"/>
          <w:sz w:val="21"/>
          <w:highlight w:val="none"/>
        </w:rPr>
      </w:pPr>
    </w:p>
    <w:p w14:paraId="578CCADC">
      <w:pPr>
        <w:spacing w:line="247" w:lineRule="auto"/>
        <w:rPr>
          <w:rFonts w:ascii="Arial"/>
          <w:color w:val="auto"/>
          <w:sz w:val="21"/>
          <w:highlight w:val="none"/>
        </w:rPr>
      </w:pPr>
    </w:p>
    <w:p w14:paraId="689C4908">
      <w:pPr>
        <w:spacing w:line="247" w:lineRule="auto"/>
        <w:rPr>
          <w:rFonts w:ascii="Arial"/>
          <w:color w:val="auto"/>
          <w:sz w:val="21"/>
          <w:highlight w:val="none"/>
        </w:rPr>
      </w:pPr>
    </w:p>
    <w:p w14:paraId="764F4F76">
      <w:pPr>
        <w:spacing w:line="247" w:lineRule="auto"/>
        <w:rPr>
          <w:rFonts w:ascii="Arial"/>
          <w:color w:val="auto"/>
          <w:sz w:val="21"/>
          <w:highlight w:val="none"/>
        </w:rPr>
      </w:pPr>
    </w:p>
    <w:p w14:paraId="2BC4E25F">
      <w:pPr>
        <w:spacing w:line="247" w:lineRule="auto"/>
        <w:rPr>
          <w:rFonts w:ascii="Arial"/>
          <w:color w:val="auto"/>
          <w:sz w:val="21"/>
          <w:highlight w:val="none"/>
        </w:rPr>
      </w:pPr>
    </w:p>
    <w:p w14:paraId="769372E4">
      <w:pPr>
        <w:spacing w:line="247" w:lineRule="auto"/>
        <w:rPr>
          <w:rFonts w:ascii="Arial"/>
          <w:color w:val="auto"/>
          <w:sz w:val="21"/>
          <w:highlight w:val="none"/>
        </w:rPr>
      </w:pPr>
    </w:p>
    <w:p w14:paraId="02F968FF">
      <w:pPr>
        <w:spacing w:line="248" w:lineRule="auto"/>
        <w:rPr>
          <w:rFonts w:ascii="Arial"/>
          <w:color w:val="auto"/>
          <w:sz w:val="21"/>
          <w:highlight w:val="none"/>
        </w:rPr>
      </w:pPr>
    </w:p>
    <w:p w14:paraId="07647EBF">
      <w:pPr>
        <w:spacing w:line="217" w:lineRule="auto"/>
        <w:rPr>
          <w:rFonts w:ascii="宋体" w:hAnsi="宋体" w:eastAsia="宋体" w:cs="宋体"/>
          <w:color w:val="auto"/>
          <w:sz w:val="18"/>
          <w:szCs w:val="18"/>
          <w:highlight w:val="none"/>
        </w:rPr>
        <w:sectPr>
          <w:footerReference r:id="rId47" w:type="default"/>
          <w:pgSz w:w="11905" w:h="16838"/>
          <w:pgMar w:top="1134" w:right="1134" w:bottom="1134" w:left="1134" w:header="0" w:footer="1066" w:gutter="0"/>
          <w:pgNumType w:fmt="decimal"/>
          <w:cols w:space="0" w:num="1"/>
          <w:rtlGutter w:val="0"/>
          <w:docGrid w:linePitch="0" w:charSpace="0"/>
        </w:sectPr>
      </w:pPr>
    </w:p>
    <w:p w14:paraId="695D33DE">
      <w:pPr>
        <w:rPr>
          <w:rFonts w:ascii="Arial"/>
          <w:color w:val="auto"/>
          <w:sz w:val="21"/>
          <w:highlight w:val="none"/>
        </w:rPr>
      </w:pPr>
    </w:p>
    <w:p w14:paraId="6C8D053A">
      <w:pPr>
        <w:rPr>
          <w:rFonts w:ascii="Arial"/>
          <w:color w:val="auto"/>
          <w:sz w:val="21"/>
          <w:highlight w:val="none"/>
        </w:rPr>
      </w:pPr>
    </w:p>
    <w:p w14:paraId="66601AA9">
      <w:pPr>
        <w:pStyle w:val="4"/>
        <w:bidi w:val="0"/>
        <w:jc w:val="center"/>
        <w:rPr>
          <w:color w:val="auto"/>
          <w:highlight w:val="none"/>
        </w:rPr>
      </w:pPr>
      <w:r>
        <w:rPr>
          <w:color w:val="auto"/>
          <w:highlight w:val="none"/>
        </w:rPr>
        <w:t>（一）投标人的自评分表</w:t>
      </w:r>
    </w:p>
    <w:p w14:paraId="5119AC3F">
      <w:pPr>
        <w:spacing w:line="194" w:lineRule="exact"/>
        <w:rPr>
          <w:color w:val="auto"/>
          <w:highlight w:val="none"/>
        </w:rPr>
      </w:pPr>
    </w:p>
    <w:tbl>
      <w:tblPr>
        <w:tblStyle w:val="19"/>
        <w:tblW w:w="89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5"/>
        <w:gridCol w:w="1359"/>
        <w:gridCol w:w="911"/>
        <w:gridCol w:w="1679"/>
        <w:gridCol w:w="1221"/>
        <w:gridCol w:w="1392"/>
        <w:gridCol w:w="1569"/>
      </w:tblGrid>
      <w:tr w14:paraId="4DAC6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trPr>
        <w:tc>
          <w:tcPr>
            <w:tcW w:w="815" w:type="dxa"/>
            <w:vAlign w:val="top"/>
          </w:tcPr>
          <w:p w14:paraId="6F75513E">
            <w:pPr>
              <w:spacing w:line="366" w:lineRule="auto"/>
              <w:rPr>
                <w:rFonts w:ascii="Arial"/>
                <w:color w:val="auto"/>
                <w:sz w:val="21"/>
                <w:highlight w:val="none"/>
              </w:rPr>
            </w:pPr>
          </w:p>
          <w:p w14:paraId="0F044ADC">
            <w:pPr>
              <w:pStyle w:val="20"/>
              <w:spacing w:before="65" w:line="229" w:lineRule="auto"/>
              <w:ind w:left="113"/>
              <w:rPr>
                <w:color w:val="auto"/>
                <w:highlight w:val="none"/>
              </w:rPr>
            </w:pPr>
            <w:r>
              <w:rPr>
                <w:color w:val="auto"/>
                <w:spacing w:val="5"/>
                <w:highlight w:val="none"/>
              </w:rPr>
              <w:t>序号</w:t>
            </w:r>
          </w:p>
        </w:tc>
        <w:tc>
          <w:tcPr>
            <w:tcW w:w="1359" w:type="dxa"/>
            <w:vAlign w:val="top"/>
          </w:tcPr>
          <w:p w14:paraId="579B9005">
            <w:pPr>
              <w:spacing w:line="365" w:lineRule="auto"/>
              <w:rPr>
                <w:rFonts w:ascii="Arial"/>
                <w:color w:val="auto"/>
                <w:sz w:val="21"/>
                <w:highlight w:val="none"/>
              </w:rPr>
            </w:pPr>
          </w:p>
          <w:p w14:paraId="32ABC327">
            <w:pPr>
              <w:pStyle w:val="20"/>
              <w:spacing w:before="65" w:line="228" w:lineRule="auto"/>
              <w:ind w:left="263"/>
              <w:rPr>
                <w:color w:val="auto"/>
                <w:highlight w:val="none"/>
              </w:rPr>
            </w:pPr>
            <w:r>
              <w:rPr>
                <w:color w:val="auto"/>
                <w:spacing w:val="7"/>
                <w:highlight w:val="none"/>
              </w:rPr>
              <w:t>评分因素</w:t>
            </w:r>
          </w:p>
        </w:tc>
        <w:tc>
          <w:tcPr>
            <w:tcW w:w="911" w:type="dxa"/>
            <w:vAlign w:val="top"/>
          </w:tcPr>
          <w:p w14:paraId="7FA67128">
            <w:pPr>
              <w:spacing w:line="365" w:lineRule="auto"/>
              <w:rPr>
                <w:rFonts w:ascii="Arial"/>
                <w:color w:val="auto"/>
                <w:sz w:val="21"/>
                <w:highlight w:val="none"/>
              </w:rPr>
            </w:pPr>
          </w:p>
          <w:p w14:paraId="1E7754DB">
            <w:pPr>
              <w:pStyle w:val="20"/>
              <w:spacing w:before="65" w:line="228" w:lineRule="auto"/>
              <w:ind w:left="249"/>
              <w:rPr>
                <w:color w:val="auto"/>
                <w:highlight w:val="none"/>
              </w:rPr>
            </w:pPr>
            <w:r>
              <w:rPr>
                <w:color w:val="auto"/>
                <w:spacing w:val="4"/>
                <w:highlight w:val="none"/>
              </w:rPr>
              <w:t>满分</w:t>
            </w:r>
          </w:p>
        </w:tc>
        <w:tc>
          <w:tcPr>
            <w:tcW w:w="1679" w:type="dxa"/>
            <w:vAlign w:val="top"/>
          </w:tcPr>
          <w:p w14:paraId="5F8667E0">
            <w:pPr>
              <w:spacing w:line="366" w:lineRule="auto"/>
              <w:rPr>
                <w:rFonts w:ascii="Arial"/>
                <w:color w:val="auto"/>
                <w:sz w:val="21"/>
                <w:highlight w:val="none"/>
              </w:rPr>
            </w:pPr>
          </w:p>
          <w:p w14:paraId="0D8833B5">
            <w:pPr>
              <w:pStyle w:val="20"/>
              <w:spacing w:before="65" w:line="228" w:lineRule="auto"/>
              <w:ind w:left="424"/>
              <w:rPr>
                <w:color w:val="auto"/>
                <w:highlight w:val="none"/>
              </w:rPr>
            </w:pPr>
            <w:r>
              <w:rPr>
                <w:color w:val="auto"/>
                <w:spacing w:val="7"/>
                <w:highlight w:val="none"/>
              </w:rPr>
              <w:t>评分标准</w:t>
            </w:r>
          </w:p>
        </w:tc>
        <w:tc>
          <w:tcPr>
            <w:tcW w:w="1221" w:type="dxa"/>
            <w:vAlign w:val="top"/>
          </w:tcPr>
          <w:p w14:paraId="2E619048">
            <w:pPr>
              <w:spacing w:line="366" w:lineRule="auto"/>
              <w:rPr>
                <w:rFonts w:ascii="Arial"/>
                <w:color w:val="auto"/>
                <w:sz w:val="21"/>
                <w:highlight w:val="none"/>
              </w:rPr>
            </w:pPr>
          </w:p>
          <w:p w14:paraId="59998BDD">
            <w:pPr>
              <w:pStyle w:val="20"/>
              <w:spacing w:before="65" w:line="228" w:lineRule="auto"/>
              <w:ind w:left="336"/>
              <w:rPr>
                <w:color w:val="auto"/>
                <w:highlight w:val="none"/>
              </w:rPr>
            </w:pPr>
            <w:r>
              <w:rPr>
                <w:color w:val="auto"/>
                <w:spacing w:val="-5"/>
                <w:highlight w:val="none"/>
              </w:rPr>
              <w:t>自评分</w:t>
            </w:r>
          </w:p>
        </w:tc>
        <w:tc>
          <w:tcPr>
            <w:tcW w:w="1392" w:type="dxa"/>
            <w:vAlign w:val="top"/>
          </w:tcPr>
          <w:p w14:paraId="314E1F1A">
            <w:pPr>
              <w:pStyle w:val="20"/>
              <w:spacing w:before="229" w:line="378" w:lineRule="auto"/>
              <w:ind w:left="616" w:right="168" w:hanging="440"/>
              <w:rPr>
                <w:color w:val="auto"/>
                <w:highlight w:val="none"/>
              </w:rPr>
            </w:pPr>
            <w:r>
              <w:rPr>
                <w:color w:val="auto"/>
                <w:spacing w:val="8"/>
                <w:highlight w:val="none"/>
              </w:rPr>
              <w:t>评分情况说</w:t>
            </w:r>
            <w:r>
              <w:rPr>
                <w:color w:val="auto"/>
                <w:highlight w:val="none"/>
              </w:rPr>
              <w:t>明</w:t>
            </w:r>
          </w:p>
        </w:tc>
        <w:tc>
          <w:tcPr>
            <w:tcW w:w="1569" w:type="dxa"/>
            <w:vAlign w:val="top"/>
          </w:tcPr>
          <w:p w14:paraId="246962FB">
            <w:pPr>
              <w:spacing w:line="366" w:lineRule="auto"/>
              <w:rPr>
                <w:rFonts w:ascii="Arial"/>
                <w:color w:val="auto"/>
                <w:sz w:val="21"/>
                <w:highlight w:val="none"/>
              </w:rPr>
            </w:pPr>
          </w:p>
          <w:p w14:paraId="5C863F06">
            <w:pPr>
              <w:pStyle w:val="20"/>
              <w:spacing w:before="65" w:line="228" w:lineRule="auto"/>
              <w:ind w:left="374"/>
              <w:rPr>
                <w:color w:val="auto"/>
                <w:highlight w:val="none"/>
              </w:rPr>
            </w:pPr>
            <w:r>
              <w:rPr>
                <w:color w:val="auto"/>
                <w:spacing w:val="6"/>
                <w:highlight w:val="none"/>
              </w:rPr>
              <w:t>页码索引</w:t>
            </w:r>
          </w:p>
        </w:tc>
      </w:tr>
      <w:tr w14:paraId="23555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5" w:type="dxa"/>
            <w:vAlign w:val="top"/>
          </w:tcPr>
          <w:p w14:paraId="18A1522F">
            <w:pPr>
              <w:rPr>
                <w:rFonts w:ascii="Arial"/>
                <w:color w:val="auto"/>
                <w:sz w:val="21"/>
                <w:highlight w:val="none"/>
              </w:rPr>
            </w:pPr>
          </w:p>
        </w:tc>
        <w:tc>
          <w:tcPr>
            <w:tcW w:w="1359" w:type="dxa"/>
            <w:vAlign w:val="top"/>
          </w:tcPr>
          <w:p w14:paraId="74B8B97C">
            <w:pPr>
              <w:rPr>
                <w:rFonts w:ascii="Arial"/>
                <w:color w:val="auto"/>
                <w:sz w:val="21"/>
                <w:highlight w:val="none"/>
              </w:rPr>
            </w:pPr>
          </w:p>
        </w:tc>
        <w:tc>
          <w:tcPr>
            <w:tcW w:w="911" w:type="dxa"/>
            <w:vAlign w:val="top"/>
          </w:tcPr>
          <w:p w14:paraId="584CED9A">
            <w:pPr>
              <w:rPr>
                <w:rFonts w:ascii="Arial"/>
                <w:color w:val="auto"/>
                <w:sz w:val="21"/>
                <w:highlight w:val="none"/>
              </w:rPr>
            </w:pPr>
          </w:p>
        </w:tc>
        <w:tc>
          <w:tcPr>
            <w:tcW w:w="1679" w:type="dxa"/>
            <w:vAlign w:val="top"/>
          </w:tcPr>
          <w:p w14:paraId="6BF7A1F2">
            <w:pPr>
              <w:pStyle w:val="20"/>
              <w:spacing w:before="30" w:line="360" w:lineRule="auto"/>
              <w:ind w:left="533" w:right="209" w:hanging="315"/>
              <w:rPr>
                <w:color w:val="auto"/>
                <w:highlight w:val="none"/>
              </w:rPr>
            </w:pPr>
            <w:r>
              <w:rPr>
                <w:color w:val="auto"/>
                <w:spacing w:val="7"/>
                <w:highlight w:val="none"/>
              </w:rPr>
              <w:t>与评标办法规</w:t>
            </w:r>
            <w:r>
              <w:rPr>
                <w:color w:val="auto"/>
                <w:spacing w:val="5"/>
                <w:highlight w:val="none"/>
              </w:rPr>
              <w:t>定一致</w:t>
            </w:r>
          </w:p>
        </w:tc>
        <w:tc>
          <w:tcPr>
            <w:tcW w:w="1221" w:type="dxa"/>
            <w:vAlign w:val="top"/>
          </w:tcPr>
          <w:p w14:paraId="3E1FE903">
            <w:pPr>
              <w:rPr>
                <w:rFonts w:ascii="Arial"/>
                <w:color w:val="auto"/>
                <w:sz w:val="21"/>
                <w:highlight w:val="none"/>
              </w:rPr>
            </w:pPr>
          </w:p>
        </w:tc>
        <w:tc>
          <w:tcPr>
            <w:tcW w:w="1392" w:type="dxa"/>
            <w:vAlign w:val="top"/>
          </w:tcPr>
          <w:p w14:paraId="1C12D485">
            <w:pPr>
              <w:rPr>
                <w:rFonts w:ascii="Arial"/>
                <w:color w:val="auto"/>
                <w:sz w:val="21"/>
                <w:highlight w:val="none"/>
              </w:rPr>
            </w:pPr>
          </w:p>
        </w:tc>
        <w:tc>
          <w:tcPr>
            <w:tcW w:w="1569" w:type="dxa"/>
            <w:vAlign w:val="top"/>
          </w:tcPr>
          <w:p w14:paraId="4E17B5CC">
            <w:pPr>
              <w:rPr>
                <w:rFonts w:ascii="Arial"/>
                <w:color w:val="auto"/>
                <w:sz w:val="21"/>
                <w:highlight w:val="none"/>
              </w:rPr>
            </w:pPr>
          </w:p>
        </w:tc>
      </w:tr>
      <w:tr w14:paraId="46A95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5" w:type="dxa"/>
            <w:vAlign w:val="top"/>
          </w:tcPr>
          <w:p w14:paraId="5D06A8E9">
            <w:pPr>
              <w:rPr>
                <w:rFonts w:ascii="Arial"/>
                <w:color w:val="auto"/>
                <w:sz w:val="21"/>
                <w:highlight w:val="none"/>
              </w:rPr>
            </w:pPr>
          </w:p>
        </w:tc>
        <w:tc>
          <w:tcPr>
            <w:tcW w:w="1359" w:type="dxa"/>
            <w:vAlign w:val="top"/>
          </w:tcPr>
          <w:p w14:paraId="339FAFAD">
            <w:pPr>
              <w:rPr>
                <w:rFonts w:ascii="Arial"/>
                <w:color w:val="auto"/>
                <w:sz w:val="21"/>
                <w:highlight w:val="none"/>
              </w:rPr>
            </w:pPr>
          </w:p>
        </w:tc>
        <w:tc>
          <w:tcPr>
            <w:tcW w:w="911" w:type="dxa"/>
            <w:vAlign w:val="top"/>
          </w:tcPr>
          <w:p w14:paraId="44097D12">
            <w:pPr>
              <w:rPr>
                <w:rFonts w:ascii="Arial"/>
                <w:color w:val="auto"/>
                <w:sz w:val="21"/>
                <w:highlight w:val="none"/>
              </w:rPr>
            </w:pPr>
          </w:p>
        </w:tc>
        <w:tc>
          <w:tcPr>
            <w:tcW w:w="1679" w:type="dxa"/>
            <w:vAlign w:val="top"/>
          </w:tcPr>
          <w:p w14:paraId="1558B644">
            <w:pPr>
              <w:pStyle w:val="20"/>
              <w:spacing w:before="33" w:line="359" w:lineRule="auto"/>
              <w:ind w:left="533" w:right="157" w:hanging="262"/>
              <w:rPr>
                <w:color w:val="auto"/>
                <w:highlight w:val="none"/>
              </w:rPr>
            </w:pPr>
            <w:r>
              <w:rPr>
                <w:color w:val="auto"/>
                <w:spacing w:val="7"/>
                <w:highlight w:val="none"/>
              </w:rPr>
              <w:t>与评标办法规</w:t>
            </w:r>
            <w:r>
              <w:rPr>
                <w:color w:val="auto"/>
                <w:spacing w:val="5"/>
                <w:highlight w:val="none"/>
              </w:rPr>
              <w:t>定一致</w:t>
            </w:r>
          </w:p>
        </w:tc>
        <w:tc>
          <w:tcPr>
            <w:tcW w:w="1221" w:type="dxa"/>
            <w:vAlign w:val="top"/>
          </w:tcPr>
          <w:p w14:paraId="6184E94D">
            <w:pPr>
              <w:rPr>
                <w:rFonts w:ascii="Arial"/>
                <w:color w:val="auto"/>
                <w:sz w:val="21"/>
                <w:highlight w:val="none"/>
              </w:rPr>
            </w:pPr>
          </w:p>
        </w:tc>
        <w:tc>
          <w:tcPr>
            <w:tcW w:w="1392" w:type="dxa"/>
            <w:vAlign w:val="top"/>
          </w:tcPr>
          <w:p w14:paraId="3BC5A893">
            <w:pPr>
              <w:rPr>
                <w:rFonts w:ascii="Arial"/>
                <w:color w:val="auto"/>
                <w:sz w:val="21"/>
                <w:highlight w:val="none"/>
              </w:rPr>
            </w:pPr>
          </w:p>
        </w:tc>
        <w:tc>
          <w:tcPr>
            <w:tcW w:w="1569" w:type="dxa"/>
            <w:vAlign w:val="top"/>
          </w:tcPr>
          <w:p w14:paraId="6BF0AF66">
            <w:pPr>
              <w:rPr>
                <w:rFonts w:ascii="Arial"/>
                <w:color w:val="auto"/>
                <w:sz w:val="21"/>
                <w:highlight w:val="none"/>
              </w:rPr>
            </w:pPr>
          </w:p>
        </w:tc>
      </w:tr>
      <w:tr w14:paraId="7DACC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815" w:type="dxa"/>
            <w:vAlign w:val="top"/>
          </w:tcPr>
          <w:p w14:paraId="05E18C47">
            <w:pPr>
              <w:rPr>
                <w:rFonts w:ascii="Arial"/>
                <w:color w:val="auto"/>
                <w:sz w:val="21"/>
                <w:highlight w:val="none"/>
              </w:rPr>
            </w:pPr>
          </w:p>
        </w:tc>
        <w:tc>
          <w:tcPr>
            <w:tcW w:w="1359" w:type="dxa"/>
            <w:vAlign w:val="top"/>
          </w:tcPr>
          <w:p w14:paraId="3B289CD6">
            <w:pPr>
              <w:rPr>
                <w:rFonts w:ascii="Arial"/>
                <w:color w:val="auto"/>
                <w:sz w:val="21"/>
                <w:highlight w:val="none"/>
              </w:rPr>
            </w:pPr>
          </w:p>
        </w:tc>
        <w:tc>
          <w:tcPr>
            <w:tcW w:w="911" w:type="dxa"/>
            <w:vAlign w:val="top"/>
          </w:tcPr>
          <w:p w14:paraId="58049F6F">
            <w:pPr>
              <w:rPr>
                <w:rFonts w:ascii="Arial"/>
                <w:color w:val="auto"/>
                <w:sz w:val="21"/>
                <w:highlight w:val="none"/>
              </w:rPr>
            </w:pPr>
          </w:p>
        </w:tc>
        <w:tc>
          <w:tcPr>
            <w:tcW w:w="1679" w:type="dxa"/>
            <w:vAlign w:val="top"/>
          </w:tcPr>
          <w:p w14:paraId="11A5A390">
            <w:pPr>
              <w:pStyle w:val="20"/>
              <w:spacing w:before="74" w:line="378" w:lineRule="auto"/>
              <w:ind w:left="533" w:right="205" w:hanging="310"/>
              <w:rPr>
                <w:color w:val="auto"/>
                <w:highlight w:val="none"/>
              </w:rPr>
            </w:pPr>
            <w:r>
              <w:rPr>
                <w:color w:val="auto"/>
                <w:spacing w:val="7"/>
                <w:highlight w:val="none"/>
              </w:rPr>
              <w:t>与评标办法规</w:t>
            </w:r>
            <w:r>
              <w:rPr>
                <w:color w:val="auto"/>
                <w:spacing w:val="5"/>
                <w:highlight w:val="none"/>
              </w:rPr>
              <w:t>定一致</w:t>
            </w:r>
          </w:p>
        </w:tc>
        <w:tc>
          <w:tcPr>
            <w:tcW w:w="1221" w:type="dxa"/>
            <w:vAlign w:val="top"/>
          </w:tcPr>
          <w:p w14:paraId="48F5DA1F">
            <w:pPr>
              <w:rPr>
                <w:rFonts w:ascii="Arial"/>
                <w:color w:val="auto"/>
                <w:sz w:val="21"/>
                <w:highlight w:val="none"/>
              </w:rPr>
            </w:pPr>
          </w:p>
        </w:tc>
        <w:tc>
          <w:tcPr>
            <w:tcW w:w="1392" w:type="dxa"/>
            <w:vAlign w:val="top"/>
          </w:tcPr>
          <w:p w14:paraId="49FB22D1">
            <w:pPr>
              <w:rPr>
                <w:rFonts w:ascii="Arial"/>
                <w:color w:val="auto"/>
                <w:sz w:val="21"/>
                <w:highlight w:val="none"/>
              </w:rPr>
            </w:pPr>
          </w:p>
        </w:tc>
        <w:tc>
          <w:tcPr>
            <w:tcW w:w="1569" w:type="dxa"/>
            <w:vAlign w:val="top"/>
          </w:tcPr>
          <w:p w14:paraId="005C2BB2">
            <w:pPr>
              <w:rPr>
                <w:rFonts w:ascii="Arial"/>
                <w:color w:val="auto"/>
                <w:sz w:val="21"/>
                <w:highlight w:val="none"/>
              </w:rPr>
            </w:pPr>
          </w:p>
        </w:tc>
      </w:tr>
      <w:tr w14:paraId="69916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5" w:type="dxa"/>
            <w:vAlign w:val="top"/>
          </w:tcPr>
          <w:p w14:paraId="0FD2C448">
            <w:pPr>
              <w:rPr>
                <w:rFonts w:ascii="Arial"/>
                <w:color w:val="auto"/>
                <w:sz w:val="21"/>
                <w:highlight w:val="none"/>
              </w:rPr>
            </w:pPr>
          </w:p>
        </w:tc>
        <w:tc>
          <w:tcPr>
            <w:tcW w:w="1359" w:type="dxa"/>
            <w:vAlign w:val="top"/>
          </w:tcPr>
          <w:p w14:paraId="6A7BC04B">
            <w:pPr>
              <w:rPr>
                <w:rFonts w:ascii="Arial"/>
                <w:color w:val="auto"/>
                <w:sz w:val="21"/>
                <w:highlight w:val="none"/>
              </w:rPr>
            </w:pPr>
          </w:p>
        </w:tc>
        <w:tc>
          <w:tcPr>
            <w:tcW w:w="911" w:type="dxa"/>
            <w:vAlign w:val="top"/>
          </w:tcPr>
          <w:p w14:paraId="06CFCDF6">
            <w:pPr>
              <w:rPr>
                <w:rFonts w:ascii="Arial"/>
                <w:color w:val="auto"/>
                <w:sz w:val="21"/>
                <w:highlight w:val="none"/>
              </w:rPr>
            </w:pPr>
          </w:p>
        </w:tc>
        <w:tc>
          <w:tcPr>
            <w:tcW w:w="1679" w:type="dxa"/>
            <w:vAlign w:val="top"/>
          </w:tcPr>
          <w:p w14:paraId="5BD8F58D">
            <w:pPr>
              <w:pStyle w:val="20"/>
              <w:spacing w:before="35" w:line="358" w:lineRule="auto"/>
              <w:ind w:left="533" w:right="209" w:hanging="315"/>
              <w:rPr>
                <w:color w:val="auto"/>
                <w:highlight w:val="none"/>
              </w:rPr>
            </w:pPr>
            <w:r>
              <w:rPr>
                <w:color w:val="auto"/>
                <w:spacing w:val="7"/>
                <w:highlight w:val="none"/>
              </w:rPr>
              <w:t>与评标办法规</w:t>
            </w:r>
            <w:r>
              <w:rPr>
                <w:color w:val="auto"/>
                <w:spacing w:val="5"/>
                <w:highlight w:val="none"/>
              </w:rPr>
              <w:t>定一致</w:t>
            </w:r>
          </w:p>
        </w:tc>
        <w:tc>
          <w:tcPr>
            <w:tcW w:w="1221" w:type="dxa"/>
            <w:vAlign w:val="top"/>
          </w:tcPr>
          <w:p w14:paraId="4FBEC3E3">
            <w:pPr>
              <w:rPr>
                <w:rFonts w:ascii="Arial"/>
                <w:color w:val="auto"/>
                <w:sz w:val="21"/>
                <w:highlight w:val="none"/>
              </w:rPr>
            </w:pPr>
          </w:p>
        </w:tc>
        <w:tc>
          <w:tcPr>
            <w:tcW w:w="1392" w:type="dxa"/>
            <w:vAlign w:val="top"/>
          </w:tcPr>
          <w:p w14:paraId="55EE312D">
            <w:pPr>
              <w:rPr>
                <w:rFonts w:ascii="Arial"/>
                <w:color w:val="auto"/>
                <w:sz w:val="21"/>
                <w:highlight w:val="none"/>
              </w:rPr>
            </w:pPr>
          </w:p>
        </w:tc>
        <w:tc>
          <w:tcPr>
            <w:tcW w:w="1569" w:type="dxa"/>
            <w:vAlign w:val="top"/>
          </w:tcPr>
          <w:p w14:paraId="0C00C781">
            <w:pPr>
              <w:rPr>
                <w:rFonts w:ascii="Arial"/>
                <w:color w:val="auto"/>
                <w:sz w:val="21"/>
                <w:highlight w:val="none"/>
              </w:rPr>
            </w:pPr>
          </w:p>
        </w:tc>
      </w:tr>
      <w:tr w14:paraId="4431A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2174" w:type="dxa"/>
            <w:gridSpan w:val="2"/>
            <w:vAlign w:val="top"/>
          </w:tcPr>
          <w:p w14:paraId="66C8D363">
            <w:pPr>
              <w:spacing w:line="246" w:lineRule="auto"/>
              <w:rPr>
                <w:rFonts w:ascii="Arial"/>
                <w:color w:val="auto"/>
                <w:sz w:val="21"/>
                <w:highlight w:val="none"/>
              </w:rPr>
            </w:pPr>
          </w:p>
          <w:p w14:paraId="24A2EF16">
            <w:pPr>
              <w:pStyle w:val="20"/>
              <w:spacing w:before="65" w:line="229" w:lineRule="auto"/>
              <w:ind w:left="883"/>
              <w:rPr>
                <w:color w:val="auto"/>
                <w:highlight w:val="none"/>
              </w:rPr>
            </w:pPr>
            <w:r>
              <w:rPr>
                <w:color w:val="auto"/>
                <w:spacing w:val="4"/>
                <w:highlight w:val="none"/>
              </w:rPr>
              <w:t>合计</w:t>
            </w:r>
          </w:p>
        </w:tc>
        <w:tc>
          <w:tcPr>
            <w:tcW w:w="911" w:type="dxa"/>
            <w:vAlign w:val="top"/>
          </w:tcPr>
          <w:p w14:paraId="6C3D8E90">
            <w:pPr>
              <w:rPr>
                <w:rFonts w:ascii="Arial"/>
                <w:color w:val="auto"/>
                <w:sz w:val="21"/>
                <w:highlight w:val="none"/>
              </w:rPr>
            </w:pPr>
          </w:p>
        </w:tc>
        <w:tc>
          <w:tcPr>
            <w:tcW w:w="1679" w:type="dxa"/>
            <w:vAlign w:val="top"/>
          </w:tcPr>
          <w:p w14:paraId="47396551">
            <w:pPr>
              <w:spacing w:line="343" w:lineRule="auto"/>
              <w:rPr>
                <w:rFonts w:ascii="Arial"/>
                <w:color w:val="auto"/>
                <w:sz w:val="21"/>
                <w:highlight w:val="none"/>
              </w:rPr>
            </w:pPr>
          </w:p>
          <w:p w14:paraId="08113C5E">
            <w:pPr>
              <w:pStyle w:val="20"/>
              <w:spacing w:before="65" w:line="136" w:lineRule="exact"/>
              <w:ind w:left="793"/>
              <w:rPr>
                <w:color w:val="auto"/>
                <w:highlight w:val="none"/>
              </w:rPr>
            </w:pPr>
            <w:r>
              <w:rPr>
                <w:color w:val="auto"/>
                <w:position w:val="-3"/>
                <w:highlight w:val="none"/>
              </w:rPr>
              <w:t>-</w:t>
            </w:r>
          </w:p>
        </w:tc>
        <w:tc>
          <w:tcPr>
            <w:tcW w:w="1221" w:type="dxa"/>
            <w:vAlign w:val="top"/>
          </w:tcPr>
          <w:p w14:paraId="6A4A17DC">
            <w:pPr>
              <w:rPr>
                <w:rFonts w:ascii="Arial"/>
                <w:color w:val="auto"/>
                <w:sz w:val="21"/>
                <w:highlight w:val="none"/>
              </w:rPr>
            </w:pPr>
          </w:p>
        </w:tc>
        <w:tc>
          <w:tcPr>
            <w:tcW w:w="2961" w:type="dxa"/>
            <w:gridSpan w:val="2"/>
            <w:vAlign w:val="top"/>
          </w:tcPr>
          <w:p w14:paraId="70EEED1E">
            <w:pPr>
              <w:spacing w:line="343" w:lineRule="auto"/>
              <w:rPr>
                <w:rFonts w:ascii="Arial"/>
                <w:color w:val="auto"/>
                <w:sz w:val="21"/>
                <w:highlight w:val="none"/>
              </w:rPr>
            </w:pPr>
          </w:p>
          <w:p w14:paraId="2A1461CB">
            <w:pPr>
              <w:pStyle w:val="20"/>
              <w:spacing w:before="65" w:line="136" w:lineRule="exact"/>
              <w:ind w:left="1431"/>
              <w:rPr>
                <w:color w:val="auto"/>
                <w:highlight w:val="none"/>
              </w:rPr>
            </w:pPr>
            <w:r>
              <w:rPr>
                <w:color w:val="auto"/>
                <w:position w:val="-3"/>
                <w:highlight w:val="none"/>
              </w:rPr>
              <w:t>-</w:t>
            </w:r>
          </w:p>
        </w:tc>
      </w:tr>
    </w:tbl>
    <w:p w14:paraId="31C07191">
      <w:pPr>
        <w:spacing w:line="373" w:lineRule="auto"/>
        <w:rPr>
          <w:rFonts w:ascii="Arial"/>
          <w:color w:val="auto"/>
          <w:sz w:val="21"/>
          <w:highlight w:val="none"/>
        </w:rPr>
      </w:pPr>
    </w:p>
    <w:p w14:paraId="360CB1B1">
      <w:pPr>
        <w:spacing w:before="65" w:line="227" w:lineRule="auto"/>
        <w:ind w:left="420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投标人：</w:t>
      </w:r>
      <w:r>
        <w:rPr>
          <w:rFonts w:ascii="宋体" w:hAnsi="宋体" w:eastAsia="宋体" w:cs="宋体"/>
          <w:color w:val="auto"/>
          <w:sz w:val="20"/>
          <w:szCs w:val="20"/>
          <w:highlight w:val="none"/>
          <w:u w:val="single" w:color="auto"/>
        </w:rPr>
        <w:t xml:space="preserve">                       </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(盖单位章)</w:t>
      </w:r>
    </w:p>
    <w:p w14:paraId="49D3A8CD">
      <w:pPr>
        <w:spacing w:line="250" w:lineRule="auto"/>
        <w:rPr>
          <w:rFonts w:ascii="Arial"/>
          <w:color w:val="auto"/>
          <w:sz w:val="21"/>
          <w:highlight w:val="none"/>
        </w:rPr>
      </w:pPr>
    </w:p>
    <w:p w14:paraId="20150294">
      <w:pPr>
        <w:spacing w:line="251" w:lineRule="auto"/>
        <w:rPr>
          <w:rFonts w:ascii="Arial"/>
          <w:color w:val="auto"/>
          <w:sz w:val="21"/>
          <w:highlight w:val="none"/>
        </w:rPr>
      </w:pPr>
    </w:p>
    <w:p w14:paraId="7BD17E42">
      <w:pPr>
        <w:bidi w:val="0"/>
        <w:ind w:firstLine="4142" w:firstLineChars="190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法定代表人（或被授权人）签名：</w:t>
      </w:r>
      <w:r>
        <w:rPr>
          <w:rFonts w:ascii="宋体" w:hAnsi="宋体" w:eastAsia="宋体" w:cs="宋体"/>
          <w:color w:val="auto"/>
          <w:sz w:val="20"/>
          <w:szCs w:val="20"/>
          <w:highlight w:val="none"/>
          <w:u w:val="single" w:color="auto"/>
        </w:rPr>
        <w:t xml:space="preserve">            </w:t>
      </w:r>
    </w:p>
    <w:p w14:paraId="34FD9F83">
      <w:pPr>
        <w:spacing w:line="228" w:lineRule="auto"/>
        <w:rPr>
          <w:rFonts w:ascii="宋体" w:hAnsi="宋体" w:eastAsia="宋体" w:cs="宋体"/>
          <w:color w:val="auto"/>
          <w:sz w:val="20"/>
          <w:szCs w:val="20"/>
          <w:highlight w:val="none"/>
        </w:rPr>
        <w:sectPr>
          <w:footerReference r:id="rId48" w:type="default"/>
          <w:pgSz w:w="11905" w:h="16838"/>
          <w:pgMar w:top="1134" w:right="1134" w:bottom="1134" w:left="1134" w:header="0" w:footer="1066" w:gutter="0"/>
          <w:pgNumType w:fmt="decimal"/>
          <w:cols w:space="0" w:num="1"/>
          <w:rtlGutter w:val="0"/>
          <w:docGrid w:linePitch="0" w:charSpace="0"/>
        </w:sectPr>
      </w:pPr>
    </w:p>
    <w:p w14:paraId="2A3CDFDE">
      <w:pPr>
        <w:spacing w:line="278" w:lineRule="auto"/>
        <w:rPr>
          <w:rFonts w:ascii="Arial"/>
          <w:color w:val="auto"/>
          <w:sz w:val="21"/>
          <w:highlight w:val="none"/>
        </w:rPr>
      </w:pPr>
    </w:p>
    <w:p w14:paraId="25A466D7">
      <w:pPr>
        <w:pStyle w:val="3"/>
        <w:bidi w:val="0"/>
        <w:jc w:val="center"/>
        <w:rPr>
          <w:color w:val="auto"/>
          <w:highlight w:val="none"/>
        </w:rPr>
      </w:pPr>
      <w:r>
        <w:rPr>
          <w:color w:val="auto"/>
          <w:highlight w:val="none"/>
        </w:rPr>
        <w:t>七、技术建议书</w:t>
      </w:r>
    </w:p>
    <w:p w14:paraId="0B12690A">
      <w:pPr>
        <w:spacing w:line="260" w:lineRule="auto"/>
        <w:rPr>
          <w:rFonts w:ascii="Arial"/>
          <w:color w:val="auto"/>
          <w:sz w:val="21"/>
          <w:highlight w:val="none"/>
        </w:rPr>
      </w:pPr>
    </w:p>
    <w:p w14:paraId="54DA2EE1">
      <w:pPr>
        <w:spacing w:line="261" w:lineRule="auto"/>
        <w:rPr>
          <w:rFonts w:ascii="Arial"/>
          <w:color w:val="auto"/>
          <w:sz w:val="21"/>
          <w:highlight w:val="none"/>
        </w:rPr>
      </w:pPr>
    </w:p>
    <w:p w14:paraId="3EC70290">
      <w:pPr>
        <w:spacing w:line="261" w:lineRule="auto"/>
        <w:rPr>
          <w:rFonts w:ascii="Arial"/>
          <w:color w:val="auto"/>
          <w:sz w:val="21"/>
          <w:highlight w:val="none"/>
        </w:rPr>
      </w:pPr>
    </w:p>
    <w:p w14:paraId="397B79ED">
      <w:pPr>
        <w:spacing w:before="78" w:line="219" w:lineRule="auto"/>
        <w:ind w:left="49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 工程概述：主要对拟投监理标段的工程总体概况进行简单描述。</w:t>
      </w:r>
    </w:p>
    <w:p w14:paraId="23E3E34E">
      <w:pPr>
        <w:spacing w:before="154" w:line="339" w:lineRule="auto"/>
        <w:ind w:left="2"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 监理工作范围：依据监理合同中约定的监</w:t>
      </w:r>
      <w:r>
        <w:rPr>
          <w:rFonts w:ascii="宋体" w:hAnsi="宋体" w:eastAsia="宋体" w:cs="宋体"/>
          <w:color w:val="auto"/>
          <w:spacing w:val="1"/>
          <w:sz w:val="24"/>
          <w:szCs w:val="24"/>
          <w:highlight w:val="none"/>
        </w:rPr>
        <w:t>理服务的要求和范围，对拟投监理标</w:t>
      </w:r>
      <w:r>
        <w:rPr>
          <w:rFonts w:ascii="宋体" w:hAnsi="宋体" w:eastAsia="宋体" w:cs="宋体"/>
          <w:color w:val="auto"/>
          <w:spacing w:val="-1"/>
          <w:sz w:val="24"/>
          <w:szCs w:val="24"/>
          <w:highlight w:val="none"/>
        </w:rPr>
        <w:t>段的监理工作安排、主要监理人员的岗位职责进行必要的阐述。</w:t>
      </w:r>
    </w:p>
    <w:p w14:paraId="16B14AE9">
      <w:pPr>
        <w:spacing w:before="2" w:line="337" w:lineRule="auto"/>
        <w:ind w:left="5" w:firstLine="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 现场监理机构设置与人员安排：通过</w:t>
      </w:r>
      <w:r>
        <w:rPr>
          <w:rFonts w:ascii="宋体" w:hAnsi="宋体" w:eastAsia="宋体" w:cs="宋体"/>
          <w:color w:val="auto"/>
          <w:spacing w:val="1"/>
          <w:sz w:val="24"/>
          <w:szCs w:val="24"/>
          <w:highlight w:val="none"/>
        </w:rPr>
        <w:t>框图形式，明确拟投监理标段的组织机构</w:t>
      </w:r>
      <w:r>
        <w:rPr>
          <w:rFonts w:ascii="宋体" w:hAnsi="宋体" w:eastAsia="宋体" w:cs="宋体"/>
          <w:color w:val="auto"/>
          <w:spacing w:val="-5"/>
          <w:sz w:val="24"/>
          <w:szCs w:val="24"/>
          <w:highlight w:val="none"/>
        </w:rPr>
        <w:t>设置。</w:t>
      </w:r>
    </w:p>
    <w:p w14:paraId="6A3EA0B0">
      <w:pPr>
        <w:spacing w:before="2" w:line="338" w:lineRule="auto"/>
        <w:ind w:left="2" w:firstLine="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 监理仪器、设备和设施的配备：投标人根据拟投监</w:t>
      </w:r>
      <w:r>
        <w:rPr>
          <w:rFonts w:ascii="宋体" w:hAnsi="宋体" w:eastAsia="宋体" w:cs="宋体"/>
          <w:color w:val="auto"/>
          <w:spacing w:val="1"/>
          <w:sz w:val="24"/>
          <w:szCs w:val="24"/>
          <w:highlight w:val="none"/>
        </w:rPr>
        <w:t>理标段的现场工作需要，对</w:t>
      </w:r>
      <w:r>
        <w:rPr>
          <w:rFonts w:ascii="宋体" w:hAnsi="宋体" w:eastAsia="宋体" w:cs="宋体"/>
          <w:color w:val="auto"/>
          <w:spacing w:val="-1"/>
          <w:sz w:val="24"/>
          <w:szCs w:val="24"/>
          <w:highlight w:val="none"/>
        </w:rPr>
        <w:t>其拟投入本工程的监理仪器、设备和设施的配备等情况作简要介绍。</w:t>
      </w:r>
    </w:p>
    <w:p w14:paraId="765707EE">
      <w:pPr>
        <w:spacing w:before="1" w:line="338" w:lineRule="auto"/>
        <w:ind w:firstLine="48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 监理工作程序：结合监理工作的阶段</w:t>
      </w:r>
      <w:r>
        <w:rPr>
          <w:rFonts w:ascii="宋体" w:hAnsi="宋体" w:eastAsia="宋体" w:cs="宋体"/>
          <w:color w:val="auto"/>
          <w:spacing w:val="1"/>
          <w:sz w:val="24"/>
          <w:szCs w:val="24"/>
          <w:highlight w:val="none"/>
        </w:rPr>
        <w:t>划分，对工程质量控制、进度控制、施工</w:t>
      </w:r>
      <w:r>
        <w:rPr>
          <w:rFonts w:ascii="宋体" w:hAnsi="宋体" w:eastAsia="宋体" w:cs="宋体"/>
          <w:color w:val="auto"/>
          <w:spacing w:val="5"/>
          <w:sz w:val="24"/>
          <w:szCs w:val="24"/>
          <w:highlight w:val="none"/>
        </w:rPr>
        <w:t>安全控制、施工环境保护、费用控制、合同及其他事项管理、文件资料管理等方</w:t>
      </w:r>
      <w:r>
        <w:rPr>
          <w:rFonts w:ascii="宋体" w:hAnsi="宋体" w:eastAsia="宋体" w:cs="宋体"/>
          <w:color w:val="auto"/>
          <w:spacing w:val="4"/>
          <w:sz w:val="24"/>
          <w:szCs w:val="24"/>
          <w:highlight w:val="none"/>
        </w:rPr>
        <w:t>面，</w:t>
      </w:r>
      <w:r>
        <w:rPr>
          <w:rFonts w:ascii="宋体" w:hAnsi="宋体" w:eastAsia="宋体" w:cs="宋体"/>
          <w:color w:val="auto"/>
          <w:spacing w:val="-1"/>
          <w:sz w:val="24"/>
          <w:szCs w:val="24"/>
          <w:highlight w:val="none"/>
        </w:rPr>
        <w:t>进行监理工作的方法与流程的简要阐述。</w:t>
      </w:r>
    </w:p>
    <w:p w14:paraId="1F29C8C8">
      <w:pPr>
        <w:spacing w:before="2" w:line="338" w:lineRule="auto"/>
        <w:ind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 监理大纲（或监理方案）和措施（包含《广</w:t>
      </w:r>
      <w:r>
        <w:rPr>
          <w:rFonts w:ascii="宋体" w:hAnsi="宋体" w:eastAsia="宋体" w:cs="宋体"/>
          <w:color w:val="auto"/>
          <w:spacing w:val="1"/>
          <w:sz w:val="24"/>
          <w:szCs w:val="24"/>
          <w:highlight w:val="none"/>
        </w:rPr>
        <w:t>东省公路工程施工标准化指南》中</w:t>
      </w:r>
      <w:r>
        <w:rPr>
          <w:rFonts w:ascii="宋体" w:hAnsi="宋体" w:eastAsia="宋体" w:cs="宋体"/>
          <w:color w:val="auto"/>
          <w:spacing w:val="-1"/>
          <w:sz w:val="24"/>
          <w:szCs w:val="24"/>
          <w:highlight w:val="none"/>
        </w:rPr>
        <w:t>对监理的要求执行方案）。</w:t>
      </w:r>
    </w:p>
    <w:p w14:paraId="38768930">
      <w:pPr>
        <w:spacing w:before="2" w:line="337" w:lineRule="auto"/>
        <w:ind w:left="4" w:firstLine="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7. 本工程监理工作的重点与难点分析：根据招标文件及现场考察，对本工程监理</w:t>
      </w:r>
      <w:r>
        <w:rPr>
          <w:rFonts w:ascii="宋体" w:hAnsi="宋体" w:eastAsia="宋体" w:cs="宋体"/>
          <w:color w:val="auto"/>
          <w:spacing w:val="-1"/>
          <w:sz w:val="24"/>
          <w:szCs w:val="24"/>
          <w:highlight w:val="none"/>
        </w:rPr>
        <w:t>工作需要特别给予重视的问题逐一论述并给出解决方法。</w:t>
      </w:r>
    </w:p>
    <w:p w14:paraId="2CA7D23C">
      <w:pPr>
        <w:spacing w:before="1" w:line="341" w:lineRule="auto"/>
        <w:ind w:right="58" w:firstLine="481"/>
        <w:rPr>
          <w:rFonts w:ascii="宋体" w:hAnsi="宋体" w:eastAsia="宋体" w:cs="宋体"/>
          <w:color w:val="auto"/>
          <w:sz w:val="24"/>
          <w:szCs w:val="24"/>
          <w:highlight w:val="none"/>
        </w:rPr>
      </w:pPr>
      <w:r>
        <w:rPr>
          <w:rFonts w:ascii="宋体" w:hAnsi="宋体" w:eastAsia="宋体" w:cs="宋体"/>
          <w:color w:val="auto"/>
          <w:sz w:val="24"/>
          <w:szCs w:val="24"/>
          <w:highlight w:val="none"/>
        </w:rPr>
        <w:t>8. 对本工程建议：为更好地完成本工程的监理工作，监理人可根据以往的经验，</w:t>
      </w:r>
      <w:r>
        <w:rPr>
          <w:rFonts w:ascii="宋体" w:hAnsi="宋体" w:eastAsia="宋体" w:cs="宋体"/>
          <w:color w:val="auto"/>
          <w:spacing w:val="-1"/>
          <w:sz w:val="24"/>
          <w:szCs w:val="24"/>
          <w:highlight w:val="none"/>
        </w:rPr>
        <w:t>对本工程监理工作提出建议。</w:t>
      </w:r>
    </w:p>
    <w:p w14:paraId="03C008A4">
      <w:pPr>
        <w:spacing w:line="341" w:lineRule="auto"/>
        <w:rPr>
          <w:rFonts w:ascii="宋体" w:hAnsi="宋体" w:eastAsia="宋体" w:cs="宋体"/>
          <w:color w:val="auto"/>
          <w:sz w:val="24"/>
          <w:szCs w:val="24"/>
          <w:highlight w:val="none"/>
        </w:rPr>
        <w:sectPr>
          <w:footerReference r:id="rId49" w:type="default"/>
          <w:pgSz w:w="11905" w:h="16838"/>
          <w:pgMar w:top="1134" w:right="1134" w:bottom="1134" w:left="1134" w:header="0" w:footer="1066" w:gutter="0"/>
          <w:pgNumType w:fmt="decimal"/>
          <w:cols w:space="0" w:num="1"/>
          <w:rtlGutter w:val="0"/>
          <w:docGrid w:linePitch="0" w:charSpace="0"/>
        </w:sectPr>
      </w:pPr>
    </w:p>
    <w:p w14:paraId="1A7C478D">
      <w:pPr>
        <w:spacing w:line="276" w:lineRule="auto"/>
        <w:rPr>
          <w:rFonts w:ascii="Arial"/>
          <w:color w:val="auto"/>
          <w:sz w:val="21"/>
          <w:highlight w:val="none"/>
        </w:rPr>
      </w:pPr>
    </w:p>
    <w:p w14:paraId="322DFD68">
      <w:pPr>
        <w:spacing w:line="276" w:lineRule="auto"/>
        <w:rPr>
          <w:rFonts w:ascii="Arial"/>
          <w:color w:val="auto"/>
          <w:sz w:val="21"/>
          <w:highlight w:val="none"/>
        </w:rPr>
      </w:pPr>
    </w:p>
    <w:p w14:paraId="6BA76363">
      <w:pPr>
        <w:spacing w:line="276" w:lineRule="auto"/>
        <w:rPr>
          <w:rFonts w:ascii="Arial"/>
          <w:color w:val="auto"/>
          <w:sz w:val="21"/>
          <w:highlight w:val="none"/>
        </w:rPr>
      </w:pPr>
    </w:p>
    <w:p w14:paraId="51F14360">
      <w:pPr>
        <w:spacing w:line="276" w:lineRule="auto"/>
        <w:rPr>
          <w:rFonts w:ascii="Arial"/>
          <w:color w:val="auto"/>
          <w:sz w:val="21"/>
          <w:highlight w:val="none"/>
        </w:rPr>
      </w:pPr>
    </w:p>
    <w:p w14:paraId="755CC273">
      <w:pPr>
        <w:spacing w:line="276" w:lineRule="auto"/>
        <w:rPr>
          <w:rFonts w:ascii="Arial"/>
          <w:color w:val="auto"/>
          <w:sz w:val="21"/>
          <w:highlight w:val="none"/>
        </w:rPr>
      </w:pPr>
    </w:p>
    <w:p w14:paraId="4BD2EC4E">
      <w:pPr>
        <w:spacing w:line="277" w:lineRule="auto"/>
        <w:rPr>
          <w:rFonts w:ascii="Arial"/>
          <w:color w:val="auto"/>
          <w:sz w:val="21"/>
          <w:highlight w:val="none"/>
        </w:rPr>
      </w:pPr>
    </w:p>
    <w:p w14:paraId="0EE5812B">
      <w:pPr>
        <w:spacing w:before="130" w:line="220" w:lineRule="auto"/>
        <w:jc w:val="center"/>
        <w:rPr>
          <w:rFonts w:ascii="宋体" w:hAnsi="宋体" w:eastAsia="宋体" w:cs="宋体"/>
          <w:b/>
          <w:bCs/>
          <w:color w:val="auto"/>
          <w:sz w:val="40"/>
          <w:szCs w:val="40"/>
          <w:highlight w:val="none"/>
        </w:rPr>
      </w:pPr>
      <w:r>
        <w:rPr>
          <w:rFonts w:ascii="宋体" w:hAnsi="宋体" w:eastAsia="宋体" w:cs="宋体"/>
          <w:b/>
          <w:bCs/>
          <w:color w:val="auto"/>
          <w:spacing w:val="-5"/>
          <w:sz w:val="40"/>
          <w:szCs w:val="40"/>
          <w:highlight w:val="none"/>
        </w:rPr>
        <w:t>广东省</w:t>
      </w:r>
    </w:p>
    <w:p w14:paraId="69591625">
      <w:pPr>
        <w:spacing w:line="364" w:lineRule="auto"/>
        <w:jc w:val="center"/>
        <w:rPr>
          <w:rFonts w:ascii="Arial"/>
          <w:b/>
          <w:bCs/>
          <w:color w:val="auto"/>
          <w:sz w:val="21"/>
          <w:highlight w:val="none"/>
        </w:rPr>
      </w:pPr>
    </w:p>
    <w:p w14:paraId="3722B9DF">
      <w:pPr>
        <w:tabs>
          <w:tab w:val="left" w:pos="1593"/>
        </w:tabs>
        <w:spacing w:before="130" w:line="221" w:lineRule="auto"/>
        <w:jc w:val="center"/>
        <w:rPr>
          <w:rFonts w:ascii="宋体" w:hAnsi="宋体" w:eastAsia="宋体" w:cs="宋体"/>
          <w:b/>
          <w:bCs/>
          <w:color w:val="auto"/>
          <w:sz w:val="40"/>
          <w:szCs w:val="40"/>
          <w:highlight w:val="none"/>
        </w:rPr>
      </w:pPr>
      <w:r>
        <w:rPr>
          <w:rFonts w:ascii="宋体" w:hAnsi="宋体" w:eastAsia="宋体" w:cs="宋体"/>
          <w:b/>
          <w:bCs/>
          <w:color w:val="auto"/>
          <w:spacing w:val="-16"/>
          <w:sz w:val="40"/>
          <w:szCs w:val="40"/>
          <w:highlight w:val="none"/>
          <w:u w:val="single" w:color="auto"/>
        </w:rPr>
        <w:t xml:space="preserve">（项目名称）  </w:t>
      </w:r>
      <w:r>
        <w:rPr>
          <w:rFonts w:ascii="宋体" w:hAnsi="宋体" w:eastAsia="宋体" w:cs="宋体"/>
          <w:b/>
          <w:bCs/>
          <w:color w:val="auto"/>
          <w:spacing w:val="-172"/>
          <w:sz w:val="40"/>
          <w:szCs w:val="40"/>
          <w:highlight w:val="none"/>
        </w:rPr>
        <w:t xml:space="preserve"> </w:t>
      </w:r>
      <w:r>
        <w:rPr>
          <w:rFonts w:ascii="宋体" w:hAnsi="宋体" w:eastAsia="宋体" w:cs="宋体"/>
          <w:b/>
          <w:bCs/>
          <w:color w:val="auto"/>
          <w:spacing w:val="-16"/>
          <w:sz w:val="40"/>
          <w:szCs w:val="40"/>
          <w:highlight w:val="none"/>
        </w:rPr>
        <w:t>标段施工监理招标</w:t>
      </w:r>
    </w:p>
    <w:p w14:paraId="1EE732A8">
      <w:pPr>
        <w:spacing w:line="272" w:lineRule="auto"/>
        <w:rPr>
          <w:rFonts w:ascii="Arial"/>
          <w:color w:val="auto"/>
          <w:sz w:val="21"/>
          <w:highlight w:val="none"/>
        </w:rPr>
      </w:pPr>
    </w:p>
    <w:p w14:paraId="36EB2090">
      <w:pPr>
        <w:spacing w:line="272" w:lineRule="auto"/>
        <w:rPr>
          <w:rFonts w:ascii="Arial"/>
          <w:color w:val="auto"/>
          <w:sz w:val="21"/>
          <w:highlight w:val="none"/>
        </w:rPr>
      </w:pPr>
    </w:p>
    <w:p w14:paraId="65F609E1">
      <w:pPr>
        <w:spacing w:line="272" w:lineRule="auto"/>
        <w:rPr>
          <w:rFonts w:ascii="Arial"/>
          <w:color w:val="auto"/>
          <w:sz w:val="21"/>
          <w:highlight w:val="none"/>
        </w:rPr>
      </w:pPr>
    </w:p>
    <w:p w14:paraId="0AB0645E">
      <w:pPr>
        <w:spacing w:line="272" w:lineRule="auto"/>
        <w:rPr>
          <w:rFonts w:ascii="Arial"/>
          <w:color w:val="auto"/>
          <w:sz w:val="21"/>
          <w:highlight w:val="none"/>
        </w:rPr>
      </w:pPr>
    </w:p>
    <w:p w14:paraId="6C293ABD">
      <w:pPr>
        <w:spacing w:line="272" w:lineRule="auto"/>
        <w:rPr>
          <w:rFonts w:ascii="Arial"/>
          <w:color w:val="auto"/>
          <w:sz w:val="21"/>
          <w:highlight w:val="none"/>
        </w:rPr>
      </w:pPr>
    </w:p>
    <w:p w14:paraId="116F4039">
      <w:pPr>
        <w:spacing w:line="272" w:lineRule="auto"/>
        <w:rPr>
          <w:rFonts w:ascii="Arial"/>
          <w:color w:val="auto"/>
          <w:sz w:val="21"/>
          <w:highlight w:val="none"/>
        </w:rPr>
      </w:pPr>
    </w:p>
    <w:p w14:paraId="1CE28887">
      <w:pPr>
        <w:spacing w:before="139" w:line="223" w:lineRule="auto"/>
        <w:jc w:val="center"/>
        <w:rPr>
          <w:rFonts w:ascii="宋体" w:hAnsi="宋体" w:eastAsia="宋体" w:cs="宋体"/>
          <w:color w:val="auto"/>
          <w:sz w:val="43"/>
          <w:szCs w:val="43"/>
          <w:highlight w:val="none"/>
        </w:rPr>
      </w:pPr>
      <w:r>
        <w:rPr>
          <w:rFonts w:ascii="宋体" w:hAnsi="宋体" w:eastAsia="宋体" w:cs="宋体"/>
          <w:b/>
          <w:bCs/>
          <w:color w:val="auto"/>
          <w:spacing w:val="-14"/>
          <w:sz w:val="43"/>
          <w:szCs w:val="43"/>
          <w:highlight w:val="none"/>
        </w:rPr>
        <w:t>投</w:t>
      </w:r>
      <w:r>
        <w:rPr>
          <w:rFonts w:ascii="宋体" w:hAnsi="宋体" w:eastAsia="宋体" w:cs="宋体"/>
          <w:color w:val="auto"/>
          <w:spacing w:val="17"/>
          <w:sz w:val="43"/>
          <w:szCs w:val="43"/>
          <w:highlight w:val="none"/>
        </w:rPr>
        <w:t xml:space="preserve">  </w:t>
      </w:r>
      <w:r>
        <w:rPr>
          <w:rFonts w:ascii="宋体" w:hAnsi="宋体" w:eastAsia="宋体" w:cs="宋体"/>
          <w:b/>
          <w:bCs/>
          <w:color w:val="auto"/>
          <w:spacing w:val="-14"/>
          <w:sz w:val="43"/>
          <w:szCs w:val="43"/>
          <w:highlight w:val="none"/>
        </w:rPr>
        <w:t>标</w:t>
      </w:r>
      <w:r>
        <w:rPr>
          <w:rFonts w:ascii="宋体" w:hAnsi="宋体" w:eastAsia="宋体" w:cs="宋体"/>
          <w:color w:val="auto"/>
          <w:spacing w:val="17"/>
          <w:sz w:val="43"/>
          <w:szCs w:val="43"/>
          <w:highlight w:val="none"/>
        </w:rPr>
        <w:t xml:space="preserve">  </w:t>
      </w:r>
      <w:r>
        <w:rPr>
          <w:rFonts w:ascii="宋体" w:hAnsi="宋体" w:eastAsia="宋体" w:cs="宋体"/>
          <w:b/>
          <w:bCs/>
          <w:color w:val="auto"/>
          <w:spacing w:val="-14"/>
          <w:sz w:val="43"/>
          <w:szCs w:val="43"/>
          <w:highlight w:val="none"/>
        </w:rPr>
        <w:t>文</w:t>
      </w:r>
      <w:r>
        <w:rPr>
          <w:rFonts w:ascii="宋体" w:hAnsi="宋体" w:eastAsia="宋体" w:cs="宋体"/>
          <w:color w:val="auto"/>
          <w:spacing w:val="15"/>
          <w:sz w:val="43"/>
          <w:szCs w:val="43"/>
          <w:highlight w:val="none"/>
        </w:rPr>
        <w:t xml:space="preserve">  </w:t>
      </w:r>
      <w:r>
        <w:rPr>
          <w:rFonts w:ascii="宋体" w:hAnsi="宋体" w:eastAsia="宋体" w:cs="宋体"/>
          <w:b/>
          <w:bCs/>
          <w:color w:val="auto"/>
          <w:spacing w:val="-14"/>
          <w:sz w:val="43"/>
          <w:szCs w:val="43"/>
          <w:highlight w:val="none"/>
        </w:rPr>
        <w:t>件</w:t>
      </w:r>
    </w:p>
    <w:p w14:paraId="28642CAD">
      <w:pPr>
        <w:pStyle w:val="2"/>
        <w:bidi w:val="0"/>
        <w:jc w:val="center"/>
        <w:rPr>
          <w:color w:val="auto"/>
          <w:highlight w:val="none"/>
        </w:rPr>
      </w:pPr>
      <w:bookmarkStart w:id="352" w:name="_Toc13519"/>
      <w:r>
        <w:rPr>
          <w:color w:val="auto"/>
          <w:highlight w:val="none"/>
        </w:rPr>
        <w:t>（报价文件）</w:t>
      </w:r>
      <w:bookmarkEnd w:id="352"/>
    </w:p>
    <w:p w14:paraId="262C0B09">
      <w:pPr>
        <w:spacing w:line="241" w:lineRule="auto"/>
        <w:rPr>
          <w:rFonts w:ascii="Arial"/>
          <w:color w:val="auto"/>
          <w:sz w:val="21"/>
          <w:highlight w:val="none"/>
        </w:rPr>
      </w:pPr>
    </w:p>
    <w:p w14:paraId="1160B0B2">
      <w:pPr>
        <w:spacing w:line="241" w:lineRule="auto"/>
        <w:rPr>
          <w:rFonts w:ascii="Arial"/>
          <w:color w:val="auto"/>
          <w:sz w:val="21"/>
          <w:highlight w:val="none"/>
        </w:rPr>
      </w:pPr>
    </w:p>
    <w:p w14:paraId="3158F134">
      <w:pPr>
        <w:spacing w:line="241" w:lineRule="auto"/>
        <w:rPr>
          <w:rFonts w:ascii="Arial"/>
          <w:color w:val="auto"/>
          <w:sz w:val="21"/>
          <w:highlight w:val="none"/>
        </w:rPr>
      </w:pPr>
    </w:p>
    <w:p w14:paraId="0381C3FF">
      <w:pPr>
        <w:spacing w:line="241" w:lineRule="auto"/>
        <w:rPr>
          <w:rFonts w:ascii="Arial"/>
          <w:color w:val="auto"/>
          <w:sz w:val="21"/>
          <w:highlight w:val="none"/>
        </w:rPr>
      </w:pPr>
    </w:p>
    <w:p w14:paraId="5B1681AC">
      <w:pPr>
        <w:spacing w:line="241" w:lineRule="auto"/>
        <w:rPr>
          <w:rFonts w:ascii="Arial"/>
          <w:color w:val="auto"/>
          <w:sz w:val="21"/>
          <w:highlight w:val="none"/>
        </w:rPr>
      </w:pPr>
    </w:p>
    <w:p w14:paraId="6D8119D8">
      <w:pPr>
        <w:spacing w:line="241" w:lineRule="auto"/>
        <w:rPr>
          <w:rFonts w:ascii="Arial"/>
          <w:color w:val="auto"/>
          <w:sz w:val="21"/>
          <w:highlight w:val="none"/>
        </w:rPr>
      </w:pPr>
    </w:p>
    <w:p w14:paraId="68DC8291">
      <w:pPr>
        <w:spacing w:line="241" w:lineRule="auto"/>
        <w:rPr>
          <w:rFonts w:ascii="Arial"/>
          <w:color w:val="auto"/>
          <w:sz w:val="21"/>
          <w:highlight w:val="none"/>
        </w:rPr>
      </w:pPr>
    </w:p>
    <w:p w14:paraId="7BD5B351">
      <w:pPr>
        <w:spacing w:line="241" w:lineRule="auto"/>
        <w:rPr>
          <w:rFonts w:ascii="Arial"/>
          <w:color w:val="auto"/>
          <w:sz w:val="21"/>
          <w:highlight w:val="none"/>
        </w:rPr>
      </w:pPr>
    </w:p>
    <w:p w14:paraId="055B65D8">
      <w:pPr>
        <w:spacing w:line="241" w:lineRule="auto"/>
        <w:rPr>
          <w:rFonts w:ascii="Arial"/>
          <w:color w:val="auto"/>
          <w:sz w:val="21"/>
          <w:highlight w:val="none"/>
        </w:rPr>
      </w:pPr>
    </w:p>
    <w:p w14:paraId="2332E869">
      <w:pPr>
        <w:spacing w:line="241" w:lineRule="auto"/>
        <w:rPr>
          <w:rFonts w:ascii="Arial"/>
          <w:color w:val="auto"/>
          <w:sz w:val="21"/>
          <w:highlight w:val="none"/>
        </w:rPr>
      </w:pPr>
    </w:p>
    <w:p w14:paraId="5E7EB6E2">
      <w:pPr>
        <w:spacing w:line="241" w:lineRule="auto"/>
        <w:rPr>
          <w:rFonts w:ascii="Arial"/>
          <w:color w:val="auto"/>
          <w:sz w:val="21"/>
          <w:highlight w:val="none"/>
        </w:rPr>
      </w:pPr>
    </w:p>
    <w:p w14:paraId="21AA3D7E">
      <w:pPr>
        <w:spacing w:line="241" w:lineRule="auto"/>
        <w:rPr>
          <w:rFonts w:ascii="Arial"/>
          <w:color w:val="auto"/>
          <w:sz w:val="21"/>
          <w:highlight w:val="none"/>
        </w:rPr>
      </w:pPr>
    </w:p>
    <w:p w14:paraId="0866BF9A">
      <w:pPr>
        <w:spacing w:line="241" w:lineRule="auto"/>
        <w:rPr>
          <w:rFonts w:ascii="Arial"/>
          <w:color w:val="auto"/>
          <w:sz w:val="21"/>
          <w:highlight w:val="none"/>
        </w:rPr>
      </w:pPr>
    </w:p>
    <w:p w14:paraId="2F5A88F4">
      <w:pPr>
        <w:spacing w:line="242" w:lineRule="auto"/>
        <w:rPr>
          <w:rFonts w:ascii="Arial"/>
          <w:color w:val="auto"/>
          <w:sz w:val="21"/>
          <w:highlight w:val="none"/>
        </w:rPr>
      </w:pPr>
    </w:p>
    <w:p w14:paraId="74C610CC">
      <w:pPr>
        <w:spacing w:line="242" w:lineRule="auto"/>
        <w:rPr>
          <w:rFonts w:ascii="Arial"/>
          <w:color w:val="auto"/>
          <w:sz w:val="21"/>
          <w:highlight w:val="none"/>
        </w:rPr>
      </w:pPr>
    </w:p>
    <w:p w14:paraId="6A352E60">
      <w:pPr>
        <w:spacing w:line="242" w:lineRule="auto"/>
        <w:rPr>
          <w:rFonts w:ascii="Arial"/>
          <w:color w:val="auto"/>
          <w:sz w:val="21"/>
          <w:highlight w:val="none"/>
        </w:rPr>
      </w:pPr>
    </w:p>
    <w:p w14:paraId="21460A58">
      <w:pPr>
        <w:spacing w:line="242" w:lineRule="auto"/>
        <w:rPr>
          <w:rFonts w:ascii="Arial"/>
          <w:color w:val="auto"/>
          <w:sz w:val="21"/>
          <w:highlight w:val="none"/>
        </w:rPr>
      </w:pPr>
    </w:p>
    <w:p w14:paraId="6D3AA78B">
      <w:pPr>
        <w:spacing w:line="242" w:lineRule="auto"/>
        <w:rPr>
          <w:rFonts w:ascii="Arial"/>
          <w:color w:val="auto"/>
          <w:sz w:val="21"/>
          <w:highlight w:val="none"/>
        </w:rPr>
      </w:pPr>
    </w:p>
    <w:p w14:paraId="7EBF08CF">
      <w:pPr>
        <w:spacing w:line="242" w:lineRule="auto"/>
        <w:rPr>
          <w:rFonts w:ascii="Arial"/>
          <w:color w:val="auto"/>
          <w:sz w:val="21"/>
          <w:highlight w:val="none"/>
        </w:rPr>
      </w:pPr>
    </w:p>
    <w:p w14:paraId="7A8458E9">
      <w:pPr>
        <w:spacing w:line="242" w:lineRule="auto"/>
        <w:rPr>
          <w:rFonts w:ascii="Arial"/>
          <w:color w:val="auto"/>
          <w:sz w:val="21"/>
          <w:highlight w:val="none"/>
        </w:rPr>
      </w:pPr>
    </w:p>
    <w:p w14:paraId="44E4C26D">
      <w:pPr>
        <w:spacing w:line="242" w:lineRule="auto"/>
        <w:rPr>
          <w:rFonts w:ascii="Arial"/>
          <w:color w:val="auto"/>
          <w:sz w:val="21"/>
          <w:highlight w:val="none"/>
        </w:rPr>
      </w:pPr>
    </w:p>
    <w:p w14:paraId="46F23E3B">
      <w:pPr>
        <w:spacing w:line="242" w:lineRule="auto"/>
        <w:rPr>
          <w:rFonts w:ascii="Arial"/>
          <w:color w:val="auto"/>
          <w:sz w:val="21"/>
          <w:highlight w:val="none"/>
        </w:rPr>
      </w:pPr>
    </w:p>
    <w:p w14:paraId="3ED9081E">
      <w:pPr>
        <w:spacing w:line="242" w:lineRule="auto"/>
        <w:rPr>
          <w:rFonts w:ascii="Arial"/>
          <w:color w:val="auto"/>
          <w:sz w:val="21"/>
          <w:highlight w:val="none"/>
        </w:rPr>
      </w:pPr>
    </w:p>
    <w:p w14:paraId="7AC0E5B4">
      <w:pPr>
        <w:spacing w:line="242" w:lineRule="auto"/>
        <w:rPr>
          <w:rFonts w:ascii="Arial"/>
          <w:color w:val="auto"/>
          <w:sz w:val="21"/>
          <w:highlight w:val="none"/>
        </w:rPr>
      </w:pPr>
    </w:p>
    <w:p w14:paraId="659D8793">
      <w:pPr>
        <w:spacing w:before="92" w:line="219" w:lineRule="auto"/>
        <w:ind w:left="542"/>
        <w:rPr>
          <w:rFonts w:ascii="宋体" w:hAnsi="宋体" w:eastAsia="宋体" w:cs="宋体"/>
          <w:color w:val="auto"/>
          <w:sz w:val="28"/>
          <w:szCs w:val="28"/>
          <w:highlight w:val="none"/>
        </w:rPr>
      </w:pPr>
      <w:r>
        <w:rPr>
          <w:rFonts w:ascii="宋体" w:hAnsi="宋体" w:eastAsia="宋体" w:cs="宋体"/>
          <w:color w:val="auto"/>
          <w:spacing w:val="-5"/>
          <w:sz w:val="28"/>
          <w:szCs w:val="28"/>
          <w:highlight w:val="none"/>
        </w:rPr>
        <w:t>投标人：</w:t>
      </w:r>
      <w:r>
        <w:rPr>
          <w:rFonts w:ascii="宋体" w:hAnsi="宋体" w:eastAsia="宋体" w:cs="宋体"/>
          <w:color w:val="auto"/>
          <w:spacing w:val="-5"/>
          <w:sz w:val="28"/>
          <w:szCs w:val="28"/>
          <w:highlight w:val="none"/>
          <w:u w:val="single" w:color="auto"/>
        </w:rPr>
        <w:t xml:space="preserve">                                   </w:t>
      </w:r>
      <w:r>
        <w:rPr>
          <w:rFonts w:ascii="宋体" w:hAnsi="宋体" w:eastAsia="宋体" w:cs="宋体"/>
          <w:color w:val="auto"/>
          <w:spacing w:val="-70"/>
          <w:sz w:val="28"/>
          <w:szCs w:val="28"/>
          <w:highlight w:val="none"/>
        </w:rPr>
        <w:t xml:space="preserve"> </w:t>
      </w:r>
      <w:r>
        <w:rPr>
          <w:rFonts w:ascii="宋体" w:hAnsi="宋体" w:eastAsia="宋体" w:cs="宋体"/>
          <w:color w:val="auto"/>
          <w:spacing w:val="-5"/>
          <w:sz w:val="28"/>
          <w:szCs w:val="28"/>
          <w:highlight w:val="none"/>
        </w:rPr>
        <w:t>(盖单位章)</w:t>
      </w:r>
    </w:p>
    <w:p w14:paraId="14A505B5">
      <w:pPr>
        <w:spacing w:line="452" w:lineRule="auto"/>
        <w:rPr>
          <w:rFonts w:ascii="Arial"/>
          <w:color w:val="auto"/>
          <w:sz w:val="21"/>
          <w:highlight w:val="none"/>
        </w:rPr>
      </w:pPr>
    </w:p>
    <w:p w14:paraId="645527A0">
      <w:pPr>
        <w:tabs>
          <w:tab w:val="left" w:pos="3117"/>
        </w:tabs>
        <w:spacing w:before="91" w:line="220" w:lineRule="auto"/>
        <w:ind w:left="1996"/>
        <w:rPr>
          <w:rFonts w:ascii="宋体" w:hAnsi="宋体" w:eastAsia="宋体" w:cs="宋体"/>
          <w:color w:val="auto"/>
          <w:sz w:val="28"/>
          <w:szCs w:val="28"/>
          <w:highlight w:val="none"/>
        </w:rPr>
      </w:pPr>
      <w:r>
        <w:rPr>
          <w:rFonts w:ascii="宋体" w:hAnsi="宋体" w:eastAsia="宋体" w:cs="宋体"/>
          <w:color w:val="auto"/>
          <w:sz w:val="28"/>
          <w:szCs w:val="28"/>
          <w:highlight w:val="none"/>
          <w:u w:val="single" w:color="auto"/>
        </w:rPr>
        <w:tab/>
      </w:r>
      <w:r>
        <w:rPr>
          <w:rFonts w:ascii="宋体" w:hAnsi="宋体" w:eastAsia="宋体" w:cs="宋体"/>
          <w:color w:val="auto"/>
          <w:spacing w:val="-127"/>
          <w:sz w:val="28"/>
          <w:szCs w:val="28"/>
          <w:highlight w:val="none"/>
        </w:rPr>
        <w:t xml:space="preserve"> </w:t>
      </w:r>
      <w:r>
        <w:rPr>
          <w:rFonts w:ascii="宋体" w:hAnsi="宋体" w:eastAsia="宋体" w:cs="宋体"/>
          <w:color w:val="auto"/>
          <w:spacing w:val="-10"/>
          <w:sz w:val="28"/>
          <w:szCs w:val="28"/>
          <w:highlight w:val="none"/>
        </w:rPr>
        <w:t>年</w:t>
      </w:r>
      <w:r>
        <w:rPr>
          <w:rFonts w:ascii="宋体" w:hAnsi="宋体" w:eastAsia="宋体" w:cs="宋体"/>
          <w:color w:val="auto"/>
          <w:spacing w:val="19"/>
          <w:sz w:val="28"/>
          <w:szCs w:val="28"/>
          <w:highlight w:val="none"/>
          <w:u w:val="single" w:color="auto"/>
        </w:rPr>
        <w:t xml:space="preserve">       </w:t>
      </w:r>
      <w:r>
        <w:rPr>
          <w:rFonts w:ascii="宋体" w:hAnsi="宋体" w:eastAsia="宋体" w:cs="宋体"/>
          <w:color w:val="auto"/>
          <w:spacing w:val="-117"/>
          <w:sz w:val="28"/>
          <w:szCs w:val="28"/>
          <w:highlight w:val="none"/>
        </w:rPr>
        <w:t xml:space="preserve"> </w:t>
      </w:r>
      <w:r>
        <w:rPr>
          <w:rFonts w:ascii="宋体" w:hAnsi="宋体" w:eastAsia="宋体" w:cs="宋体"/>
          <w:color w:val="auto"/>
          <w:spacing w:val="-10"/>
          <w:sz w:val="28"/>
          <w:szCs w:val="28"/>
          <w:highlight w:val="none"/>
        </w:rPr>
        <w:t>月</w:t>
      </w:r>
      <w:r>
        <w:rPr>
          <w:rFonts w:ascii="宋体" w:hAnsi="宋体" w:eastAsia="宋体" w:cs="宋体"/>
          <w:color w:val="auto"/>
          <w:spacing w:val="17"/>
          <w:sz w:val="28"/>
          <w:szCs w:val="28"/>
          <w:highlight w:val="none"/>
          <w:u w:val="single" w:color="auto"/>
        </w:rPr>
        <w:t xml:space="preserve">        </w:t>
      </w:r>
      <w:r>
        <w:rPr>
          <w:rFonts w:ascii="宋体" w:hAnsi="宋体" w:eastAsia="宋体" w:cs="宋体"/>
          <w:color w:val="auto"/>
          <w:spacing w:val="-77"/>
          <w:sz w:val="28"/>
          <w:szCs w:val="28"/>
          <w:highlight w:val="none"/>
        </w:rPr>
        <w:t xml:space="preserve"> </w:t>
      </w:r>
      <w:r>
        <w:rPr>
          <w:rFonts w:ascii="宋体" w:hAnsi="宋体" w:eastAsia="宋体" w:cs="宋体"/>
          <w:color w:val="auto"/>
          <w:spacing w:val="-10"/>
          <w:sz w:val="28"/>
          <w:szCs w:val="28"/>
          <w:highlight w:val="none"/>
        </w:rPr>
        <w:t>日</w:t>
      </w:r>
    </w:p>
    <w:p w14:paraId="238A7B66">
      <w:pPr>
        <w:spacing w:line="220" w:lineRule="auto"/>
        <w:rPr>
          <w:rFonts w:ascii="宋体" w:hAnsi="宋体" w:eastAsia="宋体" w:cs="宋体"/>
          <w:color w:val="auto"/>
          <w:sz w:val="28"/>
          <w:szCs w:val="28"/>
          <w:highlight w:val="none"/>
        </w:rPr>
        <w:sectPr>
          <w:footerReference r:id="rId50" w:type="default"/>
          <w:pgSz w:w="11905" w:h="16838"/>
          <w:pgMar w:top="1134" w:right="1134" w:bottom="1134" w:left="1134" w:header="0" w:footer="1066" w:gutter="0"/>
          <w:pgNumType w:fmt="decimal"/>
          <w:cols w:space="0" w:num="1"/>
          <w:rtlGutter w:val="0"/>
          <w:docGrid w:linePitch="0" w:charSpace="0"/>
        </w:sectPr>
      </w:pPr>
    </w:p>
    <w:p w14:paraId="1AF034B7">
      <w:pPr>
        <w:spacing w:line="255" w:lineRule="auto"/>
        <w:rPr>
          <w:rFonts w:ascii="Arial"/>
          <w:color w:val="auto"/>
          <w:sz w:val="21"/>
          <w:highlight w:val="none"/>
        </w:rPr>
      </w:pPr>
    </w:p>
    <w:p w14:paraId="65735E91">
      <w:pPr>
        <w:spacing w:line="255" w:lineRule="auto"/>
        <w:rPr>
          <w:rFonts w:ascii="Arial"/>
          <w:color w:val="auto"/>
          <w:sz w:val="21"/>
          <w:highlight w:val="none"/>
        </w:rPr>
      </w:pPr>
    </w:p>
    <w:p w14:paraId="6173048E">
      <w:pPr>
        <w:spacing w:line="255" w:lineRule="auto"/>
        <w:rPr>
          <w:rFonts w:ascii="Arial"/>
          <w:color w:val="auto"/>
          <w:sz w:val="21"/>
          <w:highlight w:val="none"/>
        </w:rPr>
      </w:pPr>
    </w:p>
    <w:p w14:paraId="2DCEA1E2">
      <w:pPr>
        <w:spacing w:line="255" w:lineRule="auto"/>
        <w:rPr>
          <w:rFonts w:ascii="Arial"/>
          <w:color w:val="auto"/>
          <w:sz w:val="21"/>
          <w:highlight w:val="none"/>
        </w:rPr>
      </w:pPr>
    </w:p>
    <w:p w14:paraId="1A635E4B">
      <w:pPr>
        <w:spacing w:before="101" w:line="227" w:lineRule="auto"/>
        <w:ind w:left="3759"/>
        <w:rPr>
          <w:rFonts w:ascii="宋体" w:hAnsi="宋体" w:eastAsia="宋体" w:cs="宋体"/>
          <w:color w:val="auto"/>
          <w:sz w:val="31"/>
          <w:szCs w:val="31"/>
          <w:highlight w:val="none"/>
        </w:rPr>
      </w:pPr>
      <w:r>
        <w:rPr>
          <w:rFonts w:ascii="宋体" w:hAnsi="宋体" w:eastAsia="宋体" w:cs="宋体"/>
          <w:color w:val="auto"/>
          <w:spacing w:val="-33"/>
          <w:sz w:val="31"/>
          <w:szCs w:val="31"/>
          <w:highlight w:val="none"/>
        </w:rPr>
        <w:t>目</w:t>
      </w:r>
      <w:r>
        <w:rPr>
          <w:rFonts w:ascii="宋体" w:hAnsi="宋体" w:eastAsia="宋体" w:cs="宋体"/>
          <w:color w:val="auto"/>
          <w:spacing w:val="13"/>
          <w:sz w:val="31"/>
          <w:szCs w:val="31"/>
          <w:highlight w:val="none"/>
        </w:rPr>
        <w:t xml:space="preserve">  </w:t>
      </w:r>
      <w:r>
        <w:rPr>
          <w:rFonts w:ascii="宋体" w:hAnsi="宋体" w:eastAsia="宋体" w:cs="宋体"/>
          <w:color w:val="auto"/>
          <w:spacing w:val="-33"/>
          <w:sz w:val="31"/>
          <w:szCs w:val="31"/>
          <w:highlight w:val="none"/>
        </w:rPr>
        <w:t>录</w:t>
      </w:r>
    </w:p>
    <w:p w14:paraId="56865250">
      <w:pPr>
        <w:spacing w:line="271" w:lineRule="auto"/>
        <w:rPr>
          <w:rFonts w:ascii="Arial"/>
          <w:color w:val="auto"/>
          <w:sz w:val="21"/>
          <w:highlight w:val="none"/>
        </w:rPr>
      </w:pPr>
    </w:p>
    <w:p w14:paraId="37678425">
      <w:pPr>
        <w:spacing w:before="91" w:line="220" w:lineRule="auto"/>
        <w:ind w:left="70"/>
        <w:rPr>
          <w:rFonts w:ascii="宋体" w:hAnsi="宋体" w:eastAsia="宋体" w:cs="宋体"/>
          <w:color w:val="auto"/>
          <w:spacing w:val="-2"/>
          <w:sz w:val="28"/>
          <w:szCs w:val="28"/>
          <w:highlight w:val="none"/>
        </w:rPr>
      </w:pPr>
      <w:r>
        <w:rPr>
          <w:rFonts w:ascii="宋体" w:hAnsi="宋体" w:eastAsia="宋体" w:cs="宋体"/>
          <w:color w:val="auto"/>
          <w:spacing w:val="-2"/>
          <w:sz w:val="28"/>
          <w:szCs w:val="28"/>
          <w:highlight w:val="none"/>
        </w:rPr>
        <w:t>一、投标函</w:t>
      </w:r>
    </w:p>
    <w:p w14:paraId="05C1C96C">
      <w:pPr>
        <w:spacing w:line="273" w:lineRule="auto"/>
        <w:rPr>
          <w:rFonts w:ascii="Arial"/>
          <w:color w:val="auto"/>
          <w:sz w:val="21"/>
          <w:highlight w:val="none"/>
        </w:rPr>
      </w:pPr>
    </w:p>
    <w:p w14:paraId="26CA0176">
      <w:pPr>
        <w:spacing w:before="91" w:line="220" w:lineRule="auto"/>
        <w:ind w:left="70"/>
        <w:rPr>
          <w:rFonts w:ascii="宋体" w:hAnsi="宋体" w:eastAsia="宋体" w:cs="宋体"/>
          <w:color w:val="auto"/>
          <w:sz w:val="28"/>
          <w:szCs w:val="28"/>
          <w:highlight w:val="none"/>
        </w:rPr>
      </w:pPr>
      <w:r>
        <w:rPr>
          <w:rFonts w:ascii="宋体" w:hAnsi="宋体" w:eastAsia="宋体" w:cs="宋体"/>
          <w:color w:val="auto"/>
          <w:spacing w:val="-2"/>
          <w:sz w:val="28"/>
          <w:szCs w:val="28"/>
          <w:highlight w:val="none"/>
        </w:rPr>
        <w:t>二、监理服务费用清单</w:t>
      </w:r>
    </w:p>
    <w:p w14:paraId="30EB5B61">
      <w:pPr>
        <w:spacing w:line="220" w:lineRule="auto"/>
        <w:rPr>
          <w:rFonts w:ascii="宋体" w:hAnsi="宋体" w:eastAsia="宋体" w:cs="宋体"/>
          <w:color w:val="auto"/>
          <w:sz w:val="28"/>
          <w:szCs w:val="28"/>
          <w:highlight w:val="none"/>
        </w:rPr>
      </w:pPr>
    </w:p>
    <w:p w14:paraId="524B57E0">
      <w:pPr>
        <w:numPr>
          <w:ilvl w:val="0"/>
          <w:numId w:val="8"/>
        </w:numPr>
        <w:spacing w:before="91" w:line="220" w:lineRule="auto"/>
        <w:ind w:left="70"/>
        <w:rPr>
          <w:rFonts w:hint="eastAsia" w:ascii="宋体" w:hAnsi="宋体" w:eastAsia="宋体" w:cs="宋体"/>
          <w:color w:val="auto"/>
          <w:spacing w:val="-2"/>
          <w:sz w:val="28"/>
          <w:szCs w:val="28"/>
          <w:highlight w:val="none"/>
          <w:lang w:val="en-US" w:eastAsia="zh-CN"/>
        </w:rPr>
      </w:pPr>
      <w:r>
        <w:rPr>
          <w:rFonts w:hint="eastAsia" w:ascii="宋体" w:hAnsi="宋体" w:eastAsia="宋体" w:cs="宋体"/>
          <w:color w:val="auto"/>
          <w:spacing w:val="-2"/>
          <w:sz w:val="28"/>
          <w:szCs w:val="28"/>
          <w:highlight w:val="none"/>
          <w:lang w:val="en-US" w:eastAsia="zh-CN"/>
        </w:rPr>
        <w:t>定标佐证资料（根据招标文件载明的定标因素，提交相关评审资料，格式自拟）</w:t>
      </w:r>
    </w:p>
    <w:p w14:paraId="5B99672C">
      <w:pPr>
        <w:bidi w:val="0"/>
        <w:rPr>
          <w:rFonts w:hint="eastAsia"/>
          <w:lang w:val="en-US" w:eastAsia="zh-CN"/>
        </w:rPr>
      </w:pPr>
    </w:p>
    <w:p w14:paraId="3176A1FF">
      <w:pPr>
        <w:rPr>
          <w:color w:val="auto"/>
          <w:highlight w:val="none"/>
        </w:rPr>
        <w:sectPr>
          <w:footerReference r:id="rId51" w:type="default"/>
          <w:pgSz w:w="11905" w:h="16838"/>
          <w:pgMar w:top="1134" w:right="1134" w:bottom="1134" w:left="1134" w:header="0" w:footer="1066" w:gutter="0"/>
          <w:pgNumType w:fmt="decimal"/>
          <w:cols w:space="0" w:num="1"/>
          <w:rtlGutter w:val="0"/>
          <w:docGrid w:linePitch="0" w:charSpace="0"/>
        </w:sectPr>
      </w:pPr>
    </w:p>
    <w:p w14:paraId="7C0C158B">
      <w:pPr>
        <w:spacing w:line="278" w:lineRule="auto"/>
        <w:rPr>
          <w:rFonts w:ascii="Arial"/>
          <w:color w:val="auto"/>
          <w:sz w:val="21"/>
          <w:highlight w:val="none"/>
        </w:rPr>
      </w:pPr>
    </w:p>
    <w:p w14:paraId="073514E5">
      <w:pPr>
        <w:pStyle w:val="3"/>
        <w:bidi w:val="0"/>
        <w:jc w:val="center"/>
        <w:rPr>
          <w:color w:val="auto"/>
          <w:highlight w:val="none"/>
        </w:rPr>
      </w:pPr>
      <w:r>
        <w:rPr>
          <w:color w:val="auto"/>
          <w:highlight w:val="none"/>
        </w:rPr>
        <w:t>一、投标函</w:t>
      </w:r>
    </w:p>
    <w:p w14:paraId="2D7E4F40">
      <w:pPr>
        <w:spacing w:line="320" w:lineRule="auto"/>
        <w:rPr>
          <w:rFonts w:ascii="Arial"/>
          <w:color w:val="auto"/>
          <w:sz w:val="21"/>
          <w:highlight w:val="none"/>
        </w:rPr>
      </w:pPr>
    </w:p>
    <w:p w14:paraId="00F7B7DD">
      <w:pPr>
        <w:tabs>
          <w:tab w:val="left" w:pos="2997"/>
        </w:tabs>
        <w:spacing w:before="78" w:line="220" w:lineRule="auto"/>
        <w:ind w:left="118"/>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z w:val="24"/>
          <w:szCs w:val="24"/>
          <w:highlight w:val="none"/>
        </w:rPr>
        <w:t>（招标人名称）：</w:t>
      </w:r>
    </w:p>
    <w:p w14:paraId="60FBC387">
      <w:pPr>
        <w:spacing w:before="233" w:line="308" w:lineRule="auto"/>
        <w:ind w:left="9" w:firstLine="49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1．我方已仔细研究</w:t>
      </w:r>
      <w:r>
        <w:rPr>
          <w:rFonts w:ascii="宋体" w:hAnsi="宋体" w:eastAsia="宋体" w:cs="宋体"/>
          <w:color w:val="auto"/>
          <w:spacing w:val="-118"/>
          <w:sz w:val="24"/>
          <w:szCs w:val="24"/>
          <w:highlight w:val="none"/>
        </w:rPr>
        <w:t xml:space="preserve"> </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3"/>
          <w:sz w:val="24"/>
          <w:szCs w:val="24"/>
          <w:highlight w:val="none"/>
        </w:rPr>
        <w:t>（项目名称）</w:t>
      </w:r>
      <w:r>
        <w:rPr>
          <w:rFonts w:ascii="宋体" w:hAnsi="宋体" w:eastAsia="宋体" w:cs="宋体"/>
          <w:color w:val="auto"/>
          <w:spacing w:val="4"/>
          <w:sz w:val="24"/>
          <w:szCs w:val="24"/>
          <w:highlight w:val="none"/>
          <w:u w:val="single" w:color="auto"/>
        </w:rPr>
        <w:t xml:space="preserve">         </w:t>
      </w:r>
      <w:r>
        <w:rPr>
          <w:rFonts w:ascii="宋体" w:hAnsi="宋体" w:eastAsia="宋体" w:cs="宋体"/>
          <w:color w:val="auto"/>
          <w:spacing w:val="-110"/>
          <w:sz w:val="24"/>
          <w:szCs w:val="24"/>
          <w:highlight w:val="none"/>
        </w:rPr>
        <w:t xml:space="preserve"> </w:t>
      </w:r>
      <w:r>
        <w:rPr>
          <w:rFonts w:ascii="宋体" w:hAnsi="宋体" w:eastAsia="宋体" w:cs="宋体"/>
          <w:color w:val="auto"/>
          <w:spacing w:val="3"/>
          <w:sz w:val="24"/>
          <w:szCs w:val="24"/>
          <w:highlight w:val="none"/>
        </w:rPr>
        <w:t>标段</w:t>
      </w:r>
      <w:r>
        <w:rPr>
          <w:rFonts w:ascii="宋体" w:hAnsi="宋体" w:eastAsia="宋体" w:cs="宋体"/>
          <w:color w:val="auto"/>
          <w:spacing w:val="2"/>
          <w:sz w:val="24"/>
          <w:szCs w:val="24"/>
          <w:highlight w:val="none"/>
        </w:rPr>
        <w:t>施工监理招</w:t>
      </w:r>
      <w:r>
        <w:rPr>
          <w:rFonts w:ascii="宋体" w:hAnsi="宋体" w:eastAsia="宋体" w:cs="宋体"/>
          <w:color w:val="auto"/>
          <w:spacing w:val="23"/>
          <w:sz w:val="24"/>
          <w:szCs w:val="24"/>
          <w:highlight w:val="none"/>
        </w:rPr>
        <w:t>标文件的全部内容（含补遗书</w:t>
      </w:r>
      <w:r>
        <w:rPr>
          <w:rFonts w:ascii="宋体" w:hAnsi="宋体" w:eastAsia="宋体" w:cs="宋体"/>
          <w:color w:val="auto"/>
          <w:spacing w:val="4"/>
          <w:sz w:val="24"/>
          <w:szCs w:val="24"/>
          <w:highlight w:val="none"/>
        </w:rPr>
        <w:t>）</w:t>
      </w:r>
      <w:r>
        <w:rPr>
          <w:rFonts w:ascii="宋体" w:hAnsi="宋体" w:eastAsia="宋体" w:cs="宋体"/>
          <w:color w:val="auto"/>
          <w:spacing w:val="-36"/>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23"/>
          <w:sz w:val="24"/>
          <w:szCs w:val="24"/>
          <w:highlight w:val="none"/>
        </w:rPr>
        <w:t>在考察工程现场后</w:t>
      </w:r>
      <w:r>
        <w:rPr>
          <w:rFonts w:ascii="宋体" w:hAnsi="宋体" w:eastAsia="宋体" w:cs="宋体"/>
          <w:color w:val="auto"/>
          <w:spacing w:val="-62"/>
          <w:sz w:val="24"/>
          <w:szCs w:val="24"/>
          <w:highlight w:val="none"/>
        </w:rPr>
        <w:t xml:space="preserve"> </w:t>
      </w:r>
      <w:r>
        <w:rPr>
          <w:rFonts w:ascii="宋体" w:hAnsi="宋体" w:eastAsia="宋体" w:cs="宋体"/>
          <w:color w:val="auto"/>
          <w:spacing w:val="23"/>
          <w:sz w:val="24"/>
          <w:szCs w:val="24"/>
          <w:highlight w:val="none"/>
        </w:rPr>
        <w:t>，愿意以人民币（大</w:t>
      </w:r>
      <w:r>
        <w:rPr>
          <w:rFonts w:ascii="宋体" w:hAnsi="宋体" w:eastAsia="宋体" w:cs="宋体"/>
          <w:color w:val="auto"/>
          <w:spacing w:val="22"/>
          <w:sz w:val="24"/>
          <w:szCs w:val="24"/>
          <w:highlight w:val="none"/>
        </w:rPr>
        <w:t>写）</w:t>
      </w:r>
      <w:r>
        <w:rPr>
          <w:rFonts w:ascii="宋体" w:hAnsi="宋体" w:eastAsia="宋体" w:cs="宋体"/>
          <w:color w:val="auto"/>
          <w:sz w:val="24"/>
          <w:szCs w:val="24"/>
          <w:highlight w:val="none"/>
        </w:rPr>
        <w:t>元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85"/>
          <w:sz w:val="24"/>
          <w:szCs w:val="24"/>
          <w:highlight w:val="none"/>
        </w:rPr>
        <w:t xml:space="preserve"> </w:t>
      </w:r>
      <w:r>
        <w:rPr>
          <w:rFonts w:ascii="宋体" w:hAnsi="宋体" w:eastAsia="宋体" w:cs="宋体"/>
          <w:color w:val="auto"/>
          <w:sz w:val="24"/>
          <w:szCs w:val="24"/>
          <w:highlight w:val="none"/>
        </w:rPr>
        <w:t>)</w:t>
      </w:r>
      <w:r>
        <w:rPr>
          <w:rFonts w:ascii="宋体" w:hAnsi="宋体" w:eastAsia="宋体" w:cs="宋体"/>
          <w:color w:val="auto"/>
          <w:spacing w:val="47"/>
          <w:sz w:val="24"/>
          <w:szCs w:val="24"/>
          <w:highlight w:val="none"/>
        </w:rPr>
        <w:t xml:space="preserve"> </w:t>
      </w:r>
      <w:r>
        <w:rPr>
          <w:rFonts w:ascii="宋体" w:hAnsi="宋体" w:eastAsia="宋体" w:cs="宋体"/>
          <w:color w:val="auto"/>
          <w:sz w:val="24"/>
          <w:szCs w:val="24"/>
          <w:highlight w:val="none"/>
        </w:rPr>
        <w:t>的投标总报价（或</w:t>
      </w:r>
      <w:r>
        <w:rPr>
          <w:rFonts w:ascii="宋体" w:hAnsi="宋体" w:eastAsia="宋体" w:cs="宋体"/>
          <w:color w:val="auto"/>
          <w:spacing w:val="-1"/>
          <w:sz w:val="24"/>
          <w:szCs w:val="24"/>
          <w:highlight w:val="none"/>
        </w:rPr>
        <w:t>根据招标文件规定修正核实后确定的另一金额，其中，增值税税率为</w:t>
      </w:r>
      <w:r>
        <w:rPr>
          <w:rFonts w:ascii="宋体" w:hAnsi="宋体" w:eastAsia="宋体" w:cs="宋体"/>
          <w:color w:val="auto"/>
          <w:spacing w:val="-1"/>
          <w:sz w:val="24"/>
          <w:szCs w:val="24"/>
          <w:highlight w:val="none"/>
          <w:u w:val="single" w:color="auto"/>
        </w:rPr>
        <w:t xml:space="preserve">         </w:t>
      </w:r>
      <w:r>
        <w:rPr>
          <w:rFonts w:ascii="宋体" w:hAnsi="宋体" w:eastAsia="宋体" w:cs="宋体"/>
          <w:color w:val="auto"/>
          <w:spacing w:val="-85"/>
          <w:sz w:val="24"/>
          <w:szCs w:val="24"/>
          <w:highlight w:val="none"/>
        </w:rPr>
        <w:t xml:space="preserve"> </w:t>
      </w:r>
      <w:r>
        <w:rPr>
          <w:rFonts w:ascii="宋体" w:hAnsi="宋体" w:eastAsia="宋体" w:cs="宋体"/>
          <w:color w:val="auto"/>
          <w:spacing w:val="-8"/>
          <w:sz w:val="24"/>
          <w:szCs w:val="24"/>
          <w:highlight w:val="none"/>
        </w:rPr>
        <w:t>），</w:t>
      </w:r>
      <w:r>
        <w:rPr>
          <w:rFonts w:ascii="宋体" w:hAnsi="宋体" w:eastAsia="宋体" w:cs="宋体"/>
          <w:color w:val="auto"/>
          <w:spacing w:val="-1"/>
          <w:sz w:val="24"/>
          <w:szCs w:val="24"/>
          <w:highlight w:val="none"/>
        </w:rPr>
        <w:t>按合同约定完成施工监理工作。</w:t>
      </w:r>
    </w:p>
    <w:p w14:paraId="650EF11C">
      <w:pPr>
        <w:spacing w:line="307" w:lineRule="auto"/>
        <w:ind w:left="8"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2．在合同协议书正式签署生效之前，本投标函连</w:t>
      </w:r>
      <w:r>
        <w:rPr>
          <w:rFonts w:ascii="宋体" w:hAnsi="宋体" w:eastAsia="宋体" w:cs="宋体"/>
          <w:color w:val="auto"/>
          <w:spacing w:val="1"/>
          <w:sz w:val="24"/>
          <w:szCs w:val="24"/>
          <w:highlight w:val="none"/>
        </w:rPr>
        <w:t>同你方的中标通知书将构成我们</w:t>
      </w:r>
      <w:r>
        <w:rPr>
          <w:rFonts w:ascii="宋体" w:hAnsi="宋体" w:eastAsia="宋体" w:cs="宋体"/>
          <w:color w:val="auto"/>
          <w:spacing w:val="-1"/>
          <w:sz w:val="24"/>
          <w:szCs w:val="24"/>
          <w:highlight w:val="none"/>
        </w:rPr>
        <w:t>双方之间共同遵守的文件，对双方具有约束力。</w:t>
      </w:r>
    </w:p>
    <w:p w14:paraId="27962D8F">
      <w:pPr>
        <w:spacing w:line="219" w:lineRule="auto"/>
        <w:ind w:left="49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w:t>
      </w:r>
      <w:r>
        <w:rPr>
          <w:rFonts w:ascii="宋体" w:hAnsi="宋体" w:eastAsia="宋体" w:cs="宋体"/>
          <w:color w:val="auto"/>
          <w:spacing w:val="-17"/>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w:t>
      </w:r>
      <w:r>
        <w:rPr>
          <w:rFonts w:ascii="宋体" w:hAnsi="宋体" w:eastAsia="宋体" w:cs="宋体"/>
          <w:color w:val="auto"/>
          <w:spacing w:val="2"/>
          <w:sz w:val="24"/>
          <w:szCs w:val="24"/>
          <w:highlight w:val="none"/>
        </w:rPr>
        <w:t>其他补充说明）。</w:t>
      </w:r>
    </w:p>
    <w:p w14:paraId="6329B9A9">
      <w:pPr>
        <w:spacing w:line="309" w:lineRule="auto"/>
        <w:rPr>
          <w:rFonts w:ascii="Arial"/>
          <w:color w:val="auto"/>
          <w:sz w:val="21"/>
          <w:highlight w:val="none"/>
        </w:rPr>
      </w:pPr>
    </w:p>
    <w:p w14:paraId="07EF92FC">
      <w:pPr>
        <w:spacing w:before="79" w:line="342" w:lineRule="auto"/>
        <w:ind w:left="3431"/>
        <w:rPr>
          <w:rFonts w:ascii="宋体" w:hAnsi="宋体" w:eastAsia="宋体" w:cs="宋体"/>
          <w:color w:val="auto"/>
          <w:sz w:val="12"/>
          <w:szCs w:val="12"/>
          <w:highlight w:val="none"/>
        </w:rPr>
      </w:pPr>
      <w:r>
        <w:rPr>
          <w:rFonts w:ascii="宋体" w:hAnsi="宋体" w:eastAsia="宋体" w:cs="宋体"/>
          <w:color w:val="auto"/>
          <w:spacing w:val="4"/>
          <w:sz w:val="24"/>
          <w:szCs w:val="24"/>
          <w:highlight w:val="none"/>
        </w:rPr>
        <w:t>投 标 人</w:t>
      </w:r>
      <w:r>
        <w:rPr>
          <w:rFonts w:ascii="宋体" w:hAnsi="宋体" w:eastAsia="宋体" w:cs="宋体"/>
          <w:color w:val="auto"/>
          <w:spacing w:val="-29"/>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29"/>
          <w:sz w:val="24"/>
          <w:szCs w:val="24"/>
          <w:highlight w:val="none"/>
        </w:rPr>
        <w:t>（</w:t>
      </w:r>
      <w:r>
        <w:rPr>
          <w:rFonts w:ascii="宋体" w:hAnsi="宋体" w:eastAsia="宋体" w:cs="宋体"/>
          <w:color w:val="auto"/>
          <w:spacing w:val="4"/>
          <w:sz w:val="24"/>
          <w:szCs w:val="24"/>
          <w:highlight w:val="none"/>
        </w:rPr>
        <w:t>盖单位章）</w:t>
      </w:r>
      <w:r>
        <w:rPr>
          <w:color w:val="auto"/>
          <w:highlight w:val="none"/>
        </w:rPr>
        <w:fldChar w:fldCharType="begin"/>
      </w:r>
      <w:r>
        <w:rPr>
          <w:color w:val="auto"/>
          <w:highlight w:val="none"/>
        </w:rPr>
        <w:instrText xml:space="preserve"> HYPERLINK \l "bookmark198" </w:instrText>
      </w:r>
      <w:r>
        <w:rPr>
          <w:color w:val="auto"/>
          <w:highlight w:val="none"/>
        </w:rPr>
        <w:fldChar w:fldCharType="separate"/>
      </w:r>
      <w:r>
        <w:rPr>
          <w:rFonts w:ascii="宋体" w:hAnsi="宋体" w:eastAsia="宋体" w:cs="宋体"/>
          <w:color w:val="auto"/>
          <w:spacing w:val="4"/>
          <w:position w:val="11"/>
          <w:sz w:val="12"/>
          <w:szCs w:val="12"/>
          <w:highlight w:val="none"/>
        </w:rPr>
        <w:t>①</w:t>
      </w:r>
      <w:r>
        <w:rPr>
          <w:rFonts w:ascii="宋体" w:hAnsi="宋体" w:eastAsia="宋体" w:cs="宋体"/>
          <w:color w:val="auto"/>
          <w:spacing w:val="4"/>
          <w:position w:val="11"/>
          <w:sz w:val="12"/>
          <w:szCs w:val="12"/>
          <w:highlight w:val="none"/>
        </w:rPr>
        <w:fldChar w:fldCharType="end"/>
      </w:r>
    </w:p>
    <w:p w14:paraId="2C1C1594">
      <w:pPr>
        <w:spacing w:before="81" w:line="219" w:lineRule="auto"/>
        <w:ind w:left="342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法定代表人或其委托代理人</w:t>
      </w:r>
      <w:r>
        <w:rPr>
          <w:rFonts w:ascii="宋体" w:hAnsi="宋体" w:eastAsia="宋体" w:cs="宋体"/>
          <w:color w:val="auto"/>
          <w:spacing w:val="-14"/>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
          <w:sz w:val="24"/>
          <w:szCs w:val="24"/>
          <w:highlight w:val="none"/>
        </w:rPr>
        <w:t>签字）</w:t>
      </w:r>
    </w:p>
    <w:p w14:paraId="6F85CA92">
      <w:pPr>
        <w:spacing w:before="115" w:line="229" w:lineRule="auto"/>
        <w:ind w:left="3428"/>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地址：</w:t>
      </w:r>
      <w:r>
        <w:rPr>
          <w:rFonts w:ascii="宋体" w:hAnsi="宋体" w:eastAsia="宋体" w:cs="宋体"/>
          <w:color w:val="auto"/>
          <w:sz w:val="24"/>
          <w:szCs w:val="24"/>
          <w:highlight w:val="none"/>
          <w:u w:val="single" w:color="auto"/>
        </w:rPr>
        <w:t xml:space="preserve">                                     </w:t>
      </w:r>
    </w:p>
    <w:p w14:paraId="3DC86307">
      <w:pPr>
        <w:spacing w:before="102" w:line="224" w:lineRule="auto"/>
        <w:ind w:left="3447"/>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网址：</w:t>
      </w:r>
      <w:r>
        <w:rPr>
          <w:rFonts w:ascii="宋体" w:hAnsi="宋体" w:eastAsia="宋体" w:cs="宋体"/>
          <w:color w:val="auto"/>
          <w:sz w:val="24"/>
          <w:szCs w:val="24"/>
          <w:highlight w:val="none"/>
          <w:u w:val="single" w:color="auto"/>
        </w:rPr>
        <w:t xml:space="preserve">                                     </w:t>
      </w:r>
    </w:p>
    <w:p w14:paraId="295B4A32">
      <w:pPr>
        <w:spacing w:before="110" w:line="221" w:lineRule="auto"/>
        <w:ind w:left="3456"/>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电话：</w:t>
      </w:r>
      <w:r>
        <w:rPr>
          <w:rFonts w:ascii="宋体" w:hAnsi="宋体" w:eastAsia="宋体" w:cs="宋体"/>
          <w:color w:val="auto"/>
          <w:sz w:val="24"/>
          <w:szCs w:val="24"/>
          <w:highlight w:val="none"/>
          <w:u w:val="single" w:color="auto"/>
        </w:rPr>
        <w:t xml:space="preserve">                                     </w:t>
      </w:r>
    </w:p>
    <w:p w14:paraId="736B620C">
      <w:pPr>
        <w:spacing w:before="112" w:line="219" w:lineRule="auto"/>
        <w:ind w:left="342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传真：</w:t>
      </w:r>
      <w:r>
        <w:rPr>
          <w:rFonts w:ascii="宋体" w:hAnsi="宋体" w:eastAsia="宋体" w:cs="宋体"/>
          <w:color w:val="auto"/>
          <w:sz w:val="24"/>
          <w:szCs w:val="24"/>
          <w:highlight w:val="none"/>
          <w:u w:val="single" w:color="auto"/>
        </w:rPr>
        <w:t xml:space="preserve">                                     </w:t>
      </w:r>
    </w:p>
    <w:p w14:paraId="4FA990BE">
      <w:pPr>
        <w:spacing w:before="115" w:line="219" w:lineRule="auto"/>
        <w:ind w:left="344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邮政编码：</w:t>
      </w:r>
      <w:r>
        <w:rPr>
          <w:rFonts w:ascii="宋体" w:hAnsi="宋体" w:eastAsia="宋体" w:cs="宋体"/>
          <w:color w:val="auto"/>
          <w:spacing w:val="-4"/>
          <w:sz w:val="24"/>
          <w:szCs w:val="24"/>
          <w:highlight w:val="none"/>
          <w:u w:val="single" w:color="auto"/>
        </w:rPr>
        <w:t xml:space="preserve">                                   </w:t>
      </w:r>
    </w:p>
    <w:p w14:paraId="7B8DAC68">
      <w:pPr>
        <w:spacing w:line="345" w:lineRule="auto"/>
        <w:rPr>
          <w:rFonts w:ascii="Arial"/>
          <w:color w:val="auto"/>
          <w:sz w:val="21"/>
          <w:highlight w:val="none"/>
        </w:rPr>
      </w:pPr>
    </w:p>
    <w:p w14:paraId="488C67B9">
      <w:pPr>
        <w:bidi w:val="0"/>
        <w:jc w:val="center"/>
        <w:rPr>
          <w:rFonts w:ascii="宋体" w:hAnsi="宋体" w:eastAsia="宋体" w:cs="宋体"/>
          <w:color w:val="auto"/>
          <w:sz w:val="24"/>
          <w:szCs w:val="24"/>
          <w:highlight w:val="none"/>
        </w:rPr>
      </w:pPr>
      <w:bookmarkStart w:id="353" w:name="bookmark198"/>
      <w:bookmarkEnd w:id="353"/>
      <w:r>
        <w:rPr>
          <w:rFonts w:hint="eastAsia" w:ascii="宋体" w:hAnsi="宋体" w:eastAsia="宋体" w:cs="宋体"/>
          <w:color w:val="auto"/>
          <w:sz w:val="24"/>
          <w:szCs w:val="24"/>
          <w:highlight w:val="none"/>
          <w:u w:val="none" w:color="auto"/>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ab/>
      </w:r>
      <w:r>
        <w:rPr>
          <w:rFonts w:ascii="宋体" w:hAnsi="宋体" w:eastAsia="宋体" w:cs="宋体"/>
          <w:color w:val="auto"/>
          <w:spacing w:val="-108"/>
          <w:sz w:val="24"/>
          <w:szCs w:val="24"/>
          <w:highlight w:val="none"/>
        </w:rPr>
        <w:t xml:space="preserve"> </w:t>
      </w:r>
      <w:r>
        <w:rPr>
          <w:rFonts w:ascii="宋体" w:hAnsi="宋体" w:eastAsia="宋体" w:cs="宋体"/>
          <w:color w:val="auto"/>
          <w:spacing w:val="-26"/>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26"/>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26"/>
          <w:sz w:val="24"/>
          <w:szCs w:val="24"/>
          <w:highlight w:val="none"/>
        </w:rPr>
        <w:t>日</w:t>
      </w:r>
    </w:p>
    <w:p w14:paraId="044A3554">
      <w:pPr>
        <w:spacing w:line="248" w:lineRule="auto"/>
        <w:rPr>
          <w:rFonts w:ascii="Arial"/>
          <w:color w:val="auto"/>
          <w:sz w:val="21"/>
          <w:highlight w:val="none"/>
        </w:rPr>
      </w:pPr>
    </w:p>
    <w:p w14:paraId="6D9462CF">
      <w:pPr>
        <w:spacing w:line="248" w:lineRule="auto"/>
        <w:rPr>
          <w:rFonts w:ascii="Arial"/>
          <w:color w:val="auto"/>
          <w:sz w:val="21"/>
          <w:highlight w:val="none"/>
        </w:rPr>
      </w:pPr>
    </w:p>
    <w:p w14:paraId="192F51CC">
      <w:pPr>
        <w:spacing w:line="248" w:lineRule="auto"/>
        <w:rPr>
          <w:rFonts w:ascii="Arial"/>
          <w:color w:val="auto"/>
          <w:sz w:val="21"/>
          <w:highlight w:val="none"/>
        </w:rPr>
      </w:pPr>
    </w:p>
    <w:p w14:paraId="275BE2B9">
      <w:pPr>
        <w:spacing w:line="248" w:lineRule="auto"/>
        <w:rPr>
          <w:rFonts w:ascii="Arial"/>
          <w:color w:val="auto"/>
          <w:sz w:val="21"/>
          <w:highlight w:val="none"/>
        </w:rPr>
      </w:pPr>
    </w:p>
    <w:p w14:paraId="461D7558">
      <w:pPr>
        <w:spacing w:line="249" w:lineRule="auto"/>
        <w:rPr>
          <w:rFonts w:ascii="Arial"/>
          <w:color w:val="auto"/>
          <w:sz w:val="21"/>
          <w:highlight w:val="none"/>
        </w:rPr>
      </w:pPr>
    </w:p>
    <w:p w14:paraId="510C0334">
      <w:pPr>
        <w:spacing w:line="249" w:lineRule="auto"/>
        <w:rPr>
          <w:rFonts w:ascii="Arial"/>
          <w:color w:val="auto"/>
          <w:sz w:val="21"/>
          <w:highlight w:val="none"/>
        </w:rPr>
      </w:pPr>
    </w:p>
    <w:p w14:paraId="2FF8D69B">
      <w:pPr>
        <w:spacing w:line="249" w:lineRule="auto"/>
        <w:rPr>
          <w:rFonts w:ascii="Arial"/>
          <w:color w:val="auto"/>
          <w:sz w:val="21"/>
          <w:highlight w:val="none"/>
        </w:rPr>
      </w:pPr>
    </w:p>
    <w:p w14:paraId="3EE6BED7">
      <w:pPr>
        <w:spacing w:line="249" w:lineRule="auto"/>
        <w:rPr>
          <w:rFonts w:ascii="Arial"/>
          <w:color w:val="auto"/>
          <w:sz w:val="21"/>
          <w:highlight w:val="none"/>
        </w:rPr>
      </w:pPr>
    </w:p>
    <w:p w14:paraId="404FAEF1">
      <w:pPr>
        <w:spacing w:line="249" w:lineRule="auto"/>
        <w:rPr>
          <w:rFonts w:ascii="Arial"/>
          <w:color w:val="auto"/>
          <w:sz w:val="21"/>
          <w:highlight w:val="none"/>
        </w:rPr>
      </w:pPr>
    </w:p>
    <w:p w14:paraId="7AAEB96B">
      <w:pPr>
        <w:spacing w:line="249" w:lineRule="auto"/>
        <w:rPr>
          <w:rFonts w:ascii="Arial"/>
          <w:color w:val="auto"/>
          <w:sz w:val="21"/>
          <w:highlight w:val="none"/>
        </w:rPr>
      </w:pPr>
    </w:p>
    <w:p w14:paraId="3F7BACDB">
      <w:pPr>
        <w:spacing w:line="249" w:lineRule="auto"/>
        <w:rPr>
          <w:rFonts w:ascii="Arial"/>
          <w:color w:val="auto"/>
          <w:sz w:val="21"/>
          <w:highlight w:val="none"/>
        </w:rPr>
      </w:pPr>
    </w:p>
    <w:p w14:paraId="6D980793">
      <w:pPr>
        <w:spacing w:line="249" w:lineRule="auto"/>
        <w:rPr>
          <w:rFonts w:ascii="Arial"/>
          <w:color w:val="auto"/>
          <w:sz w:val="21"/>
          <w:highlight w:val="none"/>
        </w:rPr>
      </w:pPr>
    </w:p>
    <w:p w14:paraId="178B1292">
      <w:pPr>
        <w:spacing w:line="249" w:lineRule="auto"/>
        <w:rPr>
          <w:rFonts w:ascii="Arial"/>
          <w:color w:val="auto"/>
          <w:sz w:val="21"/>
          <w:highlight w:val="none"/>
        </w:rPr>
      </w:pPr>
    </w:p>
    <w:p w14:paraId="1612C024">
      <w:pPr>
        <w:spacing w:line="249" w:lineRule="auto"/>
        <w:rPr>
          <w:rFonts w:ascii="Arial"/>
          <w:color w:val="auto"/>
          <w:sz w:val="21"/>
          <w:highlight w:val="none"/>
        </w:rPr>
      </w:pPr>
    </w:p>
    <w:p w14:paraId="7D4F8B84">
      <w:pPr>
        <w:spacing w:line="249" w:lineRule="auto"/>
        <w:rPr>
          <w:rFonts w:ascii="Arial"/>
          <w:color w:val="auto"/>
          <w:sz w:val="21"/>
          <w:highlight w:val="none"/>
        </w:rPr>
      </w:pPr>
    </w:p>
    <w:p w14:paraId="3B76CEE2">
      <w:pPr>
        <w:spacing w:line="249" w:lineRule="auto"/>
        <w:rPr>
          <w:rFonts w:ascii="Arial"/>
          <w:color w:val="auto"/>
          <w:sz w:val="21"/>
          <w:highlight w:val="none"/>
        </w:rPr>
      </w:pPr>
    </w:p>
    <w:p w14:paraId="4B05BF56">
      <w:pPr>
        <w:spacing w:line="249" w:lineRule="auto"/>
        <w:rPr>
          <w:rFonts w:ascii="Arial"/>
          <w:color w:val="auto"/>
          <w:sz w:val="21"/>
          <w:highlight w:val="none"/>
        </w:rPr>
      </w:pPr>
    </w:p>
    <w:p w14:paraId="23C9A093">
      <w:pPr>
        <w:spacing w:line="249" w:lineRule="auto"/>
        <w:rPr>
          <w:rFonts w:ascii="Arial"/>
          <w:color w:val="auto"/>
          <w:sz w:val="21"/>
          <w:highlight w:val="none"/>
        </w:rPr>
      </w:pPr>
    </w:p>
    <w:p w14:paraId="7B57E66E">
      <w:pPr>
        <w:spacing w:line="249" w:lineRule="auto"/>
        <w:rPr>
          <w:rFonts w:ascii="Arial"/>
          <w:color w:val="auto"/>
          <w:sz w:val="21"/>
          <w:highlight w:val="none"/>
        </w:rPr>
      </w:pPr>
    </w:p>
    <w:p w14:paraId="4F6C9094">
      <w:pPr>
        <w:spacing w:line="249" w:lineRule="auto"/>
        <w:rPr>
          <w:rFonts w:ascii="Arial"/>
          <w:color w:val="auto"/>
          <w:sz w:val="21"/>
          <w:highlight w:val="none"/>
        </w:rPr>
      </w:pPr>
    </w:p>
    <w:p w14:paraId="4B824F8F">
      <w:pPr>
        <w:spacing w:line="249" w:lineRule="auto"/>
        <w:rPr>
          <w:rFonts w:ascii="Arial"/>
          <w:color w:val="auto"/>
          <w:sz w:val="21"/>
          <w:highlight w:val="none"/>
        </w:rPr>
      </w:pPr>
    </w:p>
    <w:p w14:paraId="212A4C57">
      <w:pPr>
        <w:spacing w:line="249" w:lineRule="auto"/>
        <w:rPr>
          <w:rFonts w:ascii="Arial"/>
          <w:color w:val="auto"/>
          <w:sz w:val="21"/>
          <w:highlight w:val="none"/>
        </w:rPr>
      </w:pPr>
    </w:p>
    <w:p w14:paraId="2BDD89A0">
      <w:pPr>
        <w:spacing w:line="249" w:lineRule="auto"/>
        <w:rPr>
          <w:rFonts w:ascii="Arial"/>
          <w:color w:val="auto"/>
          <w:sz w:val="21"/>
          <w:highlight w:val="none"/>
        </w:rPr>
      </w:pPr>
    </w:p>
    <w:p w14:paraId="5C3F09EC">
      <w:pPr>
        <w:spacing w:line="217" w:lineRule="auto"/>
        <w:rPr>
          <w:rFonts w:ascii="宋体" w:hAnsi="宋体" w:eastAsia="宋体" w:cs="宋体"/>
          <w:color w:val="auto"/>
          <w:sz w:val="18"/>
          <w:szCs w:val="18"/>
          <w:highlight w:val="none"/>
        </w:rPr>
        <w:sectPr>
          <w:footerReference r:id="rId52" w:type="default"/>
          <w:pgSz w:w="11905" w:h="16838"/>
          <w:pgMar w:top="1134" w:right="1134" w:bottom="1134" w:left="1134" w:header="0" w:footer="1066" w:gutter="0"/>
          <w:pgNumType w:fmt="decimal"/>
          <w:cols w:space="0" w:num="1"/>
          <w:rtlGutter w:val="0"/>
          <w:docGrid w:linePitch="0" w:charSpace="0"/>
        </w:sectPr>
      </w:pPr>
    </w:p>
    <w:p w14:paraId="5F39080E">
      <w:pPr>
        <w:spacing w:line="278" w:lineRule="auto"/>
        <w:rPr>
          <w:rFonts w:ascii="Arial"/>
          <w:color w:val="auto"/>
          <w:sz w:val="21"/>
          <w:highlight w:val="none"/>
        </w:rPr>
      </w:pPr>
    </w:p>
    <w:p w14:paraId="355712BC">
      <w:pPr>
        <w:pStyle w:val="3"/>
        <w:bidi w:val="0"/>
        <w:jc w:val="center"/>
        <w:rPr>
          <w:color w:val="auto"/>
          <w:highlight w:val="none"/>
        </w:rPr>
      </w:pPr>
      <w:r>
        <w:rPr>
          <w:color w:val="auto"/>
          <w:highlight w:val="none"/>
        </w:rPr>
        <w:t>二、监理服务费用清单</w:t>
      </w:r>
    </w:p>
    <w:p w14:paraId="7605704E">
      <w:pPr>
        <w:pStyle w:val="4"/>
        <w:bidi w:val="0"/>
        <w:jc w:val="center"/>
        <w:rPr>
          <w:color w:val="auto"/>
          <w:highlight w:val="none"/>
        </w:rPr>
      </w:pPr>
      <w:r>
        <w:rPr>
          <w:color w:val="auto"/>
          <w:highlight w:val="none"/>
        </w:rPr>
        <w:t>（一）报价清单说明</w:t>
      </w:r>
    </w:p>
    <w:p w14:paraId="1CFAAE5F">
      <w:pPr>
        <w:spacing w:before="303" w:line="292" w:lineRule="auto"/>
        <w:ind w:left="3" w:firstLine="49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 本报价表中各表项目和数量由投标人根据工程需要填写，除此之外，还应在每</w:t>
      </w:r>
      <w:r>
        <w:rPr>
          <w:rFonts w:ascii="宋体" w:hAnsi="宋体" w:eastAsia="宋体" w:cs="宋体"/>
          <w:color w:val="auto"/>
          <w:spacing w:val="5"/>
          <w:sz w:val="24"/>
          <w:szCs w:val="24"/>
          <w:highlight w:val="none"/>
        </w:rPr>
        <w:t>张报价表后附报价计算说明。如折旧费计算说明中应指出每种监理设施</w:t>
      </w:r>
      <w:r>
        <w:rPr>
          <w:rFonts w:ascii="宋体" w:hAnsi="宋体" w:eastAsia="宋体" w:cs="宋体"/>
          <w:color w:val="auto"/>
          <w:spacing w:val="4"/>
          <w:sz w:val="24"/>
          <w:szCs w:val="24"/>
          <w:highlight w:val="none"/>
        </w:rPr>
        <w:t>折旧寿命、折</w:t>
      </w:r>
      <w:r>
        <w:rPr>
          <w:rFonts w:ascii="宋体" w:hAnsi="宋体" w:eastAsia="宋体" w:cs="宋体"/>
          <w:color w:val="auto"/>
          <w:spacing w:val="5"/>
          <w:sz w:val="24"/>
          <w:szCs w:val="24"/>
          <w:highlight w:val="none"/>
        </w:rPr>
        <w:t>旧期、年折旧费等，使用、维修、管理费等计算说明中应指出每年各项</w:t>
      </w:r>
      <w:r>
        <w:rPr>
          <w:rFonts w:ascii="宋体" w:hAnsi="宋体" w:eastAsia="宋体" w:cs="宋体"/>
          <w:color w:val="auto"/>
          <w:spacing w:val="4"/>
          <w:sz w:val="24"/>
          <w:szCs w:val="24"/>
          <w:highlight w:val="none"/>
        </w:rPr>
        <w:t>费用情况、计</w:t>
      </w:r>
      <w:r>
        <w:rPr>
          <w:rFonts w:ascii="宋体" w:hAnsi="宋体" w:eastAsia="宋体" w:cs="宋体"/>
          <w:color w:val="auto"/>
          <w:spacing w:val="-3"/>
          <w:sz w:val="24"/>
          <w:szCs w:val="24"/>
          <w:highlight w:val="none"/>
        </w:rPr>
        <w:t>算公式等。</w:t>
      </w:r>
    </w:p>
    <w:p w14:paraId="24A57132">
      <w:pPr>
        <w:spacing w:before="1" w:line="292" w:lineRule="auto"/>
        <w:ind w:left="2" w:firstLine="47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 监理人员配备数量应根据招标文件的要求、投标人编</w:t>
      </w:r>
      <w:r>
        <w:rPr>
          <w:rFonts w:ascii="宋体" w:hAnsi="宋体" w:eastAsia="宋体" w:cs="宋体"/>
          <w:color w:val="auto"/>
          <w:spacing w:val="1"/>
          <w:sz w:val="24"/>
          <w:szCs w:val="24"/>
          <w:highlight w:val="none"/>
        </w:rPr>
        <w:t>写的技术建议书并参考投</w:t>
      </w:r>
      <w:r>
        <w:rPr>
          <w:rFonts w:ascii="宋体" w:hAnsi="宋体" w:eastAsia="宋体" w:cs="宋体"/>
          <w:color w:val="auto"/>
          <w:spacing w:val="-1"/>
          <w:sz w:val="24"/>
          <w:szCs w:val="24"/>
          <w:highlight w:val="none"/>
        </w:rPr>
        <w:t>标人以往监理工作经验填报。</w:t>
      </w:r>
    </w:p>
    <w:p w14:paraId="50884D08">
      <w:pPr>
        <w:spacing w:line="292" w:lineRule="auto"/>
        <w:ind w:left="2" w:right="2"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 投标人必须配备施工监理所需的监理办公</w:t>
      </w:r>
      <w:r>
        <w:rPr>
          <w:rFonts w:ascii="宋体" w:hAnsi="宋体" w:eastAsia="宋体" w:cs="宋体"/>
          <w:color w:val="auto"/>
          <w:spacing w:val="1"/>
          <w:sz w:val="24"/>
          <w:szCs w:val="24"/>
          <w:highlight w:val="none"/>
        </w:rPr>
        <w:t>设施(含通讯设施)、试验检测设施、</w:t>
      </w:r>
      <w:r>
        <w:rPr>
          <w:rFonts w:ascii="宋体" w:hAnsi="宋体" w:eastAsia="宋体" w:cs="宋体"/>
          <w:color w:val="auto"/>
          <w:spacing w:val="5"/>
          <w:sz w:val="24"/>
          <w:szCs w:val="24"/>
          <w:highlight w:val="none"/>
        </w:rPr>
        <w:t>交通设施、生活设施等。监理办公设施(含通讯设施)、试验检</w:t>
      </w:r>
      <w:r>
        <w:rPr>
          <w:rFonts w:ascii="宋体" w:hAnsi="宋体" w:eastAsia="宋体" w:cs="宋体"/>
          <w:color w:val="auto"/>
          <w:spacing w:val="4"/>
          <w:sz w:val="24"/>
          <w:szCs w:val="24"/>
          <w:highlight w:val="none"/>
        </w:rPr>
        <w:t>测设施、交通设施、生</w:t>
      </w:r>
      <w:r>
        <w:rPr>
          <w:rFonts w:ascii="宋体" w:hAnsi="宋体" w:eastAsia="宋体" w:cs="宋体"/>
          <w:color w:val="auto"/>
          <w:spacing w:val="5"/>
          <w:sz w:val="24"/>
          <w:szCs w:val="24"/>
          <w:highlight w:val="none"/>
        </w:rPr>
        <w:t>活设施等应根据招标文件的要求、投标人编写的技术建议书并参考投标人</w:t>
      </w:r>
      <w:r>
        <w:rPr>
          <w:rFonts w:ascii="宋体" w:hAnsi="宋体" w:eastAsia="宋体" w:cs="宋体"/>
          <w:color w:val="auto"/>
          <w:spacing w:val="4"/>
          <w:sz w:val="24"/>
          <w:szCs w:val="24"/>
          <w:highlight w:val="none"/>
        </w:rPr>
        <w:t>以往监理工</w:t>
      </w:r>
      <w:r>
        <w:rPr>
          <w:rFonts w:ascii="宋体" w:hAnsi="宋体" w:eastAsia="宋体" w:cs="宋体"/>
          <w:color w:val="auto"/>
          <w:spacing w:val="-2"/>
          <w:sz w:val="24"/>
          <w:szCs w:val="24"/>
          <w:highlight w:val="none"/>
        </w:rPr>
        <w:t>作经验配置。</w:t>
      </w:r>
    </w:p>
    <w:p w14:paraId="0CC8A1F4">
      <w:pPr>
        <w:spacing w:before="2" w:line="292" w:lineRule="auto"/>
        <w:ind w:left="2" w:firstLine="47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 监理工程师的驻地设施及配备的设备，如交通、通讯工具及燃</w:t>
      </w:r>
      <w:r>
        <w:rPr>
          <w:rFonts w:ascii="宋体" w:hAnsi="宋体" w:eastAsia="宋体" w:cs="宋体"/>
          <w:color w:val="auto"/>
          <w:spacing w:val="1"/>
          <w:sz w:val="24"/>
          <w:szCs w:val="24"/>
          <w:highlight w:val="none"/>
        </w:rPr>
        <w:t>料消耗、维护等</w:t>
      </w:r>
      <w:r>
        <w:rPr>
          <w:rFonts w:ascii="宋体" w:hAnsi="宋体" w:eastAsia="宋体" w:cs="宋体"/>
          <w:color w:val="auto"/>
          <w:spacing w:val="-1"/>
          <w:sz w:val="24"/>
          <w:szCs w:val="24"/>
          <w:highlight w:val="none"/>
        </w:rPr>
        <w:t>均由投标人按规定列入投标报价中。</w:t>
      </w:r>
    </w:p>
    <w:p w14:paraId="52D91F84">
      <w:pPr>
        <w:spacing w:before="1" w:line="218" w:lineRule="auto"/>
        <w:ind w:left="48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5.投标人在填报监理服务费用时应综合考虑下列因素：</w:t>
      </w:r>
    </w:p>
    <w:p w14:paraId="187F2F87">
      <w:pPr>
        <w:spacing w:before="94" w:line="293" w:lineRule="auto"/>
        <w:ind w:left="2" w:right="2" w:firstLine="48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（1）监理人所提供的各级监理人员、试验检测仪器、车辆均应满足委托人在专用</w:t>
      </w:r>
      <w:r>
        <w:rPr>
          <w:rFonts w:ascii="宋体" w:hAnsi="宋体" w:eastAsia="宋体" w:cs="宋体"/>
          <w:color w:val="auto"/>
          <w:spacing w:val="-1"/>
          <w:sz w:val="24"/>
          <w:szCs w:val="24"/>
          <w:highlight w:val="none"/>
        </w:rPr>
        <w:t>合同条款中提出的最低限度要求。</w:t>
      </w:r>
    </w:p>
    <w:p w14:paraId="574EDAE1">
      <w:pPr>
        <w:spacing w:before="1" w:line="292" w:lineRule="auto"/>
        <w:ind w:left="1" w:right="2" w:firstLine="489"/>
        <w:rPr>
          <w:rFonts w:ascii="宋体" w:hAnsi="宋体" w:eastAsia="宋体" w:cs="宋体"/>
          <w:color w:val="auto"/>
          <w:sz w:val="24"/>
          <w:szCs w:val="24"/>
          <w:highlight w:val="none"/>
        </w:rPr>
      </w:pPr>
      <w:r>
        <w:rPr>
          <w:rFonts w:ascii="宋体" w:hAnsi="宋体" w:eastAsia="宋体" w:cs="宋体"/>
          <w:color w:val="auto"/>
          <w:sz w:val="24"/>
          <w:szCs w:val="24"/>
          <w:highlight w:val="none"/>
        </w:rPr>
        <w:t>（2）除合同条款第</w:t>
      </w:r>
      <w:r>
        <w:rPr>
          <w:rFonts w:ascii="宋体" w:hAnsi="宋体" w:eastAsia="宋体" w:cs="宋体"/>
          <w:color w:val="auto"/>
          <w:spacing w:val="-47"/>
          <w:sz w:val="24"/>
          <w:szCs w:val="24"/>
          <w:highlight w:val="none"/>
        </w:rPr>
        <w:t xml:space="preserve"> </w:t>
      </w:r>
      <w:r>
        <w:rPr>
          <w:rFonts w:ascii="宋体" w:hAnsi="宋体" w:eastAsia="宋体" w:cs="宋体"/>
          <w:color w:val="auto"/>
          <w:sz w:val="24"/>
          <w:szCs w:val="24"/>
          <w:highlight w:val="none"/>
        </w:rPr>
        <w:t>8</w:t>
      </w:r>
      <w:r>
        <w:rPr>
          <w:rFonts w:ascii="宋体" w:hAnsi="宋体" w:eastAsia="宋体" w:cs="宋体"/>
          <w:color w:val="auto"/>
          <w:spacing w:val="-46"/>
          <w:sz w:val="24"/>
          <w:szCs w:val="24"/>
          <w:highlight w:val="none"/>
        </w:rPr>
        <w:t xml:space="preserve"> </w:t>
      </w:r>
      <w:r>
        <w:rPr>
          <w:rFonts w:ascii="宋体" w:hAnsi="宋体" w:eastAsia="宋体" w:cs="宋体"/>
          <w:color w:val="auto"/>
          <w:sz w:val="24"/>
          <w:szCs w:val="24"/>
          <w:highlight w:val="none"/>
        </w:rPr>
        <w:t>条约定的变更情形和项目专用合同条款第</w:t>
      </w:r>
      <w:r>
        <w:rPr>
          <w:rFonts w:ascii="宋体" w:hAnsi="宋体" w:eastAsia="宋体" w:cs="宋体"/>
          <w:color w:val="auto"/>
          <w:spacing w:val="-48"/>
          <w:sz w:val="24"/>
          <w:szCs w:val="24"/>
          <w:highlight w:val="none"/>
        </w:rPr>
        <w:t xml:space="preserve"> </w:t>
      </w:r>
      <w:r>
        <w:rPr>
          <w:rFonts w:ascii="宋体" w:hAnsi="宋体" w:eastAsia="宋体" w:cs="宋体"/>
          <w:color w:val="auto"/>
          <w:sz w:val="24"/>
          <w:szCs w:val="24"/>
          <w:highlight w:val="none"/>
        </w:rPr>
        <w:t>9.1.1</w:t>
      </w:r>
      <w:r>
        <w:rPr>
          <w:rFonts w:ascii="宋体" w:hAnsi="宋体" w:eastAsia="宋体" w:cs="宋体"/>
          <w:color w:val="auto"/>
          <w:spacing w:val="-44"/>
          <w:sz w:val="24"/>
          <w:szCs w:val="24"/>
          <w:highlight w:val="none"/>
        </w:rPr>
        <w:t xml:space="preserve"> </w:t>
      </w:r>
      <w:r>
        <w:rPr>
          <w:rFonts w:ascii="宋体" w:hAnsi="宋体" w:eastAsia="宋体" w:cs="宋体"/>
          <w:color w:val="auto"/>
          <w:sz w:val="24"/>
          <w:szCs w:val="24"/>
          <w:highlight w:val="none"/>
        </w:rPr>
        <w:t>项约</w:t>
      </w:r>
      <w:r>
        <w:rPr>
          <w:rFonts w:ascii="宋体" w:hAnsi="宋体" w:eastAsia="宋体" w:cs="宋体"/>
          <w:color w:val="auto"/>
          <w:spacing w:val="-1"/>
          <w:sz w:val="24"/>
          <w:szCs w:val="24"/>
          <w:highlight w:val="none"/>
        </w:rPr>
        <w:t>定的其</w:t>
      </w:r>
      <w:r>
        <w:rPr>
          <w:rFonts w:ascii="宋体" w:hAnsi="宋体" w:eastAsia="宋体" w:cs="宋体"/>
          <w:color w:val="auto"/>
          <w:sz w:val="24"/>
          <w:szCs w:val="24"/>
          <w:highlight w:val="none"/>
        </w:rPr>
        <w:t>他情形外，本监理合同的监理服务费用在合同</w:t>
      </w:r>
      <w:r>
        <w:rPr>
          <w:rFonts w:ascii="宋体" w:hAnsi="宋体" w:eastAsia="宋体" w:cs="宋体"/>
          <w:color w:val="auto"/>
          <w:spacing w:val="-1"/>
          <w:sz w:val="24"/>
          <w:szCs w:val="24"/>
          <w:highlight w:val="none"/>
        </w:rPr>
        <w:t>实施期间一律不予调整。</w:t>
      </w:r>
    </w:p>
    <w:p w14:paraId="0ADF2DF5">
      <w:pPr>
        <w:spacing w:before="2" w:line="291" w:lineRule="auto"/>
        <w:ind w:right="2" w:firstLine="48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6.投标人因完成本项目施工监理服务需缴纳的一切税费均由投标人承担，并包含</w:t>
      </w:r>
      <w:r>
        <w:rPr>
          <w:rFonts w:ascii="宋体" w:hAnsi="宋体" w:eastAsia="宋体" w:cs="宋体"/>
          <w:color w:val="auto"/>
          <w:spacing w:val="-1"/>
          <w:sz w:val="24"/>
          <w:szCs w:val="24"/>
          <w:highlight w:val="none"/>
        </w:rPr>
        <w:t>在所报的单价或总额价内，委托人不单独支付。</w:t>
      </w:r>
    </w:p>
    <w:p w14:paraId="19D0282C">
      <w:pPr>
        <w:spacing w:before="1" w:line="292" w:lineRule="auto"/>
        <w:ind w:left="1" w:right="2" w:firstLine="48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7.投标人应认真填写报价清单中所列的监理服务费用各细目的单价和总额价</w:t>
      </w:r>
      <w:r>
        <w:rPr>
          <w:rFonts w:ascii="宋体" w:hAnsi="宋体" w:eastAsia="宋体" w:cs="宋体"/>
          <w:color w:val="auto"/>
          <w:spacing w:val="4"/>
          <w:sz w:val="24"/>
          <w:szCs w:val="24"/>
          <w:highlight w:val="none"/>
        </w:rPr>
        <w:t>。投</w:t>
      </w:r>
      <w:r>
        <w:rPr>
          <w:rFonts w:ascii="宋体" w:hAnsi="宋体" w:eastAsia="宋体" w:cs="宋体"/>
          <w:color w:val="auto"/>
          <w:spacing w:val="5"/>
          <w:sz w:val="24"/>
          <w:szCs w:val="24"/>
          <w:highlight w:val="none"/>
        </w:rPr>
        <w:t>标人没有填入单价或总额价的工程细目委托人将不予支付，并认为该细目的</w:t>
      </w:r>
      <w:r>
        <w:rPr>
          <w:rFonts w:ascii="宋体" w:hAnsi="宋体" w:eastAsia="宋体" w:cs="宋体"/>
          <w:color w:val="auto"/>
          <w:spacing w:val="4"/>
          <w:sz w:val="24"/>
          <w:szCs w:val="24"/>
          <w:highlight w:val="none"/>
        </w:rPr>
        <w:t>价款已包</w:t>
      </w:r>
      <w:r>
        <w:rPr>
          <w:rFonts w:ascii="宋体" w:hAnsi="宋体" w:eastAsia="宋体" w:cs="宋体"/>
          <w:color w:val="auto"/>
          <w:spacing w:val="-1"/>
          <w:sz w:val="24"/>
          <w:szCs w:val="24"/>
          <w:highlight w:val="none"/>
        </w:rPr>
        <w:t>括在报价清单其他细目的单价或总额价中。</w:t>
      </w:r>
    </w:p>
    <w:p w14:paraId="7ED829F5">
      <w:pPr>
        <w:spacing w:before="2" w:line="292" w:lineRule="auto"/>
        <w:ind w:left="5" w:right="2" w:firstLine="47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8.在表</w:t>
      </w:r>
      <w:r>
        <w:rPr>
          <w:rFonts w:ascii="宋体" w:hAnsi="宋体" w:eastAsia="宋体" w:cs="宋体"/>
          <w:color w:val="auto"/>
          <w:spacing w:val="-31"/>
          <w:sz w:val="24"/>
          <w:szCs w:val="24"/>
          <w:highlight w:val="none"/>
        </w:rPr>
        <w:t xml:space="preserve"> </w:t>
      </w:r>
      <w:r>
        <w:rPr>
          <w:rFonts w:ascii="宋体" w:hAnsi="宋体" w:eastAsia="宋体" w:cs="宋体"/>
          <w:color w:val="auto"/>
          <w:spacing w:val="3"/>
          <w:sz w:val="24"/>
          <w:szCs w:val="24"/>
          <w:highlight w:val="none"/>
        </w:rPr>
        <w:t>2</w:t>
      </w:r>
      <w:r>
        <w:rPr>
          <w:rFonts w:ascii="宋体" w:hAnsi="宋体" w:eastAsia="宋体" w:cs="宋体"/>
          <w:color w:val="auto"/>
          <w:spacing w:val="-45"/>
          <w:sz w:val="24"/>
          <w:szCs w:val="24"/>
          <w:highlight w:val="none"/>
        </w:rPr>
        <w:t xml:space="preserve"> </w:t>
      </w:r>
      <w:r>
        <w:rPr>
          <w:rFonts w:ascii="宋体" w:hAnsi="宋体" w:eastAsia="宋体" w:cs="宋体"/>
          <w:color w:val="auto"/>
          <w:spacing w:val="3"/>
          <w:sz w:val="24"/>
          <w:szCs w:val="24"/>
          <w:highlight w:val="none"/>
        </w:rPr>
        <w:t>监理人员服务费报价表和表</w:t>
      </w:r>
      <w:r>
        <w:rPr>
          <w:rFonts w:ascii="宋体" w:hAnsi="宋体" w:eastAsia="宋体" w:cs="宋体"/>
          <w:color w:val="auto"/>
          <w:spacing w:val="-45"/>
          <w:sz w:val="24"/>
          <w:szCs w:val="24"/>
          <w:highlight w:val="none"/>
        </w:rPr>
        <w:t xml:space="preserve"> </w:t>
      </w:r>
      <w:r>
        <w:rPr>
          <w:rFonts w:ascii="宋体" w:hAnsi="宋体" w:eastAsia="宋体" w:cs="宋体"/>
          <w:color w:val="auto"/>
          <w:spacing w:val="3"/>
          <w:sz w:val="24"/>
          <w:szCs w:val="24"/>
          <w:highlight w:val="none"/>
        </w:rPr>
        <w:t>4</w:t>
      </w:r>
      <w:r>
        <w:rPr>
          <w:rFonts w:ascii="宋体" w:hAnsi="宋体" w:eastAsia="宋体" w:cs="宋体"/>
          <w:color w:val="auto"/>
          <w:spacing w:val="-45"/>
          <w:sz w:val="24"/>
          <w:szCs w:val="24"/>
          <w:highlight w:val="none"/>
        </w:rPr>
        <w:t xml:space="preserve"> </w:t>
      </w:r>
      <w:r>
        <w:rPr>
          <w:rFonts w:ascii="宋体" w:hAnsi="宋体" w:eastAsia="宋体" w:cs="宋体"/>
          <w:color w:val="auto"/>
          <w:spacing w:val="3"/>
          <w:sz w:val="24"/>
          <w:szCs w:val="24"/>
          <w:highlight w:val="none"/>
        </w:rPr>
        <w:t>监理工程师交通设施费报价表后应附相应</w:t>
      </w:r>
      <w:r>
        <w:rPr>
          <w:rFonts w:ascii="宋体" w:hAnsi="宋体" w:eastAsia="宋体" w:cs="宋体"/>
          <w:color w:val="auto"/>
          <w:spacing w:val="-2"/>
          <w:sz w:val="24"/>
          <w:szCs w:val="24"/>
          <w:highlight w:val="none"/>
        </w:rPr>
        <w:t>项目的单价分析表。</w:t>
      </w:r>
    </w:p>
    <w:p w14:paraId="4E2278EC">
      <w:pPr>
        <w:spacing w:before="1" w:line="292" w:lineRule="auto"/>
        <w:ind w:left="2" w:right="2" w:firstLine="477"/>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9.投标人在表</w:t>
      </w:r>
      <w:r>
        <w:rPr>
          <w:rFonts w:ascii="宋体" w:hAnsi="宋体" w:eastAsia="宋体" w:cs="宋体"/>
          <w:color w:val="auto"/>
          <w:spacing w:val="-43"/>
          <w:sz w:val="24"/>
          <w:szCs w:val="24"/>
          <w:highlight w:val="none"/>
        </w:rPr>
        <w:t xml:space="preserve"> </w:t>
      </w:r>
      <w:r>
        <w:rPr>
          <w:rFonts w:ascii="宋体" w:hAnsi="宋体" w:eastAsia="宋体" w:cs="宋体"/>
          <w:color w:val="auto"/>
          <w:spacing w:val="4"/>
          <w:sz w:val="24"/>
          <w:szCs w:val="24"/>
          <w:highlight w:val="none"/>
        </w:rPr>
        <w:t>2</w:t>
      </w:r>
      <w:r>
        <w:rPr>
          <w:rFonts w:ascii="宋体" w:hAnsi="宋体" w:eastAsia="宋体" w:cs="宋体"/>
          <w:color w:val="auto"/>
          <w:spacing w:val="-24"/>
          <w:sz w:val="24"/>
          <w:szCs w:val="24"/>
          <w:highlight w:val="none"/>
        </w:rPr>
        <w:t xml:space="preserve"> </w:t>
      </w:r>
      <w:r>
        <w:rPr>
          <w:rFonts w:ascii="宋体" w:hAnsi="宋体" w:eastAsia="宋体" w:cs="宋体"/>
          <w:color w:val="auto"/>
          <w:spacing w:val="4"/>
          <w:sz w:val="24"/>
          <w:szCs w:val="24"/>
          <w:highlight w:val="none"/>
        </w:rPr>
        <w:t>中填报的各类监理人员的人月</w:t>
      </w:r>
      <w:r>
        <w:rPr>
          <w:rFonts w:ascii="宋体" w:hAnsi="宋体" w:eastAsia="宋体" w:cs="宋体"/>
          <w:color w:val="auto"/>
          <w:spacing w:val="3"/>
          <w:sz w:val="24"/>
          <w:szCs w:val="24"/>
          <w:highlight w:val="none"/>
        </w:rPr>
        <w:t>单价应包括监理人员的工资、加班</w:t>
      </w:r>
      <w:r>
        <w:rPr>
          <w:rFonts w:ascii="宋体" w:hAnsi="宋体" w:eastAsia="宋体" w:cs="宋体"/>
          <w:color w:val="auto"/>
          <w:spacing w:val="5"/>
          <w:sz w:val="24"/>
          <w:szCs w:val="24"/>
          <w:highlight w:val="none"/>
        </w:rPr>
        <w:t>费、生活伙食费、奖金及各种补贴等一切费用在内。若监理人员因履行正</w:t>
      </w:r>
      <w:r>
        <w:rPr>
          <w:rFonts w:ascii="宋体" w:hAnsi="宋体" w:eastAsia="宋体" w:cs="宋体"/>
          <w:color w:val="auto"/>
          <w:spacing w:val="4"/>
          <w:sz w:val="24"/>
          <w:szCs w:val="24"/>
          <w:highlight w:val="none"/>
        </w:rPr>
        <w:t>常监理服务</w:t>
      </w:r>
      <w:r>
        <w:rPr>
          <w:rFonts w:ascii="宋体" w:hAnsi="宋体" w:eastAsia="宋体" w:cs="宋体"/>
          <w:color w:val="auto"/>
          <w:sz w:val="24"/>
          <w:szCs w:val="24"/>
          <w:highlight w:val="none"/>
        </w:rPr>
        <w:t>而加班，委托人将不考虑另行支付监理人员的加班费用。</w:t>
      </w:r>
      <w:r>
        <w:rPr>
          <w:rFonts w:ascii="宋体" w:hAnsi="宋体" w:eastAsia="宋体" w:cs="宋体"/>
          <w:color w:val="auto"/>
          <w:spacing w:val="-1"/>
          <w:sz w:val="24"/>
          <w:szCs w:val="24"/>
          <w:highlight w:val="none"/>
        </w:rPr>
        <w:t>投标报价中应考虑加班费。</w:t>
      </w:r>
    </w:p>
    <w:p w14:paraId="7DD86D5A">
      <w:pPr>
        <w:spacing w:line="294" w:lineRule="auto"/>
        <w:ind w:firstLine="49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10.对于同一设施或物品，投标人不能重复填报监理服务费用，一经发现，委托人</w:t>
      </w:r>
      <w:r>
        <w:rPr>
          <w:rFonts w:ascii="宋体" w:hAnsi="宋体" w:eastAsia="宋体" w:cs="宋体"/>
          <w:color w:val="auto"/>
          <w:spacing w:val="5"/>
          <w:sz w:val="24"/>
          <w:szCs w:val="24"/>
          <w:highlight w:val="none"/>
        </w:rPr>
        <w:t>将有权从投标价中扣除多报的费用，投标人对此应予确认，否则，委托人有权取</w:t>
      </w:r>
      <w:r>
        <w:rPr>
          <w:rFonts w:ascii="宋体" w:hAnsi="宋体" w:eastAsia="宋体" w:cs="宋体"/>
          <w:color w:val="auto"/>
          <w:spacing w:val="4"/>
          <w:sz w:val="24"/>
          <w:szCs w:val="24"/>
          <w:highlight w:val="none"/>
        </w:rPr>
        <w:t>消其</w:t>
      </w:r>
      <w:r>
        <w:rPr>
          <w:rFonts w:ascii="宋体" w:hAnsi="宋体" w:eastAsia="宋体" w:cs="宋体"/>
          <w:color w:val="auto"/>
          <w:spacing w:val="-2"/>
          <w:sz w:val="24"/>
          <w:szCs w:val="24"/>
          <w:highlight w:val="none"/>
        </w:rPr>
        <w:t>中标资格。</w:t>
      </w:r>
    </w:p>
    <w:p w14:paraId="252C65C5">
      <w:pPr>
        <w:spacing w:line="294" w:lineRule="auto"/>
        <w:rPr>
          <w:rFonts w:ascii="宋体" w:hAnsi="宋体" w:eastAsia="宋体" w:cs="宋体"/>
          <w:color w:val="auto"/>
          <w:sz w:val="24"/>
          <w:szCs w:val="24"/>
          <w:highlight w:val="none"/>
        </w:rPr>
        <w:sectPr>
          <w:footerReference r:id="rId53" w:type="default"/>
          <w:pgSz w:w="11905" w:h="16838"/>
          <w:pgMar w:top="1134" w:right="1134" w:bottom="1134" w:left="1134" w:header="0" w:footer="1066" w:gutter="0"/>
          <w:pgNumType w:fmt="decimal"/>
          <w:cols w:space="0" w:num="1"/>
          <w:rtlGutter w:val="0"/>
          <w:docGrid w:linePitch="0" w:charSpace="0"/>
        </w:sectPr>
      </w:pPr>
    </w:p>
    <w:p w14:paraId="5D94959D">
      <w:pPr>
        <w:rPr>
          <w:rFonts w:ascii="Arial"/>
          <w:color w:val="auto"/>
          <w:sz w:val="21"/>
          <w:highlight w:val="none"/>
        </w:rPr>
      </w:pPr>
    </w:p>
    <w:p w14:paraId="237E2753">
      <w:pPr>
        <w:rPr>
          <w:rFonts w:ascii="Arial"/>
          <w:color w:val="auto"/>
          <w:sz w:val="21"/>
          <w:highlight w:val="none"/>
        </w:rPr>
      </w:pPr>
    </w:p>
    <w:p w14:paraId="58E1FA83">
      <w:pPr>
        <w:rPr>
          <w:rFonts w:ascii="Arial"/>
          <w:color w:val="auto"/>
          <w:sz w:val="21"/>
          <w:highlight w:val="none"/>
        </w:rPr>
      </w:pPr>
    </w:p>
    <w:p w14:paraId="52078730">
      <w:pPr>
        <w:rPr>
          <w:rFonts w:ascii="Arial"/>
          <w:color w:val="auto"/>
          <w:sz w:val="21"/>
          <w:highlight w:val="none"/>
        </w:rPr>
      </w:pPr>
    </w:p>
    <w:p w14:paraId="05867433">
      <w:pPr>
        <w:pStyle w:val="4"/>
        <w:bidi w:val="0"/>
        <w:jc w:val="center"/>
        <w:rPr>
          <w:color w:val="auto"/>
          <w:highlight w:val="none"/>
        </w:rPr>
      </w:pPr>
      <w:r>
        <w:rPr>
          <w:color w:val="auto"/>
          <w:highlight w:val="none"/>
        </w:rPr>
        <w:t>（二）监理服务费报价表</w:t>
      </w:r>
    </w:p>
    <w:p w14:paraId="4AB7DE97">
      <w:pPr>
        <w:spacing w:line="246" w:lineRule="auto"/>
        <w:rPr>
          <w:rFonts w:ascii="Arial"/>
          <w:color w:val="auto"/>
          <w:sz w:val="21"/>
          <w:highlight w:val="none"/>
        </w:rPr>
      </w:pPr>
    </w:p>
    <w:p w14:paraId="088BA24E">
      <w:pPr>
        <w:spacing w:line="246" w:lineRule="auto"/>
        <w:rPr>
          <w:rFonts w:ascii="Arial"/>
          <w:color w:val="auto"/>
          <w:sz w:val="21"/>
          <w:highlight w:val="none"/>
        </w:rPr>
      </w:pPr>
    </w:p>
    <w:p w14:paraId="38974F1E">
      <w:pPr>
        <w:spacing w:line="246" w:lineRule="auto"/>
        <w:rPr>
          <w:rFonts w:ascii="Arial"/>
          <w:color w:val="auto"/>
          <w:sz w:val="21"/>
          <w:highlight w:val="none"/>
        </w:rPr>
      </w:pPr>
    </w:p>
    <w:p w14:paraId="6B47CA11">
      <w:pPr>
        <w:spacing w:before="78" w:line="218" w:lineRule="auto"/>
        <w:ind w:left="47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表</w:t>
      </w:r>
      <w:r>
        <w:rPr>
          <w:rFonts w:ascii="宋体" w:hAnsi="宋体" w:eastAsia="宋体" w:cs="宋体"/>
          <w:color w:val="auto"/>
          <w:spacing w:val="-25"/>
          <w:sz w:val="24"/>
          <w:szCs w:val="24"/>
          <w:highlight w:val="none"/>
        </w:rPr>
        <w:t xml:space="preserve"> </w:t>
      </w:r>
      <w:r>
        <w:rPr>
          <w:rFonts w:ascii="宋体" w:hAnsi="宋体" w:eastAsia="宋体" w:cs="宋体"/>
          <w:color w:val="auto"/>
          <w:spacing w:val="-3"/>
          <w:sz w:val="24"/>
          <w:szCs w:val="24"/>
          <w:highlight w:val="none"/>
        </w:rPr>
        <w:t>1  监理服务费用报价汇总表</w:t>
      </w:r>
    </w:p>
    <w:p w14:paraId="52513E88">
      <w:pPr>
        <w:spacing w:before="302" w:line="218" w:lineRule="auto"/>
        <w:ind w:left="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表</w:t>
      </w:r>
      <w:r>
        <w:rPr>
          <w:rFonts w:ascii="宋体" w:hAnsi="宋体" w:eastAsia="宋体" w:cs="宋体"/>
          <w:color w:val="auto"/>
          <w:spacing w:val="-42"/>
          <w:sz w:val="24"/>
          <w:szCs w:val="24"/>
          <w:highlight w:val="none"/>
        </w:rPr>
        <w:t xml:space="preserve"> </w:t>
      </w:r>
      <w:r>
        <w:rPr>
          <w:rFonts w:ascii="宋体" w:hAnsi="宋体" w:eastAsia="宋体" w:cs="宋体"/>
          <w:color w:val="auto"/>
          <w:spacing w:val="-2"/>
          <w:sz w:val="24"/>
          <w:szCs w:val="24"/>
          <w:highlight w:val="none"/>
        </w:rPr>
        <w:t>2  监理人员服务费报价表</w:t>
      </w:r>
    </w:p>
    <w:p w14:paraId="2D8EB663">
      <w:pPr>
        <w:spacing w:before="304" w:line="218" w:lineRule="auto"/>
        <w:ind w:left="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表</w:t>
      </w:r>
      <w:r>
        <w:rPr>
          <w:rFonts w:ascii="宋体" w:hAnsi="宋体" w:eastAsia="宋体" w:cs="宋体"/>
          <w:color w:val="auto"/>
          <w:spacing w:val="-36"/>
          <w:sz w:val="24"/>
          <w:szCs w:val="24"/>
          <w:highlight w:val="none"/>
        </w:rPr>
        <w:t xml:space="preserve"> </w:t>
      </w:r>
      <w:r>
        <w:rPr>
          <w:rFonts w:ascii="宋体" w:hAnsi="宋体" w:eastAsia="宋体" w:cs="宋体"/>
          <w:color w:val="auto"/>
          <w:spacing w:val="-2"/>
          <w:sz w:val="24"/>
          <w:szCs w:val="24"/>
          <w:highlight w:val="none"/>
        </w:rPr>
        <w:t>3  监理工程师办公设施费报价表</w:t>
      </w:r>
    </w:p>
    <w:p w14:paraId="381CDEA3">
      <w:pPr>
        <w:spacing w:before="302" w:line="218" w:lineRule="auto"/>
        <w:ind w:left="47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表</w:t>
      </w:r>
      <w:r>
        <w:rPr>
          <w:rFonts w:ascii="宋体" w:hAnsi="宋体" w:eastAsia="宋体" w:cs="宋体"/>
          <w:color w:val="auto"/>
          <w:spacing w:val="-52"/>
          <w:sz w:val="24"/>
          <w:szCs w:val="24"/>
          <w:highlight w:val="none"/>
        </w:rPr>
        <w:t xml:space="preserve"> </w:t>
      </w:r>
      <w:r>
        <w:rPr>
          <w:rFonts w:ascii="宋体" w:hAnsi="宋体" w:eastAsia="宋体" w:cs="宋体"/>
          <w:color w:val="auto"/>
          <w:spacing w:val="-1"/>
          <w:sz w:val="24"/>
          <w:szCs w:val="24"/>
          <w:highlight w:val="none"/>
        </w:rPr>
        <w:t>4  监理工程师交通设施费报价表</w:t>
      </w:r>
    </w:p>
    <w:p w14:paraId="32D1D854">
      <w:pPr>
        <w:spacing w:before="302" w:line="218" w:lineRule="auto"/>
        <w:ind w:left="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表</w:t>
      </w:r>
      <w:r>
        <w:rPr>
          <w:rFonts w:ascii="宋体" w:hAnsi="宋体" w:eastAsia="宋体" w:cs="宋体"/>
          <w:color w:val="auto"/>
          <w:spacing w:val="-42"/>
          <w:sz w:val="24"/>
          <w:szCs w:val="24"/>
          <w:highlight w:val="none"/>
        </w:rPr>
        <w:t xml:space="preserve"> </w:t>
      </w:r>
      <w:r>
        <w:rPr>
          <w:rFonts w:ascii="宋体" w:hAnsi="宋体" w:eastAsia="宋体" w:cs="宋体"/>
          <w:color w:val="auto"/>
          <w:spacing w:val="-2"/>
          <w:sz w:val="24"/>
          <w:szCs w:val="24"/>
          <w:highlight w:val="none"/>
        </w:rPr>
        <w:t>5  监理试验设施费报价表</w:t>
      </w:r>
    </w:p>
    <w:p w14:paraId="47F44253">
      <w:pPr>
        <w:spacing w:before="304" w:line="218" w:lineRule="auto"/>
        <w:ind w:left="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表</w:t>
      </w:r>
      <w:r>
        <w:rPr>
          <w:rFonts w:ascii="宋体" w:hAnsi="宋体" w:eastAsia="宋体" w:cs="宋体"/>
          <w:color w:val="auto"/>
          <w:spacing w:val="-36"/>
          <w:sz w:val="24"/>
          <w:szCs w:val="24"/>
          <w:highlight w:val="none"/>
        </w:rPr>
        <w:t xml:space="preserve"> </w:t>
      </w:r>
      <w:r>
        <w:rPr>
          <w:rFonts w:ascii="宋体" w:hAnsi="宋体" w:eastAsia="宋体" w:cs="宋体"/>
          <w:color w:val="auto"/>
          <w:spacing w:val="-2"/>
          <w:sz w:val="24"/>
          <w:szCs w:val="24"/>
          <w:highlight w:val="none"/>
        </w:rPr>
        <w:t>6  监理工程师生活设施费报价表</w:t>
      </w:r>
    </w:p>
    <w:p w14:paraId="406C2CCC">
      <w:pPr>
        <w:spacing w:before="305" w:line="218" w:lineRule="auto"/>
        <w:ind w:left="47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表</w:t>
      </w:r>
      <w:r>
        <w:rPr>
          <w:rFonts w:ascii="宋体" w:hAnsi="宋体" w:eastAsia="宋体" w:cs="宋体"/>
          <w:color w:val="auto"/>
          <w:spacing w:val="-37"/>
          <w:sz w:val="24"/>
          <w:szCs w:val="24"/>
          <w:highlight w:val="none"/>
        </w:rPr>
        <w:t xml:space="preserve"> </w:t>
      </w:r>
      <w:r>
        <w:rPr>
          <w:rFonts w:ascii="宋体" w:hAnsi="宋体" w:eastAsia="宋体" w:cs="宋体"/>
          <w:color w:val="auto"/>
          <w:spacing w:val="-3"/>
          <w:sz w:val="24"/>
          <w:szCs w:val="24"/>
          <w:highlight w:val="none"/>
        </w:rPr>
        <w:t>7  其他费用报价表</w:t>
      </w:r>
    </w:p>
    <w:p w14:paraId="53D1E0E3">
      <w:pPr>
        <w:spacing w:before="302" w:line="218" w:lineRule="auto"/>
        <w:ind w:left="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表</w:t>
      </w:r>
      <w:r>
        <w:rPr>
          <w:rFonts w:ascii="宋体" w:hAnsi="宋体" w:eastAsia="宋体" w:cs="宋体"/>
          <w:color w:val="auto"/>
          <w:spacing w:val="-44"/>
          <w:sz w:val="24"/>
          <w:szCs w:val="24"/>
          <w:highlight w:val="none"/>
        </w:rPr>
        <w:t xml:space="preserve"> </w:t>
      </w:r>
      <w:r>
        <w:rPr>
          <w:rFonts w:ascii="宋体" w:hAnsi="宋体" w:eastAsia="宋体" w:cs="宋体"/>
          <w:color w:val="auto"/>
          <w:spacing w:val="-2"/>
          <w:sz w:val="24"/>
          <w:szCs w:val="24"/>
          <w:highlight w:val="none"/>
        </w:rPr>
        <w:t>8  监理费用支付估算表</w:t>
      </w:r>
    </w:p>
    <w:p w14:paraId="5AF45887">
      <w:pPr>
        <w:spacing w:before="304" w:line="219" w:lineRule="auto"/>
        <w:ind w:left="498"/>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附件</w:t>
      </w:r>
      <w:r>
        <w:rPr>
          <w:rFonts w:ascii="宋体" w:hAnsi="宋体" w:eastAsia="宋体" w:cs="宋体"/>
          <w:color w:val="auto"/>
          <w:spacing w:val="-30"/>
          <w:sz w:val="24"/>
          <w:szCs w:val="24"/>
          <w:highlight w:val="none"/>
        </w:rPr>
        <w:t xml:space="preserve"> </w:t>
      </w:r>
      <w:r>
        <w:rPr>
          <w:rFonts w:ascii="宋体" w:hAnsi="宋体" w:eastAsia="宋体" w:cs="宋体"/>
          <w:color w:val="auto"/>
          <w:spacing w:val="-4"/>
          <w:sz w:val="24"/>
          <w:szCs w:val="24"/>
          <w:highlight w:val="none"/>
        </w:rPr>
        <w:t>1 监理人员工作计划安排表</w:t>
      </w:r>
    </w:p>
    <w:p w14:paraId="6C5302CC">
      <w:pPr>
        <w:spacing w:before="301" w:line="219" w:lineRule="auto"/>
        <w:ind w:left="49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附件</w:t>
      </w:r>
      <w:r>
        <w:rPr>
          <w:rFonts w:ascii="宋体" w:hAnsi="宋体" w:eastAsia="宋体" w:cs="宋体"/>
          <w:color w:val="auto"/>
          <w:spacing w:val="-48"/>
          <w:sz w:val="24"/>
          <w:szCs w:val="24"/>
          <w:highlight w:val="none"/>
        </w:rPr>
        <w:t xml:space="preserve"> </w:t>
      </w:r>
      <w:r>
        <w:rPr>
          <w:rFonts w:ascii="宋体" w:hAnsi="宋体" w:eastAsia="宋体" w:cs="宋体"/>
          <w:color w:val="auto"/>
          <w:spacing w:val="-3"/>
          <w:sz w:val="24"/>
          <w:szCs w:val="24"/>
          <w:highlight w:val="none"/>
        </w:rPr>
        <w:t>2 监理设施进出场时间表</w:t>
      </w:r>
    </w:p>
    <w:p w14:paraId="7C7481DD">
      <w:pPr>
        <w:spacing w:line="219" w:lineRule="auto"/>
        <w:rPr>
          <w:rFonts w:ascii="宋体" w:hAnsi="宋体" w:eastAsia="宋体" w:cs="宋体"/>
          <w:color w:val="auto"/>
          <w:sz w:val="24"/>
          <w:szCs w:val="24"/>
          <w:highlight w:val="none"/>
        </w:rPr>
        <w:sectPr>
          <w:footerReference r:id="rId54" w:type="default"/>
          <w:pgSz w:w="11905" w:h="16838"/>
          <w:pgMar w:top="1134" w:right="1134" w:bottom="1134" w:left="1134" w:header="0" w:footer="1066" w:gutter="0"/>
          <w:pgNumType w:fmt="decimal"/>
          <w:cols w:space="0" w:num="1"/>
          <w:rtlGutter w:val="0"/>
          <w:docGrid w:linePitch="0" w:charSpace="0"/>
        </w:sectPr>
      </w:pPr>
    </w:p>
    <w:p w14:paraId="2A00B3FF">
      <w:pPr>
        <w:pStyle w:val="4"/>
        <w:bidi w:val="0"/>
        <w:rPr>
          <w:color w:val="auto"/>
          <w:highlight w:val="none"/>
        </w:rPr>
      </w:pPr>
      <w:r>
        <w:rPr>
          <w:color w:val="auto"/>
          <w:highlight w:val="none"/>
        </w:rPr>
        <w:t>表 1  监理服务费用报价汇总表</w:t>
      </w:r>
    </w:p>
    <w:tbl>
      <w:tblPr>
        <w:tblStyle w:val="19"/>
        <w:tblpPr w:leftFromText="180" w:rightFromText="180" w:vertAnchor="text" w:horzAnchor="page" w:tblpX="1105" w:tblpY="627"/>
        <w:tblOverlap w:val="never"/>
        <w:tblW w:w="97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7"/>
        <w:gridCol w:w="2616"/>
        <w:gridCol w:w="1972"/>
        <w:gridCol w:w="1972"/>
        <w:gridCol w:w="2510"/>
      </w:tblGrid>
      <w:tr w14:paraId="35E3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687" w:type="dxa"/>
            <w:vAlign w:val="top"/>
          </w:tcPr>
          <w:p w14:paraId="3A34D31B">
            <w:pPr>
              <w:pStyle w:val="20"/>
              <w:spacing w:before="180" w:line="229" w:lineRule="auto"/>
              <w:ind w:left="295"/>
              <w:rPr>
                <w:color w:val="auto"/>
                <w:highlight w:val="none"/>
              </w:rPr>
            </w:pPr>
            <w:r>
              <w:rPr>
                <w:color w:val="auto"/>
                <w:spacing w:val="5"/>
                <w:highlight w:val="none"/>
              </w:rPr>
              <w:t>序号</w:t>
            </w:r>
          </w:p>
        </w:tc>
        <w:tc>
          <w:tcPr>
            <w:tcW w:w="2616" w:type="dxa"/>
            <w:vAlign w:val="top"/>
          </w:tcPr>
          <w:p w14:paraId="40BB3AFD">
            <w:pPr>
              <w:pStyle w:val="20"/>
              <w:spacing w:before="180" w:line="228" w:lineRule="auto"/>
              <w:ind w:left="1598"/>
              <w:rPr>
                <w:color w:val="auto"/>
                <w:highlight w:val="none"/>
              </w:rPr>
            </w:pPr>
            <w:r>
              <w:rPr>
                <w:color w:val="auto"/>
                <w:spacing w:val="-2"/>
                <w:highlight w:val="none"/>
              </w:rPr>
              <w:t>项</w:t>
            </w:r>
            <w:r>
              <w:rPr>
                <w:color w:val="auto"/>
                <w:spacing w:val="29"/>
                <w:highlight w:val="none"/>
              </w:rPr>
              <w:t xml:space="preserve">  </w:t>
            </w:r>
            <w:r>
              <w:rPr>
                <w:color w:val="auto"/>
                <w:spacing w:val="-2"/>
                <w:highlight w:val="none"/>
              </w:rPr>
              <w:t>目</w:t>
            </w:r>
          </w:p>
        </w:tc>
        <w:tc>
          <w:tcPr>
            <w:tcW w:w="1972" w:type="dxa"/>
            <w:vAlign w:val="top"/>
          </w:tcPr>
          <w:p w14:paraId="635CCA58">
            <w:pPr>
              <w:pStyle w:val="20"/>
              <w:spacing w:before="180" w:line="228" w:lineRule="auto"/>
              <w:jc w:val="center"/>
              <w:rPr>
                <w:color w:val="auto"/>
                <w:highlight w:val="none"/>
              </w:rPr>
            </w:pPr>
            <w:r>
              <w:rPr>
                <w:color w:val="auto"/>
                <w:spacing w:val="7"/>
                <w:highlight w:val="none"/>
              </w:rPr>
              <w:t>施工期</w:t>
            </w:r>
          </w:p>
        </w:tc>
        <w:tc>
          <w:tcPr>
            <w:tcW w:w="1972" w:type="dxa"/>
            <w:vAlign w:val="top"/>
          </w:tcPr>
          <w:p w14:paraId="59527012">
            <w:pPr>
              <w:pStyle w:val="20"/>
              <w:spacing w:before="180" w:line="228" w:lineRule="auto"/>
              <w:jc w:val="center"/>
              <w:rPr>
                <w:color w:val="auto"/>
                <w:highlight w:val="none"/>
              </w:rPr>
            </w:pPr>
            <w:r>
              <w:rPr>
                <w:color w:val="auto"/>
                <w:spacing w:val="8"/>
                <w:highlight w:val="none"/>
              </w:rPr>
              <w:t>缺陷责任期</w:t>
            </w:r>
          </w:p>
        </w:tc>
        <w:tc>
          <w:tcPr>
            <w:tcW w:w="2510" w:type="dxa"/>
            <w:vAlign w:val="top"/>
          </w:tcPr>
          <w:p w14:paraId="43DFEEBF">
            <w:pPr>
              <w:pStyle w:val="20"/>
              <w:spacing w:before="180" w:line="228" w:lineRule="auto"/>
              <w:jc w:val="center"/>
              <w:rPr>
                <w:color w:val="auto"/>
                <w:highlight w:val="none"/>
              </w:rPr>
            </w:pPr>
            <w:r>
              <w:rPr>
                <w:color w:val="auto"/>
                <w:spacing w:val="5"/>
                <w:highlight w:val="none"/>
              </w:rPr>
              <w:t>小计金额</w:t>
            </w:r>
          </w:p>
        </w:tc>
      </w:tr>
      <w:tr w14:paraId="598D7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7" w:type="dxa"/>
            <w:vAlign w:val="top"/>
          </w:tcPr>
          <w:p w14:paraId="6714EC36">
            <w:pPr>
              <w:pStyle w:val="20"/>
              <w:spacing w:before="174" w:line="270" w:lineRule="exact"/>
              <w:ind w:left="468"/>
              <w:rPr>
                <w:color w:val="auto"/>
                <w:highlight w:val="none"/>
              </w:rPr>
            </w:pPr>
            <w:r>
              <w:rPr>
                <w:color w:val="auto"/>
                <w:position w:val="1"/>
                <w:highlight w:val="none"/>
              </w:rPr>
              <w:t>1</w:t>
            </w:r>
          </w:p>
        </w:tc>
        <w:tc>
          <w:tcPr>
            <w:tcW w:w="2616" w:type="dxa"/>
            <w:vAlign w:val="top"/>
          </w:tcPr>
          <w:p w14:paraId="58599D45">
            <w:pPr>
              <w:pStyle w:val="20"/>
              <w:spacing w:before="174" w:line="228" w:lineRule="auto"/>
              <w:jc w:val="center"/>
              <w:rPr>
                <w:color w:val="auto"/>
                <w:highlight w:val="none"/>
              </w:rPr>
            </w:pPr>
            <w:r>
              <w:rPr>
                <w:color w:val="auto"/>
                <w:spacing w:val="8"/>
                <w:highlight w:val="none"/>
              </w:rPr>
              <w:t>监理人员服务费</w:t>
            </w:r>
          </w:p>
        </w:tc>
        <w:tc>
          <w:tcPr>
            <w:tcW w:w="1972" w:type="dxa"/>
            <w:vAlign w:val="top"/>
          </w:tcPr>
          <w:p w14:paraId="2E1CC9D3">
            <w:pPr>
              <w:rPr>
                <w:rFonts w:ascii="Arial"/>
                <w:color w:val="auto"/>
                <w:sz w:val="21"/>
                <w:highlight w:val="none"/>
              </w:rPr>
            </w:pPr>
          </w:p>
        </w:tc>
        <w:tc>
          <w:tcPr>
            <w:tcW w:w="1972" w:type="dxa"/>
            <w:vAlign w:val="top"/>
          </w:tcPr>
          <w:p w14:paraId="3414291A">
            <w:pPr>
              <w:rPr>
                <w:rFonts w:ascii="Arial"/>
                <w:color w:val="auto"/>
                <w:sz w:val="21"/>
                <w:highlight w:val="none"/>
              </w:rPr>
            </w:pPr>
          </w:p>
        </w:tc>
        <w:tc>
          <w:tcPr>
            <w:tcW w:w="2510" w:type="dxa"/>
            <w:vAlign w:val="top"/>
          </w:tcPr>
          <w:p w14:paraId="731F982E">
            <w:pPr>
              <w:rPr>
                <w:rFonts w:ascii="Arial"/>
                <w:color w:val="auto"/>
                <w:sz w:val="21"/>
                <w:highlight w:val="none"/>
              </w:rPr>
            </w:pPr>
          </w:p>
        </w:tc>
      </w:tr>
      <w:tr w14:paraId="466F3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7" w:type="dxa"/>
            <w:vAlign w:val="top"/>
          </w:tcPr>
          <w:p w14:paraId="28CD097E">
            <w:pPr>
              <w:pStyle w:val="20"/>
              <w:spacing w:before="176" w:line="270" w:lineRule="exact"/>
              <w:ind w:left="455"/>
              <w:rPr>
                <w:color w:val="auto"/>
                <w:highlight w:val="none"/>
              </w:rPr>
            </w:pPr>
            <w:r>
              <w:rPr>
                <w:color w:val="auto"/>
                <w:position w:val="1"/>
                <w:highlight w:val="none"/>
              </w:rPr>
              <w:t>2</w:t>
            </w:r>
          </w:p>
        </w:tc>
        <w:tc>
          <w:tcPr>
            <w:tcW w:w="2616" w:type="dxa"/>
            <w:vAlign w:val="top"/>
          </w:tcPr>
          <w:p w14:paraId="784E00EB">
            <w:pPr>
              <w:pStyle w:val="20"/>
              <w:spacing w:before="176" w:line="228" w:lineRule="auto"/>
              <w:jc w:val="center"/>
              <w:rPr>
                <w:color w:val="auto"/>
                <w:highlight w:val="none"/>
              </w:rPr>
            </w:pPr>
            <w:r>
              <w:rPr>
                <w:color w:val="auto"/>
                <w:spacing w:val="8"/>
                <w:highlight w:val="none"/>
              </w:rPr>
              <w:t>监理办公设施费</w:t>
            </w:r>
          </w:p>
        </w:tc>
        <w:tc>
          <w:tcPr>
            <w:tcW w:w="1972" w:type="dxa"/>
            <w:vAlign w:val="top"/>
          </w:tcPr>
          <w:p w14:paraId="796C54EA">
            <w:pPr>
              <w:rPr>
                <w:rFonts w:ascii="Arial"/>
                <w:color w:val="auto"/>
                <w:sz w:val="21"/>
                <w:highlight w:val="none"/>
              </w:rPr>
            </w:pPr>
          </w:p>
        </w:tc>
        <w:tc>
          <w:tcPr>
            <w:tcW w:w="1972" w:type="dxa"/>
            <w:vAlign w:val="top"/>
          </w:tcPr>
          <w:p w14:paraId="21F47DE9">
            <w:pPr>
              <w:rPr>
                <w:rFonts w:ascii="Arial"/>
                <w:color w:val="auto"/>
                <w:sz w:val="21"/>
                <w:highlight w:val="none"/>
              </w:rPr>
            </w:pPr>
          </w:p>
        </w:tc>
        <w:tc>
          <w:tcPr>
            <w:tcW w:w="2510" w:type="dxa"/>
            <w:vAlign w:val="top"/>
          </w:tcPr>
          <w:p w14:paraId="5C25E562">
            <w:pPr>
              <w:rPr>
                <w:rFonts w:ascii="Arial"/>
                <w:color w:val="auto"/>
                <w:sz w:val="21"/>
                <w:highlight w:val="none"/>
              </w:rPr>
            </w:pPr>
          </w:p>
        </w:tc>
      </w:tr>
      <w:tr w14:paraId="0FBBB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7" w:type="dxa"/>
            <w:vAlign w:val="top"/>
          </w:tcPr>
          <w:p w14:paraId="5BE6E548">
            <w:pPr>
              <w:pStyle w:val="20"/>
              <w:spacing w:before="178" w:line="268" w:lineRule="exact"/>
              <w:ind w:left="456"/>
              <w:rPr>
                <w:color w:val="auto"/>
                <w:highlight w:val="none"/>
              </w:rPr>
            </w:pPr>
            <w:r>
              <w:rPr>
                <w:color w:val="auto"/>
                <w:position w:val="1"/>
                <w:highlight w:val="none"/>
              </w:rPr>
              <w:t>3</w:t>
            </w:r>
          </w:p>
        </w:tc>
        <w:tc>
          <w:tcPr>
            <w:tcW w:w="2616" w:type="dxa"/>
            <w:vAlign w:val="top"/>
          </w:tcPr>
          <w:p w14:paraId="3DBCB088">
            <w:pPr>
              <w:pStyle w:val="20"/>
              <w:spacing w:before="178" w:line="228" w:lineRule="auto"/>
              <w:jc w:val="center"/>
              <w:rPr>
                <w:color w:val="auto"/>
                <w:highlight w:val="none"/>
              </w:rPr>
            </w:pPr>
            <w:r>
              <w:rPr>
                <w:color w:val="auto"/>
                <w:spacing w:val="8"/>
                <w:highlight w:val="none"/>
              </w:rPr>
              <w:t>监理交通设施费</w:t>
            </w:r>
          </w:p>
        </w:tc>
        <w:tc>
          <w:tcPr>
            <w:tcW w:w="1972" w:type="dxa"/>
            <w:vAlign w:val="top"/>
          </w:tcPr>
          <w:p w14:paraId="2767CEE0">
            <w:pPr>
              <w:rPr>
                <w:rFonts w:ascii="Arial"/>
                <w:color w:val="auto"/>
                <w:sz w:val="21"/>
                <w:highlight w:val="none"/>
              </w:rPr>
            </w:pPr>
          </w:p>
        </w:tc>
        <w:tc>
          <w:tcPr>
            <w:tcW w:w="1972" w:type="dxa"/>
            <w:vAlign w:val="top"/>
          </w:tcPr>
          <w:p w14:paraId="01C15515">
            <w:pPr>
              <w:rPr>
                <w:rFonts w:ascii="Arial"/>
                <w:color w:val="auto"/>
                <w:sz w:val="21"/>
                <w:highlight w:val="none"/>
              </w:rPr>
            </w:pPr>
          </w:p>
        </w:tc>
        <w:tc>
          <w:tcPr>
            <w:tcW w:w="2510" w:type="dxa"/>
            <w:vAlign w:val="top"/>
          </w:tcPr>
          <w:p w14:paraId="4582D17B">
            <w:pPr>
              <w:rPr>
                <w:rFonts w:ascii="Arial"/>
                <w:color w:val="auto"/>
                <w:sz w:val="21"/>
                <w:highlight w:val="none"/>
              </w:rPr>
            </w:pPr>
          </w:p>
        </w:tc>
      </w:tr>
      <w:tr w14:paraId="27CB7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7" w:type="dxa"/>
            <w:vAlign w:val="top"/>
          </w:tcPr>
          <w:p w14:paraId="0F721AD8">
            <w:pPr>
              <w:pStyle w:val="20"/>
              <w:spacing w:before="177" w:line="270" w:lineRule="exact"/>
              <w:ind w:left="451"/>
              <w:rPr>
                <w:color w:val="auto"/>
                <w:highlight w:val="none"/>
              </w:rPr>
            </w:pPr>
            <w:r>
              <w:rPr>
                <w:color w:val="auto"/>
                <w:position w:val="1"/>
                <w:highlight w:val="none"/>
              </w:rPr>
              <w:t>4</w:t>
            </w:r>
          </w:p>
        </w:tc>
        <w:tc>
          <w:tcPr>
            <w:tcW w:w="2616" w:type="dxa"/>
            <w:vAlign w:val="top"/>
          </w:tcPr>
          <w:p w14:paraId="02DC2F78">
            <w:pPr>
              <w:pStyle w:val="20"/>
              <w:spacing w:before="177" w:line="228" w:lineRule="auto"/>
              <w:jc w:val="center"/>
              <w:rPr>
                <w:color w:val="auto"/>
                <w:highlight w:val="none"/>
              </w:rPr>
            </w:pPr>
            <w:r>
              <w:rPr>
                <w:color w:val="auto"/>
                <w:spacing w:val="8"/>
                <w:highlight w:val="none"/>
              </w:rPr>
              <w:t>监理试验设施费（常规检测）</w:t>
            </w:r>
          </w:p>
        </w:tc>
        <w:tc>
          <w:tcPr>
            <w:tcW w:w="1972" w:type="dxa"/>
            <w:vAlign w:val="top"/>
          </w:tcPr>
          <w:p w14:paraId="6061A912">
            <w:pPr>
              <w:rPr>
                <w:rFonts w:ascii="Arial"/>
                <w:color w:val="auto"/>
                <w:sz w:val="21"/>
                <w:highlight w:val="none"/>
              </w:rPr>
            </w:pPr>
          </w:p>
        </w:tc>
        <w:tc>
          <w:tcPr>
            <w:tcW w:w="1972" w:type="dxa"/>
            <w:vAlign w:val="top"/>
          </w:tcPr>
          <w:p w14:paraId="0C286B34">
            <w:pPr>
              <w:rPr>
                <w:rFonts w:ascii="Arial"/>
                <w:color w:val="auto"/>
                <w:sz w:val="21"/>
                <w:highlight w:val="none"/>
              </w:rPr>
            </w:pPr>
          </w:p>
        </w:tc>
        <w:tc>
          <w:tcPr>
            <w:tcW w:w="2510" w:type="dxa"/>
            <w:vAlign w:val="top"/>
          </w:tcPr>
          <w:p w14:paraId="67F32632">
            <w:pPr>
              <w:rPr>
                <w:rFonts w:ascii="Arial"/>
                <w:color w:val="auto"/>
                <w:sz w:val="21"/>
                <w:highlight w:val="none"/>
              </w:rPr>
            </w:pPr>
          </w:p>
        </w:tc>
      </w:tr>
      <w:tr w14:paraId="769F8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87" w:type="dxa"/>
            <w:vAlign w:val="top"/>
          </w:tcPr>
          <w:p w14:paraId="0466D989">
            <w:pPr>
              <w:pStyle w:val="20"/>
              <w:spacing w:before="179" w:line="269" w:lineRule="exact"/>
              <w:ind w:left="456"/>
              <w:rPr>
                <w:color w:val="auto"/>
                <w:highlight w:val="none"/>
              </w:rPr>
            </w:pPr>
            <w:r>
              <w:rPr>
                <w:color w:val="auto"/>
                <w:position w:val="1"/>
                <w:highlight w:val="none"/>
              </w:rPr>
              <w:t>5</w:t>
            </w:r>
          </w:p>
        </w:tc>
        <w:tc>
          <w:tcPr>
            <w:tcW w:w="2616" w:type="dxa"/>
            <w:vAlign w:val="top"/>
          </w:tcPr>
          <w:p w14:paraId="765F3F93">
            <w:pPr>
              <w:pStyle w:val="20"/>
              <w:spacing w:before="180" w:line="228" w:lineRule="auto"/>
              <w:jc w:val="center"/>
              <w:rPr>
                <w:color w:val="auto"/>
                <w:highlight w:val="none"/>
              </w:rPr>
            </w:pPr>
            <w:r>
              <w:rPr>
                <w:color w:val="auto"/>
                <w:spacing w:val="8"/>
                <w:highlight w:val="none"/>
              </w:rPr>
              <w:t>监理生活设施费</w:t>
            </w:r>
          </w:p>
        </w:tc>
        <w:tc>
          <w:tcPr>
            <w:tcW w:w="1972" w:type="dxa"/>
            <w:vAlign w:val="top"/>
          </w:tcPr>
          <w:p w14:paraId="696178A2">
            <w:pPr>
              <w:rPr>
                <w:rFonts w:ascii="Arial"/>
                <w:color w:val="auto"/>
                <w:sz w:val="21"/>
                <w:highlight w:val="none"/>
              </w:rPr>
            </w:pPr>
          </w:p>
        </w:tc>
        <w:tc>
          <w:tcPr>
            <w:tcW w:w="1972" w:type="dxa"/>
            <w:vAlign w:val="top"/>
          </w:tcPr>
          <w:p w14:paraId="78C55823">
            <w:pPr>
              <w:rPr>
                <w:rFonts w:ascii="Arial"/>
                <w:color w:val="auto"/>
                <w:sz w:val="21"/>
                <w:highlight w:val="none"/>
              </w:rPr>
            </w:pPr>
          </w:p>
        </w:tc>
        <w:tc>
          <w:tcPr>
            <w:tcW w:w="2510" w:type="dxa"/>
            <w:vAlign w:val="top"/>
          </w:tcPr>
          <w:p w14:paraId="041CE294">
            <w:pPr>
              <w:rPr>
                <w:rFonts w:ascii="Arial"/>
                <w:color w:val="auto"/>
                <w:sz w:val="21"/>
                <w:highlight w:val="none"/>
              </w:rPr>
            </w:pPr>
          </w:p>
        </w:tc>
      </w:tr>
      <w:tr w14:paraId="0BDD1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87" w:type="dxa"/>
            <w:vAlign w:val="top"/>
          </w:tcPr>
          <w:p w14:paraId="2D29D9CA">
            <w:pPr>
              <w:pStyle w:val="20"/>
              <w:spacing w:before="180" w:line="268" w:lineRule="exact"/>
              <w:ind w:left="454"/>
              <w:rPr>
                <w:color w:val="auto"/>
                <w:highlight w:val="none"/>
              </w:rPr>
            </w:pPr>
            <w:r>
              <w:rPr>
                <w:color w:val="auto"/>
                <w:position w:val="1"/>
                <w:highlight w:val="none"/>
              </w:rPr>
              <w:t>6</w:t>
            </w:r>
          </w:p>
        </w:tc>
        <w:tc>
          <w:tcPr>
            <w:tcW w:w="2616" w:type="dxa"/>
            <w:vAlign w:val="top"/>
          </w:tcPr>
          <w:p w14:paraId="467AA3B9">
            <w:pPr>
              <w:pStyle w:val="20"/>
              <w:spacing w:before="180" w:line="228" w:lineRule="auto"/>
              <w:jc w:val="center"/>
              <w:rPr>
                <w:color w:val="auto"/>
                <w:highlight w:val="none"/>
              </w:rPr>
            </w:pPr>
            <w:r>
              <w:rPr>
                <w:color w:val="auto"/>
                <w:spacing w:val="7"/>
                <w:highlight w:val="none"/>
              </w:rPr>
              <w:t>其他费用</w:t>
            </w:r>
          </w:p>
        </w:tc>
        <w:tc>
          <w:tcPr>
            <w:tcW w:w="1972" w:type="dxa"/>
            <w:vAlign w:val="top"/>
          </w:tcPr>
          <w:p w14:paraId="1EE51A37">
            <w:pPr>
              <w:rPr>
                <w:rFonts w:ascii="Arial"/>
                <w:color w:val="auto"/>
                <w:sz w:val="21"/>
                <w:highlight w:val="none"/>
              </w:rPr>
            </w:pPr>
          </w:p>
        </w:tc>
        <w:tc>
          <w:tcPr>
            <w:tcW w:w="1972" w:type="dxa"/>
            <w:vAlign w:val="top"/>
          </w:tcPr>
          <w:p w14:paraId="0174BAA8">
            <w:pPr>
              <w:rPr>
                <w:rFonts w:ascii="Arial"/>
                <w:color w:val="auto"/>
                <w:sz w:val="21"/>
                <w:highlight w:val="none"/>
              </w:rPr>
            </w:pPr>
          </w:p>
        </w:tc>
        <w:tc>
          <w:tcPr>
            <w:tcW w:w="2510" w:type="dxa"/>
            <w:vAlign w:val="top"/>
          </w:tcPr>
          <w:p w14:paraId="25674130">
            <w:pPr>
              <w:rPr>
                <w:rFonts w:ascii="Arial"/>
                <w:color w:val="auto"/>
                <w:sz w:val="21"/>
                <w:highlight w:val="none"/>
              </w:rPr>
            </w:pPr>
          </w:p>
        </w:tc>
      </w:tr>
      <w:tr w14:paraId="319D8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87" w:type="dxa"/>
            <w:vAlign w:val="top"/>
          </w:tcPr>
          <w:p w14:paraId="10AB6D80">
            <w:pPr>
              <w:pStyle w:val="20"/>
              <w:spacing w:before="178" w:line="269" w:lineRule="exact"/>
              <w:ind w:left="457"/>
              <w:rPr>
                <w:color w:val="auto"/>
                <w:highlight w:val="none"/>
              </w:rPr>
            </w:pPr>
            <w:r>
              <w:rPr>
                <w:color w:val="auto"/>
                <w:position w:val="1"/>
                <w:highlight w:val="none"/>
              </w:rPr>
              <w:t>7</w:t>
            </w:r>
          </w:p>
        </w:tc>
        <w:tc>
          <w:tcPr>
            <w:tcW w:w="6560" w:type="dxa"/>
            <w:gridSpan w:val="3"/>
            <w:vAlign w:val="top"/>
          </w:tcPr>
          <w:p w14:paraId="1B15B1CC">
            <w:pPr>
              <w:pStyle w:val="20"/>
              <w:spacing w:before="178" w:line="229" w:lineRule="auto"/>
              <w:jc w:val="center"/>
              <w:rPr>
                <w:color w:val="auto"/>
                <w:highlight w:val="none"/>
              </w:rPr>
            </w:pPr>
            <w:r>
              <w:rPr>
                <w:color w:val="auto"/>
                <w:spacing w:val="5"/>
                <w:highlight w:val="none"/>
              </w:rPr>
              <w:t>合  计（1+2+3+4+5+6）</w:t>
            </w:r>
          </w:p>
        </w:tc>
        <w:tc>
          <w:tcPr>
            <w:tcW w:w="2510" w:type="dxa"/>
            <w:vAlign w:val="top"/>
          </w:tcPr>
          <w:p w14:paraId="2E168901">
            <w:pPr>
              <w:rPr>
                <w:rFonts w:ascii="Arial"/>
                <w:color w:val="auto"/>
                <w:sz w:val="21"/>
                <w:highlight w:val="none"/>
              </w:rPr>
            </w:pPr>
          </w:p>
        </w:tc>
      </w:tr>
      <w:tr w14:paraId="5559A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87" w:type="dxa"/>
            <w:vAlign w:val="top"/>
          </w:tcPr>
          <w:p w14:paraId="7F16374C">
            <w:pPr>
              <w:pStyle w:val="20"/>
              <w:spacing w:before="179" w:line="269" w:lineRule="exact"/>
              <w:ind w:left="453"/>
              <w:rPr>
                <w:color w:val="auto"/>
                <w:highlight w:val="none"/>
              </w:rPr>
            </w:pPr>
            <w:r>
              <w:rPr>
                <w:color w:val="auto"/>
                <w:position w:val="1"/>
                <w:highlight w:val="none"/>
              </w:rPr>
              <w:t>8</w:t>
            </w:r>
          </w:p>
        </w:tc>
        <w:tc>
          <w:tcPr>
            <w:tcW w:w="6560" w:type="dxa"/>
            <w:gridSpan w:val="3"/>
            <w:vAlign w:val="top"/>
          </w:tcPr>
          <w:p w14:paraId="0CDCEFF5">
            <w:pPr>
              <w:pStyle w:val="20"/>
              <w:spacing w:before="152" w:line="228" w:lineRule="auto"/>
              <w:jc w:val="center"/>
              <w:rPr>
                <w:color w:val="auto"/>
                <w:highlight w:val="none"/>
              </w:rPr>
            </w:pPr>
            <w:r>
              <w:rPr>
                <w:color w:val="auto"/>
                <w:spacing w:val="5"/>
                <w:highlight w:val="none"/>
              </w:rPr>
              <w:t>暂列金额（7×</w:t>
            </w:r>
            <w:r>
              <w:rPr>
                <w:color w:val="auto"/>
                <w:spacing w:val="5"/>
                <w:highlight w:val="none"/>
                <w:u w:val="single" w:color="auto"/>
              </w:rPr>
              <w:t xml:space="preserve">   </w:t>
            </w:r>
            <w:r>
              <w:rPr>
                <w:color w:val="auto"/>
                <w:spacing w:val="-92"/>
                <w:highlight w:val="none"/>
              </w:rPr>
              <w:t xml:space="preserve"> </w:t>
            </w:r>
            <w:r>
              <w:rPr>
                <w:color w:val="auto"/>
                <w:spacing w:val="5"/>
                <w:highlight w:val="none"/>
              </w:rPr>
              <w:t>%）</w:t>
            </w:r>
          </w:p>
        </w:tc>
        <w:tc>
          <w:tcPr>
            <w:tcW w:w="2510" w:type="dxa"/>
            <w:vAlign w:val="top"/>
          </w:tcPr>
          <w:p w14:paraId="5229AF93">
            <w:pPr>
              <w:rPr>
                <w:rFonts w:ascii="Arial"/>
                <w:color w:val="auto"/>
                <w:sz w:val="21"/>
                <w:highlight w:val="none"/>
              </w:rPr>
            </w:pPr>
          </w:p>
        </w:tc>
      </w:tr>
      <w:tr w14:paraId="031A4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87" w:type="dxa"/>
            <w:vAlign w:val="top"/>
          </w:tcPr>
          <w:p w14:paraId="38C386EF">
            <w:pPr>
              <w:pStyle w:val="20"/>
              <w:spacing w:before="180" w:line="268" w:lineRule="exact"/>
              <w:ind w:left="453"/>
              <w:rPr>
                <w:color w:val="auto"/>
                <w:highlight w:val="none"/>
              </w:rPr>
            </w:pPr>
            <w:r>
              <w:rPr>
                <w:color w:val="auto"/>
                <w:position w:val="1"/>
                <w:highlight w:val="none"/>
              </w:rPr>
              <w:t>9</w:t>
            </w:r>
          </w:p>
        </w:tc>
        <w:tc>
          <w:tcPr>
            <w:tcW w:w="6560" w:type="dxa"/>
            <w:gridSpan w:val="3"/>
            <w:vAlign w:val="top"/>
          </w:tcPr>
          <w:p w14:paraId="6186A968">
            <w:pPr>
              <w:pStyle w:val="20"/>
              <w:spacing w:before="154" w:line="228" w:lineRule="auto"/>
              <w:jc w:val="center"/>
              <w:rPr>
                <w:color w:val="auto"/>
                <w:highlight w:val="none"/>
              </w:rPr>
            </w:pPr>
            <w:r>
              <w:rPr>
                <w:color w:val="auto"/>
                <w:spacing w:val="6"/>
                <w:highlight w:val="none"/>
              </w:rPr>
              <w:t>监理奖金（7×</w:t>
            </w:r>
            <w:r>
              <w:rPr>
                <w:color w:val="auto"/>
                <w:spacing w:val="6"/>
                <w:highlight w:val="none"/>
                <w:u w:val="single" w:color="auto"/>
              </w:rPr>
              <w:t xml:space="preserve">   </w:t>
            </w:r>
            <w:r>
              <w:rPr>
                <w:color w:val="auto"/>
                <w:spacing w:val="-97"/>
                <w:highlight w:val="none"/>
              </w:rPr>
              <w:t xml:space="preserve"> </w:t>
            </w:r>
            <w:r>
              <w:rPr>
                <w:color w:val="auto"/>
                <w:spacing w:val="6"/>
                <w:highlight w:val="none"/>
              </w:rPr>
              <w:t>%）</w:t>
            </w:r>
          </w:p>
        </w:tc>
        <w:tc>
          <w:tcPr>
            <w:tcW w:w="2510" w:type="dxa"/>
            <w:vAlign w:val="top"/>
          </w:tcPr>
          <w:p w14:paraId="631EB42E">
            <w:pPr>
              <w:rPr>
                <w:rFonts w:ascii="Arial"/>
                <w:color w:val="auto"/>
                <w:sz w:val="21"/>
                <w:highlight w:val="none"/>
              </w:rPr>
            </w:pPr>
          </w:p>
        </w:tc>
      </w:tr>
      <w:tr w14:paraId="35998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687" w:type="dxa"/>
            <w:vAlign w:val="top"/>
          </w:tcPr>
          <w:p w14:paraId="7BB2D0BC">
            <w:pPr>
              <w:pStyle w:val="20"/>
              <w:spacing w:before="178" w:line="269" w:lineRule="exact"/>
              <w:ind w:left="415"/>
              <w:rPr>
                <w:color w:val="auto"/>
                <w:highlight w:val="none"/>
              </w:rPr>
            </w:pPr>
            <w:r>
              <w:rPr>
                <w:color w:val="auto"/>
                <w:spacing w:val="-7"/>
                <w:position w:val="1"/>
                <w:highlight w:val="none"/>
              </w:rPr>
              <w:t>10</w:t>
            </w:r>
          </w:p>
        </w:tc>
        <w:tc>
          <w:tcPr>
            <w:tcW w:w="6560" w:type="dxa"/>
            <w:gridSpan w:val="3"/>
            <w:vAlign w:val="top"/>
          </w:tcPr>
          <w:p w14:paraId="1BD7B2FC">
            <w:pPr>
              <w:pStyle w:val="20"/>
              <w:spacing w:before="179" w:line="226" w:lineRule="auto"/>
              <w:jc w:val="center"/>
              <w:rPr>
                <w:color w:val="auto"/>
                <w:highlight w:val="none"/>
              </w:rPr>
            </w:pPr>
            <w:r>
              <w:rPr>
                <w:color w:val="auto"/>
                <w:spacing w:val="2"/>
                <w:highlight w:val="none"/>
              </w:rPr>
              <w:t>投标报价总计</w:t>
            </w:r>
            <w:r>
              <w:rPr>
                <w:color w:val="auto"/>
                <w:spacing w:val="61"/>
                <w:highlight w:val="none"/>
              </w:rPr>
              <w:t xml:space="preserve"> </w:t>
            </w:r>
            <w:r>
              <w:rPr>
                <w:color w:val="auto"/>
                <w:spacing w:val="2"/>
                <w:highlight w:val="none"/>
              </w:rPr>
              <w:t>(7+8+9)</w:t>
            </w:r>
          </w:p>
        </w:tc>
        <w:tc>
          <w:tcPr>
            <w:tcW w:w="2510" w:type="dxa"/>
            <w:vAlign w:val="top"/>
          </w:tcPr>
          <w:p w14:paraId="3381B795">
            <w:pPr>
              <w:rPr>
                <w:rFonts w:ascii="Arial"/>
                <w:color w:val="auto"/>
                <w:sz w:val="21"/>
                <w:highlight w:val="none"/>
              </w:rPr>
            </w:pPr>
          </w:p>
        </w:tc>
      </w:tr>
    </w:tbl>
    <w:p w14:paraId="61663E2C">
      <w:pPr>
        <w:spacing w:before="114" w:line="212" w:lineRule="auto"/>
        <w:ind w:left="1244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单位: 人民币元</w:t>
      </w:r>
    </w:p>
    <w:p w14:paraId="026155FC">
      <w:pPr>
        <w:rPr>
          <w:rFonts w:ascii="Arial"/>
          <w:color w:val="auto"/>
          <w:sz w:val="21"/>
          <w:highlight w:val="none"/>
        </w:rPr>
      </w:pPr>
    </w:p>
    <w:p w14:paraId="29AAC3C9">
      <w:pPr>
        <w:rPr>
          <w:rFonts w:ascii="Arial" w:hAnsi="Arial" w:eastAsia="Arial" w:cs="Arial"/>
          <w:color w:val="auto"/>
          <w:sz w:val="21"/>
          <w:szCs w:val="21"/>
          <w:highlight w:val="none"/>
        </w:rPr>
        <w:sectPr>
          <w:footerReference r:id="rId55" w:type="default"/>
          <w:pgSz w:w="11905" w:h="16838"/>
          <w:pgMar w:top="1134" w:right="1134" w:bottom="1134" w:left="1134" w:header="0" w:footer="1066" w:gutter="0"/>
          <w:pgNumType w:fmt="decimal"/>
          <w:cols w:space="0" w:num="1"/>
          <w:rtlGutter w:val="0"/>
          <w:docGrid w:linePitch="0" w:charSpace="0"/>
        </w:sectPr>
      </w:pPr>
    </w:p>
    <w:p w14:paraId="2FE8108A">
      <w:pPr>
        <w:pStyle w:val="4"/>
        <w:bidi w:val="0"/>
        <w:jc w:val="center"/>
        <w:rPr>
          <w:rFonts w:ascii="宋体" w:hAnsi="宋体" w:eastAsia="宋体" w:cs="宋体"/>
          <w:color w:val="auto"/>
          <w:szCs w:val="28"/>
          <w:highlight w:val="none"/>
        </w:rPr>
      </w:pPr>
      <w:r>
        <w:rPr>
          <w:color w:val="auto"/>
          <w:highlight w:val="none"/>
        </w:rPr>
        <w:t>表 2  监理人员服务费报价表</w:t>
      </w:r>
    </w:p>
    <w:tbl>
      <w:tblPr>
        <w:tblStyle w:val="19"/>
        <w:tblW w:w="93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8"/>
        <w:gridCol w:w="2018"/>
        <w:gridCol w:w="1146"/>
        <w:gridCol w:w="1146"/>
        <w:gridCol w:w="1151"/>
        <w:gridCol w:w="1147"/>
        <w:gridCol w:w="1146"/>
        <w:gridCol w:w="1156"/>
      </w:tblGrid>
      <w:tr w14:paraId="484AD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428" w:type="dxa"/>
            <w:vMerge w:val="restart"/>
            <w:tcBorders>
              <w:bottom w:val="nil"/>
            </w:tcBorders>
            <w:vAlign w:val="center"/>
          </w:tcPr>
          <w:p w14:paraId="1C9A6A0E">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5"/>
                <w:highlight w:val="none"/>
              </w:rPr>
              <w:t>序号</w:t>
            </w:r>
          </w:p>
        </w:tc>
        <w:tc>
          <w:tcPr>
            <w:tcW w:w="2018" w:type="dxa"/>
            <w:vMerge w:val="restart"/>
            <w:tcBorders>
              <w:bottom w:val="nil"/>
            </w:tcBorders>
            <w:vAlign w:val="center"/>
          </w:tcPr>
          <w:p w14:paraId="4AC22D89">
            <w:pPr>
              <w:pStyle w:val="20"/>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highlight w:val="none"/>
              </w:rPr>
            </w:pPr>
            <w:r>
              <w:rPr>
                <w:color w:val="auto"/>
                <w:spacing w:val="3"/>
                <w:highlight w:val="none"/>
              </w:rPr>
              <w:t>人员</w:t>
            </w:r>
          </w:p>
        </w:tc>
        <w:tc>
          <w:tcPr>
            <w:tcW w:w="3443" w:type="dxa"/>
            <w:gridSpan w:val="3"/>
            <w:vAlign w:val="center"/>
          </w:tcPr>
          <w:p w14:paraId="685F8DCB">
            <w:pPr>
              <w:pStyle w:val="20"/>
              <w:spacing w:before="141" w:line="228" w:lineRule="auto"/>
              <w:jc w:val="center"/>
              <w:rPr>
                <w:color w:val="auto"/>
                <w:highlight w:val="none"/>
              </w:rPr>
            </w:pPr>
            <w:r>
              <w:rPr>
                <w:color w:val="auto"/>
                <w:spacing w:val="7"/>
                <w:highlight w:val="none"/>
              </w:rPr>
              <w:t>施工期</w:t>
            </w:r>
          </w:p>
        </w:tc>
        <w:tc>
          <w:tcPr>
            <w:tcW w:w="3449" w:type="dxa"/>
            <w:gridSpan w:val="3"/>
            <w:vAlign w:val="center"/>
          </w:tcPr>
          <w:p w14:paraId="19FC7FD6">
            <w:pPr>
              <w:pStyle w:val="20"/>
              <w:spacing w:before="140" w:line="228" w:lineRule="auto"/>
              <w:jc w:val="center"/>
              <w:rPr>
                <w:color w:val="auto"/>
                <w:highlight w:val="none"/>
              </w:rPr>
            </w:pPr>
            <w:r>
              <w:rPr>
                <w:color w:val="auto"/>
                <w:spacing w:val="8"/>
                <w:highlight w:val="none"/>
              </w:rPr>
              <w:t>缺陷责任期</w:t>
            </w:r>
          </w:p>
        </w:tc>
      </w:tr>
      <w:tr w14:paraId="35D97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28" w:type="dxa"/>
            <w:vMerge w:val="continue"/>
            <w:tcBorders>
              <w:top w:val="nil"/>
            </w:tcBorders>
            <w:vAlign w:val="center"/>
          </w:tcPr>
          <w:p w14:paraId="50CA665B">
            <w:pPr>
              <w:jc w:val="center"/>
              <w:rPr>
                <w:rFonts w:ascii="Arial"/>
                <w:color w:val="auto"/>
                <w:sz w:val="21"/>
                <w:highlight w:val="none"/>
              </w:rPr>
            </w:pPr>
          </w:p>
        </w:tc>
        <w:tc>
          <w:tcPr>
            <w:tcW w:w="2018" w:type="dxa"/>
            <w:vMerge w:val="continue"/>
            <w:tcBorders>
              <w:top w:val="nil"/>
            </w:tcBorders>
            <w:vAlign w:val="center"/>
          </w:tcPr>
          <w:p w14:paraId="1D8F45E2">
            <w:pPr>
              <w:jc w:val="center"/>
              <w:rPr>
                <w:rFonts w:ascii="Arial"/>
                <w:color w:val="auto"/>
                <w:sz w:val="21"/>
                <w:highlight w:val="none"/>
              </w:rPr>
            </w:pPr>
          </w:p>
        </w:tc>
        <w:tc>
          <w:tcPr>
            <w:tcW w:w="1146" w:type="dxa"/>
            <w:vAlign w:val="center"/>
          </w:tcPr>
          <w:p w14:paraId="658F5F13">
            <w:pPr>
              <w:pStyle w:val="20"/>
              <w:spacing w:before="168" w:line="228" w:lineRule="auto"/>
              <w:jc w:val="center"/>
              <w:rPr>
                <w:color w:val="auto"/>
                <w:highlight w:val="none"/>
              </w:rPr>
            </w:pPr>
            <w:r>
              <w:rPr>
                <w:color w:val="auto"/>
                <w:spacing w:val="3"/>
                <w:highlight w:val="none"/>
              </w:rPr>
              <w:t>数量</w:t>
            </w:r>
          </w:p>
        </w:tc>
        <w:tc>
          <w:tcPr>
            <w:tcW w:w="1146" w:type="dxa"/>
            <w:vAlign w:val="center"/>
          </w:tcPr>
          <w:p w14:paraId="7DCFDD37">
            <w:pPr>
              <w:pStyle w:val="20"/>
              <w:spacing w:before="31" w:line="226" w:lineRule="auto"/>
              <w:jc w:val="center"/>
              <w:rPr>
                <w:color w:val="auto"/>
                <w:highlight w:val="none"/>
              </w:rPr>
            </w:pPr>
            <w:r>
              <w:rPr>
                <w:color w:val="auto"/>
                <w:spacing w:val="3"/>
                <w:highlight w:val="none"/>
              </w:rPr>
              <w:t>单价</w:t>
            </w:r>
          </w:p>
          <w:p w14:paraId="1EE4946D">
            <w:pPr>
              <w:pStyle w:val="20"/>
              <w:spacing w:before="28" w:line="216" w:lineRule="auto"/>
              <w:jc w:val="center"/>
              <w:rPr>
                <w:color w:val="auto"/>
                <w:highlight w:val="none"/>
              </w:rPr>
            </w:pPr>
            <w:r>
              <w:rPr>
                <w:color w:val="auto"/>
                <w:spacing w:val="-1"/>
                <w:highlight w:val="none"/>
              </w:rPr>
              <w:t>(元/人</w:t>
            </w:r>
            <w:r>
              <w:rPr>
                <w:rFonts w:ascii="Arial" w:hAnsi="Arial" w:eastAsia="Arial" w:cs="Arial"/>
                <w:color w:val="auto"/>
                <w:spacing w:val="-1"/>
                <w:highlight w:val="none"/>
              </w:rPr>
              <w:t>.</w:t>
            </w:r>
            <w:r>
              <w:rPr>
                <w:color w:val="auto"/>
                <w:spacing w:val="-1"/>
                <w:highlight w:val="none"/>
              </w:rPr>
              <w:t>月)</w:t>
            </w:r>
          </w:p>
        </w:tc>
        <w:tc>
          <w:tcPr>
            <w:tcW w:w="1151" w:type="dxa"/>
            <w:vAlign w:val="center"/>
          </w:tcPr>
          <w:p w14:paraId="026D0DE9">
            <w:pPr>
              <w:pStyle w:val="20"/>
              <w:spacing w:before="168" w:line="228" w:lineRule="auto"/>
              <w:jc w:val="center"/>
              <w:rPr>
                <w:color w:val="auto"/>
                <w:highlight w:val="none"/>
              </w:rPr>
            </w:pPr>
            <w:r>
              <w:rPr>
                <w:color w:val="auto"/>
                <w:spacing w:val="5"/>
                <w:highlight w:val="none"/>
              </w:rPr>
              <w:t>金额(元)</w:t>
            </w:r>
          </w:p>
        </w:tc>
        <w:tc>
          <w:tcPr>
            <w:tcW w:w="1147" w:type="dxa"/>
            <w:vAlign w:val="center"/>
          </w:tcPr>
          <w:p w14:paraId="30447553">
            <w:pPr>
              <w:pStyle w:val="20"/>
              <w:spacing w:before="168" w:line="228" w:lineRule="auto"/>
              <w:jc w:val="center"/>
              <w:rPr>
                <w:color w:val="auto"/>
                <w:highlight w:val="none"/>
              </w:rPr>
            </w:pPr>
            <w:r>
              <w:rPr>
                <w:color w:val="auto"/>
                <w:spacing w:val="3"/>
                <w:highlight w:val="none"/>
              </w:rPr>
              <w:t>数量</w:t>
            </w:r>
          </w:p>
        </w:tc>
        <w:tc>
          <w:tcPr>
            <w:tcW w:w="1146" w:type="dxa"/>
            <w:vAlign w:val="center"/>
          </w:tcPr>
          <w:p w14:paraId="53D56360">
            <w:pPr>
              <w:pStyle w:val="20"/>
              <w:spacing w:before="31" w:line="226" w:lineRule="auto"/>
              <w:jc w:val="center"/>
              <w:rPr>
                <w:color w:val="auto"/>
                <w:highlight w:val="none"/>
              </w:rPr>
            </w:pPr>
            <w:r>
              <w:rPr>
                <w:color w:val="auto"/>
                <w:spacing w:val="3"/>
                <w:highlight w:val="none"/>
              </w:rPr>
              <w:t>单价</w:t>
            </w:r>
          </w:p>
          <w:p w14:paraId="14AC73DB">
            <w:pPr>
              <w:pStyle w:val="20"/>
              <w:spacing w:before="28" w:line="216" w:lineRule="auto"/>
              <w:jc w:val="center"/>
              <w:rPr>
                <w:color w:val="auto"/>
                <w:highlight w:val="none"/>
              </w:rPr>
            </w:pPr>
            <w:r>
              <w:rPr>
                <w:color w:val="auto"/>
                <w:spacing w:val="-1"/>
                <w:highlight w:val="none"/>
              </w:rPr>
              <w:t>(元/人</w:t>
            </w:r>
            <w:r>
              <w:rPr>
                <w:rFonts w:ascii="Arial" w:hAnsi="Arial" w:eastAsia="Arial" w:cs="Arial"/>
                <w:color w:val="auto"/>
                <w:spacing w:val="-1"/>
                <w:highlight w:val="none"/>
              </w:rPr>
              <w:t>.</w:t>
            </w:r>
            <w:r>
              <w:rPr>
                <w:color w:val="auto"/>
                <w:spacing w:val="-1"/>
                <w:highlight w:val="none"/>
              </w:rPr>
              <w:t>月)</w:t>
            </w:r>
          </w:p>
        </w:tc>
        <w:tc>
          <w:tcPr>
            <w:tcW w:w="1156" w:type="dxa"/>
            <w:vAlign w:val="center"/>
          </w:tcPr>
          <w:p w14:paraId="4494DE85">
            <w:pPr>
              <w:pStyle w:val="20"/>
              <w:spacing w:before="168" w:line="228" w:lineRule="auto"/>
              <w:jc w:val="center"/>
              <w:rPr>
                <w:color w:val="auto"/>
                <w:highlight w:val="none"/>
              </w:rPr>
            </w:pPr>
            <w:r>
              <w:rPr>
                <w:color w:val="auto"/>
                <w:spacing w:val="5"/>
                <w:highlight w:val="none"/>
              </w:rPr>
              <w:t>金额(元)</w:t>
            </w:r>
          </w:p>
        </w:tc>
      </w:tr>
      <w:tr w14:paraId="020FE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4C0A75C0">
            <w:pPr>
              <w:pStyle w:val="20"/>
              <w:spacing w:before="135" w:line="270" w:lineRule="exact"/>
              <w:jc w:val="center"/>
              <w:rPr>
                <w:color w:val="auto"/>
                <w:highlight w:val="none"/>
              </w:rPr>
            </w:pPr>
            <w:r>
              <w:rPr>
                <w:color w:val="auto"/>
                <w:position w:val="1"/>
                <w:highlight w:val="none"/>
              </w:rPr>
              <w:t>1</w:t>
            </w:r>
          </w:p>
        </w:tc>
        <w:tc>
          <w:tcPr>
            <w:tcW w:w="2018" w:type="dxa"/>
            <w:vAlign w:val="center"/>
          </w:tcPr>
          <w:p w14:paraId="5A74CE29">
            <w:pPr>
              <w:pStyle w:val="20"/>
              <w:spacing w:before="134" w:line="228" w:lineRule="auto"/>
              <w:jc w:val="center"/>
              <w:rPr>
                <w:color w:val="auto"/>
                <w:highlight w:val="none"/>
              </w:rPr>
            </w:pPr>
            <w:r>
              <w:rPr>
                <w:color w:val="auto"/>
                <w:spacing w:val="7"/>
                <w:highlight w:val="none"/>
              </w:rPr>
              <w:t>总监理工程师</w:t>
            </w:r>
          </w:p>
        </w:tc>
        <w:tc>
          <w:tcPr>
            <w:tcW w:w="1146" w:type="dxa"/>
            <w:vAlign w:val="top"/>
          </w:tcPr>
          <w:p w14:paraId="77C8D3F8">
            <w:pPr>
              <w:rPr>
                <w:rFonts w:ascii="Arial"/>
                <w:color w:val="auto"/>
                <w:sz w:val="21"/>
                <w:highlight w:val="none"/>
              </w:rPr>
            </w:pPr>
          </w:p>
        </w:tc>
        <w:tc>
          <w:tcPr>
            <w:tcW w:w="1146" w:type="dxa"/>
            <w:vAlign w:val="top"/>
          </w:tcPr>
          <w:p w14:paraId="5C9FE038">
            <w:pPr>
              <w:rPr>
                <w:rFonts w:ascii="Arial"/>
                <w:color w:val="auto"/>
                <w:sz w:val="21"/>
                <w:highlight w:val="none"/>
              </w:rPr>
            </w:pPr>
          </w:p>
        </w:tc>
        <w:tc>
          <w:tcPr>
            <w:tcW w:w="1151" w:type="dxa"/>
            <w:vAlign w:val="top"/>
          </w:tcPr>
          <w:p w14:paraId="2CE1472E">
            <w:pPr>
              <w:rPr>
                <w:rFonts w:ascii="Arial"/>
                <w:color w:val="auto"/>
                <w:sz w:val="21"/>
                <w:highlight w:val="none"/>
              </w:rPr>
            </w:pPr>
          </w:p>
        </w:tc>
        <w:tc>
          <w:tcPr>
            <w:tcW w:w="1147" w:type="dxa"/>
            <w:vAlign w:val="top"/>
          </w:tcPr>
          <w:p w14:paraId="66F81AFF">
            <w:pPr>
              <w:rPr>
                <w:rFonts w:ascii="Arial"/>
                <w:color w:val="auto"/>
                <w:sz w:val="21"/>
                <w:highlight w:val="none"/>
              </w:rPr>
            </w:pPr>
          </w:p>
        </w:tc>
        <w:tc>
          <w:tcPr>
            <w:tcW w:w="1146" w:type="dxa"/>
            <w:vAlign w:val="top"/>
          </w:tcPr>
          <w:p w14:paraId="78DD6A2E">
            <w:pPr>
              <w:rPr>
                <w:rFonts w:ascii="Arial"/>
                <w:color w:val="auto"/>
                <w:sz w:val="21"/>
                <w:highlight w:val="none"/>
              </w:rPr>
            </w:pPr>
          </w:p>
        </w:tc>
        <w:tc>
          <w:tcPr>
            <w:tcW w:w="1156" w:type="dxa"/>
            <w:vAlign w:val="top"/>
          </w:tcPr>
          <w:p w14:paraId="56A4ECD3">
            <w:pPr>
              <w:rPr>
                <w:rFonts w:ascii="Arial"/>
                <w:color w:val="auto"/>
                <w:sz w:val="21"/>
                <w:highlight w:val="none"/>
              </w:rPr>
            </w:pPr>
          </w:p>
        </w:tc>
      </w:tr>
      <w:tr w14:paraId="7C8B1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428" w:type="dxa"/>
            <w:vAlign w:val="center"/>
          </w:tcPr>
          <w:p w14:paraId="4E9BCB8C">
            <w:pPr>
              <w:pStyle w:val="20"/>
              <w:spacing w:before="135" w:line="270" w:lineRule="exact"/>
              <w:jc w:val="center"/>
              <w:rPr>
                <w:color w:val="auto"/>
                <w:highlight w:val="none"/>
              </w:rPr>
            </w:pPr>
            <w:r>
              <w:rPr>
                <w:color w:val="auto"/>
                <w:position w:val="1"/>
                <w:highlight w:val="none"/>
              </w:rPr>
              <w:t>2</w:t>
            </w:r>
          </w:p>
        </w:tc>
        <w:tc>
          <w:tcPr>
            <w:tcW w:w="2018" w:type="dxa"/>
            <w:vAlign w:val="center"/>
          </w:tcPr>
          <w:p w14:paraId="4A5AC6C5">
            <w:pPr>
              <w:pStyle w:val="20"/>
              <w:spacing w:before="101" w:line="228" w:lineRule="auto"/>
              <w:jc w:val="center"/>
              <w:rPr>
                <w:color w:val="auto"/>
                <w:highlight w:val="none"/>
              </w:rPr>
            </w:pPr>
            <w:r>
              <w:rPr>
                <w:color w:val="auto"/>
                <w:spacing w:val="7"/>
                <w:highlight w:val="none"/>
              </w:rPr>
              <w:t>**专业监理工程师</w:t>
            </w:r>
          </w:p>
        </w:tc>
        <w:tc>
          <w:tcPr>
            <w:tcW w:w="1146" w:type="dxa"/>
            <w:vAlign w:val="top"/>
          </w:tcPr>
          <w:p w14:paraId="1E89E224">
            <w:pPr>
              <w:rPr>
                <w:rFonts w:ascii="Arial"/>
                <w:color w:val="auto"/>
                <w:sz w:val="21"/>
                <w:highlight w:val="none"/>
              </w:rPr>
            </w:pPr>
          </w:p>
        </w:tc>
        <w:tc>
          <w:tcPr>
            <w:tcW w:w="1146" w:type="dxa"/>
            <w:vAlign w:val="top"/>
          </w:tcPr>
          <w:p w14:paraId="2CCAC96E">
            <w:pPr>
              <w:rPr>
                <w:rFonts w:ascii="Arial"/>
                <w:color w:val="auto"/>
                <w:sz w:val="21"/>
                <w:highlight w:val="none"/>
              </w:rPr>
            </w:pPr>
          </w:p>
        </w:tc>
        <w:tc>
          <w:tcPr>
            <w:tcW w:w="1151" w:type="dxa"/>
            <w:vAlign w:val="top"/>
          </w:tcPr>
          <w:p w14:paraId="2AC7177E">
            <w:pPr>
              <w:rPr>
                <w:rFonts w:ascii="Arial"/>
                <w:color w:val="auto"/>
                <w:sz w:val="21"/>
                <w:highlight w:val="none"/>
              </w:rPr>
            </w:pPr>
          </w:p>
        </w:tc>
        <w:tc>
          <w:tcPr>
            <w:tcW w:w="1147" w:type="dxa"/>
            <w:vAlign w:val="top"/>
          </w:tcPr>
          <w:p w14:paraId="53897474">
            <w:pPr>
              <w:rPr>
                <w:rFonts w:ascii="Arial"/>
                <w:color w:val="auto"/>
                <w:sz w:val="21"/>
                <w:highlight w:val="none"/>
              </w:rPr>
            </w:pPr>
          </w:p>
        </w:tc>
        <w:tc>
          <w:tcPr>
            <w:tcW w:w="1146" w:type="dxa"/>
            <w:vAlign w:val="top"/>
          </w:tcPr>
          <w:p w14:paraId="3F8EFDBC">
            <w:pPr>
              <w:rPr>
                <w:rFonts w:ascii="Arial"/>
                <w:color w:val="auto"/>
                <w:sz w:val="21"/>
                <w:highlight w:val="none"/>
              </w:rPr>
            </w:pPr>
          </w:p>
        </w:tc>
        <w:tc>
          <w:tcPr>
            <w:tcW w:w="1156" w:type="dxa"/>
            <w:vAlign w:val="top"/>
          </w:tcPr>
          <w:p w14:paraId="494150F0">
            <w:pPr>
              <w:rPr>
                <w:rFonts w:ascii="Arial"/>
                <w:color w:val="auto"/>
                <w:sz w:val="21"/>
                <w:highlight w:val="none"/>
              </w:rPr>
            </w:pPr>
          </w:p>
        </w:tc>
      </w:tr>
      <w:tr w14:paraId="75F8A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1A1C8CCA">
            <w:pPr>
              <w:pStyle w:val="20"/>
              <w:spacing w:before="136" w:line="268" w:lineRule="exact"/>
              <w:jc w:val="center"/>
              <w:rPr>
                <w:color w:val="auto"/>
                <w:highlight w:val="none"/>
              </w:rPr>
            </w:pPr>
            <w:r>
              <w:rPr>
                <w:color w:val="auto"/>
                <w:position w:val="1"/>
                <w:highlight w:val="none"/>
              </w:rPr>
              <w:t>3</w:t>
            </w:r>
          </w:p>
        </w:tc>
        <w:tc>
          <w:tcPr>
            <w:tcW w:w="2018" w:type="dxa"/>
            <w:vAlign w:val="center"/>
          </w:tcPr>
          <w:p w14:paraId="56A21D86">
            <w:pPr>
              <w:pStyle w:val="20"/>
              <w:spacing w:before="135" w:line="228" w:lineRule="auto"/>
              <w:jc w:val="center"/>
              <w:rPr>
                <w:color w:val="auto"/>
                <w:highlight w:val="none"/>
              </w:rPr>
            </w:pPr>
            <w:r>
              <w:rPr>
                <w:color w:val="auto"/>
                <w:spacing w:val="7"/>
                <w:highlight w:val="none"/>
              </w:rPr>
              <w:t>**专业监理工程师</w:t>
            </w:r>
          </w:p>
        </w:tc>
        <w:tc>
          <w:tcPr>
            <w:tcW w:w="1146" w:type="dxa"/>
            <w:vAlign w:val="top"/>
          </w:tcPr>
          <w:p w14:paraId="67400E80">
            <w:pPr>
              <w:rPr>
                <w:rFonts w:ascii="Arial"/>
                <w:color w:val="auto"/>
                <w:sz w:val="21"/>
                <w:highlight w:val="none"/>
              </w:rPr>
            </w:pPr>
          </w:p>
        </w:tc>
        <w:tc>
          <w:tcPr>
            <w:tcW w:w="1146" w:type="dxa"/>
            <w:vAlign w:val="top"/>
          </w:tcPr>
          <w:p w14:paraId="35A27EFA">
            <w:pPr>
              <w:rPr>
                <w:rFonts w:ascii="Arial"/>
                <w:color w:val="auto"/>
                <w:sz w:val="21"/>
                <w:highlight w:val="none"/>
              </w:rPr>
            </w:pPr>
          </w:p>
        </w:tc>
        <w:tc>
          <w:tcPr>
            <w:tcW w:w="1151" w:type="dxa"/>
            <w:vAlign w:val="top"/>
          </w:tcPr>
          <w:p w14:paraId="720C7F79">
            <w:pPr>
              <w:rPr>
                <w:rFonts w:ascii="Arial"/>
                <w:color w:val="auto"/>
                <w:sz w:val="21"/>
                <w:highlight w:val="none"/>
              </w:rPr>
            </w:pPr>
          </w:p>
        </w:tc>
        <w:tc>
          <w:tcPr>
            <w:tcW w:w="1147" w:type="dxa"/>
            <w:vAlign w:val="top"/>
          </w:tcPr>
          <w:p w14:paraId="4007A567">
            <w:pPr>
              <w:rPr>
                <w:rFonts w:ascii="Arial"/>
                <w:color w:val="auto"/>
                <w:sz w:val="21"/>
                <w:highlight w:val="none"/>
              </w:rPr>
            </w:pPr>
          </w:p>
        </w:tc>
        <w:tc>
          <w:tcPr>
            <w:tcW w:w="1146" w:type="dxa"/>
            <w:vAlign w:val="top"/>
          </w:tcPr>
          <w:p w14:paraId="47D7DA0B">
            <w:pPr>
              <w:rPr>
                <w:rFonts w:ascii="Arial"/>
                <w:color w:val="auto"/>
                <w:sz w:val="21"/>
                <w:highlight w:val="none"/>
              </w:rPr>
            </w:pPr>
          </w:p>
        </w:tc>
        <w:tc>
          <w:tcPr>
            <w:tcW w:w="1156" w:type="dxa"/>
            <w:vAlign w:val="top"/>
          </w:tcPr>
          <w:p w14:paraId="4B8221D2">
            <w:pPr>
              <w:rPr>
                <w:rFonts w:ascii="Arial"/>
                <w:color w:val="auto"/>
                <w:sz w:val="21"/>
                <w:highlight w:val="none"/>
              </w:rPr>
            </w:pPr>
          </w:p>
        </w:tc>
      </w:tr>
      <w:tr w14:paraId="3EA5F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428" w:type="dxa"/>
            <w:vAlign w:val="center"/>
          </w:tcPr>
          <w:p w14:paraId="463C8E99">
            <w:pPr>
              <w:pStyle w:val="20"/>
              <w:spacing w:before="136" w:line="270" w:lineRule="exact"/>
              <w:jc w:val="center"/>
              <w:rPr>
                <w:color w:val="auto"/>
                <w:highlight w:val="none"/>
              </w:rPr>
            </w:pPr>
            <w:r>
              <w:rPr>
                <w:color w:val="auto"/>
                <w:position w:val="1"/>
                <w:highlight w:val="none"/>
              </w:rPr>
              <w:t>4</w:t>
            </w:r>
          </w:p>
        </w:tc>
        <w:tc>
          <w:tcPr>
            <w:tcW w:w="2018" w:type="dxa"/>
            <w:vAlign w:val="center"/>
          </w:tcPr>
          <w:p w14:paraId="0B40BCC6">
            <w:pPr>
              <w:pStyle w:val="20"/>
              <w:spacing w:before="135" w:line="228" w:lineRule="auto"/>
              <w:jc w:val="center"/>
              <w:rPr>
                <w:color w:val="auto"/>
                <w:highlight w:val="none"/>
              </w:rPr>
            </w:pPr>
            <w:r>
              <w:rPr>
                <w:color w:val="auto"/>
                <w:spacing w:val="7"/>
                <w:highlight w:val="none"/>
              </w:rPr>
              <w:t>**专业监理工程师</w:t>
            </w:r>
          </w:p>
        </w:tc>
        <w:tc>
          <w:tcPr>
            <w:tcW w:w="1146" w:type="dxa"/>
            <w:vAlign w:val="top"/>
          </w:tcPr>
          <w:p w14:paraId="0D15AF26">
            <w:pPr>
              <w:rPr>
                <w:rFonts w:ascii="Arial"/>
                <w:color w:val="auto"/>
                <w:sz w:val="21"/>
                <w:highlight w:val="none"/>
              </w:rPr>
            </w:pPr>
          </w:p>
        </w:tc>
        <w:tc>
          <w:tcPr>
            <w:tcW w:w="1146" w:type="dxa"/>
            <w:vAlign w:val="top"/>
          </w:tcPr>
          <w:p w14:paraId="70C03DAB">
            <w:pPr>
              <w:rPr>
                <w:rFonts w:ascii="Arial"/>
                <w:color w:val="auto"/>
                <w:sz w:val="21"/>
                <w:highlight w:val="none"/>
              </w:rPr>
            </w:pPr>
          </w:p>
        </w:tc>
        <w:tc>
          <w:tcPr>
            <w:tcW w:w="1151" w:type="dxa"/>
            <w:vAlign w:val="top"/>
          </w:tcPr>
          <w:p w14:paraId="7407FE09">
            <w:pPr>
              <w:rPr>
                <w:rFonts w:ascii="Arial"/>
                <w:color w:val="auto"/>
                <w:sz w:val="21"/>
                <w:highlight w:val="none"/>
              </w:rPr>
            </w:pPr>
          </w:p>
        </w:tc>
        <w:tc>
          <w:tcPr>
            <w:tcW w:w="1147" w:type="dxa"/>
            <w:vAlign w:val="top"/>
          </w:tcPr>
          <w:p w14:paraId="2F2BA891">
            <w:pPr>
              <w:rPr>
                <w:rFonts w:ascii="Arial"/>
                <w:color w:val="auto"/>
                <w:sz w:val="21"/>
                <w:highlight w:val="none"/>
              </w:rPr>
            </w:pPr>
          </w:p>
        </w:tc>
        <w:tc>
          <w:tcPr>
            <w:tcW w:w="1146" w:type="dxa"/>
            <w:vAlign w:val="top"/>
          </w:tcPr>
          <w:p w14:paraId="4A71924F">
            <w:pPr>
              <w:rPr>
                <w:rFonts w:ascii="Arial"/>
                <w:color w:val="auto"/>
                <w:sz w:val="21"/>
                <w:highlight w:val="none"/>
              </w:rPr>
            </w:pPr>
          </w:p>
        </w:tc>
        <w:tc>
          <w:tcPr>
            <w:tcW w:w="1156" w:type="dxa"/>
            <w:vAlign w:val="top"/>
          </w:tcPr>
          <w:p w14:paraId="57CEE76E">
            <w:pPr>
              <w:rPr>
                <w:rFonts w:ascii="Arial"/>
                <w:color w:val="auto"/>
                <w:sz w:val="21"/>
                <w:highlight w:val="none"/>
              </w:rPr>
            </w:pPr>
          </w:p>
        </w:tc>
      </w:tr>
      <w:tr w14:paraId="6E6C5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25A6695C">
            <w:pPr>
              <w:pStyle w:val="20"/>
              <w:spacing w:before="137" w:line="268" w:lineRule="exact"/>
              <w:jc w:val="center"/>
              <w:rPr>
                <w:color w:val="auto"/>
                <w:highlight w:val="none"/>
              </w:rPr>
            </w:pPr>
            <w:r>
              <w:rPr>
                <w:color w:val="auto"/>
                <w:position w:val="1"/>
                <w:highlight w:val="none"/>
              </w:rPr>
              <w:t>5</w:t>
            </w:r>
          </w:p>
        </w:tc>
        <w:tc>
          <w:tcPr>
            <w:tcW w:w="2018" w:type="dxa"/>
            <w:vAlign w:val="center"/>
          </w:tcPr>
          <w:p w14:paraId="1324B7C3">
            <w:pPr>
              <w:pStyle w:val="20"/>
              <w:spacing w:before="136" w:line="228" w:lineRule="auto"/>
              <w:jc w:val="center"/>
              <w:rPr>
                <w:color w:val="auto"/>
                <w:highlight w:val="none"/>
              </w:rPr>
            </w:pPr>
            <w:r>
              <w:rPr>
                <w:color w:val="auto"/>
                <w:spacing w:val="7"/>
                <w:highlight w:val="none"/>
              </w:rPr>
              <w:t>**专业监理工程师</w:t>
            </w:r>
          </w:p>
        </w:tc>
        <w:tc>
          <w:tcPr>
            <w:tcW w:w="1146" w:type="dxa"/>
            <w:vAlign w:val="top"/>
          </w:tcPr>
          <w:p w14:paraId="4A543694">
            <w:pPr>
              <w:rPr>
                <w:rFonts w:ascii="Arial"/>
                <w:color w:val="auto"/>
                <w:sz w:val="21"/>
                <w:highlight w:val="none"/>
              </w:rPr>
            </w:pPr>
          </w:p>
        </w:tc>
        <w:tc>
          <w:tcPr>
            <w:tcW w:w="1146" w:type="dxa"/>
            <w:vAlign w:val="top"/>
          </w:tcPr>
          <w:p w14:paraId="6A4AE0CE">
            <w:pPr>
              <w:rPr>
                <w:rFonts w:ascii="Arial"/>
                <w:color w:val="auto"/>
                <w:sz w:val="21"/>
                <w:highlight w:val="none"/>
              </w:rPr>
            </w:pPr>
          </w:p>
        </w:tc>
        <w:tc>
          <w:tcPr>
            <w:tcW w:w="1151" w:type="dxa"/>
            <w:vAlign w:val="top"/>
          </w:tcPr>
          <w:p w14:paraId="229A877A">
            <w:pPr>
              <w:rPr>
                <w:rFonts w:ascii="Arial"/>
                <w:color w:val="auto"/>
                <w:sz w:val="21"/>
                <w:highlight w:val="none"/>
              </w:rPr>
            </w:pPr>
          </w:p>
        </w:tc>
        <w:tc>
          <w:tcPr>
            <w:tcW w:w="1147" w:type="dxa"/>
            <w:vAlign w:val="top"/>
          </w:tcPr>
          <w:p w14:paraId="5AA96F45">
            <w:pPr>
              <w:rPr>
                <w:rFonts w:ascii="Arial"/>
                <w:color w:val="auto"/>
                <w:sz w:val="21"/>
                <w:highlight w:val="none"/>
              </w:rPr>
            </w:pPr>
          </w:p>
        </w:tc>
        <w:tc>
          <w:tcPr>
            <w:tcW w:w="1146" w:type="dxa"/>
            <w:vAlign w:val="top"/>
          </w:tcPr>
          <w:p w14:paraId="10568B94">
            <w:pPr>
              <w:rPr>
                <w:rFonts w:ascii="Arial"/>
                <w:color w:val="auto"/>
                <w:sz w:val="21"/>
                <w:highlight w:val="none"/>
              </w:rPr>
            </w:pPr>
          </w:p>
        </w:tc>
        <w:tc>
          <w:tcPr>
            <w:tcW w:w="1156" w:type="dxa"/>
            <w:vAlign w:val="top"/>
          </w:tcPr>
          <w:p w14:paraId="64A673F3">
            <w:pPr>
              <w:rPr>
                <w:rFonts w:ascii="Arial"/>
                <w:color w:val="auto"/>
                <w:sz w:val="21"/>
                <w:highlight w:val="none"/>
              </w:rPr>
            </w:pPr>
          </w:p>
        </w:tc>
      </w:tr>
      <w:tr w14:paraId="76621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5A63FFB2">
            <w:pPr>
              <w:pStyle w:val="20"/>
              <w:spacing w:before="137" w:line="268" w:lineRule="exact"/>
              <w:jc w:val="center"/>
              <w:rPr>
                <w:color w:val="auto"/>
                <w:highlight w:val="none"/>
              </w:rPr>
            </w:pPr>
            <w:r>
              <w:rPr>
                <w:color w:val="auto"/>
                <w:position w:val="1"/>
                <w:highlight w:val="none"/>
              </w:rPr>
              <w:t>6</w:t>
            </w:r>
          </w:p>
        </w:tc>
        <w:tc>
          <w:tcPr>
            <w:tcW w:w="2018" w:type="dxa"/>
            <w:vAlign w:val="center"/>
          </w:tcPr>
          <w:p w14:paraId="4688F16F">
            <w:pPr>
              <w:pStyle w:val="20"/>
              <w:spacing w:before="136" w:line="228" w:lineRule="auto"/>
              <w:jc w:val="center"/>
              <w:rPr>
                <w:color w:val="auto"/>
                <w:highlight w:val="none"/>
              </w:rPr>
            </w:pPr>
            <w:r>
              <w:rPr>
                <w:color w:val="auto"/>
                <w:spacing w:val="7"/>
                <w:highlight w:val="none"/>
              </w:rPr>
              <w:t>**专业监理工程师</w:t>
            </w:r>
          </w:p>
        </w:tc>
        <w:tc>
          <w:tcPr>
            <w:tcW w:w="1146" w:type="dxa"/>
            <w:vAlign w:val="top"/>
          </w:tcPr>
          <w:p w14:paraId="28872E43">
            <w:pPr>
              <w:rPr>
                <w:rFonts w:ascii="Arial"/>
                <w:color w:val="auto"/>
                <w:sz w:val="21"/>
                <w:highlight w:val="none"/>
              </w:rPr>
            </w:pPr>
          </w:p>
        </w:tc>
        <w:tc>
          <w:tcPr>
            <w:tcW w:w="1146" w:type="dxa"/>
            <w:vAlign w:val="top"/>
          </w:tcPr>
          <w:p w14:paraId="4DFEA7FA">
            <w:pPr>
              <w:rPr>
                <w:rFonts w:ascii="Arial"/>
                <w:color w:val="auto"/>
                <w:sz w:val="21"/>
                <w:highlight w:val="none"/>
              </w:rPr>
            </w:pPr>
          </w:p>
        </w:tc>
        <w:tc>
          <w:tcPr>
            <w:tcW w:w="1151" w:type="dxa"/>
            <w:vAlign w:val="top"/>
          </w:tcPr>
          <w:p w14:paraId="4CDE872E">
            <w:pPr>
              <w:rPr>
                <w:rFonts w:ascii="Arial"/>
                <w:color w:val="auto"/>
                <w:sz w:val="21"/>
                <w:highlight w:val="none"/>
              </w:rPr>
            </w:pPr>
          </w:p>
        </w:tc>
        <w:tc>
          <w:tcPr>
            <w:tcW w:w="1147" w:type="dxa"/>
            <w:vAlign w:val="top"/>
          </w:tcPr>
          <w:p w14:paraId="7E41585A">
            <w:pPr>
              <w:rPr>
                <w:rFonts w:ascii="Arial"/>
                <w:color w:val="auto"/>
                <w:sz w:val="21"/>
                <w:highlight w:val="none"/>
              </w:rPr>
            </w:pPr>
          </w:p>
        </w:tc>
        <w:tc>
          <w:tcPr>
            <w:tcW w:w="1146" w:type="dxa"/>
            <w:vAlign w:val="top"/>
          </w:tcPr>
          <w:p w14:paraId="4E1B5962">
            <w:pPr>
              <w:rPr>
                <w:rFonts w:ascii="Arial"/>
                <w:color w:val="auto"/>
                <w:sz w:val="21"/>
                <w:highlight w:val="none"/>
              </w:rPr>
            </w:pPr>
          </w:p>
        </w:tc>
        <w:tc>
          <w:tcPr>
            <w:tcW w:w="1156" w:type="dxa"/>
            <w:vAlign w:val="top"/>
          </w:tcPr>
          <w:p w14:paraId="7E8700E2">
            <w:pPr>
              <w:rPr>
                <w:rFonts w:ascii="Arial"/>
                <w:color w:val="auto"/>
                <w:sz w:val="21"/>
                <w:highlight w:val="none"/>
              </w:rPr>
            </w:pPr>
          </w:p>
        </w:tc>
      </w:tr>
      <w:tr w14:paraId="2C566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7BBEC124">
            <w:pPr>
              <w:pStyle w:val="20"/>
              <w:spacing w:before="137" w:line="268" w:lineRule="exact"/>
              <w:jc w:val="center"/>
              <w:rPr>
                <w:color w:val="auto"/>
                <w:highlight w:val="none"/>
              </w:rPr>
            </w:pPr>
            <w:r>
              <w:rPr>
                <w:color w:val="auto"/>
                <w:position w:val="1"/>
                <w:highlight w:val="none"/>
              </w:rPr>
              <w:t>7</w:t>
            </w:r>
          </w:p>
        </w:tc>
        <w:tc>
          <w:tcPr>
            <w:tcW w:w="2018" w:type="dxa"/>
            <w:vAlign w:val="center"/>
          </w:tcPr>
          <w:p w14:paraId="19128FFF">
            <w:pPr>
              <w:pStyle w:val="20"/>
              <w:spacing w:before="136" w:line="228" w:lineRule="auto"/>
              <w:jc w:val="center"/>
              <w:rPr>
                <w:color w:val="auto"/>
                <w:highlight w:val="none"/>
              </w:rPr>
            </w:pPr>
            <w:r>
              <w:rPr>
                <w:color w:val="auto"/>
                <w:spacing w:val="7"/>
                <w:highlight w:val="none"/>
              </w:rPr>
              <w:t>**专业监理工程师</w:t>
            </w:r>
          </w:p>
        </w:tc>
        <w:tc>
          <w:tcPr>
            <w:tcW w:w="1146" w:type="dxa"/>
            <w:vAlign w:val="top"/>
          </w:tcPr>
          <w:p w14:paraId="057CC3EF">
            <w:pPr>
              <w:rPr>
                <w:rFonts w:ascii="Arial"/>
                <w:color w:val="auto"/>
                <w:sz w:val="21"/>
                <w:highlight w:val="none"/>
              </w:rPr>
            </w:pPr>
          </w:p>
        </w:tc>
        <w:tc>
          <w:tcPr>
            <w:tcW w:w="1146" w:type="dxa"/>
            <w:vAlign w:val="top"/>
          </w:tcPr>
          <w:p w14:paraId="2B78C337">
            <w:pPr>
              <w:rPr>
                <w:rFonts w:ascii="Arial"/>
                <w:color w:val="auto"/>
                <w:sz w:val="21"/>
                <w:highlight w:val="none"/>
              </w:rPr>
            </w:pPr>
          </w:p>
        </w:tc>
        <w:tc>
          <w:tcPr>
            <w:tcW w:w="1151" w:type="dxa"/>
            <w:vAlign w:val="top"/>
          </w:tcPr>
          <w:p w14:paraId="7A408829">
            <w:pPr>
              <w:rPr>
                <w:rFonts w:ascii="Arial"/>
                <w:color w:val="auto"/>
                <w:sz w:val="21"/>
                <w:highlight w:val="none"/>
              </w:rPr>
            </w:pPr>
          </w:p>
        </w:tc>
        <w:tc>
          <w:tcPr>
            <w:tcW w:w="1147" w:type="dxa"/>
            <w:vAlign w:val="top"/>
          </w:tcPr>
          <w:p w14:paraId="2B9D86B0">
            <w:pPr>
              <w:rPr>
                <w:rFonts w:ascii="Arial"/>
                <w:color w:val="auto"/>
                <w:sz w:val="21"/>
                <w:highlight w:val="none"/>
              </w:rPr>
            </w:pPr>
          </w:p>
        </w:tc>
        <w:tc>
          <w:tcPr>
            <w:tcW w:w="1146" w:type="dxa"/>
            <w:vAlign w:val="top"/>
          </w:tcPr>
          <w:p w14:paraId="2409778C">
            <w:pPr>
              <w:rPr>
                <w:rFonts w:ascii="Arial"/>
                <w:color w:val="auto"/>
                <w:sz w:val="21"/>
                <w:highlight w:val="none"/>
              </w:rPr>
            </w:pPr>
          </w:p>
        </w:tc>
        <w:tc>
          <w:tcPr>
            <w:tcW w:w="1156" w:type="dxa"/>
            <w:vAlign w:val="top"/>
          </w:tcPr>
          <w:p w14:paraId="6C616FC5">
            <w:pPr>
              <w:rPr>
                <w:rFonts w:ascii="Arial"/>
                <w:color w:val="auto"/>
                <w:sz w:val="21"/>
                <w:highlight w:val="none"/>
              </w:rPr>
            </w:pPr>
          </w:p>
        </w:tc>
      </w:tr>
      <w:tr w14:paraId="41DE1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428" w:type="dxa"/>
            <w:vAlign w:val="center"/>
          </w:tcPr>
          <w:p w14:paraId="34B05489">
            <w:pPr>
              <w:pStyle w:val="20"/>
              <w:spacing w:before="137" w:line="268" w:lineRule="exact"/>
              <w:jc w:val="center"/>
              <w:rPr>
                <w:color w:val="auto"/>
                <w:highlight w:val="none"/>
              </w:rPr>
            </w:pPr>
            <w:r>
              <w:rPr>
                <w:color w:val="auto"/>
                <w:position w:val="1"/>
                <w:highlight w:val="none"/>
              </w:rPr>
              <w:t>8</w:t>
            </w:r>
          </w:p>
        </w:tc>
        <w:tc>
          <w:tcPr>
            <w:tcW w:w="2018" w:type="dxa"/>
            <w:vAlign w:val="center"/>
          </w:tcPr>
          <w:p w14:paraId="38D693D9">
            <w:pPr>
              <w:pStyle w:val="20"/>
              <w:spacing w:before="136" w:line="228" w:lineRule="auto"/>
              <w:jc w:val="center"/>
              <w:rPr>
                <w:color w:val="auto"/>
                <w:highlight w:val="none"/>
              </w:rPr>
            </w:pPr>
            <w:r>
              <w:rPr>
                <w:color w:val="auto"/>
                <w:spacing w:val="7"/>
                <w:highlight w:val="none"/>
              </w:rPr>
              <w:t>**专业监理工程师</w:t>
            </w:r>
          </w:p>
        </w:tc>
        <w:tc>
          <w:tcPr>
            <w:tcW w:w="1146" w:type="dxa"/>
            <w:vAlign w:val="top"/>
          </w:tcPr>
          <w:p w14:paraId="151D16EF">
            <w:pPr>
              <w:rPr>
                <w:rFonts w:ascii="Arial"/>
                <w:color w:val="auto"/>
                <w:sz w:val="21"/>
                <w:highlight w:val="none"/>
              </w:rPr>
            </w:pPr>
          </w:p>
        </w:tc>
        <w:tc>
          <w:tcPr>
            <w:tcW w:w="1146" w:type="dxa"/>
            <w:vAlign w:val="top"/>
          </w:tcPr>
          <w:p w14:paraId="3F48AADC">
            <w:pPr>
              <w:rPr>
                <w:rFonts w:ascii="Arial"/>
                <w:color w:val="auto"/>
                <w:sz w:val="21"/>
                <w:highlight w:val="none"/>
              </w:rPr>
            </w:pPr>
          </w:p>
        </w:tc>
        <w:tc>
          <w:tcPr>
            <w:tcW w:w="1151" w:type="dxa"/>
            <w:vAlign w:val="top"/>
          </w:tcPr>
          <w:p w14:paraId="41CD4105">
            <w:pPr>
              <w:rPr>
                <w:rFonts w:ascii="Arial"/>
                <w:color w:val="auto"/>
                <w:sz w:val="21"/>
                <w:highlight w:val="none"/>
              </w:rPr>
            </w:pPr>
          </w:p>
        </w:tc>
        <w:tc>
          <w:tcPr>
            <w:tcW w:w="1147" w:type="dxa"/>
            <w:vAlign w:val="top"/>
          </w:tcPr>
          <w:p w14:paraId="25C40322">
            <w:pPr>
              <w:rPr>
                <w:rFonts w:ascii="Arial"/>
                <w:color w:val="auto"/>
                <w:sz w:val="21"/>
                <w:highlight w:val="none"/>
              </w:rPr>
            </w:pPr>
          </w:p>
        </w:tc>
        <w:tc>
          <w:tcPr>
            <w:tcW w:w="1146" w:type="dxa"/>
            <w:vAlign w:val="top"/>
          </w:tcPr>
          <w:p w14:paraId="78881826">
            <w:pPr>
              <w:rPr>
                <w:rFonts w:ascii="Arial"/>
                <w:color w:val="auto"/>
                <w:sz w:val="21"/>
                <w:highlight w:val="none"/>
              </w:rPr>
            </w:pPr>
          </w:p>
        </w:tc>
        <w:tc>
          <w:tcPr>
            <w:tcW w:w="1156" w:type="dxa"/>
            <w:vAlign w:val="top"/>
          </w:tcPr>
          <w:p w14:paraId="49CB6760">
            <w:pPr>
              <w:rPr>
                <w:rFonts w:ascii="Arial"/>
                <w:color w:val="auto"/>
                <w:sz w:val="21"/>
                <w:highlight w:val="none"/>
              </w:rPr>
            </w:pPr>
          </w:p>
        </w:tc>
      </w:tr>
      <w:tr w14:paraId="7CBFE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66C3619F">
            <w:pPr>
              <w:pStyle w:val="20"/>
              <w:spacing w:before="138" w:line="268" w:lineRule="exact"/>
              <w:jc w:val="center"/>
              <w:rPr>
                <w:color w:val="auto"/>
                <w:highlight w:val="none"/>
              </w:rPr>
            </w:pPr>
            <w:r>
              <w:rPr>
                <w:color w:val="auto"/>
                <w:position w:val="1"/>
                <w:highlight w:val="none"/>
              </w:rPr>
              <w:t>9</w:t>
            </w:r>
          </w:p>
        </w:tc>
        <w:tc>
          <w:tcPr>
            <w:tcW w:w="2018" w:type="dxa"/>
            <w:vAlign w:val="center"/>
          </w:tcPr>
          <w:p w14:paraId="2241536E">
            <w:pPr>
              <w:pStyle w:val="20"/>
              <w:spacing w:before="137" w:line="228" w:lineRule="auto"/>
              <w:jc w:val="center"/>
              <w:rPr>
                <w:color w:val="auto"/>
                <w:highlight w:val="none"/>
              </w:rPr>
            </w:pPr>
            <w:r>
              <w:rPr>
                <w:color w:val="auto"/>
                <w:spacing w:val="7"/>
                <w:highlight w:val="none"/>
              </w:rPr>
              <w:t>**专业监理工程师</w:t>
            </w:r>
          </w:p>
        </w:tc>
        <w:tc>
          <w:tcPr>
            <w:tcW w:w="1146" w:type="dxa"/>
            <w:vAlign w:val="top"/>
          </w:tcPr>
          <w:p w14:paraId="4F794F76">
            <w:pPr>
              <w:rPr>
                <w:rFonts w:ascii="Arial"/>
                <w:color w:val="auto"/>
                <w:sz w:val="21"/>
                <w:highlight w:val="none"/>
              </w:rPr>
            </w:pPr>
          </w:p>
        </w:tc>
        <w:tc>
          <w:tcPr>
            <w:tcW w:w="1146" w:type="dxa"/>
            <w:vAlign w:val="top"/>
          </w:tcPr>
          <w:p w14:paraId="16DF7D89">
            <w:pPr>
              <w:rPr>
                <w:rFonts w:ascii="Arial"/>
                <w:color w:val="auto"/>
                <w:sz w:val="21"/>
                <w:highlight w:val="none"/>
              </w:rPr>
            </w:pPr>
          </w:p>
        </w:tc>
        <w:tc>
          <w:tcPr>
            <w:tcW w:w="1151" w:type="dxa"/>
            <w:vAlign w:val="top"/>
          </w:tcPr>
          <w:p w14:paraId="41B337BF">
            <w:pPr>
              <w:rPr>
                <w:rFonts w:ascii="Arial"/>
                <w:color w:val="auto"/>
                <w:sz w:val="21"/>
                <w:highlight w:val="none"/>
              </w:rPr>
            </w:pPr>
          </w:p>
        </w:tc>
        <w:tc>
          <w:tcPr>
            <w:tcW w:w="1147" w:type="dxa"/>
            <w:vAlign w:val="top"/>
          </w:tcPr>
          <w:p w14:paraId="5089B2CD">
            <w:pPr>
              <w:rPr>
                <w:rFonts w:ascii="Arial"/>
                <w:color w:val="auto"/>
                <w:sz w:val="21"/>
                <w:highlight w:val="none"/>
              </w:rPr>
            </w:pPr>
          </w:p>
        </w:tc>
        <w:tc>
          <w:tcPr>
            <w:tcW w:w="1146" w:type="dxa"/>
            <w:vAlign w:val="top"/>
          </w:tcPr>
          <w:p w14:paraId="081F7514">
            <w:pPr>
              <w:rPr>
                <w:rFonts w:ascii="Arial"/>
                <w:color w:val="auto"/>
                <w:sz w:val="21"/>
                <w:highlight w:val="none"/>
              </w:rPr>
            </w:pPr>
          </w:p>
        </w:tc>
        <w:tc>
          <w:tcPr>
            <w:tcW w:w="1156" w:type="dxa"/>
            <w:vAlign w:val="top"/>
          </w:tcPr>
          <w:p w14:paraId="497B721E">
            <w:pPr>
              <w:rPr>
                <w:rFonts w:ascii="Arial"/>
                <w:color w:val="auto"/>
                <w:sz w:val="21"/>
                <w:highlight w:val="none"/>
              </w:rPr>
            </w:pPr>
          </w:p>
        </w:tc>
      </w:tr>
      <w:tr w14:paraId="6AD31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2E6AF4F0">
            <w:pPr>
              <w:pStyle w:val="20"/>
              <w:spacing w:before="138" w:line="268" w:lineRule="exact"/>
              <w:jc w:val="center"/>
              <w:rPr>
                <w:color w:val="auto"/>
                <w:highlight w:val="none"/>
              </w:rPr>
            </w:pPr>
            <w:r>
              <w:rPr>
                <w:color w:val="auto"/>
                <w:spacing w:val="-7"/>
                <w:position w:val="1"/>
                <w:highlight w:val="none"/>
              </w:rPr>
              <w:t>10</w:t>
            </w:r>
          </w:p>
        </w:tc>
        <w:tc>
          <w:tcPr>
            <w:tcW w:w="2018" w:type="dxa"/>
            <w:vAlign w:val="center"/>
          </w:tcPr>
          <w:p w14:paraId="739D774C">
            <w:pPr>
              <w:pStyle w:val="20"/>
              <w:spacing w:before="138" w:line="324" w:lineRule="exact"/>
              <w:jc w:val="center"/>
              <w:rPr>
                <w:color w:val="auto"/>
                <w:highlight w:val="none"/>
              </w:rPr>
            </w:pPr>
            <w:r>
              <w:rPr>
                <w:color w:val="auto"/>
                <w:spacing w:val="-2"/>
                <w:position w:val="2"/>
                <w:highlight w:val="none"/>
              </w:rPr>
              <w:t>……</w:t>
            </w:r>
          </w:p>
        </w:tc>
        <w:tc>
          <w:tcPr>
            <w:tcW w:w="1146" w:type="dxa"/>
            <w:vAlign w:val="top"/>
          </w:tcPr>
          <w:p w14:paraId="79E8A5B9">
            <w:pPr>
              <w:rPr>
                <w:rFonts w:ascii="Arial"/>
                <w:color w:val="auto"/>
                <w:sz w:val="21"/>
                <w:highlight w:val="none"/>
              </w:rPr>
            </w:pPr>
          </w:p>
        </w:tc>
        <w:tc>
          <w:tcPr>
            <w:tcW w:w="1146" w:type="dxa"/>
            <w:vAlign w:val="top"/>
          </w:tcPr>
          <w:p w14:paraId="10C275A8">
            <w:pPr>
              <w:rPr>
                <w:rFonts w:ascii="Arial"/>
                <w:color w:val="auto"/>
                <w:sz w:val="21"/>
                <w:highlight w:val="none"/>
              </w:rPr>
            </w:pPr>
          </w:p>
        </w:tc>
        <w:tc>
          <w:tcPr>
            <w:tcW w:w="1151" w:type="dxa"/>
            <w:vAlign w:val="top"/>
          </w:tcPr>
          <w:p w14:paraId="71C7D80C">
            <w:pPr>
              <w:rPr>
                <w:rFonts w:ascii="Arial"/>
                <w:color w:val="auto"/>
                <w:sz w:val="21"/>
                <w:highlight w:val="none"/>
              </w:rPr>
            </w:pPr>
          </w:p>
        </w:tc>
        <w:tc>
          <w:tcPr>
            <w:tcW w:w="1147" w:type="dxa"/>
            <w:vAlign w:val="top"/>
          </w:tcPr>
          <w:p w14:paraId="71738450">
            <w:pPr>
              <w:rPr>
                <w:rFonts w:ascii="Arial"/>
                <w:color w:val="auto"/>
                <w:sz w:val="21"/>
                <w:highlight w:val="none"/>
              </w:rPr>
            </w:pPr>
          </w:p>
        </w:tc>
        <w:tc>
          <w:tcPr>
            <w:tcW w:w="1146" w:type="dxa"/>
            <w:vAlign w:val="top"/>
          </w:tcPr>
          <w:p w14:paraId="4C20DB58">
            <w:pPr>
              <w:rPr>
                <w:rFonts w:ascii="Arial"/>
                <w:color w:val="auto"/>
                <w:sz w:val="21"/>
                <w:highlight w:val="none"/>
              </w:rPr>
            </w:pPr>
          </w:p>
        </w:tc>
        <w:tc>
          <w:tcPr>
            <w:tcW w:w="1156" w:type="dxa"/>
            <w:vAlign w:val="top"/>
          </w:tcPr>
          <w:p w14:paraId="72C3F123">
            <w:pPr>
              <w:rPr>
                <w:rFonts w:ascii="Arial"/>
                <w:color w:val="auto"/>
                <w:sz w:val="21"/>
                <w:highlight w:val="none"/>
              </w:rPr>
            </w:pPr>
          </w:p>
        </w:tc>
      </w:tr>
      <w:tr w14:paraId="67FBA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2ED1B275">
            <w:pPr>
              <w:pStyle w:val="20"/>
              <w:spacing w:before="138" w:line="270" w:lineRule="exact"/>
              <w:jc w:val="center"/>
              <w:rPr>
                <w:color w:val="auto"/>
                <w:highlight w:val="none"/>
              </w:rPr>
            </w:pPr>
            <w:r>
              <w:rPr>
                <w:color w:val="auto"/>
                <w:spacing w:val="-7"/>
                <w:position w:val="1"/>
                <w:highlight w:val="none"/>
              </w:rPr>
              <w:t>11</w:t>
            </w:r>
          </w:p>
        </w:tc>
        <w:tc>
          <w:tcPr>
            <w:tcW w:w="2018" w:type="dxa"/>
            <w:vAlign w:val="center"/>
          </w:tcPr>
          <w:p w14:paraId="36371364">
            <w:pPr>
              <w:pStyle w:val="20"/>
              <w:spacing w:before="138" w:line="324" w:lineRule="exact"/>
              <w:jc w:val="center"/>
              <w:rPr>
                <w:color w:val="auto"/>
                <w:highlight w:val="none"/>
              </w:rPr>
            </w:pPr>
            <w:r>
              <w:rPr>
                <w:color w:val="auto"/>
                <w:spacing w:val="-2"/>
                <w:position w:val="2"/>
                <w:highlight w:val="none"/>
              </w:rPr>
              <w:t>……</w:t>
            </w:r>
          </w:p>
        </w:tc>
        <w:tc>
          <w:tcPr>
            <w:tcW w:w="1146" w:type="dxa"/>
            <w:vAlign w:val="top"/>
          </w:tcPr>
          <w:p w14:paraId="4ADDD962">
            <w:pPr>
              <w:rPr>
                <w:rFonts w:ascii="Arial"/>
                <w:color w:val="auto"/>
                <w:sz w:val="21"/>
                <w:highlight w:val="none"/>
              </w:rPr>
            </w:pPr>
          </w:p>
        </w:tc>
        <w:tc>
          <w:tcPr>
            <w:tcW w:w="1146" w:type="dxa"/>
            <w:vAlign w:val="top"/>
          </w:tcPr>
          <w:p w14:paraId="7B4F91C9">
            <w:pPr>
              <w:rPr>
                <w:rFonts w:ascii="Arial"/>
                <w:color w:val="auto"/>
                <w:sz w:val="21"/>
                <w:highlight w:val="none"/>
              </w:rPr>
            </w:pPr>
          </w:p>
        </w:tc>
        <w:tc>
          <w:tcPr>
            <w:tcW w:w="1151" w:type="dxa"/>
            <w:vAlign w:val="top"/>
          </w:tcPr>
          <w:p w14:paraId="24730313">
            <w:pPr>
              <w:rPr>
                <w:rFonts w:ascii="Arial"/>
                <w:color w:val="auto"/>
                <w:sz w:val="21"/>
                <w:highlight w:val="none"/>
              </w:rPr>
            </w:pPr>
          </w:p>
        </w:tc>
        <w:tc>
          <w:tcPr>
            <w:tcW w:w="1147" w:type="dxa"/>
            <w:vAlign w:val="top"/>
          </w:tcPr>
          <w:p w14:paraId="3F874E7E">
            <w:pPr>
              <w:rPr>
                <w:rFonts w:ascii="Arial"/>
                <w:color w:val="auto"/>
                <w:sz w:val="21"/>
                <w:highlight w:val="none"/>
              </w:rPr>
            </w:pPr>
          </w:p>
        </w:tc>
        <w:tc>
          <w:tcPr>
            <w:tcW w:w="1146" w:type="dxa"/>
            <w:vAlign w:val="top"/>
          </w:tcPr>
          <w:p w14:paraId="6B061513">
            <w:pPr>
              <w:rPr>
                <w:rFonts w:ascii="Arial"/>
                <w:color w:val="auto"/>
                <w:sz w:val="21"/>
                <w:highlight w:val="none"/>
              </w:rPr>
            </w:pPr>
          </w:p>
        </w:tc>
        <w:tc>
          <w:tcPr>
            <w:tcW w:w="1156" w:type="dxa"/>
            <w:vAlign w:val="top"/>
          </w:tcPr>
          <w:p w14:paraId="602676D7">
            <w:pPr>
              <w:rPr>
                <w:rFonts w:ascii="Arial"/>
                <w:color w:val="auto"/>
                <w:sz w:val="21"/>
                <w:highlight w:val="none"/>
              </w:rPr>
            </w:pPr>
          </w:p>
        </w:tc>
      </w:tr>
      <w:tr w14:paraId="2801C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28" w:type="dxa"/>
            <w:vAlign w:val="center"/>
          </w:tcPr>
          <w:p w14:paraId="23435A47">
            <w:pPr>
              <w:pStyle w:val="20"/>
              <w:spacing w:before="138" w:line="270" w:lineRule="exact"/>
              <w:jc w:val="center"/>
              <w:rPr>
                <w:color w:val="auto"/>
                <w:highlight w:val="none"/>
              </w:rPr>
            </w:pPr>
            <w:r>
              <w:rPr>
                <w:color w:val="auto"/>
                <w:spacing w:val="-7"/>
                <w:position w:val="1"/>
                <w:highlight w:val="none"/>
              </w:rPr>
              <w:t>12</w:t>
            </w:r>
          </w:p>
        </w:tc>
        <w:tc>
          <w:tcPr>
            <w:tcW w:w="2018" w:type="dxa"/>
            <w:vAlign w:val="center"/>
          </w:tcPr>
          <w:p w14:paraId="5CFAF8A1">
            <w:pPr>
              <w:pStyle w:val="20"/>
              <w:spacing w:before="138" w:line="324" w:lineRule="exact"/>
              <w:jc w:val="center"/>
              <w:rPr>
                <w:color w:val="auto"/>
                <w:highlight w:val="none"/>
              </w:rPr>
            </w:pPr>
            <w:r>
              <w:rPr>
                <w:color w:val="auto"/>
                <w:spacing w:val="-2"/>
                <w:position w:val="2"/>
                <w:highlight w:val="none"/>
              </w:rPr>
              <w:t>……</w:t>
            </w:r>
          </w:p>
        </w:tc>
        <w:tc>
          <w:tcPr>
            <w:tcW w:w="1146" w:type="dxa"/>
            <w:vAlign w:val="top"/>
          </w:tcPr>
          <w:p w14:paraId="767F3FB1">
            <w:pPr>
              <w:rPr>
                <w:rFonts w:ascii="Arial"/>
                <w:color w:val="auto"/>
                <w:sz w:val="21"/>
                <w:highlight w:val="none"/>
              </w:rPr>
            </w:pPr>
          </w:p>
        </w:tc>
        <w:tc>
          <w:tcPr>
            <w:tcW w:w="1146" w:type="dxa"/>
            <w:vAlign w:val="top"/>
          </w:tcPr>
          <w:p w14:paraId="35053FD3">
            <w:pPr>
              <w:rPr>
                <w:rFonts w:ascii="Arial"/>
                <w:color w:val="auto"/>
                <w:sz w:val="21"/>
                <w:highlight w:val="none"/>
              </w:rPr>
            </w:pPr>
          </w:p>
        </w:tc>
        <w:tc>
          <w:tcPr>
            <w:tcW w:w="1151" w:type="dxa"/>
            <w:vAlign w:val="top"/>
          </w:tcPr>
          <w:p w14:paraId="6FF0D288">
            <w:pPr>
              <w:rPr>
                <w:rFonts w:ascii="Arial"/>
                <w:color w:val="auto"/>
                <w:sz w:val="21"/>
                <w:highlight w:val="none"/>
              </w:rPr>
            </w:pPr>
          </w:p>
        </w:tc>
        <w:tc>
          <w:tcPr>
            <w:tcW w:w="1147" w:type="dxa"/>
            <w:vAlign w:val="top"/>
          </w:tcPr>
          <w:p w14:paraId="3529A1FB">
            <w:pPr>
              <w:rPr>
                <w:rFonts w:ascii="Arial"/>
                <w:color w:val="auto"/>
                <w:sz w:val="21"/>
                <w:highlight w:val="none"/>
              </w:rPr>
            </w:pPr>
          </w:p>
        </w:tc>
        <w:tc>
          <w:tcPr>
            <w:tcW w:w="1146" w:type="dxa"/>
            <w:vAlign w:val="top"/>
          </w:tcPr>
          <w:p w14:paraId="0996FFDB">
            <w:pPr>
              <w:rPr>
                <w:rFonts w:ascii="Arial"/>
                <w:color w:val="auto"/>
                <w:sz w:val="21"/>
                <w:highlight w:val="none"/>
              </w:rPr>
            </w:pPr>
          </w:p>
        </w:tc>
        <w:tc>
          <w:tcPr>
            <w:tcW w:w="1156" w:type="dxa"/>
            <w:vAlign w:val="top"/>
          </w:tcPr>
          <w:p w14:paraId="7CCA563A">
            <w:pPr>
              <w:rPr>
                <w:rFonts w:ascii="Arial"/>
                <w:color w:val="auto"/>
                <w:sz w:val="21"/>
                <w:highlight w:val="none"/>
              </w:rPr>
            </w:pPr>
          </w:p>
        </w:tc>
      </w:tr>
      <w:tr w14:paraId="54D89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2446" w:type="dxa"/>
            <w:gridSpan w:val="2"/>
            <w:vAlign w:val="top"/>
          </w:tcPr>
          <w:p w14:paraId="49F91FC7">
            <w:pPr>
              <w:pStyle w:val="20"/>
              <w:spacing w:before="138" w:line="228" w:lineRule="auto"/>
              <w:ind w:left="1344"/>
              <w:rPr>
                <w:color w:val="auto"/>
                <w:highlight w:val="none"/>
              </w:rPr>
            </w:pPr>
            <w:r>
              <w:rPr>
                <w:color w:val="auto"/>
                <w:spacing w:val="5"/>
                <w:highlight w:val="none"/>
              </w:rPr>
              <w:t>合计（元）</w:t>
            </w:r>
          </w:p>
        </w:tc>
        <w:tc>
          <w:tcPr>
            <w:tcW w:w="1146" w:type="dxa"/>
            <w:vAlign w:val="top"/>
          </w:tcPr>
          <w:p w14:paraId="7E60C304">
            <w:pPr>
              <w:rPr>
                <w:rFonts w:ascii="Arial"/>
                <w:color w:val="auto"/>
                <w:sz w:val="21"/>
                <w:highlight w:val="none"/>
              </w:rPr>
            </w:pPr>
          </w:p>
        </w:tc>
        <w:tc>
          <w:tcPr>
            <w:tcW w:w="1146" w:type="dxa"/>
            <w:vAlign w:val="top"/>
          </w:tcPr>
          <w:p w14:paraId="3C7CF31F">
            <w:pPr>
              <w:rPr>
                <w:rFonts w:ascii="Arial"/>
                <w:color w:val="auto"/>
                <w:sz w:val="21"/>
                <w:highlight w:val="none"/>
              </w:rPr>
            </w:pPr>
          </w:p>
        </w:tc>
        <w:tc>
          <w:tcPr>
            <w:tcW w:w="1151" w:type="dxa"/>
            <w:vAlign w:val="top"/>
          </w:tcPr>
          <w:p w14:paraId="64A9D2BD">
            <w:pPr>
              <w:rPr>
                <w:rFonts w:ascii="Arial"/>
                <w:color w:val="auto"/>
                <w:sz w:val="21"/>
                <w:highlight w:val="none"/>
              </w:rPr>
            </w:pPr>
          </w:p>
        </w:tc>
        <w:tc>
          <w:tcPr>
            <w:tcW w:w="1147" w:type="dxa"/>
            <w:vAlign w:val="top"/>
          </w:tcPr>
          <w:p w14:paraId="2D7C78A5">
            <w:pPr>
              <w:rPr>
                <w:rFonts w:ascii="Arial"/>
                <w:color w:val="auto"/>
                <w:sz w:val="21"/>
                <w:highlight w:val="none"/>
              </w:rPr>
            </w:pPr>
          </w:p>
        </w:tc>
        <w:tc>
          <w:tcPr>
            <w:tcW w:w="1146" w:type="dxa"/>
            <w:vAlign w:val="top"/>
          </w:tcPr>
          <w:p w14:paraId="52B6F113">
            <w:pPr>
              <w:rPr>
                <w:rFonts w:ascii="Arial"/>
                <w:color w:val="auto"/>
                <w:sz w:val="21"/>
                <w:highlight w:val="none"/>
              </w:rPr>
            </w:pPr>
          </w:p>
        </w:tc>
        <w:tc>
          <w:tcPr>
            <w:tcW w:w="1156" w:type="dxa"/>
            <w:vAlign w:val="top"/>
          </w:tcPr>
          <w:p w14:paraId="0F0B4D1E">
            <w:pPr>
              <w:rPr>
                <w:rFonts w:ascii="Arial"/>
                <w:color w:val="auto"/>
                <w:sz w:val="21"/>
                <w:highlight w:val="none"/>
              </w:rPr>
            </w:pPr>
          </w:p>
        </w:tc>
      </w:tr>
    </w:tbl>
    <w:p w14:paraId="34922A0A">
      <w:pPr>
        <w:rPr>
          <w:rFonts w:ascii="Arial"/>
          <w:color w:val="auto"/>
          <w:sz w:val="21"/>
          <w:highlight w:val="none"/>
        </w:rPr>
      </w:pPr>
    </w:p>
    <w:p w14:paraId="012BD1D6">
      <w:pPr>
        <w:rPr>
          <w:rFonts w:ascii="Arial" w:hAnsi="Arial" w:eastAsia="Arial" w:cs="Arial"/>
          <w:color w:val="auto"/>
          <w:sz w:val="21"/>
          <w:szCs w:val="21"/>
          <w:highlight w:val="none"/>
        </w:rPr>
        <w:sectPr>
          <w:footerReference r:id="rId56" w:type="default"/>
          <w:pgSz w:w="11905" w:h="16838"/>
          <w:pgMar w:top="1134" w:right="1134" w:bottom="1134" w:left="1134" w:header="0" w:footer="1066" w:gutter="0"/>
          <w:pgNumType w:fmt="decimal"/>
          <w:cols w:space="0" w:num="1"/>
          <w:rtlGutter w:val="0"/>
          <w:docGrid w:linePitch="0" w:charSpace="0"/>
        </w:sectPr>
      </w:pPr>
    </w:p>
    <w:p w14:paraId="43CBD0A3">
      <w:pPr>
        <w:spacing w:line="241" w:lineRule="auto"/>
        <w:rPr>
          <w:rFonts w:ascii="Arial"/>
          <w:color w:val="auto"/>
          <w:sz w:val="21"/>
          <w:highlight w:val="none"/>
        </w:rPr>
      </w:pPr>
    </w:p>
    <w:p w14:paraId="3ACE000C">
      <w:pPr>
        <w:pStyle w:val="4"/>
        <w:bidi w:val="0"/>
        <w:jc w:val="center"/>
        <w:rPr>
          <w:color w:val="auto"/>
          <w:highlight w:val="none"/>
        </w:rPr>
      </w:pPr>
      <w:r>
        <w:rPr>
          <w:color w:val="auto"/>
          <w:highlight w:val="none"/>
        </w:rPr>
        <w:t>表 3  监理工程师办公设施费报价表</w:t>
      </w:r>
    </w:p>
    <w:tbl>
      <w:tblPr>
        <w:tblStyle w:val="19"/>
        <w:tblW w:w="991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2"/>
        <w:gridCol w:w="741"/>
        <w:gridCol w:w="525"/>
        <w:gridCol w:w="800"/>
        <w:gridCol w:w="673"/>
        <w:gridCol w:w="705"/>
        <w:gridCol w:w="1247"/>
        <w:gridCol w:w="865"/>
        <w:gridCol w:w="661"/>
        <w:gridCol w:w="772"/>
        <w:gridCol w:w="725"/>
        <w:gridCol w:w="725"/>
        <w:gridCol w:w="1037"/>
      </w:tblGrid>
      <w:tr w14:paraId="1FAA7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442" w:type="dxa"/>
            <w:vMerge w:val="restart"/>
            <w:tcBorders>
              <w:top w:val="single" w:color="000000" w:sz="6" w:space="0"/>
              <w:left w:val="single" w:color="000000" w:sz="6" w:space="0"/>
              <w:bottom w:val="nil"/>
            </w:tcBorders>
            <w:textDirection w:val="tbRlV"/>
            <w:vAlign w:val="center"/>
          </w:tcPr>
          <w:p w14:paraId="5E32B33F">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highlight w:val="none"/>
              </w:rPr>
            </w:pPr>
            <w:r>
              <w:rPr>
                <w:color w:val="auto"/>
                <w:spacing w:val="8"/>
                <w:highlight w:val="none"/>
              </w:rPr>
              <w:t>序</w:t>
            </w:r>
            <w:r>
              <w:rPr>
                <w:color w:val="auto"/>
                <w:spacing w:val="92"/>
                <w:highlight w:val="none"/>
              </w:rPr>
              <w:t xml:space="preserve"> </w:t>
            </w:r>
            <w:r>
              <w:rPr>
                <w:color w:val="auto"/>
                <w:spacing w:val="8"/>
                <w:highlight w:val="none"/>
              </w:rPr>
              <w:t>号</w:t>
            </w:r>
          </w:p>
        </w:tc>
        <w:tc>
          <w:tcPr>
            <w:tcW w:w="4691" w:type="dxa"/>
            <w:gridSpan w:val="6"/>
            <w:tcBorders>
              <w:top w:val="single" w:color="000000" w:sz="6" w:space="0"/>
            </w:tcBorders>
            <w:vAlign w:val="center"/>
          </w:tcPr>
          <w:p w14:paraId="487EE248">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highlight w:val="none"/>
              </w:rPr>
            </w:pPr>
            <w:r>
              <w:rPr>
                <w:color w:val="auto"/>
                <w:spacing w:val="7"/>
                <w:highlight w:val="none"/>
              </w:rPr>
              <w:t>施工期</w:t>
            </w:r>
          </w:p>
        </w:tc>
        <w:tc>
          <w:tcPr>
            <w:tcW w:w="4785" w:type="dxa"/>
            <w:gridSpan w:val="6"/>
            <w:tcBorders>
              <w:top w:val="single" w:color="000000" w:sz="6" w:space="0"/>
              <w:right w:val="single" w:color="000000" w:sz="6" w:space="0"/>
            </w:tcBorders>
            <w:vAlign w:val="center"/>
          </w:tcPr>
          <w:p w14:paraId="02BDEC04">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highlight w:val="none"/>
              </w:rPr>
            </w:pPr>
            <w:r>
              <w:rPr>
                <w:color w:val="auto"/>
                <w:spacing w:val="8"/>
                <w:highlight w:val="none"/>
              </w:rPr>
              <w:t>缺陷责任期</w:t>
            </w:r>
          </w:p>
        </w:tc>
      </w:tr>
      <w:tr w14:paraId="0EFB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442" w:type="dxa"/>
            <w:vMerge w:val="continue"/>
            <w:tcBorders>
              <w:top w:val="nil"/>
              <w:left w:val="single" w:color="000000" w:sz="6" w:space="0"/>
            </w:tcBorders>
            <w:textDirection w:val="tbRlV"/>
            <w:vAlign w:val="center"/>
          </w:tcPr>
          <w:p w14:paraId="61D298B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highlight w:val="none"/>
              </w:rPr>
            </w:pPr>
          </w:p>
        </w:tc>
        <w:tc>
          <w:tcPr>
            <w:tcW w:w="741" w:type="dxa"/>
            <w:vAlign w:val="center"/>
          </w:tcPr>
          <w:p w14:paraId="6BDA4168">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名称及型</w:t>
            </w:r>
            <w:r>
              <w:rPr>
                <w:color w:val="auto"/>
                <w:highlight w:val="none"/>
              </w:rPr>
              <w:t>号</w:t>
            </w:r>
          </w:p>
        </w:tc>
        <w:tc>
          <w:tcPr>
            <w:tcW w:w="525" w:type="dxa"/>
            <w:vAlign w:val="center"/>
          </w:tcPr>
          <w:p w14:paraId="1863671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800" w:type="dxa"/>
            <w:vAlign w:val="center"/>
          </w:tcPr>
          <w:p w14:paraId="13CECD1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购置合价</w:t>
            </w:r>
            <w:r>
              <w:rPr>
                <w:color w:val="auto"/>
                <w:spacing w:val="-9"/>
                <w:highlight w:val="none"/>
              </w:rPr>
              <w:t>(元)</w:t>
            </w:r>
          </w:p>
        </w:tc>
        <w:tc>
          <w:tcPr>
            <w:tcW w:w="673" w:type="dxa"/>
            <w:vAlign w:val="center"/>
          </w:tcPr>
          <w:p w14:paraId="0D5FB7C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705" w:type="dxa"/>
            <w:vAlign w:val="center"/>
          </w:tcPr>
          <w:p w14:paraId="4AD8AECA">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9"/>
                <w:highlight w:val="none"/>
              </w:rPr>
              <w:t>(元)</w:t>
            </w:r>
          </w:p>
        </w:tc>
        <w:tc>
          <w:tcPr>
            <w:tcW w:w="1247" w:type="dxa"/>
            <w:vAlign w:val="center"/>
          </w:tcPr>
          <w:p w14:paraId="2B3323D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w:t>
            </w:r>
            <w:r>
              <w:rPr>
                <w:color w:val="auto"/>
                <w:spacing w:val="9"/>
                <w:highlight w:val="none"/>
              </w:rPr>
              <w:t xml:space="preserve">  </w:t>
            </w:r>
            <w:r>
              <w:rPr>
                <w:color w:val="auto"/>
                <w:spacing w:val="-2"/>
                <w:highlight w:val="none"/>
              </w:rPr>
              <w:t>计</w:t>
            </w:r>
          </w:p>
          <w:p w14:paraId="33A7EB0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折旧及使用费</w:t>
            </w:r>
          </w:p>
          <w:p w14:paraId="740B7A8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8"/>
                <w:highlight w:val="none"/>
              </w:rPr>
              <w:t>(元)</w:t>
            </w:r>
          </w:p>
        </w:tc>
        <w:tc>
          <w:tcPr>
            <w:tcW w:w="865" w:type="dxa"/>
            <w:vAlign w:val="center"/>
          </w:tcPr>
          <w:p w14:paraId="6AEE7935">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名称及型</w:t>
            </w:r>
            <w:r>
              <w:rPr>
                <w:color w:val="auto"/>
                <w:highlight w:val="none"/>
              </w:rPr>
              <w:t>号</w:t>
            </w:r>
          </w:p>
        </w:tc>
        <w:tc>
          <w:tcPr>
            <w:tcW w:w="661" w:type="dxa"/>
            <w:vAlign w:val="center"/>
          </w:tcPr>
          <w:p w14:paraId="5BB5131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772" w:type="dxa"/>
            <w:vAlign w:val="center"/>
          </w:tcPr>
          <w:p w14:paraId="4635EC8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购置合价</w:t>
            </w:r>
            <w:r>
              <w:rPr>
                <w:color w:val="auto"/>
                <w:spacing w:val="-9"/>
                <w:highlight w:val="none"/>
              </w:rPr>
              <w:t>(元)</w:t>
            </w:r>
          </w:p>
        </w:tc>
        <w:tc>
          <w:tcPr>
            <w:tcW w:w="725" w:type="dxa"/>
            <w:vAlign w:val="center"/>
          </w:tcPr>
          <w:p w14:paraId="575679B7">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6"/>
                <w:highlight w:val="none"/>
              </w:rPr>
            </w:pPr>
            <w:r>
              <w:rPr>
                <w:color w:val="auto"/>
                <w:spacing w:val="6"/>
                <w:highlight w:val="none"/>
              </w:rPr>
              <w:t>折旧费</w:t>
            </w:r>
          </w:p>
          <w:p w14:paraId="75886D32">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725" w:type="dxa"/>
            <w:vAlign w:val="center"/>
          </w:tcPr>
          <w:p w14:paraId="681A5BE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6"/>
                <w:highlight w:val="none"/>
              </w:rPr>
            </w:pPr>
            <w:r>
              <w:rPr>
                <w:color w:val="auto"/>
                <w:spacing w:val="6"/>
                <w:highlight w:val="none"/>
              </w:rPr>
              <w:t>使用费</w:t>
            </w:r>
          </w:p>
          <w:p w14:paraId="282D506C">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1037" w:type="dxa"/>
            <w:tcBorders>
              <w:right w:val="single" w:color="000000" w:sz="6" w:space="0"/>
            </w:tcBorders>
            <w:vAlign w:val="center"/>
          </w:tcPr>
          <w:p w14:paraId="7411102A">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w:t>
            </w:r>
            <w:r>
              <w:rPr>
                <w:color w:val="auto"/>
                <w:spacing w:val="9"/>
                <w:highlight w:val="none"/>
              </w:rPr>
              <w:t xml:space="preserve">  </w:t>
            </w:r>
            <w:r>
              <w:rPr>
                <w:color w:val="auto"/>
                <w:spacing w:val="-2"/>
                <w:highlight w:val="none"/>
              </w:rPr>
              <w:t>计</w:t>
            </w:r>
          </w:p>
          <w:p w14:paraId="3D40DEEE">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w:t>
            </w:r>
            <w:r>
              <w:rPr>
                <w:color w:val="auto"/>
                <w:spacing w:val="-10"/>
                <w:highlight w:val="none"/>
              </w:rPr>
              <w:t>费</w:t>
            </w:r>
            <w:r>
              <w:rPr>
                <w:color w:val="auto"/>
                <w:spacing w:val="-51"/>
                <w:highlight w:val="none"/>
              </w:rPr>
              <w:t xml:space="preserve"> </w:t>
            </w:r>
            <w:r>
              <w:rPr>
                <w:color w:val="auto"/>
                <w:spacing w:val="-10"/>
                <w:highlight w:val="none"/>
              </w:rPr>
              <w:t>(元)</w:t>
            </w:r>
          </w:p>
        </w:tc>
      </w:tr>
      <w:tr w14:paraId="594E4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4ED25DFE">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1</w:t>
            </w:r>
          </w:p>
        </w:tc>
        <w:tc>
          <w:tcPr>
            <w:tcW w:w="741" w:type="dxa"/>
            <w:vAlign w:val="top"/>
          </w:tcPr>
          <w:p w14:paraId="6CCB8B46">
            <w:pPr>
              <w:rPr>
                <w:rFonts w:ascii="Arial"/>
                <w:color w:val="auto"/>
                <w:sz w:val="21"/>
                <w:highlight w:val="none"/>
              </w:rPr>
            </w:pPr>
          </w:p>
        </w:tc>
        <w:tc>
          <w:tcPr>
            <w:tcW w:w="525" w:type="dxa"/>
            <w:vAlign w:val="top"/>
          </w:tcPr>
          <w:p w14:paraId="2189EC3E">
            <w:pPr>
              <w:rPr>
                <w:rFonts w:ascii="Arial"/>
                <w:color w:val="auto"/>
                <w:sz w:val="21"/>
                <w:highlight w:val="none"/>
              </w:rPr>
            </w:pPr>
          </w:p>
        </w:tc>
        <w:tc>
          <w:tcPr>
            <w:tcW w:w="800" w:type="dxa"/>
            <w:vAlign w:val="top"/>
          </w:tcPr>
          <w:p w14:paraId="06248680">
            <w:pPr>
              <w:rPr>
                <w:rFonts w:ascii="Arial"/>
                <w:color w:val="auto"/>
                <w:sz w:val="21"/>
                <w:highlight w:val="none"/>
              </w:rPr>
            </w:pPr>
          </w:p>
        </w:tc>
        <w:tc>
          <w:tcPr>
            <w:tcW w:w="673" w:type="dxa"/>
            <w:vAlign w:val="top"/>
          </w:tcPr>
          <w:p w14:paraId="56C76D1D">
            <w:pPr>
              <w:rPr>
                <w:rFonts w:ascii="Arial"/>
                <w:color w:val="auto"/>
                <w:sz w:val="21"/>
                <w:highlight w:val="none"/>
              </w:rPr>
            </w:pPr>
          </w:p>
        </w:tc>
        <w:tc>
          <w:tcPr>
            <w:tcW w:w="705" w:type="dxa"/>
            <w:vAlign w:val="top"/>
          </w:tcPr>
          <w:p w14:paraId="1A0787C7">
            <w:pPr>
              <w:rPr>
                <w:rFonts w:ascii="Arial"/>
                <w:color w:val="auto"/>
                <w:sz w:val="21"/>
                <w:highlight w:val="none"/>
              </w:rPr>
            </w:pPr>
          </w:p>
        </w:tc>
        <w:tc>
          <w:tcPr>
            <w:tcW w:w="1247" w:type="dxa"/>
            <w:vAlign w:val="top"/>
          </w:tcPr>
          <w:p w14:paraId="5185981E">
            <w:pPr>
              <w:rPr>
                <w:rFonts w:ascii="Arial"/>
                <w:color w:val="auto"/>
                <w:sz w:val="21"/>
                <w:highlight w:val="none"/>
              </w:rPr>
            </w:pPr>
          </w:p>
        </w:tc>
        <w:tc>
          <w:tcPr>
            <w:tcW w:w="865" w:type="dxa"/>
            <w:vAlign w:val="top"/>
          </w:tcPr>
          <w:p w14:paraId="7ABF84EA">
            <w:pPr>
              <w:rPr>
                <w:rFonts w:ascii="Arial"/>
                <w:color w:val="auto"/>
                <w:sz w:val="21"/>
                <w:highlight w:val="none"/>
              </w:rPr>
            </w:pPr>
          </w:p>
        </w:tc>
        <w:tc>
          <w:tcPr>
            <w:tcW w:w="661" w:type="dxa"/>
            <w:vAlign w:val="top"/>
          </w:tcPr>
          <w:p w14:paraId="57DD60F5">
            <w:pPr>
              <w:rPr>
                <w:rFonts w:ascii="Arial"/>
                <w:color w:val="auto"/>
                <w:sz w:val="21"/>
                <w:highlight w:val="none"/>
              </w:rPr>
            </w:pPr>
          </w:p>
        </w:tc>
        <w:tc>
          <w:tcPr>
            <w:tcW w:w="772" w:type="dxa"/>
            <w:vAlign w:val="top"/>
          </w:tcPr>
          <w:p w14:paraId="65FC2B5A">
            <w:pPr>
              <w:rPr>
                <w:rFonts w:ascii="Arial"/>
                <w:color w:val="auto"/>
                <w:sz w:val="21"/>
                <w:highlight w:val="none"/>
              </w:rPr>
            </w:pPr>
          </w:p>
        </w:tc>
        <w:tc>
          <w:tcPr>
            <w:tcW w:w="725" w:type="dxa"/>
            <w:vAlign w:val="top"/>
          </w:tcPr>
          <w:p w14:paraId="76B720D6">
            <w:pPr>
              <w:rPr>
                <w:rFonts w:ascii="Arial"/>
                <w:color w:val="auto"/>
                <w:sz w:val="21"/>
                <w:highlight w:val="none"/>
              </w:rPr>
            </w:pPr>
          </w:p>
        </w:tc>
        <w:tc>
          <w:tcPr>
            <w:tcW w:w="725" w:type="dxa"/>
            <w:vAlign w:val="top"/>
          </w:tcPr>
          <w:p w14:paraId="0F125F95">
            <w:pPr>
              <w:rPr>
                <w:rFonts w:ascii="Arial"/>
                <w:color w:val="auto"/>
                <w:sz w:val="21"/>
                <w:highlight w:val="none"/>
              </w:rPr>
            </w:pPr>
          </w:p>
        </w:tc>
        <w:tc>
          <w:tcPr>
            <w:tcW w:w="1037" w:type="dxa"/>
            <w:tcBorders>
              <w:right w:val="single" w:color="000000" w:sz="6" w:space="0"/>
            </w:tcBorders>
            <w:vAlign w:val="top"/>
          </w:tcPr>
          <w:p w14:paraId="174CBDE5">
            <w:pPr>
              <w:rPr>
                <w:rFonts w:ascii="Arial"/>
                <w:color w:val="auto"/>
                <w:sz w:val="21"/>
                <w:highlight w:val="none"/>
              </w:rPr>
            </w:pPr>
          </w:p>
        </w:tc>
      </w:tr>
      <w:tr w14:paraId="1A6A0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74735CB8">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2</w:t>
            </w:r>
          </w:p>
        </w:tc>
        <w:tc>
          <w:tcPr>
            <w:tcW w:w="741" w:type="dxa"/>
            <w:vAlign w:val="top"/>
          </w:tcPr>
          <w:p w14:paraId="6DC9A0B8">
            <w:pPr>
              <w:rPr>
                <w:rFonts w:ascii="Arial"/>
                <w:color w:val="auto"/>
                <w:sz w:val="21"/>
                <w:highlight w:val="none"/>
              </w:rPr>
            </w:pPr>
          </w:p>
        </w:tc>
        <w:tc>
          <w:tcPr>
            <w:tcW w:w="525" w:type="dxa"/>
            <w:vAlign w:val="top"/>
          </w:tcPr>
          <w:p w14:paraId="0E44BE01">
            <w:pPr>
              <w:rPr>
                <w:rFonts w:ascii="Arial"/>
                <w:color w:val="auto"/>
                <w:sz w:val="21"/>
                <w:highlight w:val="none"/>
              </w:rPr>
            </w:pPr>
          </w:p>
        </w:tc>
        <w:tc>
          <w:tcPr>
            <w:tcW w:w="800" w:type="dxa"/>
            <w:vAlign w:val="top"/>
          </w:tcPr>
          <w:p w14:paraId="43F3F6D9">
            <w:pPr>
              <w:rPr>
                <w:rFonts w:ascii="Arial"/>
                <w:color w:val="auto"/>
                <w:sz w:val="21"/>
                <w:highlight w:val="none"/>
              </w:rPr>
            </w:pPr>
          </w:p>
        </w:tc>
        <w:tc>
          <w:tcPr>
            <w:tcW w:w="673" w:type="dxa"/>
            <w:vAlign w:val="top"/>
          </w:tcPr>
          <w:p w14:paraId="6A261647">
            <w:pPr>
              <w:rPr>
                <w:rFonts w:ascii="Arial"/>
                <w:color w:val="auto"/>
                <w:sz w:val="21"/>
                <w:highlight w:val="none"/>
              </w:rPr>
            </w:pPr>
          </w:p>
        </w:tc>
        <w:tc>
          <w:tcPr>
            <w:tcW w:w="705" w:type="dxa"/>
            <w:vAlign w:val="top"/>
          </w:tcPr>
          <w:p w14:paraId="0D68A122">
            <w:pPr>
              <w:rPr>
                <w:rFonts w:ascii="Arial"/>
                <w:color w:val="auto"/>
                <w:sz w:val="21"/>
                <w:highlight w:val="none"/>
              </w:rPr>
            </w:pPr>
          </w:p>
        </w:tc>
        <w:tc>
          <w:tcPr>
            <w:tcW w:w="1247" w:type="dxa"/>
            <w:vAlign w:val="top"/>
          </w:tcPr>
          <w:p w14:paraId="35296860">
            <w:pPr>
              <w:rPr>
                <w:rFonts w:ascii="Arial"/>
                <w:color w:val="auto"/>
                <w:sz w:val="21"/>
                <w:highlight w:val="none"/>
              </w:rPr>
            </w:pPr>
          </w:p>
        </w:tc>
        <w:tc>
          <w:tcPr>
            <w:tcW w:w="865" w:type="dxa"/>
            <w:vAlign w:val="top"/>
          </w:tcPr>
          <w:p w14:paraId="615B8069">
            <w:pPr>
              <w:rPr>
                <w:rFonts w:ascii="Arial"/>
                <w:color w:val="auto"/>
                <w:sz w:val="21"/>
                <w:highlight w:val="none"/>
              </w:rPr>
            </w:pPr>
          </w:p>
        </w:tc>
        <w:tc>
          <w:tcPr>
            <w:tcW w:w="661" w:type="dxa"/>
            <w:vAlign w:val="top"/>
          </w:tcPr>
          <w:p w14:paraId="605FEF3C">
            <w:pPr>
              <w:rPr>
                <w:rFonts w:ascii="Arial"/>
                <w:color w:val="auto"/>
                <w:sz w:val="21"/>
                <w:highlight w:val="none"/>
              </w:rPr>
            </w:pPr>
          </w:p>
        </w:tc>
        <w:tc>
          <w:tcPr>
            <w:tcW w:w="772" w:type="dxa"/>
            <w:vAlign w:val="top"/>
          </w:tcPr>
          <w:p w14:paraId="69C5A5A9">
            <w:pPr>
              <w:rPr>
                <w:rFonts w:ascii="Arial"/>
                <w:color w:val="auto"/>
                <w:sz w:val="21"/>
                <w:highlight w:val="none"/>
              </w:rPr>
            </w:pPr>
          </w:p>
        </w:tc>
        <w:tc>
          <w:tcPr>
            <w:tcW w:w="725" w:type="dxa"/>
            <w:vAlign w:val="top"/>
          </w:tcPr>
          <w:p w14:paraId="7CE2288C">
            <w:pPr>
              <w:rPr>
                <w:rFonts w:ascii="Arial"/>
                <w:color w:val="auto"/>
                <w:sz w:val="21"/>
                <w:highlight w:val="none"/>
              </w:rPr>
            </w:pPr>
          </w:p>
        </w:tc>
        <w:tc>
          <w:tcPr>
            <w:tcW w:w="725" w:type="dxa"/>
            <w:vAlign w:val="top"/>
          </w:tcPr>
          <w:p w14:paraId="7DDDA00F">
            <w:pPr>
              <w:rPr>
                <w:rFonts w:ascii="Arial"/>
                <w:color w:val="auto"/>
                <w:sz w:val="21"/>
                <w:highlight w:val="none"/>
              </w:rPr>
            </w:pPr>
          </w:p>
        </w:tc>
        <w:tc>
          <w:tcPr>
            <w:tcW w:w="1037" w:type="dxa"/>
            <w:tcBorders>
              <w:right w:val="single" w:color="000000" w:sz="6" w:space="0"/>
            </w:tcBorders>
            <w:vAlign w:val="top"/>
          </w:tcPr>
          <w:p w14:paraId="203569DA">
            <w:pPr>
              <w:rPr>
                <w:rFonts w:ascii="Arial"/>
                <w:color w:val="auto"/>
                <w:sz w:val="21"/>
                <w:highlight w:val="none"/>
              </w:rPr>
            </w:pPr>
          </w:p>
        </w:tc>
      </w:tr>
      <w:tr w14:paraId="17334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48A3CBBA">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3</w:t>
            </w:r>
          </w:p>
        </w:tc>
        <w:tc>
          <w:tcPr>
            <w:tcW w:w="741" w:type="dxa"/>
            <w:vAlign w:val="top"/>
          </w:tcPr>
          <w:p w14:paraId="344F9F52">
            <w:pPr>
              <w:rPr>
                <w:rFonts w:ascii="Arial"/>
                <w:color w:val="auto"/>
                <w:sz w:val="21"/>
                <w:highlight w:val="none"/>
              </w:rPr>
            </w:pPr>
          </w:p>
        </w:tc>
        <w:tc>
          <w:tcPr>
            <w:tcW w:w="525" w:type="dxa"/>
            <w:vAlign w:val="top"/>
          </w:tcPr>
          <w:p w14:paraId="5449A2D4">
            <w:pPr>
              <w:rPr>
                <w:rFonts w:ascii="Arial"/>
                <w:color w:val="auto"/>
                <w:sz w:val="21"/>
                <w:highlight w:val="none"/>
              </w:rPr>
            </w:pPr>
          </w:p>
        </w:tc>
        <w:tc>
          <w:tcPr>
            <w:tcW w:w="800" w:type="dxa"/>
            <w:vAlign w:val="top"/>
          </w:tcPr>
          <w:p w14:paraId="1E7497DA">
            <w:pPr>
              <w:rPr>
                <w:rFonts w:ascii="Arial"/>
                <w:color w:val="auto"/>
                <w:sz w:val="21"/>
                <w:highlight w:val="none"/>
              </w:rPr>
            </w:pPr>
          </w:p>
        </w:tc>
        <w:tc>
          <w:tcPr>
            <w:tcW w:w="673" w:type="dxa"/>
            <w:vAlign w:val="top"/>
          </w:tcPr>
          <w:p w14:paraId="102B7E92">
            <w:pPr>
              <w:rPr>
                <w:rFonts w:ascii="Arial"/>
                <w:color w:val="auto"/>
                <w:sz w:val="21"/>
                <w:highlight w:val="none"/>
              </w:rPr>
            </w:pPr>
          </w:p>
        </w:tc>
        <w:tc>
          <w:tcPr>
            <w:tcW w:w="705" w:type="dxa"/>
            <w:vAlign w:val="top"/>
          </w:tcPr>
          <w:p w14:paraId="655C97F0">
            <w:pPr>
              <w:rPr>
                <w:rFonts w:ascii="Arial"/>
                <w:color w:val="auto"/>
                <w:sz w:val="21"/>
                <w:highlight w:val="none"/>
              </w:rPr>
            </w:pPr>
          </w:p>
        </w:tc>
        <w:tc>
          <w:tcPr>
            <w:tcW w:w="1247" w:type="dxa"/>
            <w:vAlign w:val="top"/>
          </w:tcPr>
          <w:p w14:paraId="507EABEE">
            <w:pPr>
              <w:rPr>
                <w:rFonts w:ascii="Arial"/>
                <w:color w:val="auto"/>
                <w:sz w:val="21"/>
                <w:highlight w:val="none"/>
              </w:rPr>
            </w:pPr>
          </w:p>
        </w:tc>
        <w:tc>
          <w:tcPr>
            <w:tcW w:w="865" w:type="dxa"/>
            <w:vAlign w:val="top"/>
          </w:tcPr>
          <w:p w14:paraId="0AF6D0E3">
            <w:pPr>
              <w:rPr>
                <w:rFonts w:ascii="Arial"/>
                <w:color w:val="auto"/>
                <w:sz w:val="21"/>
                <w:highlight w:val="none"/>
              </w:rPr>
            </w:pPr>
          </w:p>
        </w:tc>
        <w:tc>
          <w:tcPr>
            <w:tcW w:w="661" w:type="dxa"/>
            <w:vAlign w:val="top"/>
          </w:tcPr>
          <w:p w14:paraId="76833DCC">
            <w:pPr>
              <w:rPr>
                <w:rFonts w:ascii="Arial"/>
                <w:color w:val="auto"/>
                <w:sz w:val="21"/>
                <w:highlight w:val="none"/>
              </w:rPr>
            </w:pPr>
          </w:p>
        </w:tc>
        <w:tc>
          <w:tcPr>
            <w:tcW w:w="772" w:type="dxa"/>
            <w:vAlign w:val="top"/>
          </w:tcPr>
          <w:p w14:paraId="607E0583">
            <w:pPr>
              <w:rPr>
                <w:rFonts w:ascii="Arial"/>
                <w:color w:val="auto"/>
                <w:sz w:val="21"/>
                <w:highlight w:val="none"/>
              </w:rPr>
            </w:pPr>
          </w:p>
        </w:tc>
        <w:tc>
          <w:tcPr>
            <w:tcW w:w="725" w:type="dxa"/>
            <w:vAlign w:val="top"/>
          </w:tcPr>
          <w:p w14:paraId="755A80ED">
            <w:pPr>
              <w:rPr>
                <w:rFonts w:ascii="Arial"/>
                <w:color w:val="auto"/>
                <w:sz w:val="21"/>
                <w:highlight w:val="none"/>
              </w:rPr>
            </w:pPr>
          </w:p>
        </w:tc>
        <w:tc>
          <w:tcPr>
            <w:tcW w:w="725" w:type="dxa"/>
            <w:vAlign w:val="top"/>
          </w:tcPr>
          <w:p w14:paraId="33C25C0F">
            <w:pPr>
              <w:rPr>
                <w:rFonts w:ascii="Arial"/>
                <w:color w:val="auto"/>
                <w:sz w:val="21"/>
                <w:highlight w:val="none"/>
              </w:rPr>
            </w:pPr>
          </w:p>
        </w:tc>
        <w:tc>
          <w:tcPr>
            <w:tcW w:w="1037" w:type="dxa"/>
            <w:tcBorders>
              <w:right w:val="single" w:color="000000" w:sz="6" w:space="0"/>
            </w:tcBorders>
            <w:vAlign w:val="top"/>
          </w:tcPr>
          <w:p w14:paraId="30ED8C5D">
            <w:pPr>
              <w:rPr>
                <w:rFonts w:ascii="Arial"/>
                <w:color w:val="auto"/>
                <w:sz w:val="21"/>
                <w:highlight w:val="none"/>
              </w:rPr>
            </w:pPr>
          </w:p>
        </w:tc>
      </w:tr>
      <w:tr w14:paraId="026DA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7279BC9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4</w:t>
            </w:r>
          </w:p>
        </w:tc>
        <w:tc>
          <w:tcPr>
            <w:tcW w:w="741" w:type="dxa"/>
            <w:vAlign w:val="top"/>
          </w:tcPr>
          <w:p w14:paraId="40ACEC0F">
            <w:pPr>
              <w:rPr>
                <w:rFonts w:ascii="Arial"/>
                <w:color w:val="auto"/>
                <w:sz w:val="21"/>
                <w:highlight w:val="none"/>
              </w:rPr>
            </w:pPr>
          </w:p>
        </w:tc>
        <w:tc>
          <w:tcPr>
            <w:tcW w:w="525" w:type="dxa"/>
            <w:vAlign w:val="top"/>
          </w:tcPr>
          <w:p w14:paraId="58E5F503">
            <w:pPr>
              <w:rPr>
                <w:rFonts w:ascii="Arial"/>
                <w:color w:val="auto"/>
                <w:sz w:val="21"/>
                <w:highlight w:val="none"/>
              </w:rPr>
            </w:pPr>
          </w:p>
        </w:tc>
        <w:tc>
          <w:tcPr>
            <w:tcW w:w="800" w:type="dxa"/>
            <w:vAlign w:val="top"/>
          </w:tcPr>
          <w:p w14:paraId="050B3132">
            <w:pPr>
              <w:rPr>
                <w:rFonts w:ascii="Arial"/>
                <w:color w:val="auto"/>
                <w:sz w:val="21"/>
                <w:highlight w:val="none"/>
              </w:rPr>
            </w:pPr>
          </w:p>
        </w:tc>
        <w:tc>
          <w:tcPr>
            <w:tcW w:w="673" w:type="dxa"/>
            <w:vAlign w:val="top"/>
          </w:tcPr>
          <w:p w14:paraId="67E7983C">
            <w:pPr>
              <w:rPr>
                <w:rFonts w:ascii="Arial"/>
                <w:color w:val="auto"/>
                <w:sz w:val="21"/>
                <w:highlight w:val="none"/>
              </w:rPr>
            </w:pPr>
          </w:p>
        </w:tc>
        <w:tc>
          <w:tcPr>
            <w:tcW w:w="705" w:type="dxa"/>
            <w:vAlign w:val="top"/>
          </w:tcPr>
          <w:p w14:paraId="18E6B5C6">
            <w:pPr>
              <w:rPr>
                <w:rFonts w:ascii="Arial"/>
                <w:color w:val="auto"/>
                <w:sz w:val="21"/>
                <w:highlight w:val="none"/>
              </w:rPr>
            </w:pPr>
          </w:p>
        </w:tc>
        <w:tc>
          <w:tcPr>
            <w:tcW w:w="1247" w:type="dxa"/>
            <w:vAlign w:val="top"/>
          </w:tcPr>
          <w:p w14:paraId="7359859E">
            <w:pPr>
              <w:rPr>
                <w:rFonts w:ascii="Arial"/>
                <w:color w:val="auto"/>
                <w:sz w:val="21"/>
                <w:highlight w:val="none"/>
              </w:rPr>
            </w:pPr>
          </w:p>
        </w:tc>
        <w:tc>
          <w:tcPr>
            <w:tcW w:w="865" w:type="dxa"/>
            <w:vAlign w:val="top"/>
          </w:tcPr>
          <w:p w14:paraId="01919B1A">
            <w:pPr>
              <w:rPr>
                <w:rFonts w:ascii="Arial"/>
                <w:color w:val="auto"/>
                <w:sz w:val="21"/>
                <w:highlight w:val="none"/>
              </w:rPr>
            </w:pPr>
          </w:p>
        </w:tc>
        <w:tc>
          <w:tcPr>
            <w:tcW w:w="661" w:type="dxa"/>
            <w:vAlign w:val="top"/>
          </w:tcPr>
          <w:p w14:paraId="07B18E98">
            <w:pPr>
              <w:rPr>
                <w:rFonts w:ascii="Arial"/>
                <w:color w:val="auto"/>
                <w:sz w:val="21"/>
                <w:highlight w:val="none"/>
              </w:rPr>
            </w:pPr>
          </w:p>
        </w:tc>
        <w:tc>
          <w:tcPr>
            <w:tcW w:w="772" w:type="dxa"/>
            <w:vAlign w:val="top"/>
          </w:tcPr>
          <w:p w14:paraId="1F1CF07B">
            <w:pPr>
              <w:rPr>
                <w:rFonts w:ascii="Arial"/>
                <w:color w:val="auto"/>
                <w:sz w:val="21"/>
                <w:highlight w:val="none"/>
              </w:rPr>
            </w:pPr>
          </w:p>
        </w:tc>
        <w:tc>
          <w:tcPr>
            <w:tcW w:w="725" w:type="dxa"/>
            <w:vAlign w:val="top"/>
          </w:tcPr>
          <w:p w14:paraId="79FDB8C5">
            <w:pPr>
              <w:rPr>
                <w:rFonts w:ascii="Arial"/>
                <w:color w:val="auto"/>
                <w:sz w:val="21"/>
                <w:highlight w:val="none"/>
              </w:rPr>
            </w:pPr>
          </w:p>
        </w:tc>
        <w:tc>
          <w:tcPr>
            <w:tcW w:w="725" w:type="dxa"/>
            <w:vAlign w:val="top"/>
          </w:tcPr>
          <w:p w14:paraId="2C8DD89C">
            <w:pPr>
              <w:rPr>
                <w:rFonts w:ascii="Arial"/>
                <w:color w:val="auto"/>
                <w:sz w:val="21"/>
                <w:highlight w:val="none"/>
              </w:rPr>
            </w:pPr>
          </w:p>
        </w:tc>
        <w:tc>
          <w:tcPr>
            <w:tcW w:w="1037" w:type="dxa"/>
            <w:tcBorders>
              <w:right w:val="single" w:color="000000" w:sz="6" w:space="0"/>
            </w:tcBorders>
            <w:vAlign w:val="top"/>
          </w:tcPr>
          <w:p w14:paraId="7D6370E0">
            <w:pPr>
              <w:rPr>
                <w:rFonts w:ascii="Arial"/>
                <w:color w:val="auto"/>
                <w:sz w:val="21"/>
                <w:highlight w:val="none"/>
              </w:rPr>
            </w:pPr>
          </w:p>
        </w:tc>
      </w:tr>
      <w:tr w14:paraId="31232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6881A9F3">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5</w:t>
            </w:r>
          </w:p>
        </w:tc>
        <w:tc>
          <w:tcPr>
            <w:tcW w:w="741" w:type="dxa"/>
            <w:vAlign w:val="top"/>
          </w:tcPr>
          <w:p w14:paraId="284A1C0F">
            <w:pPr>
              <w:rPr>
                <w:rFonts w:ascii="Arial"/>
                <w:color w:val="auto"/>
                <w:sz w:val="21"/>
                <w:highlight w:val="none"/>
              </w:rPr>
            </w:pPr>
          </w:p>
        </w:tc>
        <w:tc>
          <w:tcPr>
            <w:tcW w:w="525" w:type="dxa"/>
            <w:vAlign w:val="top"/>
          </w:tcPr>
          <w:p w14:paraId="614B4B1F">
            <w:pPr>
              <w:rPr>
                <w:rFonts w:ascii="Arial"/>
                <w:color w:val="auto"/>
                <w:sz w:val="21"/>
                <w:highlight w:val="none"/>
              </w:rPr>
            </w:pPr>
          </w:p>
        </w:tc>
        <w:tc>
          <w:tcPr>
            <w:tcW w:w="800" w:type="dxa"/>
            <w:vAlign w:val="top"/>
          </w:tcPr>
          <w:p w14:paraId="54D76C54">
            <w:pPr>
              <w:rPr>
                <w:rFonts w:ascii="Arial"/>
                <w:color w:val="auto"/>
                <w:sz w:val="21"/>
                <w:highlight w:val="none"/>
              </w:rPr>
            </w:pPr>
          </w:p>
        </w:tc>
        <w:tc>
          <w:tcPr>
            <w:tcW w:w="673" w:type="dxa"/>
            <w:vAlign w:val="top"/>
          </w:tcPr>
          <w:p w14:paraId="108F726D">
            <w:pPr>
              <w:rPr>
                <w:rFonts w:ascii="Arial"/>
                <w:color w:val="auto"/>
                <w:sz w:val="21"/>
                <w:highlight w:val="none"/>
              </w:rPr>
            </w:pPr>
          </w:p>
        </w:tc>
        <w:tc>
          <w:tcPr>
            <w:tcW w:w="705" w:type="dxa"/>
            <w:vAlign w:val="top"/>
          </w:tcPr>
          <w:p w14:paraId="39BA43C8">
            <w:pPr>
              <w:rPr>
                <w:rFonts w:ascii="Arial"/>
                <w:color w:val="auto"/>
                <w:sz w:val="21"/>
                <w:highlight w:val="none"/>
              </w:rPr>
            </w:pPr>
          </w:p>
        </w:tc>
        <w:tc>
          <w:tcPr>
            <w:tcW w:w="1247" w:type="dxa"/>
            <w:vAlign w:val="top"/>
          </w:tcPr>
          <w:p w14:paraId="29D0D8A1">
            <w:pPr>
              <w:rPr>
                <w:rFonts w:ascii="Arial"/>
                <w:color w:val="auto"/>
                <w:sz w:val="21"/>
                <w:highlight w:val="none"/>
              </w:rPr>
            </w:pPr>
          </w:p>
        </w:tc>
        <w:tc>
          <w:tcPr>
            <w:tcW w:w="865" w:type="dxa"/>
            <w:vAlign w:val="top"/>
          </w:tcPr>
          <w:p w14:paraId="3536B6F3">
            <w:pPr>
              <w:rPr>
                <w:rFonts w:ascii="Arial"/>
                <w:color w:val="auto"/>
                <w:sz w:val="21"/>
                <w:highlight w:val="none"/>
              </w:rPr>
            </w:pPr>
          </w:p>
        </w:tc>
        <w:tc>
          <w:tcPr>
            <w:tcW w:w="661" w:type="dxa"/>
            <w:vAlign w:val="top"/>
          </w:tcPr>
          <w:p w14:paraId="79B8D901">
            <w:pPr>
              <w:rPr>
                <w:rFonts w:ascii="Arial"/>
                <w:color w:val="auto"/>
                <w:sz w:val="21"/>
                <w:highlight w:val="none"/>
              </w:rPr>
            </w:pPr>
          </w:p>
        </w:tc>
        <w:tc>
          <w:tcPr>
            <w:tcW w:w="772" w:type="dxa"/>
            <w:vAlign w:val="top"/>
          </w:tcPr>
          <w:p w14:paraId="08B5E6D8">
            <w:pPr>
              <w:rPr>
                <w:rFonts w:ascii="Arial"/>
                <w:color w:val="auto"/>
                <w:sz w:val="21"/>
                <w:highlight w:val="none"/>
              </w:rPr>
            </w:pPr>
          </w:p>
        </w:tc>
        <w:tc>
          <w:tcPr>
            <w:tcW w:w="725" w:type="dxa"/>
            <w:vAlign w:val="top"/>
          </w:tcPr>
          <w:p w14:paraId="47489879">
            <w:pPr>
              <w:rPr>
                <w:rFonts w:ascii="Arial"/>
                <w:color w:val="auto"/>
                <w:sz w:val="21"/>
                <w:highlight w:val="none"/>
              </w:rPr>
            </w:pPr>
          </w:p>
        </w:tc>
        <w:tc>
          <w:tcPr>
            <w:tcW w:w="725" w:type="dxa"/>
            <w:vAlign w:val="top"/>
          </w:tcPr>
          <w:p w14:paraId="2E331A1C">
            <w:pPr>
              <w:rPr>
                <w:rFonts w:ascii="Arial"/>
                <w:color w:val="auto"/>
                <w:sz w:val="21"/>
                <w:highlight w:val="none"/>
              </w:rPr>
            </w:pPr>
          </w:p>
        </w:tc>
        <w:tc>
          <w:tcPr>
            <w:tcW w:w="1037" w:type="dxa"/>
            <w:tcBorders>
              <w:right w:val="single" w:color="000000" w:sz="6" w:space="0"/>
            </w:tcBorders>
            <w:vAlign w:val="top"/>
          </w:tcPr>
          <w:p w14:paraId="5E0BBA61">
            <w:pPr>
              <w:rPr>
                <w:rFonts w:ascii="Arial"/>
                <w:color w:val="auto"/>
                <w:sz w:val="21"/>
                <w:highlight w:val="none"/>
              </w:rPr>
            </w:pPr>
          </w:p>
        </w:tc>
      </w:tr>
      <w:tr w14:paraId="7B1A6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442" w:type="dxa"/>
            <w:tcBorders>
              <w:left w:val="single" w:color="000000" w:sz="6" w:space="0"/>
            </w:tcBorders>
            <w:vAlign w:val="center"/>
          </w:tcPr>
          <w:p w14:paraId="17A7A34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6</w:t>
            </w:r>
          </w:p>
        </w:tc>
        <w:tc>
          <w:tcPr>
            <w:tcW w:w="741" w:type="dxa"/>
            <w:vAlign w:val="top"/>
          </w:tcPr>
          <w:p w14:paraId="29207B3F">
            <w:pPr>
              <w:rPr>
                <w:rFonts w:ascii="Arial"/>
                <w:color w:val="auto"/>
                <w:sz w:val="21"/>
                <w:highlight w:val="none"/>
              </w:rPr>
            </w:pPr>
          </w:p>
        </w:tc>
        <w:tc>
          <w:tcPr>
            <w:tcW w:w="525" w:type="dxa"/>
            <w:vAlign w:val="top"/>
          </w:tcPr>
          <w:p w14:paraId="0D4E48DB">
            <w:pPr>
              <w:rPr>
                <w:rFonts w:ascii="Arial"/>
                <w:color w:val="auto"/>
                <w:sz w:val="21"/>
                <w:highlight w:val="none"/>
              </w:rPr>
            </w:pPr>
          </w:p>
        </w:tc>
        <w:tc>
          <w:tcPr>
            <w:tcW w:w="800" w:type="dxa"/>
            <w:vAlign w:val="top"/>
          </w:tcPr>
          <w:p w14:paraId="51297F52">
            <w:pPr>
              <w:rPr>
                <w:rFonts w:ascii="Arial"/>
                <w:color w:val="auto"/>
                <w:sz w:val="21"/>
                <w:highlight w:val="none"/>
              </w:rPr>
            </w:pPr>
          </w:p>
        </w:tc>
        <w:tc>
          <w:tcPr>
            <w:tcW w:w="673" w:type="dxa"/>
            <w:vAlign w:val="top"/>
          </w:tcPr>
          <w:p w14:paraId="24A8A0FF">
            <w:pPr>
              <w:rPr>
                <w:rFonts w:ascii="Arial"/>
                <w:color w:val="auto"/>
                <w:sz w:val="21"/>
                <w:highlight w:val="none"/>
              </w:rPr>
            </w:pPr>
          </w:p>
        </w:tc>
        <w:tc>
          <w:tcPr>
            <w:tcW w:w="705" w:type="dxa"/>
            <w:vAlign w:val="top"/>
          </w:tcPr>
          <w:p w14:paraId="594B1213">
            <w:pPr>
              <w:rPr>
                <w:rFonts w:ascii="Arial"/>
                <w:color w:val="auto"/>
                <w:sz w:val="21"/>
                <w:highlight w:val="none"/>
              </w:rPr>
            </w:pPr>
          </w:p>
        </w:tc>
        <w:tc>
          <w:tcPr>
            <w:tcW w:w="1247" w:type="dxa"/>
            <w:vAlign w:val="top"/>
          </w:tcPr>
          <w:p w14:paraId="49BE2308">
            <w:pPr>
              <w:rPr>
                <w:rFonts w:ascii="Arial"/>
                <w:color w:val="auto"/>
                <w:sz w:val="21"/>
                <w:highlight w:val="none"/>
              </w:rPr>
            </w:pPr>
          </w:p>
        </w:tc>
        <w:tc>
          <w:tcPr>
            <w:tcW w:w="865" w:type="dxa"/>
            <w:vAlign w:val="top"/>
          </w:tcPr>
          <w:p w14:paraId="2678EED5">
            <w:pPr>
              <w:rPr>
                <w:rFonts w:ascii="Arial"/>
                <w:color w:val="auto"/>
                <w:sz w:val="21"/>
                <w:highlight w:val="none"/>
              </w:rPr>
            </w:pPr>
          </w:p>
        </w:tc>
        <w:tc>
          <w:tcPr>
            <w:tcW w:w="661" w:type="dxa"/>
            <w:vAlign w:val="top"/>
          </w:tcPr>
          <w:p w14:paraId="3F618F70">
            <w:pPr>
              <w:rPr>
                <w:rFonts w:ascii="Arial"/>
                <w:color w:val="auto"/>
                <w:sz w:val="21"/>
                <w:highlight w:val="none"/>
              </w:rPr>
            </w:pPr>
          </w:p>
        </w:tc>
        <w:tc>
          <w:tcPr>
            <w:tcW w:w="772" w:type="dxa"/>
            <w:vAlign w:val="top"/>
          </w:tcPr>
          <w:p w14:paraId="4A562816">
            <w:pPr>
              <w:rPr>
                <w:rFonts w:ascii="Arial"/>
                <w:color w:val="auto"/>
                <w:sz w:val="21"/>
                <w:highlight w:val="none"/>
              </w:rPr>
            </w:pPr>
          </w:p>
        </w:tc>
        <w:tc>
          <w:tcPr>
            <w:tcW w:w="725" w:type="dxa"/>
            <w:vAlign w:val="top"/>
          </w:tcPr>
          <w:p w14:paraId="34978F13">
            <w:pPr>
              <w:rPr>
                <w:rFonts w:ascii="Arial"/>
                <w:color w:val="auto"/>
                <w:sz w:val="21"/>
                <w:highlight w:val="none"/>
              </w:rPr>
            </w:pPr>
          </w:p>
        </w:tc>
        <w:tc>
          <w:tcPr>
            <w:tcW w:w="725" w:type="dxa"/>
            <w:vAlign w:val="top"/>
          </w:tcPr>
          <w:p w14:paraId="7570C0F9">
            <w:pPr>
              <w:rPr>
                <w:rFonts w:ascii="Arial"/>
                <w:color w:val="auto"/>
                <w:sz w:val="21"/>
                <w:highlight w:val="none"/>
              </w:rPr>
            </w:pPr>
          </w:p>
        </w:tc>
        <w:tc>
          <w:tcPr>
            <w:tcW w:w="1037" w:type="dxa"/>
            <w:tcBorders>
              <w:right w:val="single" w:color="000000" w:sz="6" w:space="0"/>
            </w:tcBorders>
            <w:vAlign w:val="top"/>
          </w:tcPr>
          <w:p w14:paraId="03C29B2B">
            <w:pPr>
              <w:rPr>
                <w:rFonts w:ascii="Arial"/>
                <w:color w:val="auto"/>
                <w:sz w:val="21"/>
                <w:highlight w:val="none"/>
              </w:rPr>
            </w:pPr>
          </w:p>
        </w:tc>
      </w:tr>
      <w:tr w14:paraId="39112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0CFE9DD7">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7</w:t>
            </w:r>
          </w:p>
        </w:tc>
        <w:tc>
          <w:tcPr>
            <w:tcW w:w="741" w:type="dxa"/>
            <w:vAlign w:val="top"/>
          </w:tcPr>
          <w:p w14:paraId="78D1A94D">
            <w:pPr>
              <w:rPr>
                <w:rFonts w:ascii="Arial"/>
                <w:color w:val="auto"/>
                <w:sz w:val="21"/>
                <w:highlight w:val="none"/>
              </w:rPr>
            </w:pPr>
          </w:p>
        </w:tc>
        <w:tc>
          <w:tcPr>
            <w:tcW w:w="525" w:type="dxa"/>
            <w:vAlign w:val="top"/>
          </w:tcPr>
          <w:p w14:paraId="73CBA9EE">
            <w:pPr>
              <w:rPr>
                <w:rFonts w:ascii="Arial"/>
                <w:color w:val="auto"/>
                <w:sz w:val="21"/>
                <w:highlight w:val="none"/>
              </w:rPr>
            </w:pPr>
          </w:p>
        </w:tc>
        <w:tc>
          <w:tcPr>
            <w:tcW w:w="800" w:type="dxa"/>
            <w:vAlign w:val="top"/>
          </w:tcPr>
          <w:p w14:paraId="79201850">
            <w:pPr>
              <w:rPr>
                <w:rFonts w:ascii="Arial"/>
                <w:color w:val="auto"/>
                <w:sz w:val="21"/>
                <w:highlight w:val="none"/>
              </w:rPr>
            </w:pPr>
          </w:p>
        </w:tc>
        <w:tc>
          <w:tcPr>
            <w:tcW w:w="673" w:type="dxa"/>
            <w:vAlign w:val="top"/>
          </w:tcPr>
          <w:p w14:paraId="3C5FC8B5">
            <w:pPr>
              <w:rPr>
                <w:rFonts w:ascii="Arial"/>
                <w:color w:val="auto"/>
                <w:sz w:val="21"/>
                <w:highlight w:val="none"/>
              </w:rPr>
            </w:pPr>
          </w:p>
        </w:tc>
        <w:tc>
          <w:tcPr>
            <w:tcW w:w="705" w:type="dxa"/>
            <w:vAlign w:val="top"/>
          </w:tcPr>
          <w:p w14:paraId="6FBAD284">
            <w:pPr>
              <w:rPr>
                <w:rFonts w:ascii="Arial"/>
                <w:color w:val="auto"/>
                <w:sz w:val="21"/>
                <w:highlight w:val="none"/>
              </w:rPr>
            </w:pPr>
          </w:p>
        </w:tc>
        <w:tc>
          <w:tcPr>
            <w:tcW w:w="1247" w:type="dxa"/>
            <w:vAlign w:val="top"/>
          </w:tcPr>
          <w:p w14:paraId="2AEA152A">
            <w:pPr>
              <w:rPr>
                <w:rFonts w:ascii="Arial"/>
                <w:color w:val="auto"/>
                <w:sz w:val="21"/>
                <w:highlight w:val="none"/>
              </w:rPr>
            </w:pPr>
          </w:p>
        </w:tc>
        <w:tc>
          <w:tcPr>
            <w:tcW w:w="865" w:type="dxa"/>
            <w:vAlign w:val="top"/>
          </w:tcPr>
          <w:p w14:paraId="7FEEC76F">
            <w:pPr>
              <w:rPr>
                <w:rFonts w:ascii="Arial"/>
                <w:color w:val="auto"/>
                <w:sz w:val="21"/>
                <w:highlight w:val="none"/>
              </w:rPr>
            </w:pPr>
          </w:p>
        </w:tc>
        <w:tc>
          <w:tcPr>
            <w:tcW w:w="661" w:type="dxa"/>
            <w:vAlign w:val="top"/>
          </w:tcPr>
          <w:p w14:paraId="5BEC831F">
            <w:pPr>
              <w:rPr>
                <w:rFonts w:ascii="Arial"/>
                <w:color w:val="auto"/>
                <w:sz w:val="21"/>
                <w:highlight w:val="none"/>
              </w:rPr>
            </w:pPr>
          </w:p>
        </w:tc>
        <w:tc>
          <w:tcPr>
            <w:tcW w:w="772" w:type="dxa"/>
            <w:vAlign w:val="top"/>
          </w:tcPr>
          <w:p w14:paraId="056C79E2">
            <w:pPr>
              <w:rPr>
                <w:rFonts w:ascii="Arial"/>
                <w:color w:val="auto"/>
                <w:sz w:val="21"/>
                <w:highlight w:val="none"/>
              </w:rPr>
            </w:pPr>
          </w:p>
        </w:tc>
        <w:tc>
          <w:tcPr>
            <w:tcW w:w="725" w:type="dxa"/>
            <w:vAlign w:val="top"/>
          </w:tcPr>
          <w:p w14:paraId="1C0EB11E">
            <w:pPr>
              <w:rPr>
                <w:rFonts w:ascii="Arial"/>
                <w:color w:val="auto"/>
                <w:sz w:val="21"/>
                <w:highlight w:val="none"/>
              </w:rPr>
            </w:pPr>
          </w:p>
        </w:tc>
        <w:tc>
          <w:tcPr>
            <w:tcW w:w="725" w:type="dxa"/>
            <w:vAlign w:val="top"/>
          </w:tcPr>
          <w:p w14:paraId="05ADB645">
            <w:pPr>
              <w:rPr>
                <w:rFonts w:ascii="Arial"/>
                <w:color w:val="auto"/>
                <w:sz w:val="21"/>
                <w:highlight w:val="none"/>
              </w:rPr>
            </w:pPr>
          </w:p>
        </w:tc>
        <w:tc>
          <w:tcPr>
            <w:tcW w:w="1037" w:type="dxa"/>
            <w:tcBorders>
              <w:right w:val="single" w:color="000000" w:sz="6" w:space="0"/>
            </w:tcBorders>
            <w:vAlign w:val="top"/>
          </w:tcPr>
          <w:p w14:paraId="6B18F066">
            <w:pPr>
              <w:rPr>
                <w:rFonts w:ascii="Arial"/>
                <w:color w:val="auto"/>
                <w:sz w:val="21"/>
                <w:highlight w:val="none"/>
              </w:rPr>
            </w:pPr>
          </w:p>
        </w:tc>
      </w:tr>
      <w:tr w14:paraId="40E5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6FA16D5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8</w:t>
            </w:r>
          </w:p>
        </w:tc>
        <w:tc>
          <w:tcPr>
            <w:tcW w:w="741" w:type="dxa"/>
            <w:vAlign w:val="top"/>
          </w:tcPr>
          <w:p w14:paraId="15849F7F">
            <w:pPr>
              <w:rPr>
                <w:rFonts w:ascii="Arial"/>
                <w:color w:val="auto"/>
                <w:sz w:val="21"/>
                <w:highlight w:val="none"/>
              </w:rPr>
            </w:pPr>
          </w:p>
        </w:tc>
        <w:tc>
          <w:tcPr>
            <w:tcW w:w="525" w:type="dxa"/>
            <w:vAlign w:val="top"/>
          </w:tcPr>
          <w:p w14:paraId="5AD00D38">
            <w:pPr>
              <w:rPr>
                <w:rFonts w:ascii="Arial"/>
                <w:color w:val="auto"/>
                <w:sz w:val="21"/>
                <w:highlight w:val="none"/>
              </w:rPr>
            </w:pPr>
          </w:p>
        </w:tc>
        <w:tc>
          <w:tcPr>
            <w:tcW w:w="800" w:type="dxa"/>
            <w:vAlign w:val="top"/>
          </w:tcPr>
          <w:p w14:paraId="3E82F67D">
            <w:pPr>
              <w:rPr>
                <w:rFonts w:ascii="Arial"/>
                <w:color w:val="auto"/>
                <w:sz w:val="21"/>
                <w:highlight w:val="none"/>
              </w:rPr>
            </w:pPr>
          </w:p>
        </w:tc>
        <w:tc>
          <w:tcPr>
            <w:tcW w:w="673" w:type="dxa"/>
            <w:vAlign w:val="top"/>
          </w:tcPr>
          <w:p w14:paraId="352C029D">
            <w:pPr>
              <w:rPr>
                <w:rFonts w:ascii="Arial"/>
                <w:color w:val="auto"/>
                <w:sz w:val="21"/>
                <w:highlight w:val="none"/>
              </w:rPr>
            </w:pPr>
          </w:p>
        </w:tc>
        <w:tc>
          <w:tcPr>
            <w:tcW w:w="705" w:type="dxa"/>
            <w:vAlign w:val="top"/>
          </w:tcPr>
          <w:p w14:paraId="55A6965B">
            <w:pPr>
              <w:rPr>
                <w:rFonts w:ascii="Arial"/>
                <w:color w:val="auto"/>
                <w:sz w:val="21"/>
                <w:highlight w:val="none"/>
              </w:rPr>
            </w:pPr>
          </w:p>
        </w:tc>
        <w:tc>
          <w:tcPr>
            <w:tcW w:w="1247" w:type="dxa"/>
            <w:vAlign w:val="top"/>
          </w:tcPr>
          <w:p w14:paraId="3431C791">
            <w:pPr>
              <w:rPr>
                <w:rFonts w:ascii="Arial"/>
                <w:color w:val="auto"/>
                <w:sz w:val="21"/>
                <w:highlight w:val="none"/>
              </w:rPr>
            </w:pPr>
          </w:p>
        </w:tc>
        <w:tc>
          <w:tcPr>
            <w:tcW w:w="865" w:type="dxa"/>
            <w:vAlign w:val="top"/>
          </w:tcPr>
          <w:p w14:paraId="6560319D">
            <w:pPr>
              <w:rPr>
                <w:rFonts w:ascii="Arial"/>
                <w:color w:val="auto"/>
                <w:sz w:val="21"/>
                <w:highlight w:val="none"/>
              </w:rPr>
            </w:pPr>
          </w:p>
        </w:tc>
        <w:tc>
          <w:tcPr>
            <w:tcW w:w="661" w:type="dxa"/>
            <w:vAlign w:val="top"/>
          </w:tcPr>
          <w:p w14:paraId="0AE86163">
            <w:pPr>
              <w:rPr>
                <w:rFonts w:ascii="Arial"/>
                <w:color w:val="auto"/>
                <w:sz w:val="21"/>
                <w:highlight w:val="none"/>
              </w:rPr>
            </w:pPr>
          </w:p>
        </w:tc>
        <w:tc>
          <w:tcPr>
            <w:tcW w:w="772" w:type="dxa"/>
            <w:vAlign w:val="top"/>
          </w:tcPr>
          <w:p w14:paraId="357A0629">
            <w:pPr>
              <w:rPr>
                <w:rFonts w:ascii="Arial"/>
                <w:color w:val="auto"/>
                <w:sz w:val="21"/>
                <w:highlight w:val="none"/>
              </w:rPr>
            </w:pPr>
          </w:p>
        </w:tc>
        <w:tc>
          <w:tcPr>
            <w:tcW w:w="725" w:type="dxa"/>
            <w:vAlign w:val="top"/>
          </w:tcPr>
          <w:p w14:paraId="169051E6">
            <w:pPr>
              <w:rPr>
                <w:rFonts w:ascii="Arial"/>
                <w:color w:val="auto"/>
                <w:sz w:val="21"/>
                <w:highlight w:val="none"/>
              </w:rPr>
            </w:pPr>
          </w:p>
        </w:tc>
        <w:tc>
          <w:tcPr>
            <w:tcW w:w="725" w:type="dxa"/>
            <w:vAlign w:val="top"/>
          </w:tcPr>
          <w:p w14:paraId="73751F0C">
            <w:pPr>
              <w:rPr>
                <w:rFonts w:ascii="Arial"/>
                <w:color w:val="auto"/>
                <w:sz w:val="21"/>
                <w:highlight w:val="none"/>
              </w:rPr>
            </w:pPr>
          </w:p>
        </w:tc>
        <w:tc>
          <w:tcPr>
            <w:tcW w:w="1037" w:type="dxa"/>
            <w:tcBorders>
              <w:right w:val="single" w:color="000000" w:sz="6" w:space="0"/>
            </w:tcBorders>
            <w:vAlign w:val="top"/>
          </w:tcPr>
          <w:p w14:paraId="22E0D9BF">
            <w:pPr>
              <w:rPr>
                <w:rFonts w:ascii="Arial"/>
                <w:color w:val="auto"/>
                <w:sz w:val="21"/>
                <w:highlight w:val="none"/>
              </w:rPr>
            </w:pPr>
          </w:p>
        </w:tc>
      </w:tr>
      <w:tr w14:paraId="0C671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2CC0C27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9</w:t>
            </w:r>
          </w:p>
        </w:tc>
        <w:tc>
          <w:tcPr>
            <w:tcW w:w="741" w:type="dxa"/>
            <w:vAlign w:val="top"/>
          </w:tcPr>
          <w:p w14:paraId="09CEC45C">
            <w:pPr>
              <w:rPr>
                <w:rFonts w:ascii="Arial"/>
                <w:color w:val="auto"/>
                <w:sz w:val="21"/>
                <w:highlight w:val="none"/>
              </w:rPr>
            </w:pPr>
          </w:p>
        </w:tc>
        <w:tc>
          <w:tcPr>
            <w:tcW w:w="525" w:type="dxa"/>
            <w:vAlign w:val="top"/>
          </w:tcPr>
          <w:p w14:paraId="0AA2809F">
            <w:pPr>
              <w:rPr>
                <w:rFonts w:ascii="Arial"/>
                <w:color w:val="auto"/>
                <w:sz w:val="21"/>
                <w:highlight w:val="none"/>
              </w:rPr>
            </w:pPr>
          </w:p>
        </w:tc>
        <w:tc>
          <w:tcPr>
            <w:tcW w:w="800" w:type="dxa"/>
            <w:vAlign w:val="top"/>
          </w:tcPr>
          <w:p w14:paraId="337CDBC8">
            <w:pPr>
              <w:rPr>
                <w:rFonts w:ascii="Arial"/>
                <w:color w:val="auto"/>
                <w:sz w:val="21"/>
                <w:highlight w:val="none"/>
              </w:rPr>
            </w:pPr>
          </w:p>
        </w:tc>
        <w:tc>
          <w:tcPr>
            <w:tcW w:w="673" w:type="dxa"/>
            <w:vAlign w:val="top"/>
          </w:tcPr>
          <w:p w14:paraId="56DB14CC">
            <w:pPr>
              <w:rPr>
                <w:rFonts w:ascii="Arial"/>
                <w:color w:val="auto"/>
                <w:sz w:val="21"/>
                <w:highlight w:val="none"/>
              </w:rPr>
            </w:pPr>
          </w:p>
        </w:tc>
        <w:tc>
          <w:tcPr>
            <w:tcW w:w="705" w:type="dxa"/>
            <w:vAlign w:val="top"/>
          </w:tcPr>
          <w:p w14:paraId="738B87CD">
            <w:pPr>
              <w:rPr>
                <w:rFonts w:ascii="Arial"/>
                <w:color w:val="auto"/>
                <w:sz w:val="21"/>
                <w:highlight w:val="none"/>
              </w:rPr>
            </w:pPr>
          </w:p>
        </w:tc>
        <w:tc>
          <w:tcPr>
            <w:tcW w:w="1247" w:type="dxa"/>
            <w:vAlign w:val="top"/>
          </w:tcPr>
          <w:p w14:paraId="4209E0C0">
            <w:pPr>
              <w:rPr>
                <w:rFonts w:ascii="Arial"/>
                <w:color w:val="auto"/>
                <w:sz w:val="21"/>
                <w:highlight w:val="none"/>
              </w:rPr>
            </w:pPr>
          </w:p>
        </w:tc>
        <w:tc>
          <w:tcPr>
            <w:tcW w:w="865" w:type="dxa"/>
            <w:vAlign w:val="top"/>
          </w:tcPr>
          <w:p w14:paraId="42F85DE8">
            <w:pPr>
              <w:rPr>
                <w:rFonts w:ascii="Arial"/>
                <w:color w:val="auto"/>
                <w:sz w:val="21"/>
                <w:highlight w:val="none"/>
              </w:rPr>
            </w:pPr>
          </w:p>
        </w:tc>
        <w:tc>
          <w:tcPr>
            <w:tcW w:w="661" w:type="dxa"/>
            <w:vAlign w:val="top"/>
          </w:tcPr>
          <w:p w14:paraId="6467D876">
            <w:pPr>
              <w:rPr>
                <w:rFonts w:ascii="Arial"/>
                <w:color w:val="auto"/>
                <w:sz w:val="21"/>
                <w:highlight w:val="none"/>
              </w:rPr>
            </w:pPr>
          </w:p>
        </w:tc>
        <w:tc>
          <w:tcPr>
            <w:tcW w:w="772" w:type="dxa"/>
            <w:vAlign w:val="top"/>
          </w:tcPr>
          <w:p w14:paraId="51F4A868">
            <w:pPr>
              <w:rPr>
                <w:rFonts w:ascii="Arial"/>
                <w:color w:val="auto"/>
                <w:sz w:val="21"/>
                <w:highlight w:val="none"/>
              </w:rPr>
            </w:pPr>
          </w:p>
        </w:tc>
        <w:tc>
          <w:tcPr>
            <w:tcW w:w="725" w:type="dxa"/>
            <w:vAlign w:val="top"/>
          </w:tcPr>
          <w:p w14:paraId="18E0A65D">
            <w:pPr>
              <w:rPr>
                <w:rFonts w:ascii="Arial"/>
                <w:color w:val="auto"/>
                <w:sz w:val="21"/>
                <w:highlight w:val="none"/>
              </w:rPr>
            </w:pPr>
          </w:p>
        </w:tc>
        <w:tc>
          <w:tcPr>
            <w:tcW w:w="725" w:type="dxa"/>
            <w:vAlign w:val="top"/>
          </w:tcPr>
          <w:p w14:paraId="5384CD01">
            <w:pPr>
              <w:rPr>
                <w:rFonts w:ascii="Arial"/>
                <w:color w:val="auto"/>
                <w:sz w:val="21"/>
                <w:highlight w:val="none"/>
              </w:rPr>
            </w:pPr>
          </w:p>
        </w:tc>
        <w:tc>
          <w:tcPr>
            <w:tcW w:w="1037" w:type="dxa"/>
            <w:tcBorders>
              <w:right w:val="single" w:color="000000" w:sz="6" w:space="0"/>
            </w:tcBorders>
            <w:vAlign w:val="top"/>
          </w:tcPr>
          <w:p w14:paraId="48724C80">
            <w:pPr>
              <w:rPr>
                <w:rFonts w:ascii="Arial"/>
                <w:color w:val="auto"/>
                <w:sz w:val="21"/>
                <w:highlight w:val="none"/>
              </w:rPr>
            </w:pPr>
          </w:p>
        </w:tc>
      </w:tr>
      <w:tr w14:paraId="0B147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2" w:type="dxa"/>
            <w:tcBorders>
              <w:left w:val="single" w:color="000000" w:sz="6" w:space="0"/>
            </w:tcBorders>
            <w:vAlign w:val="center"/>
          </w:tcPr>
          <w:p w14:paraId="4ABC6682">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w:t>
            </w:r>
          </w:p>
        </w:tc>
        <w:tc>
          <w:tcPr>
            <w:tcW w:w="741" w:type="dxa"/>
            <w:vAlign w:val="top"/>
          </w:tcPr>
          <w:p w14:paraId="114F75C6">
            <w:pPr>
              <w:rPr>
                <w:rFonts w:ascii="Arial"/>
                <w:color w:val="auto"/>
                <w:sz w:val="21"/>
                <w:highlight w:val="none"/>
              </w:rPr>
            </w:pPr>
          </w:p>
        </w:tc>
        <w:tc>
          <w:tcPr>
            <w:tcW w:w="525" w:type="dxa"/>
            <w:vAlign w:val="top"/>
          </w:tcPr>
          <w:p w14:paraId="3908EFE2">
            <w:pPr>
              <w:rPr>
                <w:rFonts w:ascii="Arial"/>
                <w:color w:val="auto"/>
                <w:sz w:val="21"/>
                <w:highlight w:val="none"/>
              </w:rPr>
            </w:pPr>
          </w:p>
        </w:tc>
        <w:tc>
          <w:tcPr>
            <w:tcW w:w="800" w:type="dxa"/>
            <w:vAlign w:val="top"/>
          </w:tcPr>
          <w:p w14:paraId="3C2BD330">
            <w:pPr>
              <w:rPr>
                <w:rFonts w:ascii="Arial"/>
                <w:color w:val="auto"/>
                <w:sz w:val="21"/>
                <w:highlight w:val="none"/>
              </w:rPr>
            </w:pPr>
          </w:p>
        </w:tc>
        <w:tc>
          <w:tcPr>
            <w:tcW w:w="673" w:type="dxa"/>
            <w:vAlign w:val="top"/>
          </w:tcPr>
          <w:p w14:paraId="2F87EC5C">
            <w:pPr>
              <w:rPr>
                <w:rFonts w:ascii="Arial"/>
                <w:color w:val="auto"/>
                <w:sz w:val="21"/>
                <w:highlight w:val="none"/>
              </w:rPr>
            </w:pPr>
          </w:p>
        </w:tc>
        <w:tc>
          <w:tcPr>
            <w:tcW w:w="705" w:type="dxa"/>
            <w:vAlign w:val="top"/>
          </w:tcPr>
          <w:p w14:paraId="28475EEE">
            <w:pPr>
              <w:rPr>
                <w:rFonts w:ascii="Arial"/>
                <w:color w:val="auto"/>
                <w:sz w:val="21"/>
                <w:highlight w:val="none"/>
              </w:rPr>
            </w:pPr>
          </w:p>
        </w:tc>
        <w:tc>
          <w:tcPr>
            <w:tcW w:w="1247" w:type="dxa"/>
            <w:vAlign w:val="top"/>
          </w:tcPr>
          <w:p w14:paraId="4B77DB84">
            <w:pPr>
              <w:rPr>
                <w:rFonts w:ascii="Arial"/>
                <w:color w:val="auto"/>
                <w:sz w:val="21"/>
                <w:highlight w:val="none"/>
              </w:rPr>
            </w:pPr>
          </w:p>
        </w:tc>
        <w:tc>
          <w:tcPr>
            <w:tcW w:w="865" w:type="dxa"/>
            <w:vAlign w:val="top"/>
          </w:tcPr>
          <w:p w14:paraId="350D6737">
            <w:pPr>
              <w:rPr>
                <w:rFonts w:ascii="Arial"/>
                <w:color w:val="auto"/>
                <w:sz w:val="21"/>
                <w:highlight w:val="none"/>
              </w:rPr>
            </w:pPr>
          </w:p>
        </w:tc>
        <w:tc>
          <w:tcPr>
            <w:tcW w:w="661" w:type="dxa"/>
            <w:vAlign w:val="top"/>
          </w:tcPr>
          <w:p w14:paraId="6EE8FC3A">
            <w:pPr>
              <w:rPr>
                <w:rFonts w:ascii="Arial"/>
                <w:color w:val="auto"/>
                <w:sz w:val="21"/>
                <w:highlight w:val="none"/>
              </w:rPr>
            </w:pPr>
          </w:p>
        </w:tc>
        <w:tc>
          <w:tcPr>
            <w:tcW w:w="772" w:type="dxa"/>
            <w:vAlign w:val="top"/>
          </w:tcPr>
          <w:p w14:paraId="37310186">
            <w:pPr>
              <w:rPr>
                <w:rFonts w:ascii="Arial"/>
                <w:color w:val="auto"/>
                <w:sz w:val="21"/>
                <w:highlight w:val="none"/>
              </w:rPr>
            </w:pPr>
          </w:p>
        </w:tc>
        <w:tc>
          <w:tcPr>
            <w:tcW w:w="725" w:type="dxa"/>
            <w:vAlign w:val="top"/>
          </w:tcPr>
          <w:p w14:paraId="63754A9F">
            <w:pPr>
              <w:rPr>
                <w:rFonts w:ascii="Arial"/>
                <w:color w:val="auto"/>
                <w:sz w:val="21"/>
                <w:highlight w:val="none"/>
              </w:rPr>
            </w:pPr>
          </w:p>
        </w:tc>
        <w:tc>
          <w:tcPr>
            <w:tcW w:w="725" w:type="dxa"/>
            <w:vAlign w:val="top"/>
          </w:tcPr>
          <w:p w14:paraId="6400E91C">
            <w:pPr>
              <w:rPr>
                <w:rFonts w:ascii="Arial"/>
                <w:color w:val="auto"/>
                <w:sz w:val="21"/>
                <w:highlight w:val="none"/>
              </w:rPr>
            </w:pPr>
          </w:p>
        </w:tc>
        <w:tc>
          <w:tcPr>
            <w:tcW w:w="1037" w:type="dxa"/>
            <w:tcBorders>
              <w:right w:val="single" w:color="000000" w:sz="6" w:space="0"/>
            </w:tcBorders>
            <w:vAlign w:val="top"/>
          </w:tcPr>
          <w:p w14:paraId="5A55177E">
            <w:pPr>
              <w:rPr>
                <w:rFonts w:ascii="Arial"/>
                <w:color w:val="auto"/>
                <w:sz w:val="21"/>
                <w:highlight w:val="none"/>
              </w:rPr>
            </w:pPr>
          </w:p>
        </w:tc>
      </w:tr>
      <w:tr w14:paraId="080A6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2508" w:type="dxa"/>
            <w:gridSpan w:val="4"/>
            <w:tcBorders>
              <w:left w:val="single" w:color="000000" w:sz="6" w:space="0"/>
              <w:bottom w:val="single" w:color="000000" w:sz="6" w:space="0"/>
            </w:tcBorders>
            <w:vAlign w:val="top"/>
          </w:tcPr>
          <w:p w14:paraId="6C314A8D">
            <w:pPr>
              <w:pStyle w:val="20"/>
              <w:spacing w:before="205" w:line="228" w:lineRule="auto"/>
              <w:jc w:val="center"/>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2"/>
                <w:highlight w:val="none"/>
              </w:rPr>
              <w:t xml:space="preserve"> </w:t>
            </w:r>
            <w:r>
              <w:rPr>
                <w:color w:val="auto"/>
                <w:spacing w:val="-6"/>
                <w:highlight w:val="none"/>
              </w:rPr>
              <w:t>(元)</w:t>
            </w:r>
          </w:p>
        </w:tc>
        <w:tc>
          <w:tcPr>
            <w:tcW w:w="673" w:type="dxa"/>
            <w:tcBorders>
              <w:bottom w:val="single" w:color="000000" w:sz="6" w:space="0"/>
            </w:tcBorders>
            <w:vAlign w:val="top"/>
          </w:tcPr>
          <w:p w14:paraId="527C6098">
            <w:pPr>
              <w:jc w:val="center"/>
              <w:rPr>
                <w:rFonts w:ascii="Arial"/>
                <w:color w:val="auto"/>
                <w:sz w:val="21"/>
                <w:highlight w:val="none"/>
              </w:rPr>
            </w:pPr>
          </w:p>
        </w:tc>
        <w:tc>
          <w:tcPr>
            <w:tcW w:w="705" w:type="dxa"/>
            <w:tcBorders>
              <w:bottom w:val="single" w:color="000000" w:sz="6" w:space="0"/>
            </w:tcBorders>
            <w:vAlign w:val="top"/>
          </w:tcPr>
          <w:p w14:paraId="5FCC13B0">
            <w:pPr>
              <w:jc w:val="center"/>
              <w:rPr>
                <w:rFonts w:ascii="Arial"/>
                <w:color w:val="auto"/>
                <w:sz w:val="21"/>
                <w:highlight w:val="none"/>
              </w:rPr>
            </w:pPr>
          </w:p>
        </w:tc>
        <w:tc>
          <w:tcPr>
            <w:tcW w:w="1247" w:type="dxa"/>
            <w:tcBorders>
              <w:bottom w:val="single" w:color="000000" w:sz="6" w:space="0"/>
            </w:tcBorders>
            <w:vAlign w:val="top"/>
          </w:tcPr>
          <w:p w14:paraId="6F9677EF">
            <w:pPr>
              <w:jc w:val="center"/>
              <w:rPr>
                <w:rFonts w:ascii="Arial"/>
                <w:color w:val="auto"/>
                <w:sz w:val="21"/>
                <w:highlight w:val="none"/>
              </w:rPr>
            </w:pPr>
          </w:p>
        </w:tc>
        <w:tc>
          <w:tcPr>
            <w:tcW w:w="2298" w:type="dxa"/>
            <w:gridSpan w:val="3"/>
            <w:tcBorders>
              <w:bottom w:val="single" w:color="000000" w:sz="6" w:space="0"/>
            </w:tcBorders>
            <w:vAlign w:val="top"/>
          </w:tcPr>
          <w:p w14:paraId="07CC8B8E">
            <w:pPr>
              <w:pStyle w:val="20"/>
              <w:spacing w:before="205" w:line="228" w:lineRule="auto"/>
              <w:jc w:val="center"/>
              <w:rPr>
                <w:color w:val="auto"/>
                <w:highlight w:val="none"/>
              </w:rPr>
            </w:pPr>
            <w:r>
              <w:rPr>
                <w:color w:val="auto"/>
                <w:spacing w:val="5"/>
                <w:highlight w:val="none"/>
              </w:rPr>
              <w:t>合计(元)</w:t>
            </w:r>
          </w:p>
        </w:tc>
        <w:tc>
          <w:tcPr>
            <w:tcW w:w="725" w:type="dxa"/>
            <w:tcBorders>
              <w:bottom w:val="single" w:color="000000" w:sz="6" w:space="0"/>
            </w:tcBorders>
            <w:vAlign w:val="top"/>
          </w:tcPr>
          <w:p w14:paraId="1A6D88F3">
            <w:pPr>
              <w:rPr>
                <w:rFonts w:ascii="Arial"/>
                <w:color w:val="auto"/>
                <w:sz w:val="21"/>
                <w:highlight w:val="none"/>
              </w:rPr>
            </w:pPr>
          </w:p>
        </w:tc>
        <w:tc>
          <w:tcPr>
            <w:tcW w:w="725" w:type="dxa"/>
            <w:tcBorders>
              <w:bottom w:val="single" w:color="000000" w:sz="6" w:space="0"/>
            </w:tcBorders>
            <w:vAlign w:val="top"/>
          </w:tcPr>
          <w:p w14:paraId="628AA6E5">
            <w:pPr>
              <w:rPr>
                <w:rFonts w:ascii="Arial"/>
                <w:color w:val="auto"/>
                <w:sz w:val="21"/>
                <w:highlight w:val="none"/>
              </w:rPr>
            </w:pPr>
          </w:p>
        </w:tc>
        <w:tc>
          <w:tcPr>
            <w:tcW w:w="1037" w:type="dxa"/>
            <w:tcBorders>
              <w:bottom w:val="single" w:color="000000" w:sz="6" w:space="0"/>
              <w:right w:val="single" w:color="000000" w:sz="6" w:space="0"/>
            </w:tcBorders>
            <w:vAlign w:val="top"/>
          </w:tcPr>
          <w:p w14:paraId="48D7D2A2">
            <w:pPr>
              <w:rPr>
                <w:rFonts w:ascii="Arial"/>
                <w:color w:val="auto"/>
                <w:sz w:val="21"/>
                <w:highlight w:val="none"/>
              </w:rPr>
            </w:pPr>
          </w:p>
        </w:tc>
      </w:tr>
    </w:tbl>
    <w:p w14:paraId="2BB2AE6C">
      <w:pPr>
        <w:rPr>
          <w:rFonts w:ascii="Arial"/>
          <w:color w:val="auto"/>
          <w:sz w:val="21"/>
          <w:highlight w:val="none"/>
        </w:rPr>
      </w:pPr>
    </w:p>
    <w:p w14:paraId="70B79412">
      <w:pPr>
        <w:rPr>
          <w:rFonts w:ascii="Arial" w:hAnsi="Arial" w:eastAsia="Arial" w:cs="Arial"/>
          <w:color w:val="auto"/>
          <w:sz w:val="21"/>
          <w:szCs w:val="21"/>
          <w:highlight w:val="none"/>
        </w:rPr>
        <w:sectPr>
          <w:footerReference r:id="rId57" w:type="default"/>
          <w:pgSz w:w="11905" w:h="16838"/>
          <w:pgMar w:top="1134" w:right="1134" w:bottom="1134" w:left="1134" w:header="0" w:footer="1066" w:gutter="0"/>
          <w:pgNumType w:fmt="decimal"/>
          <w:cols w:space="0" w:num="1"/>
          <w:rtlGutter w:val="0"/>
          <w:docGrid w:linePitch="0" w:charSpace="0"/>
        </w:sectPr>
      </w:pPr>
    </w:p>
    <w:p w14:paraId="4E48E228">
      <w:pPr>
        <w:spacing w:line="267" w:lineRule="auto"/>
        <w:rPr>
          <w:rFonts w:ascii="Arial"/>
          <w:color w:val="auto"/>
          <w:sz w:val="21"/>
          <w:highlight w:val="none"/>
        </w:rPr>
      </w:pPr>
    </w:p>
    <w:p w14:paraId="65696235">
      <w:pPr>
        <w:pStyle w:val="4"/>
        <w:bidi w:val="0"/>
        <w:jc w:val="center"/>
        <w:rPr>
          <w:color w:val="auto"/>
          <w:highlight w:val="none"/>
        </w:rPr>
      </w:pPr>
      <w:r>
        <w:rPr>
          <w:color w:val="auto"/>
          <w:highlight w:val="none"/>
        </w:rPr>
        <w:t>表 4  监理工程师交通设施费报价表</w:t>
      </w:r>
    </w:p>
    <w:tbl>
      <w:tblPr>
        <w:tblStyle w:val="19"/>
        <w:tblW w:w="961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597"/>
        <w:gridCol w:w="599"/>
        <w:gridCol w:w="597"/>
        <w:gridCol w:w="605"/>
        <w:gridCol w:w="597"/>
        <w:gridCol w:w="600"/>
        <w:gridCol w:w="1085"/>
        <w:gridCol w:w="618"/>
        <w:gridCol w:w="593"/>
        <w:gridCol w:w="555"/>
        <w:gridCol w:w="600"/>
        <w:gridCol w:w="715"/>
        <w:gridCol w:w="648"/>
        <w:gridCol w:w="824"/>
      </w:tblGrid>
      <w:tr w14:paraId="460A2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386" w:type="dxa"/>
            <w:vMerge w:val="restart"/>
            <w:tcBorders>
              <w:top w:val="single" w:color="000000" w:sz="6" w:space="0"/>
              <w:left w:val="single" w:color="000000" w:sz="6" w:space="0"/>
              <w:bottom w:val="nil"/>
            </w:tcBorders>
            <w:vAlign w:val="center"/>
          </w:tcPr>
          <w:p w14:paraId="6A7DB57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p w14:paraId="6AEE40A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p w14:paraId="48365C4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p w14:paraId="1368AD25">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5"/>
                <w:highlight w:val="none"/>
              </w:rPr>
              <w:t>序号</w:t>
            </w:r>
          </w:p>
        </w:tc>
        <w:tc>
          <w:tcPr>
            <w:tcW w:w="4680" w:type="dxa"/>
            <w:gridSpan w:val="7"/>
            <w:tcBorders>
              <w:top w:val="single" w:color="000000" w:sz="6" w:space="0"/>
            </w:tcBorders>
            <w:vAlign w:val="center"/>
          </w:tcPr>
          <w:p w14:paraId="1416CE1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7"/>
                <w:highlight w:val="none"/>
              </w:rPr>
              <w:t>施工期</w:t>
            </w:r>
          </w:p>
        </w:tc>
        <w:tc>
          <w:tcPr>
            <w:tcW w:w="4553" w:type="dxa"/>
            <w:gridSpan w:val="7"/>
            <w:tcBorders>
              <w:top w:val="single" w:color="000000" w:sz="6" w:space="0"/>
              <w:right w:val="single" w:color="000000" w:sz="6" w:space="0"/>
            </w:tcBorders>
            <w:vAlign w:val="center"/>
          </w:tcPr>
          <w:p w14:paraId="5DF189C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缺陷责任期</w:t>
            </w:r>
          </w:p>
        </w:tc>
      </w:tr>
      <w:tr w14:paraId="76AF3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4" w:hRule="atLeast"/>
        </w:trPr>
        <w:tc>
          <w:tcPr>
            <w:tcW w:w="386" w:type="dxa"/>
            <w:vMerge w:val="continue"/>
            <w:tcBorders>
              <w:top w:val="nil"/>
              <w:left w:val="single" w:color="000000" w:sz="6" w:space="0"/>
            </w:tcBorders>
            <w:vAlign w:val="center"/>
          </w:tcPr>
          <w:p w14:paraId="36CC868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399D8A1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名称及</w:t>
            </w:r>
            <w:r>
              <w:rPr>
                <w:color w:val="auto"/>
                <w:spacing w:val="1"/>
                <w:highlight w:val="none"/>
              </w:rPr>
              <w:t>型号</w:t>
            </w:r>
          </w:p>
        </w:tc>
        <w:tc>
          <w:tcPr>
            <w:tcW w:w="599" w:type="dxa"/>
            <w:vAlign w:val="center"/>
          </w:tcPr>
          <w:p w14:paraId="593EAAC5">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3"/>
                <w:highlight w:val="none"/>
              </w:rPr>
            </w:pPr>
            <w:r>
              <w:rPr>
                <w:color w:val="auto"/>
                <w:spacing w:val="3"/>
                <w:highlight w:val="none"/>
              </w:rPr>
              <w:t>数量</w:t>
            </w:r>
          </w:p>
          <w:p w14:paraId="70FC28C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8"/>
                <w:highlight w:val="none"/>
              </w:rPr>
              <w:t>(辆)</w:t>
            </w:r>
          </w:p>
        </w:tc>
        <w:tc>
          <w:tcPr>
            <w:tcW w:w="597" w:type="dxa"/>
            <w:vAlign w:val="center"/>
          </w:tcPr>
          <w:p w14:paraId="0B6B3E3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3"/>
                <w:highlight w:val="none"/>
              </w:rPr>
            </w:pPr>
            <w:r>
              <w:rPr>
                <w:color w:val="auto"/>
                <w:spacing w:val="3"/>
                <w:highlight w:val="none"/>
              </w:rPr>
              <w:t>单价</w:t>
            </w:r>
          </w:p>
          <w:p w14:paraId="53BE6F35">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8"/>
                <w:highlight w:val="none"/>
              </w:rPr>
              <w:t>(元)</w:t>
            </w:r>
          </w:p>
        </w:tc>
        <w:tc>
          <w:tcPr>
            <w:tcW w:w="605" w:type="dxa"/>
            <w:vAlign w:val="center"/>
          </w:tcPr>
          <w:p w14:paraId="4BBCC4CE">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5"/>
                <w:highlight w:val="none"/>
              </w:rPr>
            </w:pPr>
            <w:r>
              <w:rPr>
                <w:color w:val="auto"/>
                <w:spacing w:val="5"/>
                <w:highlight w:val="none"/>
              </w:rPr>
              <w:t>合价</w:t>
            </w:r>
          </w:p>
          <w:p w14:paraId="7840AE4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5"/>
                <w:highlight w:val="none"/>
              </w:rPr>
              <w:t>(元)</w:t>
            </w:r>
          </w:p>
        </w:tc>
        <w:tc>
          <w:tcPr>
            <w:tcW w:w="597" w:type="dxa"/>
            <w:vAlign w:val="center"/>
          </w:tcPr>
          <w:p w14:paraId="6CDFAF4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6"/>
                <w:highlight w:val="none"/>
              </w:rPr>
            </w:pPr>
            <w:r>
              <w:rPr>
                <w:color w:val="auto"/>
                <w:spacing w:val="6"/>
                <w:highlight w:val="none"/>
              </w:rPr>
              <w:t>折旧费</w:t>
            </w:r>
          </w:p>
          <w:p w14:paraId="5FDE922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600" w:type="dxa"/>
            <w:vAlign w:val="center"/>
          </w:tcPr>
          <w:p w14:paraId="53BB77F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6"/>
                <w:highlight w:val="none"/>
              </w:rPr>
            </w:pPr>
            <w:r>
              <w:rPr>
                <w:color w:val="auto"/>
                <w:spacing w:val="6"/>
                <w:highlight w:val="none"/>
              </w:rPr>
              <w:t>使用费</w:t>
            </w:r>
          </w:p>
          <w:p w14:paraId="32D0E433">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1085" w:type="dxa"/>
            <w:vAlign w:val="center"/>
          </w:tcPr>
          <w:p w14:paraId="6BD9DB3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小计</w:t>
            </w:r>
          </w:p>
          <w:p w14:paraId="0F1954B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折旧及使用费</w:t>
            </w:r>
          </w:p>
          <w:p w14:paraId="205A804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618" w:type="dxa"/>
            <w:vAlign w:val="center"/>
          </w:tcPr>
          <w:p w14:paraId="65D0AE9E">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名称及</w:t>
            </w:r>
            <w:r>
              <w:rPr>
                <w:color w:val="auto"/>
                <w:spacing w:val="1"/>
                <w:highlight w:val="none"/>
              </w:rPr>
              <w:t>型号</w:t>
            </w:r>
          </w:p>
        </w:tc>
        <w:tc>
          <w:tcPr>
            <w:tcW w:w="593" w:type="dxa"/>
            <w:vAlign w:val="center"/>
          </w:tcPr>
          <w:p w14:paraId="45770371">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3"/>
                <w:highlight w:val="none"/>
              </w:rPr>
            </w:pPr>
            <w:r>
              <w:rPr>
                <w:color w:val="auto"/>
                <w:spacing w:val="3"/>
                <w:highlight w:val="none"/>
              </w:rPr>
              <w:t>数量</w:t>
            </w:r>
          </w:p>
          <w:p w14:paraId="0E53ADDA">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8"/>
                <w:highlight w:val="none"/>
              </w:rPr>
              <w:t>(辆)</w:t>
            </w:r>
          </w:p>
        </w:tc>
        <w:tc>
          <w:tcPr>
            <w:tcW w:w="555" w:type="dxa"/>
            <w:vAlign w:val="center"/>
          </w:tcPr>
          <w:p w14:paraId="1832CF7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3"/>
                <w:highlight w:val="none"/>
              </w:rPr>
            </w:pPr>
            <w:r>
              <w:rPr>
                <w:color w:val="auto"/>
                <w:spacing w:val="3"/>
                <w:highlight w:val="none"/>
              </w:rPr>
              <w:t>单价</w:t>
            </w:r>
          </w:p>
          <w:p w14:paraId="03810A1B">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600" w:type="dxa"/>
            <w:vAlign w:val="center"/>
          </w:tcPr>
          <w:p w14:paraId="6BE507D1">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4"/>
                <w:highlight w:val="none"/>
              </w:rPr>
              <w:t>合价</w:t>
            </w:r>
            <w:r>
              <w:rPr>
                <w:color w:val="auto"/>
                <w:spacing w:val="-9"/>
                <w:highlight w:val="none"/>
              </w:rPr>
              <w:t>(元)</w:t>
            </w:r>
          </w:p>
        </w:tc>
        <w:tc>
          <w:tcPr>
            <w:tcW w:w="715" w:type="dxa"/>
            <w:vAlign w:val="center"/>
          </w:tcPr>
          <w:p w14:paraId="73714D0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648" w:type="dxa"/>
            <w:vAlign w:val="center"/>
          </w:tcPr>
          <w:p w14:paraId="593C0085">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9"/>
                <w:highlight w:val="none"/>
              </w:rPr>
              <w:t>(元)</w:t>
            </w:r>
          </w:p>
        </w:tc>
        <w:tc>
          <w:tcPr>
            <w:tcW w:w="824" w:type="dxa"/>
            <w:tcBorders>
              <w:right w:val="single" w:color="000000" w:sz="6" w:space="0"/>
            </w:tcBorders>
            <w:vAlign w:val="center"/>
          </w:tcPr>
          <w:p w14:paraId="479900C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小计</w:t>
            </w:r>
          </w:p>
          <w:p w14:paraId="0C42A608">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spacing w:val="-51"/>
                <w:highlight w:val="none"/>
              </w:rPr>
            </w:pPr>
            <w:r>
              <w:rPr>
                <w:color w:val="auto"/>
                <w:spacing w:val="7"/>
                <w:highlight w:val="none"/>
              </w:rPr>
              <w:t>折旧及使用</w:t>
            </w:r>
            <w:r>
              <w:rPr>
                <w:color w:val="auto"/>
                <w:spacing w:val="-10"/>
                <w:highlight w:val="none"/>
              </w:rPr>
              <w:t>费</w:t>
            </w:r>
            <w:r>
              <w:rPr>
                <w:color w:val="auto"/>
                <w:spacing w:val="-51"/>
                <w:highlight w:val="none"/>
              </w:rPr>
              <w:t xml:space="preserve"> </w:t>
            </w:r>
          </w:p>
          <w:p w14:paraId="7D89DA5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10"/>
                <w:highlight w:val="none"/>
              </w:rPr>
              <w:t>(元)</w:t>
            </w:r>
          </w:p>
        </w:tc>
      </w:tr>
      <w:tr w14:paraId="38E95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86" w:type="dxa"/>
            <w:tcBorders>
              <w:left w:val="single" w:color="000000" w:sz="6" w:space="0"/>
            </w:tcBorders>
            <w:vAlign w:val="center"/>
          </w:tcPr>
          <w:p w14:paraId="76756B1C">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597" w:type="dxa"/>
            <w:vAlign w:val="center"/>
          </w:tcPr>
          <w:p w14:paraId="2A9CBA2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9" w:type="dxa"/>
            <w:vAlign w:val="center"/>
          </w:tcPr>
          <w:p w14:paraId="0F7C910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7022090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5" w:type="dxa"/>
            <w:vAlign w:val="center"/>
          </w:tcPr>
          <w:p w14:paraId="0459A82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221D373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48E9398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657377D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18" w:type="dxa"/>
            <w:vAlign w:val="center"/>
          </w:tcPr>
          <w:p w14:paraId="002AD2C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3" w:type="dxa"/>
            <w:vAlign w:val="center"/>
          </w:tcPr>
          <w:p w14:paraId="7D1EB02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5" w:type="dxa"/>
            <w:vAlign w:val="center"/>
          </w:tcPr>
          <w:p w14:paraId="21515EF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0A6C1D6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5" w:type="dxa"/>
            <w:vAlign w:val="center"/>
          </w:tcPr>
          <w:p w14:paraId="02BBD26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48" w:type="dxa"/>
            <w:vAlign w:val="center"/>
          </w:tcPr>
          <w:p w14:paraId="61C46DB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24" w:type="dxa"/>
            <w:tcBorders>
              <w:right w:val="single" w:color="000000" w:sz="6" w:space="0"/>
            </w:tcBorders>
            <w:vAlign w:val="center"/>
          </w:tcPr>
          <w:p w14:paraId="788758D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68287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86" w:type="dxa"/>
            <w:tcBorders>
              <w:left w:val="single" w:color="000000" w:sz="6" w:space="0"/>
            </w:tcBorders>
            <w:vAlign w:val="center"/>
          </w:tcPr>
          <w:p w14:paraId="3FD67C9C">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2</w:t>
            </w:r>
          </w:p>
        </w:tc>
        <w:tc>
          <w:tcPr>
            <w:tcW w:w="597" w:type="dxa"/>
            <w:vAlign w:val="center"/>
          </w:tcPr>
          <w:p w14:paraId="5D7FD68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9" w:type="dxa"/>
            <w:vAlign w:val="center"/>
          </w:tcPr>
          <w:p w14:paraId="657CE89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4083A66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5" w:type="dxa"/>
            <w:vAlign w:val="center"/>
          </w:tcPr>
          <w:p w14:paraId="2744EE2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2CB6B47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7765B15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7344499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18" w:type="dxa"/>
            <w:vAlign w:val="center"/>
          </w:tcPr>
          <w:p w14:paraId="132A98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3" w:type="dxa"/>
            <w:vAlign w:val="center"/>
          </w:tcPr>
          <w:p w14:paraId="39EC3B2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5" w:type="dxa"/>
            <w:vAlign w:val="center"/>
          </w:tcPr>
          <w:p w14:paraId="1EB240D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1FD39A4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5" w:type="dxa"/>
            <w:vAlign w:val="center"/>
          </w:tcPr>
          <w:p w14:paraId="20926D5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48" w:type="dxa"/>
            <w:vAlign w:val="center"/>
          </w:tcPr>
          <w:p w14:paraId="689A5A9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24" w:type="dxa"/>
            <w:tcBorders>
              <w:right w:val="single" w:color="000000" w:sz="6" w:space="0"/>
            </w:tcBorders>
            <w:vAlign w:val="center"/>
          </w:tcPr>
          <w:p w14:paraId="028BDD6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42763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86" w:type="dxa"/>
            <w:tcBorders>
              <w:left w:val="single" w:color="000000" w:sz="6" w:space="0"/>
            </w:tcBorders>
            <w:vAlign w:val="center"/>
          </w:tcPr>
          <w:p w14:paraId="3A336907">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3</w:t>
            </w:r>
          </w:p>
        </w:tc>
        <w:tc>
          <w:tcPr>
            <w:tcW w:w="597" w:type="dxa"/>
            <w:vAlign w:val="center"/>
          </w:tcPr>
          <w:p w14:paraId="10253A3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9" w:type="dxa"/>
            <w:vAlign w:val="center"/>
          </w:tcPr>
          <w:p w14:paraId="1A1C61F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006DD4B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5" w:type="dxa"/>
            <w:vAlign w:val="center"/>
          </w:tcPr>
          <w:p w14:paraId="3C9D26F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599B630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01C8C61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1EA6FC2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18" w:type="dxa"/>
            <w:vAlign w:val="center"/>
          </w:tcPr>
          <w:p w14:paraId="268692F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3" w:type="dxa"/>
            <w:vAlign w:val="center"/>
          </w:tcPr>
          <w:p w14:paraId="57F8F2E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5" w:type="dxa"/>
            <w:vAlign w:val="center"/>
          </w:tcPr>
          <w:p w14:paraId="253EB48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7F27E33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5" w:type="dxa"/>
            <w:vAlign w:val="center"/>
          </w:tcPr>
          <w:p w14:paraId="00E09B6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48" w:type="dxa"/>
            <w:vAlign w:val="center"/>
          </w:tcPr>
          <w:p w14:paraId="07B0AE3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24" w:type="dxa"/>
            <w:tcBorders>
              <w:right w:val="single" w:color="000000" w:sz="6" w:space="0"/>
            </w:tcBorders>
            <w:vAlign w:val="center"/>
          </w:tcPr>
          <w:p w14:paraId="6A71197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696D4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86" w:type="dxa"/>
            <w:tcBorders>
              <w:left w:val="single" w:color="000000" w:sz="6" w:space="0"/>
            </w:tcBorders>
            <w:vAlign w:val="center"/>
          </w:tcPr>
          <w:p w14:paraId="298CBF0A">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2"/>
                <w:highlight w:val="none"/>
              </w:rPr>
              <w:t>…</w:t>
            </w:r>
          </w:p>
        </w:tc>
        <w:tc>
          <w:tcPr>
            <w:tcW w:w="597" w:type="dxa"/>
            <w:vAlign w:val="center"/>
          </w:tcPr>
          <w:p w14:paraId="4F095DC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9" w:type="dxa"/>
            <w:vAlign w:val="center"/>
          </w:tcPr>
          <w:p w14:paraId="10A2C6B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2BBF499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5" w:type="dxa"/>
            <w:vAlign w:val="center"/>
          </w:tcPr>
          <w:p w14:paraId="4725527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7" w:type="dxa"/>
            <w:vAlign w:val="center"/>
          </w:tcPr>
          <w:p w14:paraId="3DAD6C8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0D4A301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6CC27A1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18" w:type="dxa"/>
            <w:vAlign w:val="center"/>
          </w:tcPr>
          <w:p w14:paraId="7FAD07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93" w:type="dxa"/>
            <w:vAlign w:val="center"/>
          </w:tcPr>
          <w:p w14:paraId="14D8558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5" w:type="dxa"/>
            <w:vAlign w:val="center"/>
          </w:tcPr>
          <w:p w14:paraId="1DE6C67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vAlign w:val="center"/>
          </w:tcPr>
          <w:p w14:paraId="4D02A0D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5" w:type="dxa"/>
            <w:vAlign w:val="center"/>
          </w:tcPr>
          <w:p w14:paraId="19B6BC3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48" w:type="dxa"/>
            <w:vAlign w:val="center"/>
          </w:tcPr>
          <w:p w14:paraId="39B166C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24" w:type="dxa"/>
            <w:tcBorders>
              <w:right w:val="single" w:color="000000" w:sz="6" w:space="0"/>
            </w:tcBorders>
            <w:vAlign w:val="center"/>
          </w:tcPr>
          <w:p w14:paraId="76FEB37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7AB40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784" w:type="dxa"/>
            <w:gridSpan w:val="5"/>
            <w:tcBorders>
              <w:left w:val="single" w:color="000000" w:sz="6" w:space="0"/>
              <w:bottom w:val="single" w:color="000000" w:sz="6" w:space="0"/>
            </w:tcBorders>
            <w:vAlign w:val="center"/>
          </w:tcPr>
          <w:p w14:paraId="2178701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5"/>
                <w:highlight w:val="none"/>
              </w:rPr>
              <w:t>合</w:t>
            </w:r>
            <w:r>
              <w:rPr>
                <w:color w:val="auto"/>
                <w:spacing w:val="10"/>
                <w:highlight w:val="none"/>
              </w:rPr>
              <w:t xml:space="preserve">  </w:t>
            </w:r>
            <w:r>
              <w:rPr>
                <w:color w:val="auto"/>
                <w:spacing w:val="-5"/>
                <w:highlight w:val="none"/>
              </w:rPr>
              <w:t>计</w:t>
            </w:r>
            <w:r>
              <w:rPr>
                <w:color w:val="auto"/>
                <w:spacing w:val="50"/>
                <w:highlight w:val="none"/>
              </w:rPr>
              <w:t xml:space="preserve"> </w:t>
            </w:r>
            <w:r>
              <w:rPr>
                <w:color w:val="auto"/>
                <w:spacing w:val="-5"/>
                <w:highlight w:val="none"/>
              </w:rPr>
              <w:t>(元)</w:t>
            </w:r>
          </w:p>
        </w:tc>
        <w:tc>
          <w:tcPr>
            <w:tcW w:w="597" w:type="dxa"/>
            <w:tcBorders>
              <w:bottom w:val="single" w:color="000000" w:sz="6" w:space="0"/>
            </w:tcBorders>
            <w:vAlign w:val="center"/>
          </w:tcPr>
          <w:p w14:paraId="4020737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00" w:type="dxa"/>
            <w:tcBorders>
              <w:bottom w:val="single" w:color="000000" w:sz="6" w:space="0"/>
            </w:tcBorders>
            <w:vAlign w:val="center"/>
          </w:tcPr>
          <w:p w14:paraId="631EB11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tcBorders>
              <w:bottom w:val="single" w:color="000000" w:sz="6" w:space="0"/>
            </w:tcBorders>
            <w:vAlign w:val="center"/>
          </w:tcPr>
          <w:p w14:paraId="6B10778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366" w:type="dxa"/>
            <w:gridSpan w:val="4"/>
            <w:tcBorders>
              <w:bottom w:val="single" w:color="000000" w:sz="6" w:space="0"/>
            </w:tcBorders>
            <w:vAlign w:val="center"/>
          </w:tcPr>
          <w:p w14:paraId="52AE849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1"/>
                <w:highlight w:val="none"/>
              </w:rPr>
              <w:t xml:space="preserve"> </w:t>
            </w:r>
            <w:r>
              <w:rPr>
                <w:color w:val="auto"/>
                <w:spacing w:val="-6"/>
                <w:highlight w:val="none"/>
              </w:rPr>
              <w:t>(元)</w:t>
            </w:r>
          </w:p>
        </w:tc>
        <w:tc>
          <w:tcPr>
            <w:tcW w:w="715" w:type="dxa"/>
            <w:tcBorders>
              <w:bottom w:val="single" w:color="000000" w:sz="6" w:space="0"/>
            </w:tcBorders>
            <w:vAlign w:val="center"/>
          </w:tcPr>
          <w:p w14:paraId="4B65F50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48" w:type="dxa"/>
            <w:tcBorders>
              <w:bottom w:val="single" w:color="000000" w:sz="6" w:space="0"/>
            </w:tcBorders>
            <w:vAlign w:val="center"/>
          </w:tcPr>
          <w:p w14:paraId="2723326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24" w:type="dxa"/>
            <w:tcBorders>
              <w:bottom w:val="single" w:color="000000" w:sz="6" w:space="0"/>
              <w:right w:val="single" w:color="000000" w:sz="6" w:space="0"/>
            </w:tcBorders>
            <w:vAlign w:val="center"/>
          </w:tcPr>
          <w:p w14:paraId="722F6C9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bl>
    <w:p w14:paraId="33883428">
      <w:pPr>
        <w:rPr>
          <w:rFonts w:ascii="Arial"/>
          <w:color w:val="auto"/>
          <w:sz w:val="21"/>
          <w:highlight w:val="none"/>
        </w:rPr>
      </w:pPr>
    </w:p>
    <w:p w14:paraId="2662A610">
      <w:pPr>
        <w:rPr>
          <w:rFonts w:ascii="Arial" w:hAnsi="Arial" w:eastAsia="Arial" w:cs="Arial"/>
          <w:color w:val="auto"/>
          <w:sz w:val="21"/>
          <w:szCs w:val="21"/>
          <w:highlight w:val="none"/>
        </w:rPr>
        <w:sectPr>
          <w:footerReference r:id="rId58" w:type="default"/>
          <w:pgSz w:w="11905" w:h="16838"/>
          <w:pgMar w:top="1134" w:right="1134" w:bottom="1134" w:left="1134" w:header="0" w:footer="1066" w:gutter="0"/>
          <w:pgNumType w:fmt="decimal"/>
          <w:cols w:space="0" w:num="1"/>
          <w:rtlGutter w:val="0"/>
          <w:docGrid w:linePitch="0" w:charSpace="0"/>
        </w:sectPr>
      </w:pPr>
    </w:p>
    <w:p w14:paraId="09B11B8D">
      <w:pPr>
        <w:spacing w:line="241" w:lineRule="auto"/>
        <w:rPr>
          <w:rFonts w:ascii="Arial"/>
          <w:color w:val="auto"/>
          <w:sz w:val="21"/>
          <w:highlight w:val="none"/>
        </w:rPr>
      </w:pPr>
    </w:p>
    <w:p w14:paraId="1EA5F42B">
      <w:pPr>
        <w:pStyle w:val="4"/>
        <w:bidi w:val="0"/>
        <w:jc w:val="center"/>
        <w:rPr>
          <w:color w:val="auto"/>
          <w:highlight w:val="none"/>
        </w:rPr>
      </w:pPr>
      <w:r>
        <w:rPr>
          <w:color w:val="auto"/>
          <w:highlight w:val="none"/>
        </w:rPr>
        <w:t>表 5  监理试验设施费报价表（常规检测）</w:t>
      </w:r>
    </w:p>
    <w:tbl>
      <w:tblPr>
        <w:tblStyle w:val="19"/>
        <w:tblW w:w="10085" w:type="dxa"/>
        <w:tblInd w:w="-1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719"/>
        <w:gridCol w:w="553"/>
        <w:gridCol w:w="486"/>
        <w:gridCol w:w="746"/>
        <w:gridCol w:w="16"/>
        <w:gridCol w:w="643"/>
        <w:gridCol w:w="653"/>
        <w:gridCol w:w="862"/>
        <w:gridCol w:w="854"/>
        <w:gridCol w:w="578"/>
        <w:gridCol w:w="476"/>
        <w:gridCol w:w="722"/>
        <w:gridCol w:w="717"/>
        <w:gridCol w:w="717"/>
        <w:gridCol w:w="866"/>
      </w:tblGrid>
      <w:tr w14:paraId="1B870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477" w:type="dxa"/>
            <w:vMerge w:val="restart"/>
            <w:tcBorders>
              <w:top w:val="single" w:color="000000" w:sz="6" w:space="0"/>
              <w:left w:val="single" w:color="000000" w:sz="6" w:space="0"/>
              <w:bottom w:val="nil"/>
            </w:tcBorders>
            <w:textDirection w:val="tbRlV"/>
            <w:vAlign w:val="center"/>
          </w:tcPr>
          <w:p w14:paraId="0B47F456">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序</w:t>
            </w:r>
            <w:r>
              <w:rPr>
                <w:color w:val="auto"/>
                <w:spacing w:val="90"/>
                <w:highlight w:val="none"/>
              </w:rPr>
              <w:t xml:space="preserve"> </w:t>
            </w:r>
            <w:r>
              <w:rPr>
                <w:color w:val="auto"/>
                <w:spacing w:val="8"/>
                <w:highlight w:val="none"/>
              </w:rPr>
              <w:t>号</w:t>
            </w:r>
          </w:p>
        </w:tc>
        <w:tc>
          <w:tcPr>
            <w:tcW w:w="4678" w:type="dxa"/>
            <w:gridSpan w:val="8"/>
            <w:tcBorders>
              <w:top w:val="single" w:color="000000" w:sz="6" w:space="0"/>
            </w:tcBorders>
            <w:vAlign w:val="center"/>
          </w:tcPr>
          <w:p w14:paraId="60090E81">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7"/>
                <w:highlight w:val="none"/>
              </w:rPr>
              <w:t>施工期</w:t>
            </w:r>
          </w:p>
        </w:tc>
        <w:tc>
          <w:tcPr>
            <w:tcW w:w="4930" w:type="dxa"/>
            <w:gridSpan w:val="7"/>
            <w:tcBorders>
              <w:top w:val="single" w:color="000000" w:sz="6" w:space="0"/>
              <w:right w:val="single" w:color="000000" w:sz="6" w:space="0"/>
            </w:tcBorders>
            <w:vAlign w:val="center"/>
          </w:tcPr>
          <w:p w14:paraId="06F011B9">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缺陷责任期</w:t>
            </w:r>
          </w:p>
        </w:tc>
      </w:tr>
      <w:tr w14:paraId="571AA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trPr>
        <w:tc>
          <w:tcPr>
            <w:tcW w:w="477" w:type="dxa"/>
            <w:vMerge w:val="continue"/>
            <w:tcBorders>
              <w:top w:val="nil"/>
              <w:left w:val="single" w:color="000000" w:sz="6" w:space="0"/>
            </w:tcBorders>
            <w:textDirection w:val="tbRlV"/>
            <w:vAlign w:val="center"/>
          </w:tcPr>
          <w:p w14:paraId="5F7F81D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9" w:type="dxa"/>
            <w:vAlign w:val="center"/>
          </w:tcPr>
          <w:p w14:paraId="0B50330D">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设备名称</w:t>
            </w:r>
          </w:p>
        </w:tc>
        <w:tc>
          <w:tcPr>
            <w:tcW w:w="553" w:type="dxa"/>
            <w:vAlign w:val="center"/>
          </w:tcPr>
          <w:p w14:paraId="3F7AB935">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1"/>
                <w:highlight w:val="none"/>
              </w:rPr>
              <w:t>型号</w:t>
            </w:r>
          </w:p>
        </w:tc>
        <w:tc>
          <w:tcPr>
            <w:tcW w:w="486" w:type="dxa"/>
            <w:vAlign w:val="center"/>
          </w:tcPr>
          <w:p w14:paraId="0C2E9F57">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746" w:type="dxa"/>
            <w:vAlign w:val="center"/>
          </w:tcPr>
          <w:p w14:paraId="7CEB2F9E">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购置合价</w:t>
            </w:r>
            <w:r>
              <w:rPr>
                <w:color w:val="auto"/>
                <w:spacing w:val="-8"/>
                <w:highlight w:val="none"/>
              </w:rPr>
              <w:t>(元)</w:t>
            </w:r>
          </w:p>
        </w:tc>
        <w:tc>
          <w:tcPr>
            <w:tcW w:w="659" w:type="dxa"/>
            <w:gridSpan w:val="2"/>
            <w:vAlign w:val="center"/>
          </w:tcPr>
          <w:p w14:paraId="4A0DD7EB">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653" w:type="dxa"/>
            <w:vAlign w:val="center"/>
          </w:tcPr>
          <w:p w14:paraId="765335BE">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9"/>
                <w:highlight w:val="none"/>
              </w:rPr>
              <w:t>(元)</w:t>
            </w:r>
          </w:p>
        </w:tc>
        <w:tc>
          <w:tcPr>
            <w:tcW w:w="862" w:type="dxa"/>
            <w:vAlign w:val="center"/>
          </w:tcPr>
          <w:p w14:paraId="6ECCFEB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小计</w:t>
            </w:r>
          </w:p>
          <w:p w14:paraId="118916B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w:t>
            </w:r>
            <w:r>
              <w:rPr>
                <w:color w:val="auto"/>
                <w:spacing w:val="-9"/>
                <w:highlight w:val="none"/>
              </w:rPr>
              <w:t>费</w:t>
            </w:r>
            <w:r>
              <w:rPr>
                <w:color w:val="auto"/>
                <w:spacing w:val="-55"/>
                <w:highlight w:val="none"/>
              </w:rPr>
              <w:t xml:space="preserve"> </w:t>
            </w:r>
            <w:r>
              <w:rPr>
                <w:color w:val="auto"/>
                <w:spacing w:val="-9"/>
                <w:highlight w:val="none"/>
              </w:rPr>
              <w:t>(元)</w:t>
            </w:r>
          </w:p>
        </w:tc>
        <w:tc>
          <w:tcPr>
            <w:tcW w:w="854" w:type="dxa"/>
            <w:vAlign w:val="center"/>
          </w:tcPr>
          <w:p w14:paraId="70208596">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设备名称</w:t>
            </w:r>
          </w:p>
        </w:tc>
        <w:tc>
          <w:tcPr>
            <w:tcW w:w="578" w:type="dxa"/>
            <w:vAlign w:val="center"/>
          </w:tcPr>
          <w:p w14:paraId="653E05CE">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highlight w:val="none"/>
              </w:rPr>
            </w:pPr>
          </w:p>
          <w:p w14:paraId="79F5C42B">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1"/>
                <w:highlight w:val="none"/>
              </w:rPr>
              <w:t>型号</w:t>
            </w:r>
          </w:p>
        </w:tc>
        <w:tc>
          <w:tcPr>
            <w:tcW w:w="476" w:type="dxa"/>
            <w:vAlign w:val="center"/>
          </w:tcPr>
          <w:p w14:paraId="570EDA9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722" w:type="dxa"/>
            <w:vAlign w:val="center"/>
          </w:tcPr>
          <w:p w14:paraId="404AD542">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购置合价</w:t>
            </w:r>
            <w:r>
              <w:rPr>
                <w:color w:val="auto"/>
                <w:spacing w:val="-9"/>
                <w:highlight w:val="none"/>
              </w:rPr>
              <w:t>(元)</w:t>
            </w:r>
          </w:p>
        </w:tc>
        <w:tc>
          <w:tcPr>
            <w:tcW w:w="717" w:type="dxa"/>
            <w:vAlign w:val="center"/>
          </w:tcPr>
          <w:p w14:paraId="70B562C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717" w:type="dxa"/>
            <w:vAlign w:val="center"/>
          </w:tcPr>
          <w:p w14:paraId="52ED8326">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9"/>
                <w:highlight w:val="none"/>
              </w:rPr>
              <w:t>(元)</w:t>
            </w:r>
          </w:p>
        </w:tc>
        <w:tc>
          <w:tcPr>
            <w:tcW w:w="866" w:type="dxa"/>
            <w:tcBorders>
              <w:right w:val="single" w:color="000000" w:sz="6" w:space="0"/>
            </w:tcBorders>
            <w:vAlign w:val="center"/>
          </w:tcPr>
          <w:p w14:paraId="1EEB6D61">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小计</w:t>
            </w:r>
          </w:p>
          <w:p w14:paraId="5322CDE1">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w:t>
            </w:r>
            <w:r>
              <w:rPr>
                <w:color w:val="auto"/>
                <w:spacing w:val="-10"/>
                <w:highlight w:val="none"/>
              </w:rPr>
              <w:t>费</w:t>
            </w:r>
            <w:r>
              <w:rPr>
                <w:color w:val="auto"/>
                <w:spacing w:val="-53"/>
                <w:highlight w:val="none"/>
              </w:rPr>
              <w:t xml:space="preserve"> </w:t>
            </w:r>
            <w:r>
              <w:rPr>
                <w:color w:val="auto"/>
                <w:spacing w:val="-10"/>
                <w:highlight w:val="none"/>
              </w:rPr>
              <w:t>(元)</w:t>
            </w:r>
          </w:p>
        </w:tc>
      </w:tr>
      <w:tr w14:paraId="57938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477" w:type="dxa"/>
            <w:tcBorders>
              <w:left w:val="single" w:color="000000" w:sz="6" w:space="0"/>
            </w:tcBorders>
            <w:vAlign w:val="center"/>
          </w:tcPr>
          <w:p w14:paraId="3D93BF52">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719" w:type="dxa"/>
            <w:vAlign w:val="center"/>
          </w:tcPr>
          <w:p w14:paraId="019471D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73996A4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3C58E80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2585672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094B824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60D019F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07DFADA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70B4518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5EF4C5D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28605BA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3705DA3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5CD382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78B6594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222A10C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698FF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477" w:type="dxa"/>
            <w:tcBorders>
              <w:left w:val="single" w:color="000000" w:sz="6" w:space="0"/>
            </w:tcBorders>
            <w:vAlign w:val="center"/>
          </w:tcPr>
          <w:p w14:paraId="1E903B1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2</w:t>
            </w:r>
          </w:p>
        </w:tc>
        <w:tc>
          <w:tcPr>
            <w:tcW w:w="719" w:type="dxa"/>
            <w:vAlign w:val="center"/>
          </w:tcPr>
          <w:p w14:paraId="0114E8C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54481CA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4803C19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1DE6392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22D3819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198959D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266E981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57640F4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2B5F097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52F1DDE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7E4D371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3CE280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7F3E564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422F04F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38026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77" w:type="dxa"/>
            <w:tcBorders>
              <w:left w:val="single" w:color="000000" w:sz="6" w:space="0"/>
            </w:tcBorders>
            <w:vAlign w:val="center"/>
          </w:tcPr>
          <w:p w14:paraId="438E152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3</w:t>
            </w:r>
          </w:p>
        </w:tc>
        <w:tc>
          <w:tcPr>
            <w:tcW w:w="719" w:type="dxa"/>
            <w:vAlign w:val="center"/>
          </w:tcPr>
          <w:p w14:paraId="5230F41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648B039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3111ACE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2E960AD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5BBE82D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53E9B09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2DE2C04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5126FD3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5E52575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59316A2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1ABB88B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79F8556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129C2A3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2851E36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38A8E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77" w:type="dxa"/>
            <w:tcBorders>
              <w:left w:val="single" w:color="000000" w:sz="6" w:space="0"/>
            </w:tcBorders>
            <w:vAlign w:val="center"/>
          </w:tcPr>
          <w:p w14:paraId="01673129">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4</w:t>
            </w:r>
          </w:p>
        </w:tc>
        <w:tc>
          <w:tcPr>
            <w:tcW w:w="719" w:type="dxa"/>
            <w:vAlign w:val="center"/>
          </w:tcPr>
          <w:p w14:paraId="1E75208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3F38BB3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5BD3AA4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2A1D2D3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6A66D88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7531105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3FEEE82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4C8DAF1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3D45C05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2DCB568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66E1A66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5C3DC63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35E17EA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468F939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4D2F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77" w:type="dxa"/>
            <w:tcBorders>
              <w:left w:val="single" w:color="000000" w:sz="6" w:space="0"/>
            </w:tcBorders>
            <w:vAlign w:val="center"/>
          </w:tcPr>
          <w:p w14:paraId="487B6396">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5</w:t>
            </w:r>
          </w:p>
        </w:tc>
        <w:tc>
          <w:tcPr>
            <w:tcW w:w="719" w:type="dxa"/>
            <w:vAlign w:val="center"/>
          </w:tcPr>
          <w:p w14:paraId="34F4FAA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4CC6DC9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7960D3B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51EDB8B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1967334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2589968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11529AC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689DE47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000F81A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06F5906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1A5FB85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149B034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58858ED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2B20695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0488B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77" w:type="dxa"/>
            <w:tcBorders>
              <w:left w:val="single" w:color="000000" w:sz="6" w:space="0"/>
            </w:tcBorders>
            <w:vAlign w:val="center"/>
          </w:tcPr>
          <w:p w14:paraId="48E2369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6</w:t>
            </w:r>
          </w:p>
        </w:tc>
        <w:tc>
          <w:tcPr>
            <w:tcW w:w="719" w:type="dxa"/>
            <w:vAlign w:val="center"/>
          </w:tcPr>
          <w:p w14:paraId="490C787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620E09E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161AB22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2CA585F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3C99981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2215584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3377F7F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7A9257D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22B20DF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3F2D43C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27823C0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7AEF8AC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52B8637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1F0A717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6B673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77" w:type="dxa"/>
            <w:tcBorders>
              <w:left w:val="single" w:color="000000" w:sz="6" w:space="0"/>
            </w:tcBorders>
            <w:vAlign w:val="center"/>
          </w:tcPr>
          <w:p w14:paraId="1F6C0051">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w:t>
            </w:r>
          </w:p>
        </w:tc>
        <w:tc>
          <w:tcPr>
            <w:tcW w:w="719" w:type="dxa"/>
            <w:vAlign w:val="center"/>
          </w:tcPr>
          <w:p w14:paraId="6382185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53" w:type="dxa"/>
            <w:vAlign w:val="center"/>
          </w:tcPr>
          <w:p w14:paraId="68EDB42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86" w:type="dxa"/>
            <w:vAlign w:val="center"/>
          </w:tcPr>
          <w:p w14:paraId="7EAE0A6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46" w:type="dxa"/>
            <w:vAlign w:val="center"/>
          </w:tcPr>
          <w:p w14:paraId="355D53F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9" w:type="dxa"/>
            <w:gridSpan w:val="2"/>
            <w:vAlign w:val="center"/>
          </w:tcPr>
          <w:p w14:paraId="520194F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vAlign w:val="center"/>
          </w:tcPr>
          <w:p w14:paraId="1AE358E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vAlign w:val="center"/>
          </w:tcPr>
          <w:p w14:paraId="0C095F4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54" w:type="dxa"/>
            <w:vAlign w:val="center"/>
          </w:tcPr>
          <w:p w14:paraId="005ED63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78" w:type="dxa"/>
            <w:vAlign w:val="center"/>
          </w:tcPr>
          <w:p w14:paraId="3445E60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476" w:type="dxa"/>
            <w:vAlign w:val="center"/>
          </w:tcPr>
          <w:p w14:paraId="7D8D619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22" w:type="dxa"/>
            <w:vAlign w:val="center"/>
          </w:tcPr>
          <w:p w14:paraId="5F46FCB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045484B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vAlign w:val="center"/>
          </w:tcPr>
          <w:p w14:paraId="24230E3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right w:val="single" w:color="000000" w:sz="6" w:space="0"/>
            </w:tcBorders>
            <w:vAlign w:val="center"/>
          </w:tcPr>
          <w:p w14:paraId="2F2DBF6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69926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2997" w:type="dxa"/>
            <w:gridSpan w:val="6"/>
            <w:tcBorders>
              <w:left w:val="single" w:color="000000" w:sz="6" w:space="0"/>
              <w:bottom w:val="single" w:color="000000" w:sz="6" w:space="0"/>
            </w:tcBorders>
            <w:vAlign w:val="center"/>
          </w:tcPr>
          <w:p w14:paraId="2FD98F58">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1"/>
                <w:highlight w:val="none"/>
              </w:rPr>
              <w:t xml:space="preserve"> </w:t>
            </w:r>
            <w:r>
              <w:rPr>
                <w:color w:val="auto"/>
                <w:spacing w:val="-6"/>
                <w:highlight w:val="none"/>
              </w:rPr>
              <w:t>(元)</w:t>
            </w:r>
          </w:p>
        </w:tc>
        <w:tc>
          <w:tcPr>
            <w:tcW w:w="643" w:type="dxa"/>
            <w:tcBorders>
              <w:bottom w:val="single" w:color="000000" w:sz="6" w:space="0"/>
            </w:tcBorders>
            <w:vAlign w:val="center"/>
          </w:tcPr>
          <w:p w14:paraId="0203CDA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3" w:type="dxa"/>
            <w:tcBorders>
              <w:bottom w:val="single" w:color="000000" w:sz="6" w:space="0"/>
            </w:tcBorders>
            <w:vAlign w:val="center"/>
          </w:tcPr>
          <w:p w14:paraId="3B6FB11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2" w:type="dxa"/>
            <w:tcBorders>
              <w:bottom w:val="single" w:color="000000" w:sz="6" w:space="0"/>
            </w:tcBorders>
            <w:vAlign w:val="center"/>
          </w:tcPr>
          <w:p w14:paraId="5499974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630" w:type="dxa"/>
            <w:gridSpan w:val="4"/>
            <w:tcBorders>
              <w:bottom w:val="single" w:color="000000" w:sz="6" w:space="0"/>
            </w:tcBorders>
            <w:vAlign w:val="center"/>
          </w:tcPr>
          <w:p w14:paraId="268B08B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1"/>
                <w:highlight w:val="none"/>
              </w:rPr>
              <w:t xml:space="preserve"> </w:t>
            </w:r>
            <w:r>
              <w:rPr>
                <w:color w:val="auto"/>
                <w:spacing w:val="-6"/>
                <w:highlight w:val="none"/>
              </w:rPr>
              <w:t>(元)</w:t>
            </w:r>
          </w:p>
        </w:tc>
        <w:tc>
          <w:tcPr>
            <w:tcW w:w="717" w:type="dxa"/>
            <w:tcBorders>
              <w:bottom w:val="single" w:color="000000" w:sz="6" w:space="0"/>
            </w:tcBorders>
            <w:vAlign w:val="center"/>
          </w:tcPr>
          <w:p w14:paraId="6A35391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17" w:type="dxa"/>
            <w:tcBorders>
              <w:bottom w:val="single" w:color="000000" w:sz="6" w:space="0"/>
            </w:tcBorders>
            <w:vAlign w:val="center"/>
          </w:tcPr>
          <w:p w14:paraId="6214340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66" w:type="dxa"/>
            <w:tcBorders>
              <w:bottom w:val="single" w:color="000000" w:sz="6" w:space="0"/>
              <w:right w:val="single" w:color="000000" w:sz="6" w:space="0"/>
            </w:tcBorders>
            <w:vAlign w:val="center"/>
          </w:tcPr>
          <w:p w14:paraId="32125C1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bl>
    <w:p w14:paraId="51493088">
      <w:pPr>
        <w:rPr>
          <w:rFonts w:ascii="Arial"/>
          <w:color w:val="auto"/>
          <w:sz w:val="21"/>
          <w:highlight w:val="none"/>
        </w:rPr>
      </w:pPr>
    </w:p>
    <w:p w14:paraId="778443DE">
      <w:pPr>
        <w:rPr>
          <w:rFonts w:ascii="Arial" w:hAnsi="Arial" w:eastAsia="Arial" w:cs="Arial"/>
          <w:color w:val="auto"/>
          <w:sz w:val="21"/>
          <w:szCs w:val="21"/>
          <w:highlight w:val="none"/>
        </w:rPr>
        <w:sectPr>
          <w:footerReference r:id="rId59" w:type="default"/>
          <w:pgSz w:w="11905" w:h="16838"/>
          <w:pgMar w:top="1134" w:right="1134" w:bottom="1134" w:left="1134" w:header="0" w:footer="1066" w:gutter="0"/>
          <w:pgNumType w:fmt="decimal"/>
          <w:cols w:space="0" w:num="1"/>
          <w:rtlGutter w:val="0"/>
          <w:docGrid w:linePitch="0" w:charSpace="0"/>
        </w:sectPr>
      </w:pPr>
    </w:p>
    <w:p w14:paraId="27B9C6EB">
      <w:pPr>
        <w:spacing w:line="241" w:lineRule="auto"/>
        <w:rPr>
          <w:rFonts w:ascii="Arial"/>
          <w:color w:val="auto"/>
          <w:sz w:val="21"/>
          <w:highlight w:val="none"/>
        </w:rPr>
      </w:pPr>
    </w:p>
    <w:p w14:paraId="50A5424A">
      <w:pPr>
        <w:pStyle w:val="4"/>
        <w:bidi w:val="0"/>
        <w:jc w:val="center"/>
        <w:rPr>
          <w:color w:val="auto"/>
          <w:highlight w:val="none"/>
        </w:rPr>
      </w:pPr>
      <w:r>
        <w:rPr>
          <w:color w:val="auto"/>
          <w:highlight w:val="none"/>
        </w:rPr>
        <w:t>表 6  监理工程师生活设施费报价表</w:t>
      </w:r>
    </w:p>
    <w:p w14:paraId="4CEA0EF6">
      <w:pPr>
        <w:spacing w:before="91" w:line="212" w:lineRule="auto"/>
        <w:jc w:val="center"/>
        <w:rPr>
          <w:rFonts w:ascii="宋体" w:hAnsi="宋体" w:eastAsia="宋体" w:cs="宋体"/>
          <w:b/>
          <w:bCs/>
          <w:color w:val="auto"/>
          <w:spacing w:val="-4"/>
          <w:sz w:val="28"/>
          <w:szCs w:val="28"/>
          <w:highlight w:val="none"/>
        </w:rPr>
      </w:pPr>
    </w:p>
    <w:tbl>
      <w:tblPr>
        <w:tblStyle w:val="19"/>
        <w:tblW w:w="969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3"/>
        <w:gridCol w:w="952"/>
        <w:gridCol w:w="513"/>
        <w:gridCol w:w="674"/>
        <w:gridCol w:w="658"/>
        <w:gridCol w:w="688"/>
        <w:gridCol w:w="1023"/>
        <w:gridCol w:w="1016"/>
        <w:gridCol w:w="564"/>
        <w:gridCol w:w="730"/>
        <w:gridCol w:w="709"/>
        <w:gridCol w:w="709"/>
        <w:gridCol w:w="1030"/>
      </w:tblGrid>
      <w:tr w14:paraId="35E73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433" w:type="dxa"/>
            <w:vMerge w:val="restart"/>
            <w:tcBorders>
              <w:top w:val="single" w:color="000000" w:sz="6" w:space="0"/>
              <w:left w:val="single" w:color="000000" w:sz="6" w:space="0"/>
              <w:bottom w:val="nil"/>
            </w:tcBorders>
            <w:textDirection w:val="tbRlV"/>
            <w:vAlign w:val="center"/>
          </w:tcPr>
          <w:p w14:paraId="2E19CD65">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序</w:t>
            </w:r>
            <w:r>
              <w:rPr>
                <w:color w:val="auto"/>
                <w:spacing w:val="90"/>
                <w:highlight w:val="none"/>
              </w:rPr>
              <w:t xml:space="preserve"> </w:t>
            </w:r>
            <w:r>
              <w:rPr>
                <w:color w:val="auto"/>
                <w:spacing w:val="8"/>
                <w:highlight w:val="none"/>
              </w:rPr>
              <w:t>号</w:t>
            </w:r>
          </w:p>
        </w:tc>
        <w:tc>
          <w:tcPr>
            <w:tcW w:w="4508" w:type="dxa"/>
            <w:gridSpan w:val="6"/>
            <w:tcBorders>
              <w:top w:val="single" w:color="000000" w:sz="6" w:space="0"/>
            </w:tcBorders>
            <w:vAlign w:val="center"/>
          </w:tcPr>
          <w:p w14:paraId="2B168092">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7"/>
                <w:highlight w:val="none"/>
              </w:rPr>
              <w:t>施工期</w:t>
            </w:r>
          </w:p>
        </w:tc>
        <w:tc>
          <w:tcPr>
            <w:tcW w:w="4758" w:type="dxa"/>
            <w:gridSpan w:val="6"/>
            <w:tcBorders>
              <w:top w:val="single" w:color="000000" w:sz="6" w:space="0"/>
              <w:right w:val="single" w:color="000000" w:sz="6" w:space="0"/>
            </w:tcBorders>
            <w:vAlign w:val="center"/>
          </w:tcPr>
          <w:p w14:paraId="3BAC0590">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缺陷责任期</w:t>
            </w:r>
          </w:p>
        </w:tc>
      </w:tr>
      <w:tr w14:paraId="2E49C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trPr>
        <w:tc>
          <w:tcPr>
            <w:tcW w:w="433" w:type="dxa"/>
            <w:vMerge w:val="continue"/>
            <w:tcBorders>
              <w:top w:val="nil"/>
              <w:left w:val="single" w:color="000000" w:sz="6" w:space="0"/>
            </w:tcBorders>
            <w:textDirection w:val="tbRlV"/>
            <w:vAlign w:val="center"/>
          </w:tcPr>
          <w:p w14:paraId="246920C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952" w:type="dxa"/>
            <w:vAlign w:val="center"/>
          </w:tcPr>
          <w:p w14:paraId="555A6B2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名称及型号</w:t>
            </w:r>
          </w:p>
        </w:tc>
        <w:tc>
          <w:tcPr>
            <w:tcW w:w="513" w:type="dxa"/>
            <w:vAlign w:val="center"/>
          </w:tcPr>
          <w:p w14:paraId="5F187930">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674" w:type="dxa"/>
            <w:vAlign w:val="center"/>
          </w:tcPr>
          <w:p w14:paraId="0ADC2C18">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w:t>
            </w:r>
            <w:r>
              <w:rPr>
                <w:color w:val="auto"/>
                <w:spacing w:val="-6"/>
                <w:highlight w:val="none"/>
              </w:rPr>
              <w:t>价</w:t>
            </w:r>
            <w:r>
              <w:rPr>
                <w:color w:val="auto"/>
                <w:spacing w:val="-56"/>
                <w:highlight w:val="none"/>
              </w:rPr>
              <w:t xml:space="preserve"> </w:t>
            </w:r>
            <w:r>
              <w:rPr>
                <w:color w:val="auto"/>
                <w:spacing w:val="-6"/>
                <w:highlight w:val="none"/>
              </w:rPr>
              <w:t>(元)</w:t>
            </w:r>
          </w:p>
        </w:tc>
        <w:tc>
          <w:tcPr>
            <w:tcW w:w="658" w:type="dxa"/>
            <w:vAlign w:val="center"/>
          </w:tcPr>
          <w:p w14:paraId="274FA727">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688" w:type="dxa"/>
            <w:vAlign w:val="center"/>
          </w:tcPr>
          <w:p w14:paraId="193064C2">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9"/>
                <w:highlight w:val="none"/>
              </w:rPr>
              <w:t>(元)</w:t>
            </w:r>
          </w:p>
        </w:tc>
        <w:tc>
          <w:tcPr>
            <w:tcW w:w="1023" w:type="dxa"/>
            <w:vAlign w:val="center"/>
          </w:tcPr>
          <w:p w14:paraId="7D17B91C">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w:t>
            </w:r>
            <w:r>
              <w:rPr>
                <w:color w:val="auto"/>
                <w:spacing w:val="9"/>
                <w:highlight w:val="none"/>
              </w:rPr>
              <w:t xml:space="preserve">  </w:t>
            </w:r>
            <w:r>
              <w:rPr>
                <w:color w:val="auto"/>
                <w:spacing w:val="-2"/>
                <w:highlight w:val="none"/>
              </w:rPr>
              <w:t>计</w:t>
            </w:r>
          </w:p>
          <w:p w14:paraId="3E2343D6">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折旧及使用费</w:t>
            </w:r>
          </w:p>
          <w:p w14:paraId="566E1A0C">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c>
          <w:tcPr>
            <w:tcW w:w="1016" w:type="dxa"/>
            <w:vAlign w:val="center"/>
          </w:tcPr>
          <w:p w14:paraId="3C5D46A3">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highlight w:val="none"/>
              </w:rPr>
            </w:pPr>
          </w:p>
          <w:p w14:paraId="27788187">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名称及型号</w:t>
            </w:r>
          </w:p>
        </w:tc>
        <w:tc>
          <w:tcPr>
            <w:tcW w:w="564" w:type="dxa"/>
            <w:vAlign w:val="center"/>
          </w:tcPr>
          <w:p w14:paraId="35178B48">
            <w:pPr>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rFonts w:ascii="Arial"/>
                <w:color w:val="auto"/>
                <w:sz w:val="21"/>
                <w:highlight w:val="none"/>
              </w:rPr>
            </w:pPr>
          </w:p>
          <w:p w14:paraId="364CED76">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3"/>
                <w:highlight w:val="none"/>
              </w:rPr>
              <w:t>数量</w:t>
            </w:r>
          </w:p>
        </w:tc>
        <w:tc>
          <w:tcPr>
            <w:tcW w:w="730" w:type="dxa"/>
            <w:vAlign w:val="center"/>
          </w:tcPr>
          <w:p w14:paraId="4B383402">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购置合价</w:t>
            </w:r>
            <w:r>
              <w:rPr>
                <w:color w:val="auto"/>
                <w:spacing w:val="-9"/>
                <w:highlight w:val="none"/>
              </w:rPr>
              <w:t>(元)</w:t>
            </w:r>
          </w:p>
        </w:tc>
        <w:tc>
          <w:tcPr>
            <w:tcW w:w="709" w:type="dxa"/>
            <w:vAlign w:val="center"/>
          </w:tcPr>
          <w:p w14:paraId="3FD5F214">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折旧费</w:t>
            </w:r>
            <w:r>
              <w:rPr>
                <w:color w:val="auto"/>
                <w:spacing w:val="-9"/>
                <w:highlight w:val="none"/>
              </w:rPr>
              <w:t>(元)</w:t>
            </w:r>
          </w:p>
        </w:tc>
        <w:tc>
          <w:tcPr>
            <w:tcW w:w="709" w:type="dxa"/>
            <w:vAlign w:val="center"/>
          </w:tcPr>
          <w:p w14:paraId="0900272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6"/>
                <w:highlight w:val="none"/>
              </w:rPr>
              <w:t>使用费</w:t>
            </w:r>
            <w:r>
              <w:rPr>
                <w:color w:val="auto"/>
                <w:spacing w:val="-8"/>
                <w:highlight w:val="none"/>
              </w:rPr>
              <w:t>(元)</w:t>
            </w:r>
          </w:p>
        </w:tc>
        <w:tc>
          <w:tcPr>
            <w:tcW w:w="1030" w:type="dxa"/>
            <w:tcBorders>
              <w:right w:val="single" w:color="000000" w:sz="6" w:space="0"/>
            </w:tcBorders>
            <w:vAlign w:val="center"/>
          </w:tcPr>
          <w:p w14:paraId="7A1D2127">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2"/>
                <w:highlight w:val="none"/>
              </w:rPr>
              <w:t>小</w:t>
            </w:r>
            <w:r>
              <w:rPr>
                <w:color w:val="auto"/>
                <w:spacing w:val="9"/>
                <w:highlight w:val="none"/>
              </w:rPr>
              <w:t xml:space="preserve">  </w:t>
            </w:r>
            <w:r>
              <w:rPr>
                <w:color w:val="auto"/>
                <w:spacing w:val="-2"/>
                <w:highlight w:val="none"/>
              </w:rPr>
              <w:t>计</w:t>
            </w:r>
          </w:p>
          <w:p w14:paraId="1DF675B3">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7"/>
                <w:highlight w:val="none"/>
              </w:rPr>
              <w:t>折旧及使用费</w:t>
            </w:r>
          </w:p>
          <w:p w14:paraId="23AC2CEC">
            <w:pPr>
              <w:pStyle w:val="20"/>
              <w:keepNext w:val="0"/>
              <w:keepLines w:val="0"/>
              <w:pageBreakBefore w:val="0"/>
              <w:widowControl/>
              <w:kinsoku w:val="0"/>
              <w:wordWrap/>
              <w:overflowPunct/>
              <w:topLinePunct w:val="0"/>
              <w:autoSpaceDE w:val="0"/>
              <w:autoSpaceDN w:val="0"/>
              <w:bidi w:val="0"/>
              <w:adjustRightInd/>
              <w:snapToGrid/>
              <w:spacing w:line="240" w:lineRule="auto"/>
              <w:ind w:left="0" w:right="0" w:firstLine="0"/>
              <w:jc w:val="center"/>
              <w:textAlignment w:val="baseline"/>
              <w:rPr>
                <w:color w:val="auto"/>
                <w:highlight w:val="none"/>
              </w:rPr>
            </w:pPr>
            <w:r>
              <w:rPr>
                <w:color w:val="auto"/>
                <w:spacing w:val="-9"/>
                <w:highlight w:val="none"/>
              </w:rPr>
              <w:t>(元)</w:t>
            </w:r>
          </w:p>
        </w:tc>
      </w:tr>
      <w:tr w14:paraId="39A9A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5E1A287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1</w:t>
            </w:r>
          </w:p>
        </w:tc>
        <w:tc>
          <w:tcPr>
            <w:tcW w:w="952" w:type="dxa"/>
            <w:vAlign w:val="center"/>
          </w:tcPr>
          <w:p w14:paraId="185ED81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087DE2E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0F2013F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0108D4C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6F2B172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227A503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46BD136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50E2DB1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04188F3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1087C00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6D1D49D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7221F75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A152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6F12A92E">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2</w:t>
            </w:r>
          </w:p>
        </w:tc>
        <w:tc>
          <w:tcPr>
            <w:tcW w:w="952" w:type="dxa"/>
            <w:vAlign w:val="center"/>
          </w:tcPr>
          <w:p w14:paraId="6F22349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7B8A426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1CB4038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59D5C39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2D18B8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694EF1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762111E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379BB12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0FB2048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6FD3476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23ABF71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2F28C0C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F1C1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08575D3C">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3</w:t>
            </w:r>
          </w:p>
        </w:tc>
        <w:tc>
          <w:tcPr>
            <w:tcW w:w="952" w:type="dxa"/>
            <w:vAlign w:val="center"/>
          </w:tcPr>
          <w:p w14:paraId="1685C12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62070A8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5664D6F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1E3D266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6842F4B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7791476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495CFB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106BF09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54CA2A6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640BDEC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665C8E8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08D3FCC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0700C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690CA9D4">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4</w:t>
            </w:r>
          </w:p>
        </w:tc>
        <w:tc>
          <w:tcPr>
            <w:tcW w:w="952" w:type="dxa"/>
            <w:vAlign w:val="center"/>
          </w:tcPr>
          <w:p w14:paraId="1211ADA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6114167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134ACDB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62D9F2B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0D0C8DA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201486A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570DC01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1CDF174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35C6BE2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3A7AF30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266E784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6CDCAE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41B26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433" w:type="dxa"/>
            <w:tcBorders>
              <w:left w:val="single" w:color="000000" w:sz="6" w:space="0"/>
            </w:tcBorders>
            <w:vAlign w:val="center"/>
          </w:tcPr>
          <w:p w14:paraId="1A1939A9">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5</w:t>
            </w:r>
          </w:p>
        </w:tc>
        <w:tc>
          <w:tcPr>
            <w:tcW w:w="952" w:type="dxa"/>
            <w:vAlign w:val="center"/>
          </w:tcPr>
          <w:p w14:paraId="0D4FAAC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3DFD532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2B849E7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65A5479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17CD99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0EB4476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5979657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441B32D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15E80D0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1E2A79F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21FC618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36983E9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1865E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2E02E58E">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6</w:t>
            </w:r>
          </w:p>
        </w:tc>
        <w:tc>
          <w:tcPr>
            <w:tcW w:w="952" w:type="dxa"/>
            <w:vAlign w:val="center"/>
          </w:tcPr>
          <w:p w14:paraId="7296C8F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1E0CC16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231915E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744219B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24B34D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57A490D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57D66B7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58B93ED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35B3CD0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5450D64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7F199F6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57B4385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030B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31C46023">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7</w:t>
            </w:r>
          </w:p>
        </w:tc>
        <w:tc>
          <w:tcPr>
            <w:tcW w:w="952" w:type="dxa"/>
            <w:vAlign w:val="center"/>
          </w:tcPr>
          <w:p w14:paraId="3D317EB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28E43DF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3DAF0AC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0855CA7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259B13D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2EA376B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5C19838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3AFD7E8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61A3F4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534712B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028E213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2658757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13A9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0D4AC90A">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8</w:t>
            </w:r>
          </w:p>
        </w:tc>
        <w:tc>
          <w:tcPr>
            <w:tcW w:w="952" w:type="dxa"/>
            <w:vAlign w:val="center"/>
          </w:tcPr>
          <w:p w14:paraId="1022CF9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1252CFC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7195413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10550AD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74FB5B5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521EF85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13292A4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3D6346A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6901AD9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444C286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394639E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55041EE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14DB1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33" w:type="dxa"/>
            <w:tcBorders>
              <w:left w:val="single" w:color="000000" w:sz="6" w:space="0"/>
            </w:tcBorders>
            <w:vAlign w:val="center"/>
          </w:tcPr>
          <w:p w14:paraId="405F28AC">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highlight w:val="none"/>
              </w:rPr>
              <w:t>…</w:t>
            </w:r>
          </w:p>
        </w:tc>
        <w:tc>
          <w:tcPr>
            <w:tcW w:w="952" w:type="dxa"/>
            <w:vAlign w:val="center"/>
          </w:tcPr>
          <w:p w14:paraId="534E0D0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13" w:type="dxa"/>
            <w:vAlign w:val="center"/>
          </w:tcPr>
          <w:p w14:paraId="4B9F11B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74" w:type="dxa"/>
            <w:vAlign w:val="center"/>
          </w:tcPr>
          <w:p w14:paraId="33A5A3E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58" w:type="dxa"/>
            <w:vAlign w:val="center"/>
          </w:tcPr>
          <w:p w14:paraId="2F5B534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vAlign w:val="center"/>
          </w:tcPr>
          <w:p w14:paraId="2C30D9E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vAlign w:val="center"/>
          </w:tcPr>
          <w:p w14:paraId="16AFA15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16" w:type="dxa"/>
            <w:vAlign w:val="center"/>
          </w:tcPr>
          <w:p w14:paraId="691D9D1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564" w:type="dxa"/>
            <w:vAlign w:val="center"/>
          </w:tcPr>
          <w:p w14:paraId="7254542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30" w:type="dxa"/>
            <w:vAlign w:val="center"/>
          </w:tcPr>
          <w:p w14:paraId="0F0475A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36793E0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vAlign w:val="center"/>
          </w:tcPr>
          <w:p w14:paraId="3FA082E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right w:val="single" w:color="000000" w:sz="6" w:space="0"/>
            </w:tcBorders>
            <w:vAlign w:val="center"/>
          </w:tcPr>
          <w:p w14:paraId="67B276B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5DA03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2572" w:type="dxa"/>
            <w:gridSpan w:val="4"/>
            <w:tcBorders>
              <w:left w:val="single" w:color="000000" w:sz="6" w:space="0"/>
              <w:bottom w:val="single" w:color="000000" w:sz="6" w:space="0"/>
            </w:tcBorders>
            <w:vAlign w:val="center"/>
          </w:tcPr>
          <w:p w14:paraId="4C43AA3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5"/>
                <w:highlight w:val="none"/>
              </w:rPr>
              <w:t xml:space="preserve"> </w:t>
            </w:r>
            <w:r>
              <w:rPr>
                <w:color w:val="auto"/>
                <w:spacing w:val="-6"/>
                <w:highlight w:val="none"/>
              </w:rPr>
              <w:t>(元)</w:t>
            </w:r>
          </w:p>
        </w:tc>
        <w:tc>
          <w:tcPr>
            <w:tcW w:w="658" w:type="dxa"/>
            <w:tcBorders>
              <w:bottom w:val="single" w:color="000000" w:sz="6" w:space="0"/>
            </w:tcBorders>
            <w:vAlign w:val="center"/>
          </w:tcPr>
          <w:p w14:paraId="37F462D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688" w:type="dxa"/>
            <w:tcBorders>
              <w:bottom w:val="single" w:color="000000" w:sz="6" w:space="0"/>
            </w:tcBorders>
            <w:vAlign w:val="center"/>
          </w:tcPr>
          <w:p w14:paraId="7D97820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23" w:type="dxa"/>
            <w:tcBorders>
              <w:bottom w:val="single" w:color="000000" w:sz="6" w:space="0"/>
            </w:tcBorders>
            <w:vAlign w:val="center"/>
          </w:tcPr>
          <w:p w14:paraId="5A11542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310" w:type="dxa"/>
            <w:gridSpan w:val="3"/>
            <w:tcBorders>
              <w:bottom w:val="single" w:color="000000" w:sz="6" w:space="0"/>
            </w:tcBorders>
            <w:vAlign w:val="center"/>
          </w:tcPr>
          <w:p w14:paraId="157247F9">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6"/>
                <w:highlight w:val="none"/>
              </w:rPr>
              <w:t>合</w:t>
            </w:r>
            <w:r>
              <w:rPr>
                <w:color w:val="auto"/>
                <w:spacing w:val="11"/>
                <w:highlight w:val="none"/>
              </w:rPr>
              <w:t xml:space="preserve">  </w:t>
            </w:r>
            <w:r>
              <w:rPr>
                <w:color w:val="auto"/>
                <w:spacing w:val="-6"/>
                <w:highlight w:val="none"/>
              </w:rPr>
              <w:t>计</w:t>
            </w:r>
            <w:r>
              <w:rPr>
                <w:color w:val="auto"/>
                <w:spacing w:val="-55"/>
                <w:highlight w:val="none"/>
              </w:rPr>
              <w:t xml:space="preserve"> </w:t>
            </w:r>
            <w:r>
              <w:rPr>
                <w:color w:val="auto"/>
                <w:spacing w:val="-6"/>
                <w:highlight w:val="none"/>
              </w:rPr>
              <w:t>(元)</w:t>
            </w:r>
          </w:p>
        </w:tc>
        <w:tc>
          <w:tcPr>
            <w:tcW w:w="709" w:type="dxa"/>
            <w:tcBorders>
              <w:bottom w:val="single" w:color="000000" w:sz="6" w:space="0"/>
            </w:tcBorders>
            <w:vAlign w:val="center"/>
          </w:tcPr>
          <w:p w14:paraId="4426A32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09" w:type="dxa"/>
            <w:tcBorders>
              <w:bottom w:val="single" w:color="000000" w:sz="6" w:space="0"/>
            </w:tcBorders>
            <w:vAlign w:val="center"/>
          </w:tcPr>
          <w:p w14:paraId="2A252E2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30" w:type="dxa"/>
            <w:tcBorders>
              <w:bottom w:val="single" w:color="000000" w:sz="6" w:space="0"/>
              <w:right w:val="single" w:color="000000" w:sz="6" w:space="0"/>
            </w:tcBorders>
            <w:vAlign w:val="center"/>
          </w:tcPr>
          <w:p w14:paraId="45B6180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bl>
    <w:p w14:paraId="172E73F6">
      <w:pPr>
        <w:rPr>
          <w:rFonts w:ascii="Arial"/>
          <w:color w:val="auto"/>
          <w:sz w:val="21"/>
          <w:highlight w:val="none"/>
        </w:rPr>
      </w:pPr>
    </w:p>
    <w:p w14:paraId="5245AC4C">
      <w:pPr>
        <w:rPr>
          <w:rFonts w:ascii="Arial" w:hAnsi="Arial" w:eastAsia="Arial" w:cs="Arial"/>
          <w:color w:val="auto"/>
          <w:sz w:val="21"/>
          <w:szCs w:val="21"/>
          <w:highlight w:val="none"/>
        </w:rPr>
        <w:sectPr>
          <w:footerReference r:id="rId60" w:type="default"/>
          <w:pgSz w:w="11905" w:h="16838"/>
          <w:pgMar w:top="1134" w:right="1134" w:bottom="1134" w:left="1134" w:header="0" w:footer="1066" w:gutter="0"/>
          <w:pgNumType w:fmt="decimal"/>
          <w:cols w:space="0" w:num="1"/>
          <w:rtlGutter w:val="0"/>
          <w:docGrid w:linePitch="0" w:charSpace="0"/>
        </w:sectPr>
      </w:pPr>
    </w:p>
    <w:p w14:paraId="0C552FA8">
      <w:pPr>
        <w:spacing w:line="242" w:lineRule="auto"/>
        <w:rPr>
          <w:rFonts w:ascii="Arial"/>
          <w:color w:val="auto"/>
          <w:sz w:val="21"/>
          <w:highlight w:val="none"/>
        </w:rPr>
      </w:pPr>
    </w:p>
    <w:p w14:paraId="41E124C0">
      <w:pPr>
        <w:pStyle w:val="4"/>
        <w:bidi w:val="0"/>
        <w:jc w:val="center"/>
        <w:rPr>
          <w:rFonts w:ascii="宋体" w:hAnsi="宋体" w:eastAsia="宋体" w:cs="宋体"/>
          <w:b/>
          <w:bCs/>
          <w:color w:val="auto"/>
          <w:spacing w:val="-4"/>
          <w:szCs w:val="28"/>
          <w:highlight w:val="none"/>
        </w:rPr>
      </w:pPr>
      <w:r>
        <w:rPr>
          <w:color w:val="auto"/>
          <w:highlight w:val="none"/>
        </w:rPr>
        <w:t>表 7</w:t>
      </w:r>
      <w:r>
        <w:rPr>
          <w:rFonts w:hint="eastAsia"/>
          <w:color w:val="auto"/>
          <w:highlight w:val="none"/>
          <w:lang w:val="en-US" w:eastAsia="zh-CN"/>
        </w:rPr>
        <w:t xml:space="preserve"> </w:t>
      </w:r>
      <w:r>
        <w:rPr>
          <w:color w:val="auto"/>
          <w:highlight w:val="none"/>
        </w:rPr>
        <w:t xml:space="preserve"> 其他费用报价表</w:t>
      </w:r>
    </w:p>
    <w:p w14:paraId="7EC1A694">
      <w:pPr>
        <w:spacing w:before="91" w:line="225" w:lineRule="auto"/>
        <w:jc w:val="center"/>
        <w:rPr>
          <w:rFonts w:ascii="宋体" w:hAnsi="宋体" w:eastAsia="宋体" w:cs="宋体"/>
          <w:b/>
          <w:bCs/>
          <w:color w:val="auto"/>
          <w:spacing w:val="-4"/>
          <w:sz w:val="28"/>
          <w:szCs w:val="28"/>
          <w:highlight w:val="none"/>
        </w:rPr>
      </w:pPr>
    </w:p>
    <w:tbl>
      <w:tblPr>
        <w:tblStyle w:val="19"/>
        <w:tblW w:w="9419" w:type="dxa"/>
        <w:tblInd w:w="-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5"/>
        <w:gridCol w:w="2128"/>
        <w:gridCol w:w="889"/>
        <w:gridCol w:w="788"/>
        <w:gridCol w:w="1085"/>
        <w:gridCol w:w="1085"/>
        <w:gridCol w:w="2479"/>
      </w:tblGrid>
      <w:tr w14:paraId="2B238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65" w:type="dxa"/>
            <w:vAlign w:val="center"/>
          </w:tcPr>
          <w:p w14:paraId="70180AD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5"/>
                <w:highlight w:val="none"/>
              </w:rPr>
              <w:t>序号</w:t>
            </w:r>
          </w:p>
        </w:tc>
        <w:tc>
          <w:tcPr>
            <w:tcW w:w="2128" w:type="dxa"/>
            <w:vAlign w:val="center"/>
          </w:tcPr>
          <w:p w14:paraId="2A80DC18">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7"/>
                <w:highlight w:val="none"/>
              </w:rPr>
              <w:t>子目名称</w:t>
            </w:r>
          </w:p>
        </w:tc>
        <w:tc>
          <w:tcPr>
            <w:tcW w:w="889" w:type="dxa"/>
            <w:vAlign w:val="center"/>
          </w:tcPr>
          <w:p w14:paraId="025A0B6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3"/>
                <w:highlight w:val="none"/>
              </w:rPr>
              <w:t>单位</w:t>
            </w:r>
          </w:p>
        </w:tc>
        <w:tc>
          <w:tcPr>
            <w:tcW w:w="788" w:type="dxa"/>
            <w:vAlign w:val="center"/>
          </w:tcPr>
          <w:p w14:paraId="30E1B1A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3"/>
                <w:highlight w:val="none"/>
              </w:rPr>
              <w:t>数量</w:t>
            </w:r>
          </w:p>
        </w:tc>
        <w:tc>
          <w:tcPr>
            <w:tcW w:w="1085" w:type="dxa"/>
            <w:vAlign w:val="center"/>
          </w:tcPr>
          <w:p w14:paraId="5E9C06B0">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5"/>
                <w:highlight w:val="none"/>
              </w:rPr>
              <w:t>单价（元）</w:t>
            </w:r>
          </w:p>
        </w:tc>
        <w:tc>
          <w:tcPr>
            <w:tcW w:w="1085" w:type="dxa"/>
            <w:vAlign w:val="center"/>
          </w:tcPr>
          <w:p w14:paraId="206DB8CA">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5"/>
                <w:highlight w:val="none"/>
              </w:rPr>
              <w:t>合价（元）</w:t>
            </w:r>
          </w:p>
        </w:tc>
        <w:tc>
          <w:tcPr>
            <w:tcW w:w="2479" w:type="dxa"/>
            <w:vAlign w:val="center"/>
          </w:tcPr>
          <w:p w14:paraId="15D86EB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3"/>
                <w:highlight w:val="none"/>
              </w:rPr>
              <w:t>备注</w:t>
            </w:r>
          </w:p>
        </w:tc>
      </w:tr>
      <w:tr w14:paraId="6BBE2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65" w:type="dxa"/>
            <w:vAlign w:val="center"/>
          </w:tcPr>
          <w:p w14:paraId="6061A756">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2128" w:type="dxa"/>
            <w:vAlign w:val="center"/>
          </w:tcPr>
          <w:p w14:paraId="68A8E46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项目管理系统软件</w:t>
            </w:r>
          </w:p>
        </w:tc>
        <w:tc>
          <w:tcPr>
            <w:tcW w:w="889" w:type="dxa"/>
            <w:vAlign w:val="center"/>
          </w:tcPr>
          <w:p w14:paraId="74679A5B">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2"/>
                <w:highlight w:val="none"/>
              </w:rPr>
              <w:t>总额</w:t>
            </w:r>
          </w:p>
        </w:tc>
        <w:tc>
          <w:tcPr>
            <w:tcW w:w="788" w:type="dxa"/>
            <w:vAlign w:val="center"/>
          </w:tcPr>
          <w:p w14:paraId="12B8E307">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1085" w:type="dxa"/>
            <w:vAlign w:val="center"/>
          </w:tcPr>
          <w:p w14:paraId="14ED7A5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36F54FB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479" w:type="dxa"/>
            <w:vAlign w:val="center"/>
          </w:tcPr>
          <w:p w14:paraId="03B66B69">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color w:val="auto"/>
                <w:highlight w:val="none"/>
              </w:rPr>
            </w:pPr>
            <w:r>
              <w:rPr>
                <w:color w:val="auto"/>
                <w:spacing w:val="9"/>
                <w:highlight w:val="none"/>
              </w:rPr>
              <w:t>按招标文件规定的固定金额填报</w:t>
            </w:r>
          </w:p>
        </w:tc>
      </w:tr>
      <w:tr w14:paraId="01B37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65" w:type="dxa"/>
            <w:vAlign w:val="center"/>
          </w:tcPr>
          <w:p w14:paraId="1DCC1D5A">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2</w:t>
            </w:r>
          </w:p>
        </w:tc>
        <w:tc>
          <w:tcPr>
            <w:tcW w:w="2128" w:type="dxa"/>
            <w:vAlign w:val="center"/>
          </w:tcPr>
          <w:p w14:paraId="769A3E96">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8"/>
                <w:highlight w:val="none"/>
              </w:rPr>
              <w:t>监理适岗培训费用</w:t>
            </w:r>
          </w:p>
        </w:tc>
        <w:tc>
          <w:tcPr>
            <w:tcW w:w="889" w:type="dxa"/>
            <w:vAlign w:val="center"/>
          </w:tcPr>
          <w:p w14:paraId="304BE730">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2"/>
                <w:highlight w:val="none"/>
              </w:rPr>
              <w:t>总额</w:t>
            </w:r>
          </w:p>
        </w:tc>
        <w:tc>
          <w:tcPr>
            <w:tcW w:w="788" w:type="dxa"/>
            <w:vAlign w:val="center"/>
          </w:tcPr>
          <w:p w14:paraId="4C1ADA13">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1085" w:type="dxa"/>
            <w:vAlign w:val="center"/>
          </w:tcPr>
          <w:p w14:paraId="2C5A481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6E0E848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479" w:type="dxa"/>
            <w:vAlign w:val="center"/>
          </w:tcPr>
          <w:p w14:paraId="1855DF88">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color w:val="auto"/>
                <w:highlight w:val="none"/>
              </w:rPr>
            </w:pPr>
            <w:r>
              <w:rPr>
                <w:color w:val="auto"/>
                <w:spacing w:val="9"/>
                <w:highlight w:val="none"/>
              </w:rPr>
              <w:t>按招标文件规定的固定金额填报</w:t>
            </w:r>
          </w:p>
        </w:tc>
      </w:tr>
      <w:tr w14:paraId="339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965" w:type="dxa"/>
            <w:vAlign w:val="center"/>
          </w:tcPr>
          <w:p w14:paraId="44D661FC">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3</w:t>
            </w:r>
          </w:p>
        </w:tc>
        <w:tc>
          <w:tcPr>
            <w:tcW w:w="2128" w:type="dxa"/>
            <w:vAlign w:val="center"/>
          </w:tcPr>
          <w:p w14:paraId="3D95DC1D">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13"/>
                <w:highlight w:val="none"/>
              </w:rPr>
              <w:t>法人单位对“项目现场管理机构</w:t>
            </w:r>
            <w:r>
              <w:rPr>
                <w:color w:val="auto"/>
                <w:spacing w:val="-56"/>
                <w:highlight w:val="none"/>
              </w:rPr>
              <w:t xml:space="preserve"> </w:t>
            </w:r>
            <w:r>
              <w:rPr>
                <w:color w:val="auto"/>
                <w:spacing w:val="13"/>
                <w:highlight w:val="none"/>
              </w:rPr>
              <w:t>”</w:t>
            </w:r>
            <w:r>
              <w:rPr>
                <w:color w:val="auto"/>
                <w:spacing w:val="6"/>
                <w:highlight w:val="none"/>
              </w:rPr>
              <w:t>的监管和支持费</w:t>
            </w:r>
          </w:p>
        </w:tc>
        <w:tc>
          <w:tcPr>
            <w:tcW w:w="889" w:type="dxa"/>
            <w:vAlign w:val="center"/>
          </w:tcPr>
          <w:p w14:paraId="0D90C08F">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2"/>
                <w:highlight w:val="none"/>
              </w:rPr>
              <w:t>总额</w:t>
            </w:r>
          </w:p>
        </w:tc>
        <w:tc>
          <w:tcPr>
            <w:tcW w:w="788" w:type="dxa"/>
            <w:vAlign w:val="center"/>
          </w:tcPr>
          <w:p w14:paraId="25DE30F3">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1</w:t>
            </w:r>
          </w:p>
        </w:tc>
        <w:tc>
          <w:tcPr>
            <w:tcW w:w="1085" w:type="dxa"/>
            <w:vAlign w:val="center"/>
          </w:tcPr>
          <w:p w14:paraId="2D7B41F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2371157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479" w:type="dxa"/>
            <w:vAlign w:val="center"/>
          </w:tcPr>
          <w:p w14:paraId="10726E06">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color w:val="auto"/>
                <w:highlight w:val="none"/>
              </w:rPr>
            </w:pPr>
            <w:r>
              <w:rPr>
                <w:color w:val="auto"/>
                <w:spacing w:val="9"/>
                <w:highlight w:val="none"/>
              </w:rPr>
              <w:t>按招标文件规定的固定金额填报</w:t>
            </w:r>
          </w:p>
        </w:tc>
      </w:tr>
      <w:tr w14:paraId="5FD47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65" w:type="dxa"/>
            <w:vAlign w:val="center"/>
          </w:tcPr>
          <w:p w14:paraId="1029EDF2">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position w:val="1"/>
                <w:highlight w:val="none"/>
              </w:rPr>
              <w:t>4</w:t>
            </w:r>
          </w:p>
        </w:tc>
        <w:tc>
          <w:tcPr>
            <w:tcW w:w="2128" w:type="dxa"/>
            <w:vAlign w:val="center"/>
          </w:tcPr>
          <w:p w14:paraId="2F1889B1">
            <w:pPr>
              <w:pStyle w:val="20"/>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color w:val="auto"/>
                <w:highlight w:val="none"/>
              </w:rPr>
            </w:pPr>
            <w:r>
              <w:rPr>
                <w:color w:val="auto"/>
                <w:spacing w:val="4"/>
                <w:position w:val="1"/>
                <w:highlight w:val="none"/>
              </w:rPr>
              <w:t>.........</w:t>
            </w:r>
          </w:p>
        </w:tc>
        <w:tc>
          <w:tcPr>
            <w:tcW w:w="889" w:type="dxa"/>
            <w:vAlign w:val="center"/>
          </w:tcPr>
          <w:p w14:paraId="68E7838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88" w:type="dxa"/>
            <w:vAlign w:val="center"/>
          </w:tcPr>
          <w:p w14:paraId="716B586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2EB5120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3509640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479" w:type="dxa"/>
            <w:vAlign w:val="center"/>
          </w:tcPr>
          <w:p w14:paraId="6C65CF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r w14:paraId="2DDCC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965" w:type="dxa"/>
            <w:vAlign w:val="center"/>
          </w:tcPr>
          <w:p w14:paraId="7319E349">
            <w:pPr>
              <w:pStyle w:val="20"/>
              <w:keepNext w:val="0"/>
              <w:keepLines w:val="0"/>
              <w:pageBreakBefore w:val="0"/>
              <w:widowControl/>
              <w:kinsoku w:val="0"/>
              <w:wordWrap/>
              <w:overflowPunct/>
              <w:topLinePunct w:val="0"/>
              <w:autoSpaceDE w:val="0"/>
              <w:autoSpaceDN w:val="0"/>
              <w:bidi w:val="0"/>
              <w:adjustRightInd/>
              <w:snapToGrid/>
              <w:spacing w:line="240" w:lineRule="auto"/>
              <w:ind w:left="0" w:right="277" w:firstLine="93"/>
              <w:jc w:val="center"/>
              <w:textAlignment w:val="baseline"/>
              <w:rPr>
                <w:color w:val="auto"/>
                <w:spacing w:val="4"/>
                <w:highlight w:val="none"/>
              </w:rPr>
            </w:pPr>
            <w:r>
              <w:rPr>
                <w:color w:val="auto"/>
                <w:spacing w:val="4"/>
                <w:highlight w:val="none"/>
              </w:rPr>
              <w:t>合计</w:t>
            </w:r>
          </w:p>
          <w:p w14:paraId="5D19623F">
            <w:pPr>
              <w:pStyle w:val="20"/>
              <w:keepNext w:val="0"/>
              <w:keepLines w:val="0"/>
              <w:pageBreakBefore w:val="0"/>
              <w:widowControl/>
              <w:kinsoku w:val="0"/>
              <w:wordWrap/>
              <w:overflowPunct/>
              <w:topLinePunct w:val="0"/>
              <w:autoSpaceDE w:val="0"/>
              <w:autoSpaceDN w:val="0"/>
              <w:bidi w:val="0"/>
              <w:adjustRightInd/>
              <w:snapToGrid/>
              <w:spacing w:line="240" w:lineRule="auto"/>
              <w:ind w:left="0" w:right="277" w:firstLine="93"/>
              <w:jc w:val="center"/>
              <w:textAlignment w:val="baseline"/>
              <w:rPr>
                <w:color w:val="auto"/>
                <w:highlight w:val="none"/>
              </w:rPr>
            </w:pPr>
            <w:r>
              <w:rPr>
                <w:color w:val="auto"/>
                <w:spacing w:val="-3"/>
                <w:highlight w:val="none"/>
              </w:rPr>
              <w:t>（元）</w:t>
            </w:r>
          </w:p>
        </w:tc>
        <w:tc>
          <w:tcPr>
            <w:tcW w:w="2128" w:type="dxa"/>
            <w:vAlign w:val="center"/>
          </w:tcPr>
          <w:p w14:paraId="4DE0325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889" w:type="dxa"/>
            <w:vAlign w:val="center"/>
          </w:tcPr>
          <w:p w14:paraId="1E0BD07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788" w:type="dxa"/>
            <w:vAlign w:val="center"/>
          </w:tcPr>
          <w:p w14:paraId="79A402D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3054A49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1085" w:type="dxa"/>
            <w:vAlign w:val="center"/>
          </w:tcPr>
          <w:p w14:paraId="4E98901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c>
          <w:tcPr>
            <w:tcW w:w="2479" w:type="dxa"/>
            <w:vAlign w:val="center"/>
          </w:tcPr>
          <w:p w14:paraId="6B3C0E2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ascii="Arial"/>
                <w:color w:val="auto"/>
                <w:sz w:val="21"/>
                <w:highlight w:val="none"/>
              </w:rPr>
            </w:pPr>
          </w:p>
        </w:tc>
      </w:tr>
    </w:tbl>
    <w:p w14:paraId="2ABAD263">
      <w:pPr>
        <w:rPr>
          <w:rFonts w:ascii="Arial"/>
          <w:color w:val="auto"/>
          <w:sz w:val="21"/>
          <w:highlight w:val="none"/>
        </w:rPr>
      </w:pPr>
    </w:p>
    <w:p w14:paraId="1565DBA3">
      <w:pPr>
        <w:rPr>
          <w:rFonts w:ascii="Arial"/>
          <w:color w:val="auto"/>
          <w:sz w:val="21"/>
          <w:highlight w:val="none"/>
        </w:rPr>
      </w:pPr>
    </w:p>
    <w:p w14:paraId="3BC34EE6">
      <w:pPr>
        <w:rPr>
          <w:rFonts w:ascii="Arial"/>
          <w:color w:val="auto"/>
          <w:sz w:val="21"/>
          <w:highlight w:val="none"/>
        </w:rPr>
      </w:pPr>
    </w:p>
    <w:p w14:paraId="2456AF28">
      <w:pPr>
        <w:rPr>
          <w:rFonts w:ascii="Arial"/>
          <w:color w:val="auto"/>
          <w:sz w:val="21"/>
          <w:highlight w:val="none"/>
        </w:rPr>
      </w:pPr>
    </w:p>
    <w:p w14:paraId="549BF917">
      <w:pPr>
        <w:rPr>
          <w:rFonts w:ascii="Arial"/>
          <w:color w:val="auto"/>
          <w:sz w:val="21"/>
          <w:highlight w:val="none"/>
        </w:rPr>
      </w:pPr>
    </w:p>
    <w:p w14:paraId="75A81A50">
      <w:pPr>
        <w:rPr>
          <w:rFonts w:ascii="Arial"/>
          <w:color w:val="auto"/>
          <w:sz w:val="21"/>
          <w:highlight w:val="none"/>
        </w:rPr>
      </w:pPr>
    </w:p>
    <w:p w14:paraId="24DFD94D">
      <w:pPr>
        <w:rPr>
          <w:rFonts w:ascii="Arial"/>
          <w:color w:val="auto"/>
          <w:sz w:val="21"/>
          <w:highlight w:val="none"/>
        </w:rPr>
      </w:pPr>
    </w:p>
    <w:p w14:paraId="23F2CF79">
      <w:pPr>
        <w:rPr>
          <w:rFonts w:ascii="Arial"/>
          <w:color w:val="auto"/>
          <w:sz w:val="21"/>
          <w:highlight w:val="none"/>
        </w:rPr>
      </w:pPr>
    </w:p>
    <w:p w14:paraId="39156918">
      <w:pPr>
        <w:rPr>
          <w:rFonts w:ascii="Arial"/>
          <w:color w:val="auto"/>
          <w:sz w:val="21"/>
          <w:highlight w:val="none"/>
        </w:rPr>
      </w:pPr>
    </w:p>
    <w:p w14:paraId="3CB051E9">
      <w:pPr>
        <w:rPr>
          <w:rFonts w:ascii="Arial"/>
          <w:color w:val="auto"/>
          <w:sz w:val="21"/>
          <w:highlight w:val="none"/>
        </w:rPr>
      </w:pPr>
    </w:p>
    <w:p w14:paraId="349D4EAD">
      <w:pPr>
        <w:rPr>
          <w:rFonts w:ascii="Arial"/>
          <w:color w:val="auto"/>
          <w:sz w:val="21"/>
          <w:highlight w:val="none"/>
        </w:rPr>
      </w:pPr>
    </w:p>
    <w:p w14:paraId="63176149">
      <w:pPr>
        <w:rPr>
          <w:rFonts w:ascii="Arial"/>
          <w:color w:val="auto"/>
          <w:sz w:val="21"/>
          <w:highlight w:val="none"/>
        </w:rPr>
      </w:pPr>
    </w:p>
    <w:p w14:paraId="5AA92FC0">
      <w:pPr>
        <w:rPr>
          <w:rFonts w:ascii="Arial"/>
          <w:color w:val="auto"/>
          <w:sz w:val="21"/>
          <w:highlight w:val="none"/>
        </w:rPr>
      </w:pPr>
    </w:p>
    <w:p w14:paraId="116AF54D">
      <w:pPr>
        <w:rPr>
          <w:rFonts w:ascii="Arial"/>
          <w:color w:val="auto"/>
          <w:sz w:val="21"/>
          <w:highlight w:val="none"/>
        </w:rPr>
      </w:pPr>
    </w:p>
    <w:p w14:paraId="7D3E0913">
      <w:pPr>
        <w:rPr>
          <w:rFonts w:ascii="Arial"/>
          <w:color w:val="auto"/>
          <w:sz w:val="21"/>
          <w:highlight w:val="none"/>
        </w:rPr>
      </w:pPr>
    </w:p>
    <w:p w14:paraId="31207C2D">
      <w:pPr>
        <w:rPr>
          <w:rFonts w:ascii="Arial"/>
          <w:color w:val="auto"/>
          <w:sz w:val="21"/>
          <w:highlight w:val="none"/>
        </w:rPr>
      </w:pPr>
    </w:p>
    <w:p w14:paraId="1EC90068">
      <w:pPr>
        <w:rPr>
          <w:rFonts w:ascii="Arial"/>
          <w:color w:val="auto"/>
          <w:sz w:val="21"/>
          <w:highlight w:val="none"/>
        </w:rPr>
      </w:pPr>
    </w:p>
    <w:p w14:paraId="59B8E4FE">
      <w:pPr>
        <w:rPr>
          <w:rFonts w:ascii="Arial"/>
          <w:color w:val="auto"/>
          <w:sz w:val="21"/>
          <w:highlight w:val="none"/>
        </w:rPr>
      </w:pPr>
    </w:p>
    <w:p w14:paraId="6178683D">
      <w:pPr>
        <w:rPr>
          <w:rFonts w:ascii="Arial"/>
          <w:color w:val="auto"/>
          <w:sz w:val="21"/>
          <w:highlight w:val="none"/>
        </w:rPr>
      </w:pPr>
    </w:p>
    <w:p w14:paraId="0150942D">
      <w:pPr>
        <w:rPr>
          <w:rFonts w:ascii="Arial"/>
          <w:color w:val="auto"/>
          <w:sz w:val="21"/>
          <w:highlight w:val="none"/>
        </w:rPr>
      </w:pPr>
    </w:p>
    <w:p w14:paraId="5A895E5B">
      <w:pPr>
        <w:rPr>
          <w:rFonts w:ascii="Arial"/>
          <w:color w:val="auto"/>
          <w:sz w:val="21"/>
          <w:highlight w:val="none"/>
        </w:rPr>
      </w:pPr>
    </w:p>
    <w:p w14:paraId="7E75079E">
      <w:pPr>
        <w:rPr>
          <w:rFonts w:ascii="Arial"/>
          <w:color w:val="auto"/>
          <w:sz w:val="21"/>
          <w:highlight w:val="none"/>
        </w:rPr>
      </w:pPr>
    </w:p>
    <w:p w14:paraId="6671EEF6">
      <w:pPr>
        <w:rPr>
          <w:rFonts w:ascii="Arial"/>
          <w:color w:val="auto"/>
          <w:sz w:val="21"/>
          <w:highlight w:val="none"/>
        </w:rPr>
      </w:pPr>
    </w:p>
    <w:p w14:paraId="7D3B7167">
      <w:pPr>
        <w:rPr>
          <w:rFonts w:ascii="Arial"/>
          <w:color w:val="auto"/>
          <w:sz w:val="21"/>
          <w:highlight w:val="none"/>
        </w:rPr>
      </w:pPr>
    </w:p>
    <w:p w14:paraId="04400BA5">
      <w:pPr>
        <w:rPr>
          <w:rFonts w:ascii="Arial"/>
          <w:color w:val="auto"/>
          <w:sz w:val="21"/>
          <w:highlight w:val="none"/>
        </w:rPr>
      </w:pPr>
    </w:p>
    <w:p w14:paraId="7CF776A8">
      <w:pPr>
        <w:rPr>
          <w:rFonts w:ascii="Arial"/>
          <w:color w:val="auto"/>
          <w:sz w:val="21"/>
          <w:highlight w:val="none"/>
        </w:rPr>
      </w:pPr>
    </w:p>
    <w:p w14:paraId="7734C97A">
      <w:pPr>
        <w:rPr>
          <w:rFonts w:ascii="Arial"/>
          <w:color w:val="auto"/>
          <w:sz w:val="21"/>
          <w:highlight w:val="none"/>
        </w:rPr>
      </w:pPr>
    </w:p>
    <w:p w14:paraId="2971C544">
      <w:pPr>
        <w:rPr>
          <w:rFonts w:ascii="Arial"/>
          <w:color w:val="auto"/>
          <w:sz w:val="21"/>
          <w:highlight w:val="none"/>
        </w:rPr>
      </w:pPr>
    </w:p>
    <w:p w14:paraId="12086EC6">
      <w:pPr>
        <w:rPr>
          <w:rFonts w:ascii="Arial"/>
          <w:color w:val="auto"/>
          <w:sz w:val="21"/>
          <w:highlight w:val="none"/>
        </w:rPr>
      </w:pPr>
    </w:p>
    <w:p w14:paraId="0DFECCED">
      <w:pPr>
        <w:rPr>
          <w:rFonts w:ascii="Arial"/>
          <w:color w:val="auto"/>
          <w:sz w:val="21"/>
          <w:highlight w:val="none"/>
        </w:rPr>
      </w:pPr>
    </w:p>
    <w:p w14:paraId="685B83D8">
      <w:pPr>
        <w:rPr>
          <w:rFonts w:ascii="Arial"/>
          <w:color w:val="auto"/>
          <w:sz w:val="21"/>
          <w:highlight w:val="none"/>
        </w:rPr>
      </w:pPr>
    </w:p>
    <w:p w14:paraId="12B75048">
      <w:pPr>
        <w:rPr>
          <w:rFonts w:ascii="Arial"/>
          <w:color w:val="auto"/>
          <w:sz w:val="21"/>
          <w:highlight w:val="none"/>
        </w:rPr>
      </w:pPr>
    </w:p>
    <w:p w14:paraId="0528D142">
      <w:pPr>
        <w:rPr>
          <w:rFonts w:ascii="Arial"/>
          <w:color w:val="auto"/>
          <w:sz w:val="21"/>
          <w:highlight w:val="none"/>
        </w:rPr>
      </w:pPr>
    </w:p>
    <w:p w14:paraId="31D35DAF">
      <w:pPr>
        <w:rPr>
          <w:rFonts w:ascii="Arial"/>
          <w:color w:val="auto"/>
          <w:sz w:val="21"/>
          <w:highlight w:val="none"/>
        </w:rPr>
      </w:pPr>
    </w:p>
    <w:p w14:paraId="5C58288D">
      <w:pPr>
        <w:rPr>
          <w:rFonts w:ascii="Arial"/>
          <w:color w:val="auto"/>
          <w:sz w:val="21"/>
          <w:highlight w:val="none"/>
        </w:rPr>
      </w:pPr>
    </w:p>
    <w:p w14:paraId="3448EB47">
      <w:pPr>
        <w:rPr>
          <w:rFonts w:ascii="Arial"/>
          <w:color w:val="auto"/>
          <w:sz w:val="21"/>
          <w:highlight w:val="none"/>
        </w:rPr>
      </w:pPr>
    </w:p>
    <w:p w14:paraId="36D6F05A">
      <w:pPr>
        <w:rPr>
          <w:rFonts w:ascii="Arial"/>
          <w:color w:val="auto"/>
          <w:sz w:val="21"/>
          <w:highlight w:val="none"/>
        </w:rPr>
      </w:pPr>
    </w:p>
    <w:p w14:paraId="6DF3C158">
      <w:pPr>
        <w:spacing w:line="241" w:lineRule="auto"/>
        <w:rPr>
          <w:rFonts w:ascii="Arial"/>
          <w:color w:val="auto"/>
          <w:sz w:val="21"/>
          <w:highlight w:val="none"/>
        </w:rPr>
      </w:pPr>
    </w:p>
    <w:p w14:paraId="620AA0DE">
      <w:pPr>
        <w:pStyle w:val="4"/>
        <w:bidi w:val="0"/>
        <w:jc w:val="center"/>
        <w:rPr>
          <w:color w:val="auto"/>
          <w:highlight w:val="none"/>
        </w:rPr>
      </w:pPr>
      <w:r>
        <w:rPr>
          <w:color w:val="auto"/>
          <w:highlight w:val="none"/>
        </w:rPr>
        <w:t xml:space="preserve">表 8 </w:t>
      </w:r>
      <w:r>
        <w:rPr>
          <w:rFonts w:hint="eastAsia"/>
          <w:color w:val="auto"/>
          <w:highlight w:val="none"/>
          <w:lang w:val="en-US" w:eastAsia="zh-CN"/>
        </w:rPr>
        <w:t xml:space="preserve"> </w:t>
      </w:r>
      <w:r>
        <w:rPr>
          <w:color w:val="auto"/>
          <w:highlight w:val="none"/>
        </w:rPr>
        <w:t>监理费用支付估算表</w:t>
      </w:r>
    </w:p>
    <w:tbl>
      <w:tblPr>
        <w:tblStyle w:val="19"/>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3"/>
        <w:gridCol w:w="661"/>
        <w:gridCol w:w="661"/>
        <w:gridCol w:w="661"/>
        <w:gridCol w:w="664"/>
        <w:gridCol w:w="660"/>
        <w:gridCol w:w="661"/>
        <w:gridCol w:w="661"/>
        <w:gridCol w:w="666"/>
        <w:gridCol w:w="1467"/>
        <w:gridCol w:w="923"/>
      </w:tblGrid>
      <w:tr w14:paraId="131BD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603" w:type="dxa"/>
            <w:vMerge w:val="restart"/>
            <w:tcBorders>
              <w:bottom w:val="nil"/>
              <w:tl2br w:val="single" w:color="000000" w:sz="8" w:space="0"/>
            </w:tcBorders>
            <w:vAlign w:val="top"/>
          </w:tcPr>
          <w:p w14:paraId="5EC26FC7">
            <w:pPr>
              <w:pStyle w:val="20"/>
              <w:spacing w:before="208" w:line="277" w:lineRule="auto"/>
              <w:ind w:left="51" w:right="55" w:firstLine="1091"/>
              <w:rPr>
                <w:color w:val="auto"/>
                <w:highlight w:val="none"/>
              </w:rPr>
            </w:pPr>
            <w:r>
              <w:rPr>
                <w:color w:val="auto"/>
                <w:spacing w:val="-1"/>
                <w:highlight w:val="none"/>
              </w:rPr>
              <w:t>时间</w:t>
            </w:r>
            <w:r>
              <w:rPr>
                <w:color w:val="auto"/>
                <w:spacing w:val="3"/>
                <w:highlight w:val="none"/>
              </w:rPr>
              <w:t>项目</w:t>
            </w:r>
          </w:p>
        </w:tc>
        <w:tc>
          <w:tcPr>
            <w:tcW w:w="2647" w:type="dxa"/>
            <w:gridSpan w:val="4"/>
            <w:vAlign w:val="top"/>
          </w:tcPr>
          <w:p w14:paraId="018E5EA3">
            <w:pPr>
              <w:pStyle w:val="20"/>
              <w:tabs>
                <w:tab w:val="left" w:pos="1020"/>
              </w:tabs>
              <w:spacing w:before="165" w:line="216" w:lineRule="auto"/>
              <w:ind w:left="706"/>
              <w:rPr>
                <w:color w:val="auto"/>
                <w:highlight w:val="none"/>
              </w:rPr>
            </w:pPr>
            <w:r>
              <w:rPr>
                <w:color w:val="auto"/>
                <w:highlight w:val="none"/>
                <w:u w:val="single" w:color="auto"/>
              </w:rPr>
              <w:tab/>
            </w:r>
            <w:r>
              <w:rPr>
                <w:color w:val="auto"/>
                <w:spacing w:val="-88"/>
                <w:highlight w:val="none"/>
              </w:rPr>
              <w:t xml:space="preserve"> </w:t>
            </w:r>
            <w:r>
              <w:rPr>
                <w:color w:val="auto"/>
                <w:spacing w:val="2"/>
                <w:highlight w:val="none"/>
              </w:rPr>
              <w:t>年</w:t>
            </w:r>
            <w:r>
              <w:rPr>
                <w:color w:val="auto"/>
                <w:spacing w:val="-99"/>
                <w:highlight w:val="none"/>
              </w:rPr>
              <w:t xml:space="preserve"> </w:t>
            </w:r>
            <w:r>
              <w:rPr>
                <w:color w:val="auto"/>
                <w:spacing w:val="5"/>
                <w:highlight w:val="none"/>
                <w:u w:val="single" w:color="auto"/>
              </w:rPr>
              <w:t xml:space="preserve">   </w:t>
            </w:r>
            <w:r>
              <w:rPr>
                <w:color w:val="auto"/>
                <w:spacing w:val="-91"/>
                <w:highlight w:val="none"/>
              </w:rPr>
              <w:t xml:space="preserve"> </w:t>
            </w:r>
            <w:r>
              <w:rPr>
                <w:color w:val="auto"/>
                <w:spacing w:val="2"/>
                <w:highlight w:val="none"/>
              </w:rPr>
              <w:t>季度</w:t>
            </w:r>
          </w:p>
        </w:tc>
        <w:tc>
          <w:tcPr>
            <w:tcW w:w="2648" w:type="dxa"/>
            <w:gridSpan w:val="4"/>
            <w:vAlign w:val="top"/>
          </w:tcPr>
          <w:p w14:paraId="13506459">
            <w:pPr>
              <w:pStyle w:val="20"/>
              <w:tabs>
                <w:tab w:val="left" w:pos="1005"/>
              </w:tabs>
              <w:spacing w:before="165" w:line="216" w:lineRule="auto"/>
              <w:ind w:left="692"/>
              <w:rPr>
                <w:color w:val="auto"/>
                <w:highlight w:val="none"/>
              </w:rPr>
            </w:pPr>
            <w:r>
              <w:rPr>
                <w:color w:val="auto"/>
                <w:highlight w:val="none"/>
                <w:u w:val="single" w:color="auto"/>
              </w:rPr>
              <w:tab/>
            </w:r>
            <w:r>
              <w:rPr>
                <w:color w:val="auto"/>
                <w:spacing w:val="-88"/>
                <w:highlight w:val="none"/>
              </w:rPr>
              <w:t xml:space="preserve"> </w:t>
            </w:r>
            <w:r>
              <w:rPr>
                <w:color w:val="auto"/>
                <w:spacing w:val="2"/>
                <w:highlight w:val="none"/>
              </w:rPr>
              <w:t>年</w:t>
            </w:r>
            <w:r>
              <w:rPr>
                <w:color w:val="auto"/>
                <w:spacing w:val="5"/>
                <w:highlight w:val="none"/>
                <w:u w:val="single" w:color="auto"/>
              </w:rPr>
              <w:t xml:space="preserve">   </w:t>
            </w:r>
            <w:r>
              <w:rPr>
                <w:color w:val="auto"/>
                <w:spacing w:val="-90"/>
                <w:highlight w:val="none"/>
              </w:rPr>
              <w:t xml:space="preserve"> </w:t>
            </w:r>
            <w:r>
              <w:rPr>
                <w:color w:val="auto"/>
                <w:spacing w:val="2"/>
                <w:highlight w:val="none"/>
              </w:rPr>
              <w:t>季度</w:t>
            </w:r>
          </w:p>
        </w:tc>
        <w:tc>
          <w:tcPr>
            <w:tcW w:w="1467" w:type="dxa"/>
            <w:vMerge w:val="restart"/>
            <w:tcBorders>
              <w:bottom w:val="nil"/>
            </w:tcBorders>
            <w:vAlign w:val="top"/>
          </w:tcPr>
          <w:p w14:paraId="60F7010B">
            <w:pPr>
              <w:spacing w:line="302" w:lineRule="auto"/>
              <w:rPr>
                <w:rFonts w:ascii="Arial"/>
                <w:color w:val="auto"/>
                <w:sz w:val="21"/>
                <w:highlight w:val="none"/>
              </w:rPr>
            </w:pPr>
          </w:p>
          <w:p w14:paraId="75537832">
            <w:pPr>
              <w:pStyle w:val="20"/>
              <w:spacing w:before="65" w:line="228" w:lineRule="auto"/>
              <w:ind w:left="215"/>
              <w:rPr>
                <w:color w:val="auto"/>
                <w:highlight w:val="none"/>
              </w:rPr>
            </w:pPr>
            <w:r>
              <w:rPr>
                <w:color w:val="auto"/>
                <w:spacing w:val="8"/>
                <w:highlight w:val="none"/>
              </w:rPr>
              <w:t>缺陷责任期</w:t>
            </w:r>
          </w:p>
        </w:tc>
        <w:tc>
          <w:tcPr>
            <w:tcW w:w="923" w:type="dxa"/>
            <w:vMerge w:val="restart"/>
            <w:tcBorders>
              <w:bottom w:val="nil"/>
            </w:tcBorders>
            <w:vAlign w:val="top"/>
          </w:tcPr>
          <w:p w14:paraId="524C0388">
            <w:pPr>
              <w:spacing w:line="302" w:lineRule="auto"/>
              <w:rPr>
                <w:rFonts w:ascii="Arial"/>
                <w:color w:val="auto"/>
                <w:sz w:val="21"/>
                <w:highlight w:val="none"/>
              </w:rPr>
            </w:pPr>
          </w:p>
          <w:p w14:paraId="4D3E8608">
            <w:pPr>
              <w:pStyle w:val="20"/>
              <w:spacing w:before="65" w:line="229" w:lineRule="auto"/>
              <w:ind w:left="258"/>
              <w:rPr>
                <w:color w:val="auto"/>
                <w:highlight w:val="none"/>
              </w:rPr>
            </w:pPr>
            <w:r>
              <w:rPr>
                <w:color w:val="auto"/>
                <w:spacing w:val="4"/>
                <w:highlight w:val="none"/>
              </w:rPr>
              <w:t>合计</w:t>
            </w:r>
          </w:p>
        </w:tc>
      </w:tr>
      <w:tr w14:paraId="1F449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03" w:type="dxa"/>
            <w:vMerge w:val="continue"/>
            <w:tcBorders>
              <w:top w:val="nil"/>
              <w:tl2br w:val="single" w:color="000000" w:sz="8" w:space="0"/>
            </w:tcBorders>
            <w:vAlign w:val="top"/>
          </w:tcPr>
          <w:p w14:paraId="49AC51F0">
            <w:pPr>
              <w:rPr>
                <w:rFonts w:ascii="Arial"/>
                <w:color w:val="auto"/>
                <w:sz w:val="21"/>
                <w:highlight w:val="none"/>
              </w:rPr>
            </w:pPr>
          </w:p>
        </w:tc>
        <w:tc>
          <w:tcPr>
            <w:tcW w:w="661" w:type="dxa"/>
            <w:vAlign w:val="top"/>
          </w:tcPr>
          <w:p w14:paraId="61BFC851">
            <w:pPr>
              <w:pStyle w:val="20"/>
              <w:spacing w:before="158" w:line="218" w:lineRule="auto"/>
              <w:ind w:left="296"/>
              <w:rPr>
                <w:color w:val="auto"/>
                <w:highlight w:val="none"/>
              </w:rPr>
            </w:pPr>
            <w:r>
              <w:rPr>
                <w:color w:val="auto"/>
                <w:highlight w:val="none"/>
              </w:rPr>
              <w:t>1</w:t>
            </w:r>
          </w:p>
        </w:tc>
        <w:tc>
          <w:tcPr>
            <w:tcW w:w="661" w:type="dxa"/>
            <w:vAlign w:val="top"/>
          </w:tcPr>
          <w:p w14:paraId="159D48DE">
            <w:pPr>
              <w:pStyle w:val="20"/>
              <w:spacing w:before="158" w:line="218" w:lineRule="auto"/>
              <w:ind w:left="284"/>
              <w:rPr>
                <w:color w:val="auto"/>
                <w:highlight w:val="none"/>
              </w:rPr>
            </w:pPr>
            <w:r>
              <w:rPr>
                <w:color w:val="auto"/>
                <w:highlight w:val="none"/>
              </w:rPr>
              <w:t>2</w:t>
            </w:r>
          </w:p>
        </w:tc>
        <w:tc>
          <w:tcPr>
            <w:tcW w:w="661" w:type="dxa"/>
            <w:vAlign w:val="top"/>
          </w:tcPr>
          <w:p w14:paraId="343672D9">
            <w:pPr>
              <w:pStyle w:val="20"/>
              <w:spacing w:before="158" w:line="218" w:lineRule="auto"/>
              <w:ind w:left="285"/>
              <w:rPr>
                <w:color w:val="auto"/>
                <w:highlight w:val="none"/>
              </w:rPr>
            </w:pPr>
            <w:r>
              <w:rPr>
                <w:color w:val="auto"/>
                <w:highlight w:val="none"/>
              </w:rPr>
              <w:t>3</w:t>
            </w:r>
          </w:p>
        </w:tc>
        <w:tc>
          <w:tcPr>
            <w:tcW w:w="664" w:type="dxa"/>
            <w:vAlign w:val="top"/>
          </w:tcPr>
          <w:p w14:paraId="1CFE4277">
            <w:pPr>
              <w:pStyle w:val="20"/>
              <w:spacing w:before="158" w:line="218" w:lineRule="auto"/>
              <w:ind w:left="284"/>
              <w:rPr>
                <w:color w:val="auto"/>
                <w:highlight w:val="none"/>
              </w:rPr>
            </w:pPr>
            <w:r>
              <w:rPr>
                <w:color w:val="auto"/>
                <w:highlight w:val="none"/>
              </w:rPr>
              <w:t>4</w:t>
            </w:r>
          </w:p>
        </w:tc>
        <w:tc>
          <w:tcPr>
            <w:tcW w:w="660" w:type="dxa"/>
            <w:vAlign w:val="top"/>
          </w:tcPr>
          <w:p w14:paraId="1B53DA27">
            <w:pPr>
              <w:pStyle w:val="20"/>
              <w:spacing w:before="158" w:line="218" w:lineRule="auto"/>
              <w:ind w:left="298"/>
              <w:rPr>
                <w:color w:val="auto"/>
                <w:highlight w:val="none"/>
              </w:rPr>
            </w:pPr>
            <w:r>
              <w:rPr>
                <w:color w:val="auto"/>
                <w:highlight w:val="none"/>
              </w:rPr>
              <w:t>1</w:t>
            </w:r>
          </w:p>
        </w:tc>
        <w:tc>
          <w:tcPr>
            <w:tcW w:w="661" w:type="dxa"/>
            <w:vAlign w:val="top"/>
          </w:tcPr>
          <w:p w14:paraId="49A683D9">
            <w:pPr>
              <w:pStyle w:val="20"/>
              <w:spacing w:before="158" w:line="218" w:lineRule="auto"/>
              <w:ind w:left="285"/>
              <w:rPr>
                <w:color w:val="auto"/>
                <w:highlight w:val="none"/>
              </w:rPr>
            </w:pPr>
            <w:r>
              <w:rPr>
                <w:color w:val="auto"/>
                <w:highlight w:val="none"/>
              </w:rPr>
              <w:t>2</w:t>
            </w:r>
          </w:p>
        </w:tc>
        <w:tc>
          <w:tcPr>
            <w:tcW w:w="661" w:type="dxa"/>
            <w:vAlign w:val="top"/>
          </w:tcPr>
          <w:p w14:paraId="670AB7B6">
            <w:pPr>
              <w:pStyle w:val="20"/>
              <w:spacing w:before="158" w:line="218" w:lineRule="auto"/>
              <w:ind w:left="288"/>
              <w:rPr>
                <w:color w:val="auto"/>
                <w:highlight w:val="none"/>
              </w:rPr>
            </w:pPr>
            <w:r>
              <w:rPr>
                <w:color w:val="auto"/>
                <w:highlight w:val="none"/>
              </w:rPr>
              <w:t>3</w:t>
            </w:r>
          </w:p>
        </w:tc>
        <w:tc>
          <w:tcPr>
            <w:tcW w:w="666" w:type="dxa"/>
            <w:vAlign w:val="top"/>
          </w:tcPr>
          <w:p w14:paraId="6CD47986">
            <w:pPr>
              <w:pStyle w:val="20"/>
              <w:spacing w:before="158" w:line="218" w:lineRule="auto"/>
              <w:ind w:left="285"/>
              <w:rPr>
                <w:color w:val="auto"/>
                <w:highlight w:val="none"/>
              </w:rPr>
            </w:pPr>
            <w:r>
              <w:rPr>
                <w:color w:val="auto"/>
                <w:highlight w:val="none"/>
              </w:rPr>
              <w:t>4</w:t>
            </w:r>
          </w:p>
        </w:tc>
        <w:tc>
          <w:tcPr>
            <w:tcW w:w="1467" w:type="dxa"/>
            <w:vMerge w:val="continue"/>
            <w:tcBorders>
              <w:top w:val="nil"/>
            </w:tcBorders>
            <w:vAlign w:val="top"/>
          </w:tcPr>
          <w:p w14:paraId="5D559B9B">
            <w:pPr>
              <w:rPr>
                <w:rFonts w:ascii="Arial"/>
                <w:color w:val="auto"/>
                <w:sz w:val="21"/>
                <w:highlight w:val="none"/>
              </w:rPr>
            </w:pPr>
          </w:p>
        </w:tc>
        <w:tc>
          <w:tcPr>
            <w:tcW w:w="923" w:type="dxa"/>
            <w:vMerge w:val="continue"/>
            <w:tcBorders>
              <w:top w:val="nil"/>
            </w:tcBorders>
            <w:vAlign w:val="top"/>
          </w:tcPr>
          <w:p w14:paraId="104A6035">
            <w:pPr>
              <w:rPr>
                <w:rFonts w:ascii="Arial"/>
                <w:color w:val="auto"/>
                <w:sz w:val="21"/>
                <w:highlight w:val="none"/>
              </w:rPr>
            </w:pPr>
          </w:p>
        </w:tc>
      </w:tr>
      <w:tr w14:paraId="2AEBB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603" w:type="dxa"/>
            <w:vAlign w:val="top"/>
          </w:tcPr>
          <w:p w14:paraId="42A3F0BF">
            <w:pPr>
              <w:pStyle w:val="20"/>
              <w:spacing w:before="260" w:line="216" w:lineRule="auto"/>
              <w:ind w:left="46"/>
              <w:rPr>
                <w:color w:val="auto"/>
                <w:highlight w:val="none"/>
              </w:rPr>
            </w:pPr>
            <w:r>
              <w:rPr>
                <w:color w:val="auto"/>
                <w:spacing w:val="8"/>
                <w:highlight w:val="none"/>
              </w:rPr>
              <w:t>监理人员服务费</w:t>
            </w:r>
          </w:p>
        </w:tc>
        <w:tc>
          <w:tcPr>
            <w:tcW w:w="661" w:type="dxa"/>
            <w:vAlign w:val="top"/>
          </w:tcPr>
          <w:p w14:paraId="6EF24634">
            <w:pPr>
              <w:rPr>
                <w:rFonts w:ascii="Arial"/>
                <w:color w:val="auto"/>
                <w:sz w:val="21"/>
                <w:highlight w:val="none"/>
              </w:rPr>
            </w:pPr>
          </w:p>
        </w:tc>
        <w:tc>
          <w:tcPr>
            <w:tcW w:w="661" w:type="dxa"/>
            <w:vAlign w:val="top"/>
          </w:tcPr>
          <w:p w14:paraId="183A4748">
            <w:pPr>
              <w:rPr>
                <w:rFonts w:ascii="Arial"/>
                <w:color w:val="auto"/>
                <w:sz w:val="21"/>
                <w:highlight w:val="none"/>
              </w:rPr>
            </w:pPr>
          </w:p>
        </w:tc>
        <w:tc>
          <w:tcPr>
            <w:tcW w:w="661" w:type="dxa"/>
            <w:vAlign w:val="top"/>
          </w:tcPr>
          <w:p w14:paraId="7C9A2978">
            <w:pPr>
              <w:rPr>
                <w:rFonts w:ascii="Arial"/>
                <w:color w:val="auto"/>
                <w:sz w:val="21"/>
                <w:highlight w:val="none"/>
              </w:rPr>
            </w:pPr>
          </w:p>
        </w:tc>
        <w:tc>
          <w:tcPr>
            <w:tcW w:w="664" w:type="dxa"/>
            <w:vAlign w:val="top"/>
          </w:tcPr>
          <w:p w14:paraId="75D64300">
            <w:pPr>
              <w:rPr>
                <w:rFonts w:ascii="Arial"/>
                <w:color w:val="auto"/>
                <w:sz w:val="21"/>
                <w:highlight w:val="none"/>
              </w:rPr>
            </w:pPr>
          </w:p>
        </w:tc>
        <w:tc>
          <w:tcPr>
            <w:tcW w:w="660" w:type="dxa"/>
            <w:vAlign w:val="top"/>
          </w:tcPr>
          <w:p w14:paraId="4D6D9149">
            <w:pPr>
              <w:rPr>
                <w:rFonts w:ascii="Arial"/>
                <w:color w:val="auto"/>
                <w:sz w:val="21"/>
                <w:highlight w:val="none"/>
              </w:rPr>
            </w:pPr>
          </w:p>
        </w:tc>
        <w:tc>
          <w:tcPr>
            <w:tcW w:w="661" w:type="dxa"/>
            <w:vAlign w:val="top"/>
          </w:tcPr>
          <w:p w14:paraId="4656ABD0">
            <w:pPr>
              <w:rPr>
                <w:rFonts w:ascii="Arial"/>
                <w:color w:val="auto"/>
                <w:sz w:val="21"/>
                <w:highlight w:val="none"/>
              </w:rPr>
            </w:pPr>
          </w:p>
        </w:tc>
        <w:tc>
          <w:tcPr>
            <w:tcW w:w="661" w:type="dxa"/>
            <w:vAlign w:val="top"/>
          </w:tcPr>
          <w:p w14:paraId="153BEB4D">
            <w:pPr>
              <w:rPr>
                <w:rFonts w:ascii="Arial"/>
                <w:color w:val="auto"/>
                <w:sz w:val="21"/>
                <w:highlight w:val="none"/>
              </w:rPr>
            </w:pPr>
          </w:p>
        </w:tc>
        <w:tc>
          <w:tcPr>
            <w:tcW w:w="666" w:type="dxa"/>
            <w:vAlign w:val="top"/>
          </w:tcPr>
          <w:p w14:paraId="645D8860">
            <w:pPr>
              <w:rPr>
                <w:rFonts w:ascii="Arial"/>
                <w:color w:val="auto"/>
                <w:sz w:val="21"/>
                <w:highlight w:val="none"/>
              </w:rPr>
            </w:pPr>
          </w:p>
        </w:tc>
        <w:tc>
          <w:tcPr>
            <w:tcW w:w="1467" w:type="dxa"/>
            <w:vAlign w:val="top"/>
          </w:tcPr>
          <w:p w14:paraId="5D57A08B">
            <w:pPr>
              <w:rPr>
                <w:rFonts w:ascii="Arial"/>
                <w:color w:val="auto"/>
                <w:sz w:val="21"/>
                <w:highlight w:val="none"/>
              </w:rPr>
            </w:pPr>
          </w:p>
        </w:tc>
        <w:tc>
          <w:tcPr>
            <w:tcW w:w="923" w:type="dxa"/>
            <w:vAlign w:val="top"/>
          </w:tcPr>
          <w:p w14:paraId="0ED9DDD9">
            <w:pPr>
              <w:rPr>
                <w:rFonts w:ascii="Arial"/>
                <w:color w:val="auto"/>
                <w:sz w:val="21"/>
                <w:highlight w:val="none"/>
              </w:rPr>
            </w:pPr>
          </w:p>
        </w:tc>
      </w:tr>
      <w:tr w14:paraId="7BE1B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603" w:type="dxa"/>
            <w:vAlign w:val="top"/>
          </w:tcPr>
          <w:p w14:paraId="3CAF3F36">
            <w:pPr>
              <w:pStyle w:val="20"/>
              <w:spacing w:before="260" w:line="216" w:lineRule="auto"/>
              <w:ind w:left="46"/>
              <w:rPr>
                <w:color w:val="auto"/>
                <w:highlight w:val="none"/>
              </w:rPr>
            </w:pPr>
            <w:r>
              <w:rPr>
                <w:color w:val="auto"/>
                <w:spacing w:val="8"/>
                <w:highlight w:val="none"/>
              </w:rPr>
              <w:t>监理办公设施费</w:t>
            </w:r>
          </w:p>
        </w:tc>
        <w:tc>
          <w:tcPr>
            <w:tcW w:w="661" w:type="dxa"/>
            <w:vAlign w:val="top"/>
          </w:tcPr>
          <w:p w14:paraId="5E424022">
            <w:pPr>
              <w:rPr>
                <w:rFonts w:ascii="Arial"/>
                <w:color w:val="auto"/>
                <w:sz w:val="21"/>
                <w:highlight w:val="none"/>
              </w:rPr>
            </w:pPr>
          </w:p>
        </w:tc>
        <w:tc>
          <w:tcPr>
            <w:tcW w:w="661" w:type="dxa"/>
            <w:vAlign w:val="top"/>
          </w:tcPr>
          <w:p w14:paraId="0DBE660F">
            <w:pPr>
              <w:rPr>
                <w:rFonts w:ascii="Arial"/>
                <w:color w:val="auto"/>
                <w:sz w:val="21"/>
                <w:highlight w:val="none"/>
              </w:rPr>
            </w:pPr>
          </w:p>
        </w:tc>
        <w:tc>
          <w:tcPr>
            <w:tcW w:w="661" w:type="dxa"/>
            <w:vAlign w:val="top"/>
          </w:tcPr>
          <w:p w14:paraId="1B84F506">
            <w:pPr>
              <w:rPr>
                <w:rFonts w:ascii="Arial"/>
                <w:color w:val="auto"/>
                <w:sz w:val="21"/>
                <w:highlight w:val="none"/>
              </w:rPr>
            </w:pPr>
          </w:p>
        </w:tc>
        <w:tc>
          <w:tcPr>
            <w:tcW w:w="664" w:type="dxa"/>
            <w:vAlign w:val="top"/>
          </w:tcPr>
          <w:p w14:paraId="1888C2CE">
            <w:pPr>
              <w:rPr>
                <w:rFonts w:ascii="Arial"/>
                <w:color w:val="auto"/>
                <w:sz w:val="21"/>
                <w:highlight w:val="none"/>
              </w:rPr>
            </w:pPr>
          </w:p>
        </w:tc>
        <w:tc>
          <w:tcPr>
            <w:tcW w:w="660" w:type="dxa"/>
            <w:vAlign w:val="top"/>
          </w:tcPr>
          <w:p w14:paraId="06BE531D">
            <w:pPr>
              <w:rPr>
                <w:rFonts w:ascii="Arial"/>
                <w:color w:val="auto"/>
                <w:sz w:val="21"/>
                <w:highlight w:val="none"/>
              </w:rPr>
            </w:pPr>
          </w:p>
        </w:tc>
        <w:tc>
          <w:tcPr>
            <w:tcW w:w="661" w:type="dxa"/>
            <w:vAlign w:val="top"/>
          </w:tcPr>
          <w:p w14:paraId="2F00B14B">
            <w:pPr>
              <w:rPr>
                <w:rFonts w:ascii="Arial"/>
                <w:color w:val="auto"/>
                <w:sz w:val="21"/>
                <w:highlight w:val="none"/>
              </w:rPr>
            </w:pPr>
          </w:p>
        </w:tc>
        <w:tc>
          <w:tcPr>
            <w:tcW w:w="661" w:type="dxa"/>
            <w:vAlign w:val="top"/>
          </w:tcPr>
          <w:p w14:paraId="11CB2272">
            <w:pPr>
              <w:rPr>
                <w:rFonts w:ascii="Arial"/>
                <w:color w:val="auto"/>
                <w:sz w:val="21"/>
                <w:highlight w:val="none"/>
              </w:rPr>
            </w:pPr>
          </w:p>
        </w:tc>
        <w:tc>
          <w:tcPr>
            <w:tcW w:w="666" w:type="dxa"/>
            <w:vAlign w:val="top"/>
          </w:tcPr>
          <w:p w14:paraId="70CD0873">
            <w:pPr>
              <w:rPr>
                <w:rFonts w:ascii="Arial"/>
                <w:color w:val="auto"/>
                <w:sz w:val="21"/>
                <w:highlight w:val="none"/>
              </w:rPr>
            </w:pPr>
          </w:p>
        </w:tc>
        <w:tc>
          <w:tcPr>
            <w:tcW w:w="1467" w:type="dxa"/>
            <w:vAlign w:val="top"/>
          </w:tcPr>
          <w:p w14:paraId="6C581C38">
            <w:pPr>
              <w:rPr>
                <w:rFonts w:ascii="Arial"/>
                <w:color w:val="auto"/>
                <w:sz w:val="21"/>
                <w:highlight w:val="none"/>
              </w:rPr>
            </w:pPr>
          </w:p>
        </w:tc>
        <w:tc>
          <w:tcPr>
            <w:tcW w:w="923" w:type="dxa"/>
            <w:vAlign w:val="top"/>
          </w:tcPr>
          <w:p w14:paraId="2667ADAD">
            <w:pPr>
              <w:rPr>
                <w:rFonts w:ascii="Arial"/>
                <w:color w:val="auto"/>
                <w:sz w:val="21"/>
                <w:highlight w:val="none"/>
              </w:rPr>
            </w:pPr>
          </w:p>
        </w:tc>
      </w:tr>
      <w:tr w14:paraId="7359C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603" w:type="dxa"/>
            <w:vAlign w:val="top"/>
          </w:tcPr>
          <w:p w14:paraId="57CA5A02">
            <w:pPr>
              <w:pStyle w:val="20"/>
              <w:spacing w:before="262" w:line="214" w:lineRule="auto"/>
              <w:ind w:left="46"/>
              <w:rPr>
                <w:color w:val="auto"/>
                <w:highlight w:val="none"/>
              </w:rPr>
            </w:pPr>
            <w:r>
              <w:rPr>
                <w:color w:val="auto"/>
                <w:spacing w:val="8"/>
                <w:highlight w:val="none"/>
              </w:rPr>
              <w:t>监理交通设施费</w:t>
            </w:r>
          </w:p>
        </w:tc>
        <w:tc>
          <w:tcPr>
            <w:tcW w:w="661" w:type="dxa"/>
            <w:vAlign w:val="top"/>
          </w:tcPr>
          <w:p w14:paraId="44ADBB91">
            <w:pPr>
              <w:rPr>
                <w:rFonts w:ascii="Arial"/>
                <w:color w:val="auto"/>
                <w:sz w:val="21"/>
                <w:highlight w:val="none"/>
              </w:rPr>
            </w:pPr>
          </w:p>
        </w:tc>
        <w:tc>
          <w:tcPr>
            <w:tcW w:w="661" w:type="dxa"/>
            <w:vAlign w:val="top"/>
          </w:tcPr>
          <w:p w14:paraId="15AF9E67">
            <w:pPr>
              <w:rPr>
                <w:rFonts w:ascii="Arial"/>
                <w:color w:val="auto"/>
                <w:sz w:val="21"/>
                <w:highlight w:val="none"/>
              </w:rPr>
            </w:pPr>
          </w:p>
        </w:tc>
        <w:tc>
          <w:tcPr>
            <w:tcW w:w="661" w:type="dxa"/>
            <w:vAlign w:val="top"/>
          </w:tcPr>
          <w:p w14:paraId="300E2D55">
            <w:pPr>
              <w:rPr>
                <w:rFonts w:ascii="Arial"/>
                <w:color w:val="auto"/>
                <w:sz w:val="21"/>
                <w:highlight w:val="none"/>
              </w:rPr>
            </w:pPr>
          </w:p>
        </w:tc>
        <w:tc>
          <w:tcPr>
            <w:tcW w:w="664" w:type="dxa"/>
            <w:vAlign w:val="top"/>
          </w:tcPr>
          <w:p w14:paraId="7D861F5B">
            <w:pPr>
              <w:rPr>
                <w:rFonts w:ascii="Arial"/>
                <w:color w:val="auto"/>
                <w:sz w:val="21"/>
                <w:highlight w:val="none"/>
              </w:rPr>
            </w:pPr>
          </w:p>
        </w:tc>
        <w:tc>
          <w:tcPr>
            <w:tcW w:w="660" w:type="dxa"/>
            <w:vAlign w:val="top"/>
          </w:tcPr>
          <w:p w14:paraId="042DE4F1">
            <w:pPr>
              <w:rPr>
                <w:rFonts w:ascii="Arial"/>
                <w:color w:val="auto"/>
                <w:sz w:val="21"/>
                <w:highlight w:val="none"/>
              </w:rPr>
            </w:pPr>
          </w:p>
        </w:tc>
        <w:tc>
          <w:tcPr>
            <w:tcW w:w="661" w:type="dxa"/>
            <w:vAlign w:val="top"/>
          </w:tcPr>
          <w:p w14:paraId="43B8A22C">
            <w:pPr>
              <w:rPr>
                <w:rFonts w:ascii="Arial"/>
                <w:color w:val="auto"/>
                <w:sz w:val="21"/>
                <w:highlight w:val="none"/>
              </w:rPr>
            </w:pPr>
          </w:p>
        </w:tc>
        <w:tc>
          <w:tcPr>
            <w:tcW w:w="661" w:type="dxa"/>
            <w:vAlign w:val="top"/>
          </w:tcPr>
          <w:p w14:paraId="37224B51">
            <w:pPr>
              <w:rPr>
                <w:rFonts w:ascii="Arial"/>
                <w:color w:val="auto"/>
                <w:sz w:val="21"/>
                <w:highlight w:val="none"/>
              </w:rPr>
            </w:pPr>
          </w:p>
        </w:tc>
        <w:tc>
          <w:tcPr>
            <w:tcW w:w="666" w:type="dxa"/>
            <w:vAlign w:val="top"/>
          </w:tcPr>
          <w:p w14:paraId="0CA0A3FA">
            <w:pPr>
              <w:rPr>
                <w:rFonts w:ascii="Arial"/>
                <w:color w:val="auto"/>
                <w:sz w:val="21"/>
                <w:highlight w:val="none"/>
              </w:rPr>
            </w:pPr>
          </w:p>
        </w:tc>
        <w:tc>
          <w:tcPr>
            <w:tcW w:w="1467" w:type="dxa"/>
            <w:vAlign w:val="top"/>
          </w:tcPr>
          <w:p w14:paraId="74F40023">
            <w:pPr>
              <w:rPr>
                <w:rFonts w:ascii="Arial"/>
                <w:color w:val="auto"/>
                <w:sz w:val="21"/>
                <w:highlight w:val="none"/>
              </w:rPr>
            </w:pPr>
          </w:p>
        </w:tc>
        <w:tc>
          <w:tcPr>
            <w:tcW w:w="923" w:type="dxa"/>
            <w:vAlign w:val="top"/>
          </w:tcPr>
          <w:p w14:paraId="6BD02782">
            <w:pPr>
              <w:rPr>
                <w:rFonts w:ascii="Arial"/>
                <w:color w:val="auto"/>
                <w:sz w:val="21"/>
                <w:highlight w:val="none"/>
              </w:rPr>
            </w:pPr>
          </w:p>
        </w:tc>
      </w:tr>
      <w:tr w14:paraId="4DE4B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603" w:type="dxa"/>
            <w:vAlign w:val="top"/>
          </w:tcPr>
          <w:p w14:paraId="7EB798FC">
            <w:pPr>
              <w:pStyle w:val="20"/>
              <w:spacing w:before="262" w:line="214" w:lineRule="auto"/>
              <w:ind w:left="46"/>
              <w:rPr>
                <w:color w:val="auto"/>
                <w:highlight w:val="none"/>
              </w:rPr>
            </w:pPr>
            <w:r>
              <w:rPr>
                <w:color w:val="auto"/>
                <w:spacing w:val="8"/>
                <w:highlight w:val="none"/>
              </w:rPr>
              <w:t>监理试验设施费</w:t>
            </w:r>
          </w:p>
        </w:tc>
        <w:tc>
          <w:tcPr>
            <w:tcW w:w="661" w:type="dxa"/>
            <w:vAlign w:val="top"/>
          </w:tcPr>
          <w:p w14:paraId="57397B9D">
            <w:pPr>
              <w:rPr>
                <w:rFonts w:ascii="Arial"/>
                <w:color w:val="auto"/>
                <w:sz w:val="21"/>
                <w:highlight w:val="none"/>
              </w:rPr>
            </w:pPr>
          </w:p>
        </w:tc>
        <w:tc>
          <w:tcPr>
            <w:tcW w:w="661" w:type="dxa"/>
            <w:vAlign w:val="top"/>
          </w:tcPr>
          <w:p w14:paraId="5211A27A">
            <w:pPr>
              <w:rPr>
                <w:rFonts w:ascii="Arial"/>
                <w:color w:val="auto"/>
                <w:sz w:val="21"/>
                <w:highlight w:val="none"/>
              </w:rPr>
            </w:pPr>
          </w:p>
        </w:tc>
        <w:tc>
          <w:tcPr>
            <w:tcW w:w="661" w:type="dxa"/>
            <w:vAlign w:val="top"/>
          </w:tcPr>
          <w:p w14:paraId="5E9F8DAD">
            <w:pPr>
              <w:rPr>
                <w:rFonts w:ascii="Arial"/>
                <w:color w:val="auto"/>
                <w:sz w:val="21"/>
                <w:highlight w:val="none"/>
              </w:rPr>
            </w:pPr>
          </w:p>
        </w:tc>
        <w:tc>
          <w:tcPr>
            <w:tcW w:w="664" w:type="dxa"/>
            <w:vAlign w:val="top"/>
          </w:tcPr>
          <w:p w14:paraId="6D460D9D">
            <w:pPr>
              <w:rPr>
                <w:rFonts w:ascii="Arial"/>
                <w:color w:val="auto"/>
                <w:sz w:val="21"/>
                <w:highlight w:val="none"/>
              </w:rPr>
            </w:pPr>
          </w:p>
        </w:tc>
        <w:tc>
          <w:tcPr>
            <w:tcW w:w="660" w:type="dxa"/>
            <w:vAlign w:val="top"/>
          </w:tcPr>
          <w:p w14:paraId="169D29EB">
            <w:pPr>
              <w:rPr>
                <w:rFonts w:ascii="Arial"/>
                <w:color w:val="auto"/>
                <w:sz w:val="21"/>
                <w:highlight w:val="none"/>
              </w:rPr>
            </w:pPr>
          </w:p>
        </w:tc>
        <w:tc>
          <w:tcPr>
            <w:tcW w:w="661" w:type="dxa"/>
            <w:vAlign w:val="top"/>
          </w:tcPr>
          <w:p w14:paraId="48AAC5AC">
            <w:pPr>
              <w:rPr>
                <w:rFonts w:ascii="Arial"/>
                <w:color w:val="auto"/>
                <w:sz w:val="21"/>
                <w:highlight w:val="none"/>
              </w:rPr>
            </w:pPr>
          </w:p>
        </w:tc>
        <w:tc>
          <w:tcPr>
            <w:tcW w:w="661" w:type="dxa"/>
            <w:vAlign w:val="top"/>
          </w:tcPr>
          <w:p w14:paraId="5C1D1F78">
            <w:pPr>
              <w:rPr>
                <w:rFonts w:ascii="Arial"/>
                <w:color w:val="auto"/>
                <w:sz w:val="21"/>
                <w:highlight w:val="none"/>
              </w:rPr>
            </w:pPr>
          </w:p>
        </w:tc>
        <w:tc>
          <w:tcPr>
            <w:tcW w:w="666" w:type="dxa"/>
            <w:vAlign w:val="top"/>
          </w:tcPr>
          <w:p w14:paraId="17755EFD">
            <w:pPr>
              <w:rPr>
                <w:rFonts w:ascii="Arial"/>
                <w:color w:val="auto"/>
                <w:sz w:val="21"/>
                <w:highlight w:val="none"/>
              </w:rPr>
            </w:pPr>
          </w:p>
        </w:tc>
        <w:tc>
          <w:tcPr>
            <w:tcW w:w="1467" w:type="dxa"/>
            <w:vAlign w:val="top"/>
          </w:tcPr>
          <w:p w14:paraId="257EF2F5">
            <w:pPr>
              <w:rPr>
                <w:rFonts w:ascii="Arial"/>
                <w:color w:val="auto"/>
                <w:sz w:val="21"/>
                <w:highlight w:val="none"/>
              </w:rPr>
            </w:pPr>
          </w:p>
        </w:tc>
        <w:tc>
          <w:tcPr>
            <w:tcW w:w="923" w:type="dxa"/>
            <w:vAlign w:val="top"/>
          </w:tcPr>
          <w:p w14:paraId="2E799D83">
            <w:pPr>
              <w:rPr>
                <w:rFonts w:ascii="Arial"/>
                <w:color w:val="auto"/>
                <w:sz w:val="21"/>
                <w:highlight w:val="none"/>
              </w:rPr>
            </w:pPr>
          </w:p>
        </w:tc>
      </w:tr>
      <w:tr w14:paraId="23B2D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603" w:type="dxa"/>
            <w:vAlign w:val="top"/>
          </w:tcPr>
          <w:p w14:paraId="441862DA">
            <w:pPr>
              <w:pStyle w:val="20"/>
              <w:spacing w:before="264" w:line="213" w:lineRule="auto"/>
              <w:ind w:left="46"/>
              <w:rPr>
                <w:color w:val="auto"/>
                <w:highlight w:val="none"/>
              </w:rPr>
            </w:pPr>
            <w:r>
              <w:rPr>
                <w:color w:val="auto"/>
                <w:spacing w:val="8"/>
                <w:highlight w:val="none"/>
              </w:rPr>
              <w:t>监理生活设施费</w:t>
            </w:r>
          </w:p>
        </w:tc>
        <w:tc>
          <w:tcPr>
            <w:tcW w:w="661" w:type="dxa"/>
            <w:vAlign w:val="top"/>
          </w:tcPr>
          <w:p w14:paraId="37F5ADB3">
            <w:pPr>
              <w:rPr>
                <w:rFonts w:ascii="Arial"/>
                <w:color w:val="auto"/>
                <w:sz w:val="21"/>
                <w:highlight w:val="none"/>
              </w:rPr>
            </w:pPr>
          </w:p>
        </w:tc>
        <w:tc>
          <w:tcPr>
            <w:tcW w:w="661" w:type="dxa"/>
            <w:vAlign w:val="top"/>
          </w:tcPr>
          <w:p w14:paraId="66180061">
            <w:pPr>
              <w:rPr>
                <w:rFonts w:ascii="Arial"/>
                <w:color w:val="auto"/>
                <w:sz w:val="21"/>
                <w:highlight w:val="none"/>
              </w:rPr>
            </w:pPr>
          </w:p>
        </w:tc>
        <w:tc>
          <w:tcPr>
            <w:tcW w:w="661" w:type="dxa"/>
            <w:vAlign w:val="top"/>
          </w:tcPr>
          <w:p w14:paraId="3D0E323D">
            <w:pPr>
              <w:rPr>
                <w:rFonts w:ascii="Arial"/>
                <w:color w:val="auto"/>
                <w:sz w:val="21"/>
                <w:highlight w:val="none"/>
              </w:rPr>
            </w:pPr>
          </w:p>
        </w:tc>
        <w:tc>
          <w:tcPr>
            <w:tcW w:w="664" w:type="dxa"/>
            <w:vAlign w:val="top"/>
          </w:tcPr>
          <w:p w14:paraId="7F50BEC3">
            <w:pPr>
              <w:rPr>
                <w:rFonts w:ascii="Arial"/>
                <w:color w:val="auto"/>
                <w:sz w:val="21"/>
                <w:highlight w:val="none"/>
              </w:rPr>
            </w:pPr>
          </w:p>
        </w:tc>
        <w:tc>
          <w:tcPr>
            <w:tcW w:w="660" w:type="dxa"/>
            <w:vAlign w:val="top"/>
          </w:tcPr>
          <w:p w14:paraId="4FB45DA0">
            <w:pPr>
              <w:rPr>
                <w:rFonts w:ascii="Arial"/>
                <w:color w:val="auto"/>
                <w:sz w:val="21"/>
                <w:highlight w:val="none"/>
              </w:rPr>
            </w:pPr>
          </w:p>
        </w:tc>
        <w:tc>
          <w:tcPr>
            <w:tcW w:w="661" w:type="dxa"/>
            <w:vAlign w:val="top"/>
          </w:tcPr>
          <w:p w14:paraId="3EB1F19A">
            <w:pPr>
              <w:rPr>
                <w:rFonts w:ascii="Arial"/>
                <w:color w:val="auto"/>
                <w:sz w:val="21"/>
                <w:highlight w:val="none"/>
              </w:rPr>
            </w:pPr>
          </w:p>
        </w:tc>
        <w:tc>
          <w:tcPr>
            <w:tcW w:w="661" w:type="dxa"/>
            <w:vAlign w:val="top"/>
          </w:tcPr>
          <w:p w14:paraId="0A597153">
            <w:pPr>
              <w:rPr>
                <w:rFonts w:ascii="Arial"/>
                <w:color w:val="auto"/>
                <w:sz w:val="21"/>
                <w:highlight w:val="none"/>
              </w:rPr>
            </w:pPr>
          </w:p>
        </w:tc>
        <w:tc>
          <w:tcPr>
            <w:tcW w:w="666" w:type="dxa"/>
            <w:vAlign w:val="top"/>
          </w:tcPr>
          <w:p w14:paraId="50A5A3D3">
            <w:pPr>
              <w:rPr>
                <w:rFonts w:ascii="Arial"/>
                <w:color w:val="auto"/>
                <w:sz w:val="21"/>
                <w:highlight w:val="none"/>
              </w:rPr>
            </w:pPr>
          </w:p>
        </w:tc>
        <w:tc>
          <w:tcPr>
            <w:tcW w:w="1467" w:type="dxa"/>
            <w:vAlign w:val="top"/>
          </w:tcPr>
          <w:p w14:paraId="096EEF7B">
            <w:pPr>
              <w:rPr>
                <w:rFonts w:ascii="Arial"/>
                <w:color w:val="auto"/>
                <w:sz w:val="21"/>
                <w:highlight w:val="none"/>
              </w:rPr>
            </w:pPr>
          </w:p>
        </w:tc>
        <w:tc>
          <w:tcPr>
            <w:tcW w:w="923" w:type="dxa"/>
            <w:vAlign w:val="top"/>
          </w:tcPr>
          <w:p w14:paraId="4099B799">
            <w:pPr>
              <w:rPr>
                <w:rFonts w:ascii="Arial"/>
                <w:color w:val="auto"/>
                <w:sz w:val="21"/>
                <w:highlight w:val="none"/>
              </w:rPr>
            </w:pPr>
          </w:p>
        </w:tc>
      </w:tr>
      <w:tr w14:paraId="29CBE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603" w:type="dxa"/>
            <w:vAlign w:val="top"/>
          </w:tcPr>
          <w:p w14:paraId="39018660">
            <w:pPr>
              <w:pStyle w:val="20"/>
              <w:spacing w:before="263" w:line="214" w:lineRule="auto"/>
              <w:ind w:left="46"/>
              <w:rPr>
                <w:color w:val="auto"/>
                <w:highlight w:val="none"/>
              </w:rPr>
            </w:pPr>
            <w:r>
              <w:rPr>
                <w:color w:val="auto"/>
                <w:spacing w:val="7"/>
                <w:highlight w:val="none"/>
              </w:rPr>
              <w:t>其他费用</w:t>
            </w:r>
          </w:p>
        </w:tc>
        <w:tc>
          <w:tcPr>
            <w:tcW w:w="661" w:type="dxa"/>
            <w:vAlign w:val="top"/>
          </w:tcPr>
          <w:p w14:paraId="28AC3C0C">
            <w:pPr>
              <w:rPr>
                <w:rFonts w:ascii="Arial"/>
                <w:color w:val="auto"/>
                <w:sz w:val="21"/>
                <w:highlight w:val="none"/>
              </w:rPr>
            </w:pPr>
          </w:p>
        </w:tc>
        <w:tc>
          <w:tcPr>
            <w:tcW w:w="661" w:type="dxa"/>
            <w:vAlign w:val="top"/>
          </w:tcPr>
          <w:p w14:paraId="0751E8F5">
            <w:pPr>
              <w:rPr>
                <w:rFonts w:ascii="Arial"/>
                <w:color w:val="auto"/>
                <w:sz w:val="21"/>
                <w:highlight w:val="none"/>
              </w:rPr>
            </w:pPr>
          </w:p>
        </w:tc>
        <w:tc>
          <w:tcPr>
            <w:tcW w:w="661" w:type="dxa"/>
            <w:vAlign w:val="top"/>
          </w:tcPr>
          <w:p w14:paraId="3E84DF8C">
            <w:pPr>
              <w:rPr>
                <w:rFonts w:ascii="Arial"/>
                <w:color w:val="auto"/>
                <w:sz w:val="21"/>
                <w:highlight w:val="none"/>
              </w:rPr>
            </w:pPr>
          </w:p>
        </w:tc>
        <w:tc>
          <w:tcPr>
            <w:tcW w:w="664" w:type="dxa"/>
            <w:vAlign w:val="top"/>
          </w:tcPr>
          <w:p w14:paraId="4C6614EC">
            <w:pPr>
              <w:rPr>
                <w:rFonts w:ascii="Arial"/>
                <w:color w:val="auto"/>
                <w:sz w:val="21"/>
                <w:highlight w:val="none"/>
              </w:rPr>
            </w:pPr>
          </w:p>
        </w:tc>
        <w:tc>
          <w:tcPr>
            <w:tcW w:w="660" w:type="dxa"/>
            <w:vAlign w:val="top"/>
          </w:tcPr>
          <w:p w14:paraId="1788DF85">
            <w:pPr>
              <w:rPr>
                <w:rFonts w:ascii="Arial"/>
                <w:color w:val="auto"/>
                <w:sz w:val="21"/>
                <w:highlight w:val="none"/>
              </w:rPr>
            </w:pPr>
          </w:p>
        </w:tc>
        <w:tc>
          <w:tcPr>
            <w:tcW w:w="661" w:type="dxa"/>
            <w:vAlign w:val="top"/>
          </w:tcPr>
          <w:p w14:paraId="45660512">
            <w:pPr>
              <w:rPr>
                <w:rFonts w:ascii="Arial"/>
                <w:color w:val="auto"/>
                <w:sz w:val="21"/>
                <w:highlight w:val="none"/>
              </w:rPr>
            </w:pPr>
          </w:p>
        </w:tc>
        <w:tc>
          <w:tcPr>
            <w:tcW w:w="661" w:type="dxa"/>
            <w:vAlign w:val="top"/>
          </w:tcPr>
          <w:p w14:paraId="6781AA03">
            <w:pPr>
              <w:rPr>
                <w:rFonts w:ascii="Arial"/>
                <w:color w:val="auto"/>
                <w:sz w:val="21"/>
                <w:highlight w:val="none"/>
              </w:rPr>
            </w:pPr>
          </w:p>
        </w:tc>
        <w:tc>
          <w:tcPr>
            <w:tcW w:w="666" w:type="dxa"/>
            <w:vAlign w:val="top"/>
          </w:tcPr>
          <w:p w14:paraId="05F235AF">
            <w:pPr>
              <w:rPr>
                <w:rFonts w:ascii="Arial"/>
                <w:color w:val="auto"/>
                <w:sz w:val="21"/>
                <w:highlight w:val="none"/>
              </w:rPr>
            </w:pPr>
          </w:p>
        </w:tc>
        <w:tc>
          <w:tcPr>
            <w:tcW w:w="1467" w:type="dxa"/>
            <w:vAlign w:val="top"/>
          </w:tcPr>
          <w:p w14:paraId="37400550">
            <w:pPr>
              <w:rPr>
                <w:rFonts w:ascii="Arial"/>
                <w:color w:val="auto"/>
                <w:sz w:val="21"/>
                <w:highlight w:val="none"/>
              </w:rPr>
            </w:pPr>
          </w:p>
        </w:tc>
        <w:tc>
          <w:tcPr>
            <w:tcW w:w="923" w:type="dxa"/>
            <w:vAlign w:val="top"/>
          </w:tcPr>
          <w:p w14:paraId="0C57701D">
            <w:pPr>
              <w:rPr>
                <w:rFonts w:ascii="Arial"/>
                <w:color w:val="auto"/>
                <w:sz w:val="21"/>
                <w:highlight w:val="none"/>
              </w:rPr>
            </w:pPr>
          </w:p>
        </w:tc>
      </w:tr>
      <w:tr w14:paraId="1D3A8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603" w:type="dxa"/>
            <w:vAlign w:val="top"/>
          </w:tcPr>
          <w:p w14:paraId="4ED3E821">
            <w:pPr>
              <w:pStyle w:val="20"/>
              <w:spacing w:before="265" w:line="216" w:lineRule="auto"/>
              <w:ind w:left="46"/>
              <w:rPr>
                <w:color w:val="auto"/>
                <w:highlight w:val="none"/>
              </w:rPr>
            </w:pPr>
            <w:r>
              <w:rPr>
                <w:color w:val="auto"/>
                <w:spacing w:val="4"/>
                <w:highlight w:val="none"/>
              </w:rPr>
              <w:t>合计</w:t>
            </w:r>
          </w:p>
        </w:tc>
        <w:tc>
          <w:tcPr>
            <w:tcW w:w="661" w:type="dxa"/>
            <w:vAlign w:val="top"/>
          </w:tcPr>
          <w:p w14:paraId="2F5493C0">
            <w:pPr>
              <w:rPr>
                <w:rFonts w:ascii="Arial"/>
                <w:color w:val="auto"/>
                <w:sz w:val="21"/>
                <w:highlight w:val="none"/>
              </w:rPr>
            </w:pPr>
          </w:p>
        </w:tc>
        <w:tc>
          <w:tcPr>
            <w:tcW w:w="661" w:type="dxa"/>
            <w:vAlign w:val="top"/>
          </w:tcPr>
          <w:p w14:paraId="5A6B6E27">
            <w:pPr>
              <w:rPr>
                <w:rFonts w:ascii="Arial"/>
                <w:color w:val="auto"/>
                <w:sz w:val="21"/>
                <w:highlight w:val="none"/>
              </w:rPr>
            </w:pPr>
          </w:p>
        </w:tc>
        <w:tc>
          <w:tcPr>
            <w:tcW w:w="661" w:type="dxa"/>
            <w:vAlign w:val="top"/>
          </w:tcPr>
          <w:p w14:paraId="2C9D2856">
            <w:pPr>
              <w:rPr>
                <w:rFonts w:ascii="Arial"/>
                <w:color w:val="auto"/>
                <w:sz w:val="21"/>
                <w:highlight w:val="none"/>
              </w:rPr>
            </w:pPr>
          </w:p>
        </w:tc>
        <w:tc>
          <w:tcPr>
            <w:tcW w:w="664" w:type="dxa"/>
            <w:vAlign w:val="top"/>
          </w:tcPr>
          <w:p w14:paraId="671CFA04">
            <w:pPr>
              <w:rPr>
                <w:rFonts w:ascii="Arial"/>
                <w:color w:val="auto"/>
                <w:sz w:val="21"/>
                <w:highlight w:val="none"/>
              </w:rPr>
            </w:pPr>
          </w:p>
        </w:tc>
        <w:tc>
          <w:tcPr>
            <w:tcW w:w="660" w:type="dxa"/>
            <w:vAlign w:val="top"/>
          </w:tcPr>
          <w:p w14:paraId="0D9E7422">
            <w:pPr>
              <w:rPr>
                <w:rFonts w:ascii="Arial"/>
                <w:color w:val="auto"/>
                <w:sz w:val="21"/>
                <w:highlight w:val="none"/>
              </w:rPr>
            </w:pPr>
          </w:p>
        </w:tc>
        <w:tc>
          <w:tcPr>
            <w:tcW w:w="661" w:type="dxa"/>
            <w:vAlign w:val="top"/>
          </w:tcPr>
          <w:p w14:paraId="3F9AE33A">
            <w:pPr>
              <w:rPr>
                <w:rFonts w:ascii="Arial"/>
                <w:color w:val="auto"/>
                <w:sz w:val="21"/>
                <w:highlight w:val="none"/>
              </w:rPr>
            </w:pPr>
          </w:p>
        </w:tc>
        <w:tc>
          <w:tcPr>
            <w:tcW w:w="661" w:type="dxa"/>
            <w:vAlign w:val="top"/>
          </w:tcPr>
          <w:p w14:paraId="36DF547A">
            <w:pPr>
              <w:rPr>
                <w:rFonts w:ascii="Arial"/>
                <w:color w:val="auto"/>
                <w:sz w:val="21"/>
                <w:highlight w:val="none"/>
              </w:rPr>
            </w:pPr>
          </w:p>
        </w:tc>
        <w:tc>
          <w:tcPr>
            <w:tcW w:w="666" w:type="dxa"/>
            <w:vAlign w:val="top"/>
          </w:tcPr>
          <w:p w14:paraId="08F39B94">
            <w:pPr>
              <w:rPr>
                <w:rFonts w:ascii="Arial"/>
                <w:color w:val="auto"/>
                <w:sz w:val="21"/>
                <w:highlight w:val="none"/>
              </w:rPr>
            </w:pPr>
          </w:p>
        </w:tc>
        <w:tc>
          <w:tcPr>
            <w:tcW w:w="1467" w:type="dxa"/>
            <w:vAlign w:val="top"/>
          </w:tcPr>
          <w:p w14:paraId="5A896760">
            <w:pPr>
              <w:rPr>
                <w:rFonts w:ascii="Arial"/>
                <w:color w:val="auto"/>
                <w:sz w:val="21"/>
                <w:highlight w:val="none"/>
              </w:rPr>
            </w:pPr>
          </w:p>
        </w:tc>
        <w:tc>
          <w:tcPr>
            <w:tcW w:w="923" w:type="dxa"/>
            <w:vAlign w:val="top"/>
          </w:tcPr>
          <w:p w14:paraId="09EBDC77">
            <w:pPr>
              <w:rPr>
                <w:rFonts w:ascii="Arial"/>
                <w:color w:val="auto"/>
                <w:sz w:val="21"/>
                <w:highlight w:val="none"/>
              </w:rPr>
            </w:pPr>
          </w:p>
        </w:tc>
      </w:tr>
    </w:tbl>
    <w:p w14:paraId="7D9911A8">
      <w:pPr>
        <w:spacing w:line="254" w:lineRule="auto"/>
        <w:rPr>
          <w:rFonts w:ascii="Arial"/>
          <w:color w:val="auto"/>
          <w:sz w:val="21"/>
          <w:highlight w:val="none"/>
        </w:rPr>
      </w:pPr>
    </w:p>
    <w:p w14:paraId="051C21C6">
      <w:pPr>
        <w:spacing w:line="254" w:lineRule="auto"/>
        <w:rPr>
          <w:rFonts w:ascii="Arial"/>
          <w:color w:val="auto"/>
          <w:sz w:val="21"/>
          <w:highlight w:val="none"/>
        </w:rPr>
      </w:pPr>
    </w:p>
    <w:p w14:paraId="5FE00397">
      <w:pPr>
        <w:spacing w:line="254" w:lineRule="auto"/>
        <w:rPr>
          <w:rFonts w:ascii="Arial"/>
          <w:color w:val="auto"/>
          <w:sz w:val="21"/>
          <w:highlight w:val="none"/>
        </w:rPr>
      </w:pPr>
    </w:p>
    <w:p w14:paraId="44159087">
      <w:pPr>
        <w:spacing w:line="254" w:lineRule="auto"/>
        <w:rPr>
          <w:rFonts w:ascii="Arial"/>
          <w:color w:val="auto"/>
          <w:sz w:val="21"/>
          <w:highlight w:val="none"/>
        </w:rPr>
      </w:pPr>
    </w:p>
    <w:p w14:paraId="51B4F3A9">
      <w:pPr>
        <w:spacing w:line="254" w:lineRule="auto"/>
        <w:rPr>
          <w:rFonts w:ascii="Arial"/>
          <w:color w:val="auto"/>
          <w:sz w:val="21"/>
          <w:highlight w:val="none"/>
        </w:rPr>
      </w:pPr>
    </w:p>
    <w:p w14:paraId="777C4CE2">
      <w:pPr>
        <w:spacing w:before="65" w:line="227" w:lineRule="auto"/>
        <w:ind w:left="1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注：1. 本表应按附件</w:t>
      </w:r>
      <w:r>
        <w:rPr>
          <w:rFonts w:ascii="宋体" w:hAnsi="宋体" w:eastAsia="宋体" w:cs="宋体"/>
          <w:color w:val="auto"/>
          <w:spacing w:val="-23"/>
          <w:sz w:val="20"/>
          <w:szCs w:val="20"/>
          <w:highlight w:val="none"/>
        </w:rPr>
        <w:t xml:space="preserve"> </w:t>
      </w:r>
      <w:r>
        <w:rPr>
          <w:rFonts w:ascii="宋体" w:hAnsi="宋体" w:eastAsia="宋体" w:cs="宋体"/>
          <w:color w:val="auto"/>
          <w:spacing w:val="8"/>
          <w:sz w:val="20"/>
          <w:szCs w:val="20"/>
          <w:highlight w:val="none"/>
        </w:rPr>
        <w:t>1</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和附件</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监理人员和监理设施</w:t>
      </w:r>
      <w:r>
        <w:rPr>
          <w:rFonts w:ascii="宋体" w:hAnsi="宋体" w:eastAsia="宋体" w:cs="宋体"/>
          <w:color w:val="auto"/>
          <w:spacing w:val="7"/>
          <w:sz w:val="20"/>
          <w:szCs w:val="20"/>
          <w:highlight w:val="none"/>
        </w:rPr>
        <w:t>进场时间及数量安排计算相应的费用。</w:t>
      </w:r>
    </w:p>
    <w:p w14:paraId="58CC2665">
      <w:pPr>
        <w:spacing w:before="155" w:line="226" w:lineRule="auto"/>
        <w:ind w:left="54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 本表各项合计费用应与监理服务费用报价汇总表相一致。</w:t>
      </w:r>
    </w:p>
    <w:p w14:paraId="36C85CC2">
      <w:pPr>
        <w:spacing w:before="153" w:line="227" w:lineRule="auto"/>
        <w:ind w:left="54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 本表将作为监理合同履行过程中委托人支付监理费</w:t>
      </w:r>
      <w:r>
        <w:rPr>
          <w:rFonts w:ascii="宋体" w:hAnsi="宋体" w:eastAsia="宋体" w:cs="宋体"/>
          <w:color w:val="auto"/>
          <w:spacing w:val="8"/>
          <w:sz w:val="20"/>
          <w:szCs w:val="20"/>
          <w:highlight w:val="none"/>
        </w:rPr>
        <w:t>用的参考依据。</w:t>
      </w:r>
    </w:p>
    <w:p w14:paraId="148100A7">
      <w:pPr>
        <w:spacing w:line="227" w:lineRule="auto"/>
        <w:rPr>
          <w:rFonts w:ascii="宋体" w:hAnsi="宋体" w:eastAsia="宋体" w:cs="宋体"/>
          <w:color w:val="auto"/>
          <w:sz w:val="20"/>
          <w:szCs w:val="20"/>
          <w:highlight w:val="none"/>
        </w:rPr>
        <w:sectPr>
          <w:footerReference r:id="rId61" w:type="default"/>
          <w:pgSz w:w="11905" w:h="16838"/>
          <w:pgMar w:top="1134" w:right="1134" w:bottom="1134" w:left="1134" w:header="0" w:footer="1066" w:gutter="0"/>
          <w:pgNumType w:fmt="decimal"/>
          <w:cols w:space="0" w:num="1"/>
          <w:rtlGutter w:val="0"/>
          <w:docGrid w:linePitch="0" w:charSpace="0"/>
        </w:sectPr>
      </w:pPr>
    </w:p>
    <w:p w14:paraId="1BC669C6">
      <w:pPr>
        <w:spacing w:line="241" w:lineRule="auto"/>
        <w:rPr>
          <w:rFonts w:ascii="Arial"/>
          <w:color w:val="auto"/>
          <w:sz w:val="21"/>
          <w:highlight w:val="none"/>
        </w:rPr>
      </w:pPr>
    </w:p>
    <w:p w14:paraId="7B5BFB16">
      <w:pPr>
        <w:pStyle w:val="4"/>
        <w:bidi w:val="0"/>
        <w:jc w:val="center"/>
        <w:rPr>
          <w:color w:val="auto"/>
          <w:highlight w:val="none"/>
        </w:rPr>
      </w:pPr>
      <w:r>
        <w:rPr>
          <w:color w:val="auto"/>
          <w:highlight w:val="none"/>
        </w:rPr>
        <w:t>附件 1   监理人员工作计划安排表</w:t>
      </w:r>
    </w:p>
    <w:p w14:paraId="61B50B60">
      <w:pPr>
        <w:spacing w:before="20" w:line="228" w:lineRule="auto"/>
        <w:ind w:left="11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标段：</w:t>
      </w:r>
      <w:r>
        <w:rPr>
          <w:rFonts w:ascii="宋体" w:hAnsi="宋体" w:eastAsia="宋体" w:cs="宋体"/>
          <w:color w:val="auto"/>
          <w:sz w:val="20"/>
          <w:szCs w:val="20"/>
          <w:highlight w:val="none"/>
          <w:u w:val="single" w:color="auto"/>
        </w:rPr>
        <w:t xml:space="preserve">         </w:t>
      </w:r>
    </w:p>
    <w:p w14:paraId="2F110467">
      <w:pPr>
        <w:spacing w:line="113" w:lineRule="exact"/>
        <w:rPr>
          <w:color w:val="auto"/>
          <w:highlight w:val="none"/>
        </w:rPr>
      </w:pPr>
    </w:p>
    <w:tbl>
      <w:tblPr>
        <w:tblStyle w:val="19"/>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
        <w:gridCol w:w="1628"/>
        <w:gridCol w:w="805"/>
        <w:gridCol w:w="635"/>
        <w:gridCol w:w="348"/>
        <w:gridCol w:w="348"/>
        <w:gridCol w:w="350"/>
        <w:gridCol w:w="348"/>
        <w:gridCol w:w="349"/>
        <w:gridCol w:w="351"/>
        <w:gridCol w:w="349"/>
        <w:gridCol w:w="349"/>
        <w:gridCol w:w="426"/>
        <w:gridCol w:w="426"/>
        <w:gridCol w:w="426"/>
        <w:gridCol w:w="429"/>
        <w:gridCol w:w="526"/>
        <w:gridCol w:w="735"/>
      </w:tblGrid>
      <w:tr w14:paraId="19E27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458" w:type="dxa"/>
            <w:vMerge w:val="restart"/>
            <w:tcBorders>
              <w:bottom w:val="nil"/>
            </w:tcBorders>
            <w:textDirection w:val="tbRlV"/>
            <w:vAlign w:val="top"/>
          </w:tcPr>
          <w:p w14:paraId="46578B83">
            <w:pPr>
              <w:pStyle w:val="20"/>
              <w:spacing w:before="123" w:line="218" w:lineRule="auto"/>
              <w:ind w:left="308"/>
              <w:rPr>
                <w:color w:val="auto"/>
                <w:highlight w:val="none"/>
              </w:rPr>
            </w:pPr>
            <w:r>
              <w:rPr>
                <w:color w:val="auto"/>
                <w:spacing w:val="8"/>
                <w:highlight w:val="none"/>
              </w:rPr>
              <w:t>序</w:t>
            </w:r>
            <w:r>
              <w:rPr>
                <w:color w:val="auto"/>
                <w:spacing w:val="-38"/>
                <w:highlight w:val="none"/>
              </w:rPr>
              <w:t xml:space="preserve"> </w:t>
            </w:r>
            <w:r>
              <w:rPr>
                <w:color w:val="auto"/>
                <w:spacing w:val="8"/>
                <w:highlight w:val="none"/>
              </w:rPr>
              <w:t>号</w:t>
            </w:r>
          </w:p>
        </w:tc>
        <w:tc>
          <w:tcPr>
            <w:tcW w:w="1628" w:type="dxa"/>
            <w:vMerge w:val="restart"/>
            <w:tcBorders>
              <w:bottom w:val="nil"/>
            </w:tcBorders>
            <w:vAlign w:val="top"/>
          </w:tcPr>
          <w:p w14:paraId="76137FC8">
            <w:pPr>
              <w:spacing w:line="378" w:lineRule="auto"/>
              <w:rPr>
                <w:rFonts w:ascii="Arial"/>
                <w:color w:val="auto"/>
                <w:sz w:val="21"/>
                <w:highlight w:val="none"/>
              </w:rPr>
            </w:pPr>
          </w:p>
          <w:p w14:paraId="35C11537">
            <w:pPr>
              <w:pStyle w:val="20"/>
              <w:spacing w:before="65" w:line="229" w:lineRule="auto"/>
              <w:ind w:left="608"/>
              <w:rPr>
                <w:color w:val="auto"/>
                <w:highlight w:val="none"/>
              </w:rPr>
            </w:pPr>
            <w:r>
              <w:rPr>
                <w:color w:val="auto"/>
                <w:spacing w:val="3"/>
                <w:highlight w:val="none"/>
              </w:rPr>
              <w:t>人员</w:t>
            </w:r>
          </w:p>
        </w:tc>
        <w:tc>
          <w:tcPr>
            <w:tcW w:w="805" w:type="dxa"/>
            <w:vMerge w:val="restart"/>
            <w:tcBorders>
              <w:bottom w:val="nil"/>
            </w:tcBorders>
            <w:vAlign w:val="top"/>
          </w:tcPr>
          <w:p w14:paraId="0A7B6A99">
            <w:pPr>
              <w:pStyle w:val="20"/>
              <w:spacing w:before="172" w:line="228" w:lineRule="auto"/>
              <w:ind w:left="198"/>
              <w:rPr>
                <w:color w:val="auto"/>
                <w:highlight w:val="none"/>
              </w:rPr>
            </w:pPr>
            <w:r>
              <w:rPr>
                <w:color w:val="auto"/>
                <w:spacing w:val="4"/>
                <w:highlight w:val="none"/>
              </w:rPr>
              <w:t>驻场</w:t>
            </w:r>
          </w:p>
          <w:p w14:paraId="43DB6334">
            <w:pPr>
              <w:pStyle w:val="20"/>
              <w:spacing w:before="23" w:line="254" w:lineRule="auto"/>
              <w:ind w:left="104" w:right="102" w:firstLine="102"/>
              <w:rPr>
                <w:color w:val="auto"/>
                <w:highlight w:val="none"/>
              </w:rPr>
            </w:pPr>
            <w:r>
              <w:rPr>
                <w:color w:val="auto"/>
                <w:spacing w:val="-1"/>
                <w:highlight w:val="none"/>
              </w:rPr>
              <w:t>时间</w:t>
            </w:r>
            <w:r>
              <w:rPr>
                <w:color w:val="auto"/>
                <w:spacing w:val="-3"/>
                <w:highlight w:val="none"/>
              </w:rPr>
              <w:t>（月）</w:t>
            </w:r>
          </w:p>
        </w:tc>
        <w:tc>
          <w:tcPr>
            <w:tcW w:w="5134" w:type="dxa"/>
            <w:gridSpan w:val="13"/>
            <w:vAlign w:val="top"/>
          </w:tcPr>
          <w:p w14:paraId="5433F68D">
            <w:pPr>
              <w:pStyle w:val="20"/>
              <w:spacing w:before="168" w:line="228" w:lineRule="auto"/>
              <w:ind w:left="1052"/>
              <w:rPr>
                <w:color w:val="auto"/>
                <w:highlight w:val="none"/>
              </w:rPr>
            </w:pPr>
            <w:r>
              <w:rPr>
                <w:color w:val="auto"/>
                <w:spacing w:val="7"/>
                <w:highlight w:val="none"/>
              </w:rPr>
              <w:t>监理人员投入安排（共   个月）</w:t>
            </w:r>
          </w:p>
        </w:tc>
        <w:tc>
          <w:tcPr>
            <w:tcW w:w="526" w:type="dxa"/>
            <w:vMerge w:val="restart"/>
            <w:tcBorders>
              <w:bottom w:val="nil"/>
            </w:tcBorders>
            <w:textDirection w:val="tbRlV"/>
            <w:vAlign w:val="top"/>
          </w:tcPr>
          <w:p w14:paraId="3E8CF4F9">
            <w:pPr>
              <w:pStyle w:val="20"/>
              <w:spacing w:before="154" w:line="217" w:lineRule="auto"/>
              <w:ind w:left="308"/>
              <w:rPr>
                <w:color w:val="auto"/>
                <w:highlight w:val="none"/>
              </w:rPr>
            </w:pPr>
            <w:r>
              <w:rPr>
                <w:color w:val="auto"/>
                <w:spacing w:val="8"/>
                <w:highlight w:val="none"/>
              </w:rPr>
              <w:t>合</w:t>
            </w:r>
            <w:r>
              <w:rPr>
                <w:color w:val="auto"/>
                <w:spacing w:val="-38"/>
                <w:highlight w:val="none"/>
              </w:rPr>
              <w:t xml:space="preserve"> </w:t>
            </w:r>
            <w:r>
              <w:rPr>
                <w:color w:val="auto"/>
                <w:spacing w:val="8"/>
                <w:highlight w:val="none"/>
              </w:rPr>
              <w:t>计</w:t>
            </w:r>
          </w:p>
        </w:tc>
        <w:tc>
          <w:tcPr>
            <w:tcW w:w="735" w:type="dxa"/>
            <w:vMerge w:val="restart"/>
            <w:tcBorders>
              <w:bottom w:val="nil"/>
            </w:tcBorders>
            <w:vAlign w:val="top"/>
          </w:tcPr>
          <w:p w14:paraId="777BFB9B">
            <w:pPr>
              <w:spacing w:line="378" w:lineRule="auto"/>
              <w:rPr>
                <w:rFonts w:ascii="Arial"/>
                <w:color w:val="auto"/>
                <w:sz w:val="21"/>
                <w:highlight w:val="none"/>
              </w:rPr>
            </w:pPr>
          </w:p>
          <w:p w14:paraId="0C0A2671">
            <w:pPr>
              <w:pStyle w:val="20"/>
              <w:spacing w:before="65" w:line="229" w:lineRule="auto"/>
              <w:ind w:left="165"/>
              <w:rPr>
                <w:color w:val="auto"/>
                <w:highlight w:val="none"/>
              </w:rPr>
            </w:pPr>
            <w:r>
              <w:rPr>
                <w:color w:val="auto"/>
                <w:spacing w:val="3"/>
                <w:highlight w:val="none"/>
              </w:rPr>
              <w:t>备注</w:t>
            </w:r>
          </w:p>
        </w:tc>
      </w:tr>
      <w:tr w14:paraId="13AD4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458" w:type="dxa"/>
            <w:vMerge w:val="continue"/>
            <w:tcBorders>
              <w:top w:val="nil"/>
            </w:tcBorders>
            <w:textDirection w:val="tbRlV"/>
            <w:vAlign w:val="top"/>
          </w:tcPr>
          <w:p w14:paraId="5F7CB549">
            <w:pPr>
              <w:rPr>
                <w:rFonts w:ascii="Arial"/>
                <w:color w:val="auto"/>
                <w:sz w:val="21"/>
                <w:highlight w:val="none"/>
              </w:rPr>
            </w:pPr>
          </w:p>
        </w:tc>
        <w:tc>
          <w:tcPr>
            <w:tcW w:w="1628" w:type="dxa"/>
            <w:vMerge w:val="continue"/>
            <w:tcBorders>
              <w:top w:val="nil"/>
            </w:tcBorders>
            <w:vAlign w:val="top"/>
          </w:tcPr>
          <w:p w14:paraId="060B8F81">
            <w:pPr>
              <w:rPr>
                <w:rFonts w:ascii="Arial"/>
                <w:color w:val="auto"/>
                <w:sz w:val="21"/>
                <w:highlight w:val="none"/>
              </w:rPr>
            </w:pPr>
          </w:p>
        </w:tc>
        <w:tc>
          <w:tcPr>
            <w:tcW w:w="805" w:type="dxa"/>
            <w:vMerge w:val="continue"/>
            <w:tcBorders>
              <w:top w:val="nil"/>
            </w:tcBorders>
            <w:vAlign w:val="top"/>
          </w:tcPr>
          <w:p w14:paraId="63712B7C">
            <w:pPr>
              <w:rPr>
                <w:rFonts w:ascii="Arial"/>
                <w:color w:val="auto"/>
                <w:sz w:val="21"/>
                <w:highlight w:val="none"/>
              </w:rPr>
            </w:pPr>
          </w:p>
        </w:tc>
        <w:tc>
          <w:tcPr>
            <w:tcW w:w="635" w:type="dxa"/>
            <w:vAlign w:val="top"/>
          </w:tcPr>
          <w:p w14:paraId="275A3666">
            <w:pPr>
              <w:pStyle w:val="20"/>
              <w:spacing w:before="163" w:line="270" w:lineRule="exact"/>
              <w:ind w:left="286"/>
              <w:rPr>
                <w:color w:val="auto"/>
                <w:highlight w:val="none"/>
              </w:rPr>
            </w:pPr>
            <w:r>
              <w:rPr>
                <w:color w:val="auto"/>
                <w:position w:val="1"/>
                <w:highlight w:val="none"/>
              </w:rPr>
              <w:t>1</w:t>
            </w:r>
          </w:p>
        </w:tc>
        <w:tc>
          <w:tcPr>
            <w:tcW w:w="348" w:type="dxa"/>
            <w:vAlign w:val="top"/>
          </w:tcPr>
          <w:p w14:paraId="72914C1A">
            <w:pPr>
              <w:pStyle w:val="20"/>
              <w:spacing w:before="163" w:line="270" w:lineRule="exact"/>
              <w:ind w:left="130"/>
              <w:rPr>
                <w:color w:val="auto"/>
                <w:highlight w:val="none"/>
              </w:rPr>
            </w:pPr>
            <w:r>
              <w:rPr>
                <w:color w:val="auto"/>
                <w:position w:val="1"/>
                <w:highlight w:val="none"/>
              </w:rPr>
              <w:t>2</w:t>
            </w:r>
          </w:p>
        </w:tc>
        <w:tc>
          <w:tcPr>
            <w:tcW w:w="348" w:type="dxa"/>
            <w:vAlign w:val="top"/>
          </w:tcPr>
          <w:p w14:paraId="4E99CBE1">
            <w:pPr>
              <w:pStyle w:val="20"/>
              <w:spacing w:before="163" w:line="269" w:lineRule="exact"/>
              <w:ind w:left="132"/>
              <w:rPr>
                <w:color w:val="auto"/>
                <w:highlight w:val="none"/>
              </w:rPr>
            </w:pPr>
            <w:r>
              <w:rPr>
                <w:color w:val="auto"/>
                <w:position w:val="1"/>
                <w:highlight w:val="none"/>
              </w:rPr>
              <w:t>3</w:t>
            </w:r>
          </w:p>
        </w:tc>
        <w:tc>
          <w:tcPr>
            <w:tcW w:w="350" w:type="dxa"/>
            <w:vAlign w:val="top"/>
          </w:tcPr>
          <w:p w14:paraId="16FFFC31">
            <w:pPr>
              <w:pStyle w:val="20"/>
              <w:spacing w:before="163" w:line="270" w:lineRule="exact"/>
              <w:ind w:left="127"/>
              <w:rPr>
                <w:color w:val="auto"/>
                <w:highlight w:val="none"/>
              </w:rPr>
            </w:pPr>
            <w:r>
              <w:rPr>
                <w:color w:val="auto"/>
                <w:position w:val="1"/>
                <w:highlight w:val="none"/>
              </w:rPr>
              <w:t>4</w:t>
            </w:r>
          </w:p>
        </w:tc>
        <w:tc>
          <w:tcPr>
            <w:tcW w:w="348" w:type="dxa"/>
            <w:vAlign w:val="top"/>
          </w:tcPr>
          <w:p w14:paraId="40B514B5">
            <w:pPr>
              <w:pStyle w:val="20"/>
              <w:spacing w:before="163" w:line="269" w:lineRule="exact"/>
              <w:ind w:left="132"/>
              <w:rPr>
                <w:color w:val="auto"/>
                <w:highlight w:val="none"/>
              </w:rPr>
            </w:pPr>
            <w:r>
              <w:rPr>
                <w:color w:val="auto"/>
                <w:position w:val="1"/>
                <w:highlight w:val="none"/>
              </w:rPr>
              <w:t>5</w:t>
            </w:r>
          </w:p>
        </w:tc>
        <w:tc>
          <w:tcPr>
            <w:tcW w:w="349" w:type="dxa"/>
            <w:vAlign w:val="top"/>
          </w:tcPr>
          <w:p w14:paraId="6C76C327">
            <w:pPr>
              <w:pStyle w:val="20"/>
              <w:spacing w:before="163" w:line="269" w:lineRule="exact"/>
              <w:ind w:left="130"/>
              <w:rPr>
                <w:color w:val="auto"/>
                <w:highlight w:val="none"/>
              </w:rPr>
            </w:pPr>
            <w:r>
              <w:rPr>
                <w:color w:val="auto"/>
                <w:position w:val="1"/>
                <w:highlight w:val="none"/>
              </w:rPr>
              <w:t>6</w:t>
            </w:r>
          </w:p>
        </w:tc>
        <w:tc>
          <w:tcPr>
            <w:tcW w:w="351" w:type="dxa"/>
            <w:vAlign w:val="top"/>
          </w:tcPr>
          <w:p w14:paraId="3AE9EE46">
            <w:pPr>
              <w:pStyle w:val="20"/>
              <w:spacing w:before="163" w:line="269" w:lineRule="exact"/>
              <w:ind w:left="135"/>
              <w:rPr>
                <w:color w:val="auto"/>
                <w:highlight w:val="none"/>
              </w:rPr>
            </w:pPr>
            <w:r>
              <w:rPr>
                <w:color w:val="auto"/>
                <w:position w:val="1"/>
                <w:highlight w:val="none"/>
              </w:rPr>
              <w:t>7</w:t>
            </w:r>
          </w:p>
        </w:tc>
        <w:tc>
          <w:tcPr>
            <w:tcW w:w="349" w:type="dxa"/>
            <w:vAlign w:val="top"/>
          </w:tcPr>
          <w:p w14:paraId="54B1C3F7">
            <w:pPr>
              <w:pStyle w:val="20"/>
              <w:spacing w:before="163" w:line="269" w:lineRule="exact"/>
              <w:ind w:left="130"/>
              <w:rPr>
                <w:color w:val="auto"/>
                <w:highlight w:val="none"/>
              </w:rPr>
            </w:pPr>
            <w:r>
              <w:rPr>
                <w:color w:val="auto"/>
                <w:position w:val="1"/>
                <w:highlight w:val="none"/>
              </w:rPr>
              <w:t>8</w:t>
            </w:r>
          </w:p>
        </w:tc>
        <w:tc>
          <w:tcPr>
            <w:tcW w:w="349" w:type="dxa"/>
            <w:vAlign w:val="top"/>
          </w:tcPr>
          <w:p w14:paraId="737D2FD2">
            <w:pPr>
              <w:pStyle w:val="20"/>
              <w:spacing w:before="163" w:line="269" w:lineRule="exact"/>
              <w:ind w:left="129"/>
              <w:rPr>
                <w:color w:val="auto"/>
                <w:highlight w:val="none"/>
              </w:rPr>
            </w:pPr>
            <w:r>
              <w:rPr>
                <w:color w:val="auto"/>
                <w:position w:val="1"/>
                <w:highlight w:val="none"/>
              </w:rPr>
              <w:t>9</w:t>
            </w:r>
          </w:p>
        </w:tc>
        <w:tc>
          <w:tcPr>
            <w:tcW w:w="426" w:type="dxa"/>
            <w:vAlign w:val="top"/>
          </w:tcPr>
          <w:p w14:paraId="049EFCC3">
            <w:pPr>
              <w:pStyle w:val="20"/>
              <w:spacing w:before="163" w:line="269" w:lineRule="exact"/>
              <w:ind w:left="131"/>
              <w:rPr>
                <w:color w:val="auto"/>
                <w:highlight w:val="none"/>
              </w:rPr>
            </w:pPr>
            <w:r>
              <w:rPr>
                <w:color w:val="auto"/>
                <w:spacing w:val="-7"/>
                <w:position w:val="1"/>
                <w:highlight w:val="none"/>
              </w:rPr>
              <w:t>10</w:t>
            </w:r>
          </w:p>
        </w:tc>
        <w:tc>
          <w:tcPr>
            <w:tcW w:w="426" w:type="dxa"/>
            <w:vAlign w:val="top"/>
          </w:tcPr>
          <w:p w14:paraId="73A6868C">
            <w:pPr>
              <w:pStyle w:val="20"/>
              <w:spacing w:before="163" w:line="270" w:lineRule="exact"/>
              <w:ind w:left="129"/>
              <w:rPr>
                <w:color w:val="auto"/>
                <w:highlight w:val="none"/>
              </w:rPr>
            </w:pPr>
            <w:r>
              <w:rPr>
                <w:color w:val="auto"/>
                <w:spacing w:val="-7"/>
                <w:position w:val="1"/>
                <w:highlight w:val="none"/>
              </w:rPr>
              <w:t>11</w:t>
            </w:r>
          </w:p>
        </w:tc>
        <w:tc>
          <w:tcPr>
            <w:tcW w:w="426" w:type="dxa"/>
            <w:vAlign w:val="top"/>
          </w:tcPr>
          <w:p w14:paraId="5A23A538">
            <w:pPr>
              <w:pStyle w:val="20"/>
              <w:spacing w:before="163" w:line="270" w:lineRule="exact"/>
              <w:ind w:left="131"/>
              <w:rPr>
                <w:color w:val="auto"/>
                <w:highlight w:val="none"/>
              </w:rPr>
            </w:pPr>
            <w:r>
              <w:rPr>
                <w:color w:val="auto"/>
                <w:spacing w:val="-7"/>
                <w:position w:val="1"/>
                <w:highlight w:val="none"/>
              </w:rPr>
              <w:t>12</w:t>
            </w:r>
          </w:p>
        </w:tc>
        <w:tc>
          <w:tcPr>
            <w:tcW w:w="429" w:type="dxa"/>
            <w:vAlign w:val="top"/>
          </w:tcPr>
          <w:p w14:paraId="2D669E1A">
            <w:pPr>
              <w:pStyle w:val="20"/>
              <w:spacing w:before="163" w:line="323" w:lineRule="exact"/>
              <w:ind w:left="129"/>
              <w:rPr>
                <w:color w:val="auto"/>
                <w:highlight w:val="none"/>
              </w:rPr>
            </w:pPr>
            <w:r>
              <w:rPr>
                <w:color w:val="auto"/>
                <w:position w:val="2"/>
                <w:highlight w:val="none"/>
              </w:rPr>
              <w:t>…</w:t>
            </w:r>
          </w:p>
        </w:tc>
        <w:tc>
          <w:tcPr>
            <w:tcW w:w="526" w:type="dxa"/>
            <w:vMerge w:val="continue"/>
            <w:tcBorders>
              <w:top w:val="nil"/>
            </w:tcBorders>
            <w:textDirection w:val="tbRlV"/>
            <w:vAlign w:val="top"/>
          </w:tcPr>
          <w:p w14:paraId="70BBF693">
            <w:pPr>
              <w:rPr>
                <w:rFonts w:ascii="Arial"/>
                <w:color w:val="auto"/>
                <w:sz w:val="21"/>
                <w:highlight w:val="none"/>
              </w:rPr>
            </w:pPr>
          </w:p>
        </w:tc>
        <w:tc>
          <w:tcPr>
            <w:tcW w:w="735" w:type="dxa"/>
            <w:vMerge w:val="continue"/>
            <w:tcBorders>
              <w:top w:val="nil"/>
            </w:tcBorders>
            <w:vAlign w:val="top"/>
          </w:tcPr>
          <w:p w14:paraId="2485D1CD">
            <w:pPr>
              <w:rPr>
                <w:rFonts w:ascii="Arial"/>
                <w:color w:val="auto"/>
                <w:sz w:val="21"/>
                <w:highlight w:val="none"/>
              </w:rPr>
            </w:pPr>
          </w:p>
        </w:tc>
      </w:tr>
      <w:tr w14:paraId="4A8F1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4A823D21">
            <w:pPr>
              <w:pStyle w:val="20"/>
              <w:spacing w:before="165" w:line="270" w:lineRule="exact"/>
              <w:ind w:left="197"/>
              <w:rPr>
                <w:color w:val="auto"/>
                <w:highlight w:val="none"/>
              </w:rPr>
            </w:pPr>
            <w:r>
              <w:rPr>
                <w:color w:val="auto"/>
                <w:position w:val="1"/>
                <w:highlight w:val="none"/>
              </w:rPr>
              <w:t>1</w:t>
            </w:r>
          </w:p>
        </w:tc>
        <w:tc>
          <w:tcPr>
            <w:tcW w:w="1628" w:type="dxa"/>
            <w:vAlign w:val="top"/>
          </w:tcPr>
          <w:p w14:paraId="6E098C13">
            <w:pPr>
              <w:pStyle w:val="20"/>
              <w:spacing w:before="165" w:line="228" w:lineRule="auto"/>
              <w:ind w:left="192"/>
              <w:rPr>
                <w:color w:val="auto"/>
                <w:highlight w:val="none"/>
              </w:rPr>
            </w:pPr>
            <w:r>
              <w:rPr>
                <w:color w:val="auto"/>
                <w:spacing w:val="7"/>
                <w:highlight w:val="none"/>
              </w:rPr>
              <w:t>总监理工程师</w:t>
            </w:r>
          </w:p>
        </w:tc>
        <w:tc>
          <w:tcPr>
            <w:tcW w:w="805" w:type="dxa"/>
            <w:vAlign w:val="top"/>
          </w:tcPr>
          <w:p w14:paraId="0FA1517C">
            <w:pPr>
              <w:rPr>
                <w:rFonts w:ascii="Arial"/>
                <w:color w:val="auto"/>
                <w:sz w:val="21"/>
                <w:highlight w:val="none"/>
              </w:rPr>
            </w:pPr>
          </w:p>
        </w:tc>
        <w:tc>
          <w:tcPr>
            <w:tcW w:w="635" w:type="dxa"/>
            <w:vAlign w:val="top"/>
          </w:tcPr>
          <w:p w14:paraId="26A37547">
            <w:pPr>
              <w:rPr>
                <w:rFonts w:ascii="Arial"/>
                <w:color w:val="auto"/>
                <w:sz w:val="21"/>
                <w:highlight w:val="none"/>
              </w:rPr>
            </w:pPr>
          </w:p>
        </w:tc>
        <w:tc>
          <w:tcPr>
            <w:tcW w:w="348" w:type="dxa"/>
            <w:vAlign w:val="top"/>
          </w:tcPr>
          <w:p w14:paraId="08CED3C5">
            <w:pPr>
              <w:rPr>
                <w:rFonts w:ascii="Arial"/>
                <w:color w:val="auto"/>
                <w:sz w:val="21"/>
                <w:highlight w:val="none"/>
              </w:rPr>
            </w:pPr>
          </w:p>
        </w:tc>
        <w:tc>
          <w:tcPr>
            <w:tcW w:w="348" w:type="dxa"/>
            <w:vAlign w:val="top"/>
          </w:tcPr>
          <w:p w14:paraId="3EF56F85">
            <w:pPr>
              <w:rPr>
                <w:rFonts w:ascii="Arial"/>
                <w:color w:val="auto"/>
                <w:sz w:val="21"/>
                <w:highlight w:val="none"/>
              </w:rPr>
            </w:pPr>
          </w:p>
        </w:tc>
        <w:tc>
          <w:tcPr>
            <w:tcW w:w="350" w:type="dxa"/>
            <w:vAlign w:val="top"/>
          </w:tcPr>
          <w:p w14:paraId="080152AC">
            <w:pPr>
              <w:rPr>
                <w:rFonts w:ascii="Arial"/>
                <w:color w:val="auto"/>
                <w:sz w:val="21"/>
                <w:highlight w:val="none"/>
              </w:rPr>
            </w:pPr>
          </w:p>
        </w:tc>
        <w:tc>
          <w:tcPr>
            <w:tcW w:w="348" w:type="dxa"/>
            <w:vAlign w:val="top"/>
          </w:tcPr>
          <w:p w14:paraId="1590A09A">
            <w:pPr>
              <w:rPr>
                <w:rFonts w:ascii="Arial"/>
                <w:color w:val="auto"/>
                <w:sz w:val="21"/>
                <w:highlight w:val="none"/>
              </w:rPr>
            </w:pPr>
          </w:p>
        </w:tc>
        <w:tc>
          <w:tcPr>
            <w:tcW w:w="349" w:type="dxa"/>
            <w:vAlign w:val="top"/>
          </w:tcPr>
          <w:p w14:paraId="19FEA32E">
            <w:pPr>
              <w:rPr>
                <w:rFonts w:ascii="Arial"/>
                <w:color w:val="auto"/>
                <w:sz w:val="21"/>
                <w:highlight w:val="none"/>
              </w:rPr>
            </w:pPr>
          </w:p>
        </w:tc>
        <w:tc>
          <w:tcPr>
            <w:tcW w:w="351" w:type="dxa"/>
            <w:vAlign w:val="top"/>
          </w:tcPr>
          <w:p w14:paraId="5F9007C4">
            <w:pPr>
              <w:rPr>
                <w:rFonts w:ascii="Arial"/>
                <w:color w:val="auto"/>
                <w:sz w:val="21"/>
                <w:highlight w:val="none"/>
              </w:rPr>
            </w:pPr>
          </w:p>
        </w:tc>
        <w:tc>
          <w:tcPr>
            <w:tcW w:w="349" w:type="dxa"/>
            <w:vAlign w:val="top"/>
          </w:tcPr>
          <w:p w14:paraId="26C45129">
            <w:pPr>
              <w:rPr>
                <w:rFonts w:ascii="Arial"/>
                <w:color w:val="auto"/>
                <w:sz w:val="21"/>
                <w:highlight w:val="none"/>
              </w:rPr>
            </w:pPr>
          </w:p>
        </w:tc>
        <w:tc>
          <w:tcPr>
            <w:tcW w:w="349" w:type="dxa"/>
            <w:vAlign w:val="top"/>
          </w:tcPr>
          <w:p w14:paraId="1778CB14">
            <w:pPr>
              <w:rPr>
                <w:rFonts w:ascii="Arial"/>
                <w:color w:val="auto"/>
                <w:sz w:val="21"/>
                <w:highlight w:val="none"/>
              </w:rPr>
            </w:pPr>
          </w:p>
        </w:tc>
        <w:tc>
          <w:tcPr>
            <w:tcW w:w="426" w:type="dxa"/>
            <w:vAlign w:val="top"/>
          </w:tcPr>
          <w:p w14:paraId="529E4C7D">
            <w:pPr>
              <w:rPr>
                <w:rFonts w:ascii="Arial"/>
                <w:color w:val="auto"/>
                <w:sz w:val="21"/>
                <w:highlight w:val="none"/>
              </w:rPr>
            </w:pPr>
          </w:p>
        </w:tc>
        <w:tc>
          <w:tcPr>
            <w:tcW w:w="426" w:type="dxa"/>
            <w:vAlign w:val="top"/>
          </w:tcPr>
          <w:p w14:paraId="520A8173">
            <w:pPr>
              <w:rPr>
                <w:rFonts w:ascii="Arial"/>
                <w:color w:val="auto"/>
                <w:sz w:val="21"/>
                <w:highlight w:val="none"/>
              </w:rPr>
            </w:pPr>
          </w:p>
        </w:tc>
        <w:tc>
          <w:tcPr>
            <w:tcW w:w="426" w:type="dxa"/>
            <w:vAlign w:val="top"/>
          </w:tcPr>
          <w:p w14:paraId="3DFEDD68">
            <w:pPr>
              <w:rPr>
                <w:rFonts w:ascii="Arial"/>
                <w:color w:val="auto"/>
                <w:sz w:val="21"/>
                <w:highlight w:val="none"/>
              </w:rPr>
            </w:pPr>
          </w:p>
        </w:tc>
        <w:tc>
          <w:tcPr>
            <w:tcW w:w="429" w:type="dxa"/>
            <w:vAlign w:val="top"/>
          </w:tcPr>
          <w:p w14:paraId="61CF4591">
            <w:pPr>
              <w:rPr>
                <w:rFonts w:ascii="Arial"/>
                <w:color w:val="auto"/>
                <w:sz w:val="21"/>
                <w:highlight w:val="none"/>
              </w:rPr>
            </w:pPr>
          </w:p>
        </w:tc>
        <w:tc>
          <w:tcPr>
            <w:tcW w:w="526" w:type="dxa"/>
            <w:vAlign w:val="top"/>
          </w:tcPr>
          <w:p w14:paraId="701FDA53">
            <w:pPr>
              <w:rPr>
                <w:rFonts w:ascii="Arial"/>
                <w:color w:val="auto"/>
                <w:sz w:val="21"/>
                <w:highlight w:val="none"/>
              </w:rPr>
            </w:pPr>
          </w:p>
        </w:tc>
        <w:tc>
          <w:tcPr>
            <w:tcW w:w="735" w:type="dxa"/>
            <w:vAlign w:val="top"/>
          </w:tcPr>
          <w:p w14:paraId="2CECA3F4">
            <w:pPr>
              <w:rPr>
                <w:rFonts w:ascii="Arial"/>
                <w:color w:val="auto"/>
                <w:sz w:val="21"/>
                <w:highlight w:val="none"/>
              </w:rPr>
            </w:pPr>
          </w:p>
        </w:tc>
      </w:tr>
      <w:tr w14:paraId="3BCB9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58" w:type="dxa"/>
            <w:vAlign w:val="top"/>
          </w:tcPr>
          <w:p w14:paraId="64C98B40">
            <w:pPr>
              <w:pStyle w:val="20"/>
              <w:spacing w:before="167" w:line="270" w:lineRule="exact"/>
              <w:ind w:left="184"/>
              <w:rPr>
                <w:color w:val="auto"/>
                <w:highlight w:val="none"/>
              </w:rPr>
            </w:pPr>
            <w:r>
              <w:rPr>
                <w:color w:val="auto"/>
                <w:position w:val="1"/>
                <w:highlight w:val="none"/>
              </w:rPr>
              <w:t>2</w:t>
            </w:r>
          </w:p>
        </w:tc>
        <w:tc>
          <w:tcPr>
            <w:tcW w:w="1628" w:type="dxa"/>
            <w:vAlign w:val="top"/>
          </w:tcPr>
          <w:p w14:paraId="193B9BAF">
            <w:pPr>
              <w:pStyle w:val="20"/>
              <w:spacing w:before="32" w:line="234"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2AE65D76">
            <w:pPr>
              <w:rPr>
                <w:rFonts w:ascii="Arial"/>
                <w:color w:val="auto"/>
                <w:sz w:val="21"/>
                <w:highlight w:val="none"/>
              </w:rPr>
            </w:pPr>
          </w:p>
        </w:tc>
        <w:tc>
          <w:tcPr>
            <w:tcW w:w="635" w:type="dxa"/>
            <w:vAlign w:val="top"/>
          </w:tcPr>
          <w:p w14:paraId="437CBD78">
            <w:pPr>
              <w:rPr>
                <w:rFonts w:ascii="Arial"/>
                <w:color w:val="auto"/>
                <w:sz w:val="21"/>
                <w:highlight w:val="none"/>
              </w:rPr>
            </w:pPr>
          </w:p>
        </w:tc>
        <w:tc>
          <w:tcPr>
            <w:tcW w:w="348" w:type="dxa"/>
            <w:vAlign w:val="top"/>
          </w:tcPr>
          <w:p w14:paraId="2C50175E">
            <w:pPr>
              <w:rPr>
                <w:rFonts w:ascii="Arial"/>
                <w:color w:val="auto"/>
                <w:sz w:val="21"/>
                <w:highlight w:val="none"/>
              </w:rPr>
            </w:pPr>
          </w:p>
        </w:tc>
        <w:tc>
          <w:tcPr>
            <w:tcW w:w="348" w:type="dxa"/>
            <w:vAlign w:val="top"/>
          </w:tcPr>
          <w:p w14:paraId="0A03A36B">
            <w:pPr>
              <w:rPr>
                <w:rFonts w:ascii="Arial"/>
                <w:color w:val="auto"/>
                <w:sz w:val="21"/>
                <w:highlight w:val="none"/>
              </w:rPr>
            </w:pPr>
          </w:p>
        </w:tc>
        <w:tc>
          <w:tcPr>
            <w:tcW w:w="350" w:type="dxa"/>
            <w:vAlign w:val="top"/>
          </w:tcPr>
          <w:p w14:paraId="662F79B1">
            <w:pPr>
              <w:rPr>
                <w:rFonts w:ascii="Arial"/>
                <w:color w:val="auto"/>
                <w:sz w:val="21"/>
                <w:highlight w:val="none"/>
              </w:rPr>
            </w:pPr>
          </w:p>
        </w:tc>
        <w:tc>
          <w:tcPr>
            <w:tcW w:w="348" w:type="dxa"/>
            <w:vAlign w:val="top"/>
          </w:tcPr>
          <w:p w14:paraId="3E9B3972">
            <w:pPr>
              <w:rPr>
                <w:rFonts w:ascii="Arial"/>
                <w:color w:val="auto"/>
                <w:sz w:val="21"/>
                <w:highlight w:val="none"/>
              </w:rPr>
            </w:pPr>
          </w:p>
        </w:tc>
        <w:tc>
          <w:tcPr>
            <w:tcW w:w="349" w:type="dxa"/>
            <w:vAlign w:val="top"/>
          </w:tcPr>
          <w:p w14:paraId="081CE08A">
            <w:pPr>
              <w:rPr>
                <w:rFonts w:ascii="Arial"/>
                <w:color w:val="auto"/>
                <w:sz w:val="21"/>
                <w:highlight w:val="none"/>
              </w:rPr>
            </w:pPr>
          </w:p>
        </w:tc>
        <w:tc>
          <w:tcPr>
            <w:tcW w:w="351" w:type="dxa"/>
            <w:vAlign w:val="top"/>
          </w:tcPr>
          <w:p w14:paraId="65A111BF">
            <w:pPr>
              <w:rPr>
                <w:rFonts w:ascii="Arial"/>
                <w:color w:val="auto"/>
                <w:sz w:val="21"/>
                <w:highlight w:val="none"/>
              </w:rPr>
            </w:pPr>
          </w:p>
        </w:tc>
        <w:tc>
          <w:tcPr>
            <w:tcW w:w="349" w:type="dxa"/>
            <w:vAlign w:val="top"/>
          </w:tcPr>
          <w:p w14:paraId="39D22FAC">
            <w:pPr>
              <w:rPr>
                <w:rFonts w:ascii="Arial"/>
                <w:color w:val="auto"/>
                <w:sz w:val="21"/>
                <w:highlight w:val="none"/>
              </w:rPr>
            </w:pPr>
          </w:p>
        </w:tc>
        <w:tc>
          <w:tcPr>
            <w:tcW w:w="349" w:type="dxa"/>
            <w:vAlign w:val="top"/>
          </w:tcPr>
          <w:p w14:paraId="2B09C60A">
            <w:pPr>
              <w:rPr>
                <w:rFonts w:ascii="Arial"/>
                <w:color w:val="auto"/>
                <w:sz w:val="21"/>
                <w:highlight w:val="none"/>
              </w:rPr>
            </w:pPr>
          </w:p>
        </w:tc>
        <w:tc>
          <w:tcPr>
            <w:tcW w:w="426" w:type="dxa"/>
            <w:vAlign w:val="top"/>
          </w:tcPr>
          <w:p w14:paraId="1EC1DDF6">
            <w:pPr>
              <w:rPr>
                <w:rFonts w:ascii="Arial"/>
                <w:color w:val="auto"/>
                <w:sz w:val="21"/>
                <w:highlight w:val="none"/>
              </w:rPr>
            </w:pPr>
          </w:p>
        </w:tc>
        <w:tc>
          <w:tcPr>
            <w:tcW w:w="426" w:type="dxa"/>
            <w:vAlign w:val="top"/>
          </w:tcPr>
          <w:p w14:paraId="01E76632">
            <w:pPr>
              <w:rPr>
                <w:rFonts w:ascii="Arial"/>
                <w:color w:val="auto"/>
                <w:sz w:val="21"/>
                <w:highlight w:val="none"/>
              </w:rPr>
            </w:pPr>
          </w:p>
        </w:tc>
        <w:tc>
          <w:tcPr>
            <w:tcW w:w="426" w:type="dxa"/>
            <w:vAlign w:val="top"/>
          </w:tcPr>
          <w:p w14:paraId="1D97A817">
            <w:pPr>
              <w:rPr>
                <w:rFonts w:ascii="Arial"/>
                <w:color w:val="auto"/>
                <w:sz w:val="21"/>
                <w:highlight w:val="none"/>
              </w:rPr>
            </w:pPr>
          </w:p>
        </w:tc>
        <w:tc>
          <w:tcPr>
            <w:tcW w:w="429" w:type="dxa"/>
            <w:vAlign w:val="top"/>
          </w:tcPr>
          <w:p w14:paraId="5814FB18">
            <w:pPr>
              <w:rPr>
                <w:rFonts w:ascii="Arial"/>
                <w:color w:val="auto"/>
                <w:sz w:val="21"/>
                <w:highlight w:val="none"/>
              </w:rPr>
            </w:pPr>
          </w:p>
        </w:tc>
        <w:tc>
          <w:tcPr>
            <w:tcW w:w="526" w:type="dxa"/>
            <w:vAlign w:val="top"/>
          </w:tcPr>
          <w:p w14:paraId="3AC70F40">
            <w:pPr>
              <w:rPr>
                <w:rFonts w:ascii="Arial"/>
                <w:color w:val="auto"/>
                <w:sz w:val="21"/>
                <w:highlight w:val="none"/>
              </w:rPr>
            </w:pPr>
          </w:p>
        </w:tc>
        <w:tc>
          <w:tcPr>
            <w:tcW w:w="735" w:type="dxa"/>
            <w:vAlign w:val="top"/>
          </w:tcPr>
          <w:p w14:paraId="48D53275">
            <w:pPr>
              <w:rPr>
                <w:rFonts w:ascii="Arial"/>
                <w:color w:val="auto"/>
                <w:sz w:val="21"/>
                <w:highlight w:val="none"/>
              </w:rPr>
            </w:pPr>
          </w:p>
        </w:tc>
      </w:tr>
      <w:tr w14:paraId="4DBD5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58" w:type="dxa"/>
            <w:vAlign w:val="top"/>
          </w:tcPr>
          <w:p w14:paraId="5F0B9332">
            <w:pPr>
              <w:pStyle w:val="20"/>
              <w:spacing w:before="167" w:line="269" w:lineRule="exact"/>
              <w:ind w:left="185"/>
              <w:rPr>
                <w:color w:val="auto"/>
                <w:highlight w:val="none"/>
              </w:rPr>
            </w:pPr>
            <w:r>
              <w:rPr>
                <w:color w:val="auto"/>
                <w:position w:val="1"/>
                <w:highlight w:val="none"/>
              </w:rPr>
              <w:t>3</w:t>
            </w:r>
          </w:p>
        </w:tc>
        <w:tc>
          <w:tcPr>
            <w:tcW w:w="1628" w:type="dxa"/>
            <w:vAlign w:val="top"/>
          </w:tcPr>
          <w:p w14:paraId="07723FF9">
            <w:pPr>
              <w:pStyle w:val="20"/>
              <w:spacing w:before="34" w:line="233"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3EAA565E">
            <w:pPr>
              <w:rPr>
                <w:rFonts w:ascii="Arial"/>
                <w:color w:val="auto"/>
                <w:sz w:val="21"/>
                <w:highlight w:val="none"/>
              </w:rPr>
            </w:pPr>
          </w:p>
        </w:tc>
        <w:tc>
          <w:tcPr>
            <w:tcW w:w="635" w:type="dxa"/>
            <w:vAlign w:val="top"/>
          </w:tcPr>
          <w:p w14:paraId="06D70A38">
            <w:pPr>
              <w:rPr>
                <w:rFonts w:ascii="Arial"/>
                <w:color w:val="auto"/>
                <w:sz w:val="21"/>
                <w:highlight w:val="none"/>
              </w:rPr>
            </w:pPr>
          </w:p>
        </w:tc>
        <w:tc>
          <w:tcPr>
            <w:tcW w:w="348" w:type="dxa"/>
            <w:vAlign w:val="top"/>
          </w:tcPr>
          <w:p w14:paraId="0CA70409">
            <w:pPr>
              <w:rPr>
                <w:rFonts w:ascii="Arial"/>
                <w:color w:val="auto"/>
                <w:sz w:val="21"/>
                <w:highlight w:val="none"/>
              </w:rPr>
            </w:pPr>
          </w:p>
        </w:tc>
        <w:tc>
          <w:tcPr>
            <w:tcW w:w="348" w:type="dxa"/>
            <w:vAlign w:val="top"/>
          </w:tcPr>
          <w:p w14:paraId="5DC5BEB8">
            <w:pPr>
              <w:rPr>
                <w:rFonts w:ascii="Arial"/>
                <w:color w:val="auto"/>
                <w:sz w:val="21"/>
                <w:highlight w:val="none"/>
              </w:rPr>
            </w:pPr>
          </w:p>
        </w:tc>
        <w:tc>
          <w:tcPr>
            <w:tcW w:w="350" w:type="dxa"/>
            <w:vAlign w:val="top"/>
          </w:tcPr>
          <w:p w14:paraId="4D1CAA09">
            <w:pPr>
              <w:rPr>
                <w:rFonts w:ascii="Arial"/>
                <w:color w:val="auto"/>
                <w:sz w:val="21"/>
                <w:highlight w:val="none"/>
              </w:rPr>
            </w:pPr>
          </w:p>
        </w:tc>
        <w:tc>
          <w:tcPr>
            <w:tcW w:w="348" w:type="dxa"/>
            <w:vAlign w:val="top"/>
          </w:tcPr>
          <w:p w14:paraId="62EC3C08">
            <w:pPr>
              <w:rPr>
                <w:rFonts w:ascii="Arial"/>
                <w:color w:val="auto"/>
                <w:sz w:val="21"/>
                <w:highlight w:val="none"/>
              </w:rPr>
            </w:pPr>
          </w:p>
        </w:tc>
        <w:tc>
          <w:tcPr>
            <w:tcW w:w="349" w:type="dxa"/>
            <w:vAlign w:val="top"/>
          </w:tcPr>
          <w:p w14:paraId="2EB76B72">
            <w:pPr>
              <w:rPr>
                <w:rFonts w:ascii="Arial"/>
                <w:color w:val="auto"/>
                <w:sz w:val="21"/>
                <w:highlight w:val="none"/>
              </w:rPr>
            </w:pPr>
          </w:p>
        </w:tc>
        <w:tc>
          <w:tcPr>
            <w:tcW w:w="351" w:type="dxa"/>
            <w:vAlign w:val="top"/>
          </w:tcPr>
          <w:p w14:paraId="0A71E8A2">
            <w:pPr>
              <w:rPr>
                <w:rFonts w:ascii="Arial"/>
                <w:color w:val="auto"/>
                <w:sz w:val="21"/>
                <w:highlight w:val="none"/>
              </w:rPr>
            </w:pPr>
          </w:p>
        </w:tc>
        <w:tc>
          <w:tcPr>
            <w:tcW w:w="349" w:type="dxa"/>
            <w:vAlign w:val="top"/>
          </w:tcPr>
          <w:p w14:paraId="5A9A9484">
            <w:pPr>
              <w:rPr>
                <w:rFonts w:ascii="Arial"/>
                <w:color w:val="auto"/>
                <w:sz w:val="21"/>
                <w:highlight w:val="none"/>
              </w:rPr>
            </w:pPr>
          </w:p>
        </w:tc>
        <w:tc>
          <w:tcPr>
            <w:tcW w:w="349" w:type="dxa"/>
            <w:vAlign w:val="top"/>
          </w:tcPr>
          <w:p w14:paraId="72ED4BB0">
            <w:pPr>
              <w:rPr>
                <w:rFonts w:ascii="Arial"/>
                <w:color w:val="auto"/>
                <w:sz w:val="21"/>
                <w:highlight w:val="none"/>
              </w:rPr>
            </w:pPr>
          </w:p>
        </w:tc>
        <w:tc>
          <w:tcPr>
            <w:tcW w:w="426" w:type="dxa"/>
            <w:vAlign w:val="top"/>
          </w:tcPr>
          <w:p w14:paraId="2D7753D0">
            <w:pPr>
              <w:rPr>
                <w:rFonts w:ascii="Arial"/>
                <w:color w:val="auto"/>
                <w:sz w:val="21"/>
                <w:highlight w:val="none"/>
              </w:rPr>
            </w:pPr>
          </w:p>
        </w:tc>
        <w:tc>
          <w:tcPr>
            <w:tcW w:w="426" w:type="dxa"/>
            <w:vAlign w:val="top"/>
          </w:tcPr>
          <w:p w14:paraId="31784C0C">
            <w:pPr>
              <w:rPr>
                <w:rFonts w:ascii="Arial"/>
                <w:color w:val="auto"/>
                <w:sz w:val="21"/>
                <w:highlight w:val="none"/>
              </w:rPr>
            </w:pPr>
          </w:p>
        </w:tc>
        <w:tc>
          <w:tcPr>
            <w:tcW w:w="426" w:type="dxa"/>
            <w:vAlign w:val="top"/>
          </w:tcPr>
          <w:p w14:paraId="4EC722F3">
            <w:pPr>
              <w:rPr>
                <w:rFonts w:ascii="Arial"/>
                <w:color w:val="auto"/>
                <w:sz w:val="21"/>
                <w:highlight w:val="none"/>
              </w:rPr>
            </w:pPr>
          </w:p>
        </w:tc>
        <w:tc>
          <w:tcPr>
            <w:tcW w:w="429" w:type="dxa"/>
            <w:vAlign w:val="top"/>
          </w:tcPr>
          <w:p w14:paraId="36A3AED1">
            <w:pPr>
              <w:rPr>
                <w:rFonts w:ascii="Arial"/>
                <w:color w:val="auto"/>
                <w:sz w:val="21"/>
                <w:highlight w:val="none"/>
              </w:rPr>
            </w:pPr>
          </w:p>
        </w:tc>
        <w:tc>
          <w:tcPr>
            <w:tcW w:w="526" w:type="dxa"/>
            <w:vAlign w:val="top"/>
          </w:tcPr>
          <w:p w14:paraId="2EFB7BAB">
            <w:pPr>
              <w:rPr>
                <w:rFonts w:ascii="Arial"/>
                <w:color w:val="auto"/>
                <w:sz w:val="21"/>
                <w:highlight w:val="none"/>
              </w:rPr>
            </w:pPr>
          </w:p>
        </w:tc>
        <w:tc>
          <w:tcPr>
            <w:tcW w:w="735" w:type="dxa"/>
            <w:vAlign w:val="top"/>
          </w:tcPr>
          <w:p w14:paraId="66AEAEEF">
            <w:pPr>
              <w:rPr>
                <w:rFonts w:ascii="Arial"/>
                <w:color w:val="auto"/>
                <w:sz w:val="21"/>
                <w:highlight w:val="none"/>
              </w:rPr>
            </w:pPr>
          </w:p>
        </w:tc>
      </w:tr>
      <w:tr w14:paraId="71AF5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58" w:type="dxa"/>
            <w:vAlign w:val="top"/>
          </w:tcPr>
          <w:p w14:paraId="590C8EBC">
            <w:pPr>
              <w:pStyle w:val="20"/>
              <w:spacing w:before="168" w:line="270" w:lineRule="exact"/>
              <w:ind w:left="180"/>
              <w:rPr>
                <w:color w:val="auto"/>
                <w:highlight w:val="none"/>
              </w:rPr>
            </w:pPr>
            <w:r>
              <w:rPr>
                <w:color w:val="auto"/>
                <w:position w:val="1"/>
                <w:highlight w:val="none"/>
              </w:rPr>
              <w:t>4</w:t>
            </w:r>
          </w:p>
        </w:tc>
        <w:tc>
          <w:tcPr>
            <w:tcW w:w="1628" w:type="dxa"/>
            <w:vAlign w:val="top"/>
          </w:tcPr>
          <w:p w14:paraId="0B815712">
            <w:pPr>
              <w:pStyle w:val="20"/>
              <w:spacing w:before="34" w:line="233"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39736471">
            <w:pPr>
              <w:rPr>
                <w:rFonts w:ascii="Arial"/>
                <w:color w:val="auto"/>
                <w:sz w:val="21"/>
                <w:highlight w:val="none"/>
              </w:rPr>
            </w:pPr>
          </w:p>
        </w:tc>
        <w:tc>
          <w:tcPr>
            <w:tcW w:w="635" w:type="dxa"/>
            <w:vAlign w:val="top"/>
          </w:tcPr>
          <w:p w14:paraId="7AA02113">
            <w:pPr>
              <w:rPr>
                <w:rFonts w:ascii="Arial"/>
                <w:color w:val="auto"/>
                <w:sz w:val="21"/>
                <w:highlight w:val="none"/>
              </w:rPr>
            </w:pPr>
          </w:p>
        </w:tc>
        <w:tc>
          <w:tcPr>
            <w:tcW w:w="348" w:type="dxa"/>
            <w:vAlign w:val="top"/>
          </w:tcPr>
          <w:p w14:paraId="514117E2">
            <w:pPr>
              <w:rPr>
                <w:rFonts w:ascii="Arial"/>
                <w:color w:val="auto"/>
                <w:sz w:val="21"/>
                <w:highlight w:val="none"/>
              </w:rPr>
            </w:pPr>
          </w:p>
        </w:tc>
        <w:tc>
          <w:tcPr>
            <w:tcW w:w="348" w:type="dxa"/>
            <w:vAlign w:val="top"/>
          </w:tcPr>
          <w:p w14:paraId="3E7EBA6E">
            <w:pPr>
              <w:rPr>
                <w:rFonts w:ascii="Arial"/>
                <w:color w:val="auto"/>
                <w:sz w:val="21"/>
                <w:highlight w:val="none"/>
              </w:rPr>
            </w:pPr>
          </w:p>
        </w:tc>
        <w:tc>
          <w:tcPr>
            <w:tcW w:w="350" w:type="dxa"/>
            <w:vAlign w:val="top"/>
          </w:tcPr>
          <w:p w14:paraId="663D3697">
            <w:pPr>
              <w:rPr>
                <w:rFonts w:ascii="Arial"/>
                <w:color w:val="auto"/>
                <w:sz w:val="21"/>
                <w:highlight w:val="none"/>
              </w:rPr>
            </w:pPr>
          </w:p>
        </w:tc>
        <w:tc>
          <w:tcPr>
            <w:tcW w:w="348" w:type="dxa"/>
            <w:vAlign w:val="top"/>
          </w:tcPr>
          <w:p w14:paraId="21D476BF">
            <w:pPr>
              <w:rPr>
                <w:rFonts w:ascii="Arial"/>
                <w:color w:val="auto"/>
                <w:sz w:val="21"/>
                <w:highlight w:val="none"/>
              </w:rPr>
            </w:pPr>
          </w:p>
        </w:tc>
        <w:tc>
          <w:tcPr>
            <w:tcW w:w="349" w:type="dxa"/>
            <w:vAlign w:val="top"/>
          </w:tcPr>
          <w:p w14:paraId="2DCE2869">
            <w:pPr>
              <w:rPr>
                <w:rFonts w:ascii="Arial"/>
                <w:color w:val="auto"/>
                <w:sz w:val="21"/>
                <w:highlight w:val="none"/>
              </w:rPr>
            </w:pPr>
          </w:p>
        </w:tc>
        <w:tc>
          <w:tcPr>
            <w:tcW w:w="351" w:type="dxa"/>
            <w:vAlign w:val="top"/>
          </w:tcPr>
          <w:p w14:paraId="6D2E4343">
            <w:pPr>
              <w:rPr>
                <w:rFonts w:ascii="Arial"/>
                <w:color w:val="auto"/>
                <w:sz w:val="21"/>
                <w:highlight w:val="none"/>
              </w:rPr>
            </w:pPr>
          </w:p>
        </w:tc>
        <w:tc>
          <w:tcPr>
            <w:tcW w:w="349" w:type="dxa"/>
            <w:vAlign w:val="top"/>
          </w:tcPr>
          <w:p w14:paraId="062FB59C">
            <w:pPr>
              <w:rPr>
                <w:rFonts w:ascii="Arial"/>
                <w:color w:val="auto"/>
                <w:sz w:val="21"/>
                <w:highlight w:val="none"/>
              </w:rPr>
            </w:pPr>
          </w:p>
        </w:tc>
        <w:tc>
          <w:tcPr>
            <w:tcW w:w="349" w:type="dxa"/>
            <w:vAlign w:val="top"/>
          </w:tcPr>
          <w:p w14:paraId="6038C745">
            <w:pPr>
              <w:rPr>
                <w:rFonts w:ascii="Arial"/>
                <w:color w:val="auto"/>
                <w:sz w:val="21"/>
                <w:highlight w:val="none"/>
              </w:rPr>
            </w:pPr>
          </w:p>
        </w:tc>
        <w:tc>
          <w:tcPr>
            <w:tcW w:w="426" w:type="dxa"/>
            <w:vAlign w:val="top"/>
          </w:tcPr>
          <w:p w14:paraId="0D560C3C">
            <w:pPr>
              <w:rPr>
                <w:rFonts w:ascii="Arial"/>
                <w:color w:val="auto"/>
                <w:sz w:val="21"/>
                <w:highlight w:val="none"/>
              </w:rPr>
            </w:pPr>
          </w:p>
        </w:tc>
        <w:tc>
          <w:tcPr>
            <w:tcW w:w="426" w:type="dxa"/>
            <w:vAlign w:val="top"/>
          </w:tcPr>
          <w:p w14:paraId="7C704A1F">
            <w:pPr>
              <w:rPr>
                <w:rFonts w:ascii="Arial"/>
                <w:color w:val="auto"/>
                <w:sz w:val="21"/>
                <w:highlight w:val="none"/>
              </w:rPr>
            </w:pPr>
          </w:p>
        </w:tc>
        <w:tc>
          <w:tcPr>
            <w:tcW w:w="426" w:type="dxa"/>
            <w:vAlign w:val="top"/>
          </w:tcPr>
          <w:p w14:paraId="1ABF4CD9">
            <w:pPr>
              <w:rPr>
                <w:rFonts w:ascii="Arial"/>
                <w:color w:val="auto"/>
                <w:sz w:val="21"/>
                <w:highlight w:val="none"/>
              </w:rPr>
            </w:pPr>
          </w:p>
        </w:tc>
        <w:tc>
          <w:tcPr>
            <w:tcW w:w="429" w:type="dxa"/>
            <w:vAlign w:val="top"/>
          </w:tcPr>
          <w:p w14:paraId="521A63D7">
            <w:pPr>
              <w:rPr>
                <w:rFonts w:ascii="Arial"/>
                <w:color w:val="auto"/>
                <w:sz w:val="21"/>
                <w:highlight w:val="none"/>
              </w:rPr>
            </w:pPr>
          </w:p>
        </w:tc>
        <w:tc>
          <w:tcPr>
            <w:tcW w:w="526" w:type="dxa"/>
            <w:vAlign w:val="top"/>
          </w:tcPr>
          <w:p w14:paraId="0C1A64E4">
            <w:pPr>
              <w:rPr>
                <w:rFonts w:ascii="Arial"/>
                <w:color w:val="auto"/>
                <w:sz w:val="21"/>
                <w:highlight w:val="none"/>
              </w:rPr>
            </w:pPr>
          </w:p>
        </w:tc>
        <w:tc>
          <w:tcPr>
            <w:tcW w:w="735" w:type="dxa"/>
            <w:vAlign w:val="top"/>
          </w:tcPr>
          <w:p w14:paraId="462A26ED">
            <w:pPr>
              <w:rPr>
                <w:rFonts w:ascii="Arial"/>
                <w:color w:val="auto"/>
                <w:sz w:val="21"/>
                <w:highlight w:val="none"/>
              </w:rPr>
            </w:pPr>
          </w:p>
        </w:tc>
      </w:tr>
      <w:tr w14:paraId="17E90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58" w:type="dxa"/>
            <w:vAlign w:val="top"/>
          </w:tcPr>
          <w:p w14:paraId="293DE032">
            <w:pPr>
              <w:pStyle w:val="20"/>
              <w:spacing w:before="168" w:line="269" w:lineRule="exact"/>
              <w:ind w:left="185"/>
              <w:rPr>
                <w:color w:val="auto"/>
                <w:highlight w:val="none"/>
              </w:rPr>
            </w:pPr>
            <w:r>
              <w:rPr>
                <w:color w:val="auto"/>
                <w:position w:val="1"/>
                <w:highlight w:val="none"/>
              </w:rPr>
              <w:t>5</w:t>
            </w:r>
          </w:p>
        </w:tc>
        <w:tc>
          <w:tcPr>
            <w:tcW w:w="1628" w:type="dxa"/>
            <w:vAlign w:val="top"/>
          </w:tcPr>
          <w:p w14:paraId="093C008D">
            <w:pPr>
              <w:pStyle w:val="20"/>
              <w:spacing w:before="35" w:line="232"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58165C94">
            <w:pPr>
              <w:rPr>
                <w:rFonts w:ascii="Arial"/>
                <w:color w:val="auto"/>
                <w:sz w:val="21"/>
                <w:highlight w:val="none"/>
              </w:rPr>
            </w:pPr>
          </w:p>
        </w:tc>
        <w:tc>
          <w:tcPr>
            <w:tcW w:w="635" w:type="dxa"/>
            <w:vAlign w:val="top"/>
          </w:tcPr>
          <w:p w14:paraId="1D94E8A4">
            <w:pPr>
              <w:rPr>
                <w:rFonts w:ascii="Arial"/>
                <w:color w:val="auto"/>
                <w:sz w:val="21"/>
                <w:highlight w:val="none"/>
              </w:rPr>
            </w:pPr>
          </w:p>
        </w:tc>
        <w:tc>
          <w:tcPr>
            <w:tcW w:w="348" w:type="dxa"/>
            <w:vAlign w:val="top"/>
          </w:tcPr>
          <w:p w14:paraId="79D7F346">
            <w:pPr>
              <w:rPr>
                <w:rFonts w:ascii="Arial"/>
                <w:color w:val="auto"/>
                <w:sz w:val="21"/>
                <w:highlight w:val="none"/>
              </w:rPr>
            </w:pPr>
          </w:p>
        </w:tc>
        <w:tc>
          <w:tcPr>
            <w:tcW w:w="348" w:type="dxa"/>
            <w:vAlign w:val="top"/>
          </w:tcPr>
          <w:p w14:paraId="1EA090F4">
            <w:pPr>
              <w:rPr>
                <w:rFonts w:ascii="Arial"/>
                <w:color w:val="auto"/>
                <w:sz w:val="21"/>
                <w:highlight w:val="none"/>
              </w:rPr>
            </w:pPr>
          </w:p>
        </w:tc>
        <w:tc>
          <w:tcPr>
            <w:tcW w:w="350" w:type="dxa"/>
            <w:vAlign w:val="top"/>
          </w:tcPr>
          <w:p w14:paraId="296E800D">
            <w:pPr>
              <w:rPr>
                <w:rFonts w:ascii="Arial"/>
                <w:color w:val="auto"/>
                <w:sz w:val="21"/>
                <w:highlight w:val="none"/>
              </w:rPr>
            </w:pPr>
          </w:p>
        </w:tc>
        <w:tc>
          <w:tcPr>
            <w:tcW w:w="348" w:type="dxa"/>
            <w:vAlign w:val="top"/>
          </w:tcPr>
          <w:p w14:paraId="3C1C4098">
            <w:pPr>
              <w:rPr>
                <w:rFonts w:ascii="Arial"/>
                <w:color w:val="auto"/>
                <w:sz w:val="21"/>
                <w:highlight w:val="none"/>
              </w:rPr>
            </w:pPr>
          </w:p>
        </w:tc>
        <w:tc>
          <w:tcPr>
            <w:tcW w:w="349" w:type="dxa"/>
            <w:vAlign w:val="top"/>
          </w:tcPr>
          <w:p w14:paraId="69BAA4E0">
            <w:pPr>
              <w:rPr>
                <w:rFonts w:ascii="Arial"/>
                <w:color w:val="auto"/>
                <w:sz w:val="21"/>
                <w:highlight w:val="none"/>
              </w:rPr>
            </w:pPr>
          </w:p>
        </w:tc>
        <w:tc>
          <w:tcPr>
            <w:tcW w:w="351" w:type="dxa"/>
            <w:vAlign w:val="top"/>
          </w:tcPr>
          <w:p w14:paraId="0B2059D8">
            <w:pPr>
              <w:rPr>
                <w:rFonts w:ascii="Arial"/>
                <w:color w:val="auto"/>
                <w:sz w:val="21"/>
                <w:highlight w:val="none"/>
              </w:rPr>
            </w:pPr>
          </w:p>
        </w:tc>
        <w:tc>
          <w:tcPr>
            <w:tcW w:w="349" w:type="dxa"/>
            <w:vAlign w:val="top"/>
          </w:tcPr>
          <w:p w14:paraId="562C6E1C">
            <w:pPr>
              <w:rPr>
                <w:rFonts w:ascii="Arial"/>
                <w:color w:val="auto"/>
                <w:sz w:val="21"/>
                <w:highlight w:val="none"/>
              </w:rPr>
            </w:pPr>
          </w:p>
        </w:tc>
        <w:tc>
          <w:tcPr>
            <w:tcW w:w="349" w:type="dxa"/>
            <w:vAlign w:val="top"/>
          </w:tcPr>
          <w:p w14:paraId="19126847">
            <w:pPr>
              <w:rPr>
                <w:rFonts w:ascii="Arial"/>
                <w:color w:val="auto"/>
                <w:sz w:val="21"/>
                <w:highlight w:val="none"/>
              </w:rPr>
            </w:pPr>
          </w:p>
        </w:tc>
        <w:tc>
          <w:tcPr>
            <w:tcW w:w="426" w:type="dxa"/>
            <w:vAlign w:val="top"/>
          </w:tcPr>
          <w:p w14:paraId="0B64109C">
            <w:pPr>
              <w:rPr>
                <w:rFonts w:ascii="Arial"/>
                <w:color w:val="auto"/>
                <w:sz w:val="21"/>
                <w:highlight w:val="none"/>
              </w:rPr>
            </w:pPr>
          </w:p>
        </w:tc>
        <w:tc>
          <w:tcPr>
            <w:tcW w:w="426" w:type="dxa"/>
            <w:vAlign w:val="top"/>
          </w:tcPr>
          <w:p w14:paraId="5F304D4E">
            <w:pPr>
              <w:rPr>
                <w:rFonts w:ascii="Arial"/>
                <w:color w:val="auto"/>
                <w:sz w:val="21"/>
                <w:highlight w:val="none"/>
              </w:rPr>
            </w:pPr>
          </w:p>
        </w:tc>
        <w:tc>
          <w:tcPr>
            <w:tcW w:w="426" w:type="dxa"/>
            <w:vAlign w:val="top"/>
          </w:tcPr>
          <w:p w14:paraId="3639915C">
            <w:pPr>
              <w:rPr>
                <w:rFonts w:ascii="Arial"/>
                <w:color w:val="auto"/>
                <w:sz w:val="21"/>
                <w:highlight w:val="none"/>
              </w:rPr>
            </w:pPr>
          </w:p>
        </w:tc>
        <w:tc>
          <w:tcPr>
            <w:tcW w:w="429" w:type="dxa"/>
            <w:vAlign w:val="top"/>
          </w:tcPr>
          <w:p w14:paraId="4FEDC7C7">
            <w:pPr>
              <w:rPr>
                <w:rFonts w:ascii="Arial"/>
                <w:color w:val="auto"/>
                <w:sz w:val="21"/>
                <w:highlight w:val="none"/>
              </w:rPr>
            </w:pPr>
          </w:p>
        </w:tc>
        <w:tc>
          <w:tcPr>
            <w:tcW w:w="526" w:type="dxa"/>
            <w:vAlign w:val="top"/>
          </w:tcPr>
          <w:p w14:paraId="28644EAF">
            <w:pPr>
              <w:rPr>
                <w:rFonts w:ascii="Arial"/>
                <w:color w:val="auto"/>
                <w:sz w:val="21"/>
                <w:highlight w:val="none"/>
              </w:rPr>
            </w:pPr>
          </w:p>
        </w:tc>
        <w:tc>
          <w:tcPr>
            <w:tcW w:w="735" w:type="dxa"/>
            <w:vAlign w:val="top"/>
          </w:tcPr>
          <w:p w14:paraId="6928265C">
            <w:pPr>
              <w:rPr>
                <w:rFonts w:ascii="Arial"/>
                <w:color w:val="auto"/>
                <w:sz w:val="21"/>
                <w:highlight w:val="none"/>
              </w:rPr>
            </w:pPr>
          </w:p>
        </w:tc>
      </w:tr>
      <w:tr w14:paraId="09387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458" w:type="dxa"/>
            <w:vAlign w:val="top"/>
          </w:tcPr>
          <w:p w14:paraId="23401CDB">
            <w:pPr>
              <w:pStyle w:val="20"/>
              <w:spacing w:before="172" w:line="268" w:lineRule="exact"/>
              <w:ind w:left="183"/>
              <w:rPr>
                <w:color w:val="auto"/>
                <w:highlight w:val="none"/>
              </w:rPr>
            </w:pPr>
            <w:r>
              <w:rPr>
                <w:color w:val="auto"/>
                <w:position w:val="1"/>
                <w:highlight w:val="none"/>
              </w:rPr>
              <w:t>6</w:t>
            </w:r>
          </w:p>
        </w:tc>
        <w:tc>
          <w:tcPr>
            <w:tcW w:w="1628" w:type="dxa"/>
            <w:vAlign w:val="top"/>
          </w:tcPr>
          <w:p w14:paraId="1933C7C7">
            <w:pPr>
              <w:pStyle w:val="20"/>
              <w:spacing w:before="35" w:line="233"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6A26E94C">
            <w:pPr>
              <w:rPr>
                <w:rFonts w:ascii="Arial"/>
                <w:color w:val="auto"/>
                <w:sz w:val="21"/>
                <w:highlight w:val="none"/>
              </w:rPr>
            </w:pPr>
          </w:p>
        </w:tc>
        <w:tc>
          <w:tcPr>
            <w:tcW w:w="635" w:type="dxa"/>
            <w:vAlign w:val="top"/>
          </w:tcPr>
          <w:p w14:paraId="3CFE1803">
            <w:pPr>
              <w:rPr>
                <w:rFonts w:ascii="Arial"/>
                <w:color w:val="auto"/>
                <w:sz w:val="21"/>
                <w:highlight w:val="none"/>
              </w:rPr>
            </w:pPr>
          </w:p>
        </w:tc>
        <w:tc>
          <w:tcPr>
            <w:tcW w:w="348" w:type="dxa"/>
            <w:vAlign w:val="top"/>
          </w:tcPr>
          <w:p w14:paraId="4100C303">
            <w:pPr>
              <w:rPr>
                <w:rFonts w:ascii="Arial"/>
                <w:color w:val="auto"/>
                <w:sz w:val="21"/>
                <w:highlight w:val="none"/>
              </w:rPr>
            </w:pPr>
          </w:p>
        </w:tc>
        <w:tc>
          <w:tcPr>
            <w:tcW w:w="348" w:type="dxa"/>
            <w:vAlign w:val="top"/>
          </w:tcPr>
          <w:p w14:paraId="3C4FCD89">
            <w:pPr>
              <w:rPr>
                <w:rFonts w:ascii="Arial"/>
                <w:color w:val="auto"/>
                <w:sz w:val="21"/>
                <w:highlight w:val="none"/>
              </w:rPr>
            </w:pPr>
          </w:p>
        </w:tc>
        <w:tc>
          <w:tcPr>
            <w:tcW w:w="350" w:type="dxa"/>
            <w:vAlign w:val="top"/>
          </w:tcPr>
          <w:p w14:paraId="008C6081">
            <w:pPr>
              <w:rPr>
                <w:rFonts w:ascii="Arial"/>
                <w:color w:val="auto"/>
                <w:sz w:val="21"/>
                <w:highlight w:val="none"/>
              </w:rPr>
            </w:pPr>
          </w:p>
        </w:tc>
        <w:tc>
          <w:tcPr>
            <w:tcW w:w="348" w:type="dxa"/>
            <w:vAlign w:val="top"/>
          </w:tcPr>
          <w:p w14:paraId="23FD6B87">
            <w:pPr>
              <w:rPr>
                <w:rFonts w:ascii="Arial"/>
                <w:color w:val="auto"/>
                <w:sz w:val="21"/>
                <w:highlight w:val="none"/>
              </w:rPr>
            </w:pPr>
          </w:p>
        </w:tc>
        <w:tc>
          <w:tcPr>
            <w:tcW w:w="349" w:type="dxa"/>
            <w:vAlign w:val="top"/>
          </w:tcPr>
          <w:p w14:paraId="663DCBFE">
            <w:pPr>
              <w:rPr>
                <w:rFonts w:ascii="Arial"/>
                <w:color w:val="auto"/>
                <w:sz w:val="21"/>
                <w:highlight w:val="none"/>
              </w:rPr>
            </w:pPr>
          </w:p>
        </w:tc>
        <w:tc>
          <w:tcPr>
            <w:tcW w:w="351" w:type="dxa"/>
            <w:vAlign w:val="top"/>
          </w:tcPr>
          <w:p w14:paraId="05705903">
            <w:pPr>
              <w:rPr>
                <w:rFonts w:ascii="Arial"/>
                <w:color w:val="auto"/>
                <w:sz w:val="21"/>
                <w:highlight w:val="none"/>
              </w:rPr>
            </w:pPr>
          </w:p>
        </w:tc>
        <w:tc>
          <w:tcPr>
            <w:tcW w:w="349" w:type="dxa"/>
            <w:vAlign w:val="top"/>
          </w:tcPr>
          <w:p w14:paraId="4F0B75FE">
            <w:pPr>
              <w:rPr>
                <w:rFonts w:ascii="Arial"/>
                <w:color w:val="auto"/>
                <w:sz w:val="21"/>
                <w:highlight w:val="none"/>
              </w:rPr>
            </w:pPr>
          </w:p>
        </w:tc>
        <w:tc>
          <w:tcPr>
            <w:tcW w:w="349" w:type="dxa"/>
            <w:vAlign w:val="top"/>
          </w:tcPr>
          <w:p w14:paraId="34D6BF54">
            <w:pPr>
              <w:rPr>
                <w:rFonts w:ascii="Arial"/>
                <w:color w:val="auto"/>
                <w:sz w:val="21"/>
                <w:highlight w:val="none"/>
              </w:rPr>
            </w:pPr>
          </w:p>
        </w:tc>
        <w:tc>
          <w:tcPr>
            <w:tcW w:w="426" w:type="dxa"/>
            <w:vAlign w:val="top"/>
          </w:tcPr>
          <w:p w14:paraId="50F3843D">
            <w:pPr>
              <w:rPr>
                <w:rFonts w:ascii="Arial"/>
                <w:color w:val="auto"/>
                <w:sz w:val="21"/>
                <w:highlight w:val="none"/>
              </w:rPr>
            </w:pPr>
          </w:p>
        </w:tc>
        <w:tc>
          <w:tcPr>
            <w:tcW w:w="426" w:type="dxa"/>
            <w:vAlign w:val="top"/>
          </w:tcPr>
          <w:p w14:paraId="77D779A7">
            <w:pPr>
              <w:rPr>
                <w:rFonts w:ascii="Arial"/>
                <w:color w:val="auto"/>
                <w:sz w:val="21"/>
                <w:highlight w:val="none"/>
              </w:rPr>
            </w:pPr>
          </w:p>
        </w:tc>
        <w:tc>
          <w:tcPr>
            <w:tcW w:w="426" w:type="dxa"/>
            <w:vAlign w:val="top"/>
          </w:tcPr>
          <w:p w14:paraId="25B277CD">
            <w:pPr>
              <w:rPr>
                <w:rFonts w:ascii="Arial"/>
                <w:color w:val="auto"/>
                <w:sz w:val="21"/>
                <w:highlight w:val="none"/>
              </w:rPr>
            </w:pPr>
          </w:p>
        </w:tc>
        <w:tc>
          <w:tcPr>
            <w:tcW w:w="429" w:type="dxa"/>
            <w:vAlign w:val="top"/>
          </w:tcPr>
          <w:p w14:paraId="7309A0C6">
            <w:pPr>
              <w:rPr>
                <w:rFonts w:ascii="Arial"/>
                <w:color w:val="auto"/>
                <w:sz w:val="21"/>
                <w:highlight w:val="none"/>
              </w:rPr>
            </w:pPr>
          </w:p>
        </w:tc>
        <w:tc>
          <w:tcPr>
            <w:tcW w:w="526" w:type="dxa"/>
            <w:vAlign w:val="top"/>
          </w:tcPr>
          <w:p w14:paraId="38357BDE">
            <w:pPr>
              <w:rPr>
                <w:rFonts w:ascii="Arial"/>
                <w:color w:val="auto"/>
                <w:sz w:val="21"/>
                <w:highlight w:val="none"/>
              </w:rPr>
            </w:pPr>
          </w:p>
        </w:tc>
        <w:tc>
          <w:tcPr>
            <w:tcW w:w="735" w:type="dxa"/>
            <w:vAlign w:val="top"/>
          </w:tcPr>
          <w:p w14:paraId="16DEFF6C">
            <w:pPr>
              <w:rPr>
                <w:rFonts w:ascii="Arial"/>
                <w:color w:val="auto"/>
                <w:sz w:val="21"/>
                <w:highlight w:val="none"/>
              </w:rPr>
            </w:pPr>
          </w:p>
        </w:tc>
      </w:tr>
      <w:tr w14:paraId="02D40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458" w:type="dxa"/>
            <w:vAlign w:val="top"/>
          </w:tcPr>
          <w:p w14:paraId="649A46A6">
            <w:pPr>
              <w:pStyle w:val="20"/>
              <w:spacing w:before="169" w:line="268" w:lineRule="exact"/>
              <w:ind w:left="186"/>
              <w:rPr>
                <w:color w:val="auto"/>
                <w:highlight w:val="none"/>
              </w:rPr>
            </w:pPr>
            <w:r>
              <w:rPr>
                <w:color w:val="auto"/>
                <w:position w:val="1"/>
                <w:highlight w:val="none"/>
              </w:rPr>
              <w:t>7</w:t>
            </w:r>
          </w:p>
        </w:tc>
        <w:tc>
          <w:tcPr>
            <w:tcW w:w="1628" w:type="dxa"/>
            <w:vAlign w:val="top"/>
          </w:tcPr>
          <w:p w14:paraId="0199555C">
            <w:pPr>
              <w:pStyle w:val="20"/>
              <w:spacing w:before="35" w:line="233"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232FFF3C">
            <w:pPr>
              <w:rPr>
                <w:rFonts w:ascii="Arial"/>
                <w:color w:val="auto"/>
                <w:sz w:val="21"/>
                <w:highlight w:val="none"/>
              </w:rPr>
            </w:pPr>
          </w:p>
        </w:tc>
        <w:tc>
          <w:tcPr>
            <w:tcW w:w="635" w:type="dxa"/>
            <w:vAlign w:val="top"/>
          </w:tcPr>
          <w:p w14:paraId="32909B1A">
            <w:pPr>
              <w:rPr>
                <w:rFonts w:ascii="Arial"/>
                <w:color w:val="auto"/>
                <w:sz w:val="21"/>
                <w:highlight w:val="none"/>
              </w:rPr>
            </w:pPr>
          </w:p>
        </w:tc>
        <w:tc>
          <w:tcPr>
            <w:tcW w:w="348" w:type="dxa"/>
            <w:vAlign w:val="top"/>
          </w:tcPr>
          <w:p w14:paraId="21B108A1">
            <w:pPr>
              <w:rPr>
                <w:rFonts w:ascii="Arial"/>
                <w:color w:val="auto"/>
                <w:sz w:val="21"/>
                <w:highlight w:val="none"/>
              </w:rPr>
            </w:pPr>
          </w:p>
        </w:tc>
        <w:tc>
          <w:tcPr>
            <w:tcW w:w="348" w:type="dxa"/>
            <w:vAlign w:val="top"/>
          </w:tcPr>
          <w:p w14:paraId="117AC248">
            <w:pPr>
              <w:rPr>
                <w:rFonts w:ascii="Arial"/>
                <w:color w:val="auto"/>
                <w:sz w:val="21"/>
                <w:highlight w:val="none"/>
              </w:rPr>
            </w:pPr>
          </w:p>
        </w:tc>
        <w:tc>
          <w:tcPr>
            <w:tcW w:w="350" w:type="dxa"/>
            <w:vAlign w:val="top"/>
          </w:tcPr>
          <w:p w14:paraId="6A3A647F">
            <w:pPr>
              <w:rPr>
                <w:rFonts w:ascii="Arial"/>
                <w:color w:val="auto"/>
                <w:sz w:val="21"/>
                <w:highlight w:val="none"/>
              </w:rPr>
            </w:pPr>
          </w:p>
        </w:tc>
        <w:tc>
          <w:tcPr>
            <w:tcW w:w="348" w:type="dxa"/>
            <w:vAlign w:val="top"/>
          </w:tcPr>
          <w:p w14:paraId="6187FC47">
            <w:pPr>
              <w:rPr>
                <w:rFonts w:ascii="Arial"/>
                <w:color w:val="auto"/>
                <w:sz w:val="21"/>
                <w:highlight w:val="none"/>
              </w:rPr>
            </w:pPr>
          </w:p>
        </w:tc>
        <w:tc>
          <w:tcPr>
            <w:tcW w:w="349" w:type="dxa"/>
            <w:vAlign w:val="top"/>
          </w:tcPr>
          <w:p w14:paraId="766131C3">
            <w:pPr>
              <w:rPr>
                <w:rFonts w:ascii="Arial"/>
                <w:color w:val="auto"/>
                <w:sz w:val="21"/>
                <w:highlight w:val="none"/>
              </w:rPr>
            </w:pPr>
          </w:p>
        </w:tc>
        <w:tc>
          <w:tcPr>
            <w:tcW w:w="351" w:type="dxa"/>
            <w:vAlign w:val="top"/>
          </w:tcPr>
          <w:p w14:paraId="4AA8DD58">
            <w:pPr>
              <w:rPr>
                <w:rFonts w:ascii="Arial"/>
                <w:color w:val="auto"/>
                <w:sz w:val="21"/>
                <w:highlight w:val="none"/>
              </w:rPr>
            </w:pPr>
          </w:p>
        </w:tc>
        <w:tc>
          <w:tcPr>
            <w:tcW w:w="349" w:type="dxa"/>
            <w:vAlign w:val="top"/>
          </w:tcPr>
          <w:p w14:paraId="33F5C608">
            <w:pPr>
              <w:rPr>
                <w:rFonts w:ascii="Arial"/>
                <w:color w:val="auto"/>
                <w:sz w:val="21"/>
                <w:highlight w:val="none"/>
              </w:rPr>
            </w:pPr>
          </w:p>
        </w:tc>
        <w:tc>
          <w:tcPr>
            <w:tcW w:w="349" w:type="dxa"/>
            <w:vAlign w:val="top"/>
          </w:tcPr>
          <w:p w14:paraId="61FE3CCD">
            <w:pPr>
              <w:rPr>
                <w:rFonts w:ascii="Arial"/>
                <w:color w:val="auto"/>
                <w:sz w:val="21"/>
                <w:highlight w:val="none"/>
              </w:rPr>
            </w:pPr>
          </w:p>
        </w:tc>
        <w:tc>
          <w:tcPr>
            <w:tcW w:w="426" w:type="dxa"/>
            <w:vAlign w:val="top"/>
          </w:tcPr>
          <w:p w14:paraId="4C4F9074">
            <w:pPr>
              <w:rPr>
                <w:rFonts w:ascii="Arial"/>
                <w:color w:val="auto"/>
                <w:sz w:val="21"/>
                <w:highlight w:val="none"/>
              </w:rPr>
            </w:pPr>
          </w:p>
        </w:tc>
        <w:tc>
          <w:tcPr>
            <w:tcW w:w="426" w:type="dxa"/>
            <w:vAlign w:val="top"/>
          </w:tcPr>
          <w:p w14:paraId="46C0813C">
            <w:pPr>
              <w:rPr>
                <w:rFonts w:ascii="Arial"/>
                <w:color w:val="auto"/>
                <w:sz w:val="21"/>
                <w:highlight w:val="none"/>
              </w:rPr>
            </w:pPr>
          </w:p>
        </w:tc>
        <w:tc>
          <w:tcPr>
            <w:tcW w:w="426" w:type="dxa"/>
            <w:vAlign w:val="top"/>
          </w:tcPr>
          <w:p w14:paraId="034F3320">
            <w:pPr>
              <w:rPr>
                <w:rFonts w:ascii="Arial"/>
                <w:color w:val="auto"/>
                <w:sz w:val="21"/>
                <w:highlight w:val="none"/>
              </w:rPr>
            </w:pPr>
          </w:p>
        </w:tc>
        <w:tc>
          <w:tcPr>
            <w:tcW w:w="429" w:type="dxa"/>
            <w:vAlign w:val="top"/>
          </w:tcPr>
          <w:p w14:paraId="323DFC60">
            <w:pPr>
              <w:rPr>
                <w:rFonts w:ascii="Arial"/>
                <w:color w:val="auto"/>
                <w:sz w:val="21"/>
                <w:highlight w:val="none"/>
              </w:rPr>
            </w:pPr>
          </w:p>
        </w:tc>
        <w:tc>
          <w:tcPr>
            <w:tcW w:w="526" w:type="dxa"/>
            <w:vAlign w:val="top"/>
          </w:tcPr>
          <w:p w14:paraId="099DE981">
            <w:pPr>
              <w:rPr>
                <w:rFonts w:ascii="Arial"/>
                <w:color w:val="auto"/>
                <w:sz w:val="21"/>
                <w:highlight w:val="none"/>
              </w:rPr>
            </w:pPr>
          </w:p>
        </w:tc>
        <w:tc>
          <w:tcPr>
            <w:tcW w:w="735" w:type="dxa"/>
            <w:vAlign w:val="top"/>
          </w:tcPr>
          <w:p w14:paraId="5FD45E79">
            <w:pPr>
              <w:rPr>
                <w:rFonts w:ascii="Arial"/>
                <w:color w:val="auto"/>
                <w:sz w:val="21"/>
                <w:highlight w:val="none"/>
              </w:rPr>
            </w:pPr>
          </w:p>
        </w:tc>
      </w:tr>
      <w:tr w14:paraId="1214B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58" w:type="dxa"/>
            <w:vAlign w:val="top"/>
          </w:tcPr>
          <w:p w14:paraId="6FD4693F">
            <w:pPr>
              <w:pStyle w:val="20"/>
              <w:spacing w:before="171" w:line="268" w:lineRule="exact"/>
              <w:ind w:left="182"/>
              <w:rPr>
                <w:color w:val="auto"/>
                <w:highlight w:val="none"/>
              </w:rPr>
            </w:pPr>
            <w:r>
              <w:rPr>
                <w:color w:val="auto"/>
                <w:position w:val="1"/>
                <w:highlight w:val="none"/>
              </w:rPr>
              <w:t>8</w:t>
            </w:r>
          </w:p>
        </w:tc>
        <w:tc>
          <w:tcPr>
            <w:tcW w:w="1628" w:type="dxa"/>
            <w:vAlign w:val="top"/>
          </w:tcPr>
          <w:p w14:paraId="05EA1769">
            <w:pPr>
              <w:pStyle w:val="20"/>
              <w:spacing w:before="34" w:line="233"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36FB50EA">
            <w:pPr>
              <w:rPr>
                <w:rFonts w:ascii="Arial"/>
                <w:color w:val="auto"/>
                <w:sz w:val="21"/>
                <w:highlight w:val="none"/>
              </w:rPr>
            </w:pPr>
          </w:p>
        </w:tc>
        <w:tc>
          <w:tcPr>
            <w:tcW w:w="635" w:type="dxa"/>
            <w:vAlign w:val="top"/>
          </w:tcPr>
          <w:p w14:paraId="2403EDCB">
            <w:pPr>
              <w:rPr>
                <w:rFonts w:ascii="Arial"/>
                <w:color w:val="auto"/>
                <w:sz w:val="21"/>
                <w:highlight w:val="none"/>
              </w:rPr>
            </w:pPr>
          </w:p>
        </w:tc>
        <w:tc>
          <w:tcPr>
            <w:tcW w:w="348" w:type="dxa"/>
            <w:vAlign w:val="top"/>
          </w:tcPr>
          <w:p w14:paraId="391DC598">
            <w:pPr>
              <w:rPr>
                <w:rFonts w:ascii="Arial"/>
                <w:color w:val="auto"/>
                <w:sz w:val="21"/>
                <w:highlight w:val="none"/>
              </w:rPr>
            </w:pPr>
          </w:p>
        </w:tc>
        <w:tc>
          <w:tcPr>
            <w:tcW w:w="348" w:type="dxa"/>
            <w:vAlign w:val="top"/>
          </w:tcPr>
          <w:p w14:paraId="3DF9B6AD">
            <w:pPr>
              <w:rPr>
                <w:rFonts w:ascii="Arial"/>
                <w:color w:val="auto"/>
                <w:sz w:val="21"/>
                <w:highlight w:val="none"/>
              </w:rPr>
            </w:pPr>
          </w:p>
        </w:tc>
        <w:tc>
          <w:tcPr>
            <w:tcW w:w="350" w:type="dxa"/>
            <w:vAlign w:val="top"/>
          </w:tcPr>
          <w:p w14:paraId="2998F6EE">
            <w:pPr>
              <w:rPr>
                <w:rFonts w:ascii="Arial"/>
                <w:color w:val="auto"/>
                <w:sz w:val="21"/>
                <w:highlight w:val="none"/>
              </w:rPr>
            </w:pPr>
          </w:p>
        </w:tc>
        <w:tc>
          <w:tcPr>
            <w:tcW w:w="348" w:type="dxa"/>
            <w:vAlign w:val="top"/>
          </w:tcPr>
          <w:p w14:paraId="3D60BFE8">
            <w:pPr>
              <w:rPr>
                <w:rFonts w:ascii="Arial"/>
                <w:color w:val="auto"/>
                <w:sz w:val="21"/>
                <w:highlight w:val="none"/>
              </w:rPr>
            </w:pPr>
          </w:p>
        </w:tc>
        <w:tc>
          <w:tcPr>
            <w:tcW w:w="349" w:type="dxa"/>
            <w:vAlign w:val="top"/>
          </w:tcPr>
          <w:p w14:paraId="64E47999">
            <w:pPr>
              <w:rPr>
                <w:rFonts w:ascii="Arial"/>
                <w:color w:val="auto"/>
                <w:sz w:val="21"/>
                <w:highlight w:val="none"/>
              </w:rPr>
            </w:pPr>
          </w:p>
        </w:tc>
        <w:tc>
          <w:tcPr>
            <w:tcW w:w="351" w:type="dxa"/>
            <w:vAlign w:val="top"/>
          </w:tcPr>
          <w:p w14:paraId="7C33C0CA">
            <w:pPr>
              <w:rPr>
                <w:rFonts w:ascii="Arial"/>
                <w:color w:val="auto"/>
                <w:sz w:val="21"/>
                <w:highlight w:val="none"/>
              </w:rPr>
            </w:pPr>
          </w:p>
        </w:tc>
        <w:tc>
          <w:tcPr>
            <w:tcW w:w="349" w:type="dxa"/>
            <w:vAlign w:val="top"/>
          </w:tcPr>
          <w:p w14:paraId="32DD194F">
            <w:pPr>
              <w:rPr>
                <w:rFonts w:ascii="Arial"/>
                <w:color w:val="auto"/>
                <w:sz w:val="21"/>
                <w:highlight w:val="none"/>
              </w:rPr>
            </w:pPr>
          </w:p>
        </w:tc>
        <w:tc>
          <w:tcPr>
            <w:tcW w:w="349" w:type="dxa"/>
            <w:vAlign w:val="top"/>
          </w:tcPr>
          <w:p w14:paraId="5B6B72C7">
            <w:pPr>
              <w:rPr>
                <w:rFonts w:ascii="Arial"/>
                <w:color w:val="auto"/>
                <w:sz w:val="21"/>
                <w:highlight w:val="none"/>
              </w:rPr>
            </w:pPr>
          </w:p>
        </w:tc>
        <w:tc>
          <w:tcPr>
            <w:tcW w:w="426" w:type="dxa"/>
            <w:vAlign w:val="top"/>
          </w:tcPr>
          <w:p w14:paraId="7C75519E">
            <w:pPr>
              <w:rPr>
                <w:rFonts w:ascii="Arial"/>
                <w:color w:val="auto"/>
                <w:sz w:val="21"/>
                <w:highlight w:val="none"/>
              </w:rPr>
            </w:pPr>
          </w:p>
        </w:tc>
        <w:tc>
          <w:tcPr>
            <w:tcW w:w="426" w:type="dxa"/>
            <w:vAlign w:val="top"/>
          </w:tcPr>
          <w:p w14:paraId="75FA10EB">
            <w:pPr>
              <w:rPr>
                <w:rFonts w:ascii="Arial"/>
                <w:color w:val="auto"/>
                <w:sz w:val="21"/>
                <w:highlight w:val="none"/>
              </w:rPr>
            </w:pPr>
          </w:p>
        </w:tc>
        <w:tc>
          <w:tcPr>
            <w:tcW w:w="426" w:type="dxa"/>
            <w:vAlign w:val="top"/>
          </w:tcPr>
          <w:p w14:paraId="277F2F8E">
            <w:pPr>
              <w:rPr>
                <w:rFonts w:ascii="Arial"/>
                <w:color w:val="auto"/>
                <w:sz w:val="21"/>
                <w:highlight w:val="none"/>
              </w:rPr>
            </w:pPr>
          </w:p>
        </w:tc>
        <w:tc>
          <w:tcPr>
            <w:tcW w:w="429" w:type="dxa"/>
            <w:vAlign w:val="top"/>
          </w:tcPr>
          <w:p w14:paraId="0832FE93">
            <w:pPr>
              <w:rPr>
                <w:rFonts w:ascii="Arial"/>
                <w:color w:val="auto"/>
                <w:sz w:val="21"/>
                <w:highlight w:val="none"/>
              </w:rPr>
            </w:pPr>
          </w:p>
        </w:tc>
        <w:tc>
          <w:tcPr>
            <w:tcW w:w="526" w:type="dxa"/>
            <w:vAlign w:val="top"/>
          </w:tcPr>
          <w:p w14:paraId="010ECC32">
            <w:pPr>
              <w:rPr>
                <w:rFonts w:ascii="Arial"/>
                <w:color w:val="auto"/>
                <w:sz w:val="21"/>
                <w:highlight w:val="none"/>
              </w:rPr>
            </w:pPr>
          </w:p>
        </w:tc>
        <w:tc>
          <w:tcPr>
            <w:tcW w:w="735" w:type="dxa"/>
            <w:vAlign w:val="top"/>
          </w:tcPr>
          <w:p w14:paraId="5F08FAED">
            <w:pPr>
              <w:rPr>
                <w:rFonts w:ascii="Arial"/>
                <w:color w:val="auto"/>
                <w:sz w:val="21"/>
                <w:highlight w:val="none"/>
              </w:rPr>
            </w:pPr>
          </w:p>
        </w:tc>
      </w:tr>
      <w:tr w14:paraId="43076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458" w:type="dxa"/>
            <w:vAlign w:val="top"/>
          </w:tcPr>
          <w:p w14:paraId="3D845893">
            <w:pPr>
              <w:pStyle w:val="20"/>
              <w:spacing w:before="171" w:line="269" w:lineRule="exact"/>
              <w:ind w:left="182"/>
              <w:rPr>
                <w:color w:val="auto"/>
                <w:highlight w:val="none"/>
              </w:rPr>
            </w:pPr>
            <w:r>
              <w:rPr>
                <w:color w:val="auto"/>
                <w:position w:val="1"/>
                <w:highlight w:val="none"/>
              </w:rPr>
              <w:t>9</w:t>
            </w:r>
          </w:p>
        </w:tc>
        <w:tc>
          <w:tcPr>
            <w:tcW w:w="1628" w:type="dxa"/>
            <w:vAlign w:val="top"/>
          </w:tcPr>
          <w:p w14:paraId="77707DEB">
            <w:pPr>
              <w:pStyle w:val="20"/>
              <w:spacing w:before="37" w:line="232" w:lineRule="auto"/>
              <w:ind w:left="605" w:right="184" w:hanging="420"/>
              <w:rPr>
                <w:color w:val="auto"/>
                <w:highlight w:val="none"/>
              </w:rPr>
            </w:pPr>
            <w:r>
              <w:rPr>
                <w:color w:val="auto"/>
                <w:spacing w:val="7"/>
                <w:highlight w:val="none"/>
              </w:rPr>
              <w:t>**专业监理工</w:t>
            </w:r>
            <w:r>
              <w:rPr>
                <w:color w:val="auto"/>
                <w:spacing w:val="5"/>
                <w:highlight w:val="none"/>
              </w:rPr>
              <w:t>程师</w:t>
            </w:r>
          </w:p>
        </w:tc>
        <w:tc>
          <w:tcPr>
            <w:tcW w:w="805" w:type="dxa"/>
            <w:vAlign w:val="top"/>
          </w:tcPr>
          <w:p w14:paraId="7E93064F">
            <w:pPr>
              <w:rPr>
                <w:rFonts w:ascii="Arial"/>
                <w:color w:val="auto"/>
                <w:sz w:val="21"/>
                <w:highlight w:val="none"/>
              </w:rPr>
            </w:pPr>
          </w:p>
        </w:tc>
        <w:tc>
          <w:tcPr>
            <w:tcW w:w="635" w:type="dxa"/>
            <w:vAlign w:val="top"/>
          </w:tcPr>
          <w:p w14:paraId="5289CE11">
            <w:pPr>
              <w:rPr>
                <w:rFonts w:ascii="Arial"/>
                <w:color w:val="auto"/>
                <w:sz w:val="21"/>
                <w:highlight w:val="none"/>
              </w:rPr>
            </w:pPr>
          </w:p>
        </w:tc>
        <w:tc>
          <w:tcPr>
            <w:tcW w:w="348" w:type="dxa"/>
            <w:vAlign w:val="top"/>
          </w:tcPr>
          <w:p w14:paraId="099C37AD">
            <w:pPr>
              <w:rPr>
                <w:rFonts w:ascii="Arial"/>
                <w:color w:val="auto"/>
                <w:sz w:val="21"/>
                <w:highlight w:val="none"/>
              </w:rPr>
            </w:pPr>
          </w:p>
        </w:tc>
        <w:tc>
          <w:tcPr>
            <w:tcW w:w="348" w:type="dxa"/>
            <w:vAlign w:val="top"/>
          </w:tcPr>
          <w:p w14:paraId="1F0B8945">
            <w:pPr>
              <w:rPr>
                <w:rFonts w:ascii="Arial"/>
                <w:color w:val="auto"/>
                <w:sz w:val="21"/>
                <w:highlight w:val="none"/>
              </w:rPr>
            </w:pPr>
          </w:p>
        </w:tc>
        <w:tc>
          <w:tcPr>
            <w:tcW w:w="350" w:type="dxa"/>
            <w:vAlign w:val="top"/>
          </w:tcPr>
          <w:p w14:paraId="6911A847">
            <w:pPr>
              <w:rPr>
                <w:rFonts w:ascii="Arial"/>
                <w:color w:val="auto"/>
                <w:sz w:val="21"/>
                <w:highlight w:val="none"/>
              </w:rPr>
            </w:pPr>
          </w:p>
        </w:tc>
        <w:tc>
          <w:tcPr>
            <w:tcW w:w="348" w:type="dxa"/>
            <w:vAlign w:val="top"/>
          </w:tcPr>
          <w:p w14:paraId="4BBA7FB8">
            <w:pPr>
              <w:rPr>
                <w:rFonts w:ascii="Arial"/>
                <w:color w:val="auto"/>
                <w:sz w:val="21"/>
                <w:highlight w:val="none"/>
              </w:rPr>
            </w:pPr>
          </w:p>
        </w:tc>
        <w:tc>
          <w:tcPr>
            <w:tcW w:w="349" w:type="dxa"/>
            <w:vAlign w:val="top"/>
          </w:tcPr>
          <w:p w14:paraId="2DEEA4B0">
            <w:pPr>
              <w:rPr>
                <w:rFonts w:ascii="Arial"/>
                <w:color w:val="auto"/>
                <w:sz w:val="21"/>
                <w:highlight w:val="none"/>
              </w:rPr>
            </w:pPr>
          </w:p>
        </w:tc>
        <w:tc>
          <w:tcPr>
            <w:tcW w:w="351" w:type="dxa"/>
            <w:vAlign w:val="top"/>
          </w:tcPr>
          <w:p w14:paraId="40F01CC2">
            <w:pPr>
              <w:rPr>
                <w:rFonts w:ascii="Arial"/>
                <w:color w:val="auto"/>
                <w:sz w:val="21"/>
                <w:highlight w:val="none"/>
              </w:rPr>
            </w:pPr>
          </w:p>
        </w:tc>
        <w:tc>
          <w:tcPr>
            <w:tcW w:w="349" w:type="dxa"/>
            <w:vAlign w:val="top"/>
          </w:tcPr>
          <w:p w14:paraId="595F9896">
            <w:pPr>
              <w:rPr>
                <w:rFonts w:ascii="Arial"/>
                <w:color w:val="auto"/>
                <w:sz w:val="21"/>
                <w:highlight w:val="none"/>
              </w:rPr>
            </w:pPr>
          </w:p>
        </w:tc>
        <w:tc>
          <w:tcPr>
            <w:tcW w:w="349" w:type="dxa"/>
            <w:vAlign w:val="top"/>
          </w:tcPr>
          <w:p w14:paraId="79A6090A">
            <w:pPr>
              <w:rPr>
                <w:rFonts w:ascii="Arial"/>
                <w:color w:val="auto"/>
                <w:sz w:val="21"/>
                <w:highlight w:val="none"/>
              </w:rPr>
            </w:pPr>
          </w:p>
        </w:tc>
        <w:tc>
          <w:tcPr>
            <w:tcW w:w="426" w:type="dxa"/>
            <w:vAlign w:val="top"/>
          </w:tcPr>
          <w:p w14:paraId="3DE95953">
            <w:pPr>
              <w:rPr>
                <w:rFonts w:ascii="Arial"/>
                <w:color w:val="auto"/>
                <w:sz w:val="21"/>
                <w:highlight w:val="none"/>
              </w:rPr>
            </w:pPr>
          </w:p>
        </w:tc>
        <w:tc>
          <w:tcPr>
            <w:tcW w:w="426" w:type="dxa"/>
            <w:vAlign w:val="top"/>
          </w:tcPr>
          <w:p w14:paraId="2F243DB3">
            <w:pPr>
              <w:rPr>
                <w:rFonts w:ascii="Arial"/>
                <w:color w:val="auto"/>
                <w:sz w:val="21"/>
                <w:highlight w:val="none"/>
              </w:rPr>
            </w:pPr>
          </w:p>
        </w:tc>
        <w:tc>
          <w:tcPr>
            <w:tcW w:w="426" w:type="dxa"/>
            <w:vAlign w:val="top"/>
          </w:tcPr>
          <w:p w14:paraId="3D3CF1E2">
            <w:pPr>
              <w:rPr>
                <w:rFonts w:ascii="Arial"/>
                <w:color w:val="auto"/>
                <w:sz w:val="21"/>
                <w:highlight w:val="none"/>
              </w:rPr>
            </w:pPr>
          </w:p>
        </w:tc>
        <w:tc>
          <w:tcPr>
            <w:tcW w:w="429" w:type="dxa"/>
            <w:vAlign w:val="top"/>
          </w:tcPr>
          <w:p w14:paraId="2C239572">
            <w:pPr>
              <w:rPr>
                <w:rFonts w:ascii="Arial"/>
                <w:color w:val="auto"/>
                <w:sz w:val="21"/>
                <w:highlight w:val="none"/>
              </w:rPr>
            </w:pPr>
          </w:p>
        </w:tc>
        <w:tc>
          <w:tcPr>
            <w:tcW w:w="526" w:type="dxa"/>
            <w:vAlign w:val="top"/>
          </w:tcPr>
          <w:p w14:paraId="581BA344">
            <w:pPr>
              <w:rPr>
                <w:rFonts w:ascii="Arial"/>
                <w:color w:val="auto"/>
                <w:sz w:val="21"/>
                <w:highlight w:val="none"/>
              </w:rPr>
            </w:pPr>
          </w:p>
        </w:tc>
        <w:tc>
          <w:tcPr>
            <w:tcW w:w="735" w:type="dxa"/>
            <w:vAlign w:val="top"/>
          </w:tcPr>
          <w:p w14:paraId="17B95DFA">
            <w:pPr>
              <w:rPr>
                <w:rFonts w:ascii="Arial"/>
                <w:color w:val="auto"/>
                <w:sz w:val="21"/>
                <w:highlight w:val="none"/>
              </w:rPr>
            </w:pPr>
          </w:p>
        </w:tc>
      </w:tr>
      <w:tr w14:paraId="0CC00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50F7E671">
            <w:pPr>
              <w:pStyle w:val="20"/>
              <w:spacing w:before="168" w:line="269" w:lineRule="exact"/>
              <w:ind w:left="144"/>
              <w:rPr>
                <w:color w:val="auto"/>
                <w:highlight w:val="none"/>
              </w:rPr>
            </w:pPr>
            <w:r>
              <w:rPr>
                <w:color w:val="auto"/>
                <w:spacing w:val="-7"/>
                <w:position w:val="1"/>
                <w:highlight w:val="none"/>
              </w:rPr>
              <w:t>10</w:t>
            </w:r>
          </w:p>
        </w:tc>
        <w:tc>
          <w:tcPr>
            <w:tcW w:w="1628" w:type="dxa"/>
            <w:vAlign w:val="top"/>
          </w:tcPr>
          <w:p w14:paraId="63392362">
            <w:pPr>
              <w:pStyle w:val="20"/>
              <w:spacing w:before="168" w:line="323" w:lineRule="exact"/>
              <w:ind w:left="619"/>
              <w:rPr>
                <w:color w:val="auto"/>
                <w:highlight w:val="none"/>
              </w:rPr>
            </w:pPr>
            <w:r>
              <w:rPr>
                <w:color w:val="auto"/>
                <w:spacing w:val="-2"/>
                <w:position w:val="2"/>
                <w:highlight w:val="none"/>
              </w:rPr>
              <w:t>……</w:t>
            </w:r>
          </w:p>
        </w:tc>
        <w:tc>
          <w:tcPr>
            <w:tcW w:w="805" w:type="dxa"/>
            <w:vAlign w:val="top"/>
          </w:tcPr>
          <w:p w14:paraId="79656CED">
            <w:pPr>
              <w:rPr>
                <w:rFonts w:ascii="Arial"/>
                <w:color w:val="auto"/>
                <w:sz w:val="21"/>
                <w:highlight w:val="none"/>
              </w:rPr>
            </w:pPr>
          </w:p>
        </w:tc>
        <w:tc>
          <w:tcPr>
            <w:tcW w:w="635" w:type="dxa"/>
            <w:vAlign w:val="top"/>
          </w:tcPr>
          <w:p w14:paraId="46A9AE25">
            <w:pPr>
              <w:rPr>
                <w:rFonts w:ascii="Arial"/>
                <w:color w:val="auto"/>
                <w:sz w:val="21"/>
                <w:highlight w:val="none"/>
              </w:rPr>
            </w:pPr>
          </w:p>
        </w:tc>
        <w:tc>
          <w:tcPr>
            <w:tcW w:w="348" w:type="dxa"/>
            <w:vAlign w:val="top"/>
          </w:tcPr>
          <w:p w14:paraId="388CA3B8">
            <w:pPr>
              <w:rPr>
                <w:rFonts w:ascii="Arial"/>
                <w:color w:val="auto"/>
                <w:sz w:val="21"/>
                <w:highlight w:val="none"/>
              </w:rPr>
            </w:pPr>
          </w:p>
        </w:tc>
        <w:tc>
          <w:tcPr>
            <w:tcW w:w="348" w:type="dxa"/>
            <w:vAlign w:val="top"/>
          </w:tcPr>
          <w:p w14:paraId="5BA1E306">
            <w:pPr>
              <w:rPr>
                <w:rFonts w:ascii="Arial"/>
                <w:color w:val="auto"/>
                <w:sz w:val="21"/>
                <w:highlight w:val="none"/>
              </w:rPr>
            </w:pPr>
          </w:p>
        </w:tc>
        <w:tc>
          <w:tcPr>
            <w:tcW w:w="350" w:type="dxa"/>
            <w:vAlign w:val="top"/>
          </w:tcPr>
          <w:p w14:paraId="1CD1141B">
            <w:pPr>
              <w:rPr>
                <w:rFonts w:ascii="Arial"/>
                <w:color w:val="auto"/>
                <w:sz w:val="21"/>
                <w:highlight w:val="none"/>
              </w:rPr>
            </w:pPr>
          </w:p>
        </w:tc>
        <w:tc>
          <w:tcPr>
            <w:tcW w:w="348" w:type="dxa"/>
            <w:vAlign w:val="top"/>
          </w:tcPr>
          <w:p w14:paraId="439EDB14">
            <w:pPr>
              <w:rPr>
                <w:rFonts w:ascii="Arial"/>
                <w:color w:val="auto"/>
                <w:sz w:val="21"/>
                <w:highlight w:val="none"/>
              </w:rPr>
            </w:pPr>
          </w:p>
        </w:tc>
        <w:tc>
          <w:tcPr>
            <w:tcW w:w="349" w:type="dxa"/>
            <w:vAlign w:val="top"/>
          </w:tcPr>
          <w:p w14:paraId="7F9D17C8">
            <w:pPr>
              <w:rPr>
                <w:rFonts w:ascii="Arial"/>
                <w:color w:val="auto"/>
                <w:sz w:val="21"/>
                <w:highlight w:val="none"/>
              </w:rPr>
            </w:pPr>
          </w:p>
        </w:tc>
        <w:tc>
          <w:tcPr>
            <w:tcW w:w="351" w:type="dxa"/>
            <w:vAlign w:val="top"/>
          </w:tcPr>
          <w:p w14:paraId="7D906EB2">
            <w:pPr>
              <w:rPr>
                <w:rFonts w:ascii="Arial"/>
                <w:color w:val="auto"/>
                <w:sz w:val="21"/>
                <w:highlight w:val="none"/>
              </w:rPr>
            </w:pPr>
          </w:p>
        </w:tc>
        <w:tc>
          <w:tcPr>
            <w:tcW w:w="349" w:type="dxa"/>
            <w:vAlign w:val="top"/>
          </w:tcPr>
          <w:p w14:paraId="3D3EEC1A">
            <w:pPr>
              <w:rPr>
                <w:rFonts w:ascii="Arial"/>
                <w:color w:val="auto"/>
                <w:sz w:val="21"/>
                <w:highlight w:val="none"/>
              </w:rPr>
            </w:pPr>
          </w:p>
        </w:tc>
        <w:tc>
          <w:tcPr>
            <w:tcW w:w="349" w:type="dxa"/>
            <w:vAlign w:val="top"/>
          </w:tcPr>
          <w:p w14:paraId="2E264200">
            <w:pPr>
              <w:rPr>
                <w:rFonts w:ascii="Arial"/>
                <w:color w:val="auto"/>
                <w:sz w:val="21"/>
                <w:highlight w:val="none"/>
              </w:rPr>
            </w:pPr>
          </w:p>
        </w:tc>
        <w:tc>
          <w:tcPr>
            <w:tcW w:w="426" w:type="dxa"/>
            <w:vAlign w:val="top"/>
          </w:tcPr>
          <w:p w14:paraId="789FCF9F">
            <w:pPr>
              <w:rPr>
                <w:rFonts w:ascii="Arial"/>
                <w:color w:val="auto"/>
                <w:sz w:val="21"/>
                <w:highlight w:val="none"/>
              </w:rPr>
            </w:pPr>
          </w:p>
        </w:tc>
        <w:tc>
          <w:tcPr>
            <w:tcW w:w="426" w:type="dxa"/>
            <w:vAlign w:val="top"/>
          </w:tcPr>
          <w:p w14:paraId="24E047DD">
            <w:pPr>
              <w:rPr>
                <w:rFonts w:ascii="Arial"/>
                <w:color w:val="auto"/>
                <w:sz w:val="21"/>
                <w:highlight w:val="none"/>
              </w:rPr>
            </w:pPr>
          </w:p>
        </w:tc>
        <w:tc>
          <w:tcPr>
            <w:tcW w:w="426" w:type="dxa"/>
            <w:vAlign w:val="top"/>
          </w:tcPr>
          <w:p w14:paraId="47C02587">
            <w:pPr>
              <w:rPr>
                <w:rFonts w:ascii="Arial"/>
                <w:color w:val="auto"/>
                <w:sz w:val="21"/>
                <w:highlight w:val="none"/>
              </w:rPr>
            </w:pPr>
          </w:p>
        </w:tc>
        <w:tc>
          <w:tcPr>
            <w:tcW w:w="429" w:type="dxa"/>
            <w:vAlign w:val="top"/>
          </w:tcPr>
          <w:p w14:paraId="5E1854A4">
            <w:pPr>
              <w:rPr>
                <w:rFonts w:ascii="Arial"/>
                <w:color w:val="auto"/>
                <w:sz w:val="21"/>
                <w:highlight w:val="none"/>
              </w:rPr>
            </w:pPr>
          </w:p>
        </w:tc>
        <w:tc>
          <w:tcPr>
            <w:tcW w:w="526" w:type="dxa"/>
            <w:vAlign w:val="top"/>
          </w:tcPr>
          <w:p w14:paraId="3C0CE410">
            <w:pPr>
              <w:rPr>
                <w:rFonts w:ascii="Arial"/>
                <w:color w:val="auto"/>
                <w:sz w:val="21"/>
                <w:highlight w:val="none"/>
              </w:rPr>
            </w:pPr>
          </w:p>
        </w:tc>
        <w:tc>
          <w:tcPr>
            <w:tcW w:w="735" w:type="dxa"/>
            <w:vAlign w:val="top"/>
          </w:tcPr>
          <w:p w14:paraId="6CFE4900">
            <w:pPr>
              <w:rPr>
                <w:rFonts w:ascii="Arial"/>
                <w:color w:val="auto"/>
                <w:sz w:val="21"/>
                <w:highlight w:val="none"/>
              </w:rPr>
            </w:pPr>
          </w:p>
        </w:tc>
      </w:tr>
      <w:tr w14:paraId="68B3D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1A71E582">
            <w:pPr>
              <w:pStyle w:val="20"/>
              <w:spacing w:before="168" w:line="270" w:lineRule="exact"/>
              <w:ind w:left="144"/>
              <w:rPr>
                <w:color w:val="auto"/>
                <w:highlight w:val="none"/>
              </w:rPr>
            </w:pPr>
            <w:r>
              <w:rPr>
                <w:color w:val="auto"/>
                <w:spacing w:val="-7"/>
                <w:position w:val="1"/>
                <w:highlight w:val="none"/>
              </w:rPr>
              <w:t>11</w:t>
            </w:r>
          </w:p>
        </w:tc>
        <w:tc>
          <w:tcPr>
            <w:tcW w:w="1628" w:type="dxa"/>
            <w:vAlign w:val="top"/>
          </w:tcPr>
          <w:p w14:paraId="1C8BFC2F">
            <w:pPr>
              <w:pStyle w:val="20"/>
              <w:spacing w:before="168" w:line="322" w:lineRule="exact"/>
              <w:ind w:left="619"/>
              <w:rPr>
                <w:color w:val="auto"/>
                <w:highlight w:val="none"/>
              </w:rPr>
            </w:pPr>
            <w:r>
              <w:rPr>
                <w:color w:val="auto"/>
                <w:spacing w:val="-2"/>
                <w:position w:val="2"/>
                <w:highlight w:val="none"/>
              </w:rPr>
              <w:t>……</w:t>
            </w:r>
          </w:p>
        </w:tc>
        <w:tc>
          <w:tcPr>
            <w:tcW w:w="805" w:type="dxa"/>
            <w:vAlign w:val="top"/>
          </w:tcPr>
          <w:p w14:paraId="17C06FAC">
            <w:pPr>
              <w:rPr>
                <w:rFonts w:ascii="Arial"/>
                <w:color w:val="auto"/>
                <w:sz w:val="21"/>
                <w:highlight w:val="none"/>
              </w:rPr>
            </w:pPr>
          </w:p>
        </w:tc>
        <w:tc>
          <w:tcPr>
            <w:tcW w:w="635" w:type="dxa"/>
            <w:vAlign w:val="top"/>
          </w:tcPr>
          <w:p w14:paraId="6CD9042E">
            <w:pPr>
              <w:rPr>
                <w:rFonts w:ascii="Arial"/>
                <w:color w:val="auto"/>
                <w:sz w:val="21"/>
                <w:highlight w:val="none"/>
              </w:rPr>
            </w:pPr>
          </w:p>
        </w:tc>
        <w:tc>
          <w:tcPr>
            <w:tcW w:w="348" w:type="dxa"/>
            <w:vAlign w:val="top"/>
          </w:tcPr>
          <w:p w14:paraId="44B64D1E">
            <w:pPr>
              <w:rPr>
                <w:rFonts w:ascii="Arial"/>
                <w:color w:val="auto"/>
                <w:sz w:val="21"/>
                <w:highlight w:val="none"/>
              </w:rPr>
            </w:pPr>
          </w:p>
        </w:tc>
        <w:tc>
          <w:tcPr>
            <w:tcW w:w="348" w:type="dxa"/>
            <w:vAlign w:val="top"/>
          </w:tcPr>
          <w:p w14:paraId="0BCA29F7">
            <w:pPr>
              <w:rPr>
                <w:rFonts w:ascii="Arial"/>
                <w:color w:val="auto"/>
                <w:sz w:val="21"/>
                <w:highlight w:val="none"/>
              </w:rPr>
            </w:pPr>
          </w:p>
        </w:tc>
        <w:tc>
          <w:tcPr>
            <w:tcW w:w="350" w:type="dxa"/>
            <w:vAlign w:val="top"/>
          </w:tcPr>
          <w:p w14:paraId="386F4385">
            <w:pPr>
              <w:rPr>
                <w:rFonts w:ascii="Arial"/>
                <w:color w:val="auto"/>
                <w:sz w:val="21"/>
                <w:highlight w:val="none"/>
              </w:rPr>
            </w:pPr>
          </w:p>
        </w:tc>
        <w:tc>
          <w:tcPr>
            <w:tcW w:w="348" w:type="dxa"/>
            <w:vAlign w:val="top"/>
          </w:tcPr>
          <w:p w14:paraId="4EA64B12">
            <w:pPr>
              <w:rPr>
                <w:rFonts w:ascii="Arial"/>
                <w:color w:val="auto"/>
                <w:sz w:val="21"/>
                <w:highlight w:val="none"/>
              </w:rPr>
            </w:pPr>
          </w:p>
        </w:tc>
        <w:tc>
          <w:tcPr>
            <w:tcW w:w="349" w:type="dxa"/>
            <w:vAlign w:val="top"/>
          </w:tcPr>
          <w:p w14:paraId="2D282425">
            <w:pPr>
              <w:rPr>
                <w:rFonts w:ascii="Arial"/>
                <w:color w:val="auto"/>
                <w:sz w:val="21"/>
                <w:highlight w:val="none"/>
              </w:rPr>
            </w:pPr>
          </w:p>
        </w:tc>
        <w:tc>
          <w:tcPr>
            <w:tcW w:w="351" w:type="dxa"/>
            <w:vAlign w:val="top"/>
          </w:tcPr>
          <w:p w14:paraId="47324BAD">
            <w:pPr>
              <w:rPr>
                <w:rFonts w:ascii="Arial"/>
                <w:color w:val="auto"/>
                <w:sz w:val="21"/>
                <w:highlight w:val="none"/>
              </w:rPr>
            </w:pPr>
          </w:p>
        </w:tc>
        <w:tc>
          <w:tcPr>
            <w:tcW w:w="349" w:type="dxa"/>
            <w:vAlign w:val="top"/>
          </w:tcPr>
          <w:p w14:paraId="3228BEEA">
            <w:pPr>
              <w:rPr>
                <w:rFonts w:ascii="Arial"/>
                <w:color w:val="auto"/>
                <w:sz w:val="21"/>
                <w:highlight w:val="none"/>
              </w:rPr>
            </w:pPr>
          </w:p>
        </w:tc>
        <w:tc>
          <w:tcPr>
            <w:tcW w:w="349" w:type="dxa"/>
            <w:vAlign w:val="top"/>
          </w:tcPr>
          <w:p w14:paraId="64F96585">
            <w:pPr>
              <w:rPr>
                <w:rFonts w:ascii="Arial"/>
                <w:color w:val="auto"/>
                <w:sz w:val="21"/>
                <w:highlight w:val="none"/>
              </w:rPr>
            </w:pPr>
          </w:p>
        </w:tc>
        <w:tc>
          <w:tcPr>
            <w:tcW w:w="426" w:type="dxa"/>
            <w:vAlign w:val="top"/>
          </w:tcPr>
          <w:p w14:paraId="11DB598A">
            <w:pPr>
              <w:rPr>
                <w:rFonts w:ascii="Arial"/>
                <w:color w:val="auto"/>
                <w:sz w:val="21"/>
                <w:highlight w:val="none"/>
              </w:rPr>
            </w:pPr>
          </w:p>
        </w:tc>
        <w:tc>
          <w:tcPr>
            <w:tcW w:w="426" w:type="dxa"/>
            <w:vAlign w:val="top"/>
          </w:tcPr>
          <w:p w14:paraId="1F38F07A">
            <w:pPr>
              <w:rPr>
                <w:rFonts w:ascii="Arial"/>
                <w:color w:val="auto"/>
                <w:sz w:val="21"/>
                <w:highlight w:val="none"/>
              </w:rPr>
            </w:pPr>
          </w:p>
        </w:tc>
        <w:tc>
          <w:tcPr>
            <w:tcW w:w="426" w:type="dxa"/>
            <w:vAlign w:val="top"/>
          </w:tcPr>
          <w:p w14:paraId="494F5B84">
            <w:pPr>
              <w:rPr>
                <w:rFonts w:ascii="Arial"/>
                <w:color w:val="auto"/>
                <w:sz w:val="21"/>
                <w:highlight w:val="none"/>
              </w:rPr>
            </w:pPr>
          </w:p>
        </w:tc>
        <w:tc>
          <w:tcPr>
            <w:tcW w:w="429" w:type="dxa"/>
            <w:vAlign w:val="top"/>
          </w:tcPr>
          <w:p w14:paraId="7EC6063A">
            <w:pPr>
              <w:rPr>
                <w:rFonts w:ascii="Arial"/>
                <w:color w:val="auto"/>
                <w:sz w:val="21"/>
                <w:highlight w:val="none"/>
              </w:rPr>
            </w:pPr>
          </w:p>
        </w:tc>
        <w:tc>
          <w:tcPr>
            <w:tcW w:w="526" w:type="dxa"/>
            <w:vAlign w:val="top"/>
          </w:tcPr>
          <w:p w14:paraId="0F529AF6">
            <w:pPr>
              <w:rPr>
                <w:rFonts w:ascii="Arial"/>
                <w:color w:val="auto"/>
                <w:sz w:val="21"/>
                <w:highlight w:val="none"/>
              </w:rPr>
            </w:pPr>
          </w:p>
        </w:tc>
        <w:tc>
          <w:tcPr>
            <w:tcW w:w="735" w:type="dxa"/>
            <w:vAlign w:val="top"/>
          </w:tcPr>
          <w:p w14:paraId="0079CFD8">
            <w:pPr>
              <w:rPr>
                <w:rFonts w:ascii="Arial"/>
                <w:color w:val="auto"/>
                <w:sz w:val="21"/>
                <w:highlight w:val="none"/>
              </w:rPr>
            </w:pPr>
          </w:p>
        </w:tc>
      </w:tr>
      <w:tr w14:paraId="79904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4773E4B2">
            <w:pPr>
              <w:pStyle w:val="20"/>
              <w:spacing w:before="167" w:line="270" w:lineRule="exact"/>
              <w:ind w:left="144"/>
              <w:rPr>
                <w:color w:val="auto"/>
                <w:highlight w:val="none"/>
              </w:rPr>
            </w:pPr>
            <w:r>
              <w:rPr>
                <w:color w:val="auto"/>
                <w:spacing w:val="-7"/>
                <w:position w:val="1"/>
                <w:highlight w:val="none"/>
              </w:rPr>
              <w:t>12</w:t>
            </w:r>
          </w:p>
        </w:tc>
        <w:tc>
          <w:tcPr>
            <w:tcW w:w="1628" w:type="dxa"/>
            <w:vAlign w:val="top"/>
          </w:tcPr>
          <w:p w14:paraId="5A4597EF">
            <w:pPr>
              <w:pStyle w:val="20"/>
              <w:spacing w:before="167" w:line="323" w:lineRule="exact"/>
              <w:ind w:left="619"/>
              <w:rPr>
                <w:color w:val="auto"/>
                <w:highlight w:val="none"/>
              </w:rPr>
            </w:pPr>
            <w:r>
              <w:rPr>
                <w:color w:val="auto"/>
                <w:spacing w:val="-2"/>
                <w:position w:val="2"/>
                <w:highlight w:val="none"/>
              </w:rPr>
              <w:t>……</w:t>
            </w:r>
          </w:p>
        </w:tc>
        <w:tc>
          <w:tcPr>
            <w:tcW w:w="805" w:type="dxa"/>
            <w:vAlign w:val="top"/>
          </w:tcPr>
          <w:p w14:paraId="3B7B82EC">
            <w:pPr>
              <w:rPr>
                <w:rFonts w:ascii="Arial"/>
                <w:color w:val="auto"/>
                <w:sz w:val="21"/>
                <w:highlight w:val="none"/>
              </w:rPr>
            </w:pPr>
          </w:p>
        </w:tc>
        <w:tc>
          <w:tcPr>
            <w:tcW w:w="635" w:type="dxa"/>
            <w:vAlign w:val="top"/>
          </w:tcPr>
          <w:p w14:paraId="5C4AB49A">
            <w:pPr>
              <w:rPr>
                <w:rFonts w:ascii="Arial"/>
                <w:color w:val="auto"/>
                <w:sz w:val="21"/>
                <w:highlight w:val="none"/>
              </w:rPr>
            </w:pPr>
          </w:p>
        </w:tc>
        <w:tc>
          <w:tcPr>
            <w:tcW w:w="348" w:type="dxa"/>
            <w:vAlign w:val="top"/>
          </w:tcPr>
          <w:p w14:paraId="286DD334">
            <w:pPr>
              <w:rPr>
                <w:rFonts w:ascii="Arial"/>
                <w:color w:val="auto"/>
                <w:sz w:val="21"/>
                <w:highlight w:val="none"/>
              </w:rPr>
            </w:pPr>
          </w:p>
        </w:tc>
        <w:tc>
          <w:tcPr>
            <w:tcW w:w="348" w:type="dxa"/>
            <w:vAlign w:val="top"/>
          </w:tcPr>
          <w:p w14:paraId="48BE6713">
            <w:pPr>
              <w:rPr>
                <w:rFonts w:ascii="Arial"/>
                <w:color w:val="auto"/>
                <w:sz w:val="21"/>
                <w:highlight w:val="none"/>
              </w:rPr>
            </w:pPr>
          </w:p>
        </w:tc>
        <w:tc>
          <w:tcPr>
            <w:tcW w:w="350" w:type="dxa"/>
            <w:vAlign w:val="top"/>
          </w:tcPr>
          <w:p w14:paraId="1DAB04BB">
            <w:pPr>
              <w:rPr>
                <w:rFonts w:ascii="Arial"/>
                <w:color w:val="auto"/>
                <w:sz w:val="21"/>
                <w:highlight w:val="none"/>
              </w:rPr>
            </w:pPr>
          </w:p>
        </w:tc>
        <w:tc>
          <w:tcPr>
            <w:tcW w:w="348" w:type="dxa"/>
            <w:vAlign w:val="top"/>
          </w:tcPr>
          <w:p w14:paraId="41C19D66">
            <w:pPr>
              <w:rPr>
                <w:rFonts w:ascii="Arial"/>
                <w:color w:val="auto"/>
                <w:sz w:val="21"/>
                <w:highlight w:val="none"/>
              </w:rPr>
            </w:pPr>
          </w:p>
        </w:tc>
        <w:tc>
          <w:tcPr>
            <w:tcW w:w="349" w:type="dxa"/>
            <w:vAlign w:val="top"/>
          </w:tcPr>
          <w:p w14:paraId="40C273B7">
            <w:pPr>
              <w:rPr>
                <w:rFonts w:ascii="Arial"/>
                <w:color w:val="auto"/>
                <w:sz w:val="21"/>
                <w:highlight w:val="none"/>
              </w:rPr>
            </w:pPr>
          </w:p>
        </w:tc>
        <w:tc>
          <w:tcPr>
            <w:tcW w:w="351" w:type="dxa"/>
            <w:vAlign w:val="top"/>
          </w:tcPr>
          <w:p w14:paraId="4058FBF0">
            <w:pPr>
              <w:rPr>
                <w:rFonts w:ascii="Arial"/>
                <w:color w:val="auto"/>
                <w:sz w:val="21"/>
                <w:highlight w:val="none"/>
              </w:rPr>
            </w:pPr>
          </w:p>
        </w:tc>
        <w:tc>
          <w:tcPr>
            <w:tcW w:w="349" w:type="dxa"/>
            <w:vAlign w:val="top"/>
          </w:tcPr>
          <w:p w14:paraId="7AD72FBC">
            <w:pPr>
              <w:rPr>
                <w:rFonts w:ascii="Arial"/>
                <w:color w:val="auto"/>
                <w:sz w:val="21"/>
                <w:highlight w:val="none"/>
              </w:rPr>
            </w:pPr>
          </w:p>
        </w:tc>
        <w:tc>
          <w:tcPr>
            <w:tcW w:w="349" w:type="dxa"/>
            <w:vAlign w:val="top"/>
          </w:tcPr>
          <w:p w14:paraId="1AF28F46">
            <w:pPr>
              <w:rPr>
                <w:rFonts w:ascii="Arial"/>
                <w:color w:val="auto"/>
                <w:sz w:val="21"/>
                <w:highlight w:val="none"/>
              </w:rPr>
            </w:pPr>
          </w:p>
        </w:tc>
        <w:tc>
          <w:tcPr>
            <w:tcW w:w="426" w:type="dxa"/>
            <w:vAlign w:val="top"/>
          </w:tcPr>
          <w:p w14:paraId="4CB4C890">
            <w:pPr>
              <w:rPr>
                <w:rFonts w:ascii="Arial"/>
                <w:color w:val="auto"/>
                <w:sz w:val="21"/>
                <w:highlight w:val="none"/>
              </w:rPr>
            </w:pPr>
          </w:p>
        </w:tc>
        <w:tc>
          <w:tcPr>
            <w:tcW w:w="426" w:type="dxa"/>
            <w:vAlign w:val="top"/>
          </w:tcPr>
          <w:p w14:paraId="288D6C4C">
            <w:pPr>
              <w:rPr>
                <w:rFonts w:ascii="Arial"/>
                <w:color w:val="auto"/>
                <w:sz w:val="21"/>
                <w:highlight w:val="none"/>
              </w:rPr>
            </w:pPr>
          </w:p>
        </w:tc>
        <w:tc>
          <w:tcPr>
            <w:tcW w:w="426" w:type="dxa"/>
            <w:vAlign w:val="top"/>
          </w:tcPr>
          <w:p w14:paraId="79495580">
            <w:pPr>
              <w:rPr>
                <w:rFonts w:ascii="Arial"/>
                <w:color w:val="auto"/>
                <w:sz w:val="21"/>
                <w:highlight w:val="none"/>
              </w:rPr>
            </w:pPr>
          </w:p>
        </w:tc>
        <w:tc>
          <w:tcPr>
            <w:tcW w:w="429" w:type="dxa"/>
            <w:vAlign w:val="top"/>
          </w:tcPr>
          <w:p w14:paraId="4C01B632">
            <w:pPr>
              <w:rPr>
                <w:rFonts w:ascii="Arial"/>
                <w:color w:val="auto"/>
                <w:sz w:val="21"/>
                <w:highlight w:val="none"/>
              </w:rPr>
            </w:pPr>
          </w:p>
        </w:tc>
        <w:tc>
          <w:tcPr>
            <w:tcW w:w="526" w:type="dxa"/>
            <w:vAlign w:val="top"/>
          </w:tcPr>
          <w:p w14:paraId="0AE322A1">
            <w:pPr>
              <w:rPr>
                <w:rFonts w:ascii="Arial"/>
                <w:color w:val="auto"/>
                <w:sz w:val="21"/>
                <w:highlight w:val="none"/>
              </w:rPr>
            </w:pPr>
          </w:p>
        </w:tc>
        <w:tc>
          <w:tcPr>
            <w:tcW w:w="735" w:type="dxa"/>
            <w:vAlign w:val="top"/>
          </w:tcPr>
          <w:p w14:paraId="46CC3D9C">
            <w:pPr>
              <w:rPr>
                <w:rFonts w:ascii="Arial"/>
                <w:color w:val="auto"/>
                <w:sz w:val="21"/>
                <w:highlight w:val="none"/>
              </w:rPr>
            </w:pPr>
          </w:p>
        </w:tc>
      </w:tr>
      <w:tr w14:paraId="35381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735999DE">
            <w:pPr>
              <w:pStyle w:val="20"/>
              <w:spacing w:before="167" w:line="268" w:lineRule="exact"/>
              <w:ind w:left="144"/>
              <w:rPr>
                <w:color w:val="auto"/>
                <w:highlight w:val="none"/>
              </w:rPr>
            </w:pPr>
            <w:r>
              <w:rPr>
                <w:color w:val="auto"/>
                <w:spacing w:val="-7"/>
                <w:position w:val="1"/>
                <w:highlight w:val="none"/>
              </w:rPr>
              <w:t>13</w:t>
            </w:r>
          </w:p>
        </w:tc>
        <w:tc>
          <w:tcPr>
            <w:tcW w:w="1628" w:type="dxa"/>
            <w:vAlign w:val="top"/>
          </w:tcPr>
          <w:p w14:paraId="3497EB9C">
            <w:pPr>
              <w:pStyle w:val="20"/>
              <w:spacing w:before="167" w:line="322" w:lineRule="exact"/>
              <w:ind w:left="619"/>
              <w:rPr>
                <w:color w:val="auto"/>
                <w:highlight w:val="none"/>
              </w:rPr>
            </w:pPr>
            <w:r>
              <w:rPr>
                <w:color w:val="auto"/>
                <w:spacing w:val="-2"/>
                <w:position w:val="2"/>
                <w:highlight w:val="none"/>
              </w:rPr>
              <w:t>……</w:t>
            </w:r>
          </w:p>
        </w:tc>
        <w:tc>
          <w:tcPr>
            <w:tcW w:w="805" w:type="dxa"/>
            <w:vAlign w:val="top"/>
          </w:tcPr>
          <w:p w14:paraId="235C08FF">
            <w:pPr>
              <w:rPr>
                <w:rFonts w:ascii="Arial"/>
                <w:color w:val="auto"/>
                <w:sz w:val="21"/>
                <w:highlight w:val="none"/>
              </w:rPr>
            </w:pPr>
          </w:p>
        </w:tc>
        <w:tc>
          <w:tcPr>
            <w:tcW w:w="635" w:type="dxa"/>
            <w:vAlign w:val="top"/>
          </w:tcPr>
          <w:p w14:paraId="0D83CCD2">
            <w:pPr>
              <w:rPr>
                <w:rFonts w:ascii="Arial"/>
                <w:color w:val="auto"/>
                <w:sz w:val="21"/>
                <w:highlight w:val="none"/>
              </w:rPr>
            </w:pPr>
          </w:p>
        </w:tc>
        <w:tc>
          <w:tcPr>
            <w:tcW w:w="348" w:type="dxa"/>
            <w:vAlign w:val="top"/>
          </w:tcPr>
          <w:p w14:paraId="1EF5DB7B">
            <w:pPr>
              <w:rPr>
                <w:rFonts w:ascii="Arial"/>
                <w:color w:val="auto"/>
                <w:sz w:val="21"/>
                <w:highlight w:val="none"/>
              </w:rPr>
            </w:pPr>
          </w:p>
        </w:tc>
        <w:tc>
          <w:tcPr>
            <w:tcW w:w="348" w:type="dxa"/>
            <w:vAlign w:val="top"/>
          </w:tcPr>
          <w:p w14:paraId="19A271DA">
            <w:pPr>
              <w:rPr>
                <w:rFonts w:ascii="Arial"/>
                <w:color w:val="auto"/>
                <w:sz w:val="21"/>
                <w:highlight w:val="none"/>
              </w:rPr>
            </w:pPr>
          </w:p>
        </w:tc>
        <w:tc>
          <w:tcPr>
            <w:tcW w:w="350" w:type="dxa"/>
            <w:vAlign w:val="top"/>
          </w:tcPr>
          <w:p w14:paraId="743C970C">
            <w:pPr>
              <w:rPr>
                <w:rFonts w:ascii="Arial"/>
                <w:color w:val="auto"/>
                <w:sz w:val="21"/>
                <w:highlight w:val="none"/>
              </w:rPr>
            </w:pPr>
          </w:p>
        </w:tc>
        <w:tc>
          <w:tcPr>
            <w:tcW w:w="348" w:type="dxa"/>
            <w:vAlign w:val="top"/>
          </w:tcPr>
          <w:p w14:paraId="5573B3CB">
            <w:pPr>
              <w:rPr>
                <w:rFonts w:ascii="Arial"/>
                <w:color w:val="auto"/>
                <w:sz w:val="21"/>
                <w:highlight w:val="none"/>
              </w:rPr>
            </w:pPr>
          </w:p>
        </w:tc>
        <w:tc>
          <w:tcPr>
            <w:tcW w:w="349" w:type="dxa"/>
            <w:vAlign w:val="top"/>
          </w:tcPr>
          <w:p w14:paraId="2B7A9F95">
            <w:pPr>
              <w:rPr>
                <w:rFonts w:ascii="Arial"/>
                <w:color w:val="auto"/>
                <w:sz w:val="21"/>
                <w:highlight w:val="none"/>
              </w:rPr>
            </w:pPr>
          </w:p>
        </w:tc>
        <w:tc>
          <w:tcPr>
            <w:tcW w:w="351" w:type="dxa"/>
            <w:vAlign w:val="top"/>
          </w:tcPr>
          <w:p w14:paraId="51439EBB">
            <w:pPr>
              <w:rPr>
                <w:rFonts w:ascii="Arial"/>
                <w:color w:val="auto"/>
                <w:sz w:val="21"/>
                <w:highlight w:val="none"/>
              </w:rPr>
            </w:pPr>
          </w:p>
        </w:tc>
        <w:tc>
          <w:tcPr>
            <w:tcW w:w="349" w:type="dxa"/>
            <w:vAlign w:val="top"/>
          </w:tcPr>
          <w:p w14:paraId="2D849C2E">
            <w:pPr>
              <w:rPr>
                <w:rFonts w:ascii="Arial"/>
                <w:color w:val="auto"/>
                <w:sz w:val="21"/>
                <w:highlight w:val="none"/>
              </w:rPr>
            </w:pPr>
          </w:p>
        </w:tc>
        <w:tc>
          <w:tcPr>
            <w:tcW w:w="349" w:type="dxa"/>
            <w:vAlign w:val="top"/>
          </w:tcPr>
          <w:p w14:paraId="5762A764">
            <w:pPr>
              <w:rPr>
                <w:rFonts w:ascii="Arial"/>
                <w:color w:val="auto"/>
                <w:sz w:val="21"/>
                <w:highlight w:val="none"/>
              </w:rPr>
            </w:pPr>
          </w:p>
        </w:tc>
        <w:tc>
          <w:tcPr>
            <w:tcW w:w="426" w:type="dxa"/>
            <w:vAlign w:val="top"/>
          </w:tcPr>
          <w:p w14:paraId="2CD60ECB">
            <w:pPr>
              <w:rPr>
                <w:rFonts w:ascii="Arial"/>
                <w:color w:val="auto"/>
                <w:sz w:val="21"/>
                <w:highlight w:val="none"/>
              </w:rPr>
            </w:pPr>
          </w:p>
        </w:tc>
        <w:tc>
          <w:tcPr>
            <w:tcW w:w="426" w:type="dxa"/>
            <w:vAlign w:val="top"/>
          </w:tcPr>
          <w:p w14:paraId="6D3955EB">
            <w:pPr>
              <w:rPr>
                <w:rFonts w:ascii="Arial"/>
                <w:color w:val="auto"/>
                <w:sz w:val="21"/>
                <w:highlight w:val="none"/>
              </w:rPr>
            </w:pPr>
          </w:p>
        </w:tc>
        <w:tc>
          <w:tcPr>
            <w:tcW w:w="426" w:type="dxa"/>
            <w:vAlign w:val="top"/>
          </w:tcPr>
          <w:p w14:paraId="60C41EC9">
            <w:pPr>
              <w:rPr>
                <w:rFonts w:ascii="Arial"/>
                <w:color w:val="auto"/>
                <w:sz w:val="21"/>
                <w:highlight w:val="none"/>
              </w:rPr>
            </w:pPr>
          </w:p>
        </w:tc>
        <w:tc>
          <w:tcPr>
            <w:tcW w:w="429" w:type="dxa"/>
            <w:vAlign w:val="top"/>
          </w:tcPr>
          <w:p w14:paraId="57120E75">
            <w:pPr>
              <w:rPr>
                <w:rFonts w:ascii="Arial"/>
                <w:color w:val="auto"/>
                <w:sz w:val="21"/>
                <w:highlight w:val="none"/>
              </w:rPr>
            </w:pPr>
          </w:p>
        </w:tc>
        <w:tc>
          <w:tcPr>
            <w:tcW w:w="526" w:type="dxa"/>
            <w:vAlign w:val="top"/>
          </w:tcPr>
          <w:p w14:paraId="7BE29F64">
            <w:pPr>
              <w:rPr>
                <w:rFonts w:ascii="Arial"/>
                <w:color w:val="auto"/>
                <w:sz w:val="21"/>
                <w:highlight w:val="none"/>
              </w:rPr>
            </w:pPr>
          </w:p>
        </w:tc>
        <w:tc>
          <w:tcPr>
            <w:tcW w:w="735" w:type="dxa"/>
            <w:vAlign w:val="top"/>
          </w:tcPr>
          <w:p w14:paraId="6B01A44D">
            <w:pPr>
              <w:rPr>
                <w:rFonts w:ascii="Arial"/>
                <w:color w:val="auto"/>
                <w:sz w:val="21"/>
                <w:highlight w:val="none"/>
              </w:rPr>
            </w:pPr>
          </w:p>
        </w:tc>
      </w:tr>
      <w:tr w14:paraId="4148A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5F23334B">
            <w:pPr>
              <w:pStyle w:val="20"/>
              <w:spacing w:before="169" w:line="270" w:lineRule="exact"/>
              <w:ind w:left="144"/>
              <w:rPr>
                <w:color w:val="auto"/>
                <w:highlight w:val="none"/>
              </w:rPr>
            </w:pPr>
            <w:r>
              <w:rPr>
                <w:color w:val="auto"/>
                <w:spacing w:val="-7"/>
                <w:position w:val="1"/>
                <w:highlight w:val="none"/>
              </w:rPr>
              <w:t>14</w:t>
            </w:r>
          </w:p>
        </w:tc>
        <w:tc>
          <w:tcPr>
            <w:tcW w:w="1628" w:type="dxa"/>
            <w:vAlign w:val="top"/>
          </w:tcPr>
          <w:p w14:paraId="53309C62">
            <w:pPr>
              <w:pStyle w:val="20"/>
              <w:spacing w:before="169" w:line="322" w:lineRule="exact"/>
              <w:ind w:left="619"/>
              <w:rPr>
                <w:color w:val="auto"/>
                <w:highlight w:val="none"/>
              </w:rPr>
            </w:pPr>
            <w:r>
              <w:rPr>
                <w:color w:val="auto"/>
                <w:spacing w:val="-2"/>
                <w:position w:val="2"/>
                <w:highlight w:val="none"/>
              </w:rPr>
              <w:t>……</w:t>
            </w:r>
          </w:p>
        </w:tc>
        <w:tc>
          <w:tcPr>
            <w:tcW w:w="805" w:type="dxa"/>
            <w:vAlign w:val="top"/>
          </w:tcPr>
          <w:p w14:paraId="58B09425">
            <w:pPr>
              <w:rPr>
                <w:rFonts w:ascii="Arial"/>
                <w:color w:val="auto"/>
                <w:sz w:val="21"/>
                <w:highlight w:val="none"/>
              </w:rPr>
            </w:pPr>
          </w:p>
        </w:tc>
        <w:tc>
          <w:tcPr>
            <w:tcW w:w="635" w:type="dxa"/>
            <w:vAlign w:val="top"/>
          </w:tcPr>
          <w:p w14:paraId="751FF95E">
            <w:pPr>
              <w:rPr>
                <w:rFonts w:ascii="Arial"/>
                <w:color w:val="auto"/>
                <w:sz w:val="21"/>
                <w:highlight w:val="none"/>
              </w:rPr>
            </w:pPr>
          </w:p>
        </w:tc>
        <w:tc>
          <w:tcPr>
            <w:tcW w:w="348" w:type="dxa"/>
            <w:vAlign w:val="top"/>
          </w:tcPr>
          <w:p w14:paraId="31A920D7">
            <w:pPr>
              <w:rPr>
                <w:rFonts w:ascii="Arial"/>
                <w:color w:val="auto"/>
                <w:sz w:val="21"/>
                <w:highlight w:val="none"/>
              </w:rPr>
            </w:pPr>
          </w:p>
        </w:tc>
        <w:tc>
          <w:tcPr>
            <w:tcW w:w="348" w:type="dxa"/>
            <w:vAlign w:val="top"/>
          </w:tcPr>
          <w:p w14:paraId="0B8DD3DC">
            <w:pPr>
              <w:rPr>
                <w:rFonts w:ascii="Arial"/>
                <w:color w:val="auto"/>
                <w:sz w:val="21"/>
                <w:highlight w:val="none"/>
              </w:rPr>
            </w:pPr>
          </w:p>
        </w:tc>
        <w:tc>
          <w:tcPr>
            <w:tcW w:w="350" w:type="dxa"/>
            <w:vAlign w:val="top"/>
          </w:tcPr>
          <w:p w14:paraId="021649ED">
            <w:pPr>
              <w:rPr>
                <w:rFonts w:ascii="Arial"/>
                <w:color w:val="auto"/>
                <w:sz w:val="21"/>
                <w:highlight w:val="none"/>
              </w:rPr>
            </w:pPr>
          </w:p>
        </w:tc>
        <w:tc>
          <w:tcPr>
            <w:tcW w:w="348" w:type="dxa"/>
            <w:vAlign w:val="top"/>
          </w:tcPr>
          <w:p w14:paraId="77A060A4">
            <w:pPr>
              <w:rPr>
                <w:rFonts w:ascii="Arial"/>
                <w:color w:val="auto"/>
                <w:sz w:val="21"/>
                <w:highlight w:val="none"/>
              </w:rPr>
            </w:pPr>
          </w:p>
        </w:tc>
        <w:tc>
          <w:tcPr>
            <w:tcW w:w="349" w:type="dxa"/>
            <w:vAlign w:val="top"/>
          </w:tcPr>
          <w:p w14:paraId="56F132D5">
            <w:pPr>
              <w:rPr>
                <w:rFonts w:ascii="Arial"/>
                <w:color w:val="auto"/>
                <w:sz w:val="21"/>
                <w:highlight w:val="none"/>
              </w:rPr>
            </w:pPr>
          </w:p>
        </w:tc>
        <w:tc>
          <w:tcPr>
            <w:tcW w:w="351" w:type="dxa"/>
            <w:vAlign w:val="top"/>
          </w:tcPr>
          <w:p w14:paraId="4FF3ADF1">
            <w:pPr>
              <w:rPr>
                <w:rFonts w:ascii="Arial"/>
                <w:color w:val="auto"/>
                <w:sz w:val="21"/>
                <w:highlight w:val="none"/>
              </w:rPr>
            </w:pPr>
          </w:p>
        </w:tc>
        <w:tc>
          <w:tcPr>
            <w:tcW w:w="349" w:type="dxa"/>
            <w:vAlign w:val="top"/>
          </w:tcPr>
          <w:p w14:paraId="0E1167F6">
            <w:pPr>
              <w:rPr>
                <w:rFonts w:ascii="Arial"/>
                <w:color w:val="auto"/>
                <w:sz w:val="21"/>
                <w:highlight w:val="none"/>
              </w:rPr>
            </w:pPr>
          </w:p>
        </w:tc>
        <w:tc>
          <w:tcPr>
            <w:tcW w:w="349" w:type="dxa"/>
            <w:vAlign w:val="top"/>
          </w:tcPr>
          <w:p w14:paraId="5D2543ED">
            <w:pPr>
              <w:rPr>
                <w:rFonts w:ascii="Arial"/>
                <w:color w:val="auto"/>
                <w:sz w:val="21"/>
                <w:highlight w:val="none"/>
              </w:rPr>
            </w:pPr>
          </w:p>
        </w:tc>
        <w:tc>
          <w:tcPr>
            <w:tcW w:w="426" w:type="dxa"/>
            <w:vAlign w:val="top"/>
          </w:tcPr>
          <w:p w14:paraId="289049CA">
            <w:pPr>
              <w:rPr>
                <w:rFonts w:ascii="Arial"/>
                <w:color w:val="auto"/>
                <w:sz w:val="21"/>
                <w:highlight w:val="none"/>
              </w:rPr>
            </w:pPr>
          </w:p>
        </w:tc>
        <w:tc>
          <w:tcPr>
            <w:tcW w:w="426" w:type="dxa"/>
            <w:vAlign w:val="top"/>
          </w:tcPr>
          <w:p w14:paraId="69CB6A8F">
            <w:pPr>
              <w:rPr>
                <w:rFonts w:ascii="Arial"/>
                <w:color w:val="auto"/>
                <w:sz w:val="21"/>
                <w:highlight w:val="none"/>
              </w:rPr>
            </w:pPr>
          </w:p>
        </w:tc>
        <w:tc>
          <w:tcPr>
            <w:tcW w:w="426" w:type="dxa"/>
            <w:vAlign w:val="top"/>
          </w:tcPr>
          <w:p w14:paraId="4E19D3C0">
            <w:pPr>
              <w:rPr>
                <w:rFonts w:ascii="Arial"/>
                <w:color w:val="auto"/>
                <w:sz w:val="21"/>
                <w:highlight w:val="none"/>
              </w:rPr>
            </w:pPr>
          </w:p>
        </w:tc>
        <w:tc>
          <w:tcPr>
            <w:tcW w:w="429" w:type="dxa"/>
            <w:vAlign w:val="top"/>
          </w:tcPr>
          <w:p w14:paraId="47F285EB">
            <w:pPr>
              <w:rPr>
                <w:rFonts w:ascii="Arial"/>
                <w:color w:val="auto"/>
                <w:sz w:val="21"/>
                <w:highlight w:val="none"/>
              </w:rPr>
            </w:pPr>
          </w:p>
        </w:tc>
        <w:tc>
          <w:tcPr>
            <w:tcW w:w="526" w:type="dxa"/>
            <w:vAlign w:val="top"/>
          </w:tcPr>
          <w:p w14:paraId="0285A69E">
            <w:pPr>
              <w:rPr>
                <w:rFonts w:ascii="Arial"/>
                <w:color w:val="auto"/>
                <w:sz w:val="21"/>
                <w:highlight w:val="none"/>
              </w:rPr>
            </w:pPr>
          </w:p>
        </w:tc>
        <w:tc>
          <w:tcPr>
            <w:tcW w:w="735" w:type="dxa"/>
            <w:vAlign w:val="top"/>
          </w:tcPr>
          <w:p w14:paraId="77B5210B">
            <w:pPr>
              <w:rPr>
                <w:rFonts w:ascii="Arial"/>
                <w:color w:val="auto"/>
                <w:sz w:val="21"/>
                <w:highlight w:val="none"/>
              </w:rPr>
            </w:pPr>
          </w:p>
        </w:tc>
      </w:tr>
      <w:tr w14:paraId="39185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07EAF467">
            <w:pPr>
              <w:pStyle w:val="20"/>
              <w:spacing w:before="169" w:line="268" w:lineRule="exact"/>
              <w:ind w:left="144"/>
              <w:rPr>
                <w:color w:val="auto"/>
                <w:highlight w:val="none"/>
              </w:rPr>
            </w:pPr>
            <w:r>
              <w:rPr>
                <w:color w:val="auto"/>
                <w:spacing w:val="-7"/>
                <w:position w:val="1"/>
                <w:highlight w:val="none"/>
              </w:rPr>
              <w:t>15</w:t>
            </w:r>
          </w:p>
        </w:tc>
        <w:tc>
          <w:tcPr>
            <w:tcW w:w="1628" w:type="dxa"/>
            <w:vAlign w:val="top"/>
          </w:tcPr>
          <w:p w14:paraId="79DAE4A0">
            <w:pPr>
              <w:pStyle w:val="20"/>
              <w:spacing w:before="169" w:line="322" w:lineRule="exact"/>
              <w:ind w:left="619"/>
              <w:rPr>
                <w:color w:val="auto"/>
                <w:highlight w:val="none"/>
              </w:rPr>
            </w:pPr>
            <w:r>
              <w:rPr>
                <w:color w:val="auto"/>
                <w:spacing w:val="-2"/>
                <w:position w:val="2"/>
                <w:highlight w:val="none"/>
              </w:rPr>
              <w:t>……</w:t>
            </w:r>
          </w:p>
        </w:tc>
        <w:tc>
          <w:tcPr>
            <w:tcW w:w="805" w:type="dxa"/>
            <w:vAlign w:val="top"/>
          </w:tcPr>
          <w:p w14:paraId="57AD7FD0">
            <w:pPr>
              <w:rPr>
                <w:rFonts w:ascii="Arial"/>
                <w:color w:val="auto"/>
                <w:sz w:val="21"/>
                <w:highlight w:val="none"/>
              </w:rPr>
            </w:pPr>
          </w:p>
        </w:tc>
        <w:tc>
          <w:tcPr>
            <w:tcW w:w="635" w:type="dxa"/>
            <w:vAlign w:val="top"/>
          </w:tcPr>
          <w:p w14:paraId="2C6F0605">
            <w:pPr>
              <w:rPr>
                <w:rFonts w:ascii="Arial"/>
                <w:color w:val="auto"/>
                <w:sz w:val="21"/>
                <w:highlight w:val="none"/>
              </w:rPr>
            </w:pPr>
          </w:p>
        </w:tc>
        <w:tc>
          <w:tcPr>
            <w:tcW w:w="348" w:type="dxa"/>
            <w:vAlign w:val="top"/>
          </w:tcPr>
          <w:p w14:paraId="63471CB7">
            <w:pPr>
              <w:rPr>
                <w:rFonts w:ascii="Arial"/>
                <w:color w:val="auto"/>
                <w:sz w:val="21"/>
                <w:highlight w:val="none"/>
              </w:rPr>
            </w:pPr>
          </w:p>
        </w:tc>
        <w:tc>
          <w:tcPr>
            <w:tcW w:w="348" w:type="dxa"/>
            <w:vAlign w:val="top"/>
          </w:tcPr>
          <w:p w14:paraId="50210D2C">
            <w:pPr>
              <w:rPr>
                <w:rFonts w:ascii="Arial"/>
                <w:color w:val="auto"/>
                <w:sz w:val="21"/>
                <w:highlight w:val="none"/>
              </w:rPr>
            </w:pPr>
          </w:p>
        </w:tc>
        <w:tc>
          <w:tcPr>
            <w:tcW w:w="350" w:type="dxa"/>
            <w:vAlign w:val="top"/>
          </w:tcPr>
          <w:p w14:paraId="1D34C856">
            <w:pPr>
              <w:rPr>
                <w:rFonts w:ascii="Arial"/>
                <w:color w:val="auto"/>
                <w:sz w:val="21"/>
                <w:highlight w:val="none"/>
              </w:rPr>
            </w:pPr>
          </w:p>
        </w:tc>
        <w:tc>
          <w:tcPr>
            <w:tcW w:w="348" w:type="dxa"/>
            <w:vAlign w:val="top"/>
          </w:tcPr>
          <w:p w14:paraId="5A343AB9">
            <w:pPr>
              <w:rPr>
                <w:rFonts w:ascii="Arial"/>
                <w:color w:val="auto"/>
                <w:sz w:val="21"/>
                <w:highlight w:val="none"/>
              </w:rPr>
            </w:pPr>
          </w:p>
        </w:tc>
        <w:tc>
          <w:tcPr>
            <w:tcW w:w="349" w:type="dxa"/>
            <w:vAlign w:val="top"/>
          </w:tcPr>
          <w:p w14:paraId="1D331CAE">
            <w:pPr>
              <w:rPr>
                <w:rFonts w:ascii="Arial"/>
                <w:color w:val="auto"/>
                <w:sz w:val="21"/>
                <w:highlight w:val="none"/>
              </w:rPr>
            </w:pPr>
          </w:p>
        </w:tc>
        <w:tc>
          <w:tcPr>
            <w:tcW w:w="351" w:type="dxa"/>
            <w:vAlign w:val="top"/>
          </w:tcPr>
          <w:p w14:paraId="1F2B1D12">
            <w:pPr>
              <w:rPr>
                <w:rFonts w:ascii="Arial"/>
                <w:color w:val="auto"/>
                <w:sz w:val="21"/>
                <w:highlight w:val="none"/>
              </w:rPr>
            </w:pPr>
          </w:p>
        </w:tc>
        <w:tc>
          <w:tcPr>
            <w:tcW w:w="349" w:type="dxa"/>
            <w:vAlign w:val="top"/>
          </w:tcPr>
          <w:p w14:paraId="09B719DB">
            <w:pPr>
              <w:rPr>
                <w:rFonts w:ascii="Arial"/>
                <w:color w:val="auto"/>
                <w:sz w:val="21"/>
                <w:highlight w:val="none"/>
              </w:rPr>
            </w:pPr>
          </w:p>
        </w:tc>
        <w:tc>
          <w:tcPr>
            <w:tcW w:w="349" w:type="dxa"/>
            <w:vAlign w:val="top"/>
          </w:tcPr>
          <w:p w14:paraId="29EE303A">
            <w:pPr>
              <w:rPr>
                <w:rFonts w:ascii="Arial"/>
                <w:color w:val="auto"/>
                <w:sz w:val="21"/>
                <w:highlight w:val="none"/>
              </w:rPr>
            </w:pPr>
          </w:p>
        </w:tc>
        <w:tc>
          <w:tcPr>
            <w:tcW w:w="426" w:type="dxa"/>
            <w:vAlign w:val="top"/>
          </w:tcPr>
          <w:p w14:paraId="0953282C">
            <w:pPr>
              <w:rPr>
                <w:rFonts w:ascii="Arial"/>
                <w:color w:val="auto"/>
                <w:sz w:val="21"/>
                <w:highlight w:val="none"/>
              </w:rPr>
            </w:pPr>
          </w:p>
        </w:tc>
        <w:tc>
          <w:tcPr>
            <w:tcW w:w="426" w:type="dxa"/>
            <w:vAlign w:val="top"/>
          </w:tcPr>
          <w:p w14:paraId="60B45311">
            <w:pPr>
              <w:rPr>
                <w:rFonts w:ascii="Arial"/>
                <w:color w:val="auto"/>
                <w:sz w:val="21"/>
                <w:highlight w:val="none"/>
              </w:rPr>
            </w:pPr>
          </w:p>
        </w:tc>
        <w:tc>
          <w:tcPr>
            <w:tcW w:w="426" w:type="dxa"/>
            <w:vAlign w:val="top"/>
          </w:tcPr>
          <w:p w14:paraId="179DCC30">
            <w:pPr>
              <w:rPr>
                <w:rFonts w:ascii="Arial"/>
                <w:color w:val="auto"/>
                <w:sz w:val="21"/>
                <w:highlight w:val="none"/>
              </w:rPr>
            </w:pPr>
          </w:p>
        </w:tc>
        <w:tc>
          <w:tcPr>
            <w:tcW w:w="429" w:type="dxa"/>
            <w:vAlign w:val="top"/>
          </w:tcPr>
          <w:p w14:paraId="7F062CDF">
            <w:pPr>
              <w:rPr>
                <w:rFonts w:ascii="Arial"/>
                <w:color w:val="auto"/>
                <w:sz w:val="21"/>
                <w:highlight w:val="none"/>
              </w:rPr>
            </w:pPr>
          </w:p>
        </w:tc>
        <w:tc>
          <w:tcPr>
            <w:tcW w:w="526" w:type="dxa"/>
            <w:vAlign w:val="top"/>
          </w:tcPr>
          <w:p w14:paraId="70D8EE60">
            <w:pPr>
              <w:rPr>
                <w:rFonts w:ascii="Arial"/>
                <w:color w:val="auto"/>
                <w:sz w:val="21"/>
                <w:highlight w:val="none"/>
              </w:rPr>
            </w:pPr>
          </w:p>
        </w:tc>
        <w:tc>
          <w:tcPr>
            <w:tcW w:w="735" w:type="dxa"/>
            <w:vAlign w:val="top"/>
          </w:tcPr>
          <w:p w14:paraId="2CD22EC9">
            <w:pPr>
              <w:rPr>
                <w:rFonts w:ascii="Arial"/>
                <w:color w:val="auto"/>
                <w:sz w:val="21"/>
                <w:highlight w:val="none"/>
              </w:rPr>
            </w:pPr>
          </w:p>
        </w:tc>
      </w:tr>
      <w:tr w14:paraId="34446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58" w:type="dxa"/>
            <w:vAlign w:val="top"/>
          </w:tcPr>
          <w:p w14:paraId="30718CEF">
            <w:pPr>
              <w:pStyle w:val="20"/>
              <w:spacing w:before="168" w:line="323" w:lineRule="exact"/>
              <w:ind w:left="141"/>
              <w:rPr>
                <w:color w:val="auto"/>
                <w:highlight w:val="none"/>
              </w:rPr>
            </w:pPr>
            <w:r>
              <w:rPr>
                <w:color w:val="auto"/>
                <w:position w:val="2"/>
                <w:highlight w:val="none"/>
              </w:rPr>
              <w:t>…</w:t>
            </w:r>
          </w:p>
        </w:tc>
        <w:tc>
          <w:tcPr>
            <w:tcW w:w="1628" w:type="dxa"/>
            <w:vAlign w:val="top"/>
          </w:tcPr>
          <w:p w14:paraId="79E0FAE6">
            <w:pPr>
              <w:pStyle w:val="20"/>
              <w:spacing w:before="168" w:line="323" w:lineRule="exact"/>
              <w:ind w:left="619"/>
              <w:rPr>
                <w:color w:val="auto"/>
                <w:highlight w:val="none"/>
              </w:rPr>
            </w:pPr>
            <w:r>
              <w:rPr>
                <w:color w:val="auto"/>
                <w:spacing w:val="-2"/>
                <w:position w:val="2"/>
                <w:highlight w:val="none"/>
              </w:rPr>
              <w:t>……</w:t>
            </w:r>
          </w:p>
        </w:tc>
        <w:tc>
          <w:tcPr>
            <w:tcW w:w="805" w:type="dxa"/>
            <w:vAlign w:val="top"/>
          </w:tcPr>
          <w:p w14:paraId="199F30B1">
            <w:pPr>
              <w:rPr>
                <w:rFonts w:ascii="Arial"/>
                <w:color w:val="auto"/>
                <w:sz w:val="21"/>
                <w:highlight w:val="none"/>
              </w:rPr>
            </w:pPr>
          </w:p>
        </w:tc>
        <w:tc>
          <w:tcPr>
            <w:tcW w:w="635" w:type="dxa"/>
            <w:vAlign w:val="top"/>
          </w:tcPr>
          <w:p w14:paraId="482A500D">
            <w:pPr>
              <w:rPr>
                <w:rFonts w:ascii="Arial"/>
                <w:color w:val="auto"/>
                <w:sz w:val="21"/>
                <w:highlight w:val="none"/>
              </w:rPr>
            </w:pPr>
          </w:p>
        </w:tc>
        <w:tc>
          <w:tcPr>
            <w:tcW w:w="348" w:type="dxa"/>
            <w:vAlign w:val="top"/>
          </w:tcPr>
          <w:p w14:paraId="0FEA48BF">
            <w:pPr>
              <w:rPr>
                <w:rFonts w:ascii="Arial"/>
                <w:color w:val="auto"/>
                <w:sz w:val="21"/>
                <w:highlight w:val="none"/>
              </w:rPr>
            </w:pPr>
          </w:p>
        </w:tc>
        <w:tc>
          <w:tcPr>
            <w:tcW w:w="348" w:type="dxa"/>
            <w:vAlign w:val="top"/>
          </w:tcPr>
          <w:p w14:paraId="6D180A31">
            <w:pPr>
              <w:rPr>
                <w:rFonts w:ascii="Arial"/>
                <w:color w:val="auto"/>
                <w:sz w:val="21"/>
                <w:highlight w:val="none"/>
              </w:rPr>
            </w:pPr>
          </w:p>
        </w:tc>
        <w:tc>
          <w:tcPr>
            <w:tcW w:w="350" w:type="dxa"/>
            <w:vAlign w:val="top"/>
          </w:tcPr>
          <w:p w14:paraId="5B2D2B22">
            <w:pPr>
              <w:rPr>
                <w:rFonts w:ascii="Arial"/>
                <w:color w:val="auto"/>
                <w:sz w:val="21"/>
                <w:highlight w:val="none"/>
              </w:rPr>
            </w:pPr>
          </w:p>
        </w:tc>
        <w:tc>
          <w:tcPr>
            <w:tcW w:w="348" w:type="dxa"/>
            <w:vAlign w:val="top"/>
          </w:tcPr>
          <w:p w14:paraId="5BCAD23C">
            <w:pPr>
              <w:rPr>
                <w:rFonts w:ascii="Arial"/>
                <w:color w:val="auto"/>
                <w:sz w:val="21"/>
                <w:highlight w:val="none"/>
              </w:rPr>
            </w:pPr>
          </w:p>
        </w:tc>
        <w:tc>
          <w:tcPr>
            <w:tcW w:w="349" w:type="dxa"/>
            <w:vAlign w:val="top"/>
          </w:tcPr>
          <w:p w14:paraId="1D1412FC">
            <w:pPr>
              <w:rPr>
                <w:rFonts w:ascii="Arial"/>
                <w:color w:val="auto"/>
                <w:sz w:val="21"/>
                <w:highlight w:val="none"/>
              </w:rPr>
            </w:pPr>
          </w:p>
        </w:tc>
        <w:tc>
          <w:tcPr>
            <w:tcW w:w="351" w:type="dxa"/>
            <w:vAlign w:val="top"/>
          </w:tcPr>
          <w:p w14:paraId="27991B8C">
            <w:pPr>
              <w:rPr>
                <w:rFonts w:ascii="Arial"/>
                <w:color w:val="auto"/>
                <w:sz w:val="21"/>
                <w:highlight w:val="none"/>
              </w:rPr>
            </w:pPr>
          </w:p>
        </w:tc>
        <w:tc>
          <w:tcPr>
            <w:tcW w:w="349" w:type="dxa"/>
            <w:vAlign w:val="top"/>
          </w:tcPr>
          <w:p w14:paraId="2C7CDB41">
            <w:pPr>
              <w:rPr>
                <w:rFonts w:ascii="Arial"/>
                <w:color w:val="auto"/>
                <w:sz w:val="21"/>
                <w:highlight w:val="none"/>
              </w:rPr>
            </w:pPr>
          </w:p>
        </w:tc>
        <w:tc>
          <w:tcPr>
            <w:tcW w:w="349" w:type="dxa"/>
            <w:vAlign w:val="top"/>
          </w:tcPr>
          <w:p w14:paraId="30DB05DC">
            <w:pPr>
              <w:rPr>
                <w:rFonts w:ascii="Arial"/>
                <w:color w:val="auto"/>
                <w:sz w:val="21"/>
                <w:highlight w:val="none"/>
              </w:rPr>
            </w:pPr>
          </w:p>
        </w:tc>
        <w:tc>
          <w:tcPr>
            <w:tcW w:w="426" w:type="dxa"/>
            <w:vAlign w:val="top"/>
          </w:tcPr>
          <w:p w14:paraId="56A51D63">
            <w:pPr>
              <w:rPr>
                <w:rFonts w:ascii="Arial"/>
                <w:color w:val="auto"/>
                <w:sz w:val="21"/>
                <w:highlight w:val="none"/>
              </w:rPr>
            </w:pPr>
          </w:p>
        </w:tc>
        <w:tc>
          <w:tcPr>
            <w:tcW w:w="426" w:type="dxa"/>
            <w:vAlign w:val="top"/>
          </w:tcPr>
          <w:p w14:paraId="17E64A8A">
            <w:pPr>
              <w:rPr>
                <w:rFonts w:ascii="Arial"/>
                <w:color w:val="auto"/>
                <w:sz w:val="21"/>
                <w:highlight w:val="none"/>
              </w:rPr>
            </w:pPr>
          </w:p>
        </w:tc>
        <w:tc>
          <w:tcPr>
            <w:tcW w:w="426" w:type="dxa"/>
            <w:vAlign w:val="top"/>
          </w:tcPr>
          <w:p w14:paraId="2B6C7B37">
            <w:pPr>
              <w:rPr>
                <w:rFonts w:ascii="Arial"/>
                <w:color w:val="auto"/>
                <w:sz w:val="21"/>
                <w:highlight w:val="none"/>
              </w:rPr>
            </w:pPr>
          </w:p>
        </w:tc>
        <w:tc>
          <w:tcPr>
            <w:tcW w:w="429" w:type="dxa"/>
            <w:vAlign w:val="top"/>
          </w:tcPr>
          <w:p w14:paraId="3C7BAA7F">
            <w:pPr>
              <w:rPr>
                <w:rFonts w:ascii="Arial"/>
                <w:color w:val="auto"/>
                <w:sz w:val="21"/>
                <w:highlight w:val="none"/>
              </w:rPr>
            </w:pPr>
          </w:p>
        </w:tc>
        <w:tc>
          <w:tcPr>
            <w:tcW w:w="526" w:type="dxa"/>
            <w:vAlign w:val="top"/>
          </w:tcPr>
          <w:p w14:paraId="40BD0A47">
            <w:pPr>
              <w:rPr>
                <w:rFonts w:ascii="Arial"/>
                <w:color w:val="auto"/>
                <w:sz w:val="21"/>
                <w:highlight w:val="none"/>
              </w:rPr>
            </w:pPr>
          </w:p>
        </w:tc>
        <w:tc>
          <w:tcPr>
            <w:tcW w:w="735" w:type="dxa"/>
            <w:vAlign w:val="top"/>
          </w:tcPr>
          <w:p w14:paraId="273F776A">
            <w:pPr>
              <w:rPr>
                <w:rFonts w:ascii="Arial"/>
                <w:color w:val="auto"/>
                <w:sz w:val="21"/>
                <w:highlight w:val="none"/>
              </w:rPr>
            </w:pPr>
          </w:p>
        </w:tc>
      </w:tr>
      <w:tr w14:paraId="600C8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2891" w:type="dxa"/>
            <w:gridSpan w:val="3"/>
            <w:vAlign w:val="top"/>
          </w:tcPr>
          <w:p w14:paraId="30964B0F">
            <w:pPr>
              <w:pStyle w:val="20"/>
              <w:spacing w:before="95" w:line="228" w:lineRule="auto"/>
              <w:ind w:left="716"/>
              <w:rPr>
                <w:color w:val="auto"/>
                <w:highlight w:val="none"/>
              </w:rPr>
            </w:pPr>
            <w:r>
              <w:rPr>
                <w:color w:val="auto"/>
                <w:spacing w:val="8"/>
                <w:highlight w:val="none"/>
              </w:rPr>
              <w:t>每月应在工地的</w:t>
            </w:r>
          </w:p>
          <w:p w14:paraId="7C59F647">
            <w:pPr>
              <w:pStyle w:val="20"/>
              <w:spacing w:before="24" w:line="228" w:lineRule="auto"/>
              <w:ind w:left="403"/>
              <w:rPr>
                <w:color w:val="auto"/>
                <w:highlight w:val="none"/>
              </w:rPr>
            </w:pPr>
            <w:r>
              <w:rPr>
                <w:color w:val="auto"/>
                <w:spacing w:val="7"/>
                <w:highlight w:val="none"/>
              </w:rPr>
              <w:t>监理人员合计（人数）</w:t>
            </w:r>
          </w:p>
        </w:tc>
        <w:tc>
          <w:tcPr>
            <w:tcW w:w="635" w:type="dxa"/>
            <w:vAlign w:val="top"/>
          </w:tcPr>
          <w:p w14:paraId="5C3381D3">
            <w:pPr>
              <w:pStyle w:val="20"/>
              <w:spacing w:before="36" w:line="322" w:lineRule="exact"/>
              <w:ind w:left="126"/>
              <w:rPr>
                <w:color w:val="auto"/>
                <w:highlight w:val="none"/>
              </w:rPr>
            </w:pPr>
            <w:r>
              <w:rPr>
                <w:color w:val="auto"/>
                <w:spacing w:val="-2"/>
                <w:position w:val="2"/>
                <w:highlight w:val="none"/>
              </w:rPr>
              <w:t>……</w:t>
            </w:r>
          </w:p>
        </w:tc>
        <w:tc>
          <w:tcPr>
            <w:tcW w:w="348" w:type="dxa"/>
            <w:vAlign w:val="top"/>
          </w:tcPr>
          <w:p w14:paraId="1466D072">
            <w:pPr>
              <w:rPr>
                <w:rFonts w:ascii="Arial"/>
                <w:color w:val="auto"/>
                <w:sz w:val="21"/>
                <w:highlight w:val="none"/>
              </w:rPr>
            </w:pPr>
          </w:p>
        </w:tc>
        <w:tc>
          <w:tcPr>
            <w:tcW w:w="348" w:type="dxa"/>
            <w:vAlign w:val="top"/>
          </w:tcPr>
          <w:p w14:paraId="67AA2D70">
            <w:pPr>
              <w:rPr>
                <w:rFonts w:ascii="Arial"/>
                <w:color w:val="auto"/>
                <w:sz w:val="21"/>
                <w:highlight w:val="none"/>
              </w:rPr>
            </w:pPr>
          </w:p>
        </w:tc>
        <w:tc>
          <w:tcPr>
            <w:tcW w:w="350" w:type="dxa"/>
            <w:vAlign w:val="top"/>
          </w:tcPr>
          <w:p w14:paraId="4C3791BC">
            <w:pPr>
              <w:rPr>
                <w:rFonts w:ascii="Arial"/>
                <w:color w:val="auto"/>
                <w:sz w:val="21"/>
                <w:highlight w:val="none"/>
              </w:rPr>
            </w:pPr>
          </w:p>
        </w:tc>
        <w:tc>
          <w:tcPr>
            <w:tcW w:w="348" w:type="dxa"/>
            <w:vAlign w:val="top"/>
          </w:tcPr>
          <w:p w14:paraId="1697B242">
            <w:pPr>
              <w:rPr>
                <w:rFonts w:ascii="Arial"/>
                <w:color w:val="auto"/>
                <w:sz w:val="21"/>
                <w:highlight w:val="none"/>
              </w:rPr>
            </w:pPr>
          </w:p>
        </w:tc>
        <w:tc>
          <w:tcPr>
            <w:tcW w:w="349" w:type="dxa"/>
            <w:vAlign w:val="top"/>
          </w:tcPr>
          <w:p w14:paraId="5B79D19C">
            <w:pPr>
              <w:rPr>
                <w:rFonts w:ascii="Arial"/>
                <w:color w:val="auto"/>
                <w:sz w:val="21"/>
                <w:highlight w:val="none"/>
              </w:rPr>
            </w:pPr>
          </w:p>
        </w:tc>
        <w:tc>
          <w:tcPr>
            <w:tcW w:w="351" w:type="dxa"/>
            <w:vAlign w:val="top"/>
          </w:tcPr>
          <w:p w14:paraId="3FDB4FBE">
            <w:pPr>
              <w:rPr>
                <w:rFonts w:ascii="Arial"/>
                <w:color w:val="auto"/>
                <w:sz w:val="21"/>
                <w:highlight w:val="none"/>
              </w:rPr>
            </w:pPr>
          </w:p>
        </w:tc>
        <w:tc>
          <w:tcPr>
            <w:tcW w:w="349" w:type="dxa"/>
            <w:vAlign w:val="top"/>
          </w:tcPr>
          <w:p w14:paraId="4BE90FEF">
            <w:pPr>
              <w:rPr>
                <w:rFonts w:ascii="Arial"/>
                <w:color w:val="auto"/>
                <w:sz w:val="21"/>
                <w:highlight w:val="none"/>
              </w:rPr>
            </w:pPr>
          </w:p>
        </w:tc>
        <w:tc>
          <w:tcPr>
            <w:tcW w:w="349" w:type="dxa"/>
            <w:vAlign w:val="top"/>
          </w:tcPr>
          <w:p w14:paraId="2343EA7E">
            <w:pPr>
              <w:rPr>
                <w:rFonts w:ascii="Arial"/>
                <w:color w:val="auto"/>
                <w:sz w:val="21"/>
                <w:highlight w:val="none"/>
              </w:rPr>
            </w:pPr>
          </w:p>
        </w:tc>
        <w:tc>
          <w:tcPr>
            <w:tcW w:w="426" w:type="dxa"/>
            <w:vAlign w:val="top"/>
          </w:tcPr>
          <w:p w14:paraId="66472C1F">
            <w:pPr>
              <w:rPr>
                <w:rFonts w:ascii="Arial"/>
                <w:color w:val="auto"/>
                <w:sz w:val="21"/>
                <w:highlight w:val="none"/>
              </w:rPr>
            </w:pPr>
          </w:p>
        </w:tc>
        <w:tc>
          <w:tcPr>
            <w:tcW w:w="426" w:type="dxa"/>
            <w:vAlign w:val="top"/>
          </w:tcPr>
          <w:p w14:paraId="41A0C26A">
            <w:pPr>
              <w:rPr>
                <w:rFonts w:ascii="Arial"/>
                <w:color w:val="auto"/>
                <w:sz w:val="21"/>
                <w:highlight w:val="none"/>
              </w:rPr>
            </w:pPr>
          </w:p>
        </w:tc>
        <w:tc>
          <w:tcPr>
            <w:tcW w:w="426" w:type="dxa"/>
            <w:vAlign w:val="top"/>
          </w:tcPr>
          <w:p w14:paraId="68CDB850">
            <w:pPr>
              <w:rPr>
                <w:rFonts w:ascii="Arial"/>
                <w:color w:val="auto"/>
                <w:sz w:val="21"/>
                <w:highlight w:val="none"/>
              </w:rPr>
            </w:pPr>
          </w:p>
        </w:tc>
        <w:tc>
          <w:tcPr>
            <w:tcW w:w="429" w:type="dxa"/>
            <w:vAlign w:val="top"/>
          </w:tcPr>
          <w:p w14:paraId="0CEB9F69">
            <w:pPr>
              <w:rPr>
                <w:rFonts w:ascii="Arial"/>
                <w:color w:val="auto"/>
                <w:sz w:val="21"/>
                <w:highlight w:val="none"/>
              </w:rPr>
            </w:pPr>
          </w:p>
        </w:tc>
        <w:tc>
          <w:tcPr>
            <w:tcW w:w="526" w:type="dxa"/>
            <w:vAlign w:val="top"/>
          </w:tcPr>
          <w:p w14:paraId="61B7910E">
            <w:pPr>
              <w:rPr>
                <w:rFonts w:ascii="Arial"/>
                <w:color w:val="auto"/>
                <w:sz w:val="21"/>
                <w:highlight w:val="none"/>
              </w:rPr>
            </w:pPr>
          </w:p>
        </w:tc>
        <w:tc>
          <w:tcPr>
            <w:tcW w:w="735" w:type="dxa"/>
            <w:vAlign w:val="top"/>
          </w:tcPr>
          <w:p w14:paraId="51BBB4CF">
            <w:pPr>
              <w:rPr>
                <w:rFonts w:ascii="Arial"/>
                <w:color w:val="auto"/>
                <w:sz w:val="21"/>
                <w:highlight w:val="none"/>
              </w:rPr>
            </w:pPr>
          </w:p>
        </w:tc>
      </w:tr>
    </w:tbl>
    <w:p w14:paraId="14EE343A">
      <w:pPr>
        <w:spacing w:before="304" w:line="378" w:lineRule="auto"/>
        <w:ind w:left="11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注</w:t>
      </w:r>
      <w:r>
        <w:rPr>
          <w:rFonts w:ascii="宋体" w:hAnsi="宋体" w:eastAsia="宋体" w:cs="宋体"/>
          <w:color w:val="auto"/>
          <w:spacing w:val="-59"/>
          <w:sz w:val="20"/>
          <w:szCs w:val="20"/>
          <w:highlight w:val="none"/>
        </w:rPr>
        <w:t xml:space="preserve"> </w:t>
      </w:r>
      <w:r>
        <w:rPr>
          <w:rFonts w:ascii="宋体" w:hAnsi="宋体" w:eastAsia="宋体" w:cs="宋体"/>
          <w:color w:val="auto"/>
          <w:spacing w:val="8"/>
          <w:sz w:val="20"/>
          <w:szCs w:val="20"/>
          <w:highlight w:val="none"/>
        </w:rPr>
        <w:t>:按照拟投入本工程现场监理人员的计划在岗</w:t>
      </w:r>
      <w:r>
        <w:rPr>
          <w:rFonts w:ascii="宋体" w:hAnsi="宋体" w:eastAsia="宋体" w:cs="宋体"/>
          <w:color w:val="auto"/>
          <w:spacing w:val="7"/>
          <w:sz w:val="20"/>
          <w:szCs w:val="20"/>
          <w:highlight w:val="none"/>
        </w:rPr>
        <w:t>安排据实填报。在岗时间为:进场时间为当月第一日；在岗表示为“-</w:t>
      </w:r>
      <w:r>
        <w:rPr>
          <w:rFonts w:ascii="宋体" w:hAnsi="宋体" w:eastAsia="宋体" w:cs="宋体"/>
          <w:color w:val="auto"/>
          <w:spacing w:val="-66"/>
          <w:sz w:val="20"/>
          <w:szCs w:val="20"/>
          <w:highlight w:val="none"/>
        </w:rPr>
        <w:t xml:space="preserve"> </w:t>
      </w:r>
      <w:r>
        <w:rPr>
          <w:rFonts w:ascii="宋体" w:hAnsi="宋体" w:eastAsia="宋体" w:cs="宋体"/>
          <w:color w:val="auto"/>
          <w:spacing w:val="7"/>
          <w:sz w:val="20"/>
          <w:szCs w:val="20"/>
          <w:highlight w:val="none"/>
        </w:rPr>
        <w:t>”。</w:t>
      </w:r>
    </w:p>
    <w:p w14:paraId="2FDFA6C3">
      <w:pPr>
        <w:spacing w:line="378" w:lineRule="auto"/>
        <w:rPr>
          <w:rFonts w:ascii="宋体" w:hAnsi="宋体" w:eastAsia="宋体" w:cs="宋体"/>
          <w:color w:val="auto"/>
          <w:sz w:val="20"/>
          <w:szCs w:val="20"/>
          <w:highlight w:val="none"/>
        </w:rPr>
        <w:sectPr>
          <w:footerReference r:id="rId62" w:type="default"/>
          <w:pgSz w:w="11905" w:h="16838"/>
          <w:pgMar w:top="1134" w:right="1134" w:bottom="1134" w:left="1134" w:header="0" w:footer="1066" w:gutter="0"/>
          <w:pgNumType w:fmt="decimal"/>
          <w:cols w:space="0" w:num="1"/>
          <w:rtlGutter w:val="0"/>
          <w:docGrid w:linePitch="0" w:charSpace="0"/>
        </w:sectPr>
      </w:pPr>
    </w:p>
    <w:p w14:paraId="212ED416">
      <w:pPr>
        <w:rPr>
          <w:rFonts w:ascii="Arial"/>
          <w:color w:val="auto"/>
          <w:sz w:val="21"/>
          <w:highlight w:val="none"/>
        </w:rPr>
      </w:pPr>
    </w:p>
    <w:p w14:paraId="3CA21B05">
      <w:pPr>
        <w:rPr>
          <w:rFonts w:ascii="Arial"/>
          <w:color w:val="auto"/>
          <w:sz w:val="21"/>
          <w:highlight w:val="none"/>
        </w:rPr>
      </w:pPr>
    </w:p>
    <w:p w14:paraId="2581AFD9">
      <w:pPr>
        <w:spacing w:line="241" w:lineRule="auto"/>
        <w:rPr>
          <w:rFonts w:ascii="Arial"/>
          <w:color w:val="auto"/>
          <w:sz w:val="21"/>
          <w:highlight w:val="none"/>
        </w:rPr>
      </w:pPr>
    </w:p>
    <w:p w14:paraId="25DBC53B">
      <w:pPr>
        <w:spacing w:line="241" w:lineRule="auto"/>
        <w:rPr>
          <w:rFonts w:ascii="Arial"/>
          <w:color w:val="auto"/>
          <w:sz w:val="21"/>
          <w:highlight w:val="none"/>
        </w:rPr>
      </w:pPr>
    </w:p>
    <w:p w14:paraId="62B7F206">
      <w:pPr>
        <w:pStyle w:val="4"/>
        <w:bidi w:val="0"/>
        <w:jc w:val="center"/>
        <w:rPr>
          <w:color w:val="auto"/>
          <w:highlight w:val="none"/>
        </w:rPr>
      </w:pPr>
      <w:r>
        <w:rPr>
          <w:color w:val="auto"/>
          <w:highlight w:val="none"/>
        </w:rPr>
        <w:t>附件2   监理设施进出场时间表</w:t>
      </w:r>
    </w:p>
    <w:p w14:paraId="317E494C">
      <w:pPr>
        <w:spacing w:before="147"/>
        <w:rPr>
          <w:color w:val="auto"/>
          <w:highlight w:val="none"/>
        </w:rPr>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2"/>
        <w:gridCol w:w="628"/>
        <w:gridCol w:w="586"/>
        <w:gridCol w:w="1396"/>
        <w:gridCol w:w="1381"/>
        <w:gridCol w:w="1394"/>
        <w:gridCol w:w="2061"/>
        <w:gridCol w:w="1042"/>
      </w:tblGrid>
      <w:tr w14:paraId="722E1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016" w:type="dxa"/>
            <w:gridSpan w:val="3"/>
            <w:vMerge w:val="restart"/>
            <w:tcBorders>
              <w:bottom w:val="nil"/>
            </w:tcBorders>
            <w:vAlign w:val="top"/>
          </w:tcPr>
          <w:p w14:paraId="27AF3D88">
            <w:pPr>
              <w:spacing w:line="303" w:lineRule="auto"/>
              <w:rPr>
                <w:rFonts w:ascii="Arial"/>
                <w:color w:val="auto"/>
                <w:sz w:val="21"/>
                <w:highlight w:val="none"/>
              </w:rPr>
            </w:pPr>
          </w:p>
          <w:p w14:paraId="3BE70B68">
            <w:pPr>
              <w:pStyle w:val="20"/>
              <w:spacing w:before="65" w:line="229" w:lineRule="auto"/>
              <w:ind w:left="813"/>
              <w:rPr>
                <w:color w:val="auto"/>
                <w:highlight w:val="none"/>
              </w:rPr>
            </w:pPr>
            <w:r>
              <w:rPr>
                <w:color w:val="auto"/>
                <w:spacing w:val="-1"/>
                <w:highlight w:val="none"/>
              </w:rPr>
              <w:t>时段</w:t>
            </w:r>
          </w:p>
        </w:tc>
        <w:tc>
          <w:tcPr>
            <w:tcW w:w="7274" w:type="dxa"/>
            <w:gridSpan w:val="5"/>
            <w:vAlign w:val="top"/>
          </w:tcPr>
          <w:p w14:paraId="61AC28C7">
            <w:pPr>
              <w:pStyle w:val="20"/>
              <w:spacing w:before="163" w:line="217" w:lineRule="auto"/>
              <w:ind w:left="3221"/>
              <w:rPr>
                <w:color w:val="auto"/>
                <w:highlight w:val="none"/>
              </w:rPr>
            </w:pPr>
            <w:r>
              <w:rPr>
                <w:color w:val="auto"/>
                <w:spacing w:val="7"/>
                <w:highlight w:val="none"/>
              </w:rPr>
              <w:t>监理设施</w:t>
            </w:r>
          </w:p>
        </w:tc>
      </w:tr>
      <w:tr w14:paraId="30A92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016" w:type="dxa"/>
            <w:gridSpan w:val="3"/>
            <w:vMerge w:val="continue"/>
            <w:tcBorders>
              <w:top w:val="nil"/>
            </w:tcBorders>
            <w:vAlign w:val="top"/>
          </w:tcPr>
          <w:p w14:paraId="49D71DBC">
            <w:pPr>
              <w:rPr>
                <w:rFonts w:ascii="Arial"/>
                <w:color w:val="auto"/>
                <w:sz w:val="21"/>
                <w:highlight w:val="none"/>
              </w:rPr>
            </w:pPr>
          </w:p>
        </w:tc>
        <w:tc>
          <w:tcPr>
            <w:tcW w:w="1396" w:type="dxa"/>
            <w:vAlign w:val="top"/>
          </w:tcPr>
          <w:p w14:paraId="1E9E4720">
            <w:pPr>
              <w:pStyle w:val="20"/>
              <w:spacing w:before="160" w:line="216" w:lineRule="auto"/>
              <w:ind w:left="287"/>
              <w:rPr>
                <w:color w:val="auto"/>
                <w:highlight w:val="none"/>
              </w:rPr>
            </w:pPr>
            <w:r>
              <w:rPr>
                <w:color w:val="auto"/>
                <w:spacing w:val="6"/>
                <w:highlight w:val="none"/>
              </w:rPr>
              <w:t>交通设施</w:t>
            </w:r>
          </w:p>
        </w:tc>
        <w:tc>
          <w:tcPr>
            <w:tcW w:w="1381" w:type="dxa"/>
            <w:vAlign w:val="top"/>
          </w:tcPr>
          <w:p w14:paraId="4E27F0F3">
            <w:pPr>
              <w:pStyle w:val="20"/>
              <w:spacing w:before="160" w:line="216" w:lineRule="auto"/>
              <w:ind w:left="280"/>
              <w:rPr>
                <w:color w:val="auto"/>
                <w:highlight w:val="none"/>
              </w:rPr>
            </w:pPr>
            <w:r>
              <w:rPr>
                <w:color w:val="auto"/>
                <w:spacing w:val="6"/>
                <w:highlight w:val="none"/>
              </w:rPr>
              <w:t>办公设施</w:t>
            </w:r>
          </w:p>
        </w:tc>
        <w:tc>
          <w:tcPr>
            <w:tcW w:w="1394" w:type="dxa"/>
            <w:vAlign w:val="top"/>
          </w:tcPr>
          <w:p w14:paraId="36314E8D">
            <w:pPr>
              <w:pStyle w:val="20"/>
              <w:spacing w:before="160" w:line="216" w:lineRule="auto"/>
              <w:ind w:left="284"/>
              <w:rPr>
                <w:color w:val="auto"/>
                <w:highlight w:val="none"/>
              </w:rPr>
            </w:pPr>
            <w:r>
              <w:rPr>
                <w:color w:val="auto"/>
                <w:spacing w:val="6"/>
                <w:highlight w:val="none"/>
              </w:rPr>
              <w:t>生活设施</w:t>
            </w:r>
          </w:p>
        </w:tc>
        <w:tc>
          <w:tcPr>
            <w:tcW w:w="2061" w:type="dxa"/>
            <w:vAlign w:val="top"/>
          </w:tcPr>
          <w:p w14:paraId="31A948D4">
            <w:pPr>
              <w:pStyle w:val="20"/>
              <w:spacing w:before="160" w:line="216" w:lineRule="auto"/>
              <w:ind w:left="302"/>
              <w:rPr>
                <w:color w:val="auto"/>
                <w:highlight w:val="none"/>
              </w:rPr>
            </w:pPr>
            <w:r>
              <w:rPr>
                <w:color w:val="auto"/>
                <w:spacing w:val="8"/>
                <w:highlight w:val="none"/>
              </w:rPr>
              <w:t>试验、检测仪器</w:t>
            </w:r>
          </w:p>
        </w:tc>
        <w:tc>
          <w:tcPr>
            <w:tcW w:w="1042" w:type="dxa"/>
            <w:vAlign w:val="top"/>
          </w:tcPr>
          <w:p w14:paraId="36D21759">
            <w:pPr>
              <w:pStyle w:val="20"/>
              <w:spacing w:before="160" w:line="216" w:lineRule="auto"/>
              <w:ind w:left="318"/>
              <w:rPr>
                <w:color w:val="auto"/>
                <w:highlight w:val="none"/>
              </w:rPr>
            </w:pPr>
            <w:r>
              <w:rPr>
                <w:color w:val="auto"/>
                <w:spacing w:val="4"/>
                <w:highlight w:val="none"/>
              </w:rPr>
              <w:t>其他</w:t>
            </w:r>
          </w:p>
        </w:tc>
      </w:tr>
      <w:tr w14:paraId="74B79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02" w:type="dxa"/>
            <w:tcBorders>
              <w:right w:val="nil"/>
            </w:tcBorders>
            <w:vAlign w:val="top"/>
          </w:tcPr>
          <w:p w14:paraId="4D81EFAF">
            <w:pPr>
              <w:pStyle w:val="20"/>
              <w:spacing w:before="161" w:line="215" w:lineRule="auto"/>
              <w:ind w:left="490"/>
              <w:rPr>
                <w:color w:val="auto"/>
                <w:highlight w:val="none"/>
              </w:rPr>
            </w:pPr>
            <w:r>
              <w:rPr>
                <w:color w:val="auto"/>
                <w:highlight w:val="none"/>
              </w:rPr>
              <w:t>年</w:t>
            </w:r>
          </w:p>
        </w:tc>
        <w:tc>
          <w:tcPr>
            <w:tcW w:w="628" w:type="dxa"/>
            <w:tcBorders>
              <w:left w:val="nil"/>
              <w:right w:val="nil"/>
            </w:tcBorders>
            <w:vAlign w:val="top"/>
          </w:tcPr>
          <w:p w14:paraId="61224CCE">
            <w:pPr>
              <w:pStyle w:val="20"/>
              <w:spacing w:before="161" w:line="215" w:lineRule="auto"/>
              <w:ind w:left="114"/>
              <w:rPr>
                <w:color w:val="auto"/>
                <w:highlight w:val="none"/>
              </w:rPr>
            </w:pPr>
            <w:r>
              <w:rPr>
                <w:color w:val="auto"/>
                <w:spacing w:val="2"/>
                <w:highlight w:val="none"/>
              </w:rPr>
              <w:t>月至</w:t>
            </w:r>
          </w:p>
        </w:tc>
        <w:tc>
          <w:tcPr>
            <w:tcW w:w="586" w:type="dxa"/>
            <w:tcBorders>
              <w:left w:val="nil"/>
            </w:tcBorders>
            <w:vAlign w:val="top"/>
          </w:tcPr>
          <w:p w14:paraId="3E246299">
            <w:pPr>
              <w:pStyle w:val="20"/>
              <w:spacing w:before="161" w:line="215" w:lineRule="auto"/>
              <w:ind w:left="115"/>
              <w:rPr>
                <w:color w:val="auto"/>
                <w:highlight w:val="none"/>
              </w:rPr>
            </w:pPr>
            <w:r>
              <w:rPr>
                <w:color w:val="auto"/>
                <w:highlight w:val="none"/>
              </w:rPr>
              <w:t>月</w:t>
            </w:r>
          </w:p>
        </w:tc>
        <w:tc>
          <w:tcPr>
            <w:tcW w:w="1396" w:type="dxa"/>
            <w:vAlign w:val="top"/>
          </w:tcPr>
          <w:p w14:paraId="75E2ADCB">
            <w:pPr>
              <w:rPr>
                <w:rFonts w:ascii="Arial"/>
                <w:color w:val="auto"/>
                <w:sz w:val="21"/>
                <w:highlight w:val="none"/>
              </w:rPr>
            </w:pPr>
          </w:p>
        </w:tc>
        <w:tc>
          <w:tcPr>
            <w:tcW w:w="1381" w:type="dxa"/>
            <w:vAlign w:val="top"/>
          </w:tcPr>
          <w:p w14:paraId="29D67AB8">
            <w:pPr>
              <w:rPr>
                <w:rFonts w:ascii="Arial"/>
                <w:color w:val="auto"/>
                <w:sz w:val="21"/>
                <w:highlight w:val="none"/>
              </w:rPr>
            </w:pPr>
          </w:p>
        </w:tc>
        <w:tc>
          <w:tcPr>
            <w:tcW w:w="1394" w:type="dxa"/>
            <w:vAlign w:val="top"/>
          </w:tcPr>
          <w:p w14:paraId="0BC22789">
            <w:pPr>
              <w:rPr>
                <w:rFonts w:ascii="Arial"/>
                <w:color w:val="auto"/>
                <w:sz w:val="21"/>
                <w:highlight w:val="none"/>
              </w:rPr>
            </w:pPr>
          </w:p>
        </w:tc>
        <w:tc>
          <w:tcPr>
            <w:tcW w:w="2061" w:type="dxa"/>
            <w:vAlign w:val="top"/>
          </w:tcPr>
          <w:p w14:paraId="37CB38A3">
            <w:pPr>
              <w:rPr>
                <w:rFonts w:ascii="Arial"/>
                <w:color w:val="auto"/>
                <w:sz w:val="21"/>
                <w:highlight w:val="none"/>
              </w:rPr>
            </w:pPr>
          </w:p>
        </w:tc>
        <w:tc>
          <w:tcPr>
            <w:tcW w:w="1042" w:type="dxa"/>
            <w:vAlign w:val="top"/>
          </w:tcPr>
          <w:p w14:paraId="68675830">
            <w:pPr>
              <w:rPr>
                <w:rFonts w:ascii="Arial"/>
                <w:color w:val="auto"/>
                <w:sz w:val="21"/>
                <w:highlight w:val="none"/>
              </w:rPr>
            </w:pPr>
          </w:p>
        </w:tc>
      </w:tr>
      <w:tr w14:paraId="5DF63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02" w:type="dxa"/>
            <w:tcBorders>
              <w:right w:val="nil"/>
            </w:tcBorders>
            <w:vAlign w:val="top"/>
          </w:tcPr>
          <w:p w14:paraId="633CC918">
            <w:pPr>
              <w:pStyle w:val="20"/>
              <w:spacing w:before="163" w:line="213" w:lineRule="auto"/>
              <w:ind w:left="490"/>
              <w:rPr>
                <w:color w:val="auto"/>
                <w:highlight w:val="none"/>
              </w:rPr>
            </w:pPr>
            <w:r>
              <w:rPr>
                <w:color w:val="auto"/>
                <w:highlight w:val="none"/>
              </w:rPr>
              <w:t>年</w:t>
            </w:r>
          </w:p>
        </w:tc>
        <w:tc>
          <w:tcPr>
            <w:tcW w:w="628" w:type="dxa"/>
            <w:tcBorders>
              <w:left w:val="nil"/>
              <w:right w:val="nil"/>
            </w:tcBorders>
            <w:vAlign w:val="top"/>
          </w:tcPr>
          <w:p w14:paraId="4881D2D0">
            <w:pPr>
              <w:pStyle w:val="20"/>
              <w:spacing w:before="163" w:line="213" w:lineRule="auto"/>
              <w:ind w:left="114"/>
              <w:rPr>
                <w:color w:val="auto"/>
                <w:highlight w:val="none"/>
              </w:rPr>
            </w:pPr>
            <w:r>
              <w:rPr>
                <w:color w:val="auto"/>
                <w:spacing w:val="2"/>
                <w:highlight w:val="none"/>
              </w:rPr>
              <w:t>月至</w:t>
            </w:r>
          </w:p>
        </w:tc>
        <w:tc>
          <w:tcPr>
            <w:tcW w:w="586" w:type="dxa"/>
            <w:tcBorders>
              <w:left w:val="nil"/>
            </w:tcBorders>
            <w:vAlign w:val="top"/>
          </w:tcPr>
          <w:p w14:paraId="4565BBDD">
            <w:pPr>
              <w:pStyle w:val="20"/>
              <w:spacing w:before="163" w:line="213" w:lineRule="auto"/>
              <w:ind w:left="115"/>
              <w:rPr>
                <w:color w:val="auto"/>
                <w:highlight w:val="none"/>
              </w:rPr>
            </w:pPr>
            <w:r>
              <w:rPr>
                <w:color w:val="auto"/>
                <w:highlight w:val="none"/>
              </w:rPr>
              <w:t>月</w:t>
            </w:r>
          </w:p>
        </w:tc>
        <w:tc>
          <w:tcPr>
            <w:tcW w:w="1396" w:type="dxa"/>
            <w:vAlign w:val="top"/>
          </w:tcPr>
          <w:p w14:paraId="54BE808D">
            <w:pPr>
              <w:rPr>
                <w:rFonts w:ascii="Arial"/>
                <w:color w:val="auto"/>
                <w:sz w:val="21"/>
                <w:highlight w:val="none"/>
              </w:rPr>
            </w:pPr>
          </w:p>
        </w:tc>
        <w:tc>
          <w:tcPr>
            <w:tcW w:w="1381" w:type="dxa"/>
            <w:vAlign w:val="top"/>
          </w:tcPr>
          <w:p w14:paraId="72CB9085">
            <w:pPr>
              <w:rPr>
                <w:rFonts w:ascii="Arial"/>
                <w:color w:val="auto"/>
                <w:sz w:val="21"/>
                <w:highlight w:val="none"/>
              </w:rPr>
            </w:pPr>
          </w:p>
        </w:tc>
        <w:tc>
          <w:tcPr>
            <w:tcW w:w="1394" w:type="dxa"/>
            <w:vAlign w:val="top"/>
          </w:tcPr>
          <w:p w14:paraId="3859BC45">
            <w:pPr>
              <w:rPr>
                <w:rFonts w:ascii="Arial"/>
                <w:color w:val="auto"/>
                <w:sz w:val="21"/>
                <w:highlight w:val="none"/>
              </w:rPr>
            </w:pPr>
          </w:p>
        </w:tc>
        <w:tc>
          <w:tcPr>
            <w:tcW w:w="2061" w:type="dxa"/>
            <w:vAlign w:val="top"/>
          </w:tcPr>
          <w:p w14:paraId="61CA447E">
            <w:pPr>
              <w:rPr>
                <w:rFonts w:ascii="Arial"/>
                <w:color w:val="auto"/>
                <w:sz w:val="21"/>
                <w:highlight w:val="none"/>
              </w:rPr>
            </w:pPr>
          </w:p>
        </w:tc>
        <w:tc>
          <w:tcPr>
            <w:tcW w:w="1042" w:type="dxa"/>
            <w:vAlign w:val="top"/>
          </w:tcPr>
          <w:p w14:paraId="0DFB317A">
            <w:pPr>
              <w:rPr>
                <w:rFonts w:ascii="Arial"/>
                <w:color w:val="auto"/>
                <w:sz w:val="21"/>
                <w:highlight w:val="none"/>
              </w:rPr>
            </w:pPr>
          </w:p>
        </w:tc>
      </w:tr>
      <w:tr w14:paraId="4922D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02" w:type="dxa"/>
            <w:tcBorders>
              <w:right w:val="nil"/>
            </w:tcBorders>
            <w:vAlign w:val="top"/>
          </w:tcPr>
          <w:p w14:paraId="41C4AF68">
            <w:pPr>
              <w:pStyle w:val="20"/>
              <w:spacing w:before="164" w:line="212" w:lineRule="auto"/>
              <w:ind w:left="490"/>
              <w:rPr>
                <w:color w:val="auto"/>
                <w:highlight w:val="none"/>
              </w:rPr>
            </w:pPr>
            <w:r>
              <w:rPr>
                <w:color w:val="auto"/>
                <w:highlight w:val="none"/>
              </w:rPr>
              <w:t>年</w:t>
            </w:r>
          </w:p>
        </w:tc>
        <w:tc>
          <w:tcPr>
            <w:tcW w:w="628" w:type="dxa"/>
            <w:tcBorders>
              <w:left w:val="nil"/>
              <w:right w:val="nil"/>
            </w:tcBorders>
            <w:vAlign w:val="top"/>
          </w:tcPr>
          <w:p w14:paraId="38BECCAE">
            <w:pPr>
              <w:pStyle w:val="20"/>
              <w:spacing w:before="164" w:line="212" w:lineRule="auto"/>
              <w:ind w:left="114"/>
              <w:rPr>
                <w:color w:val="auto"/>
                <w:highlight w:val="none"/>
              </w:rPr>
            </w:pPr>
            <w:r>
              <w:rPr>
                <w:color w:val="auto"/>
                <w:spacing w:val="2"/>
                <w:highlight w:val="none"/>
              </w:rPr>
              <w:t>月至</w:t>
            </w:r>
          </w:p>
        </w:tc>
        <w:tc>
          <w:tcPr>
            <w:tcW w:w="586" w:type="dxa"/>
            <w:tcBorders>
              <w:left w:val="nil"/>
            </w:tcBorders>
            <w:vAlign w:val="top"/>
          </w:tcPr>
          <w:p w14:paraId="756F6815">
            <w:pPr>
              <w:pStyle w:val="20"/>
              <w:spacing w:before="164" w:line="212" w:lineRule="auto"/>
              <w:ind w:left="115"/>
              <w:rPr>
                <w:color w:val="auto"/>
                <w:highlight w:val="none"/>
              </w:rPr>
            </w:pPr>
            <w:r>
              <w:rPr>
                <w:color w:val="auto"/>
                <w:highlight w:val="none"/>
              </w:rPr>
              <w:t>月</w:t>
            </w:r>
          </w:p>
        </w:tc>
        <w:tc>
          <w:tcPr>
            <w:tcW w:w="1396" w:type="dxa"/>
            <w:vAlign w:val="top"/>
          </w:tcPr>
          <w:p w14:paraId="536126AD">
            <w:pPr>
              <w:rPr>
                <w:rFonts w:ascii="Arial"/>
                <w:color w:val="auto"/>
                <w:sz w:val="21"/>
                <w:highlight w:val="none"/>
              </w:rPr>
            </w:pPr>
          </w:p>
        </w:tc>
        <w:tc>
          <w:tcPr>
            <w:tcW w:w="1381" w:type="dxa"/>
            <w:vAlign w:val="top"/>
          </w:tcPr>
          <w:p w14:paraId="12ACA638">
            <w:pPr>
              <w:rPr>
                <w:rFonts w:ascii="Arial"/>
                <w:color w:val="auto"/>
                <w:sz w:val="21"/>
                <w:highlight w:val="none"/>
              </w:rPr>
            </w:pPr>
          </w:p>
        </w:tc>
        <w:tc>
          <w:tcPr>
            <w:tcW w:w="1394" w:type="dxa"/>
            <w:vAlign w:val="top"/>
          </w:tcPr>
          <w:p w14:paraId="13FDC8C5">
            <w:pPr>
              <w:rPr>
                <w:rFonts w:ascii="Arial"/>
                <w:color w:val="auto"/>
                <w:sz w:val="21"/>
                <w:highlight w:val="none"/>
              </w:rPr>
            </w:pPr>
          </w:p>
        </w:tc>
        <w:tc>
          <w:tcPr>
            <w:tcW w:w="2061" w:type="dxa"/>
            <w:vAlign w:val="top"/>
          </w:tcPr>
          <w:p w14:paraId="0315AA5C">
            <w:pPr>
              <w:rPr>
                <w:rFonts w:ascii="Arial"/>
                <w:color w:val="auto"/>
                <w:sz w:val="21"/>
                <w:highlight w:val="none"/>
              </w:rPr>
            </w:pPr>
          </w:p>
        </w:tc>
        <w:tc>
          <w:tcPr>
            <w:tcW w:w="1042" w:type="dxa"/>
            <w:vAlign w:val="top"/>
          </w:tcPr>
          <w:p w14:paraId="709B0C89">
            <w:pPr>
              <w:rPr>
                <w:rFonts w:ascii="Arial"/>
                <w:color w:val="auto"/>
                <w:sz w:val="21"/>
                <w:highlight w:val="none"/>
              </w:rPr>
            </w:pPr>
          </w:p>
        </w:tc>
      </w:tr>
      <w:tr w14:paraId="3B885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108FDB94">
            <w:pPr>
              <w:pStyle w:val="20"/>
              <w:spacing w:before="163" w:line="214" w:lineRule="auto"/>
              <w:ind w:left="490"/>
              <w:rPr>
                <w:color w:val="auto"/>
                <w:highlight w:val="none"/>
              </w:rPr>
            </w:pPr>
            <w:r>
              <w:rPr>
                <w:color w:val="auto"/>
                <w:highlight w:val="none"/>
              </w:rPr>
              <w:t>年</w:t>
            </w:r>
          </w:p>
        </w:tc>
        <w:tc>
          <w:tcPr>
            <w:tcW w:w="628" w:type="dxa"/>
            <w:tcBorders>
              <w:left w:val="nil"/>
              <w:right w:val="nil"/>
            </w:tcBorders>
            <w:vAlign w:val="top"/>
          </w:tcPr>
          <w:p w14:paraId="4FAB1BF8">
            <w:pPr>
              <w:pStyle w:val="20"/>
              <w:spacing w:before="163" w:line="214" w:lineRule="auto"/>
              <w:ind w:left="114"/>
              <w:rPr>
                <w:color w:val="auto"/>
                <w:highlight w:val="none"/>
              </w:rPr>
            </w:pPr>
            <w:r>
              <w:rPr>
                <w:color w:val="auto"/>
                <w:spacing w:val="2"/>
                <w:highlight w:val="none"/>
              </w:rPr>
              <w:t>月至</w:t>
            </w:r>
          </w:p>
        </w:tc>
        <w:tc>
          <w:tcPr>
            <w:tcW w:w="586" w:type="dxa"/>
            <w:tcBorders>
              <w:left w:val="nil"/>
            </w:tcBorders>
            <w:vAlign w:val="top"/>
          </w:tcPr>
          <w:p w14:paraId="469A74D0">
            <w:pPr>
              <w:pStyle w:val="20"/>
              <w:spacing w:before="163" w:line="214" w:lineRule="auto"/>
              <w:ind w:left="115"/>
              <w:rPr>
                <w:color w:val="auto"/>
                <w:highlight w:val="none"/>
              </w:rPr>
            </w:pPr>
            <w:r>
              <w:rPr>
                <w:color w:val="auto"/>
                <w:highlight w:val="none"/>
              </w:rPr>
              <w:t>月</w:t>
            </w:r>
          </w:p>
        </w:tc>
        <w:tc>
          <w:tcPr>
            <w:tcW w:w="1396" w:type="dxa"/>
            <w:vAlign w:val="top"/>
          </w:tcPr>
          <w:p w14:paraId="27D7B0D7">
            <w:pPr>
              <w:rPr>
                <w:rFonts w:ascii="Arial"/>
                <w:color w:val="auto"/>
                <w:sz w:val="21"/>
                <w:highlight w:val="none"/>
              </w:rPr>
            </w:pPr>
          </w:p>
        </w:tc>
        <w:tc>
          <w:tcPr>
            <w:tcW w:w="1381" w:type="dxa"/>
            <w:vAlign w:val="top"/>
          </w:tcPr>
          <w:p w14:paraId="59419BB6">
            <w:pPr>
              <w:rPr>
                <w:rFonts w:ascii="Arial"/>
                <w:color w:val="auto"/>
                <w:sz w:val="21"/>
                <w:highlight w:val="none"/>
              </w:rPr>
            </w:pPr>
          </w:p>
        </w:tc>
        <w:tc>
          <w:tcPr>
            <w:tcW w:w="1394" w:type="dxa"/>
            <w:vAlign w:val="top"/>
          </w:tcPr>
          <w:p w14:paraId="2DF65984">
            <w:pPr>
              <w:rPr>
                <w:rFonts w:ascii="Arial"/>
                <w:color w:val="auto"/>
                <w:sz w:val="21"/>
                <w:highlight w:val="none"/>
              </w:rPr>
            </w:pPr>
          </w:p>
        </w:tc>
        <w:tc>
          <w:tcPr>
            <w:tcW w:w="2061" w:type="dxa"/>
            <w:vAlign w:val="top"/>
          </w:tcPr>
          <w:p w14:paraId="3E7EB5D4">
            <w:pPr>
              <w:rPr>
                <w:rFonts w:ascii="Arial"/>
                <w:color w:val="auto"/>
                <w:sz w:val="21"/>
                <w:highlight w:val="none"/>
              </w:rPr>
            </w:pPr>
          </w:p>
        </w:tc>
        <w:tc>
          <w:tcPr>
            <w:tcW w:w="1042" w:type="dxa"/>
            <w:vAlign w:val="top"/>
          </w:tcPr>
          <w:p w14:paraId="19544615">
            <w:pPr>
              <w:rPr>
                <w:rFonts w:ascii="Arial"/>
                <w:color w:val="auto"/>
                <w:sz w:val="21"/>
                <w:highlight w:val="none"/>
              </w:rPr>
            </w:pPr>
          </w:p>
        </w:tc>
      </w:tr>
      <w:tr w14:paraId="395D4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3E7DFCFA">
            <w:pPr>
              <w:pStyle w:val="20"/>
              <w:spacing w:before="163" w:line="214" w:lineRule="auto"/>
              <w:ind w:left="490"/>
              <w:rPr>
                <w:color w:val="auto"/>
                <w:highlight w:val="none"/>
              </w:rPr>
            </w:pPr>
            <w:r>
              <w:rPr>
                <w:color w:val="auto"/>
                <w:highlight w:val="none"/>
              </w:rPr>
              <w:t>年</w:t>
            </w:r>
          </w:p>
        </w:tc>
        <w:tc>
          <w:tcPr>
            <w:tcW w:w="628" w:type="dxa"/>
            <w:tcBorders>
              <w:left w:val="nil"/>
              <w:right w:val="nil"/>
            </w:tcBorders>
            <w:vAlign w:val="top"/>
          </w:tcPr>
          <w:p w14:paraId="2C22B7CB">
            <w:pPr>
              <w:pStyle w:val="20"/>
              <w:spacing w:before="163" w:line="214" w:lineRule="auto"/>
              <w:ind w:left="114"/>
              <w:rPr>
                <w:color w:val="auto"/>
                <w:highlight w:val="none"/>
              </w:rPr>
            </w:pPr>
            <w:r>
              <w:rPr>
                <w:color w:val="auto"/>
                <w:spacing w:val="2"/>
                <w:highlight w:val="none"/>
              </w:rPr>
              <w:t>月至</w:t>
            </w:r>
          </w:p>
        </w:tc>
        <w:tc>
          <w:tcPr>
            <w:tcW w:w="586" w:type="dxa"/>
            <w:tcBorders>
              <w:left w:val="nil"/>
            </w:tcBorders>
            <w:vAlign w:val="top"/>
          </w:tcPr>
          <w:p w14:paraId="26B3AAEE">
            <w:pPr>
              <w:pStyle w:val="20"/>
              <w:spacing w:before="163" w:line="214" w:lineRule="auto"/>
              <w:ind w:left="115"/>
              <w:rPr>
                <w:color w:val="auto"/>
                <w:highlight w:val="none"/>
              </w:rPr>
            </w:pPr>
            <w:r>
              <w:rPr>
                <w:color w:val="auto"/>
                <w:highlight w:val="none"/>
              </w:rPr>
              <w:t>月</w:t>
            </w:r>
          </w:p>
        </w:tc>
        <w:tc>
          <w:tcPr>
            <w:tcW w:w="1396" w:type="dxa"/>
            <w:vAlign w:val="top"/>
          </w:tcPr>
          <w:p w14:paraId="3CA8D17D">
            <w:pPr>
              <w:rPr>
                <w:rFonts w:ascii="Arial"/>
                <w:color w:val="auto"/>
                <w:sz w:val="21"/>
                <w:highlight w:val="none"/>
              </w:rPr>
            </w:pPr>
          </w:p>
        </w:tc>
        <w:tc>
          <w:tcPr>
            <w:tcW w:w="1381" w:type="dxa"/>
            <w:vAlign w:val="top"/>
          </w:tcPr>
          <w:p w14:paraId="13E79E0B">
            <w:pPr>
              <w:rPr>
                <w:rFonts w:ascii="Arial"/>
                <w:color w:val="auto"/>
                <w:sz w:val="21"/>
                <w:highlight w:val="none"/>
              </w:rPr>
            </w:pPr>
          </w:p>
        </w:tc>
        <w:tc>
          <w:tcPr>
            <w:tcW w:w="1394" w:type="dxa"/>
            <w:vAlign w:val="top"/>
          </w:tcPr>
          <w:p w14:paraId="3A38F5B5">
            <w:pPr>
              <w:rPr>
                <w:rFonts w:ascii="Arial"/>
                <w:color w:val="auto"/>
                <w:sz w:val="21"/>
                <w:highlight w:val="none"/>
              </w:rPr>
            </w:pPr>
          </w:p>
        </w:tc>
        <w:tc>
          <w:tcPr>
            <w:tcW w:w="2061" w:type="dxa"/>
            <w:vAlign w:val="top"/>
          </w:tcPr>
          <w:p w14:paraId="71C67820">
            <w:pPr>
              <w:rPr>
                <w:rFonts w:ascii="Arial"/>
                <w:color w:val="auto"/>
                <w:sz w:val="21"/>
                <w:highlight w:val="none"/>
              </w:rPr>
            </w:pPr>
          </w:p>
        </w:tc>
        <w:tc>
          <w:tcPr>
            <w:tcW w:w="1042" w:type="dxa"/>
            <w:vAlign w:val="top"/>
          </w:tcPr>
          <w:p w14:paraId="4A4C1BEB">
            <w:pPr>
              <w:rPr>
                <w:rFonts w:ascii="Arial"/>
                <w:color w:val="auto"/>
                <w:sz w:val="21"/>
                <w:highlight w:val="none"/>
              </w:rPr>
            </w:pPr>
          </w:p>
        </w:tc>
      </w:tr>
      <w:tr w14:paraId="5A551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320B62D8">
            <w:pPr>
              <w:pStyle w:val="20"/>
              <w:spacing w:before="164" w:line="213" w:lineRule="auto"/>
              <w:ind w:left="490"/>
              <w:rPr>
                <w:color w:val="auto"/>
                <w:highlight w:val="none"/>
              </w:rPr>
            </w:pPr>
            <w:r>
              <w:rPr>
                <w:color w:val="auto"/>
                <w:highlight w:val="none"/>
              </w:rPr>
              <w:t>年</w:t>
            </w:r>
          </w:p>
        </w:tc>
        <w:tc>
          <w:tcPr>
            <w:tcW w:w="628" w:type="dxa"/>
            <w:tcBorders>
              <w:left w:val="nil"/>
              <w:right w:val="nil"/>
            </w:tcBorders>
            <w:vAlign w:val="top"/>
          </w:tcPr>
          <w:p w14:paraId="0831CAC1">
            <w:pPr>
              <w:pStyle w:val="20"/>
              <w:spacing w:before="164" w:line="213" w:lineRule="auto"/>
              <w:ind w:left="114"/>
              <w:rPr>
                <w:color w:val="auto"/>
                <w:highlight w:val="none"/>
              </w:rPr>
            </w:pPr>
            <w:r>
              <w:rPr>
                <w:color w:val="auto"/>
                <w:spacing w:val="2"/>
                <w:highlight w:val="none"/>
              </w:rPr>
              <w:t>月至</w:t>
            </w:r>
          </w:p>
        </w:tc>
        <w:tc>
          <w:tcPr>
            <w:tcW w:w="586" w:type="dxa"/>
            <w:tcBorders>
              <w:left w:val="nil"/>
            </w:tcBorders>
            <w:vAlign w:val="top"/>
          </w:tcPr>
          <w:p w14:paraId="14DE698C">
            <w:pPr>
              <w:pStyle w:val="20"/>
              <w:spacing w:before="164" w:line="213" w:lineRule="auto"/>
              <w:ind w:left="115"/>
              <w:rPr>
                <w:color w:val="auto"/>
                <w:highlight w:val="none"/>
              </w:rPr>
            </w:pPr>
            <w:r>
              <w:rPr>
                <w:color w:val="auto"/>
                <w:highlight w:val="none"/>
              </w:rPr>
              <w:t>月</w:t>
            </w:r>
          </w:p>
        </w:tc>
        <w:tc>
          <w:tcPr>
            <w:tcW w:w="1396" w:type="dxa"/>
            <w:vAlign w:val="top"/>
          </w:tcPr>
          <w:p w14:paraId="41DB998D">
            <w:pPr>
              <w:rPr>
                <w:rFonts w:ascii="Arial"/>
                <w:color w:val="auto"/>
                <w:sz w:val="21"/>
                <w:highlight w:val="none"/>
              </w:rPr>
            </w:pPr>
          </w:p>
        </w:tc>
        <w:tc>
          <w:tcPr>
            <w:tcW w:w="1381" w:type="dxa"/>
            <w:vAlign w:val="top"/>
          </w:tcPr>
          <w:p w14:paraId="6C58C82A">
            <w:pPr>
              <w:rPr>
                <w:rFonts w:ascii="Arial"/>
                <w:color w:val="auto"/>
                <w:sz w:val="21"/>
                <w:highlight w:val="none"/>
              </w:rPr>
            </w:pPr>
          </w:p>
        </w:tc>
        <w:tc>
          <w:tcPr>
            <w:tcW w:w="1394" w:type="dxa"/>
            <w:vAlign w:val="top"/>
          </w:tcPr>
          <w:p w14:paraId="68C386DF">
            <w:pPr>
              <w:rPr>
                <w:rFonts w:ascii="Arial"/>
                <w:color w:val="auto"/>
                <w:sz w:val="21"/>
                <w:highlight w:val="none"/>
              </w:rPr>
            </w:pPr>
          </w:p>
        </w:tc>
        <w:tc>
          <w:tcPr>
            <w:tcW w:w="2061" w:type="dxa"/>
            <w:vAlign w:val="top"/>
          </w:tcPr>
          <w:p w14:paraId="509360E6">
            <w:pPr>
              <w:rPr>
                <w:rFonts w:ascii="Arial"/>
                <w:color w:val="auto"/>
                <w:sz w:val="21"/>
                <w:highlight w:val="none"/>
              </w:rPr>
            </w:pPr>
          </w:p>
        </w:tc>
        <w:tc>
          <w:tcPr>
            <w:tcW w:w="1042" w:type="dxa"/>
            <w:vAlign w:val="top"/>
          </w:tcPr>
          <w:p w14:paraId="3ADAD13C">
            <w:pPr>
              <w:rPr>
                <w:rFonts w:ascii="Arial"/>
                <w:color w:val="auto"/>
                <w:sz w:val="21"/>
                <w:highlight w:val="none"/>
              </w:rPr>
            </w:pPr>
          </w:p>
        </w:tc>
      </w:tr>
      <w:tr w14:paraId="2F181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007257F2">
            <w:pPr>
              <w:pStyle w:val="20"/>
              <w:spacing w:before="164" w:line="213" w:lineRule="auto"/>
              <w:ind w:left="490"/>
              <w:rPr>
                <w:color w:val="auto"/>
                <w:highlight w:val="none"/>
              </w:rPr>
            </w:pPr>
            <w:r>
              <w:rPr>
                <w:color w:val="auto"/>
                <w:highlight w:val="none"/>
              </w:rPr>
              <w:t>年</w:t>
            </w:r>
          </w:p>
        </w:tc>
        <w:tc>
          <w:tcPr>
            <w:tcW w:w="628" w:type="dxa"/>
            <w:tcBorders>
              <w:left w:val="nil"/>
              <w:right w:val="nil"/>
            </w:tcBorders>
            <w:vAlign w:val="top"/>
          </w:tcPr>
          <w:p w14:paraId="66D9EFD2">
            <w:pPr>
              <w:pStyle w:val="20"/>
              <w:spacing w:before="164" w:line="213" w:lineRule="auto"/>
              <w:ind w:left="114"/>
              <w:rPr>
                <w:color w:val="auto"/>
                <w:highlight w:val="none"/>
              </w:rPr>
            </w:pPr>
            <w:r>
              <w:rPr>
                <w:color w:val="auto"/>
                <w:spacing w:val="2"/>
                <w:highlight w:val="none"/>
              </w:rPr>
              <w:t>月至</w:t>
            </w:r>
          </w:p>
        </w:tc>
        <w:tc>
          <w:tcPr>
            <w:tcW w:w="586" w:type="dxa"/>
            <w:tcBorders>
              <w:left w:val="nil"/>
            </w:tcBorders>
            <w:vAlign w:val="top"/>
          </w:tcPr>
          <w:p w14:paraId="3F296032">
            <w:pPr>
              <w:pStyle w:val="20"/>
              <w:spacing w:before="164" w:line="213" w:lineRule="auto"/>
              <w:ind w:left="115"/>
              <w:rPr>
                <w:color w:val="auto"/>
                <w:highlight w:val="none"/>
              </w:rPr>
            </w:pPr>
            <w:r>
              <w:rPr>
                <w:color w:val="auto"/>
                <w:highlight w:val="none"/>
              </w:rPr>
              <w:t>月</w:t>
            </w:r>
          </w:p>
        </w:tc>
        <w:tc>
          <w:tcPr>
            <w:tcW w:w="1396" w:type="dxa"/>
            <w:vAlign w:val="top"/>
          </w:tcPr>
          <w:p w14:paraId="6BC6DD77">
            <w:pPr>
              <w:rPr>
                <w:rFonts w:ascii="Arial"/>
                <w:color w:val="auto"/>
                <w:sz w:val="21"/>
                <w:highlight w:val="none"/>
              </w:rPr>
            </w:pPr>
          </w:p>
        </w:tc>
        <w:tc>
          <w:tcPr>
            <w:tcW w:w="1381" w:type="dxa"/>
            <w:vAlign w:val="top"/>
          </w:tcPr>
          <w:p w14:paraId="5D3006C8">
            <w:pPr>
              <w:rPr>
                <w:rFonts w:ascii="Arial"/>
                <w:color w:val="auto"/>
                <w:sz w:val="21"/>
                <w:highlight w:val="none"/>
              </w:rPr>
            </w:pPr>
          </w:p>
        </w:tc>
        <w:tc>
          <w:tcPr>
            <w:tcW w:w="1394" w:type="dxa"/>
            <w:vAlign w:val="top"/>
          </w:tcPr>
          <w:p w14:paraId="2A682FCA">
            <w:pPr>
              <w:rPr>
                <w:rFonts w:ascii="Arial"/>
                <w:color w:val="auto"/>
                <w:sz w:val="21"/>
                <w:highlight w:val="none"/>
              </w:rPr>
            </w:pPr>
          </w:p>
        </w:tc>
        <w:tc>
          <w:tcPr>
            <w:tcW w:w="2061" w:type="dxa"/>
            <w:vAlign w:val="top"/>
          </w:tcPr>
          <w:p w14:paraId="2C2A8F61">
            <w:pPr>
              <w:rPr>
                <w:rFonts w:ascii="Arial"/>
                <w:color w:val="auto"/>
                <w:sz w:val="21"/>
                <w:highlight w:val="none"/>
              </w:rPr>
            </w:pPr>
          </w:p>
        </w:tc>
        <w:tc>
          <w:tcPr>
            <w:tcW w:w="1042" w:type="dxa"/>
            <w:vAlign w:val="top"/>
          </w:tcPr>
          <w:p w14:paraId="6E14C8F8">
            <w:pPr>
              <w:rPr>
                <w:rFonts w:ascii="Arial"/>
                <w:color w:val="auto"/>
                <w:sz w:val="21"/>
                <w:highlight w:val="none"/>
              </w:rPr>
            </w:pPr>
          </w:p>
        </w:tc>
      </w:tr>
      <w:tr w14:paraId="3D27B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17897A29">
            <w:pPr>
              <w:pStyle w:val="20"/>
              <w:spacing w:before="165" w:line="212" w:lineRule="auto"/>
              <w:ind w:left="490"/>
              <w:rPr>
                <w:color w:val="auto"/>
                <w:highlight w:val="none"/>
              </w:rPr>
            </w:pPr>
            <w:r>
              <w:rPr>
                <w:color w:val="auto"/>
                <w:highlight w:val="none"/>
              </w:rPr>
              <w:t>年</w:t>
            </w:r>
          </w:p>
        </w:tc>
        <w:tc>
          <w:tcPr>
            <w:tcW w:w="628" w:type="dxa"/>
            <w:tcBorders>
              <w:left w:val="nil"/>
              <w:right w:val="nil"/>
            </w:tcBorders>
            <w:vAlign w:val="top"/>
          </w:tcPr>
          <w:p w14:paraId="31EFB046">
            <w:pPr>
              <w:pStyle w:val="20"/>
              <w:spacing w:before="165" w:line="212" w:lineRule="auto"/>
              <w:ind w:left="114"/>
              <w:rPr>
                <w:color w:val="auto"/>
                <w:highlight w:val="none"/>
              </w:rPr>
            </w:pPr>
            <w:r>
              <w:rPr>
                <w:color w:val="auto"/>
                <w:spacing w:val="2"/>
                <w:highlight w:val="none"/>
              </w:rPr>
              <w:t>月至</w:t>
            </w:r>
          </w:p>
        </w:tc>
        <w:tc>
          <w:tcPr>
            <w:tcW w:w="586" w:type="dxa"/>
            <w:tcBorders>
              <w:left w:val="nil"/>
            </w:tcBorders>
            <w:vAlign w:val="top"/>
          </w:tcPr>
          <w:p w14:paraId="048CCEEC">
            <w:pPr>
              <w:pStyle w:val="20"/>
              <w:spacing w:before="165" w:line="212" w:lineRule="auto"/>
              <w:ind w:left="115"/>
              <w:rPr>
                <w:color w:val="auto"/>
                <w:highlight w:val="none"/>
              </w:rPr>
            </w:pPr>
            <w:r>
              <w:rPr>
                <w:color w:val="auto"/>
                <w:highlight w:val="none"/>
              </w:rPr>
              <w:t>月</w:t>
            </w:r>
          </w:p>
        </w:tc>
        <w:tc>
          <w:tcPr>
            <w:tcW w:w="1396" w:type="dxa"/>
            <w:vAlign w:val="top"/>
          </w:tcPr>
          <w:p w14:paraId="6D01B9FF">
            <w:pPr>
              <w:rPr>
                <w:rFonts w:ascii="Arial"/>
                <w:color w:val="auto"/>
                <w:sz w:val="21"/>
                <w:highlight w:val="none"/>
              </w:rPr>
            </w:pPr>
          </w:p>
        </w:tc>
        <w:tc>
          <w:tcPr>
            <w:tcW w:w="1381" w:type="dxa"/>
            <w:vAlign w:val="top"/>
          </w:tcPr>
          <w:p w14:paraId="0B2A6793">
            <w:pPr>
              <w:rPr>
                <w:rFonts w:ascii="Arial"/>
                <w:color w:val="auto"/>
                <w:sz w:val="21"/>
                <w:highlight w:val="none"/>
              </w:rPr>
            </w:pPr>
          </w:p>
        </w:tc>
        <w:tc>
          <w:tcPr>
            <w:tcW w:w="1394" w:type="dxa"/>
            <w:vAlign w:val="top"/>
          </w:tcPr>
          <w:p w14:paraId="13EA8255">
            <w:pPr>
              <w:rPr>
                <w:rFonts w:ascii="Arial"/>
                <w:color w:val="auto"/>
                <w:sz w:val="21"/>
                <w:highlight w:val="none"/>
              </w:rPr>
            </w:pPr>
          </w:p>
        </w:tc>
        <w:tc>
          <w:tcPr>
            <w:tcW w:w="2061" w:type="dxa"/>
            <w:vAlign w:val="top"/>
          </w:tcPr>
          <w:p w14:paraId="5AA93F66">
            <w:pPr>
              <w:rPr>
                <w:rFonts w:ascii="Arial"/>
                <w:color w:val="auto"/>
                <w:sz w:val="21"/>
                <w:highlight w:val="none"/>
              </w:rPr>
            </w:pPr>
          </w:p>
        </w:tc>
        <w:tc>
          <w:tcPr>
            <w:tcW w:w="1042" w:type="dxa"/>
            <w:vAlign w:val="top"/>
          </w:tcPr>
          <w:p w14:paraId="02FFED32">
            <w:pPr>
              <w:rPr>
                <w:rFonts w:ascii="Arial"/>
                <w:color w:val="auto"/>
                <w:sz w:val="21"/>
                <w:highlight w:val="none"/>
              </w:rPr>
            </w:pPr>
          </w:p>
        </w:tc>
      </w:tr>
      <w:tr w14:paraId="14F25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2F7D5B09">
            <w:pPr>
              <w:pStyle w:val="20"/>
              <w:spacing w:before="165" w:line="212" w:lineRule="auto"/>
              <w:ind w:left="490"/>
              <w:rPr>
                <w:color w:val="auto"/>
                <w:highlight w:val="none"/>
              </w:rPr>
            </w:pPr>
            <w:r>
              <w:rPr>
                <w:color w:val="auto"/>
                <w:highlight w:val="none"/>
              </w:rPr>
              <w:t>年</w:t>
            </w:r>
          </w:p>
        </w:tc>
        <w:tc>
          <w:tcPr>
            <w:tcW w:w="628" w:type="dxa"/>
            <w:tcBorders>
              <w:left w:val="nil"/>
              <w:right w:val="nil"/>
            </w:tcBorders>
            <w:vAlign w:val="top"/>
          </w:tcPr>
          <w:p w14:paraId="59523AA3">
            <w:pPr>
              <w:pStyle w:val="20"/>
              <w:spacing w:before="165" w:line="212" w:lineRule="auto"/>
              <w:ind w:left="114"/>
              <w:rPr>
                <w:color w:val="auto"/>
                <w:highlight w:val="none"/>
              </w:rPr>
            </w:pPr>
            <w:r>
              <w:rPr>
                <w:color w:val="auto"/>
                <w:spacing w:val="2"/>
                <w:highlight w:val="none"/>
              </w:rPr>
              <w:t>月至</w:t>
            </w:r>
          </w:p>
        </w:tc>
        <w:tc>
          <w:tcPr>
            <w:tcW w:w="586" w:type="dxa"/>
            <w:tcBorders>
              <w:left w:val="nil"/>
            </w:tcBorders>
            <w:vAlign w:val="top"/>
          </w:tcPr>
          <w:p w14:paraId="3C478364">
            <w:pPr>
              <w:pStyle w:val="20"/>
              <w:spacing w:before="165" w:line="212" w:lineRule="auto"/>
              <w:ind w:left="115"/>
              <w:rPr>
                <w:color w:val="auto"/>
                <w:highlight w:val="none"/>
              </w:rPr>
            </w:pPr>
            <w:r>
              <w:rPr>
                <w:color w:val="auto"/>
                <w:highlight w:val="none"/>
              </w:rPr>
              <w:t>月</w:t>
            </w:r>
          </w:p>
        </w:tc>
        <w:tc>
          <w:tcPr>
            <w:tcW w:w="1396" w:type="dxa"/>
            <w:vAlign w:val="top"/>
          </w:tcPr>
          <w:p w14:paraId="56539915">
            <w:pPr>
              <w:rPr>
                <w:rFonts w:ascii="Arial"/>
                <w:color w:val="auto"/>
                <w:sz w:val="21"/>
                <w:highlight w:val="none"/>
              </w:rPr>
            </w:pPr>
          </w:p>
        </w:tc>
        <w:tc>
          <w:tcPr>
            <w:tcW w:w="1381" w:type="dxa"/>
            <w:vAlign w:val="top"/>
          </w:tcPr>
          <w:p w14:paraId="2F49D312">
            <w:pPr>
              <w:rPr>
                <w:rFonts w:ascii="Arial"/>
                <w:color w:val="auto"/>
                <w:sz w:val="21"/>
                <w:highlight w:val="none"/>
              </w:rPr>
            </w:pPr>
          </w:p>
        </w:tc>
        <w:tc>
          <w:tcPr>
            <w:tcW w:w="1394" w:type="dxa"/>
            <w:vAlign w:val="top"/>
          </w:tcPr>
          <w:p w14:paraId="6BD90AD1">
            <w:pPr>
              <w:rPr>
                <w:rFonts w:ascii="Arial"/>
                <w:color w:val="auto"/>
                <w:sz w:val="21"/>
                <w:highlight w:val="none"/>
              </w:rPr>
            </w:pPr>
          </w:p>
        </w:tc>
        <w:tc>
          <w:tcPr>
            <w:tcW w:w="2061" w:type="dxa"/>
            <w:vAlign w:val="top"/>
          </w:tcPr>
          <w:p w14:paraId="582DC733">
            <w:pPr>
              <w:rPr>
                <w:rFonts w:ascii="Arial"/>
                <w:color w:val="auto"/>
                <w:sz w:val="21"/>
                <w:highlight w:val="none"/>
              </w:rPr>
            </w:pPr>
          </w:p>
        </w:tc>
        <w:tc>
          <w:tcPr>
            <w:tcW w:w="1042" w:type="dxa"/>
            <w:vAlign w:val="top"/>
          </w:tcPr>
          <w:p w14:paraId="57D8DADD">
            <w:pPr>
              <w:rPr>
                <w:rFonts w:ascii="Arial"/>
                <w:color w:val="auto"/>
                <w:sz w:val="21"/>
                <w:highlight w:val="none"/>
              </w:rPr>
            </w:pPr>
          </w:p>
        </w:tc>
      </w:tr>
      <w:tr w14:paraId="6DC4C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32275AF0">
            <w:pPr>
              <w:pStyle w:val="20"/>
              <w:spacing w:before="163" w:line="214" w:lineRule="auto"/>
              <w:ind w:left="490"/>
              <w:rPr>
                <w:color w:val="auto"/>
                <w:highlight w:val="none"/>
              </w:rPr>
            </w:pPr>
            <w:r>
              <w:rPr>
                <w:color w:val="auto"/>
                <w:highlight w:val="none"/>
              </w:rPr>
              <w:t>年</w:t>
            </w:r>
          </w:p>
        </w:tc>
        <w:tc>
          <w:tcPr>
            <w:tcW w:w="628" w:type="dxa"/>
            <w:tcBorders>
              <w:left w:val="nil"/>
              <w:right w:val="nil"/>
            </w:tcBorders>
            <w:vAlign w:val="top"/>
          </w:tcPr>
          <w:p w14:paraId="2856C9AC">
            <w:pPr>
              <w:pStyle w:val="20"/>
              <w:spacing w:before="163" w:line="214" w:lineRule="auto"/>
              <w:ind w:left="114"/>
              <w:rPr>
                <w:color w:val="auto"/>
                <w:highlight w:val="none"/>
              </w:rPr>
            </w:pPr>
            <w:r>
              <w:rPr>
                <w:color w:val="auto"/>
                <w:spacing w:val="2"/>
                <w:highlight w:val="none"/>
              </w:rPr>
              <w:t>月至</w:t>
            </w:r>
          </w:p>
        </w:tc>
        <w:tc>
          <w:tcPr>
            <w:tcW w:w="586" w:type="dxa"/>
            <w:tcBorders>
              <w:left w:val="nil"/>
            </w:tcBorders>
            <w:vAlign w:val="top"/>
          </w:tcPr>
          <w:p w14:paraId="4DBA9CB6">
            <w:pPr>
              <w:pStyle w:val="20"/>
              <w:spacing w:before="163" w:line="214" w:lineRule="auto"/>
              <w:ind w:left="115"/>
              <w:rPr>
                <w:color w:val="auto"/>
                <w:highlight w:val="none"/>
              </w:rPr>
            </w:pPr>
            <w:r>
              <w:rPr>
                <w:color w:val="auto"/>
                <w:highlight w:val="none"/>
              </w:rPr>
              <w:t>月</w:t>
            </w:r>
          </w:p>
        </w:tc>
        <w:tc>
          <w:tcPr>
            <w:tcW w:w="1396" w:type="dxa"/>
            <w:vAlign w:val="top"/>
          </w:tcPr>
          <w:p w14:paraId="10C4E4A9">
            <w:pPr>
              <w:rPr>
                <w:rFonts w:ascii="Arial"/>
                <w:color w:val="auto"/>
                <w:sz w:val="21"/>
                <w:highlight w:val="none"/>
              </w:rPr>
            </w:pPr>
          </w:p>
        </w:tc>
        <w:tc>
          <w:tcPr>
            <w:tcW w:w="1381" w:type="dxa"/>
            <w:vAlign w:val="top"/>
          </w:tcPr>
          <w:p w14:paraId="43A599EE">
            <w:pPr>
              <w:rPr>
                <w:rFonts w:ascii="Arial"/>
                <w:color w:val="auto"/>
                <w:sz w:val="21"/>
                <w:highlight w:val="none"/>
              </w:rPr>
            </w:pPr>
          </w:p>
        </w:tc>
        <w:tc>
          <w:tcPr>
            <w:tcW w:w="1394" w:type="dxa"/>
            <w:vAlign w:val="top"/>
          </w:tcPr>
          <w:p w14:paraId="7871482B">
            <w:pPr>
              <w:rPr>
                <w:rFonts w:ascii="Arial"/>
                <w:color w:val="auto"/>
                <w:sz w:val="21"/>
                <w:highlight w:val="none"/>
              </w:rPr>
            </w:pPr>
          </w:p>
        </w:tc>
        <w:tc>
          <w:tcPr>
            <w:tcW w:w="2061" w:type="dxa"/>
            <w:vAlign w:val="top"/>
          </w:tcPr>
          <w:p w14:paraId="4D0A6610">
            <w:pPr>
              <w:rPr>
                <w:rFonts w:ascii="Arial"/>
                <w:color w:val="auto"/>
                <w:sz w:val="21"/>
                <w:highlight w:val="none"/>
              </w:rPr>
            </w:pPr>
          </w:p>
        </w:tc>
        <w:tc>
          <w:tcPr>
            <w:tcW w:w="1042" w:type="dxa"/>
            <w:vAlign w:val="top"/>
          </w:tcPr>
          <w:p w14:paraId="1D37EDB4">
            <w:pPr>
              <w:rPr>
                <w:rFonts w:ascii="Arial"/>
                <w:color w:val="auto"/>
                <w:sz w:val="21"/>
                <w:highlight w:val="none"/>
              </w:rPr>
            </w:pPr>
          </w:p>
        </w:tc>
      </w:tr>
      <w:tr w14:paraId="26FE3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70915205">
            <w:pPr>
              <w:pStyle w:val="20"/>
              <w:spacing w:before="163" w:line="214" w:lineRule="auto"/>
              <w:ind w:left="490"/>
              <w:rPr>
                <w:color w:val="auto"/>
                <w:highlight w:val="none"/>
              </w:rPr>
            </w:pPr>
            <w:r>
              <w:rPr>
                <w:color w:val="auto"/>
                <w:highlight w:val="none"/>
              </w:rPr>
              <w:t>年</w:t>
            </w:r>
          </w:p>
        </w:tc>
        <w:tc>
          <w:tcPr>
            <w:tcW w:w="628" w:type="dxa"/>
            <w:tcBorders>
              <w:left w:val="nil"/>
              <w:right w:val="nil"/>
            </w:tcBorders>
            <w:vAlign w:val="top"/>
          </w:tcPr>
          <w:p w14:paraId="2E4B7DA8">
            <w:pPr>
              <w:pStyle w:val="20"/>
              <w:spacing w:before="163" w:line="214" w:lineRule="auto"/>
              <w:ind w:left="114"/>
              <w:rPr>
                <w:color w:val="auto"/>
                <w:highlight w:val="none"/>
              </w:rPr>
            </w:pPr>
            <w:r>
              <w:rPr>
                <w:color w:val="auto"/>
                <w:spacing w:val="2"/>
                <w:highlight w:val="none"/>
              </w:rPr>
              <w:t>月至</w:t>
            </w:r>
          </w:p>
        </w:tc>
        <w:tc>
          <w:tcPr>
            <w:tcW w:w="586" w:type="dxa"/>
            <w:tcBorders>
              <w:left w:val="nil"/>
            </w:tcBorders>
            <w:vAlign w:val="top"/>
          </w:tcPr>
          <w:p w14:paraId="42E3C300">
            <w:pPr>
              <w:pStyle w:val="20"/>
              <w:spacing w:before="163" w:line="214" w:lineRule="auto"/>
              <w:ind w:left="115"/>
              <w:rPr>
                <w:color w:val="auto"/>
                <w:highlight w:val="none"/>
              </w:rPr>
            </w:pPr>
            <w:r>
              <w:rPr>
                <w:color w:val="auto"/>
                <w:highlight w:val="none"/>
              </w:rPr>
              <w:t>月</w:t>
            </w:r>
          </w:p>
        </w:tc>
        <w:tc>
          <w:tcPr>
            <w:tcW w:w="1396" w:type="dxa"/>
            <w:vAlign w:val="top"/>
          </w:tcPr>
          <w:p w14:paraId="653BA89B">
            <w:pPr>
              <w:rPr>
                <w:rFonts w:ascii="Arial"/>
                <w:color w:val="auto"/>
                <w:sz w:val="21"/>
                <w:highlight w:val="none"/>
              </w:rPr>
            </w:pPr>
          </w:p>
        </w:tc>
        <w:tc>
          <w:tcPr>
            <w:tcW w:w="1381" w:type="dxa"/>
            <w:vAlign w:val="top"/>
          </w:tcPr>
          <w:p w14:paraId="2C3B89EC">
            <w:pPr>
              <w:rPr>
                <w:rFonts w:ascii="Arial"/>
                <w:color w:val="auto"/>
                <w:sz w:val="21"/>
                <w:highlight w:val="none"/>
              </w:rPr>
            </w:pPr>
          </w:p>
        </w:tc>
        <w:tc>
          <w:tcPr>
            <w:tcW w:w="1394" w:type="dxa"/>
            <w:vAlign w:val="top"/>
          </w:tcPr>
          <w:p w14:paraId="2F5DD6A9">
            <w:pPr>
              <w:rPr>
                <w:rFonts w:ascii="Arial"/>
                <w:color w:val="auto"/>
                <w:sz w:val="21"/>
                <w:highlight w:val="none"/>
              </w:rPr>
            </w:pPr>
          </w:p>
        </w:tc>
        <w:tc>
          <w:tcPr>
            <w:tcW w:w="2061" w:type="dxa"/>
            <w:vAlign w:val="top"/>
          </w:tcPr>
          <w:p w14:paraId="660D9FE7">
            <w:pPr>
              <w:rPr>
                <w:rFonts w:ascii="Arial"/>
                <w:color w:val="auto"/>
                <w:sz w:val="21"/>
                <w:highlight w:val="none"/>
              </w:rPr>
            </w:pPr>
          </w:p>
        </w:tc>
        <w:tc>
          <w:tcPr>
            <w:tcW w:w="1042" w:type="dxa"/>
            <w:vAlign w:val="top"/>
          </w:tcPr>
          <w:p w14:paraId="760FFE84">
            <w:pPr>
              <w:rPr>
                <w:rFonts w:ascii="Arial"/>
                <w:color w:val="auto"/>
                <w:sz w:val="21"/>
                <w:highlight w:val="none"/>
              </w:rPr>
            </w:pPr>
          </w:p>
        </w:tc>
      </w:tr>
      <w:tr w14:paraId="259F3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02" w:type="dxa"/>
            <w:tcBorders>
              <w:right w:val="nil"/>
            </w:tcBorders>
            <w:vAlign w:val="top"/>
          </w:tcPr>
          <w:p w14:paraId="524DF251">
            <w:pPr>
              <w:pStyle w:val="20"/>
              <w:spacing w:before="164" w:line="213" w:lineRule="auto"/>
              <w:ind w:left="490"/>
              <w:rPr>
                <w:color w:val="auto"/>
                <w:highlight w:val="none"/>
              </w:rPr>
            </w:pPr>
            <w:r>
              <w:rPr>
                <w:color w:val="auto"/>
                <w:highlight w:val="none"/>
              </w:rPr>
              <w:t>年</w:t>
            </w:r>
          </w:p>
        </w:tc>
        <w:tc>
          <w:tcPr>
            <w:tcW w:w="628" w:type="dxa"/>
            <w:tcBorders>
              <w:left w:val="nil"/>
              <w:right w:val="nil"/>
            </w:tcBorders>
            <w:vAlign w:val="top"/>
          </w:tcPr>
          <w:p w14:paraId="1447125D">
            <w:pPr>
              <w:pStyle w:val="20"/>
              <w:spacing w:before="164" w:line="213" w:lineRule="auto"/>
              <w:ind w:left="114"/>
              <w:rPr>
                <w:color w:val="auto"/>
                <w:highlight w:val="none"/>
              </w:rPr>
            </w:pPr>
            <w:r>
              <w:rPr>
                <w:color w:val="auto"/>
                <w:spacing w:val="2"/>
                <w:highlight w:val="none"/>
              </w:rPr>
              <w:t>月至</w:t>
            </w:r>
          </w:p>
        </w:tc>
        <w:tc>
          <w:tcPr>
            <w:tcW w:w="586" w:type="dxa"/>
            <w:tcBorders>
              <w:left w:val="nil"/>
            </w:tcBorders>
            <w:vAlign w:val="top"/>
          </w:tcPr>
          <w:p w14:paraId="20841BC9">
            <w:pPr>
              <w:pStyle w:val="20"/>
              <w:spacing w:before="164" w:line="213" w:lineRule="auto"/>
              <w:ind w:left="115"/>
              <w:rPr>
                <w:color w:val="auto"/>
                <w:highlight w:val="none"/>
              </w:rPr>
            </w:pPr>
            <w:r>
              <w:rPr>
                <w:color w:val="auto"/>
                <w:highlight w:val="none"/>
              </w:rPr>
              <w:t>月</w:t>
            </w:r>
          </w:p>
        </w:tc>
        <w:tc>
          <w:tcPr>
            <w:tcW w:w="1396" w:type="dxa"/>
            <w:vAlign w:val="top"/>
          </w:tcPr>
          <w:p w14:paraId="1DEC5509">
            <w:pPr>
              <w:rPr>
                <w:rFonts w:ascii="Arial"/>
                <w:color w:val="auto"/>
                <w:sz w:val="21"/>
                <w:highlight w:val="none"/>
              </w:rPr>
            </w:pPr>
          </w:p>
        </w:tc>
        <w:tc>
          <w:tcPr>
            <w:tcW w:w="1381" w:type="dxa"/>
            <w:vAlign w:val="top"/>
          </w:tcPr>
          <w:p w14:paraId="5E4FBE48">
            <w:pPr>
              <w:rPr>
                <w:rFonts w:ascii="Arial"/>
                <w:color w:val="auto"/>
                <w:sz w:val="21"/>
                <w:highlight w:val="none"/>
              </w:rPr>
            </w:pPr>
          </w:p>
        </w:tc>
        <w:tc>
          <w:tcPr>
            <w:tcW w:w="1394" w:type="dxa"/>
            <w:vAlign w:val="top"/>
          </w:tcPr>
          <w:p w14:paraId="7940FF4D">
            <w:pPr>
              <w:rPr>
                <w:rFonts w:ascii="Arial"/>
                <w:color w:val="auto"/>
                <w:sz w:val="21"/>
                <w:highlight w:val="none"/>
              </w:rPr>
            </w:pPr>
          </w:p>
        </w:tc>
        <w:tc>
          <w:tcPr>
            <w:tcW w:w="2061" w:type="dxa"/>
            <w:vAlign w:val="top"/>
          </w:tcPr>
          <w:p w14:paraId="131C481D">
            <w:pPr>
              <w:rPr>
                <w:rFonts w:ascii="Arial"/>
                <w:color w:val="auto"/>
                <w:sz w:val="21"/>
                <w:highlight w:val="none"/>
              </w:rPr>
            </w:pPr>
          </w:p>
        </w:tc>
        <w:tc>
          <w:tcPr>
            <w:tcW w:w="1042" w:type="dxa"/>
            <w:vAlign w:val="top"/>
          </w:tcPr>
          <w:p w14:paraId="5EF84150">
            <w:pPr>
              <w:rPr>
                <w:rFonts w:ascii="Arial"/>
                <w:color w:val="auto"/>
                <w:sz w:val="21"/>
                <w:highlight w:val="none"/>
              </w:rPr>
            </w:pPr>
          </w:p>
        </w:tc>
      </w:tr>
      <w:tr w14:paraId="31D90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016" w:type="dxa"/>
            <w:gridSpan w:val="3"/>
            <w:vAlign w:val="top"/>
          </w:tcPr>
          <w:p w14:paraId="3931613C">
            <w:pPr>
              <w:pStyle w:val="20"/>
              <w:spacing w:before="165" w:line="216" w:lineRule="auto"/>
              <w:ind w:left="489"/>
              <w:rPr>
                <w:color w:val="auto"/>
                <w:highlight w:val="none"/>
              </w:rPr>
            </w:pPr>
            <w:r>
              <w:rPr>
                <w:color w:val="auto"/>
                <w:spacing w:val="8"/>
                <w:highlight w:val="none"/>
              </w:rPr>
              <w:t>缺陷责任期</w:t>
            </w:r>
          </w:p>
        </w:tc>
        <w:tc>
          <w:tcPr>
            <w:tcW w:w="1396" w:type="dxa"/>
            <w:vAlign w:val="top"/>
          </w:tcPr>
          <w:p w14:paraId="33B6DE80">
            <w:pPr>
              <w:rPr>
                <w:rFonts w:ascii="Arial"/>
                <w:color w:val="auto"/>
                <w:sz w:val="21"/>
                <w:highlight w:val="none"/>
              </w:rPr>
            </w:pPr>
          </w:p>
        </w:tc>
        <w:tc>
          <w:tcPr>
            <w:tcW w:w="1381" w:type="dxa"/>
            <w:vAlign w:val="top"/>
          </w:tcPr>
          <w:p w14:paraId="28ACBFD0">
            <w:pPr>
              <w:rPr>
                <w:rFonts w:ascii="Arial"/>
                <w:color w:val="auto"/>
                <w:sz w:val="21"/>
                <w:highlight w:val="none"/>
              </w:rPr>
            </w:pPr>
          </w:p>
        </w:tc>
        <w:tc>
          <w:tcPr>
            <w:tcW w:w="1394" w:type="dxa"/>
            <w:vAlign w:val="top"/>
          </w:tcPr>
          <w:p w14:paraId="1B18213B">
            <w:pPr>
              <w:rPr>
                <w:rFonts w:ascii="Arial"/>
                <w:color w:val="auto"/>
                <w:sz w:val="21"/>
                <w:highlight w:val="none"/>
              </w:rPr>
            </w:pPr>
          </w:p>
        </w:tc>
        <w:tc>
          <w:tcPr>
            <w:tcW w:w="2061" w:type="dxa"/>
            <w:vAlign w:val="top"/>
          </w:tcPr>
          <w:p w14:paraId="43A95219">
            <w:pPr>
              <w:rPr>
                <w:rFonts w:ascii="Arial"/>
                <w:color w:val="auto"/>
                <w:sz w:val="21"/>
                <w:highlight w:val="none"/>
              </w:rPr>
            </w:pPr>
          </w:p>
        </w:tc>
        <w:tc>
          <w:tcPr>
            <w:tcW w:w="1042" w:type="dxa"/>
            <w:vAlign w:val="top"/>
          </w:tcPr>
          <w:p w14:paraId="21BE92C3">
            <w:pPr>
              <w:rPr>
                <w:rFonts w:ascii="Arial"/>
                <w:color w:val="auto"/>
                <w:sz w:val="21"/>
                <w:highlight w:val="none"/>
              </w:rPr>
            </w:pPr>
          </w:p>
        </w:tc>
      </w:tr>
    </w:tbl>
    <w:p w14:paraId="45D81073">
      <w:pPr>
        <w:rPr>
          <w:rFonts w:ascii="Arial"/>
          <w:color w:val="auto"/>
          <w:sz w:val="21"/>
          <w:highlight w:val="none"/>
        </w:rPr>
      </w:pPr>
    </w:p>
    <w:sectPr>
      <w:footerReference r:id="rId63" w:type="default"/>
      <w:pgSz w:w="11905" w:h="16838"/>
      <w:pgMar w:top="1134" w:right="1134" w:bottom="1134" w:left="1134" w:header="0" w:footer="1066"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MingLiU-ExtB">
    <w:panose1 w:val="02020500000000000000"/>
    <w:charset w:val="86"/>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MS Gothic">
    <w:panose1 w:val="020B0609070205080204"/>
    <w:charset w:val="86"/>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8F92C">
    <w:pPr>
      <w:spacing w:line="227" w:lineRule="auto"/>
      <w:ind w:left="4142"/>
      <w:rPr>
        <w:rFonts w:ascii="MingLiU-ExtB" w:hAnsi="MingLiU-ExtB" w:eastAsia="MingLiU-ExtB" w:cs="MingLiU-ExtB"/>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AB101">
    <w:pPr>
      <w:spacing w:line="227" w:lineRule="auto"/>
      <w:ind w:left="4142"/>
      <w:rPr>
        <w:rFonts w:ascii="MingLiU-ExtB" w:hAnsi="MingLiU-ExtB" w:eastAsia="MingLiU-ExtB" w:cs="MingLiU-ExtB"/>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61EEF">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361EEF">
                    <w:pPr>
                      <w:pStyle w:val="1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AEC7C">
    <w:pPr>
      <w:spacing w:line="227" w:lineRule="auto"/>
      <w:ind w:left="4131"/>
      <w:rPr>
        <w:rFonts w:ascii="MingLiU-ExtB" w:hAnsi="MingLiU-ExtB" w:eastAsia="MingLiU-ExtB" w:cs="MingLiU-ExtB"/>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4EA1C">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44EA1C">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4BDC2">
    <w:pPr>
      <w:spacing w:line="225" w:lineRule="auto"/>
      <w:rPr>
        <w:rFonts w:ascii="MingLiU-ExtB" w:hAnsi="MingLiU-ExtB" w:eastAsia="MingLiU-ExtB" w:cs="MingLiU-ExtB"/>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5823E">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FA5823E">
                    <w:pPr>
                      <w:pStyle w:val="1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390D1">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F2874">
                          <w:pPr>
                            <w:pStyle w:val="1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FF2874">
                    <w:pPr>
                      <w:pStyle w:val="1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AB44F">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0FF53">
                          <w:pPr>
                            <w:pStyle w:val="10"/>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D50FF53">
                    <w:pPr>
                      <w:pStyle w:val="10"/>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87C3">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F1424">
                          <w:pPr>
                            <w:pStyle w:val="1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4F1424">
                    <w:pPr>
                      <w:pStyle w:val="1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9668">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9D210">
                          <w:pPr>
                            <w:pStyle w:val="1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FB9D210">
                    <w:pPr>
                      <w:pStyle w:val="1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989C">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44A55">
                          <w:pPr>
                            <w:pStyle w:val="1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244A55">
                    <w:pPr>
                      <w:pStyle w:val="1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8E8CF">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F0905">
                          <w:pPr>
                            <w:pStyle w:val="10"/>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F5F0905">
                    <w:pPr>
                      <w:pStyle w:val="10"/>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8E6A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87049">
                          <w:pPr>
                            <w:pStyle w:val="1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B187049">
                    <w:pPr>
                      <w:pStyle w:val="1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B5063">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88862">
                          <w:pPr>
                            <w:pStyle w:val="10"/>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5988862">
                    <w:pPr>
                      <w:pStyle w:val="10"/>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4BB84">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BEF21">
                          <w:pPr>
                            <w:pStyle w:val="1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91BEF21">
                    <w:pPr>
                      <w:pStyle w:val="1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384FE">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43C9C8">
                          <w:pPr>
                            <w:pStyle w:val="10"/>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43C9C8">
                    <w:pPr>
                      <w:pStyle w:val="10"/>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EB58">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16C04">
                          <w:pPr>
                            <w:pStyle w:val="10"/>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4B16C04">
                    <w:pPr>
                      <w:pStyle w:val="10"/>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DF82B">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B5AD0">
                          <w:pPr>
                            <w:pStyle w:val="10"/>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97B5AD0">
                    <w:pPr>
                      <w:pStyle w:val="10"/>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4E06">
    <w:pPr>
      <w:widowControl w:val="0"/>
      <w:kinsoku w:val="0"/>
      <w:overflowPunct w:val="0"/>
      <w:autoSpaceDE w:val="0"/>
      <w:autoSpaceDN w:val="0"/>
      <w:adjustRightInd w:val="0"/>
      <w:spacing w:line="200" w:lineRule="exact"/>
      <w:jc w:val="left"/>
      <w:rPr>
        <w:rFonts w:eastAsia="Times New Roman"/>
        <w:sz w:val="20"/>
      </w:rPr>
    </w:pPr>
    <w:r>
      <w:rPr>
        <w:sz w:val="20"/>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A28EC">
                          <w:pPr>
                            <w:pStyle w:val="10"/>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1A28EC">
                    <w:pPr>
                      <w:pStyle w:val="10"/>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9ACB3">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A200B">
                          <w:pPr>
                            <w:pStyle w:val="10"/>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95A200B">
                    <w:pPr>
                      <w:pStyle w:val="10"/>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A046">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DD09E">
                          <w:pPr>
                            <w:pStyle w:val="10"/>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64DD09E">
                    <w:pPr>
                      <w:pStyle w:val="10"/>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D56F7">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ED536">
                          <w:pPr>
                            <w:pStyle w:val="10"/>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F2ED536">
                    <w:pPr>
                      <w:pStyle w:val="10"/>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24C61">
    <w:pPr>
      <w:widowControl w:val="0"/>
      <w:kinsoku w:val="0"/>
      <w:overflowPunct w:val="0"/>
      <w:autoSpaceDE w:val="0"/>
      <w:autoSpaceDN w:val="0"/>
      <w:adjustRightInd w:val="0"/>
      <w:snapToGrid/>
      <w:spacing w:line="200" w:lineRule="exact"/>
      <w:jc w:val="left"/>
      <w:textAlignment w:val="auto"/>
      <w:rPr>
        <w:rFonts w:ascii="Times New Roman" w:hAnsi="Times New Roman" w:eastAsia="Times New Roman" w:cs="Times New Roman"/>
        <w:snapToGrid/>
        <w:kern w:val="2"/>
        <w:sz w:val="20"/>
        <w:szCs w:val="20"/>
        <w:lang w:eastAsia="zh-CN"/>
      </w:rPr>
    </w:pPr>
    <w:r>
      <w:rPr>
        <w:sz w:val="20"/>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1C8C3">
                          <w:pPr>
                            <w:pStyle w:val="10"/>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171C8C3">
                    <w:pPr>
                      <w:pStyle w:val="10"/>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73C29">
    <w:pPr>
      <w:spacing w:line="223"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4B994">
                          <w:pPr>
                            <w:pStyle w:val="10"/>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3DA4B994">
                    <w:pPr>
                      <w:pStyle w:val="10"/>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3AA43">
    <w:pPr>
      <w:spacing w:line="225"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AF0EF">
                          <w:pPr>
                            <w:pStyle w:val="10"/>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4FAF0EF">
                    <w:pPr>
                      <w:pStyle w:val="10"/>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33562">
    <w:pPr>
      <w:spacing w:line="225" w:lineRule="auto"/>
      <w:ind w:left="4413"/>
      <w:rPr>
        <w:rFonts w:ascii="MingLiU-ExtB" w:hAnsi="MingLiU-ExtB" w:eastAsia="MingLiU-ExtB" w:cs="MingLiU-ExtB"/>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16F28">
                          <w:pPr>
                            <w:pStyle w:val="10"/>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69416F28">
                    <w:pPr>
                      <w:pStyle w:val="10"/>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5088C">
    <w:pPr>
      <w:spacing w:line="227"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6BEA5">
                          <w:pPr>
                            <w:pStyle w:val="10"/>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216BEA5">
                    <w:pPr>
                      <w:pStyle w:val="10"/>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3D850">
    <w:pPr>
      <w:spacing w:line="225"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D7CBA">
                          <w:pPr>
                            <w:pStyle w:val="10"/>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67D7CBA">
                    <w:pPr>
                      <w:pStyle w:val="10"/>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227D7">
    <w:pPr>
      <w:spacing w:line="226"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1C5AA5">
                          <w:pPr>
                            <w:pStyle w:val="10"/>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01C5AA5">
                    <w:pPr>
                      <w:pStyle w:val="10"/>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0D9CB">
    <w:pPr>
      <w:spacing w:line="225" w:lineRule="auto"/>
      <w:ind w:left="4051"/>
      <w:rPr>
        <w:rFonts w:ascii="MingLiU-ExtB" w:hAnsi="MingLiU-ExtB" w:eastAsia="MingLiU-ExtB" w:cs="MingLiU-ExtB"/>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1081B">
                          <w:pPr>
                            <w:pStyle w:val="10"/>
                          </w:pPr>
                          <w:r>
                            <w:fldChar w:fldCharType="begin"/>
                          </w:r>
                          <w:r>
                            <w:instrText xml:space="preserve"> PAGE  \* MERGEFORMAT </w:instrText>
                          </w:r>
                          <w:r>
                            <w:fldChar w:fldCharType="separate"/>
                          </w:r>
                          <w:r>
                            <w:t>137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801081B">
                    <w:pPr>
                      <w:pStyle w:val="10"/>
                    </w:pPr>
                    <w:r>
                      <w:fldChar w:fldCharType="begin"/>
                    </w:r>
                    <w:r>
                      <w:instrText xml:space="preserve"> PAGE  \* MERGEFORMAT </w:instrText>
                    </w:r>
                    <w:r>
                      <w:fldChar w:fldCharType="separate"/>
                    </w:r>
                    <w:r>
                      <w:t>137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BC603">
    <w:pPr>
      <w:spacing w:line="225" w:lineRule="auto"/>
      <w:ind w:left="4520"/>
      <w:rPr>
        <w:rFonts w:ascii="MingLiU-ExtB" w:hAnsi="MingLiU-ExtB" w:eastAsia="MingLiU-ExtB" w:cs="MingLiU-ExtB"/>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A3543">
                          <w:pPr>
                            <w:pStyle w:val="10"/>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245A3543">
                    <w:pPr>
                      <w:pStyle w:val="10"/>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671DB">
    <w:pPr>
      <w:spacing w:line="225" w:lineRule="auto"/>
      <w:ind w:left="4412"/>
      <w:rPr>
        <w:rFonts w:ascii="MingLiU-ExtB" w:hAnsi="MingLiU-ExtB" w:eastAsia="MingLiU-ExtB" w:cs="MingLiU-ExtB"/>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7160A">
                          <w:pPr>
                            <w:pStyle w:val="10"/>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EF7160A">
                    <w:pPr>
                      <w:pStyle w:val="10"/>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D162">
    <w:pPr>
      <w:spacing w:line="225" w:lineRule="auto"/>
      <w:ind w:left="4413"/>
      <w:rPr>
        <w:rFonts w:ascii="MingLiU-ExtB" w:hAnsi="MingLiU-ExtB" w:eastAsia="MingLiU-ExtB" w:cs="MingLiU-ExtB"/>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CA76">
                          <w:pPr>
                            <w:pStyle w:val="10"/>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57CCA76">
                    <w:pPr>
                      <w:pStyle w:val="10"/>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DD41">
    <w:pPr>
      <w:spacing w:line="225" w:lineRule="auto"/>
      <w:ind w:left="4421"/>
      <w:rPr>
        <w:rFonts w:ascii="MingLiU-ExtB" w:hAnsi="MingLiU-ExtB" w:eastAsia="MingLiU-ExtB" w:cs="MingLiU-ExtB"/>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2060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5920606">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ascii="MingLiU-ExtB" w:hAnsi="MingLiU-ExtB" w:eastAsia="MingLiU-ExtB" w:cs="MingLiU-ExtB"/>
        <w:spacing w:val="-7"/>
        <w:sz w:val="18"/>
        <w:szCs w:val="18"/>
      </w:rPr>
      <w:t>134</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1A58D">
    <w:pPr>
      <w:spacing w:line="225" w:lineRule="auto"/>
      <w:ind w:left="4413"/>
      <w:rPr>
        <w:rFonts w:ascii="MingLiU-ExtB" w:hAnsi="MingLiU-ExtB" w:eastAsia="MingLiU-ExtB" w:cs="MingLiU-ExtB"/>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CDC10E">
                          <w:pPr>
                            <w:pStyle w:val="10"/>
                          </w:pPr>
                          <w:r>
                            <w:fldChar w:fldCharType="begin"/>
                          </w:r>
                          <w:r>
                            <w:instrText xml:space="preserve"> PAGE  \* MERGEFORMAT </w:instrText>
                          </w:r>
                          <w:r>
                            <w:fldChar w:fldCharType="separate"/>
                          </w:r>
                          <w:r>
                            <w:t>144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9CDC10E">
                    <w:pPr>
                      <w:pStyle w:val="10"/>
                    </w:pPr>
                    <w:r>
                      <w:fldChar w:fldCharType="begin"/>
                    </w:r>
                    <w:r>
                      <w:instrText xml:space="preserve"> PAGE  \* MERGEFORMAT </w:instrText>
                    </w:r>
                    <w:r>
                      <w:fldChar w:fldCharType="separate"/>
                    </w:r>
                    <w:r>
                      <w:t>144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27C19">
    <w:pPr>
      <w:spacing w:line="225" w:lineRule="auto"/>
      <w:ind w:left="4535"/>
      <w:rPr>
        <w:rFonts w:ascii="MingLiU-ExtB" w:hAnsi="MingLiU-ExtB" w:eastAsia="MingLiU-ExtB" w:cs="MingLiU-ExtB"/>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BA2DF">
                          <w:pPr>
                            <w:pStyle w:val="10"/>
                          </w:pPr>
                          <w:r>
                            <w:fldChar w:fldCharType="begin"/>
                          </w:r>
                          <w:r>
                            <w:instrText xml:space="preserve"> PAGE  \* MERGEFORMAT </w:instrText>
                          </w:r>
                          <w:r>
                            <w:fldChar w:fldCharType="separate"/>
                          </w:r>
                          <w:r>
                            <w:t>145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02BBA2DF">
                    <w:pPr>
                      <w:pStyle w:val="10"/>
                    </w:pPr>
                    <w:r>
                      <w:fldChar w:fldCharType="begin"/>
                    </w:r>
                    <w:r>
                      <w:instrText xml:space="preserve"> PAGE  \* MERGEFORMAT </w:instrText>
                    </w:r>
                    <w:r>
                      <w:fldChar w:fldCharType="separate"/>
                    </w:r>
                    <w:r>
                      <w:t>145</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8AA3">
    <w:pPr>
      <w:spacing w:line="225" w:lineRule="auto"/>
      <w:ind w:left="7000"/>
      <w:rPr>
        <w:rFonts w:ascii="MingLiU-ExtB" w:hAnsi="MingLiU-ExtB" w:eastAsia="MingLiU-ExtB" w:cs="MingLiU-ExtB"/>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8399F2">
                          <w:pPr>
                            <w:pStyle w:val="10"/>
                          </w:pPr>
                          <w:r>
                            <w:fldChar w:fldCharType="begin"/>
                          </w:r>
                          <w:r>
                            <w:instrText xml:space="preserve"> PAGE  \* MERGEFORMAT </w:instrText>
                          </w:r>
                          <w:r>
                            <w:fldChar w:fldCharType="separate"/>
                          </w:r>
                          <w:r>
                            <w:t>146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1C8399F2">
                    <w:pPr>
                      <w:pStyle w:val="10"/>
                    </w:pPr>
                    <w:r>
                      <w:fldChar w:fldCharType="begin"/>
                    </w:r>
                    <w:r>
                      <w:instrText xml:space="preserve"> PAGE  \* MERGEFORMAT </w:instrText>
                    </w:r>
                    <w:r>
                      <w:fldChar w:fldCharType="separate"/>
                    </w:r>
                    <w:r>
                      <w:t>146</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A6543">
    <w:pPr>
      <w:spacing w:line="225" w:lineRule="auto"/>
      <w:ind w:left="4533"/>
      <w:rPr>
        <w:rFonts w:ascii="MingLiU-ExtB" w:hAnsi="MingLiU-ExtB" w:eastAsia="MingLiU-ExtB" w:cs="MingLiU-ExtB"/>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83D3D5">
                          <w:pPr>
                            <w:pStyle w:val="10"/>
                          </w:pPr>
                          <w:r>
                            <w:fldChar w:fldCharType="begin"/>
                          </w:r>
                          <w:r>
                            <w:instrText xml:space="preserve"> PAGE  \* MERGEFORMAT </w:instrText>
                          </w:r>
                          <w:r>
                            <w:fldChar w:fldCharType="separate"/>
                          </w:r>
                          <w:r>
                            <w:t>147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7983D3D5">
                    <w:pPr>
                      <w:pStyle w:val="10"/>
                    </w:pPr>
                    <w:r>
                      <w:fldChar w:fldCharType="begin"/>
                    </w:r>
                    <w:r>
                      <w:instrText xml:space="preserve"> PAGE  \* MERGEFORMAT </w:instrText>
                    </w:r>
                    <w:r>
                      <w:fldChar w:fldCharType="separate"/>
                    </w:r>
                    <w:r>
                      <w:t>147</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E64B0">
    <w:pPr>
      <w:spacing w:line="223" w:lineRule="auto"/>
      <w:ind w:left="4533"/>
      <w:rPr>
        <w:rFonts w:ascii="MingLiU-ExtB" w:hAnsi="MingLiU-ExtB" w:eastAsia="MingLiU-ExtB" w:cs="MingLiU-ExtB"/>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05F6A">
                          <w:pPr>
                            <w:pStyle w:val="10"/>
                          </w:pPr>
                          <w:r>
                            <w:fldChar w:fldCharType="begin"/>
                          </w:r>
                          <w:r>
                            <w:instrText xml:space="preserve"> PAGE  \* MERGEFORMAT </w:instrText>
                          </w:r>
                          <w:r>
                            <w:fldChar w:fldCharType="separate"/>
                          </w:r>
                          <w:r>
                            <w:t>148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7A05F6A">
                    <w:pPr>
                      <w:pStyle w:val="10"/>
                    </w:pPr>
                    <w:r>
                      <w:fldChar w:fldCharType="begin"/>
                    </w:r>
                    <w:r>
                      <w:instrText xml:space="preserve"> PAGE  \* MERGEFORMAT </w:instrText>
                    </w:r>
                    <w:r>
                      <w:fldChar w:fldCharType="separate"/>
                    </w:r>
                    <w:r>
                      <w:t>148</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EC3BE">
    <w:pPr>
      <w:pStyle w:val="10"/>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22722">
                          <w:pPr>
                            <w:pStyle w:val="10"/>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3D22722">
                    <w:pPr>
                      <w:pStyle w:val="10"/>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EBD5">
    <w:pPr>
      <w:pStyle w:val="10"/>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638752">
                          <w:pPr>
                            <w:pStyle w:val="10"/>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00638752">
                    <w:pPr>
                      <w:pStyle w:val="10"/>
                    </w:pPr>
                    <w:r>
                      <w:fldChar w:fldCharType="begin"/>
                    </w:r>
                    <w:r>
                      <w:instrText xml:space="preserve"> PAGE  \* MERGEFORMAT </w:instrText>
                    </w:r>
                    <w:r>
                      <w:fldChar w:fldCharType="separate"/>
                    </w:r>
                    <w:r>
                      <w:t>150</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2538A">
    <w:pPr>
      <w:pStyle w:val="10"/>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815E0">
                          <w:pPr>
                            <w:pStyle w:val="10"/>
                          </w:pPr>
                          <w:r>
                            <w:fldChar w:fldCharType="begin"/>
                          </w:r>
                          <w:r>
                            <w:instrText xml:space="preserve"> PAGE  \* MERGEFORMAT </w:instrText>
                          </w:r>
                          <w:r>
                            <w:fldChar w:fldCharType="separate"/>
                          </w:r>
                          <w:r>
                            <w:t>151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507815E0">
                    <w:pPr>
                      <w:pStyle w:val="10"/>
                    </w:pPr>
                    <w:r>
                      <w:fldChar w:fldCharType="begin"/>
                    </w:r>
                    <w:r>
                      <w:instrText xml:space="preserve"> PAGE  \* MERGEFORMAT </w:instrText>
                    </w:r>
                    <w:r>
                      <w:fldChar w:fldCharType="separate"/>
                    </w:r>
                    <w:r>
                      <w:t>151</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5981C">
    <w:pPr>
      <w:pStyle w:val="10"/>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4202B">
                          <w:pPr>
                            <w:pStyle w:val="10"/>
                          </w:pPr>
                          <w:r>
                            <w:fldChar w:fldCharType="begin"/>
                          </w:r>
                          <w:r>
                            <w:instrText xml:space="preserve"> PAGE  \* MERGEFORMAT </w:instrText>
                          </w:r>
                          <w:r>
                            <w:fldChar w:fldCharType="separate"/>
                          </w:r>
                          <w:r>
                            <w:t>152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B34202B">
                    <w:pPr>
                      <w:pStyle w:val="10"/>
                    </w:pPr>
                    <w:r>
                      <w:fldChar w:fldCharType="begin"/>
                    </w:r>
                    <w:r>
                      <w:instrText xml:space="preserve"> PAGE  \* MERGEFORMAT </w:instrText>
                    </w:r>
                    <w:r>
                      <w:fldChar w:fldCharType="separate"/>
                    </w:r>
                    <w:r>
                      <w:t>152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5670C">
    <w:pPr>
      <w:pStyle w:val="10"/>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0AD5A">
                          <w:pPr>
                            <w:pStyle w:val="10"/>
                          </w:pPr>
                          <w:r>
                            <w:fldChar w:fldCharType="begin"/>
                          </w:r>
                          <w:r>
                            <w:instrText xml:space="preserve"> PAGE  \* MERGEFORMAT </w:instrText>
                          </w:r>
                          <w:r>
                            <w:fldChar w:fldCharType="separate"/>
                          </w:r>
                          <w:r>
                            <w:t>153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4A0AD5A">
                    <w:pPr>
                      <w:pStyle w:val="10"/>
                    </w:pPr>
                    <w:r>
                      <w:fldChar w:fldCharType="begin"/>
                    </w:r>
                    <w:r>
                      <w:instrText xml:space="preserve"> PAGE  \* MERGEFORMAT </w:instrText>
                    </w:r>
                    <w:r>
                      <w:fldChar w:fldCharType="separate"/>
                    </w:r>
                    <w:r>
                      <w:t>153</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690A7">
    <w:pPr>
      <w:pStyle w:val="10"/>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051FC">
                          <w:pPr>
                            <w:pStyle w:val="10"/>
                          </w:pPr>
                          <w:r>
                            <w:fldChar w:fldCharType="begin"/>
                          </w:r>
                          <w:r>
                            <w:instrText xml:space="preserve"> PAGE  \* MERGEFORMAT </w:instrText>
                          </w:r>
                          <w:r>
                            <w:fldChar w:fldCharType="separate"/>
                          </w:r>
                          <w:r>
                            <w:t>154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457051FC">
                    <w:pPr>
                      <w:pStyle w:val="10"/>
                    </w:pPr>
                    <w:r>
                      <w:fldChar w:fldCharType="begin"/>
                    </w:r>
                    <w:r>
                      <w:instrText xml:space="preserve"> PAGE  \* MERGEFORMAT </w:instrText>
                    </w:r>
                    <w:r>
                      <w:fldChar w:fldCharType="separate"/>
                    </w:r>
                    <w:r>
                      <w:t>154</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6B6A9">
    <w:pPr>
      <w:pStyle w:val="10"/>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E8C32">
                          <w:pPr>
                            <w:pStyle w:val="10"/>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31CE8C32">
                    <w:pPr>
                      <w:pStyle w:val="10"/>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DC7FC">
    <w:pPr>
      <w:pStyle w:val="10"/>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F82D9">
                          <w:pPr>
                            <w:pStyle w:val="10"/>
                          </w:pPr>
                          <w:r>
                            <w:fldChar w:fldCharType="begin"/>
                          </w:r>
                          <w:r>
                            <w:instrText xml:space="preserve"> PAGE  \* MERGEFORMAT </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23F82D9">
                    <w:pPr>
                      <w:pStyle w:val="10"/>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568F1">
    <w:pPr>
      <w:pStyle w:val="10"/>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E1A1A">
                          <w:pPr>
                            <w:pStyle w:val="10"/>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456E1A1A">
                    <w:pPr>
                      <w:pStyle w:val="10"/>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4EAF">
    <w:pPr>
      <w:pStyle w:val="10"/>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0C863">
                          <w:pPr>
                            <w:pStyle w:val="10"/>
                          </w:pPr>
                          <w:r>
                            <w:fldChar w:fldCharType="begin"/>
                          </w:r>
                          <w:r>
                            <w:instrText xml:space="preserve"> PAGE  \* MERGEFORMAT </w:instrText>
                          </w:r>
                          <w:r>
                            <w:fldChar w:fldCharType="separate"/>
                          </w:r>
                          <w:r>
                            <w:t>158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170C863">
                    <w:pPr>
                      <w:pStyle w:val="10"/>
                    </w:pPr>
                    <w:r>
                      <w:fldChar w:fldCharType="begin"/>
                    </w:r>
                    <w:r>
                      <w:instrText xml:space="preserve"> PAGE  \* MERGEFORMAT </w:instrText>
                    </w:r>
                    <w:r>
                      <w:fldChar w:fldCharType="separate"/>
                    </w:r>
                    <w:r>
                      <w:t>158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C4B9C">
    <w:pPr>
      <w:pStyle w:val="10"/>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5DC56">
                          <w:pPr>
                            <w:pStyle w:val="10"/>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4AD5DC56">
                    <w:pPr>
                      <w:pStyle w:val="10"/>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FB995">
    <w:pPr>
      <w:pStyle w:val="10"/>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9153D">
                          <w:pPr>
                            <w:pStyle w:val="10"/>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45A9153D">
                    <w:pPr>
                      <w:pStyle w:val="10"/>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677ED">
    <w:pPr>
      <w:pStyle w:val="10"/>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56E83">
                          <w:pPr>
                            <w:pStyle w:val="10"/>
                          </w:pPr>
                          <w:r>
                            <w:fldChar w:fldCharType="begin"/>
                          </w:r>
                          <w:r>
                            <w:instrText xml:space="preserve"> PAGE  \* MERGEFORMAT </w:instrText>
                          </w:r>
                          <w:r>
                            <w:fldChar w:fldCharType="separate"/>
                          </w:r>
                          <w:r>
                            <w:t>161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6F156E83">
                    <w:pPr>
                      <w:pStyle w:val="10"/>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DFA9">
    <w:pPr>
      <w:pStyle w:val="10"/>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E216F">
                          <w:pPr>
                            <w:pStyle w:val="10"/>
                          </w:pPr>
                          <w:r>
                            <w:fldChar w:fldCharType="begin"/>
                          </w:r>
                          <w:r>
                            <w:instrText xml:space="preserve"> PAGE  \* MERGEFORMAT </w:instrText>
                          </w:r>
                          <w:r>
                            <w:fldChar w:fldCharType="separate"/>
                          </w:r>
                          <w:r>
                            <w:t>162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0FFE216F">
                    <w:pPr>
                      <w:pStyle w:val="10"/>
                    </w:pPr>
                    <w:r>
                      <w:fldChar w:fldCharType="begin"/>
                    </w:r>
                    <w:r>
                      <w:instrText xml:space="preserve"> PAGE  \* MERGEFORMAT </w:instrText>
                    </w:r>
                    <w:r>
                      <w:fldChar w:fldCharType="separate"/>
                    </w:r>
                    <w:r>
                      <w:t>162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4A43">
    <w:pPr>
      <w:pStyle w:val="10"/>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958F">
                          <w:pPr>
                            <w:pStyle w:val="10"/>
                          </w:pPr>
                          <w:r>
                            <w:fldChar w:fldCharType="begin"/>
                          </w:r>
                          <w:r>
                            <w:instrText xml:space="preserve"> PAGE  \* MERGEFORMAT </w:instrText>
                          </w:r>
                          <w:r>
                            <w:fldChar w:fldCharType="separate"/>
                          </w:r>
                          <w:r>
                            <w:t>163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4373958F">
                    <w:pPr>
                      <w:pStyle w:val="10"/>
                    </w:pPr>
                    <w:r>
                      <w:fldChar w:fldCharType="begin"/>
                    </w:r>
                    <w:r>
                      <w:instrText xml:space="preserve"> PAGE  \* MERGEFORMAT </w:instrText>
                    </w:r>
                    <w:r>
                      <w:fldChar w:fldCharType="separate"/>
                    </w:r>
                    <w:r>
                      <w:t>163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9275">
    <w:pPr>
      <w:pStyle w:val="10"/>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454D6">
                          <w:pPr>
                            <w:pStyle w:val="10"/>
                          </w:pPr>
                          <w:r>
                            <w:fldChar w:fldCharType="begin"/>
                          </w:r>
                          <w:r>
                            <w:instrText xml:space="preserve"> PAGE  \* MERGEFORMAT </w:instrText>
                          </w:r>
                          <w:r>
                            <w:fldChar w:fldCharType="separate"/>
                          </w:r>
                          <w:r>
                            <w:t>164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34E454D6">
                    <w:pPr>
                      <w:pStyle w:val="10"/>
                    </w:pPr>
                    <w:r>
                      <w:fldChar w:fldCharType="begin"/>
                    </w:r>
                    <w:r>
                      <w:instrText xml:space="preserve"> PAGE  \* MERGEFORMAT </w:instrText>
                    </w:r>
                    <w:r>
                      <w:fldChar w:fldCharType="separate"/>
                    </w:r>
                    <w:r>
                      <w:t>164</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F8664">
    <w:pPr>
      <w:pStyle w:val="10"/>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F65A0">
                          <w:pPr>
                            <w:pStyle w:val="10"/>
                          </w:pPr>
                          <w:r>
                            <w:fldChar w:fldCharType="begin"/>
                          </w:r>
                          <w:r>
                            <w:instrText xml:space="preserve"> PAGE  \* MERGEFORMAT </w:instrText>
                          </w:r>
                          <w:r>
                            <w:fldChar w:fldCharType="separate"/>
                          </w:r>
                          <w:r>
                            <w:t>165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408F65A0">
                    <w:pPr>
                      <w:pStyle w:val="10"/>
                    </w:pPr>
                    <w:r>
                      <w:fldChar w:fldCharType="begin"/>
                    </w:r>
                    <w:r>
                      <w:instrText xml:space="preserve"> PAGE  \* MERGEFORMAT </w:instrText>
                    </w:r>
                    <w:r>
                      <w:fldChar w:fldCharType="separate"/>
                    </w:r>
                    <w:r>
                      <w:t>165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8284">
    <w:pPr>
      <w:pStyle w:val="10"/>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C78EB">
                          <w:pPr>
                            <w:pStyle w:val="10"/>
                          </w:pPr>
                          <w:r>
                            <w:fldChar w:fldCharType="begin"/>
                          </w:r>
                          <w:r>
                            <w:instrText xml:space="preserve"> PAGE  \* MERGEFORMAT </w:instrText>
                          </w:r>
                          <w:r>
                            <w:fldChar w:fldCharType="separate"/>
                          </w:r>
                          <w:r>
                            <w:t>166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3A1C78EB">
                    <w:pPr>
                      <w:pStyle w:val="10"/>
                    </w:pPr>
                    <w:r>
                      <w:fldChar w:fldCharType="begin"/>
                    </w:r>
                    <w:r>
                      <w:instrText xml:space="preserve"> PAGE  \* MERGEFORMAT </w:instrText>
                    </w:r>
                    <w:r>
                      <w:fldChar w:fldCharType="separate"/>
                    </w:r>
                    <w:r>
                      <w:t>166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23DD">
    <w:pPr>
      <w:pStyle w:val="10"/>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AC5F50">
                          <w:pPr>
                            <w:pStyle w:val="10"/>
                          </w:pPr>
                          <w:r>
                            <w:fldChar w:fldCharType="begin"/>
                          </w:r>
                          <w:r>
                            <w:instrText xml:space="preserve"> PAGE  \* MERGEFORMAT </w:instrText>
                          </w:r>
                          <w:r>
                            <w:fldChar w:fldCharType="separate"/>
                          </w:r>
                          <w:r>
                            <w:t>168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44AC5F50">
                    <w:pPr>
                      <w:pStyle w:val="10"/>
                    </w:pPr>
                    <w:r>
                      <w:fldChar w:fldCharType="begin"/>
                    </w:r>
                    <w:r>
                      <w:instrText xml:space="preserve"> PAGE  \* MERGEFORMAT </w:instrText>
                    </w:r>
                    <w:r>
                      <w:fldChar w:fldCharType="separate"/>
                    </w:r>
                    <w:r>
                      <w:t>168</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1323D">
    <w:pPr>
      <w:pStyle w:val="10"/>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A579C">
                          <w:pPr>
                            <w:pStyle w:val="10"/>
                          </w:pPr>
                          <w:r>
                            <w:fldChar w:fldCharType="begin"/>
                          </w:r>
                          <w:r>
                            <w:instrText xml:space="preserve"> PAGE  \* MERGEFORMAT </w:instrText>
                          </w:r>
                          <w:r>
                            <w:fldChar w:fldCharType="separate"/>
                          </w:r>
                          <w:r>
                            <w:t>169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74A579C">
                    <w:pPr>
                      <w:pStyle w:val="10"/>
                    </w:pPr>
                    <w:r>
                      <w:fldChar w:fldCharType="begin"/>
                    </w:r>
                    <w:r>
                      <w:instrText xml:space="preserve"> PAGE  \* MERGEFORMAT </w:instrText>
                    </w:r>
                    <w:r>
                      <w:fldChar w:fldCharType="separate"/>
                    </w:r>
                    <w:r>
                      <w:t>169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36671">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2D9EA">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ABD029"/>
    <w:multiLevelType w:val="singleLevel"/>
    <w:tmpl w:val="F1ABD029"/>
    <w:lvl w:ilvl="0" w:tentative="0">
      <w:start w:val="3"/>
      <w:numFmt w:val="chineseCounting"/>
      <w:suff w:val="nothing"/>
      <w:lvlText w:val="%1、"/>
      <w:lvlJc w:val="left"/>
      <w:rPr>
        <w:rFonts w:hint="eastAsia"/>
      </w:rPr>
    </w:lvl>
  </w:abstractNum>
  <w:abstractNum w:abstractNumId="1">
    <w:nsid w:val="F4014036"/>
    <w:multiLevelType w:val="singleLevel"/>
    <w:tmpl w:val="F4014036"/>
    <w:lvl w:ilvl="0" w:tentative="0">
      <w:start w:val="1"/>
      <w:numFmt w:val="decimal"/>
      <w:suff w:val="space"/>
      <w:lvlText w:val="%1."/>
      <w:lvlJc w:val="left"/>
    </w:lvl>
  </w:abstractNum>
  <w:abstractNum w:abstractNumId="2">
    <w:nsid w:val="FA9C057D"/>
    <w:multiLevelType w:val="singleLevel"/>
    <w:tmpl w:val="FA9C057D"/>
    <w:lvl w:ilvl="0" w:tentative="0">
      <w:start w:val="4"/>
      <w:numFmt w:val="decimal"/>
      <w:suff w:val="space"/>
      <w:lvlText w:val="%1."/>
      <w:lvlJc w:val="left"/>
    </w:lvl>
  </w:abstractNum>
  <w:abstractNum w:abstractNumId="3">
    <w:nsid w:val="00000411"/>
    <w:multiLevelType w:val="multilevel"/>
    <w:tmpl w:val="00000411"/>
    <w:lvl w:ilvl="0" w:tentative="0">
      <w:start w:val="1"/>
      <w:numFmt w:val="decimal"/>
      <w:lvlText w:val="%1"/>
      <w:lvlJc w:val="left"/>
      <w:pPr>
        <w:ind w:left="634" w:hanging="490"/>
      </w:pPr>
      <w:rPr>
        <w:rFonts w:hint="default"/>
        <w:u w:val="none" w:color="auto"/>
      </w:rPr>
    </w:lvl>
    <w:lvl w:ilvl="1" w:tentative="0">
      <w:start w:val="8"/>
      <w:numFmt w:val="decimal"/>
      <w:lvlText w:val="%1.%2"/>
      <w:lvlJc w:val="left"/>
      <w:pPr>
        <w:ind w:left="634" w:hanging="490"/>
      </w:pPr>
      <w:rPr>
        <w:rFonts w:hint="default" w:ascii="Times New Roman" w:hAnsi="Times New Roman" w:eastAsia="Times New Roman"/>
        <w:b/>
        <w:sz w:val="28"/>
        <w:u w:val="none" w:color="auto"/>
      </w:rPr>
    </w:lvl>
    <w:lvl w:ilvl="2" w:tentative="0">
      <w:start w:val="1"/>
      <w:numFmt w:val="decimal"/>
      <w:lvlText w:val="%1.%2.%3"/>
      <w:lvlJc w:val="left"/>
      <w:pPr>
        <w:ind w:left="144" w:hanging="552"/>
      </w:pPr>
      <w:rPr>
        <w:rFonts w:hint="default" w:ascii="Times New Roman" w:hAnsi="Times New Roman" w:eastAsia="Times New Roman"/>
        <w:sz w:val="22"/>
        <w:u w:val="none" w:color="auto"/>
      </w:rPr>
    </w:lvl>
    <w:lvl w:ilvl="3" w:tentative="0">
      <w:start w:val="1"/>
      <w:numFmt w:val="bullet"/>
      <w:lvlText w:val="•"/>
      <w:lvlJc w:val="left"/>
      <w:pPr>
        <w:ind w:left="2481" w:hanging="552"/>
      </w:pPr>
      <w:rPr>
        <w:rFonts w:hint="default"/>
        <w:u w:val="none" w:color="auto"/>
      </w:rPr>
    </w:lvl>
    <w:lvl w:ilvl="4" w:tentative="0">
      <w:start w:val="1"/>
      <w:numFmt w:val="bullet"/>
      <w:lvlText w:val="•"/>
      <w:lvlJc w:val="left"/>
      <w:pPr>
        <w:ind w:left="3402" w:hanging="552"/>
      </w:pPr>
      <w:rPr>
        <w:rFonts w:hint="default"/>
        <w:u w:val="none" w:color="auto"/>
      </w:rPr>
    </w:lvl>
    <w:lvl w:ilvl="5" w:tentative="0">
      <w:start w:val="1"/>
      <w:numFmt w:val="bullet"/>
      <w:lvlText w:val="•"/>
      <w:lvlJc w:val="left"/>
      <w:pPr>
        <w:ind w:left="4322" w:hanging="552"/>
      </w:pPr>
      <w:rPr>
        <w:rFonts w:hint="default"/>
        <w:u w:val="none" w:color="auto"/>
      </w:rPr>
    </w:lvl>
    <w:lvl w:ilvl="6" w:tentative="0">
      <w:start w:val="1"/>
      <w:numFmt w:val="bullet"/>
      <w:lvlText w:val="•"/>
      <w:lvlJc w:val="left"/>
      <w:pPr>
        <w:ind w:left="5243" w:hanging="552"/>
      </w:pPr>
      <w:rPr>
        <w:rFonts w:hint="default"/>
        <w:u w:val="none" w:color="auto"/>
      </w:rPr>
    </w:lvl>
    <w:lvl w:ilvl="7" w:tentative="0">
      <w:start w:val="1"/>
      <w:numFmt w:val="bullet"/>
      <w:lvlText w:val="•"/>
      <w:lvlJc w:val="left"/>
      <w:pPr>
        <w:ind w:left="6164" w:hanging="552"/>
      </w:pPr>
      <w:rPr>
        <w:rFonts w:hint="default"/>
        <w:u w:val="none" w:color="auto"/>
      </w:rPr>
    </w:lvl>
    <w:lvl w:ilvl="8" w:tentative="0">
      <w:start w:val="1"/>
      <w:numFmt w:val="bullet"/>
      <w:lvlText w:val="•"/>
      <w:lvlJc w:val="left"/>
      <w:pPr>
        <w:ind w:left="7084" w:hanging="552"/>
      </w:pPr>
      <w:rPr>
        <w:rFonts w:hint="default"/>
        <w:u w:val="none" w:color="auto"/>
      </w:rPr>
    </w:lvl>
  </w:abstractNum>
  <w:abstractNum w:abstractNumId="4">
    <w:nsid w:val="00000420"/>
    <w:multiLevelType w:val="multilevel"/>
    <w:tmpl w:val="00000420"/>
    <w:lvl w:ilvl="0" w:tentative="0">
      <w:start w:val="1"/>
      <w:numFmt w:val="decimal"/>
      <w:lvlText w:val="%1."/>
      <w:lvlJc w:val="left"/>
      <w:pPr>
        <w:ind w:left="144" w:hanging="300"/>
      </w:pPr>
      <w:rPr>
        <w:rFonts w:hint="default" w:ascii="Times New Roman" w:hAnsi="Times New Roman" w:eastAsia="Times New Roman"/>
        <w:spacing w:val="-5"/>
        <w:sz w:val="24"/>
        <w:u w:val="none" w:color="auto"/>
      </w:rPr>
    </w:lvl>
    <w:lvl w:ilvl="1" w:tentative="0">
      <w:start w:val="1"/>
      <w:numFmt w:val="bullet"/>
      <w:lvlText w:val="•"/>
      <w:lvlJc w:val="left"/>
      <w:pPr>
        <w:ind w:left="1030" w:hanging="300"/>
      </w:pPr>
      <w:rPr>
        <w:rFonts w:hint="default"/>
        <w:u w:val="none" w:color="auto"/>
      </w:rPr>
    </w:lvl>
    <w:lvl w:ilvl="2" w:tentative="0">
      <w:start w:val="1"/>
      <w:numFmt w:val="bullet"/>
      <w:lvlText w:val="•"/>
      <w:lvlJc w:val="left"/>
      <w:pPr>
        <w:ind w:left="1921" w:hanging="300"/>
      </w:pPr>
      <w:rPr>
        <w:rFonts w:hint="default"/>
        <w:u w:val="none" w:color="auto"/>
      </w:rPr>
    </w:lvl>
    <w:lvl w:ilvl="3" w:tentative="0">
      <w:start w:val="1"/>
      <w:numFmt w:val="bullet"/>
      <w:lvlText w:val="•"/>
      <w:lvlJc w:val="left"/>
      <w:pPr>
        <w:ind w:left="2811" w:hanging="300"/>
      </w:pPr>
      <w:rPr>
        <w:rFonts w:hint="default"/>
        <w:u w:val="none" w:color="auto"/>
      </w:rPr>
    </w:lvl>
    <w:lvl w:ilvl="4" w:tentative="0">
      <w:start w:val="1"/>
      <w:numFmt w:val="bullet"/>
      <w:lvlText w:val="•"/>
      <w:lvlJc w:val="left"/>
      <w:pPr>
        <w:ind w:left="3702" w:hanging="300"/>
      </w:pPr>
      <w:rPr>
        <w:rFonts w:hint="default"/>
        <w:u w:val="none" w:color="auto"/>
      </w:rPr>
    </w:lvl>
    <w:lvl w:ilvl="5" w:tentative="0">
      <w:start w:val="1"/>
      <w:numFmt w:val="bullet"/>
      <w:lvlText w:val="•"/>
      <w:lvlJc w:val="left"/>
      <w:pPr>
        <w:ind w:left="4593" w:hanging="300"/>
      </w:pPr>
      <w:rPr>
        <w:rFonts w:hint="default"/>
        <w:u w:val="none" w:color="auto"/>
      </w:rPr>
    </w:lvl>
    <w:lvl w:ilvl="6" w:tentative="0">
      <w:start w:val="1"/>
      <w:numFmt w:val="bullet"/>
      <w:lvlText w:val="•"/>
      <w:lvlJc w:val="left"/>
      <w:pPr>
        <w:ind w:left="5483" w:hanging="300"/>
      </w:pPr>
      <w:rPr>
        <w:rFonts w:hint="default"/>
        <w:u w:val="none" w:color="auto"/>
      </w:rPr>
    </w:lvl>
    <w:lvl w:ilvl="7" w:tentative="0">
      <w:start w:val="1"/>
      <w:numFmt w:val="bullet"/>
      <w:lvlText w:val="•"/>
      <w:lvlJc w:val="left"/>
      <w:pPr>
        <w:ind w:left="6374" w:hanging="300"/>
      </w:pPr>
      <w:rPr>
        <w:rFonts w:hint="default"/>
        <w:u w:val="none" w:color="auto"/>
      </w:rPr>
    </w:lvl>
    <w:lvl w:ilvl="8" w:tentative="0">
      <w:start w:val="1"/>
      <w:numFmt w:val="bullet"/>
      <w:lvlText w:val="•"/>
      <w:lvlJc w:val="left"/>
      <w:pPr>
        <w:ind w:left="7265" w:hanging="300"/>
      </w:pPr>
      <w:rPr>
        <w:rFonts w:hint="default"/>
        <w:u w:val="none" w:color="auto"/>
      </w:rPr>
    </w:lvl>
  </w:abstractNum>
  <w:abstractNum w:abstractNumId="5">
    <w:nsid w:val="07C4C6E8"/>
    <w:multiLevelType w:val="singleLevel"/>
    <w:tmpl w:val="07C4C6E8"/>
    <w:lvl w:ilvl="0" w:tentative="0">
      <w:start w:val="5"/>
      <w:numFmt w:val="decimal"/>
      <w:suff w:val="nothing"/>
      <w:lvlText w:val="（%1）"/>
      <w:lvlJc w:val="left"/>
    </w:lvl>
  </w:abstractNum>
  <w:abstractNum w:abstractNumId="6">
    <w:nsid w:val="0FF1B0B3"/>
    <w:multiLevelType w:val="singleLevel"/>
    <w:tmpl w:val="0FF1B0B3"/>
    <w:lvl w:ilvl="0" w:tentative="0">
      <w:start w:val="3"/>
      <w:numFmt w:val="chineseCounting"/>
      <w:suff w:val="nothing"/>
      <w:lvlText w:val="（%1）"/>
      <w:lvlJc w:val="left"/>
      <w:rPr>
        <w:rFonts w:hint="eastAsia"/>
      </w:rPr>
    </w:lvl>
  </w:abstractNum>
  <w:abstractNum w:abstractNumId="7">
    <w:nsid w:val="5AAF1C38"/>
    <w:multiLevelType w:val="multilevel"/>
    <w:tmpl w:val="5AAF1C38"/>
    <w:lvl w:ilvl="0" w:tentative="0">
      <w:start w:val="1"/>
      <w:numFmt w:val="chineseCountingThousand"/>
      <w:suff w:val="space"/>
      <w:lvlText w:val="第%1章  "/>
      <w:lvlJc w:val="left"/>
      <w:pPr>
        <w:ind w:left="0" w:firstLine="0"/>
      </w:pPr>
      <w:rPr>
        <w:rFonts w:hint="eastAsia"/>
      </w:rPr>
    </w:lvl>
    <w:lvl w:ilvl="1" w:tentative="0">
      <w:start w:val="1"/>
      <w:numFmt w:val="decimal"/>
      <w:suff w:val="space"/>
      <w:lvlText w:val="%2."/>
      <w:lvlJc w:val="left"/>
      <w:pPr>
        <w:tabs>
          <w:tab w:val="left" w:pos="0"/>
        </w:tabs>
        <w:ind w:left="284" w:firstLine="0"/>
      </w:pPr>
      <w:rPr>
        <w:rFonts w:hint="eastAsia" w:ascii="宋体" w:hAnsi="宋体" w:eastAsia="宋体" w:cs="宋体"/>
      </w:rPr>
    </w:lvl>
    <w:lvl w:ilvl="2" w:tentative="0">
      <w:start w:val="1"/>
      <w:numFmt w:val="decimal"/>
      <w:pStyle w:val="26"/>
      <w:suff w:val="space"/>
      <w:lvlText w:val="%2.%3"/>
      <w:lvlJc w:val="left"/>
      <w:pPr>
        <w:tabs>
          <w:tab w:val="left" w:pos="0"/>
        </w:tabs>
        <w:ind w:left="425" w:hanging="425"/>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7"/>
  </w:num>
  <w:num w:numId="2">
    <w:abstractNumId w:val="5"/>
  </w:num>
  <w:num w:numId="3">
    <w:abstractNumId w:val="4"/>
  </w:num>
  <w:num w:numId="4">
    <w:abstractNumId w:val="1"/>
  </w:num>
  <w:num w:numId="5">
    <w:abstractNumId w:val="2"/>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28264D"/>
    <w:rsid w:val="00953D9C"/>
    <w:rsid w:val="01AA17A8"/>
    <w:rsid w:val="02006997"/>
    <w:rsid w:val="03667C72"/>
    <w:rsid w:val="03696083"/>
    <w:rsid w:val="04AE73E4"/>
    <w:rsid w:val="058A2FF0"/>
    <w:rsid w:val="05BE1FE7"/>
    <w:rsid w:val="05E32322"/>
    <w:rsid w:val="087026A6"/>
    <w:rsid w:val="087D7F38"/>
    <w:rsid w:val="08BC0A60"/>
    <w:rsid w:val="090E293E"/>
    <w:rsid w:val="093F6725"/>
    <w:rsid w:val="09474723"/>
    <w:rsid w:val="095104FE"/>
    <w:rsid w:val="09DE67B4"/>
    <w:rsid w:val="0B860EB1"/>
    <w:rsid w:val="0B9D61FB"/>
    <w:rsid w:val="0C3721AC"/>
    <w:rsid w:val="0C4F74F5"/>
    <w:rsid w:val="0D6945E7"/>
    <w:rsid w:val="0E2055ED"/>
    <w:rsid w:val="0E43752E"/>
    <w:rsid w:val="0EA94D4C"/>
    <w:rsid w:val="0FBF2BE4"/>
    <w:rsid w:val="107A6B0B"/>
    <w:rsid w:val="11875983"/>
    <w:rsid w:val="17875060"/>
    <w:rsid w:val="17EF3A88"/>
    <w:rsid w:val="190D2C12"/>
    <w:rsid w:val="19506360"/>
    <w:rsid w:val="195E16BF"/>
    <w:rsid w:val="1B9E2247"/>
    <w:rsid w:val="1CB643C0"/>
    <w:rsid w:val="1CDF3B2A"/>
    <w:rsid w:val="1D835251"/>
    <w:rsid w:val="1DA43419"/>
    <w:rsid w:val="1DCF66E8"/>
    <w:rsid w:val="1E4A14A1"/>
    <w:rsid w:val="1F7D3F22"/>
    <w:rsid w:val="20672C08"/>
    <w:rsid w:val="20F712ED"/>
    <w:rsid w:val="23A90734"/>
    <w:rsid w:val="23FA60C2"/>
    <w:rsid w:val="249720B1"/>
    <w:rsid w:val="26105AEF"/>
    <w:rsid w:val="26151358"/>
    <w:rsid w:val="26547C43"/>
    <w:rsid w:val="2A154580"/>
    <w:rsid w:val="2B487ADA"/>
    <w:rsid w:val="2B872ED7"/>
    <w:rsid w:val="2BD80E5D"/>
    <w:rsid w:val="2CD929DD"/>
    <w:rsid w:val="2DA729B6"/>
    <w:rsid w:val="2DC45B3D"/>
    <w:rsid w:val="2E8E1CA7"/>
    <w:rsid w:val="30964F3A"/>
    <w:rsid w:val="3192385D"/>
    <w:rsid w:val="322A7F39"/>
    <w:rsid w:val="3255145A"/>
    <w:rsid w:val="339A4C4A"/>
    <w:rsid w:val="344E43B3"/>
    <w:rsid w:val="349D49F2"/>
    <w:rsid w:val="350E58F0"/>
    <w:rsid w:val="35A4398E"/>
    <w:rsid w:val="35D1164F"/>
    <w:rsid w:val="37DC51AD"/>
    <w:rsid w:val="3A26221A"/>
    <w:rsid w:val="3C1744FA"/>
    <w:rsid w:val="3C215910"/>
    <w:rsid w:val="3D580050"/>
    <w:rsid w:val="3DA5008B"/>
    <w:rsid w:val="3E5A3954"/>
    <w:rsid w:val="3F7406F2"/>
    <w:rsid w:val="415B1EBD"/>
    <w:rsid w:val="41B412AF"/>
    <w:rsid w:val="426D5F6E"/>
    <w:rsid w:val="42A21DA3"/>
    <w:rsid w:val="42F26851"/>
    <w:rsid w:val="43B35FE0"/>
    <w:rsid w:val="43C811E7"/>
    <w:rsid w:val="43C95E9E"/>
    <w:rsid w:val="44B02520"/>
    <w:rsid w:val="450B7CFD"/>
    <w:rsid w:val="455434EC"/>
    <w:rsid w:val="456B1EEC"/>
    <w:rsid w:val="461B7E6D"/>
    <w:rsid w:val="49A87C69"/>
    <w:rsid w:val="4CEA67EB"/>
    <w:rsid w:val="4E850579"/>
    <w:rsid w:val="4F363F69"/>
    <w:rsid w:val="50034F5C"/>
    <w:rsid w:val="505D61A3"/>
    <w:rsid w:val="506C27EE"/>
    <w:rsid w:val="52D4387D"/>
    <w:rsid w:val="530C63BD"/>
    <w:rsid w:val="53A92F5C"/>
    <w:rsid w:val="53E977FC"/>
    <w:rsid w:val="555B2034"/>
    <w:rsid w:val="55C20404"/>
    <w:rsid w:val="55DA38A0"/>
    <w:rsid w:val="566F752B"/>
    <w:rsid w:val="568B2322"/>
    <w:rsid w:val="57EA5A05"/>
    <w:rsid w:val="58714982"/>
    <w:rsid w:val="58D05B2A"/>
    <w:rsid w:val="5A754FD7"/>
    <w:rsid w:val="5B57504B"/>
    <w:rsid w:val="5BB31DEC"/>
    <w:rsid w:val="5C3D1FBD"/>
    <w:rsid w:val="5E9C47B5"/>
    <w:rsid w:val="5EC6498E"/>
    <w:rsid w:val="60194FC5"/>
    <w:rsid w:val="602E7DDC"/>
    <w:rsid w:val="60467AC9"/>
    <w:rsid w:val="60563B24"/>
    <w:rsid w:val="60685D35"/>
    <w:rsid w:val="608A4101"/>
    <w:rsid w:val="60957B5F"/>
    <w:rsid w:val="60C5514D"/>
    <w:rsid w:val="60E03D35"/>
    <w:rsid w:val="61564BE3"/>
    <w:rsid w:val="6181336C"/>
    <w:rsid w:val="61BF4E79"/>
    <w:rsid w:val="63D80CF3"/>
    <w:rsid w:val="64177A6E"/>
    <w:rsid w:val="65072E52"/>
    <w:rsid w:val="65A04C05"/>
    <w:rsid w:val="66171DC0"/>
    <w:rsid w:val="6692787F"/>
    <w:rsid w:val="690540BF"/>
    <w:rsid w:val="69197CA1"/>
    <w:rsid w:val="69B55D5F"/>
    <w:rsid w:val="6A8D6CDC"/>
    <w:rsid w:val="6B7124B4"/>
    <w:rsid w:val="6C7672FB"/>
    <w:rsid w:val="6C8934D3"/>
    <w:rsid w:val="6CF66663"/>
    <w:rsid w:val="6D170ADE"/>
    <w:rsid w:val="6DA71E62"/>
    <w:rsid w:val="6DFD60DD"/>
    <w:rsid w:val="6E397CCC"/>
    <w:rsid w:val="6E3C30EB"/>
    <w:rsid w:val="6E3D2189"/>
    <w:rsid w:val="6E9E557E"/>
    <w:rsid w:val="6F4A598B"/>
    <w:rsid w:val="6F67111B"/>
    <w:rsid w:val="6FB6774A"/>
    <w:rsid w:val="706C06D6"/>
    <w:rsid w:val="707826E2"/>
    <w:rsid w:val="70E92792"/>
    <w:rsid w:val="720D24B0"/>
    <w:rsid w:val="73334198"/>
    <w:rsid w:val="743B50B2"/>
    <w:rsid w:val="744E128A"/>
    <w:rsid w:val="7548217D"/>
    <w:rsid w:val="75F220E9"/>
    <w:rsid w:val="76685904"/>
    <w:rsid w:val="779C67B0"/>
    <w:rsid w:val="77B07B65"/>
    <w:rsid w:val="78436C2C"/>
    <w:rsid w:val="7A710C95"/>
    <w:rsid w:val="7BFC1355"/>
    <w:rsid w:val="7E486D4A"/>
    <w:rsid w:val="7EC42148"/>
    <w:rsid w:val="7F6D21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autoRedefine/>
    <w:qFormat/>
    <w:uiPriority w:val="0"/>
    <w:pPr>
      <w:keepNext/>
      <w:keepLines/>
      <w:numPr>
        <w:ilvl w:val="0"/>
        <w:numId w:val="0"/>
      </w:numPr>
      <w:tabs>
        <w:tab w:val="left" w:pos="-420"/>
        <w:tab w:val="left" w:pos="0"/>
      </w:tabs>
      <w:adjustRightInd w:val="0"/>
      <w:snapToGrid w:val="0"/>
      <w:spacing w:before="50" w:beforeLines="50" w:after="50" w:afterLines="50" w:line="360" w:lineRule="auto"/>
      <w:outlineLvl w:val="0"/>
    </w:pPr>
    <w:rPr>
      <w:rFonts w:ascii="微软雅黑" w:hAnsi="微软雅黑" w:eastAsia="宋体" w:cs="Times New Roman"/>
      <w:b/>
      <w:bCs/>
      <w:color w:val="auto"/>
      <w:kern w:val="44"/>
      <w:sz w:val="32"/>
      <w:szCs w:val="32"/>
      <w:lang w:val="en-US" w:eastAsia="zh-CN" w:bidi="ar-SA"/>
    </w:rPr>
  </w:style>
  <w:style w:type="paragraph" w:styleId="3">
    <w:name w:val="heading 2"/>
    <w:basedOn w:val="1"/>
    <w:next w:val="1"/>
    <w:autoRedefine/>
    <w:unhideWhenUsed/>
    <w:qFormat/>
    <w:uiPriority w:val="0"/>
    <w:pPr>
      <w:keepNext/>
      <w:keepLines/>
      <w:adjustRightInd w:val="0"/>
      <w:snapToGrid w:val="0"/>
      <w:spacing w:before="100" w:after="100" w:line="360" w:lineRule="auto"/>
      <w:outlineLvl w:val="1"/>
    </w:pPr>
    <w:rPr>
      <w:rFonts w:ascii="Arial" w:hAnsi="Arial" w:eastAsia="宋体" w:cs="Times New Roman"/>
      <w:b/>
      <w:bCs/>
      <w:kern w:val="2"/>
      <w:sz w:val="28"/>
      <w:szCs w:val="32"/>
      <w:lang w:eastAsia="zh-CN"/>
    </w:rPr>
  </w:style>
  <w:style w:type="paragraph" w:styleId="4">
    <w:name w:val="heading 3"/>
    <w:basedOn w:val="1"/>
    <w:next w:val="1"/>
    <w:link w:val="25"/>
    <w:autoRedefine/>
    <w:unhideWhenUsed/>
    <w:qFormat/>
    <w:uiPriority w:val="0"/>
    <w:pPr>
      <w:keepNext/>
      <w:keepLines/>
      <w:adjustRightInd w:val="0"/>
      <w:snapToGrid w:val="0"/>
      <w:spacing w:before="200" w:line="312" w:lineRule="auto"/>
      <w:outlineLvl w:val="2"/>
    </w:pPr>
    <w:rPr>
      <w:rFonts w:ascii="Times New Roman" w:hAnsi="Times New Roman" w:eastAsia="宋体" w:cs="Times New Roman"/>
      <w:b/>
      <w:bCs/>
      <w:kern w:val="2"/>
      <w:sz w:val="24"/>
      <w:szCs w:val="32"/>
      <w:lang w:eastAsia="zh-CN"/>
    </w:rPr>
  </w:style>
  <w:style w:type="paragraph" w:styleId="5">
    <w:name w:val="heading 4"/>
    <w:basedOn w:val="1"/>
    <w:next w:val="1"/>
    <w:autoRedefine/>
    <w:qFormat/>
    <w:uiPriority w:val="0"/>
    <w:pPr>
      <w:keepNext/>
      <w:keepLines/>
      <w:spacing w:before="160" w:beforeLines="0" w:beforeAutospacing="0" w:after="160" w:afterLines="0" w:afterAutospacing="0" w:line="360" w:lineRule="auto"/>
      <w:outlineLvl w:val="3"/>
    </w:pPr>
    <w:rPr>
      <w:rFonts w:ascii="Arial" w:hAnsi="Arial" w:eastAsia="宋体"/>
      <w:b/>
      <w:sz w:val="24"/>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6">
    <w:name w:val="annotation text"/>
    <w:basedOn w:val="1"/>
    <w:next w:val="1"/>
    <w:qFormat/>
    <w:uiPriority w:val="0"/>
    <w:pPr>
      <w:adjustRightInd w:val="0"/>
      <w:spacing w:line="360" w:lineRule="atLeast"/>
      <w:jc w:val="left"/>
      <w:textAlignment w:val="baseline"/>
    </w:pPr>
    <w:rPr>
      <w:szCs w:val="22"/>
    </w:rPr>
  </w:style>
  <w:style w:type="paragraph" w:styleId="7">
    <w:name w:val="Body Text"/>
    <w:basedOn w:val="1"/>
    <w:next w:val="8"/>
    <w:semiHidden/>
    <w:qFormat/>
    <w:uiPriority w:val="0"/>
    <w:rPr>
      <w:rFonts w:ascii="黑体" w:hAnsi="黑体" w:eastAsia="黑体" w:cs="黑体"/>
      <w:sz w:val="52"/>
      <w:szCs w:val="52"/>
      <w:lang w:val="en-US" w:eastAsia="en-US" w:bidi="ar-SA"/>
    </w:rPr>
  </w:style>
  <w:style w:type="paragraph" w:styleId="8">
    <w:name w:val="Body Text 2"/>
    <w:basedOn w:val="1"/>
    <w:qFormat/>
    <w:uiPriority w:val="0"/>
    <w:pPr>
      <w:spacing w:line="500" w:lineRule="exact"/>
    </w:pPr>
    <w:rPr>
      <w:rFonts w:ascii="宋体"/>
      <w:sz w:val="24"/>
    </w:rPr>
  </w:style>
  <w:style w:type="paragraph" w:styleId="9">
    <w:name w:val="Body Text Indent"/>
    <w:basedOn w:val="1"/>
    <w:qFormat/>
    <w:uiPriority w:val="0"/>
    <w:pPr>
      <w:spacing w:line="460" w:lineRule="exact"/>
      <w:ind w:firstLine="480"/>
    </w:pPr>
    <w:rPr>
      <w:rFonts w:ascii="Times New Roman" w:hAnsi="Times New Roman" w:eastAsia="宋体" w:cs="Times New Roman"/>
      <w:sz w:val="24"/>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footnote text"/>
    <w:basedOn w:val="1"/>
    <w:unhideWhenUsed/>
    <w:qFormat/>
    <w:uiPriority w:val="99"/>
    <w:pPr>
      <w:widowControl w:val="0"/>
      <w:autoSpaceDE w:val="0"/>
      <w:autoSpaceDN w:val="0"/>
      <w:adjustRightInd w:val="0"/>
      <w:snapToGrid w:val="0"/>
      <w:jc w:val="left"/>
    </w:pPr>
    <w:rPr>
      <w:rFonts w:hint="eastAsia"/>
      <w:sz w:val="18"/>
    </w:r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w:basedOn w:val="7"/>
    <w:next w:val="1"/>
    <w:qFormat/>
    <w:uiPriority w:val="0"/>
    <w:pPr>
      <w:spacing w:line="312" w:lineRule="auto"/>
      <w:ind w:firstLine="420"/>
    </w:pPr>
  </w:style>
  <w:style w:type="paragraph" w:styleId="16">
    <w:name w:val="Body Text First Indent 2"/>
    <w:basedOn w:val="9"/>
    <w:next w:val="15"/>
    <w:qFormat/>
    <w:uiPriority w:val="0"/>
    <w:pPr>
      <w:ind w:firstLine="420" w:firstLineChars="200"/>
    </w:pPr>
    <w:rPr>
      <w:rFonts w:ascii="宋体" w:hAnsi="宋体"/>
      <w:spacing w:val="-20"/>
      <w:kern w:val="21"/>
      <w:sz w:val="28"/>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0"/>
      <w:szCs w:val="20"/>
      <w:lang w:val="en-US" w:eastAsia="en-US" w:bidi="ar-SA"/>
    </w:rPr>
  </w:style>
  <w:style w:type="paragraph" w:customStyle="1" w:styleId="21">
    <w:name w:val="表格内容"/>
    <w:basedOn w:val="22"/>
    <w:qFormat/>
    <w:uiPriority w:val="0"/>
    <w:pPr>
      <w:ind w:firstLine="0" w:firstLineChars="0"/>
      <w:jc w:val="center"/>
    </w:pPr>
  </w:style>
  <w:style w:type="paragraph" w:customStyle="1" w:styleId="22">
    <w:name w:val="招标正文"/>
    <w:basedOn w:val="1"/>
    <w:qFormat/>
    <w:uiPriority w:val="0"/>
    <w:pPr>
      <w:autoSpaceDE w:val="0"/>
      <w:autoSpaceDN w:val="0"/>
      <w:adjustRightInd w:val="0"/>
      <w:ind w:firstLine="480" w:firstLineChars="200"/>
    </w:pPr>
    <w:rPr>
      <w:rFonts w:cs="微软雅黑"/>
      <w:kern w:val="0"/>
      <w:sz w:val="24"/>
    </w:rPr>
  </w:style>
  <w:style w:type="paragraph" w:customStyle="1" w:styleId="23">
    <w:name w:val="Table Paragraph"/>
    <w:basedOn w:val="1"/>
    <w:qFormat/>
    <w:uiPriority w:val="0"/>
  </w:style>
  <w:style w:type="paragraph" w:customStyle="1" w:styleId="24">
    <w:name w:val="条款正文"/>
    <w:basedOn w:val="22"/>
    <w:qFormat/>
    <w:uiPriority w:val="0"/>
    <w:pPr>
      <w:ind w:firstLine="0" w:firstLineChars="0"/>
    </w:pPr>
  </w:style>
  <w:style w:type="character" w:customStyle="1" w:styleId="25">
    <w:name w:val="标题 3 Char1"/>
    <w:link w:val="4"/>
    <w:qFormat/>
    <w:uiPriority w:val="0"/>
    <w:rPr>
      <w:rFonts w:ascii="Times New Roman" w:hAnsi="Times New Roman" w:eastAsia="宋体" w:cs="Times New Roman"/>
      <w:b/>
      <w:bCs/>
      <w:kern w:val="2"/>
      <w:sz w:val="24"/>
      <w:szCs w:val="32"/>
      <w:lang w:eastAsia="zh-CN"/>
    </w:rPr>
  </w:style>
  <w:style w:type="paragraph" w:customStyle="1" w:styleId="26">
    <w:name w:val="标题1.1"/>
    <w:basedOn w:val="22"/>
    <w:next w:val="1"/>
    <w:qFormat/>
    <w:uiPriority w:val="0"/>
    <w:pPr>
      <w:numPr>
        <w:ilvl w:val="2"/>
        <w:numId w:val="1"/>
      </w:numPr>
      <w:ind w:firstLineChars="0"/>
      <w:outlineLvl w:val="2"/>
    </w:pPr>
    <w:rPr>
      <w:rFonts w:ascii="Times New Roman" w:hAnsi="Times New Roman" w:eastAsia="宋体" w:cs="微软雅黑"/>
      <w:b/>
      <w:kern w:val="0"/>
      <w:sz w:val="24"/>
      <w:szCs w:val="24"/>
    </w:rPr>
  </w:style>
  <w:style w:type="character" w:customStyle="1" w:styleId="27">
    <w:name w:val="NormalCharacter"/>
    <w:semiHidden/>
    <w:qFormat/>
    <w:uiPriority w:val="0"/>
  </w:style>
  <w:style w:type="paragraph" w:customStyle="1" w:styleId="28">
    <w:name w:val="正文正"/>
    <w:basedOn w:val="1"/>
    <w:unhideWhenUsed/>
    <w:qFormat/>
    <w:uiPriority w:val="99"/>
    <w:pPr>
      <w:widowControl w:val="0"/>
      <w:autoSpaceDE w:val="0"/>
      <w:autoSpaceDN w:val="0"/>
      <w:adjustRightInd w:val="0"/>
      <w:spacing w:line="560" w:lineRule="exact"/>
      <w:ind w:firstLine="561"/>
      <w:jc w:val="left"/>
    </w:pPr>
    <w:rPr>
      <w:rFonts w:hint="eastAsia" w:ascii="Calibri" w:hAnsi="Calibri"/>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theme" Target="theme/theme1.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1.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header" Target="head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73"/>
    <customShpInfo spid="_x0000_s108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192</Pages>
  <Words>13071</Words>
  <Characters>14590</Characters>
  <TotalTime>19</TotalTime>
  <ScaleCrop>false</ScaleCrop>
  <LinksUpToDate>false</LinksUpToDate>
  <CharactersWithSpaces>14904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2026-01-08T14:58:00Z</dcterms:created>
  <dc:creator>袁静</dc:creator>
  <cp:lastModifiedBy>ヾ墨ゝノ </cp:lastModifiedBy>
  <cp:lastPrinted>2026-10-07T13:09:00Z</cp:lastPrinted>
  <dcterms:modified xsi:type="dcterms:W3CDTF">2026-10-08T08:57:36Z</dcterms:modified>
  <dc:title>公路工程标准施工招标文件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2026-03-26T12:17:57Z</vt:filetime>
  </property>
  <property fmtid="{D5CDD505-2E9C-101B-9397-08002B2CF9AE}" pid="4" name="KSOTemplateDocerSaveRecord">
    <vt:lpwstr>eyJoZGlkIjoiMGUxZTJlMDU0M2EyZjAyZDI4ZTRlOGYyOTg1NmUwNTkiLCJ1c2VySWQiOiI3MjQxNzc3OTIifQ==</vt:lpwstr>
  </property>
  <property fmtid="{D5CDD505-2E9C-101B-9397-08002B2CF9AE}" pid="5" name="KSOProductBuildVer">
    <vt:lpwstr>2052-12.1.0.28505</vt:lpwstr>
  </property>
  <property fmtid="{D5CDD505-2E9C-101B-9397-08002B2CF9AE}" pid="6" name="ICV">
    <vt:lpwstr>FC48B43835724A96ABAECE0604A88DD2_12</vt:lpwstr>
  </property>
</Properties>
</file>