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FDADCF">
      <w:pPr>
        <w:spacing w:line="360" w:lineRule="auto"/>
        <w:jc w:val="center"/>
        <w:rPr>
          <w:rFonts w:asciiTheme="minorEastAsia" w:hAnsiTheme="minorEastAsia" w:eastAsiaTheme="minorEastAsia" w:cstheme="minorEastAsia"/>
          <w:b/>
          <w:color w:val="000000" w:themeColor="text1"/>
          <w:sz w:val="48"/>
          <w:szCs w:val="48"/>
          <w14:textFill>
            <w14:solidFill>
              <w14:schemeClr w14:val="tx1"/>
            </w14:solidFill>
          </w14:textFill>
        </w:rPr>
      </w:pPr>
    </w:p>
    <w:p w14:paraId="350197BF">
      <w:pPr>
        <w:spacing w:line="360" w:lineRule="auto"/>
        <w:jc w:val="center"/>
        <w:rPr>
          <w:rFonts w:asciiTheme="minorEastAsia" w:hAnsiTheme="minorEastAsia" w:eastAsiaTheme="minorEastAsia" w:cstheme="minorEastAsia"/>
          <w:b/>
          <w:color w:val="000000" w:themeColor="text1"/>
          <w:sz w:val="48"/>
          <w:szCs w:val="48"/>
          <w14:textFill>
            <w14:solidFill>
              <w14:schemeClr w14:val="tx1"/>
            </w14:solidFill>
          </w14:textFill>
        </w:rPr>
      </w:pPr>
    </w:p>
    <w:p w14:paraId="1927410C">
      <w:pPr>
        <w:spacing w:line="360" w:lineRule="auto"/>
        <w:jc w:val="center"/>
        <w:rPr>
          <w:rFonts w:asciiTheme="minorEastAsia" w:hAnsiTheme="minorEastAsia" w:eastAsiaTheme="minorEastAsia" w:cstheme="minorEastAsia"/>
          <w:b/>
          <w:color w:val="000000" w:themeColor="text1"/>
          <w:sz w:val="36"/>
          <w:szCs w:val="24"/>
          <w14:textFill>
            <w14:solidFill>
              <w14:schemeClr w14:val="tx1"/>
            </w14:solidFill>
          </w14:textFill>
        </w:rPr>
      </w:pPr>
      <w:r>
        <w:rPr>
          <w:rFonts w:asciiTheme="minorEastAsia" w:hAnsiTheme="minorEastAsia" w:eastAsiaTheme="minorEastAsia" w:cstheme="minorEastAsia"/>
          <w:b/>
          <w:color w:val="000000" w:themeColor="text1"/>
          <w:sz w:val="60"/>
          <w:szCs w:val="60"/>
          <w14:textFill>
            <w14:solidFill>
              <w14:schemeClr w14:val="tx1"/>
            </w14:solidFill>
          </w14:textFill>
        </w:rPr>
        <w:t>新丰县丰城街道105 国道龙江横江路段沿线整治和基础设施完善项目设计施工总承包</w:t>
      </w:r>
    </w:p>
    <w:p w14:paraId="11F727DA">
      <w:pPr>
        <w:spacing w:line="360" w:lineRule="auto"/>
        <w:rPr>
          <w:rFonts w:asciiTheme="minorEastAsia" w:hAnsiTheme="minorEastAsia" w:eastAsiaTheme="minorEastAsia" w:cstheme="minorEastAsia"/>
          <w:b/>
          <w:color w:val="000000" w:themeColor="text1"/>
          <w14:textFill>
            <w14:solidFill>
              <w14:schemeClr w14:val="tx1"/>
            </w14:solidFill>
          </w14:textFill>
        </w:rPr>
      </w:pPr>
    </w:p>
    <w:p w14:paraId="51C09C67">
      <w:pPr>
        <w:spacing w:line="360" w:lineRule="auto"/>
        <w:rPr>
          <w:rFonts w:asciiTheme="minorEastAsia" w:hAnsiTheme="minorEastAsia" w:eastAsiaTheme="minorEastAsia" w:cstheme="minorEastAsia"/>
          <w:b/>
          <w:color w:val="000000" w:themeColor="text1"/>
          <w14:textFill>
            <w14:solidFill>
              <w14:schemeClr w14:val="tx1"/>
            </w14:solidFill>
          </w14:textFill>
        </w:rPr>
      </w:pPr>
    </w:p>
    <w:p w14:paraId="653CFCD3">
      <w:pPr>
        <w:pStyle w:val="8"/>
        <w:rPr>
          <w:rFonts w:asciiTheme="minorEastAsia" w:hAnsiTheme="minorEastAsia" w:eastAsiaTheme="minorEastAsia" w:cstheme="minorEastAsia"/>
          <w:color w:val="000000" w:themeColor="text1"/>
          <w14:textFill>
            <w14:solidFill>
              <w14:schemeClr w14:val="tx1"/>
            </w14:solidFill>
          </w14:textFill>
        </w:rPr>
      </w:pPr>
    </w:p>
    <w:p w14:paraId="6FBC0995">
      <w:pPr>
        <w:pStyle w:val="19"/>
        <w:rPr>
          <w:rFonts w:asciiTheme="minorEastAsia" w:hAnsiTheme="minorEastAsia" w:eastAsiaTheme="minorEastAsia" w:cstheme="minorEastAsia"/>
          <w:color w:val="000000" w:themeColor="text1"/>
          <w14:textFill>
            <w14:solidFill>
              <w14:schemeClr w14:val="tx1"/>
            </w14:solidFill>
          </w14:textFill>
        </w:rPr>
      </w:pPr>
    </w:p>
    <w:p w14:paraId="1BC89EA7">
      <w:pPr>
        <w:pStyle w:val="32"/>
        <w:spacing w:line="360" w:lineRule="auto"/>
        <w:jc w:val="center"/>
        <w:rPr>
          <w:rFonts w:hint="eastAsia" w:asciiTheme="minorEastAsia" w:hAnsiTheme="minorEastAsia" w:eastAsiaTheme="minorEastAsia" w:cstheme="minorEastAsia"/>
          <w:b/>
          <w:bCs/>
          <w:color w:val="000000" w:themeColor="text1"/>
          <w:spacing w:val="26"/>
          <w:sz w:val="84"/>
          <w:szCs w:val="84"/>
          <w14:textFill>
            <w14:solidFill>
              <w14:schemeClr w14:val="tx1"/>
            </w14:solidFill>
          </w14:textFill>
        </w:rPr>
      </w:pPr>
      <w:r>
        <w:rPr>
          <w:rFonts w:hint="eastAsia" w:asciiTheme="minorEastAsia" w:hAnsiTheme="minorEastAsia" w:eastAsiaTheme="minorEastAsia" w:cstheme="minorEastAsia"/>
          <w:b/>
          <w:bCs/>
          <w:color w:val="000000" w:themeColor="text1"/>
          <w:spacing w:val="26"/>
          <w:sz w:val="84"/>
          <w:szCs w:val="84"/>
          <w14:textFill>
            <w14:solidFill>
              <w14:schemeClr w14:val="tx1"/>
            </w14:solidFill>
          </w14:textFill>
        </w:rPr>
        <w:t>招标文件</w:t>
      </w:r>
    </w:p>
    <w:p w14:paraId="7A7B3A84">
      <w:pPr>
        <w:spacing w:line="360" w:lineRule="auto"/>
        <w:ind w:left="240" w:leftChars="100"/>
        <w:jc w:val="center"/>
        <w:rPr>
          <w:rFonts w:asciiTheme="minorEastAsia" w:hAnsiTheme="minorEastAsia" w:eastAsiaTheme="minorEastAsia" w:cstheme="minorEastAsia"/>
          <w:b/>
          <w:color w:val="000000" w:themeColor="text1"/>
          <w:sz w:val="32"/>
          <w:szCs w:val="32"/>
          <w14:textFill>
            <w14:solidFill>
              <w14:schemeClr w14:val="tx1"/>
            </w14:solidFill>
          </w14:textFill>
        </w:rPr>
      </w:pPr>
    </w:p>
    <w:tbl>
      <w:tblPr>
        <w:tblStyle w:val="21"/>
        <w:tblpPr w:leftFromText="180" w:rightFromText="180" w:vertAnchor="text" w:horzAnchor="page" w:tblpX="1372" w:tblpY="753"/>
        <w:tblW w:w="9799" w:type="dxa"/>
        <w:tblInd w:w="0" w:type="dxa"/>
        <w:tblLayout w:type="fixed"/>
        <w:tblCellMar>
          <w:top w:w="0" w:type="dxa"/>
          <w:left w:w="0" w:type="dxa"/>
          <w:bottom w:w="0" w:type="dxa"/>
          <w:right w:w="0" w:type="dxa"/>
        </w:tblCellMar>
      </w:tblPr>
      <w:tblGrid>
        <w:gridCol w:w="4671"/>
        <w:gridCol w:w="5128"/>
      </w:tblGrid>
      <w:tr w14:paraId="2F24CB70">
        <w:tblPrEx>
          <w:tblCellMar>
            <w:top w:w="0" w:type="dxa"/>
            <w:left w:w="0" w:type="dxa"/>
            <w:bottom w:w="0" w:type="dxa"/>
            <w:right w:w="0" w:type="dxa"/>
          </w:tblCellMar>
        </w:tblPrEx>
        <w:trPr>
          <w:trHeight w:val="935" w:hRule="atLeast"/>
        </w:trPr>
        <w:tc>
          <w:tcPr>
            <w:tcW w:w="4671" w:type="dxa"/>
            <w:noWrap/>
            <w:vAlign w:val="center"/>
          </w:tcPr>
          <w:p w14:paraId="6480CF97">
            <w:pPr>
              <w:pStyle w:val="33"/>
              <w:jc w:val="distribute"/>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招   标   人（盖单位章）：</w:t>
            </w:r>
          </w:p>
        </w:tc>
        <w:tc>
          <w:tcPr>
            <w:tcW w:w="5128" w:type="dxa"/>
            <w:noWrap/>
            <w:vAlign w:val="center"/>
          </w:tcPr>
          <w:p w14:paraId="3CA8B497">
            <w:pPr>
              <w:pStyle w:val="33"/>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新丰县人民政府丰城街道办事处</w:t>
            </w:r>
          </w:p>
        </w:tc>
      </w:tr>
      <w:tr w14:paraId="24FA20F8">
        <w:tblPrEx>
          <w:tblCellMar>
            <w:top w:w="0" w:type="dxa"/>
            <w:left w:w="0" w:type="dxa"/>
            <w:bottom w:w="0" w:type="dxa"/>
            <w:right w:w="0" w:type="dxa"/>
          </w:tblCellMar>
        </w:tblPrEx>
        <w:trPr>
          <w:trHeight w:val="1059" w:hRule="atLeast"/>
        </w:trPr>
        <w:tc>
          <w:tcPr>
            <w:tcW w:w="4671" w:type="dxa"/>
            <w:noWrap/>
            <w:vAlign w:val="center"/>
          </w:tcPr>
          <w:p w14:paraId="319D6593">
            <w:pPr>
              <w:pStyle w:val="33"/>
              <w:jc w:val="distribute"/>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招标人工作领导小组负责人（签字）：</w:t>
            </w:r>
          </w:p>
        </w:tc>
        <w:tc>
          <w:tcPr>
            <w:tcW w:w="5128" w:type="dxa"/>
            <w:noWrap/>
            <w:vAlign w:val="center"/>
          </w:tcPr>
          <w:p w14:paraId="7E4E82BA">
            <w:pPr>
              <w:pStyle w:val="33"/>
              <w:rPr>
                <w:rFonts w:hint="eastAsia" w:asciiTheme="minorEastAsia" w:hAnsiTheme="minorEastAsia" w:eastAsiaTheme="minorEastAsia" w:cstheme="minorEastAsia"/>
                <w:color w:val="000000" w:themeColor="text1"/>
                <w:sz w:val="28"/>
                <w:szCs w:val="28"/>
                <w14:textFill>
                  <w14:solidFill>
                    <w14:schemeClr w14:val="tx1"/>
                  </w14:solidFill>
                </w14:textFill>
              </w:rPr>
            </w:pPr>
          </w:p>
        </w:tc>
      </w:tr>
      <w:tr w14:paraId="2448E9D3">
        <w:trPr>
          <w:trHeight w:val="1031" w:hRule="atLeast"/>
        </w:trPr>
        <w:tc>
          <w:tcPr>
            <w:tcW w:w="4671" w:type="dxa"/>
            <w:noWrap/>
            <w:vAlign w:val="center"/>
          </w:tcPr>
          <w:p w14:paraId="2ACF8643">
            <w:pPr>
              <w:pStyle w:val="33"/>
              <w:jc w:val="distribute"/>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招 标 代 理 机 构 （盖章）：</w:t>
            </w:r>
          </w:p>
        </w:tc>
        <w:tc>
          <w:tcPr>
            <w:tcW w:w="5128" w:type="dxa"/>
            <w:noWrap/>
            <w:vAlign w:val="center"/>
          </w:tcPr>
          <w:p w14:paraId="765E8CB5">
            <w:pPr>
              <w:pStyle w:val="33"/>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8"/>
                <w:szCs w:val="28"/>
                <w14:textFill>
                  <w14:solidFill>
                    <w14:schemeClr w14:val="tx1"/>
                  </w14:solidFill>
                </w14:textFill>
              </w:rPr>
              <w:t>韶关市北桓工程咨询有限公司</w:t>
            </w:r>
          </w:p>
        </w:tc>
      </w:tr>
      <w:tr w14:paraId="07832836">
        <w:tblPrEx>
          <w:tblCellMar>
            <w:top w:w="0" w:type="dxa"/>
            <w:left w:w="0" w:type="dxa"/>
            <w:bottom w:w="0" w:type="dxa"/>
            <w:right w:w="0" w:type="dxa"/>
          </w:tblCellMar>
        </w:tblPrEx>
        <w:trPr>
          <w:trHeight w:val="809" w:hRule="atLeast"/>
        </w:trPr>
        <w:tc>
          <w:tcPr>
            <w:tcW w:w="4671" w:type="dxa"/>
            <w:noWrap/>
            <w:vAlign w:val="center"/>
          </w:tcPr>
          <w:p w14:paraId="1C3F170D">
            <w:pPr>
              <w:pStyle w:val="33"/>
              <w:jc w:val="distribute"/>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招标文件编制人（签字）：</w:t>
            </w:r>
          </w:p>
        </w:tc>
        <w:tc>
          <w:tcPr>
            <w:tcW w:w="5128" w:type="dxa"/>
            <w:noWrap/>
            <w:vAlign w:val="center"/>
          </w:tcPr>
          <w:p w14:paraId="3B640791">
            <w:pPr>
              <w:pStyle w:val="33"/>
              <w:rPr>
                <w:rFonts w:hint="eastAsia" w:asciiTheme="minorEastAsia" w:hAnsiTheme="minorEastAsia" w:eastAsiaTheme="minorEastAsia" w:cstheme="minorEastAsia"/>
                <w:color w:val="000000" w:themeColor="text1"/>
                <w:sz w:val="28"/>
                <w:szCs w:val="28"/>
                <w14:textFill>
                  <w14:solidFill>
                    <w14:schemeClr w14:val="tx1"/>
                  </w14:solidFill>
                </w14:textFill>
              </w:rPr>
            </w:pPr>
          </w:p>
        </w:tc>
      </w:tr>
      <w:tr w14:paraId="14BC50B4">
        <w:tblPrEx>
          <w:tblCellMar>
            <w:top w:w="0" w:type="dxa"/>
            <w:left w:w="0" w:type="dxa"/>
            <w:bottom w:w="0" w:type="dxa"/>
            <w:right w:w="0" w:type="dxa"/>
          </w:tblCellMar>
        </w:tblPrEx>
        <w:trPr>
          <w:trHeight w:val="863" w:hRule="atLeast"/>
        </w:trPr>
        <w:tc>
          <w:tcPr>
            <w:tcW w:w="4671" w:type="dxa"/>
            <w:noWrap/>
            <w:vAlign w:val="center"/>
          </w:tcPr>
          <w:p w14:paraId="4DAA4D9F">
            <w:pPr>
              <w:pStyle w:val="33"/>
              <w:wordWrap w:val="0"/>
              <w:jc w:val="distribute"/>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招标代理机构项目负责人（签字）：</w:t>
            </w:r>
          </w:p>
        </w:tc>
        <w:tc>
          <w:tcPr>
            <w:tcW w:w="5128" w:type="dxa"/>
            <w:noWrap/>
            <w:vAlign w:val="center"/>
          </w:tcPr>
          <w:p w14:paraId="1970BAD6">
            <w:pPr>
              <w:pStyle w:val="33"/>
              <w:rPr>
                <w:rFonts w:hint="eastAsia" w:asciiTheme="minorEastAsia" w:hAnsiTheme="minorEastAsia" w:eastAsiaTheme="minorEastAsia" w:cstheme="minorEastAsia"/>
                <w:color w:val="000000" w:themeColor="text1"/>
                <w:sz w:val="28"/>
                <w:szCs w:val="28"/>
                <w14:textFill>
                  <w14:solidFill>
                    <w14:schemeClr w14:val="tx1"/>
                  </w14:solidFill>
                </w14:textFill>
              </w:rPr>
            </w:pPr>
          </w:p>
        </w:tc>
      </w:tr>
      <w:tr w14:paraId="46376E0E">
        <w:tblPrEx>
          <w:tblCellMar>
            <w:top w:w="0" w:type="dxa"/>
            <w:left w:w="0" w:type="dxa"/>
            <w:bottom w:w="0" w:type="dxa"/>
            <w:right w:w="0" w:type="dxa"/>
          </w:tblCellMar>
        </w:tblPrEx>
        <w:trPr>
          <w:trHeight w:val="1047" w:hRule="atLeast"/>
        </w:trPr>
        <w:tc>
          <w:tcPr>
            <w:tcW w:w="4671" w:type="dxa"/>
            <w:noWrap/>
            <w:vAlign w:val="center"/>
          </w:tcPr>
          <w:p w14:paraId="1770BC45">
            <w:pPr>
              <w:pStyle w:val="33"/>
              <w:wordWrap w:val="0"/>
              <w:jc w:val="distribute"/>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招标文件编制日期：</w:t>
            </w:r>
          </w:p>
        </w:tc>
        <w:tc>
          <w:tcPr>
            <w:tcW w:w="5128" w:type="dxa"/>
            <w:noWrap/>
            <w:vAlign w:val="center"/>
          </w:tcPr>
          <w:p w14:paraId="5AF3635B">
            <w:pPr>
              <w:pStyle w:val="33"/>
              <w:rPr>
                <w:rFonts w:hint="eastAsia" w:asciiTheme="minorEastAsia" w:hAnsiTheme="minorEastAsia" w:eastAsiaTheme="minorEastAsia" w:cstheme="minorEastAsia"/>
                <w:color w:val="000000" w:themeColor="text1"/>
                <w:sz w:val="28"/>
                <w14:textFill>
                  <w14:solidFill>
                    <w14:schemeClr w14:val="tx1"/>
                  </w14:solidFill>
                </w14:textFill>
              </w:rPr>
            </w:pPr>
            <w:r>
              <w:rPr>
                <w:rFonts w:hint="eastAsia" w:asciiTheme="minorEastAsia" w:hAnsiTheme="minorEastAsia" w:eastAsiaTheme="minorEastAsia" w:cstheme="minorEastAsia"/>
                <w:color w:val="000000" w:themeColor="text1"/>
                <w:sz w:val="28"/>
                <w14:textFill>
                  <w14:solidFill>
                    <w14:schemeClr w14:val="tx1"/>
                  </w14:solidFill>
                </w14:textFill>
              </w:rPr>
              <w:t>2025年0</w:t>
            </w:r>
            <w:r>
              <w:rPr>
                <w:rFonts w:hint="eastAsia" w:asciiTheme="minorEastAsia" w:hAnsiTheme="minorEastAsia" w:eastAsiaTheme="minorEastAsia" w:cstheme="minorEastAsia"/>
                <w:color w:val="000000" w:themeColor="text1"/>
                <w:sz w:val="28"/>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8"/>
                <w14:textFill>
                  <w14:solidFill>
                    <w14:schemeClr w14:val="tx1"/>
                  </w14:solidFill>
                </w14:textFill>
              </w:rPr>
              <w:t>月</w:t>
            </w:r>
          </w:p>
        </w:tc>
      </w:tr>
    </w:tbl>
    <w:p w14:paraId="5785DA50">
      <w:pPr>
        <w:rPr>
          <w:rFonts w:asciiTheme="minorEastAsia" w:hAnsiTheme="minorEastAsia" w:eastAsiaTheme="minorEastAsia" w:cstheme="minorEastAsia"/>
          <w:color w:val="000000" w:themeColor="text1"/>
          <w14:textFill>
            <w14:solidFill>
              <w14:schemeClr w14:val="tx1"/>
            </w14:solidFill>
          </w14:textFill>
        </w:rPr>
      </w:pPr>
    </w:p>
    <w:p w14:paraId="451516FD">
      <w:pPr>
        <w:rPr>
          <w:rFonts w:asciiTheme="minorEastAsia" w:hAnsiTheme="minorEastAsia" w:eastAsiaTheme="minorEastAsia" w:cstheme="minorEastAsia"/>
          <w:color w:val="000000" w:themeColor="text1"/>
          <w14:textFill>
            <w14:solidFill>
              <w14:schemeClr w14:val="tx1"/>
            </w14:solidFill>
          </w14:textFill>
        </w:rPr>
      </w:pPr>
    </w:p>
    <w:p w14:paraId="551FBF47">
      <w:pPr>
        <w:pStyle w:val="8"/>
        <w:rPr>
          <w:rFonts w:asciiTheme="minorEastAsia" w:hAnsiTheme="minorEastAsia" w:eastAsiaTheme="minorEastAsia" w:cstheme="minorEastAsia"/>
          <w:color w:val="000000" w:themeColor="text1"/>
          <w14:textFill>
            <w14:solidFill>
              <w14:schemeClr w14:val="tx1"/>
            </w14:solidFill>
          </w14:textFill>
        </w:rPr>
      </w:pPr>
    </w:p>
    <w:p w14:paraId="3DF9D8B1">
      <w:pPr>
        <w:pStyle w:val="34"/>
        <w:tabs>
          <w:tab w:val="left" w:pos="4935"/>
        </w:tabs>
        <w:jc w:val="center"/>
        <w:rPr>
          <w:rFonts w:hint="eastAsia" w:asciiTheme="minorEastAsia" w:hAnsiTheme="minorEastAsia" w:eastAsiaTheme="minorEastAsia" w:cstheme="minorEastAsia"/>
          <w:b/>
          <w:color w:val="000000" w:themeColor="text1"/>
          <w:sz w:val="28"/>
          <w:szCs w:val="28"/>
          <w14:textFill>
            <w14:solidFill>
              <w14:schemeClr w14:val="tx1"/>
            </w14:solidFill>
          </w14:textFill>
        </w:rPr>
        <w:sectPr>
          <w:footerReference r:id="rId3" w:type="default"/>
          <w:endnotePr>
            <w:numFmt w:val="decimal"/>
          </w:endnotePr>
          <w:pgSz w:w="11906" w:h="16838"/>
          <w:pgMar w:top="850" w:right="850" w:bottom="850" w:left="850" w:header="851" w:footer="992" w:gutter="0"/>
          <w:pgNumType w:start="1"/>
          <w:cols w:space="720" w:num="1"/>
          <w:docGrid w:type="lines" w:linePitch="312" w:charSpace="0"/>
        </w:sectPr>
      </w:pPr>
    </w:p>
    <w:p w14:paraId="34FAC63C">
      <w:pPr>
        <w:pStyle w:val="34"/>
        <w:tabs>
          <w:tab w:val="left" w:pos="4935"/>
        </w:tabs>
        <w:rPr>
          <w:rFonts w:hint="eastAsia" w:asciiTheme="minorEastAsia" w:hAnsiTheme="minorEastAsia" w:eastAsiaTheme="minorEastAsia" w:cstheme="minorEastAsia"/>
          <w:b/>
          <w:color w:val="000000" w:themeColor="text1"/>
          <w:sz w:val="28"/>
          <w:szCs w:val="28"/>
          <w14:textFill>
            <w14:solidFill>
              <w14:schemeClr w14:val="tx1"/>
            </w14:solidFill>
          </w14:textFill>
        </w:rPr>
      </w:pPr>
    </w:p>
    <w:p w14:paraId="1393ADA9">
      <w:pPr>
        <w:pStyle w:val="34"/>
        <w:tabs>
          <w:tab w:val="left" w:pos="4935"/>
        </w:tabs>
        <w:jc w:val="center"/>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目    录</w:t>
      </w:r>
    </w:p>
    <w:p w14:paraId="2379F946">
      <w:pPr>
        <w:pStyle w:val="15"/>
        <w:tabs>
          <w:tab w:val="right" w:leader="dot" w:pos="10206"/>
        </w:tabs>
      </w:pPr>
      <w:r>
        <w:rPr>
          <w:rFonts w:asciiTheme="minorEastAsia" w:hAnsiTheme="minorEastAsia" w:eastAsiaTheme="minorEastAsia" w:cstheme="minorEastAsia"/>
          <w:color w:val="000000" w:themeColor="text1"/>
          <w:szCs w:val="21"/>
          <w14:textFill>
            <w14:solidFill>
              <w14:schemeClr w14:val="tx1"/>
            </w14:solidFill>
          </w14:textFill>
        </w:rPr>
        <w:fldChar w:fldCharType="begin"/>
      </w:r>
      <w:r>
        <w:rPr>
          <w:rFonts w:asciiTheme="minorEastAsia" w:hAnsiTheme="minorEastAsia" w:eastAsiaTheme="minorEastAsia" w:cstheme="minorEastAsia"/>
          <w:color w:val="000000" w:themeColor="text1"/>
          <w:szCs w:val="21"/>
          <w14:textFill>
            <w14:solidFill>
              <w14:schemeClr w14:val="tx1"/>
            </w14:solidFill>
          </w14:textFill>
        </w:rPr>
        <w:instrText xml:space="preserve"> TOC \o "1-4" \h \z </w:instrText>
      </w:r>
      <w:r>
        <w:rPr>
          <w:rFonts w:asciiTheme="minorEastAsia" w:hAnsiTheme="minorEastAsia" w:eastAsiaTheme="minorEastAsia" w:cstheme="minorEastAsia"/>
          <w:color w:val="000000" w:themeColor="text1"/>
          <w:szCs w:val="21"/>
          <w14:textFill>
            <w14:solidFill>
              <w14:schemeClr w14:val="tx1"/>
            </w14:solidFill>
          </w14:textFill>
        </w:rPr>
        <w:fldChar w:fldCharType="separate"/>
      </w:r>
      <w:r>
        <w:fldChar w:fldCharType="begin"/>
      </w:r>
      <w:r>
        <w:instrText xml:space="preserve"> HYPERLINK \l "_Toc28280" </w:instrText>
      </w:r>
      <w:r>
        <w:fldChar w:fldCharType="separate"/>
      </w:r>
      <w:r>
        <w:rPr>
          <w:rFonts w:asciiTheme="minorEastAsia" w:hAnsiTheme="minorEastAsia" w:eastAsiaTheme="minorEastAsia" w:cstheme="minorEastAsia"/>
          <w:kern w:val="44"/>
          <w:szCs w:val="36"/>
        </w:rPr>
        <w:t>第一章投标须知</w:t>
      </w:r>
      <w:r>
        <w:tab/>
      </w:r>
      <w:r>
        <w:fldChar w:fldCharType="begin"/>
      </w:r>
      <w:r>
        <w:instrText xml:space="preserve"> PAGEREF _Toc28280 \h </w:instrText>
      </w:r>
      <w:r>
        <w:fldChar w:fldCharType="separate"/>
      </w:r>
      <w:r>
        <w:t>1</w:t>
      </w:r>
      <w:r>
        <w:fldChar w:fldCharType="end"/>
      </w:r>
      <w:r>
        <w:fldChar w:fldCharType="end"/>
      </w:r>
    </w:p>
    <w:p w14:paraId="195CB3D8">
      <w:pPr>
        <w:pStyle w:val="18"/>
        <w:tabs>
          <w:tab w:val="right" w:leader="dot" w:pos="10206"/>
        </w:tabs>
        <w:ind w:left="480"/>
      </w:pPr>
      <w:r>
        <w:fldChar w:fldCharType="begin"/>
      </w:r>
      <w:r>
        <w:instrText xml:space="preserve"> HYPERLINK \l "_Toc8820" </w:instrText>
      </w:r>
      <w:r>
        <w:fldChar w:fldCharType="separate"/>
      </w:r>
      <w:r>
        <w:rPr>
          <w:rFonts w:asciiTheme="minorEastAsia" w:hAnsiTheme="minorEastAsia" w:eastAsiaTheme="minorEastAsia" w:cstheme="minorEastAsia"/>
        </w:rPr>
        <w:t>第一节.投标须知前附表</w:t>
      </w:r>
      <w:r>
        <w:tab/>
      </w:r>
      <w:r>
        <w:fldChar w:fldCharType="begin"/>
      </w:r>
      <w:r>
        <w:instrText xml:space="preserve"> PAGEREF _Toc8820 \h </w:instrText>
      </w:r>
      <w:r>
        <w:fldChar w:fldCharType="separate"/>
      </w:r>
      <w:r>
        <w:t>1</w:t>
      </w:r>
      <w:r>
        <w:fldChar w:fldCharType="end"/>
      </w:r>
      <w:r>
        <w:fldChar w:fldCharType="end"/>
      </w:r>
    </w:p>
    <w:p w14:paraId="146C2EE7">
      <w:pPr>
        <w:pStyle w:val="18"/>
        <w:tabs>
          <w:tab w:val="right" w:leader="dot" w:pos="10206"/>
        </w:tabs>
        <w:ind w:left="480"/>
      </w:pPr>
      <w:r>
        <w:fldChar w:fldCharType="begin"/>
      </w:r>
      <w:r>
        <w:instrText xml:space="preserve"> HYPERLINK \l "_Toc11957" </w:instrText>
      </w:r>
      <w:r>
        <w:fldChar w:fldCharType="separate"/>
      </w:r>
      <w:r>
        <w:rPr>
          <w:rFonts w:asciiTheme="minorEastAsia" w:hAnsiTheme="minorEastAsia" w:eastAsiaTheme="minorEastAsia" w:cstheme="minorEastAsia"/>
          <w:szCs w:val="24"/>
        </w:rPr>
        <w:t>第二节.重要事项时间地点一览表.</w:t>
      </w:r>
      <w:r>
        <w:tab/>
      </w:r>
      <w:r>
        <w:fldChar w:fldCharType="begin"/>
      </w:r>
      <w:r>
        <w:instrText xml:space="preserve"> PAGEREF _Toc11957 \h </w:instrText>
      </w:r>
      <w:r>
        <w:fldChar w:fldCharType="separate"/>
      </w:r>
      <w:r>
        <w:t>9</w:t>
      </w:r>
      <w:r>
        <w:fldChar w:fldCharType="end"/>
      </w:r>
      <w:r>
        <w:fldChar w:fldCharType="end"/>
      </w:r>
    </w:p>
    <w:p w14:paraId="155007B2">
      <w:pPr>
        <w:pStyle w:val="15"/>
        <w:tabs>
          <w:tab w:val="right" w:leader="dot" w:pos="10206"/>
        </w:tabs>
      </w:pPr>
      <w:r>
        <w:fldChar w:fldCharType="begin"/>
      </w:r>
      <w:r>
        <w:instrText xml:space="preserve"> HYPERLINK \l "_Toc30976" </w:instrText>
      </w:r>
      <w:r>
        <w:fldChar w:fldCharType="separate"/>
      </w:r>
      <w:r>
        <w:rPr>
          <w:rFonts w:asciiTheme="minorEastAsia" w:hAnsiTheme="minorEastAsia" w:eastAsiaTheme="minorEastAsia" w:cstheme="minorEastAsia"/>
          <w:szCs w:val="36"/>
        </w:rPr>
        <w:t>第</w:t>
      </w:r>
      <w:r>
        <w:rPr>
          <w:rFonts w:asciiTheme="minorEastAsia" w:hAnsiTheme="minorEastAsia" w:eastAsiaTheme="minorEastAsia" w:cstheme="minorEastAsia"/>
          <w:kern w:val="44"/>
          <w:szCs w:val="36"/>
        </w:rPr>
        <w:t>三节 投标须知正文</w:t>
      </w:r>
      <w:r>
        <w:tab/>
      </w:r>
      <w:r>
        <w:fldChar w:fldCharType="begin"/>
      </w:r>
      <w:r>
        <w:instrText xml:space="preserve"> PAGEREF _Toc30976 \h </w:instrText>
      </w:r>
      <w:r>
        <w:fldChar w:fldCharType="separate"/>
      </w:r>
      <w:r>
        <w:t>10</w:t>
      </w:r>
      <w:r>
        <w:fldChar w:fldCharType="end"/>
      </w:r>
      <w:r>
        <w:fldChar w:fldCharType="end"/>
      </w:r>
    </w:p>
    <w:p w14:paraId="3A43FED9">
      <w:pPr>
        <w:pStyle w:val="18"/>
        <w:tabs>
          <w:tab w:val="right" w:leader="dot" w:pos="10206"/>
        </w:tabs>
        <w:ind w:left="480"/>
      </w:pPr>
      <w:r>
        <w:fldChar w:fldCharType="begin"/>
      </w:r>
      <w:r>
        <w:instrText xml:space="preserve"> HYPERLINK \l "_Toc21992" </w:instrText>
      </w:r>
      <w:r>
        <w:fldChar w:fldCharType="separate"/>
      </w:r>
      <w:r>
        <w:rPr>
          <w:rFonts w:asciiTheme="minorEastAsia" w:hAnsiTheme="minorEastAsia" w:eastAsiaTheme="minorEastAsia" w:cstheme="minorEastAsia"/>
        </w:rPr>
        <w:t>1、 工程概况综合说明</w:t>
      </w:r>
      <w:r>
        <w:tab/>
      </w:r>
      <w:r>
        <w:fldChar w:fldCharType="begin"/>
      </w:r>
      <w:r>
        <w:instrText xml:space="preserve"> PAGEREF _Toc21992 \h </w:instrText>
      </w:r>
      <w:r>
        <w:fldChar w:fldCharType="separate"/>
      </w:r>
      <w:r>
        <w:t>10</w:t>
      </w:r>
      <w:r>
        <w:fldChar w:fldCharType="end"/>
      </w:r>
      <w:r>
        <w:fldChar w:fldCharType="end"/>
      </w:r>
    </w:p>
    <w:p w14:paraId="5D9493BC">
      <w:pPr>
        <w:pStyle w:val="18"/>
        <w:tabs>
          <w:tab w:val="right" w:leader="dot" w:pos="10206"/>
        </w:tabs>
        <w:ind w:left="480"/>
      </w:pPr>
      <w:r>
        <w:fldChar w:fldCharType="begin"/>
      </w:r>
      <w:r>
        <w:instrText xml:space="preserve"> HYPERLINK \l "_Toc12552" </w:instrText>
      </w:r>
      <w:r>
        <w:fldChar w:fldCharType="separate"/>
      </w:r>
      <w:r>
        <w:rPr>
          <w:rFonts w:asciiTheme="minorEastAsia" w:hAnsiTheme="minorEastAsia" w:eastAsiaTheme="minorEastAsia" w:cstheme="minorEastAsia"/>
        </w:rPr>
        <w:t>2 、招标范围</w:t>
      </w:r>
      <w:r>
        <w:tab/>
      </w:r>
      <w:r>
        <w:fldChar w:fldCharType="begin"/>
      </w:r>
      <w:r>
        <w:instrText xml:space="preserve"> PAGEREF _Toc12552 \h </w:instrText>
      </w:r>
      <w:r>
        <w:fldChar w:fldCharType="separate"/>
      </w:r>
      <w:r>
        <w:t>10</w:t>
      </w:r>
      <w:r>
        <w:fldChar w:fldCharType="end"/>
      </w:r>
      <w:r>
        <w:fldChar w:fldCharType="end"/>
      </w:r>
    </w:p>
    <w:p w14:paraId="27F48963">
      <w:pPr>
        <w:pStyle w:val="18"/>
        <w:tabs>
          <w:tab w:val="right" w:leader="dot" w:pos="10206"/>
        </w:tabs>
        <w:ind w:left="480"/>
      </w:pPr>
      <w:r>
        <w:fldChar w:fldCharType="begin"/>
      </w:r>
      <w:r>
        <w:instrText xml:space="preserve"> HYPERLINK \l "_Toc6797" </w:instrText>
      </w:r>
      <w:r>
        <w:fldChar w:fldCharType="separate"/>
      </w:r>
      <w:r>
        <w:rPr>
          <w:rFonts w:asciiTheme="minorEastAsia" w:hAnsiTheme="minorEastAsia" w:eastAsiaTheme="minorEastAsia" w:cstheme="minorEastAsia"/>
        </w:rPr>
        <w:t>4 、投标人资质及条件要求</w:t>
      </w:r>
      <w:r>
        <w:tab/>
      </w:r>
      <w:r>
        <w:fldChar w:fldCharType="begin"/>
      </w:r>
      <w:r>
        <w:instrText xml:space="preserve"> PAGEREF _Toc6797 \h </w:instrText>
      </w:r>
      <w:r>
        <w:fldChar w:fldCharType="separate"/>
      </w:r>
      <w:r>
        <w:t>11</w:t>
      </w:r>
      <w:r>
        <w:fldChar w:fldCharType="end"/>
      </w:r>
      <w:r>
        <w:fldChar w:fldCharType="end"/>
      </w:r>
    </w:p>
    <w:p w14:paraId="6B4758A1">
      <w:pPr>
        <w:pStyle w:val="18"/>
        <w:tabs>
          <w:tab w:val="right" w:leader="dot" w:pos="10206"/>
        </w:tabs>
        <w:ind w:left="480"/>
      </w:pPr>
      <w:r>
        <w:fldChar w:fldCharType="begin"/>
      </w:r>
      <w:r>
        <w:instrText xml:space="preserve"> HYPERLINK \l "_Toc15362" </w:instrText>
      </w:r>
      <w:r>
        <w:fldChar w:fldCharType="separate"/>
      </w:r>
      <w:r>
        <w:rPr>
          <w:rFonts w:asciiTheme="minorEastAsia" w:hAnsiTheme="minorEastAsia" w:eastAsiaTheme="minorEastAsia" w:cstheme="minorEastAsia"/>
        </w:rPr>
        <w:t>5 、工程招标内容及要求</w:t>
      </w:r>
      <w:r>
        <w:tab/>
      </w:r>
      <w:r>
        <w:fldChar w:fldCharType="begin"/>
      </w:r>
      <w:r>
        <w:instrText xml:space="preserve"> PAGEREF _Toc15362 \h </w:instrText>
      </w:r>
      <w:r>
        <w:fldChar w:fldCharType="separate"/>
      </w:r>
      <w:r>
        <w:t>14</w:t>
      </w:r>
      <w:r>
        <w:fldChar w:fldCharType="end"/>
      </w:r>
      <w:r>
        <w:fldChar w:fldCharType="end"/>
      </w:r>
    </w:p>
    <w:p w14:paraId="2B200523">
      <w:pPr>
        <w:pStyle w:val="18"/>
        <w:tabs>
          <w:tab w:val="right" w:leader="dot" w:pos="10206"/>
        </w:tabs>
        <w:ind w:left="480"/>
      </w:pPr>
      <w:r>
        <w:fldChar w:fldCharType="begin"/>
      </w:r>
      <w:r>
        <w:instrText xml:space="preserve"> HYPERLINK \l "_Toc4485" </w:instrText>
      </w:r>
      <w:r>
        <w:fldChar w:fldCharType="separate"/>
      </w:r>
      <w:r>
        <w:rPr>
          <w:rFonts w:asciiTheme="minorEastAsia" w:hAnsiTheme="minorEastAsia" w:eastAsiaTheme="minorEastAsia" w:cstheme="minorEastAsia"/>
        </w:rPr>
        <w:t>6 、招标工程施工条件及现场踏勘</w:t>
      </w:r>
      <w:r>
        <w:tab/>
      </w:r>
      <w:r>
        <w:fldChar w:fldCharType="begin"/>
      </w:r>
      <w:r>
        <w:instrText xml:space="preserve"> PAGEREF _Toc4485 \h </w:instrText>
      </w:r>
      <w:r>
        <w:fldChar w:fldCharType="separate"/>
      </w:r>
      <w:r>
        <w:t>17</w:t>
      </w:r>
      <w:r>
        <w:fldChar w:fldCharType="end"/>
      </w:r>
      <w:r>
        <w:fldChar w:fldCharType="end"/>
      </w:r>
    </w:p>
    <w:p w14:paraId="0671D1E1">
      <w:pPr>
        <w:pStyle w:val="18"/>
        <w:tabs>
          <w:tab w:val="right" w:leader="dot" w:pos="10206"/>
        </w:tabs>
        <w:ind w:left="480"/>
      </w:pPr>
      <w:r>
        <w:fldChar w:fldCharType="begin"/>
      </w:r>
      <w:r>
        <w:instrText xml:space="preserve"> HYPERLINK \l "_Toc10116" </w:instrText>
      </w:r>
      <w:r>
        <w:fldChar w:fldCharType="separate"/>
      </w:r>
      <w:r>
        <w:rPr>
          <w:rFonts w:asciiTheme="minorEastAsia" w:hAnsiTheme="minorEastAsia" w:eastAsiaTheme="minorEastAsia" w:cstheme="minorEastAsia"/>
        </w:rPr>
        <w:t>7 、其他招标说明</w:t>
      </w:r>
      <w:r>
        <w:tab/>
      </w:r>
      <w:r>
        <w:fldChar w:fldCharType="begin"/>
      </w:r>
      <w:r>
        <w:instrText xml:space="preserve"> PAGEREF _Toc10116 \h </w:instrText>
      </w:r>
      <w:r>
        <w:fldChar w:fldCharType="separate"/>
      </w:r>
      <w:r>
        <w:t>17</w:t>
      </w:r>
      <w:r>
        <w:fldChar w:fldCharType="end"/>
      </w:r>
      <w:r>
        <w:fldChar w:fldCharType="end"/>
      </w:r>
    </w:p>
    <w:p w14:paraId="578D6720">
      <w:pPr>
        <w:pStyle w:val="18"/>
        <w:tabs>
          <w:tab w:val="right" w:leader="dot" w:pos="10206"/>
        </w:tabs>
        <w:ind w:left="480"/>
      </w:pPr>
      <w:r>
        <w:fldChar w:fldCharType="begin"/>
      </w:r>
      <w:r>
        <w:instrText xml:space="preserve"> HYPERLINK \l "_Toc5476" </w:instrText>
      </w:r>
      <w:r>
        <w:fldChar w:fldCharType="separate"/>
      </w:r>
      <w:r>
        <w:rPr>
          <w:rFonts w:asciiTheme="minorEastAsia" w:hAnsiTheme="minorEastAsia" w:eastAsiaTheme="minorEastAsia" w:cstheme="minorEastAsia"/>
        </w:rPr>
        <w:t>8 、招标答疑</w:t>
      </w:r>
      <w:r>
        <w:tab/>
      </w:r>
      <w:r>
        <w:fldChar w:fldCharType="begin"/>
      </w:r>
      <w:r>
        <w:instrText xml:space="preserve"> PAGEREF _Toc5476 \h </w:instrText>
      </w:r>
      <w:r>
        <w:fldChar w:fldCharType="separate"/>
      </w:r>
      <w:r>
        <w:t>19</w:t>
      </w:r>
      <w:r>
        <w:fldChar w:fldCharType="end"/>
      </w:r>
      <w:r>
        <w:fldChar w:fldCharType="end"/>
      </w:r>
    </w:p>
    <w:p w14:paraId="66BA0DEA">
      <w:pPr>
        <w:pStyle w:val="18"/>
        <w:tabs>
          <w:tab w:val="right" w:leader="dot" w:pos="10206"/>
        </w:tabs>
        <w:ind w:left="480"/>
      </w:pPr>
      <w:r>
        <w:fldChar w:fldCharType="begin"/>
      </w:r>
      <w:r>
        <w:instrText xml:space="preserve"> HYPERLINK \l "_Toc8666" </w:instrText>
      </w:r>
      <w:r>
        <w:fldChar w:fldCharType="separate"/>
      </w:r>
      <w:r>
        <w:rPr>
          <w:rFonts w:asciiTheme="minorEastAsia" w:hAnsiTheme="minorEastAsia" w:eastAsiaTheme="minorEastAsia" w:cstheme="minorEastAsia"/>
        </w:rPr>
        <w:t>9 、投标报价的编制</w:t>
      </w:r>
      <w:r>
        <w:tab/>
      </w:r>
      <w:r>
        <w:fldChar w:fldCharType="begin"/>
      </w:r>
      <w:r>
        <w:instrText xml:space="preserve"> PAGEREF _Toc8666 \h </w:instrText>
      </w:r>
      <w:r>
        <w:fldChar w:fldCharType="separate"/>
      </w:r>
      <w:r>
        <w:t>20</w:t>
      </w:r>
      <w:r>
        <w:fldChar w:fldCharType="end"/>
      </w:r>
      <w:r>
        <w:fldChar w:fldCharType="end"/>
      </w:r>
    </w:p>
    <w:p w14:paraId="0AB4BB4E">
      <w:pPr>
        <w:pStyle w:val="18"/>
        <w:tabs>
          <w:tab w:val="right" w:leader="dot" w:pos="10206"/>
        </w:tabs>
        <w:ind w:left="480"/>
      </w:pPr>
      <w:r>
        <w:fldChar w:fldCharType="begin"/>
      </w:r>
      <w:r>
        <w:instrText xml:space="preserve"> HYPERLINK \l "_Toc2339" </w:instrText>
      </w:r>
      <w:r>
        <w:fldChar w:fldCharType="separate"/>
      </w:r>
      <w:r>
        <w:rPr>
          <w:rFonts w:asciiTheme="minorEastAsia" w:hAnsiTheme="minorEastAsia" w:eastAsiaTheme="minorEastAsia" w:cstheme="minorEastAsia"/>
          <w:szCs w:val="24"/>
        </w:rPr>
        <w:t>10、 最高</w:t>
      </w:r>
      <w:r>
        <w:rPr>
          <w:rFonts w:asciiTheme="minorEastAsia" w:hAnsiTheme="minorEastAsia" w:eastAsiaTheme="minorEastAsia" w:cstheme="minorEastAsia"/>
        </w:rPr>
        <w:t>投标</w:t>
      </w:r>
      <w:r>
        <w:rPr>
          <w:rFonts w:asciiTheme="minorEastAsia" w:hAnsiTheme="minorEastAsia" w:eastAsiaTheme="minorEastAsia" w:cstheme="minorEastAsia"/>
          <w:szCs w:val="24"/>
        </w:rPr>
        <w:t>限价的确定</w:t>
      </w:r>
      <w:r>
        <w:tab/>
      </w:r>
      <w:r>
        <w:fldChar w:fldCharType="begin"/>
      </w:r>
      <w:r>
        <w:instrText xml:space="preserve"> PAGEREF _Toc2339 \h </w:instrText>
      </w:r>
      <w:r>
        <w:fldChar w:fldCharType="separate"/>
      </w:r>
      <w:r>
        <w:t>21</w:t>
      </w:r>
      <w:r>
        <w:fldChar w:fldCharType="end"/>
      </w:r>
      <w:r>
        <w:fldChar w:fldCharType="end"/>
      </w:r>
    </w:p>
    <w:p w14:paraId="52824506">
      <w:pPr>
        <w:pStyle w:val="18"/>
        <w:tabs>
          <w:tab w:val="right" w:leader="dot" w:pos="10206"/>
        </w:tabs>
        <w:ind w:left="480"/>
      </w:pPr>
      <w:r>
        <w:fldChar w:fldCharType="begin"/>
      </w:r>
      <w:r>
        <w:instrText xml:space="preserve"> HYPERLINK \l "_Toc16504" </w:instrText>
      </w:r>
      <w:r>
        <w:fldChar w:fldCharType="separate"/>
      </w:r>
      <w:r>
        <w:rPr>
          <w:rFonts w:asciiTheme="minorEastAsia" w:hAnsiTheme="minorEastAsia" w:eastAsiaTheme="minorEastAsia" w:cstheme="minorEastAsia"/>
          <w:szCs w:val="22"/>
        </w:rPr>
        <w:t>11、</w:t>
      </w:r>
      <w:r>
        <w:rPr>
          <w:rFonts w:asciiTheme="minorEastAsia" w:hAnsiTheme="minorEastAsia" w:eastAsiaTheme="minorEastAsia" w:cstheme="minorEastAsia"/>
        </w:rPr>
        <w:t>投标</w:t>
      </w:r>
      <w:r>
        <w:rPr>
          <w:rFonts w:asciiTheme="minorEastAsia" w:hAnsiTheme="minorEastAsia" w:eastAsiaTheme="minorEastAsia" w:cstheme="minorEastAsia"/>
          <w:szCs w:val="22"/>
        </w:rPr>
        <w:t>文件的编制要求</w:t>
      </w:r>
      <w:r>
        <w:tab/>
      </w:r>
      <w:r>
        <w:fldChar w:fldCharType="begin"/>
      </w:r>
      <w:r>
        <w:instrText xml:space="preserve"> PAGEREF _Toc16504 \h </w:instrText>
      </w:r>
      <w:r>
        <w:fldChar w:fldCharType="separate"/>
      </w:r>
      <w:r>
        <w:t>22</w:t>
      </w:r>
      <w:r>
        <w:fldChar w:fldCharType="end"/>
      </w:r>
      <w:r>
        <w:fldChar w:fldCharType="end"/>
      </w:r>
    </w:p>
    <w:p w14:paraId="6A9EDF07">
      <w:pPr>
        <w:pStyle w:val="10"/>
        <w:tabs>
          <w:tab w:val="right" w:leader="dot" w:pos="10206"/>
        </w:tabs>
        <w:ind w:left="960"/>
      </w:pPr>
      <w:r>
        <w:fldChar w:fldCharType="begin"/>
      </w:r>
      <w:r>
        <w:instrText xml:space="preserve"> HYPERLINK \l "_Toc22875" </w:instrText>
      </w:r>
      <w:r>
        <w:fldChar w:fldCharType="separate"/>
      </w:r>
      <w:r>
        <w:rPr>
          <w:rFonts w:asciiTheme="minorEastAsia" w:hAnsiTheme="minorEastAsia" w:eastAsiaTheme="minorEastAsia" w:cstheme="minorEastAsia"/>
        </w:rPr>
        <w:t>11.1 一般要求</w:t>
      </w:r>
      <w:r>
        <w:tab/>
      </w:r>
      <w:r>
        <w:fldChar w:fldCharType="begin"/>
      </w:r>
      <w:r>
        <w:instrText xml:space="preserve"> PAGEREF _Toc22875 \h </w:instrText>
      </w:r>
      <w:r>
        <w:fldChar w:fldCharType="separate"/>
      </w:r>
      <w:r>
        <w:t>22</w:t>
      </w:r>
      <w:r>
        <w:fldChar w:fldCharType="end"/>
      </w:r>
      <w:r>
        <w:fldChar w:fldCharType="end"/>
      </w:r>
    </w:p>
    <w:p w14:paraId="6BDF064D">
      <w:pPr>
        <w:pStyle w:val="10"/>
        <w:tabs>
          <w:tab w:val="right" w:leader="dot" w:pos="10206"/>
        </w:tabs>
        <w:ind w:left="960"/>
      </w:pPr>
      <w:r>
        <w:fldChar w:fldCharType="begin"/>
      </w:r>
      <w:r>
        <w:instrText xml:space="preserve"> HYPERLINK \l "_Toc32441" </w:instrText>
      </w:r>
      <w:r>
        <w:fldChar w:fldCharType="separate"/>
      </w:r>
      <w:r>
        <w:rPr>
          <w:rFonts w:asciiTheme="minorEastAsia" w:hAnsiTheme="minorEastAsia" w:eastAsiaTheme="minorEastAsia" w:cstheme="minorEastAsia"/>
        </w:rPr>
        <w:t>11.2 投标标书的编制要求</w:t>
      </w:r>
      <w:r>
        <w:tab/>
      </w:r>
      <w:r>
        <w:fldChar w:fldCharType="begin"/>
      </w:r>
      <w:r>
        <w:instrText xml:space="preserve"> PAGEREF _Toc32441 \h </w:instrText>
      </w:r>
      <w:r>
        <w:fldChar w:fldCharType="separate"/>
      </w:r>
      <w:r>
        <w:t>23</w:t>
      </w:r>
      <w:r>
        <w:fldChar w:fldCharType="end"/>
      </w:r>
      <w:r>
        <w:fldChar w:fldCharType="end"/>
      </w:r>
    </w:p>
    <w:p w14:paraId="6601B45A">
      <w:pPr>
        <w:pStyle w:val="18"/>
        <w:tabs>
          <w:tab w:val="right" w:leader="dot" w:pos="10206"/>
        </w:tabs>
        <w:ind w:left="480"/>
      </w:pPr>
      <w:r>
        <w:fldChar w:fldCharType="begin"/>
      </w:r>
      <w:r>
        <w:instrText xml:space="preserve"> HYPERLINK \l "_Toc30845" </w:instrText>
      </w:r>
      <w:r>
        <w:fldChar w:fldCharType="separate"/>
      </w:r>
      <w:r>
        <w:rPr>
          <w:rFonts w:asciiTheme="minorEastAsia" w:hAnsiTheme="minorEastAsia" w:eastAsiaTheme="minorEastAsia" w:cstheme="minorEastAsia"/>
          <w:bCs/>
        </w:rPr>
        <w:t>（3）解密失败且在规定时间内未重新提交投标文件的；</w:t>
      </w:r>
      <w:r>
        <w:tab/>
      </w:r>
      <w:r>
        <w:fldChar w:fldCharType="begin"/>
      </w:r>
      <w:r>
        <w:instrText xml:space="preserve"> PAGEREF _Toc30845 \h </w:instrText>
      </w:r>
      <w:r>
        <w:fldChar w:fldCharType="separate"/>
      </w:r>
      <w:r>
        <w:t>26</w:t>
      </w:r>
      <w:r>
        <w:fldChar w:fldCharType="end"/>
      </w:r>
      <w:r>
        <w:fldChar w:fldCharType="end"/>
      </w:r>
    </w:p>
    <w:p w14:paraId="6A70CE9D">
      <w:pPr>
        <w:pStyle w:val="18"/>
        <w:tabs>
          <w:tab w:val="right" w:leader="dot" w:pos="10206"/>
        </w:tabs>
        <w:ind w:left="480"/>
      </w:pPr>
      <w:r>
        <w:fldChar w:fldCharType="begin"/>
      </w:r>
      <w:r>
        <w:instrText xml:space="preserve"> HYPERLINK \l "_Toc24518" </w:instrText>
      </w:r>
      <w:r>
        <w:fldChar w:fldCharType="separate"/>
      </w:r>
      <w:r>
        <w:rPr>
          <w:rFonts w:asciiTheme="minorEastAsia" w:hAnsiTheme="minorEastAsia" w:eastAsiaTheme="minorEastAsia" w:cstheme="minorEastAsia"/>
          <w:bCs/>
        </w:rPr>
        <w:t>（4）投标文件损坏或格式不正确的。</w:t>
      </w:r>
      <w:r>
        <w:tab/>
      </w:r>
      <w:r>
        <w:fldChar w:fldCharType="begin"/>
      </w:r>
      <w:r>
        <w:instrText xml:space="preserve"> PAGEREF _Toc24518 \h </w:instrText>
      </w:r>
      <w:r>
        <w:fldChar w:fldCharType="separate"/>
      </w:r>
      <w:r>
        <w:t>26</w:t>
      </w:r>
      <w:r>
        <w:fldChar w:fldCharType="end"/>
      </w:r>
      <w:r>
        <w:fldChar w:fldCharType="end"/>
      </w:r>
    </w:p>
    <w:p w14:paraId="04B348C9">
      <w:pPr>
        <w:pStyle w:val="18"/>
        <w:tabs>
          <w:tab w:val="right" w:leader="dot" w:pos="10206"/>
        </w:tabs>
        <w:ind w:left="480"/>
      </w:pPr>
      <w:r>
        <w:fldChar w:fldCharType="begin"/>
      </w:r>
      <w:r>
        <w:instrText xml:space="preserve"> HYPERLINK \l "_Toc13728" </w:instrText>
      </w:r>
      <w:r>
        <w:fldChar w:fldCharType="separate"/>
      </w:r>
      <w:r>
        <w:rPr>
          <w:rFonts w:asciiTheme="minorEastAsia" w:hAnsiTheme="minorEastAsia" w:eastAsiaTheme="minorEastAsia" w:cstheme="minorEastAsia"/>
        </w:rPr>
        <w:t>12、 投标有效期及对投标人的其他要求</w:t>
      </w:r>
      <w:r>
        <w:tab/>
      </w:r>
      <w:r>
        <w:fldChar w:fldCharType="begin"/>
      </w:r>
      <w:r>
        <w:instrText xml:space="preserve"> PAGEREF _Toc13728 \h </w:instrText>
      </w:r>
      <w:r>
        <w:fldChar w:fldCharType="separate"/>
      </w:r>
      <w:r>
        <w:t>26</w:t>
      </w:r>
      <w:r>
        <w:fldChar w:fldCharType="end"/>
      </w:r>
      <w:r>
        <w:fldChar w:fldCharType="end"/>
      </w:r>
    </w:p>
    <w:p w14:paraId="6CFC0223">
      <w:pPr>
        <w:pStyle w:val="10"/>
        <w:tabs>
          <w:tab w:val="right" w:leader="dot" w:pos="10206"/>
        </w:tabs>
        <w:ind w:left="960"/>
      </w:pPr>
      <w:r>
        <w:fldChar w:fldCharType="begin"/>
      </w:r>
      <w:r>
        <w:instrText xml:space="preserve"> HYPERLINK \l "_Toc13475" </w:instrText>
      </w:r>
      <w:r>
        <w:fldChar w:fldCharType="separate"/>
      </w:r>
      <w:r>
        <w:rPr>
          <w:rFonts w:asciiTheme="minorEastAsia" w:hAnsiTheme="minorEastAsia" w:eastAsiaTheme="minorEastAsia" w:cstheme="minorEastAsia"/>
        </w:rPr>
        <w:t>15、</w:t>
      </w:r>
      <w:r>
        <w:rPr>
          <w:rFonts w:asciiTheme="minorEastAsia" w:hAnsiTheme="minorEastAsia" w:eastAsiaTheme="minorEastAsia" w:cstheme="minorEastAsia"/>
          <w:snapToGrid w:val="0"/>
        </w:rPr>
        <w:t>中标</w:t>
      </w:r>
      <w:r>
        <w:rPr>
          <w:rFonts w:asciiTheme="minorEastAsia" w:hAnsiTheme="minorEastAsia" w:eastAsiaTheme="minorEastAsia" w:cstheme="minorEastAsia"/>
        </w:rPr>
        <w:t>候选人公示</w:t>
      </w:r>
      <w:r>
        <w:tab/>
      </w:r>
      <w:r>
        <w:fldChar w:fldCharType="begin"/>
      </w:r>
      <w:r>
        <w:instrText xml:space="preserve"> PAGEREF _Toc13475 \h </w:instrText>
      </w:r>
      <w:r>
        <w:fldChar w:fldCharType="separate"/>
      </w:r>
      <w:r>
        <w:t>36</w:t>
      </w:r>
      <w:r>
        <w:fldChar w:fldCharType="end"/>
      </w:r>
      <w:r>
        <w:fldChar w:fldCharType="end"/>
      </w:r>
    </w:p>
    <w:p w14:paraId="1AEADE9F">
      <w:pPr>
        <w:pStyle w:val="15"/>
        <w:tabs>
          <w:tab w:val="right" w:leader="dot" w:pos="10206"/>
        </w:tabs>
      </w:pPr>
      <w:r>
        <w:fldChar w:fldCharType="begin"/>
      </w:r>
      <w:r>
        <w:instrText xml:space="preserve"> HYPERLINK \l "_Toc2775" </w:instrText>
      </w:r>
      <w:r>
        <w:fldChar w:fldCharType="separate"/>
      </w:r>
      <w:r>
        <w:rPr>
          <w:rFonts w:asciiTheme="minorEastAsia" w:hAnsiTheme="minorEastAsia" w:eastAsiaTheme="minorEastAsia" w:cstheme="minorEastAsia"/>
          <w:kern w:val="44"/>
          <w:szCs w:val="36"/>
        </w:rPr>
        <w:t>第二章 拟签订合同的主要条款</w:t>
      </w:r>
      <w:r>
        <w:tab/>
      </w:r>
      <w:r>
        <w:fldChar w:fldCharType="begin"/>
      </w:r>
      <w:r>
        <w:instrText xml:space="preserve"> PAGEREF _Toc2775 \h </w:instrText>
      </w:r>
      <w:r>
        <w:fldChar w:fldCharType="separate"/>
      </w:r>
      <w:r>
        <w:t>39</w:t>
      </w:r>
      <w:r>
        <w:fldChar w:fldCharType="end"/>
      </w:r>
      <w:r>
        <w:fldChar w:fldCharType="end"/>
      </w:r>
    </w:p>
    <w:p w14:paraId="3F6B2E70">
      <w:pPr>
        <w:pStyle w:val="18"/>
        <w:tabs>
          <w:tab w:val="right" w:leader="dot" w:pos="10206"/>
        </w:tabs>
        <w:ind w:left="480"/>
      </w:pPr>
      <w:r>
        <w:fldChar w:fldCharType="begin"/>
      </w:r>
      <w:r>
        <w:instrText xml:space="preserve"> HYPERLINK \l "_Toc20401" </w:instrText>
      </w:r>
      <w:r>
        <w:fldChar w:fldCharType="separate"/>
      </w:r>
      <w:r>
        <w:rPr>
          <w:rFonts w:asciiTheme="minorEastAsia" w:hAnsiTheme="minorEastAsia" w:eastAsiaTheme="minorEastAsia" w:cstheme="minorEastAsia"/>
        </w:rPr>
        <w:t>1 工程承包方式</w:t>
      </w:r>
      <w:r>
        <w:tab/>
      </w:r>
      <w:r>
        <w:fldChar w:fldCharType="begin"/>
      </w:r>
      <w:r>
        <w:instrText xml:space="preserve"> PAGEREF _Toc20401 \h </w:instrText>
      </w:r>
      <w:r>
        <w:fldChar w:fldCharType="separate"/>
      </w:r>
      <w:r>
        <w:t>39</w:t>
      </w:r>
      <w:r>
        <w:fldChar w:fldCharType="end"/>
      </w:r>
      <w:r>
        <w:fldChar w:fldCharType="end"/>
      </w:r>
    </w:p>
    <w:p w14:paraId="0DE14CC4">
      <w:pPr>
        <w:pStyle w:val="18"/>
        <w:tabs>
          <w:tab w:val="right" w:leader="dot" w:pos="10206"/>
        </w:tabs>
        <w:ind w:left="480"/>
      </w:pPr>
      <w:r>
        <w:fldChar w:fldCharType="begin"/>
      </w:r>
      <w:r>
        <w:instrText xml:space="preserve"> HYPERLINK \l "_Toc10036" </w:instrText>
      </w:r>
      <w:r>
        <w:fldChar w:fldCharType="separate"/>
      </w:r>
      <w:r>
        <w:rPr>
          <w:rFonts w:asciiTheme="minorEastAsia" w:hAnsiTheme="minorEastAsia" w:eastAsiaTheme="minorEastAsia" w:cstheme="minorEastAsia"/>
        </w:rPr>
        <w:t>2 施工图工程量清单预算的编制原则</w:t>
      </w:r>
      <w:r>
        <w:tab/>
      </w:r>
      <w:r>
        <w:fldChar w:fldCharType="begin"/>
      </w:r>
      <w:r>
        <w:instrText xml:space="preserve"> PAGEREF _Toc10036 \h </w:instrText>
      </w:r>
      <w:r>
        <w:fldChar w:fldCharType="separate"/>
      </w:r>
      <w:r>
        <w:t>39</w:t>
      </w:r>
      <w:r>
        <w:fldChar w:fldCharType="end"/>
      </w:r>
      <w:r>
        <w:fldChar w:fldCharType="end"/>
      </w:r>
    </w:p>
    <w:p w14:paraId="174AB906">
      <w:pPr>
        <w:pStyle w:val="18"/>
        <w:tabs>
          <w:tab w:val="right" w:leader="dot" w:pos="10206"/>
        </w:tabs>
        <w:ind w:left="480"/>
      </w:pPr>
      <w:r>
        <w:fldChar w:fldCharType="begin"/>
      </w:r>
      <w:r>
        <w:instrText xml:space="preserve"> HYPERLINK \l "_Toc31011" </w:instrText>
      </w:r>
      <w:r>
        <w:fldChar w:fldCharType="separate"/>
      </w:r>
      <w:r>
        <w:rPr>
          <w:rFonts w:asciiTheme="minorEastAsia" w:hAnsiTheme="minorEastAsia" w:eastAsiaTheme="minorEastAsia" w:cstheme="minorEastAsia"/>
          <w:szCs w:val="24"/>
        </w:rPr>
        <w:t>3 工程结算原则</w:t>
      </w:r>
      <w:r>
        <w:tab/>
      </w:r>
      <w:r>
        <w:fldChar w:fldCharType="begin"/>
      </w:r>
      <w:r>
        <w:instrText xml:space="preserve"> PAGEREF _Toc31011 \h </w:instrText>
      </w:r>
      <w:r>
        <w:fldChar w:fldCharType="separate"/>
      </w:r>
      <w:r>
        <w:t>40</w:t>
      </w:r>
      <w:r>
        <w:fldChar w:fldCharType="end"/>
      </w:r>
      <w:r>
        <w:fldChar w:fldCharType="end"/>
      </w:r>
    </w:p>
    <w:p w14:paraId="28A8C90A">
      <w:pPr>
        <w:pStyle w:val="18"/>
        <w:tabs>
          <w:tab w:val="right" w:leader="dot" w:pos="10206"/>
        </w:tabs>
        <w:ind w:left="480"/>
      </w:pPr>
      <w:r>
        <w:fldChar w:fldCharType="begin"/>
      </w:r>
      <w:r>
        <w:instrText xml:space="preserve"> HYPERLINK \l "_Toc23009" </w:instrText>
      </w:r>
      <w:r>
        <w:fldChar w:fldCharType="separate"/>
      </w:r>
      <w:r>
        <w:rPr>
          <w:rFonts w:asciiTheme="minorEastAsia" w:hAnsiTheme="minorEastAsia" w:eastAsiaTheme="minorEastAsia" w:cstheme="minorEastAsia"/>
          <w:szCs w:val="24"/>
        </w:rPr>
        <w:t>4 工程付款办法</w:t>
      </w:r>
      <w:r>
        <w:tab/>
      </w:r>
      <w:r>
        <w:fldChar w:fldCharType="begin"/>
      </w:r>
      <w:r>
        <w:instrText xml:space="preserve"> PAGEREF _Toc23009 \h </w:instrText>
      </w:r>
      <w:r>
        <w:fldChar w:fldCharType="separate"/>
      </w:r>
      <w:r>
        <w:t>43</w:t>
      </w:r>
      <w:r>
        <w:fldChar w:fldCharType="end"/>
      </w:r>
      <w:r>
        <w:fldChar w:fldCharType="end"/>
      </w:r>
    </w:p>
    <w:p w14:paraId="6E353E66">
      <w:pPr>
        <w:pStyle w:val="15"/>
        <w:tabs>
          <w:tab w:val="right" w:leader="dot" w:pos="10206"/>
        </w:tabs>
      </w:pPr>
      <w:r>
        <w:fldChar w:fldCharType="begin"/>
      </w:r>
      <w:r>
        <w:instrText xml:space="preserve"> HYPERLINK \l "_Toc21559" </w:instrText>
      </w:r>
      <w:r>
        <w:fldChar w:fldCharType="separate"/>
      </w:r>
      <w:r>
        <w:rPr>
          <w:rFonts w:asciiTheme="minorEastAsia" w:hAnsiTheme="minorEastAsia" w:eastAsiaTheme="minorEastAsia" w:cstheme="minorEastAsia"/>
          <w:kern w:val="44"/>
          <w:szCs w:val="36"/>
        </w:rPr>
        <w:t>第三章 中标人须知</w:t>
      </w:r>
      <w:r>
        <w:tab/>
      </w:r>
      <w:r>
        <w:fldChar w:fldCharType="begin"/>
      </w:r>
      <w:r>
        <w:instrText xml:space="preserve"> PAGEREF _Toc21559 \h </w:instrText>
      </w:r>
      <w:r>
        <w:fldChar w:fldCharType="separate"/>
      </w:r>
      <w:r>
        <w:t>65</w:t>
      </w:r>
      <w:r>
        <w:fldChar w:fldCharType="end"/>
      </w:r>
      <w:r>
        <w:fldChar w:fldCharType="end"/>
      </w:r>
    </w:p>
    <w:p w14:paraId="0BA7D0FC">
      <w:pPr>
        <w:pStyle w:val="15"/>
        <w:tabs>
          <w:tab w:val="right" w:leader="dot" w:pos="10206"/>
        </w:tabs>
      </w:pPr>
      <w:r>
        <w:fldChar w:fldCharType="begin"/>
      </w:r>
      <w:r>
        <w:instrText xml:space="preserve"> HYPERLINK \l "_Toc28402" </w:instrText>
      </w:r>
      <w:r>
        <w:fldChar w:fldCharType="separate"/>
      </w:r>
      <w:r>
        <w:rPr>
          <w:rFonts w:asciiTheme="minorEastAsia" w:hAnsiTheme="minorEastAsia" w:eastAsiaTheme="minorEastAsia" w:cstheme="minorEastAsia"/>
          <w:kern w:val="44"/>
          <w:szCs w:val="36"/>
        </w:rPr>
        <w:t>第四章 投标人提交的其他材料</w:t>
      </w:r>
      <w:r>
        <w:tab/>
      </w:r>
      <w:r>
        <w:fldChar w:fldCharType="begin"/>
      </w:r>
      <w:r>
        <w:instrText xml:space="preserve"> PAGEREF _Toc28402 \h </w:instrText>
      </w:r>
      <w:r>
        <w:fldChar w:fldCharType="separate"/>
      </w:r>
      <w:r>
        <w:t>71</w:t>
      </w:r>
      <w:r>
        <w:fldChar w:fldCharType="end"/>
      </w:r>
      <w:r>
        <w:fldChar w:fldCharType="end"/>
      </w:r>
    </w:p>
    <w:p w14:paraId="400905D3">
      <w:pPr>
        <w:pStyle w:val="10"/>
        <w:tabs>
          <w:tab w:val="right" w:leader="dot" w:pos="10206"/>
        </w:tabs>
        <w:ind w:left="960"/>
      </w:pPr>
      <w:r>
        <w:fldChar w:fldCharType="begin"/>
      </w:r>
      <w:r>
        <w:instrText xml:space="preserve"> HYPERLINK \l "_Toc9020" </w:instrText>
      </w:r>
      <w:r>
        <w:fldChar w:fldCharType="separate"/>
      </w:r>
      <w:r>
        <w:rPr>
          <w:rFonts w:asciiTheme="minorEastAsia" w:hAnsiTheme="minorEastAsia" w:eastAsiaTheme="minorEastAsia" w:cstheme="minorEastAsia"/>
        </w:rPr>
        <w:t>1 投标保证</w:t>
      </w:r>
      <w:r>
        <w:tab/>
      </w:r>
      <w:r>
        <w:fldChar w:fldCharType="begin"/>
      </w:r>
      <w:r>
        <w:instrText xml:space="preserve"> PAGEREF _Toc9020 \h </w:instrText>
      </w:r>
      <w:r>
        <w:fldChar w:fldCharType="separate"/>
      </w:r>
      <w:r>
        <w:t>71</w:t>
      </w:r>
      <w:r>
        <w:fldChar w:fldCharType="end"/>
      </w:r>
      <w:r>
        <w:fldChar w:fldCharType="end"/>
      </w:r>
    </w:p>
    <w:p w14:paraId="353144EC">
      <w:pPr>
        <w:pStyle w:val="10"/>
        <w:tabs>
          <w:tab w:val="right" w:leader="dot" w:pos="10206"/>
        </w:tabs>
        <w:ind w:left="960"/>
      </w:pPr>
      <w:r>
        <w:fldChar w:fldCharType="begin"/>
      </w:r>
      <w:r>
        <w:instrText xml:space="preserve"> HYPERLINK \l "_Toc21471" </w:instrText>
      </w:r>
      <w:r>
        <w:fldChar w:fldCharType="separate"/>
      </w:r>
      <w:r>
        <w:rPr>
          <w:rFonts w:asciiTheme="minorEastAsia" w:hAnsiTheme="minorEastAsia" w:eastAsiaTheme="minorEastAsia" w:cstheme="minorEastAsia"/>
        </w:rPr>
        <w:t>2 履约保证金</w:t>
      </w:r>
      <w:r>
        <w:tab/>
      </w:r>
      <w:r>
        <w:fldChar w:fldCharType="begin"/>
      </w:r>
      <w:r>
        <w:instrText xml:space="preserve"> PAGEREF _Toc21471 \h </w:instrText>
      </w:r>
      <w:r>
        <w:fldChar w:fldCharType="separate"/>
      </w:r>
      <w:r>
        <w:t>72</w:t>
      </w:r>
      <w:r>
        <w:fldChar w:fldCharType="end"/>
      </w:r>
      <w:r>
        <w:fldChar w:fldCharType="end"/>
      </w:r>
    </w:p>
    <w:p w14:paraId="3E2DE056">
      <w:pPr>
        <w:pStyle w:val="15"/>
        <w:tabs>
          <w:tab w:val="right" w:leader="dot" w:pos="10206"/>
        </w:tabs>
      </w:pPr>
      <w:r>
        <w:fldChar w:fldCharType="begin"/>
      </w:r>
      <w:r>
        <w:instrText xml:space="preserve"> HYPERLINK \l "_Toc2209" </w:instrText>
      </w:r>
      <w:r>
        <w:fldChar w:fldCharType="separate"/>
      </w:r>
      <w:r>
        <w:rPr>
          <w:rFonts w:asciiTheme="minorEastAsia" w:hAnsiTheme="minorEastAsia" w:eastAsiaTheme="minorEastAsia" w:cstheme="minorEastAsia"/>
          <w:kern w:val="44"/>
          <w:szCs w:val="36"/>
        </w:rPr>
        <w:t>第五章 招标工程的技术要求和前期文件</w:t>
      </w:r>
      <w:r>
        <w:tab/>
      </w:r>
      <w:r>
        <w:fldChar w:fldCharType="begin"/>
      </w:r>
      <w:r>
        <w:instrText xml:space="preserve"> PAGEREF _Toc2209 \h </w:instrText>
      </w:r>
      <w:r>
        <w:fldChar w:fldCharType="separate"/>
      </w:r>
      <w:r>
        <w:t>74</w:t>
      </w:r>
      <w:r>
        <w:fldChar w:fldCharType="end"/>
      </w:r>
      <w:r>
        <w:fldChar w:fldCharType="end"/>
      </w:r>
    </w:p>
    <w:p w14:paraId="01040B7A">
      <w:pPr>
        <w:pStyle w:val="18"/>
        <w:tabs>
          <w:tab w:val="right" w:leader="dot" w:pos="10206"/>
        </w:tabs>
        <w:ind w:left="480"/>
      </w:pPr>
      <w:r>
        <w:fldChar w:fldCharType="begin"/>
      </w:r>
      <w:r>
        <w:instrText xml:space="preserve"> HYPERLINK \l "_Toc18637" </w:instrText>
      </w:r>
      <w:r>
        <w:fldChar w:fldCharType="separate"/>
      </w:r>
      <w:r>
        <w:rPr>
          <w:rFonts w:asciiTheme="minorEastAsia" w:hAnsiTheme="minorEastAsia" w:eastAsiaTheme="minorEastAsia" w:cstheme="minorEastAsia"/>
          <w:bCs/>
          <w:szCs w:val="22"/>
        </w:rPr>
        <w:t>1、</w:t>
      </w:r>
      <w:r>
        <w:rPr>
          <w:rFonts w:asciiTheme="minorEastAsia" w:hAnsiTheme="minorEastAsia" w:eastAsiaTheme="minorEastAsia" w:cstheme="minorEastAsia"/>
          <w:bCs/>
          <w:szCs w:val="24"/>
        </w:rPr>
        <w:t>工程的技术要求</w:t>
      </w:r>
      <w:r>
        <w:tab/>
      </w:r>
      <w:r>
        <w:fldChar w:fldCharType="begin"/>
      </w:r>
      <w:r>
        <w:instrText xml:space="preserve"> PAGEREF _Toc18637 \h </w:instrText>
      </w:r>
      <w:r>
        <w:fldChar w:fldCharType="separate"/>
      </w:r>
      <w:r>
        <w:t>74</w:t>
      </w:r>
      <w:r>
        <w:fldChar w:fldCharType="end"/>
      </w:r>
      <w:r>
        <w:fldChar w:fldCharType="end"/>
      </w:r>
    </w:p>
    <w:p w14:paraId="1338FEB2">
      <w:pPr>
        <w:pStyle w:val="18"/>
        <w:tabs>
          <w:tab w:val="right" w:leader="dot" w:pos="10206"/>
        </w:tabs>
        <w:ind w:left="480"/>
      </w:pPr>
      <w:r>
        <w:fldChar w:fldCharType="begin"/>
      </w:r>
      <w:r>
        <w:instrText xml:space="preserve"> HYPERLINK \l "_Toc5538" </w:instrText>
      </w:r>
      <w:r>
        <w:fldChar w:fldCharType="separate"/>
      </w:r>
      <w:r>
        <w:rPr>
          <w:rFonts w:asciiTheme="minorEastAsia" w:hAnsiTheme="minorEastAsia" w:eastAsiaTheme="minorEastAsia" w:cstheme="minorEastAsia"/>
          <w:bCs/>
          <w:szCs w:val="22"/>
        </w:rPr>
        <w:t>2、招标工程的项目前期资料（另附）</w:t>
      </w:r>
      <w:r>
        <w:tab/>
      </w:r>
      <w:r>
        <w:fldChar w:fldCharType="begin"/>
      </w:r>
      <w:r>
        <w:instrText xml:space="preserve"> PAGEREF _Toc5538 \h </w:instrText>
      </w:r>
      <w:r>
        <w:fldChar w:fldCharType="separate"/>
      </w:r>
      <w:r>
        <w:t>75</w:t>
      </w:r>
      <w:r>
        <w:fldChar w:fldCharType="end"/>
      </w:r>
      <w:r>
        <w:fldChar w:fldCharType="end"/>
      </w:r>
    </w:p>
    <w:p w14:paraId="0C8FAF10">
      <w:pPr>
        <w:pStyle w:val="15"/>
        <w:tabs>
          <w:tab w:val="right" w:leader="dot" w:pos="10206"/>
        </w:tabs>
      </w:pPr>
      <w:r>
        <w:fldChar w:fldCharType="begin"/>
      </w:r>
      <w:r>
        <w:instrText xml:space="preserve"> HYPERLINK \l "_Toc19719" </w:instrText>
      </w:r>
      <w:r>
        <w:fldChar w:fldCharType="separate"/>
      </w:r>
      <w:r>
        <w:rPr>
          <w:rFonts w:asciiTheme="minorEastAsia" w:hAnsiTheme="minorEastAsia" w:eastAsiaTheme="minorEastAsia" w:cstheme="minorEastAsia"/>
          <w:kern w:val="44"/>
          <w:szCs w:val="36"/>
        </w:rPr>
        <w:t>第六章  设计任务书</w:t>
      </w:r>
      <w:r>
        <w:tab/>
      </w:r>
      <w:r>
        <w:fldChar w:fldCharType="begin"/>
      </w:r>
      <w:r>
        <w:instrText xml:space="preserve"> PAGEREF _Toc19719 \h </w:instrText>
      </w:r>
      <w:r>
        <w:fldChar w:fldCharType="separate"/>
      </w:r>
      <w:r>
        <w:t>76</w:t>
      </w:r>
      <w:r>
        <w:fldChar w:fldCharType="end"/>
      </w:r>
      <w:r>
        <w:fldChar w:fldCharType="end"/>
      </w:r>
    </w:p>
    <w:p w14:paraId="7F3BA0DC">
      <w:pPr>
        <w:pStyle w:val="17"/>
        <w:tabs>
          <w:tab w:val="right" w:leader="dot" w:pos="10206"/>
        </w:tabs>
        <w:ind w:left="1440"/>
      </w:pPr>
      <w:r>
        <w:fldChar w:fldCharType="begin"/>
      </w:r>
      <w:r>
        <w:instrText xml:space="preserve"> HYPERLINK \l "_Toc15192" </w:instrText>
      </w:r>
      <w:r>
        <w:fldChar w:fldCharType="separate"/>
      </w:r>
      <w:r>
        <w:rPr>
          <w:rFonts w:asciiTheme="minorEastAsia" w:hAnsiTheme="minorEastAsia" w:eastAsiaTheme="minorEastAsia" w:cstheme="minorEastAsia"/>
          <w:szCs w:val="48"/>
        </w:rPr>
        <w:t>设计任务书</w:t>
      </w:r>
      <w:r>
        <w:tab/>
      </w:r>
      <w:r>
        <w:fldChar w:fldCharType="begin"/>
      </w:r>
      <w:r>
        <w:instrText xml:space="preserve"> PAGEREF _Toc15192 \h </w:instrText>
      </w:r>
      <w:r>
        <w:fldChar w:fldCharType="separate"/>
      </w:r>
      <w:r>
        <w:t>76</w:t>
      </w:r>
      <w:r>
        <w:fldChar w:fldCharType="end"/>
      </w:r>
      <w:r>
        <w:fldChar w:fldCharType="end"/>
      </w:r>
    </w:p>
    <w:p w14:paraId="2D970847">
      <w:pPr>
        <w:pStyle w:val="15"/>
        <w:tabs>
          <w:tab w:val="right" w:leader="dot" w:pos="10206"/>
        </w:tabs>
      </w:pPr>
      <w:r>
        <w:fldChar w:fldCharType="begin"/>
      </w:r>
      <w:r>
        <w:instrText xml:space="preserve"> HYPERLINK \l "_Toc10329" </w:instrText>
      </w:r>
      <w:r>
        <w:fldChar w:fldCharType="separate"/>
      </w:r>
      <w:r>
        <w:rPr>
          <w:rFonts w:asciiTheme="minorEastAsia" w:hAnsiTheme="minorEastAsia" w:eastAsiaTheme="minorEastAsia" w:cstheme="minorEastAsia"/>
          <w:kern w:val="44"/>
          <w:szCs w:val="36"/>
        </w:rPr>
        <w:t>第七章  招标文件的附件</w:t>
      </w:r>
      <w:r>
        <w:tab/>
      </w:r>
      <w:r>
        <w:fldChar w:fldCharType="begin"/>
      </w:r>
      <w:r>
        <w:instrText xml:space="preserve"> PAGEREF _Toc10329 \h </w:instrText>
      </w:r>
      <w:r>
        <w:fldChar w:fldCharType="separate"/>
      </w:r>
      <w:r>
        <w:t>79</w:t>
      </w:r>
      <w:r>
        <w:fldChar w:fldCharType="end"/>
      </w:r>
      <w:r>
        <w:fldChar w:fldCharType="end"/>
      </w:r>
    </w:p>
    <w:p w14:paraId="162560B1">
      <w:pPr>
        <w:pStyle w:val="18"/>
        <w:tabs>
          <w:tab w:val="right" w:leader="dot" w:pos="10206"/>
        </w:tabs>
        <w:ind w:left="480"/>
      </w:pPr>
      <w:r>
        <w:fldChar w:fldCharType="begin"/>
      </w:r>
      <w:r>
        <w:instrText xml:space="preserve"> HYPERLINK \l "_Toc6443" </w:instrText>
      </w:r>
      <w:r>
        <w:fldChar w:fldCharType="separate"/>
      </w:r>
      <w:r>
        <w:rPr>
          <w:rFonts w:asciiTheme="minorEastAsia" w:hAnsiTheme="minorEastAsia" w:eastAsiaTheme="minorEastAsia" w:cstheme="minorEastAsia"/>
          <w:snapToGrid w:val="0"/>
          <w:szCs w:val="24"/>
        </w:rPr>
        <w:t>格式一 封面</w:t>
      </w:r>
      <w:r>
        <w:tab/>
      </w:r>
      <w:r>
        <w:fldChar w:fldCharType="begin"/>
      </w:r>
      <w:r>
        <w:instrText xml:space="preserve"> PAGEREF _Toc6443 \h </w:instrText>
      </w:r>
      <w:r>
        <w:fldChar w:fldCharType="separate"/>
      </w:r>
      <w:r>
        <w:t>79</w:t>
      </w:r>
      <w:r>
        <w:fldChar w:fldCharType="end"/>
      </w:r>
      <w:r>
        <w:fldChar w:fldCharType="end"/>
      </w:r>
    </w:p>
    <w:p w14:paraId="32FB120F">
      <w:pPr>
        <w:pStyle w:val="18"/>
        <w:tabs>
          <w:tab w:val="right" w:leader="dot" w:pos="10206"/>
        </w:tabs>
        <w:ind w:left="480"/>
      </w:pPr>
      <w:r>
        <w:fldChar w:fldCharType="begin"/>
      </w:r>
      <w:r>
        <w:instrText xml:space="preserve"> HYPERLINK \l "_Toc16426" </w:instrText>
      </w:r>
      <w:r>
        <w:fldChar w:fldCharType="separate"/>
      </w:r>
      <w:r>
        <w:rPr>
          <w:rFonts w:asciiTheme="minorEastAsia" w:hAnsiTheme="minorEastAsia" w:eastAsiaTheme="minorEastAsia" w:cstheme="minorEastAsia"/>
          <w:bCs/>
          <w:szCs w:val="24"/>
        </w:rPr>
        <w:t>格式二 《投标函》及《工程项目总价表》</w:t>
      </w:r>
      <w:r>
        <w:tab/>
      </w:r>
      <w:r>
        <w:fldChar w:fldCharType="begin"/>
      </w:r>
      <w:r>
        <w:instrText xml:space="preserve"> PAGEREF _Toc16426 \h </w:instrText>
      </w:r>
      <w:r>
        <w:fldChar w:fldCharType="separate"/>
      </w:r>
      <w:r>
        <w:t>80</w:t>
      </w:r>
      <w:r>
        <w:fldChar w:fldCharType="end"/>
      </w:r>
      <w:r>
        <w:fldChar w:fldCharType="end"/>
      </w:r>
    </w:p>
    <w:p w14:paraId="64F0A649">
      <w:pPr>
        <w:pStyle w:val="10"/>
        <w:tabs>
          <w:tab w:val="right" w:leader="dot" w:pos="10206"/>
        </w:tabs>
        <w:ind w:left="960"/>
      </w:pPr>
      <w:r>
        <w:fldChar w:fldCharType="begin"/>
      </w:r>
      <w:r>
        <w:instrText xml:space="preserve"> HYPERLINK \l "_Toc15354" </w:instrText>
      </w:r>
      <w:r>
        <w:fldChar w:fldCharType="separate"/>
      </w:r>
      <w:r>
        <w:rPr>
          <w:rFonts w:asciiTheme="minorEastAsia" w:hAnsiTheme="minorEastAsia" w:eastAsiaTheme="minorEastAsia" w:cstheme="minorEastAsia"/>
          <w:snapToGrid w:val="0"/>
          <w:szCs w:val="24"/>
        </w:rPr>
        <w:t>投  标  函</w:t>
      </w:r>
      <w:r>
        <w:tab/>
      </w:r>
      <w:r>
        <w:fldChar w:fldCharType="begin"/>
      </w:r>
      <w:r>
        <w:instrText xml:space="preserve"> PAGEREF _Toc15354 \h </w:instrText>
      </w:r>
      <w:r>
        <w:fldChar w:fldCharType="separate"/>
      </w:r>
      <w:r>
        <w:t>80</w:t>
      </w:r>
      <w:r>
        <w:fldChar w:fldCharType="end"/>
      </w:r>
      <w:r>
        <w:fldChar w:fldCharType="end"/>
      </w:r>
    </w:p>
    <w:p w14:paraId="7F281A61">
      <w:pPr>
        <w:pStyle w:val="10"/>
        <w:tabs>
          <w:tab w:val="right" w:leader="dot" w:pos="10206"/>
        </w:tabs>
        <w:ind w:left="960"/>
      </w:pPr>
      <w:r>
        <w:fldChar w:fldCharType="begin"/>
      </w:r>
      <w:r>
        <w:instrText xml:space="preserve"> HYPERLINK \l "_Toc7821" </w:instrText>
      </w:r>
      <w:r>
        <w:fldChar w:fldCharType="separate"/>
      </w:r>
      <w:r>
        <w:rPr>
          <w:rFonts w:asciiTheme="minorEastAsia" w:hAnsiTheme="minorEastAsia" w:eastAsiaTheme="minorEastAsia" w:cstheme="minorEastAsia"/>
          <w:bCs/>
          <w:szCs w:val="24"/>
        </w:rPr>
        <w:t>工程项目总价表</w:t>
      </w:r>
      <w:r>
        <w:tab/>
      </w:r>
      <w:r>
        <w:fldChar w:fldCharType="begin"/>
      </w:r>
      <w:r>
        <w:instrText xml:space="preserve"> PAGEREF _Toc7821 \h </w:instrText>
      </w:r>
      <w:r>
        <w:fldChar w:fldCharType="separate"/>
      </w:r>
      <w:r>
        <w:t>81</w:t>
      </w:r>
      <w:r>
        <w:fldChar w:fldCharType="end"/>
      </w:r>
      <w:r>
        <w:fldChar w:fldCharType="end"/>
      </w:r>
    </w:p>
    <w:p w14:paraId="4088EF9A">
      <w:pPr>
        <w:pStyle w:val="18"/>
        <w:tabs>
          <w:tab w:val="right" w:leader="dot" w:pos="10206"/>
        </w:tabs>
        <w:ind w:left="480"/>
      </w:pPr>
      <w:r>
        <w:fldChar w:fldCharType="begin"/>
      </w:r>
      <w:r>
        <w:instrText xml:space="preserve"> HYPERLINK \l "_Toc15232" </w:instrText>
      </w:r>
      <w:r>
        <w:fldChar w:fldCharType="separate"/>
      </w:r>
      <w:r>
        <w:rPr>
          <w:rFonts w:asciiTheme="minorEastAsia" w:hAnsiTheme="minorEastAsia" w:eastAsiaTheme="minorEastAsia" w:cstheme="minorEastAsia"/>
          <w:szCs w:val="24"/>
        </w:rPr>
        <w:t>格式三 各项</w:t>
      </w:r>
      <w:r>
        <w:rPr>
          <w:rFonts w:asciiTheme="minorEastAsia" w:hAnsiTheme="minorEastAsia" w:eastAsiaTheme="minorEastAsia" w:cstheme="minorEastAsia"/>
          <w:bCs/>
          <w:szCs w:val="24"/>
        </w:rPr>
        <w:t>承诺</w:t>
      </w:r>
      <w:r>
        <w:rPr>
          <w:rFonts w:asciiTheme="minorEastAsia" w:hAnsiTheme="minorEastAsia" w:eastAsiaTheme="minorEastAsia" w:cstheme="minorEastAsia"/>
          <w:szCs w:val="24"/>
        </w:rPr>
        <w:t>一览表</w:t>
      </w:r>
      <w:r>
        <w:tab/>
      </w:r>
      <w:r>
        <w:fldChar w:fldCharType="begin"/>
      </w:r>
      <w:r>
        <w:instrText xml:space="preserve"> PAGEREF _Toc15232 \h </w:instrText>
      </w:r>
      <w:r>
        <w:fldChar w:fldCharType="separate"/>
      </w:r>
      <w:r>
        <w:t>82</w:t>
      </w:r>
      <w:r>
        <w:fldChar w:fldCharType="end"/>
      </w:r>
      <w:r>
        <w:fldChar w:fldCharType="end"/>
      </w:r>
    </w:p>
    <w:p w14:paraId="605CC43B">
      <w:pPr>
        <w:pStyle w:val="18"/>
        <w:tabs>
          <w:tab w:val="right" w:leader="dot" w:pos="10206"/>
        </w:tabs>
        <w:ind w:left="480"/>
      </w:pPr>
      <w:r>
        <w:fldChar w:fldCharType="begin"/>
      </w:r>
      <w:r>
        <w:instrText xml:space="preserve"> HYPERLINK \l "_Toc663" </w:instrText>
      </w:r>
      <w:r>
        <w:fldChar w:fldCharType="separate"/>
      </w:r>
      <w:r>
        <w:rPr>
          <w:rFonts w:asciiTheme="minorEastAsia" w:hAnsiTheme="minorEastAsia" w:eastAsiaTheme="minorEastAsia" w:cstheme="minorEastAsia"/>
          <w:bCs/>
          <w:szCs w:val="24"/>
        </w:rPr>
        <w:t>格式四 授权委托书</w:t>
      </w:r>
      <w:r>
        <w:tab/>
      </w:r>
      <w:r>
        <w:fldChar w:fldCharType="begin"/>
      </w:r>
      <w:r>
        <w:instrText xml:space="preserve"> PAGEREF _Toc663 \h </w:instrText>
      </w:r>
      <w:r>
        <w:fldChar w:fldCharType="separate"/>
      </w:r>
      <w:r>
        <w:t>86</w:t>
      </w:r>
      <w:r>
        <w:fldChar w:fldCharType="end"/>
      </w:r>
      <w:r>
        <w:fldChar w:fldCharType="end"/>
      </w:r>
    </w:p>
    <w:p w14:paraId="61E0EABE">
      <w:pPr>
        <w:pStyle w:val="18"/>
        <w:tabs>
          <w:tab w:val="right" w:leader="dot" w:pos="10206"/>
        </w:tabs>
        <w:ind w:left="480"/>
      </w:pPr>
      <w:r>
        <w:fldChar w:fldCharType="begin"/>
      </w:r>
      <w:r>
        <w:instrText xml:space="preserve"> HYPERLINK \l "_Toc20397" </w:instrText>
      </w:r>
      <w:r>
        <w:fldChar w:fldCharType="separate"/>
      </w:r>
      <w:r>
        <w:rPr>
          <w:rFonts w:asciiTheme="minorEastAsia" w:hAnsiTheme="minorEastAsia" w:eastAsiaTheme="minorEastAsia" w:cstheme="minorEastAsia"/>
          <w:bCs/>
          <w:szCs w:val="24"/>
        </w:rPr>
        <w:t>格式五 法定代表人身份证明</w:t>
      </w:r>
      <w:r>
        <w:tab/>
      </w:r>
      <w:r>
        <w:fldChar w:fldCharType="begin"/>
      </w:r>
      <w:r>
        <w:instrText xml:space="preserve"> PAGEREF _Toc20397 \h </w:instrText>
      </w:r>
      <w:r>
        <w:fldChar w:fldCharType="separate"/>
      </w:r>
      <w:r>
        <w:t>87</w:t>
      </w:r>
      <w:r>
        <w:fldChar w:fldCharType="end"/>
      </w:r>
      <w:r>
        <w:fldChar w:fldCharType="end"/>
      </w:r>
    </w:p>
    <w:p w14:paraId="0C9A56AA">
      <w:pPr>
        <w:pStyle w:val="18"/>
        <w:tabs>
          <w:tab w:val="right" w:leader="dot" w:pos="10206"/>
        </w:tabs>
        <w:ind w:left="480"/>
      </w:pPr>
      <w:r>
        <w:fldChar w:fldCharType="begin"/>
      </w:r>
      <w:r>
        <w:instrText xml:space="preserve"> HYPERLINK \l "_Toc19655" </w:instrText>
      </w:r>
      <w:r>
        <w:fldChar w:fldCharType="separate"/>
      </w:r>
      <w:r>
        <w:rPr>
          <w:rFonts w:asciiTheme="minorEastAsia" w:hAnsiTheme="minorEastAsia" w:eastAsiaTheme="minorEastAsia" w:cstheme="minorEastAsia"/>
          <w:bCs/>
          <w:szCs w:val="24"/>
        </w:rPr>
        <w:t>格式六 联合体协议书</w:t>
      </w:r>
      <w:r>
        <w:tab/>
      </w:r>
      <w:r>
        <w:fldChar w:fldCharType="begin"/>
      </w:r>
      <w:r>
        <w:instrText xml:space="preserve"> PAGEREF _Toc19655 \h </w:instrText>
      </w:r>
      <w:r>
        <w:fldChar w:fldCharType="separate"/>
      </w:r>
      <w:r>
        <w:t>88</w:t>
      </w:r>
      <w:r>
        <w:fldChar w:fldCharType="end"/>
      </w:r>
      <w:r>
        <w:fldChar w:fldCharType="end"/>
      </w:r>
    </w:p>
    <w:p w14:paraId="17FB70DB">
      <w:pPr>
        <w:pStyle w:val="18"/>
        <w:tabs>
          <w:tab w:val="right" w:leader="dot" w:pos="10206"/>
        </w:tabs>
        <w:ind w:left="480"/>
      </w:pPr>
      <w:r>
        <w:fldChar w:fldCharType="begin"/>
      </w:r>
      <w:r>
        <w:instrText xml:space="preserve"> HYPERLINK \l "_Toc1560" </w:instrText>
      </w:r>
      <w:r>
        <w:fldChar w:fldCharType="separate"/>
      </w:r>
      <w:r>
        <w:rPr>
          <w:rFonts w:asciiTheme="minorEastAsia" w:hAnsiTheme="minorEastAsia" w:eastAsiaTheme="minorEastAsia" w:cstheme="minorEastAsia"/>
          <w:bCs/>
          <w:szCs w:val="24"/>
        </w:rPr>
        <w:t>格式七 投标人基本情况表</w:t>
      </w:r>
      <w:r>
        <w:tab/>
      </w:r>
      <w:r>
        <w:fldChar w:fldCharType="begin"/>
      </w:r>
      <w:r>
        <w:instrText xml:space="preserve"> PAGEREF _Toc1560 \h </w:instrText>
      </w:r>
      <w:r>
        <w:fldChar w:fldCharType="separate"/>
      </w:r>
      <w:r>
        <w:t>90</w:t>
      </w:r>
      <w:r>
        <w:fldChar w:fldCharType="end"/>
      </w:r>
      <w:r>
        <w:fldChar w:fldCharType="end"/>
      </w:r>
    </w:p>
    <w:p w14:paraId="242544C5">
      <w:pPr>
        <w:pStyle w:val="18"/>
        <w:tabs>
          <w:tab w:val="right" w:leader="dot" w:pos="10206"/>
        </w:tabs>
        <w:ind w:left="480"/>
      </w:pPr>
      <w:r>
        <w:fldChar w:fldCharType="begin"/>
      </w:r>
      <w:r>
        <w:instrText xml:space="preserve"> HYPERLINK \l "_Toc28477" </w:instrText>
      </w:r>
      <w:r>
        <w:fldChar w:fldCharType="separate"/>
      </w:r>
      <w:r>
        <w:rPr>
          <w:rFonts w:asciiTheme="minorEastAsia" w:hAnsiTheme="minorEastAsia" w:eastAsiaTheme="minorEastAsia" w:cstheme="minorEastAsia"/>
          <w:bCs/>
          <w:szCs w:val="24"/>
        </w:rPr>
        <w:t>格式八 项目经理简历表</w:t>
      </w:r>
      <w:r>
        <w:tab/>
      </w:r>
      <w:r>
        <w:fldChar w:fldCharType="begin"/>
      </w:r>
      <w:r>
        <w:instrText xml:space="preserve"> PAGEREF _Toc28477 \h </w:instrText>
      </w:r>
      <w:r>
        <w:fldChar w:fldCharType="separate"/>
      </w:r>
      <w:r>
        <w:t>91</w:t>
      </w:r>
      <w:r>
        <w:fldChar w:fldCharType="end"/>
      </w:r>
      <w:r>
        <w:fldChar w:fldCharType="end"/>
      </w:r>
    </w:p>
    <w:p w14:paraId="44CC10C8">
      <w:pPr>
        <w:pStyle w:val="18"/>
        <w:tabs>
          <w:tab w:val="right" w:leader="dot" w:pos="10206"/>
        </w:tabs>
        <w:ind w:left="480"/>
      </w:pPr>
      <w:r>
        <w:fldChar w:fldCharType="begin"/>
      </w:r>
      <w:r>
        <w:instrText xml:space="preserve"> HYPERLINK \l "_Toc16308" </w:instrText>
      </w:r>
      <w:r>
        <w:fldChar w:fldCharType="separate"/>
      </w:r>
      <w:r>
        <w:rPr>
          <w:rFonts w:asciiTheme="minorEastAsia" w:hAnsiTheme="minorEastAsia" w:eastAsiaTheme="minorEastAsia" w:cstheme="minorEastAsia"/>
          <w:bCs/>
          <w:szCs w:val="24"/>
        </w:rPr>
        <w:t>格式九 项目经理任职声明</w:t>
      </w:r>
      <w:r>
        <w:tab/>
      </w:r>
      <w:r>
        <w:fldChar w:fldCharType="begin"/>
      </w:r>
      <w:r>
        <w:instrText xml:space="preserve"> PAGEREF _Toc16308 \h </w:instrText>
      </w:r>
      <w:r>
        <w:fldChar w:fldCharType="separate"/>
      </w:r>
      <w:r>
        <w:t>92</w:t>
      </w:r>
      <w:r>
        <w:fldChar w:fldCharType="end"/>
      </w:r>
      <w:r>
        <w:fldChar w:fldCharType="end"/>
      </w:r>
    </w:p>
    <w:p w14:paraId="63ACB2FA">
      <w:pPr>
        <w:pStyle w:val="18"/>
        <w:tabs>
          <w:tab w:val="right" w:leader="dot" w:pos="10206"/>
        </w:tabs>
        <w:ind w:left="480"/>
      </w:pPr>
      <w:r>
        <w:fldChar w:fldCharType="begin"/>
      </w:r>
      <w:r>
        <w:instrText xml:space="preserve"> HYPERLINK \l "_Toc2320" </w:instrText>
      </w:r>
      <w:r>
        <w:fldChar w:fldCharType="separate"/>
      </w:r>
      <w:r>
        <w:rPr>
          <w:rFonts w:asciiTheme="minorEastAsia" w:hAnsiTheme="minorEastAsia" w:eastAsiaTheme="minorEastAsia" w:cstheme="minorEastAsia"/>
          <w:bCs/>
          <w:szCs w:val="24"/>
        </w:rPr>
        <w:t>格式十 项目技术负责人简历表</w:t>
      </w:r>
      <w:r>
        <w:tab/>
      </w:r>
      <w:r>
        <w:fldChar w:fldCharType="begin"/>
      </w:r>
      <w:r>
        <w:instrText xml:space="preserve"> PAGEREF _Toc2320 \h </w:instrText>
      </w:r>
      <w:r>
        <w:fldChar w:fldCharType="separate"/>
      </w:r>
      <w:r>
        <w:t>93</w:t>
      </w:r>
      <w:r>
        <w:fldChar w:fldCharType="end"/>
      </w:r>
      <w:r>
        <w:fldChar w:fldCharType="end"/>
      </w:r>
    </w:p>
    <w:p w14:paraId="735B175B">
      <w:pPr>
        <w:pStyle w:val="18"/>
        <w:tabs>
          <w:tab w:val="right" w:leader="dot" w:pos="10206"/>
        </w:tabs>
        <w:ind w:left="480"/>
      </w:pPr>
      <w:r>
        <w:fldChar w:fldCharType="begin"/>
      </w:r>
      <w:r>
        <w:instrText xml:space="preserve"> HYPERLINK \l "_Toc8551" </w:instrText>
      </w:r>
      <w:r>
        <w:fldChar w:fldCharType="separate"/>
      </w:r>
      <w:r>
        <w:rPr>
          <w:rFonts w:asciiTheme="minorEastAsia" w:hAnsiTheme="minorEastAsia" w:eastAsiaTheme="minorEastAsia" w:cstheme="minorEastAsia"/>
          <w:bCs/>
          <w:szCs w:val="24"/>
        </w:rPr>
        <w:t>格式十一 项目设计负责人简历表</w:t>
      </w:r>
      <w:r>
        <w:tab/>
      </w:r>
      <w:r>
        <w:fldChar w:fldCharType="begin"/>
      </w:r>
      <w:r>
        <w:instrText xml:space="preserve"> PAGEREF _Toc8551 \h </w:instrText>
      </w:r>
      <w:r>
        <w:fldChar w:fldCharType="separate"/>
      </w:r>
      <w:r>
        <w:t>94</w:t>
      </w:r>
      <w:r>
        <w:fldChar w:fldCharType="end"/>
      </w:r>
      <w:r>
        <w:fldChar w:fldCharType="end"/>
      </w:r>
    </w:p>
    <w:p w14:paraId="089BE58A">
      <w:pPr>
        <w:pStyle w:val="18"/>
        <w:tabs>
          <w:tab w:val="right" w:leader="dot" w:pos="10206"/>
        </w:tabs>
        <w:ind w:left="480"/>
      </w:pPr>
      <w:r>
        <w:fldChar w:fldCharType="begin"/>
      </w:r>
      <w:r>
        <w:instrText xml:space="preserve"> HYPERLINK \l "_Toc19727" </w:instrText>
      </w:r>
      <w:r>
        <w:fldChar w:fldCharType="separate"/>
      </w:r>
      <w:r>
        <w:rPr>
          <w:rFonts w:asciiTheme="minorEastAsia" w:hAnsiTheme="minorEastAsia" w:eastAsiaTheme="minorEastAsia" w:cstheme="minorEastAsia"/>
          <w:snapToGrid w:val="0"/>
          <w:szCs w:val="24"/>
        </w:rPr>
        <w:t>格式十二 项目管理机构组成表</w:t>
      </w:r>
      <w:r>
        <w:tab/>
      </w:r>
      <w:r>
        <w:fldChar w:fldCharType="begin"/>
      </w:r>
      <w:r>
        <w:instrText xml:space="preserve"> PAGEREF _Toc19727 \h </w:instrText>
      </w:r>
      <w:r>
        <w:fldChar w:fldCharType="separate"/>
      </w:r>
      <w:r>
        <w:t>95</w:t>
      </w:r>
      <w:r>
        <w:fldChar w:fldCharType="end"/>
      </w:r>
      <w:r>
        <w:fldChar w:fldCharType="end"/>
      </w:r>
    </w:p>
    <w:p w14:paraId="5FC18CC3">
      <w:pPr>
        <w:pStyle w:val="18"/>
        <w:tabs>
          <w:tab w:val="right" w:leader="dot" w:pos="10206"/>
        </w:tabs>
        <w:ind w:left="480"/>
      </w:pPr>
      <w:r>
        <w:fldChar w:fldCharType="begin"/>
      </w:r>
      <w:r>
        <w:instrText xml:space="preserve"> HYPERLINK \l "_Toc13888" </w:instrText>
      </w:r>
      <w:r>
        <w:fldChar w:fldCharType="separate"/>
      </w:r>
      <w:r>
        <w:rPr>
          <w:rFonts w:asciiTheme="minorEastAsia" w:hAnsiTheme="minorEastAsia" w:eastAsiaTheme="minorEastAsia" w:cstheme="minorEastAsia"/>
          <w:bCs/>
          <w:szCs w:val="24"/>
        </w:rPr>
        <w:t>格式十三 原件一览表</w:t>
      </w:r>
      <w:r>
        <w:tab/>
      </w:r>
      <w:r>
        <w:fldChar w:fldCharType="begin"/>
      </w:r>
      <w:r>
        <w:instrText xml:space="preserve"> PAGEREF _Toc13888 \h </w:instrText>
      </w:r>
      <w:r>
        <w:fldChar w:fldCharType="separate"/>
      </w:r>
      <w:r>
        <w:t>96</w:t>
      </w:r>
      <w:r>
        <w:fldChar w:fldCharType="end"/>
      </w:r>
      <w:r>
        <w:fldChar w:fldCharType="end"/>
      </w:r>
    </w:p>
    <w:p w14:paraId="1F42066F">
      <w:pPr>
        <w:pStyle w:val="15"/>
        <w:tabs>
          <w:tab w:val="right" w:leader="dot" w:pos="10206"/>
        </w:tabs>
      </w:pPr>
      <w:r>
        <w:fldChar w:fldCharType="begin"/>
      </w:r>
      <w:r>
        <w:instrText xml:space="preserve"> HYPERLINK \l "_Toc6049" </w:instrText>
      </w:r>
      <w:r>
        <w:fldChar w:fldCharType="separate"/>
      </w:r>
      <w:r>
        <w:rPr>
          <w:rFonts w:asciiTheme="minorEastAsia" w:hAnsiTheme="minorEastAsia" w:eastAsiaTheme="minorEastAsia" w:cstheme="minorEastAsia"/>
          <w:kern w:val="44"/>
          <w:szCs w:val="30"/>
        </w:rPr>
        <w:t>第八章  廉政合同、履约保函、预付款保函、支付保函</w:t>
      </w:r>
      <w:r>
        <w:tab/>
      </w:r>
      <w:r>
        <w:fldChar w:fldCharType="begin"/>
      </w:r>
      <w:r>
        <w:instrText xml:space="preserve"> PAGEREF _Toc6049 \h </w:instrText>
      </w:r>
      <w:r>
        <w:fldChar w:fldCharType="separate"/>
      </w:r>
      <w:r>
        <w:t>97</w:t>
      </w:r>
      <w:r>
        <w:fldChar w:fldCharType="end"/>
      </w:r>
      <w:r>
        <w:fldChar w:fldCharType="end"/>
      </w:r>
    </w:p>
    <w:p w14:paraId="42FD91E3">
      <w:pPr>
        <w:pStyle w:val="10"/>
        <w:tabs>
          <w:tab w:val="right" w:leader="dot" w:pos="10206"/>
        </w:tabs>
        <w:ind w:left="960"/>
      </w:pPr>
      <w:r>
        <w:fldChar w:fldCharType="begin"/>
      </w:r>
      <w:r>
        <w:instrText xml:space="preserve"> HYPERLINK \l "_Toc14418" </w:instrText>
      </w:r>
      <w:r>
        <w:fldChar w:fldCharType="separate"/>
      </w:r>
      <w:r>
        <w:rPr>
          <w:rFonts w:asciiTheme="minorEastAsia" w:hAnsiTheme="minorEastAsia" w:eastAsiaTheme="minorEastAsia" w:cstheme="minorEastAsia"/>
          <w:bCs/>
          <w:szCs w:val="32"/>
        </w:rPr>
        <w:t>廉政合同</w:t>
      </w:r>
      <w:r>
        <w:tab/>
      </w:r>
      <w:r>
        <w:fldChar w:fldCharType="begin"/>
      </w:r>
      <w:r>
        <w:instrText xml:space="preserve"> PAGEREF _Toc14418 \h </w:instrText>
      </w:r>
      <w:r>
        <w:fldChar w:fldCharType="separate"/>
      </w:r>
      <w:r>
        <w:t>97</w:t>
      </w:r>
      <w:r>
        <w:fldChar w:fldCharType="end"/>
      </w:r>
      <w:r>
        <w:fldChar w:fldCharType="end"/>
      </w:r>
    </w:p>
    <w:p w14:paraId="14D288D6">
      <w:pPr>
        <w:pStyle w:val="10"/>
        <w:tabs>
          <w:tab w:val="right" w:leader="dot" w:pos="10206"/>
        </w:tabs>
        <w:ind w:left="960"/>
      </w:pPr>
      <w:r>
        <w:fldChar w:fldCharType="begin"/>
      </w:r>
      <w:r>
        <w:instrText xml:space="preserve"> HYPERLINK \l "_Toc29869" </w:instrText>
      </w:r>
      <w:r>
        <w:fldChar w:fldCharType="separate"/>
      </w:r>
      <w:r>
        <w:rPr>
          <w:rFonts w:asciiTheme="minorEastAsia" w:hAnsiTheme="minorEastAsia" w:eastAsiaTheme="minorEastAsia" w:cstheme="minorEastAsia"/>
          <w:bCs/>
          <w:szCs w:val="32"/>
        </w:rPr>
        <w:t>履约保函</w:t>
      </w:r>
      <w:r>
        <w:tab/>
      </w:r>
      <w:r>
        <w:fldChar w:fldCharType="begin"/>
      </w:r>
      <w:r>
        <w:instrText xml:space="preserve"> PAGEREF _Toc29869 \h </w:instrText>
      </w:r>
      <w:r>
        <w:fldChar w:fldCharType="separate"/>
      </w:r>
      <w:r>
        <w:t>100</w:t>
      </w:r>
      <w:r>
        <w:fldChar w:fldCharType="end"/>
      </w:r>
      <w:r>
        <w:fldChar w:fldCharType="end"/>
      </w:r>
    </w:p>
    <w:p w14:paraId="6BD82546">
      <w:pPr>
        <w:pStyle w:val="10"/>
        <w:tabs>
          <w:tab w:val="right" w:leader="dot" w:pos="10206"/>
        </w:tabs>
        <w:ind w:left="960"/>
      </w:pPr>
      <w:r>
        <w:fldChar w:fldCharType="begin"/>
      </w:r>
      <w:r>
        <w:instrText xml:space="preserve"> HYPERLINK \l "_Toc23944" </w:instrText>
      </w:r>
      <w:r>
        <w:fldChar w:fldCharType="separate"/>
      </w:r>
      <w:r>
        <w:rPr>
          <w:rFonts w:asciiTheme="minorEastAsia" w:hAnsiTheme="minorEastAsia" w:eastAsiaTheme="minorEastAsia" w:cstheme="minorEastAsia"/>
          <w:bCs/>
          <w:szCs w:val="32"/>
        </w:rPr>
        <w:t>预付款保函</w:t>
      </w:r>
      <w:r>
        <w:tab/>
      </w:r>
      <w:r>
        <w:fldChar w:fldCharType="begin"/>
      </w:r>
      <w:r>
        <w:instrText xml:space="preserve"> PAGEREF _Toc23944 \h </w:instrText>
      </w:r>
      <w:r>
        <w:fldChar w:fldCharType="separate"/>
      </w:r>
      <w:r>
        <w:t>102</w:t>
      </w:r>
      <w:r>
        <w:fldChar w:fldCharType="end"/>
      </w:r>
      <w:r>
        <w:fldChar w:fldCharType="end"/>
      </w:r>
    </w:p>
    <w:p w14:paraId="5E1ADCB9">
      <w:pPr>
        <w:pStyle w:val="10"/>
        <w:tabs>
          <w:tab w:val="right" w:leader="dot" w:pos="10206"/>
        </w:tabs>
        <w:ind w:left="960"/>
      </w:pPr>
      <w:r>
        <w:fldChar w:fldCharType="begin"/>
      </w:r>
      <w:r>
        <w:instrText xml:space="preserve"> HYPERLINK \l "_Toc7591" </w:instrText>
      </w:r>
      <w:r>
        <w:fldChar w:fldCharType="separate"/>
      </w:r>
      <w:r>
        <w:rPr>
          <w:rFonts w:asciiTheme="minorEastAsia" w:hAnsiTheme="minorEastAsia" w:eastAsiaTheme="minorEastAsia" w:cstheme="minorEastAsia"/>
          <w:bCs/>
          <w:szCs w:val="32"/>
        </w:rPr>
        <w:t>支付保函</w:t>
      </w:r>
      <w:r>
        <w:tab/>
      </w:r>
      <w:r>
        <w:fldChar w:fldCharType="begin"/>
      </w:r>
      <w:r>
        <w:instrText xml:space="preserve"> PAGEREF _Toc7591 \h </w:instrText>
      </w:r>
      <w:r>
        <w:fldChar w:fldCharType="separate"/>
      </w:r>
      <w:r>
        <w:t>104</w:t>
      </w:r>
      <w:r>
        <w:fldChar w:fldCharType="end"/>
      </w:r>
      <w:r>
        <w:fldChar w:fldCharType="end"/>
      </w:r>
    </w:p>
    <w:p w14:paraId="47928D6F">
      <w:pPr>
        <w:pStyle w:val="15"/>
        <w:tabs>
          <w:tab w:val="right" w:leader="dot" w:pos="10206"/>
        </w:tabs>
      </w:pPr>
      <w:r>
        <w:fldChar w:fldCharType="begin"/>
      </w:r>
      <w:r>
        <w:instrText xml:space="preserve"> HYPERLINK \l "_Toc12263" </w:instrText>
      </w:r>
      <w:r>
        <w:fldChar w:fldCharType="separate"/>
      </w:r>
      <w:r>
        <w:rPr>
          <w:rFonts w:asciiTheme="minorEastAsia" w:hAnsiTheme="minorEastAsia" w:eastAsiaTheme="minorEastAsia" w:cstheme="minorEastAsia"/>
          <w:kern w:val="44"/>
          <w:szCs w:val="36"/>
        </w:rPr>
        <w:t>第九章  建设工程合同</w:t>
      </w:r>
      <w:r>
        <w:tab/>
      </w:r>
      <w:r>
        <w:fldChar w:fldCharType="begin"/>
      </w:r>
      <w:r>
        <w:instrText xml:space="preserve"> PAGEREF _Toc12263 \h </w:instrText>
      </w:r>
      <w:r>
        <w:fldChar w:fldCharType="separate"/>
      </w:r>
      <w:r>
        <w:t>106</w:t>
      </w:r>
      <w:r>
        <w:fldChar w:fldCharType="end"/>
      </w:r>
      <w:r>
        <w:fldChar w:fldCharType="end"/>
      </w:r>
    </w:p>
    <w:p w14:paraId="5C48A833">
      <w:pPr>
        <w:pStyle w:val="34"/>
        <w:tabs>
          <w:tab w:val="left" w:pos="4935"/>
        </w:tabs>
        <w:jc w:val="center"/>
        <w:rPr>
          <w:rFonts w:hint="eastAsia" w:asciiTheme="minorEastAsia" w:hAnsiTheme="minorEastAsia" w:eastAsiaTheme="minorEastAsia" w:cstheme="minorEastAsia"/>
          <w:color w:val="000000" w:themeColor="text1"/>
          <w:szCs w:val="21"/>
          <w14:textFill>
            <w14:solidFill>
              <w14:schemeClr w14:val="tx1"/>
            </w14:solidFill>
          </w14:textFill>
        </w:rPr>
        <w:sectPr>
          <w:footerReference r:id="rId4" w:type="default"/>
          <w:endnotePr>
            <w:numFmt w:val="decimal"/>
          </w:endnotePr>
          <w:pgSz w:w="11906" w:h="16838"/>
          <w:pgMar w:top="850" w:right="850" w:bottom="850" w:left="850" w:header="851" w:footer="992" w:gutter="0"/>
          <w:pgNumType w:start="1"/>
          <w:cols w:space="720" w:num="1"/>
          <w:docGrid w:type="lines" w:linePitch="312" w:charSpace="0"/>
        </w:sectPr>
      </w:pPr>
      <w:r>
        <w:rPr>
          <w:rFonts w:hint="eastAsia" w:asciiTheme="minorEastAsia" w:hAnsiTheme="minorEastAsia" w:eastAsiaTheme="minorEastAsia" w:cstheme="minorEastAsia"/>
          <w:color w:val="000000" w:themeColor="text1"/>
          <w:szCs w:val="21"/>
          <w14:textFill>
            <w14:solidFill>
              <w14:schemeClr w14:val="tx1"/>
            </w14:solidFill>
          </w14:textFill>
        </w:rPr>
        <w:fldChar w:fldCharType="end"/>
      </w:r>
    </w:p>
    <w:p w14:paraId="6A69944D">
      <w:pPr>
        <w:pStyle w:val="35"/>
        <w:keepNext/>
        <w:keepLines/>
        <w:jc w:val="cente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pPr>
      <w:bookmarkStart w:id="0" w:name="_Toc23265"/>
      <w:bookmarkStart w:id="1" w:name="_Toc28280"/>
      <w:bookmarkStart w:id="2" w:name="_Hlt111690251"/>
      <w: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t>第一章投标须知</w:t>
      </w:r>
      <w:bookmarkEnd w:id="0"/>
      <w:bookmarkEnd w:id="1"/>
    </w:p>
    <w:p w14:paraId="6F6B3DC3">
      <w:pPr>
        <w:pStyle w:val="36"/>
        <w:keepNext/>
        <w:keepLines/>
        <w:autoSpaceDE/>
        <w:autoSpaceDN/>
        <w:adjustRightInd/>
        <w:spacing w:before="260" w:after="260" w:line="360" w:lineRule="exact"/>
        <w:ind w:firstLine="482" w:firstLineChars="200"/>
        <w:rPr>
          <w:rFonts w:hint="eastAsia" w:asciiTheme="minorEastAsia" w:hAnsiTheme="minorEastAsia" w:eastAsiaTheme="minorEastAsia" w:cstheme="minorEastAsia"/>
          <w:b/>
          <w:color w:val="000000" w:themeColor="text1"/>
          <w:kern w:val="2"/>
          <w14:textFill>
            <w14:solidFill>
              <w14:schemeClr w14:val="tx1"/>
            </w14:solidFill>
          </w14:textFill>
        </w:rPr>
      </w:pPr>
      <w:bookmarkStart w:id="3" w:name="_Hlt127175444"/>
      <w:bookmarkEnd w:id="3"/>
      <w:bookmarkStart w:id="4" w:name="_Toc8820"/>
      <w:bookmarkStart w:id="5" w:name="_Toc13458"/>
      <w:bookmarkStart w:id="6" w:name="_Hlt120077520"/>
      <w:r>
        <w:rPr>
          <w:rFonts w:hint="eastAsia" w:asciiTheme="minorEastAsia" w:hAnsiTheme="minorEastAsia" w:eastAsiaTheme="minorEastAsia" w:cstheme="minorEastAsia"/>
          <w:b/>
          <w:color w:val="000000" w:themeColor="text1"/>
          <w:kern w:val="2"/>
          <w14:textFill>
            <w14:solidFill>
              <w14:schemeClr w14:val="tx1"/>
            </w14:solidFill>
          </w14:textFill>
        </w:rPr>
        <w:t>第一节.投标须知前附表</w:t>
      </w:r>
      <w:bookmarkEnd w:id="4"/>
      <w:bookmarkEnd w:id="5"/>
    </w:p>
    <w:tbl>
      <w:tblPr>
        <w:tblStyle w:val="21"/>
        <w:tblW w:w="99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04"/>
        <w:gridCol w:w="1698"/>
        <w:gridCol w:w="7497"/>
      </w:tblGrid>
      <w:tr w14:paraId="76AB5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75"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002D6259">
            <w:pPr>
              <w:pStyle w:val="34"/>
              <w:jc w:val="center"/>
              <w:rPr>
                <w:rFonts w:hint="eastAsia" w:asciiTheme="minorEastAsia" w:hAnsiTheme="minorEastAsia" w:eastAsiaTheme="minorEastAsia" w:cstheme="minorEastAsia"/>
                <w:b/>
                <w:bCs/>
                <w:color w:val="000000" w:themeColor="text1"/>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4"/>
                <w14:textFill>
                  <w14:solidFill>
                    <w14:schemeClr w14:val="tx1"/>
                  </w14:solidFill>
                </w14:textFill>
              </w:rPr>
              <w:t>序</w:t>
            </w:r>
          </w:p>
          <w:p w14:paraId="68229139">
            <w:pPr>
              <w:pStyle w:val="34"/>
              <w:jc w:val="center"/>
              <w:rPr>
                <w:rFonts w:hint="eastAsia" w:asciiTheme="minorEastAsia" w:hAnsiTheme="minorEastAsia" w:eastAsiaTheme="minorEastAsia" w:cstheme="minorEastAsia"/>
                <w:b/>
                <w:bCs/>
                <w:color w:val="000000" w:themeColor="text1"/>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4"/>
                <w14:textFill>
                  <w14:solidFill>
                    <w14:schemeClr w14:val="tx1"/>
                  </w14:solidFill>
                </w14:textFill>
              </w:rPr>
              <w:t>号</w:t>
            </w:r>
          </w:p>
        </w:tc>
        <w:tc>
          <w:tcPr>
            <w:tcW w:w="1698" w:type="dxa"/>
            <w:tcBorders>
              <w:top w:val="single" w:color="auto" w:sz="4" w:space="0"/>
              <w:left w:val="single" w:color="auto" w:sz="4" w:space="0"/>
              <w:bottom w:val="single" w:color="auto" w:sz="4" w:space="0"/>
              <w:right w:val="single" w:color="auto" w:sz="4" w:space="0"/>
            </w:tcBorders>
            <w:noWrap/>
            <w:vAlign w:val="center"/>
          </w:tcPr>
          <w:p w14:paraId="112A2DF3">
            <w:pPr>
              <w:pStyle w:val="34"/>
              <w:jc w:val="center"/>
              <w:rPr>
                <w:rFonts w:hint="eastAsia" w:asciiTheme="minorEastAsia" w:hAnsiTheme="minorEastAsia" w:eastAsiaTheme="minorEastAsia" w:cstheme="minorEastAsia"/>
                <w:b/>
                <w:bCs/>
                <w:color w:val="000000" w:themeColor="text1"/>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4"/>
                <w14:textFill>
                  <w14:solidFill>
                    <w14:schemeClr w14:val="tx1"/>
                  </w14:solidFill>
                </w14:textFill>
              </w:rPr>
              <w:t>内容</w:t>
            </w:r>
          </w:p>
        </w:tc>
        <w:tc>
          <w:tcPr>
            <w:tcW w:w="7497" w:type="dxa"/>
            <w:tcBorders>
              <w:top w:val="single" w:color="auto" w:sz="4" w:space="0"/>
              <w:left w:val="single" w:color="auto" w:sz="4" w:space="0"/>
              <w:bottom w:val="single" w:color="auto" w:sz="4" w:space="0"/>
              <w:right w:val="single" w:color="auto" w:sz="4" w:space="0"/>
            </w:tcBorders>
            <w:noWrap/>
            <w:vAlign w:val="center"/>
          </w:tcPr>
          <w:p w14:paraId="1A3176E8">
            <w:pPr>
              <w:pStyle w:val="34"/>
              <w:tabs>
                <w:tab w:val="left" w:pos="1180"/>
              </w:tabs>
              <w:jc w:val="center"/>
              <w:rPr>
                <w:rFonts w:hint="eastAsia" w:asciiTheme="minorEastAsia" w:hAnsiTheme="minorEastAsia" w:eastAsiaTheme="minorEastAsia" w:cstheme="minorEastAsia"/>
                <w:b/>
                <w:bCs/>
                <w:color w:val="000000" w:themeColor="text1"/>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4"/>
                <w14:textFill>
                  <w14:solidFill>
                    <w14:schemeClr w14:val="tx1"/>
                  </w14:solidFill>
                </w14:textFill>
              </w:rPr>
              <w:t>说明与要求</w:t>
            </w:r>
          </w:p>
        </w:tc>
      </w:tr>
      <w:tr w14:paraId="279D9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75"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26E31B31">
            <w:pPr>
              <w:pStyle w:val="34"/>
              <w:jc w:val="center"/>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w:t>
            </w:r>
          </w:p>
        </w:tc>
        <w:tc>
          <w:tcPr>
            <w:tcW w:w="1698" w:type="dxa"/>
            <w:tcBorders>
              <w:top w:val="single" w:color="auto" w:sz="4" w:space="0"/>
              <w:left w:val="single" w:color="auto" w:sz="4" w:space="0"/>
              <w:bottom w:val="single" w:color="auto" w:sz="4" w:space="0"/>
              <w:right w:val="single" w:color="auto" w:sz="4" w:space="0"/>
            </w:tcBorders>
            <w:noWrap/>
            <w:vAlign w:val="center"/>
          </w:tcPr>
          <w:p w14:paraId="7196F5D9">
            <w:pPr>
              <w:pStyle w:val="34"/>
              <w:jc w:val="center"/>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项目名称</w:t>
            </w:r>
          </w:p>
        </w:tc>
        <w:tc>
          <w:tcPr>
            <w:tcW w:w="7497" w:type="dxa"/>
            <w:tcBorders>
              <w:top w:val="single" w:color="auto" w:sz="4" w:space="0"/>
              <w:left w:val="single" w:color="auto" w:sz="4" w:space="0"/>
              <w:bottom w:val="single" w:color="auto" w:sz="4" w:space="0"/>
              <w:right w:val="single" w:color="auto" w:sz="4" w:space="0"/>
            </w:tcBorders>
            <w:noWrap/>
          </w:tcPr>
          <w:p w14:paraId="476277DF">
            <w:pPr>
              <w:pStyle w:val="37"/>
              <w:wordWrap w:val="0"/>
              <w:adjustRightInd w:val="0"/>
              <w:snapToGrid w:val="0"/>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新丰县丰城街道105 国道龙江横江路段沿线整治和基础设施完善项目设计施工总承包</w:t>
            </w:r>
          </w:p>
        </w:tc>
      </w:tr>
      <w:tr w14:paraId="4AE0F0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62E50158">
            <w:pPr>
              <w:pStyle w:val="34"/>
              <w:jc w:val="center"/>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2</w:t>
            </w:r>
          </w:p>
        </w:tc>
        <w:tc>
          <w:tcPr>
            <w:tcW w:w="1698" w:type="dxa"/>
            <w:tcBorders>
              <w:top w:val="single" w:color="auto" w:sz="4" w:space="0"/>
              <w:left w:val="single" w:color="auto" w:sz="4" w:space="0"/>
              <w:bottom w:val="single" w:color="auto" w:sz="4" w:space="0"/>
              <w:right w:val="single" w:color="auto" w:sz="4" w:space="0"/>
            </w:tcBorders>
            <w:noWrap/>
            <w:vAlign w:val="center"/>
          </w:tcPr>
          <w:p w14:paraId="06717F3D">
            <w:pPr>
              <w:pStyle w:val="34"/>
              <w:jc w:val="center"/>
              <w:rPr>
                <w:rFonts w:hint="eastAsia" w:asciiTheme="minorEastAsia" w:hAnsiTheme="minorEastAsia" w:eastAsiaTheme="minorEastAsia" w:cstheme="minorEastAsia"/>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kern w:val="0"/>
                <w:szCs w:val="24"/>
                <w14:textFill>
                  <w14:solidFill>
                    <w14:schemeClr w14:val="tx1"/>
                  </w14:solidFill>
                </w14:textFill>
              </w:rPr>
              <w:t>项目业主</w:t>
            </w:r>
          </w:p>
        </w:tc>
        <w:tc>
          <w:tcPr>
            <w:tcW w:w="7497" w:type="dxa"/>
            <w:tcBorders>
              <w:top w:val="single" w:color="auto" w:sz="4" w:space="0"/>
              <w:left w:val="single" w:color="auto" w:sz="4" w:space="0"/>
              <w:bottom w:val="single" w:color="auto" w:sz="4" w:space="0"/>
              <w:right w:val="single" w:color="auto" w:sz="4" w:space="0"/>
            </w:tcBorders>
            <w:noWrap/>
            <w:vAlign w:val="center"/>
          </w:tcPr>
          <w:p w14:paraId="4B2AFAB6">
            <w:pPr>
              <w:pStyle w:val="34"/>
              <w:rPr>
                <w:rFonts w:hint="eastAsia" w:asciiTheme="minorEastAsia" w:hAnsiTheme="minorEastAsia" w:eastAsiaTheme="minorEastAsia" w:cstheme="minorEastAsia"/>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 xml:space="preserve">新丰县人民政府丰城街道办事处 </w:t>
            </w:r>
          </w:p>
        </w:tc>
      </w:tr>
      <w:tr w14:paraId="0A65F4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328117BF">
            <w:pPr>
              <w:wordWrap w:val="0"/>
              <w:adjustRightInd w:val="0"/>
              <w:snapToGrid w:val="0"/>
              <w:spacing w:line="360" w:lineRule="auto"/>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3</w:t>
            </w:r>
          </w:p>
        </w:tc>
        <w:tc>
          <w:tcPr>
            <w:tcW w:w="1698" w:type="dxa"/>
            <w:tcBorders>
              <w:top w:val="single" w:color="auto" w:sz="4" w:space="0"/>
              <w:left w:val="single" w:color="auto" w:sz="4" w:space="0"/>
              <w:bottom w:val="single" w:color="auto" w:sz="4" w:space="0"/>
              <w:right w:val="single" w:color="auto" w:sz="4" w:space="0"/>
            </w:tcBorders>
            <w:noWrap/>
            <w:vAlign w:val="center"/>
          </w:tcPr>
          <w:p w14:paraId="1D78C8FD">
            <w:pPr>
              <w:pStyle w:val="34"/>
              <w:jc w:val="center"/>
              <w:rPr>
                <w:rFonts w:hint="eastAsia" w:asciiTheme="minorEastAsia" w:hAnsiTheme="minorEastAsia" w:eastAsiaTheme="minorEastAsia" w:cstheme="minorEastAsia"/>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kern w:val="0"/>
                <w:szCs w:val="24"/>
                <w14:textFill>
                  <w14:solidFill>
                    <w14:schemeClr w14:val="tx1"/>
                  </w14:solidFill>
                </w14:textFill>
              </w:rPr>
              <w:t>项目批准部门</w:t>
            </w:r>
          </w:p>
        </w:tc>
        <w:tc>
          <w:tcPr>
            <w:tcW w:w="7497" w:type="dxa"/>
            <w:tcBorders>
              <w:top w:val="single" w:color="auto" w:sz="4" w:space="0"/>
              <w:left w:val="single" w:color="auto" w:sz="4" w:space="0"/>
              <w:bottom w:val="single" w:color="auto" w:sz="4" w:space="0"/>
              <w:right w:val="single" w:color="auto" w:sz="4" w:space="0"/>
            </w:tcBorders>
            <w:noWrap/>
            <w:vAlign w:val="center"/>
          </w:tcPr>
          <w:p w14:paraId="3DC35A24">
            <w:pPr>
              <w:widowControl/>
              <w:wordWrap w:val="0"/>
              <w:adjustRightInd w:val="0"/>
              <w:snapToGrid w:val="0"/>
              <w:jc w:val="left"/>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t>新丰县发展和改革局</w:t>
            </w:r>
          </w:p>
        </w:tc>
      </w:tr>
      <w:tr w14:paraId="15084A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046DB252">
            <w:pPr>
              <w:wordWrap w:val="0"/>
              <w:adjustRightInd w:val="0"/>
              <w:snapToGrid w:val="0"/>
              <w:spacing w:line="360" w:lineRule="auto"/>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4</w:t>
            </w:r>
          </w:p>
        </w:tc>
        <w:tc>
          <w:tcPr>
            <w:tcW w:w="1698" w:type="dxa"/>
            <w:tcBorders>
              <w:top w:val="single" w:color="auto" w:sz="4" w:space="0"/>
              <w:left w:val="single" w:color="auto" w:sz="4" w:space="0"/>
              <w:bottom w:val="single" w:color="auto" w:sz="4" w:space="0"/>
              <w:right w:val="single" w:color="auto" w:sz="4" w:space="0"/>
            </w:tcBorders>
            <w:noWrap/>
            <w:vAlign w:val="center"/>
          </w:tcPr>
          <w:p w14:paraId="7F5EB6B2">
            <w:pPr>
              <w:wordWrap w:val="0"/>
              <w:adjustRightInd w:val="0"/>
              <w:snapToGrid w:val="0"/>
              <w:spacing w:line="360" w:lineRule="auto"/>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项目批准文号</w:t>
            </w:r>
          </w:p>
        </w:tc>
        <w:tc>
          <w:tcPr>
            <w:tcW w:w="7497" w:type="dxa"/>
            <w:tcBorders>
              <w:top w:val="single" w:color="auto" w:sz="4" w:space="0"/>
              <w:left w:val="single" w:color="auto" w:sz="4" w:space="0"/>
              <w:bottom w:val="single" w:color="auto" w:sz="4" w:space="0"/>
              <w:right w:val="single" w:color="auto" w:sz="4" w:space="0"/>
            </w:tcBorders>
            <w:noWrap/>
            <w:vAlign w:val="center"/>
          </w:tcPr>
          <w:p w14:paraId="6F93D2BB">
            <w:pPr>
              <w:widowControl/>
              <w:jc w:val="lef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t>新丰发改投审〔2024〕227号</w:t>
            </w:r>
          </w:p>
        </w:tc>
      </w:tr>
      <w:tr w14:paraId="28514D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7A2829C5">
            <w:pPr>
              <w:wordWrap w:val="0"/>
              <w:adjustRightInd w:val="0"/>
              <w:snapToGrid w:val="0"/>
              <w:spacing w:line="360" w:lineRule="auto"/>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5</w:t>
            </w:r>
          </w:p>
        </w:tc>
        <w:tc>
          <w:tcPr>
            <w:tcW w:w="1698" w:type="dxa"/>
            <w:tcBorders>
              <w:top w:val="single" w:color="auto" w:sz="4" w:space="0"/>
              <w:left w:val="single" w:color="auto" w:sz="4" w:space="0"/>
              <w:bottom w:val="single" w:color="auto" w:sz="4" w:space="0"/>
              <w:right w:val="single" w:color="auto" w:sz="4" w:space="0"/>
            </w:tcBorders>
            <w:noWrap/>
            <w:vAlign w:val="center"/>
          </w:tcPr>
          <w:p w14:paraId="71D76718">
            <w:pPr>
              <w:wordWrap w:val="0"/>
              <w:adjustRightInd w:val="0"/>
              <w:snapToGrid w:val="0"/>
              <w:spacing w:line="360" w:lineRule="auto"/>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项目代码</w:t>
            </w:r>
          </w:p>
        </w:tc>
        <w:tc>
          <w:tcPr>
            <w:tcW w:w="7497" w:type="dxa"/>
            <w:tcBorders>
              <w:top w:val="single" w:color="auto" w:sz="4" w:space="0"/>
              <w:left w:val="single" w:color="auto" w:sz="4" w:space="0"/>
              <w:bottom w:val="single" w:color="auto" w:sz="4" w:space="0"/>
              <w:right w:val="single" w:color="auto" w:sz="4" w:space="0"/>
            </w:tcBorders>
            <w:noWrap/>
            <w:vAlign w:val="center"/>
          </w:tcPr>
          <w:p w14:paraId="6F9AFFB9">
            <w:pPr>
              <w:wordWrap w:val="0"/>
              <w:adjustRightInd w:val="0"/>
              <w:snapToGrid w:val="0"/>
              <w:spacing w:line="360" w:lineRule="auto"/>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2412-440233-04-01-313793</w:t>
            </w:r>
          </w:p>
        </w:tc>
      </w:tr>
      <w:tr w14:paraId="013F3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6"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521F933D">
            <w:pPr>
              <w:wordWrap w:val="0"/>
              <w:adjustRightInd w:val="0"/>
              <w:snapToGrid w:val="0"/>
              <w:spacing w:line="360" w:lineRule="auto"/>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6</w:t>
            </w:r>
          </w:p>
        </w:tc>
        <w:tc>
          <w:tcPr>
            <w:tcW w:w="1698" w:type="dxa"/>
            <w:tcBorders>
              <w:top w:val="single" w:color="auto" w:sz="4" w:space="0"/>
              <w:left w:val="single" w:color="auto" w:sz="4" w:space="0"/>
              <w:bottom w:val="single" w:color="auto" w:sz="4" w:space="0"/>
              <w:right w:val="single" w:color="auto" w:sz="4" w:space="0"/>
            </w:tcBorders>
            <w:noWrap/>
            <w:vAlign w:val="center"/>
          </w:tcPr>
          <w:p w14:paraId="20606D9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资金来源</w:t>
            </w:r>
          </w:p>
          <w:p w14:paraId="2E5A13C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及出资比例</w:t>
            </w:r>
          </w:p>
        </w:tc>
        <w:tc>
          <w:tcPr>
            <w:tcW w:w="7497" w:type="dxa"/>
            <w:tcBorders>
              <w:top w:val="single" w:color="auto" w:sz="4" w:space="0"/>
              <w:left w:val="single" w:color="auto" w:sz="4" w:space="0"/>
              <w:bottom w:val="single" w:color="auto" w:sz="4" w:space="0"/>
              <w:right w:val="single" w:color="auto" w:sz="4" w:space="0"/>
            </w:tcBorders>
            <w:noWrap/>
            <w:vAlign w:val="center"/>
          </w:tcPr>
          <w:p w14:paraId="50B66B4D">
            <w:pPr>
              <w:widowControl/>
              <w:wordWrap w:val="0"/>
              <w:adjustRightInd w:val="0"/>
              <w:snapToGrid w:val="0"/>
              <w:jc w:val="left"/>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t>由上级资金和县统筹安排解决</w:t>
            </w:r>
          </w:p>
        </w:tc>
      </w:tr>
      <w:tr w14:paraId="7ACBB0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71EA8321">
            <w:pPr>
              <w:widowControl/>
              <w:wordWrap w:val="0"/>
              <w:adjustRightInd w:val="0"/>
              <w:snapToGrid w:val="0"/>
              <w:jc w:val="cente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pPr>
            <w: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t>7</w:t>
            </w:r>
          </w:p>
        </w:tc>
        <w:tc>
          <w:tcPr>
            <w:tcW w:w="1698" w:type="dxa"/>
            <w:tcBorders>
              <w:top w:val="single" w:color="auto" w:sz="4" w:space="0"/>
              <w:left w:val="single" w:color="auto" w:sz="4" w:space="0"/>
              <w:bottom w:val="single" w:color="auto" w:sz="4" w:space="0"/>
              <w:right w:val="single" w:color="auto" w:sz="4" w:space="0"/>
            </w:tcBorders>
            <w:noWrap/>
            <w:vAlign w:val="center"/>
          </w:tcPr>
          <w:p w14:paraId="4CB5843F">
            <w:pPr>
              <w:widowControl/>
              <w:wordWrap w:val="0"/>
              <w:adjustRightInd w:val="0"/>
              <w:snapToGrid w:val="0"/>
              <w:jc w:val="cente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pPr>
            <w: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t>招标人</w:t>
            </w:r>
          </w:p>
        </w:tc>
        <w:tc>
          <w:tcPr>
            <w:tcW w:w="7497" w:type="dxa"/>
            <w:tcBorders>
              <w:top w:val="single" w:color="auto" w:sz="4" w:space="0"/>
              <w:left w:val="single" w:color="auto" w:sz="4" w:space="0"/>
              <w:bottom w:val="single" w:color="auto" w:sz="4" w:space="0"/>
              <w:right w:val="single" w:color="auto" w:sz="4" w:space="0"/>
            </w:tcBorders>
            <w:noWrap/>
            <w:vAlign w:val="center"/>
          </w:tcPr>
          <w:p w14:paraId="6A9F429F">
            <w:pPr>
              <w:widowControl/>
              <w:wordWrap w:val="0"/>
              <w:adjustRightInd w:val="0"/>
              <w:snapToGrid w:val="0"/>
              <w:jc w:val="left"/>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pPr>
            <w: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t>新丰县人民政府丰城街道办事处</w:t>
            </w:r>
          </w:p>
        </w:tc>
      </w:tr>
      <w:tr w14:paraId="045480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733FA139">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8</w:t>
            </w:r>
          </w:p>
        </w:tc>
        <w:tc>
          <w:tcPr>
            <w:tcW w:w="1698" w:type="dxa"/>
            <w:tcBorders>
              <w:top w:val="single" w:color="auto" w:sz="4" w:space="0"/>
              <w:left w:val="single" w:color="auto" w:sz="4" w:space="0"/>
              <w:bottom w:val="single" w:color="auto" w:sz="4" w:space="0"/>
              <w:right w:val="single" w:color="auto" w:sz="4" w:space="0"/>
            </w:tcBorders>
            <w:noWrap/>
            <w:vAlign w:val="center"/>
          </w:tcPr>
          <w:p w14:paraId="6B190FD9">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招标代理机构</w:t>
            </w:r>
          </w:p>
        </w:tc>
        <w:tc>
          <w:tcPr>
            <w:tcW w:w="7497" w:type="dxa"/>
            <w:tcBorders>
              <w:top w:val="single" w:color="auto" w:sz="4" w:space="0"/>
              <w:left w:val="single" w:color="auto" w:sz="4" w:space="0"/>
              <w:bottom w:val="single" w:color="auto" w:sz="4" w:space="0"/>
              <w:right w:val="single" w:color="auto" w:sz="4" w:space="0"/>
            </w:tcBorders>
            <w:noWrap/>
            <w:vAlign w:val="center"/>
          </w:tcPr>
          <w:p w14:paraId="3B81F9AF">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napToGrid w:val="0"/>
                <w:color w:val="000000" w:themeColor="text1"/>
                <w:kern w:val="0"/>
                <w:szCs w:val="24"/>
                <w:lang w:bidi="ar"/>
                <w14:textFill>
                  <w14:solidFill>
                    <w14:schemeClr w14:val="tx1"/>
                  </w14:solidFill>
                </w14:textFill>
              </w:rPr>
              <w:t>韶关市北桓工程咨询有限公司</w:t>
            </w:r>
          </w:p>
        </w:tc>
      </w:tr>
      <w:tr w14:paraId="055DC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38C5EA68">
            <w:pPr>
              <w:pStyle w:val="34"/>
              <w:jc w:val="center"/>
              <w:rPr>
                <w:rFonts w:hint="eastAsia" w:asciiTheme="minorEastAsia" w:hAnsiTheme="minorEastAsia" w:eastAsiaTheme="minorEastAsia" w:cstheme="minorEastAsia"/>
                <w:snapToGrid w:val="0"/>
                <w:kern w:val="0"/>
                <w:szCs w:val="24"/>
              </w:rPr>
            </w:pPr>
            <w:r>
              <w:rPr>
                <w:rFonts w:hint="eastAsia" w:asciiTheme="minorEastAsia" w:hAnsiTheme="minorEastAsia" w:eastAsiaTheme="minorEastAsia" w:cstheme="minorEastAsia"/>
                <w:szCs w:val="24"/>
              </w:rPr>
              <w:t>9</w:t>
            </w:r>
          </w:p>
        </w:tc>
        <w:tc>
          <w:tcPr>
            <w:tcW w:w="1698" w:type="dxa"/>
            <w:tcBorders>
              <w:top w:val="single" w:color="auto" w:sz="4" w:space="0"/>
              <w:left w:val="single" w:color="auto" w:sz="4" w:space="0"/>
              <w:bottom w:val="single" w:color="auto" w:sz="4" w:space="0"/>
              <w:right w:val="single" w:color="auto" w:sz="4" w:space="0"/>
            </w:tcBorders>
            <w:noWrap/>
            <w:vAlign w:val="center"/>
          </w:tcPr>
          <w:p w14:paraId="1BBE6A21">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项目总投资</w:t>
            </w:r>
          </w:p>
        </w:tc>
        <w:tc>
          <w:tcPr>
            <w:tcW w:w="7497" w:type="dxa"/>
            <w:tcBorders>
              <w:top w:val="single" w:color="auto" w:sz="4" w:space="0"/>
              <w:left w:val="single" w:color="auto" w:sz="4" w:space="0"/>
              <w:bottom w:val="single" w:color="auto" w:sz="4" w:space="0"/>
              <w:right w:val="single" w:color="auto" w:sz="4" w:space="0"/>
            </w:tcBorders>
            <w:noWrap/>
            <w:vAlign w:val="center"/>
          </w:tcPr>
          <w:p w14:paraId="72FA3F5D">
            <w:pPr>
              <w:pStyle w:val="34"/>
              <w:rPr>
                <w:rFonts w:hint="eastAsia" w:asciiTheme="minorEastAsia" w:hAnsiTheme="minorEastAsia" w:eastAsiaTheme="minorEastAsia" w:cstheme="minorEastAsia"/>
                <w:szCs w:val="24"/>
              </w:rPr>
            </w:pPr>
            <w:r>
              <w:rPr>
                <w:rFonts w:hint="eastAsia" w:hAnsi="宋体" w:cs="宋体"/>
                <w:snapToGrid w:val="0"/>
                <w:kern w:val="0"/>
              </w:rPr>
              <w:t>项目估算总投资1579.54万元</w:t>
            </w:r>
          </w:p>
        </w:tc>
      </w:tr>
      <w:tr w14:paraId="488991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79E75780">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w:t>
            </w:r>
          </w:p>
        </w:tc>
        <w:tc>
          <w:tcPr>
            <w:tcW w:w="1698" w:type="dxa"/>
            <w:tcBorders>
              <w:top w:val="single" w:color="auto" w:sz="4" w:space="0"/>
              <w:left w:val="single" w:color="auto" w:sz="4" w:space="0"/>
              <w:bottom w:val="single" w:color="auto" w:sz="4" w:space="0"/>
              <w:right w:val="single" w:color="auto" w:sz="4" w:space="0"/>
            </w:tcBorders>
            <w:noWrap/>
            <w:vAlign w:val="center"/>
          </w:tcPr>
          <w:p w14:paraId="3B14C97A">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建设地点</w:t>
            </w:r>
          </w:p>
        </w:tc>
        <w:tc>
          <w:tcPr>
            <w:tcW w:w="7497" w:type="dxa"/>
            <w:tcBorders>
              <w:top w:val="single" w:color="auto" w:sz="4" w:space="0"/>
              <w:left w:val="single" w:color="auto" w:sz="4" w:space="0"/>
              <w:bottom w:val="single" w:color="auto" w:sz="4" w:space="0"/>
              <w:right w:val="single" w:color="auto" w:sz="4" w:space="0"/>
            </w:tcBorders>
            <w:noWrap/>
            <w:vAlign w:val="center"/>
          </w:tcPr>
          <w:p w14:paraId="27823074">
            <w:pPr>
              <w:pStyle w:val="8"/>
              <w:spacing w:before="64" w:line="360" w:lineRule="auto"/>
              <w:ind w:right="96"/>
              <w:rPr>
                <w:rFonts w:asciiTheme="minorEastAsia" w:hAnsiTheme="minorEastAsia" w:eastAsiaTheme="minorEastAsia" w:cstheme="minorEastAsia"/>
                <w:kern w:val="0"/>
                <w:szCs w:val="24"/>
              </w:rPr>
            </w:pPr>
            <w:r>
              <w:rPr>
                <w:rFonts w:asciiTheme="minorEastAsia" w:hAnsiTheme="minorEastAsia" w:eastAsiaTheme="minorEastAsia" w:cstheme="minorEastAsia"/>
                <w:snapToGrid w:val="0"/>
                <w:kern w:val="0"/>
                <w:szCs w:val="24"/>
              </w:rPr>
              <w:t>韶关市新丰县丰城街道105国道龙江村~横江村段</w:t>
            </w:r>
          </w:p>
        </w:tc>
      </w:tr>
      <w:tr w14:paraId="69B43E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531"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60A0DB81">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11</w:t>
            </w:r>
          </w:p>
        </w:tc>
        <w:tc>
          <w:tcPr>
            <w:tcW w:w="1698" w:type="dxa"/>
            <w:tcBorders>
              <w:top w:val="single" w:color="auto" w:sz="4" w:space="0"/>
              <w:left w:val="single" w:color="auto" w:sz="4" w:space="0"/>
              <w:bottom w:val="single" w:color="auto" w:sz="4" w:space="0"/>
              <w:right w:val="single" w:color="auto" w:sz="4" w:space="0"/>
            </w:tcBorders>
            <w:noWrap/>
            <w:vAlign w:val="center"/>
          </w:tcPr>
          <w:p w14:paraId="1611E08C">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项目建设内容</w:t>
            </w:r>
          </w:p>
          <w:p w14:paraId="46E017ED">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和规模</w:t>
            </w:r>
          </w:p>
        </w:tc>
        <w:tc>
          <w:tcPr>
            <w:tcW w:w="7497" w:type="dxa"/>
            <w:tcBorders>
              <w:top w:val="single" w:color="auto" w:sz="4" w:space="0"/>
              <w:left w:val="single" w:color="auto" w:sz="4" w:space="0"/>
              <w:bottom w:val="single" w:color="auto" w:sz="4" w:space="0"/>
              <w:right w:val="single" w:color="auto" w:sz="4" w:space="0"/>
            </w:tcBorders>
            <w:noWrap/>
            <w:vAlign w:val="center"/>
          </w:tcPr>
          <w:p w14:paraId="1E02BA5D">
            <w:pPr>
              <w:pStyle w:val="8"/>
              <w:spacing w:before="64" w:line="360" w:lineRule="auto"/>
              <w:ind w:right="96"/>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 xml:space="preserve"> 主要包括非机动车道改铺彩色沥青和人行道建设（长度约为4213.06米，非机动车道宽度2米，人行道宽度3.4米）、地面翻新（道路红线到路边建筑的空间，面积约为10507.44平方米）、栏杆翻新（956.71米）、垃圾桶（100个）、坐凳（25个）、波形护栏板和混凝土栏板涂漆（956.71平方米）、排水沟、道路和商铺广告牌整治（990平方米）等。项目规模整治道路全长约2.8公里，起点新丰金三角加油站，终点中国石油进丰加油站，整治的道路宽度为18m-20m左右，整治范围约为4.07万平方米。</w:t>
            </w:r>
          </w:p>
        </w:tc>
      </w:tr>
      <w:tr w14:paraId="547805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42CACD3C">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12</w:t>
            </w:r>
          </w:p>
        </w:tc>
        <w:tc>
          <w:tcPr>
            <w:tcW w:w="1698" w:type="dxa"/>
            <w:tcBorders>
              <w:top w:val="single" w:color="auto" w:sz="4" w:space="0"/>
              <w:left w:val="single" w:color="auto" w:sz="4" w:space="0"/>
              <w:bottom w:val="single" w:color="auto" w:sz="4" w:space="0"/>
              <w:right w:val="single" w:color="auto" w:sz="4" w:space="0"/>
            </w:tcBorders>
            <w:noWrap/>
            <w:vAlign w:val="center"/>
          </w:tcPr>
          <w:p w14:paraId="79304C23">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招标范围</w:t>
            </w:r>
          </w:p>
          <w:p w14:paraId="4CE5D6A5">
            <w:pPr>
              <w:pStyle w:val="34"/>
              <w:jc w:val="center"/>
              <w:rPr>
                <w:rFonts w:hint="eastAsia" w:asciiTheme="minorEastAsia" w:hAnsiTheme="minorEastAsia" w:eastAsiaTheme="minorEastAsia" w:cstheme="minorEastAsia"/>
                <w:snapToGrid w:val="0"/>
                <w:kern w:val="0"/>
                <w:szCs w:val="24"/>
              </w:rPr>
            </w:pPr>
          </w:p>
        </w:tc>
        <w:tc>
          <w:tcPr>
            <w:tcW w:w="7497" w:type="dxa"/>
            <w:tcBorders>
              <w:top w:val="single" w:color="auto" w:sz="4" w:space="0"/>
              <w:left w:val="single" w:color="auto" w:sz="4" w:space="0"/>
              <w:bottom w:val="single" w:color="auto" w:sz="4" w:space="0"/>
              <w:right w:val="single" w:color="auto" w:sz="4" w:space="0"/>
            </w:tcBorders>
            <w:noWrap/>
            <w:vAlign w:val="center"/>
          </w:tcPr>
          <w:p w14:paraId="28686291">
            <w:pPr>
              <w:pStyle w:val="34"/>
              <w:ind w:firstLine="240" w:firstLineChars="100"/>
              <w:jc w:val="left"/>
              <w:rPr>
                <w:rFonts w:hint="eastAsia" w:asciiTheme="minorEastAsia" w:hAnsiTheme="minorEastAsia" w:eastAsiaTheme="minorEastAsia" w:cstheme="minorEastAsia"/>
                <w:snapToGrid w:val="0"/>
                <w:kern w:val="0"/>
                <w:szCs w:val="24"/>
              </w:rPr>
            </w:pPr>
            <w:r>
              <w:rPr>
                <w:rFonts w:hint="eastAsia" w:asciiTheme="minorEastAsia" w:hAnsiTheme="minorEastAsia" w:eastAsiaTheme="minorEastAsia" w:cstheme="minorEastAsia"/>
                <w:snapToGrid w:val="0"/>
                <w:kern w:val="0"/>
                <w:szCs w:val="24"/>
              </w:rPr>
              <w:t>本工程所涉及的内容包括但不限于以下（1）和（2）：</w:t>
            </w:r>
          </w:p>
          <w:p w14:paraId="479A1A5C">
            <w:pPr>
              <w:pStyle w:val="34"/>
              <w:numPr>
                <w:ilvl w:val="0"/>
                <w:numId w:val="1"/>
              </w:numPr>
              <w:ind w:firstLine="240" w:firstLineChars="100"/>
              <w:jc w:val="left"/>
              <w:rPr>
                <w:rFonts w:hint="eastAsia" w:asciiTheme="minorEastAsia" w:hAnsiTheme="minorEastAsia" w:eastAsiaTheme="minorEastAsia" w:cstheme="minorEastAsia"/>
                <w:snapToGrid w:val="0"/>
                <w:kern w:val="0"/>
                <w:szCs w:val="24"/>
              </w:rPr>
            </w:pPr>
            <w:r>
              <w:rPr>
                <w:rFonts w:hint="eastAsia" w:asciiTheme="minorEastAsia" w:hAnsiTheme="minorEastAsia" w:eastAsiaTheme="minorEastAsia" w:cstheme="minorEastAsia"/>
                <w:snapToGrid w:val="0"/>
                <w:kern w:val="0"/>
                <w:szCs w:val="24"/>
              </w:rPr>
              <w:t>设计部分：确保项目顺利实施的报建、报批、施工等所需的所有建安工程等的设计文件（具体详见设计任务书、初步设计文件），</w:t>
            </w:r>
            <w:r>
              <w:rPr>
                <w:rFonts w:hint="eastAsia" w:asciiTheme="minorEastAsia" w:hAnsiTheme="minorEastAsia" w:eastAsiaTheme="minorEastAsia" w:cstheme="minorEastAsia"/>
                <w:b/>
                <w:snapToGrid w:val="0"/>
                <w:kern w:val="0"/>
                <w:szCs w:val="24"/>
              </w:rPr>
              <w:t>包括但不限于</w:t>
            </w:r>
            <w:r>
              <w:rPr>
                <w:rFonts w:hint="eastAsia" w:asciiTheme="minorEastAsia" w:hAnsiTheme="minorEastAsia" w:eastAsiaTheme="minorEastAsia" w:cstheme="minorEastAsia"/>
                <w:snapToGrid w:val="0"/>
                <w:kern w:val="0"/>
                <w:szCs w:val="24"/>
              </w:rPr>
              <w:t>：</w:t>
            </w:r>
          </w:p>
          <w:p w14:paraId="7DF21269">
            <w:pPr>
              <w:pStyle w:val="34"/>
              <w:ind w:firstLine="240" w:firstLineChars="1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szCs w:val="24"/>
              </w:rPr>
              <w:t>①施工图设计含总平面及设计说明书、主要设备及材料以及建筑、结构、建筑装饰装修、给排水、电气、照明、消防、节能、无障碍设计、雨污分流、道路等所有专项设计及红线范围内的所有工程及相关配套工程、设施等本项目涉及的所有建安及市政工程的设计；</w:t>
            </w:r>
          </w:p>
          <w:p w14:paraId="4AB941ED">
            <w:pPr>
              <w:pStyle w:val="34"/>
              <w:ind w:firstLine="241" w:firstLineChars="1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b/>
                <w:bCs/>
                <w:snapToGrid w:val="0"/>
                <w:kern w:val="0"/>
                <w:szCs w:val="24"/>
              </w:rPr>
              <w:t>注：设计文件深度要求必须满足住建部《市政公用工程设计文件编制深度规定（2013版）》和《建筑工程设计文件编制深度规定（2016版）》的要求，各专业还应该满足各专业工程设计文件编制深度规范或规定的要求</w:t>
            </w:r>
            <w:r>
              <w:rPr>
                <w:rFonts w:hint="eastAsia" w:asciiTheme="minorEastAsia" w:hAnsiTheme="minorEastAsia" w:eastAsiaTheme="minorEastAsia" w:cstheme="minorEastAsia"/>
                <w:snapToGrid w:val="0"/>
                <w:kern w:val="0"/>
                <w:szCs w:val="24"/>
              </w:rPr>
              <w:t>。</w:t>
            </w:r>
          </w:p>
          <w:p w14:paraId="4022FDA2">
            <w:pPr>
              <w:pStyle w:val="34"/>
              <w:ind w:firstLine="240" w:firstLineChars="1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szCs w:val="24"/>
              </w:rPr>
              <w:t>②施工图预算（含工程量清单）；</w:t>
            </w:r>
          </w:p>
          <w:p w14:paraId="19691635">
            <w:pPr>
              <w:pStyle w:val="34"/>
              <w:ind w:firstLine="240" w:firstLineChars="1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szCs w:val="24"/>
              </w:rPr>
              <w:t>③提供项目所需相关检测项的明细表和危险性较大的分部分项工程清单；</w:t>
            </w:r>
          </w:p>
          <w:p w14:paraId="6F85A75F">
            <w:pPr>
              <w:pStyle w:val="34"/>
              <w:ind w:firstLine="240" w:firstLineChars="1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szCs w:val="24"/>
              </w:rPr>
              <w:t>④后续设计服务工作。</w:t>
            </w:r>
          </w:p>
          <w:p w14:paraId="7572E996">
            <w:pPr>
              <w:pStyle w:val="34"/>
              <w:ind w:firstLine="240" w:firstLineChars="10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napToGrid w:val="0"/>
                <w:kern w:val="0"/>
                <w:szCs w:val="24"/>
              </w:rPr>
              <w:t>（2）施工部分：设计文件及工程量清单范围内的所有工程及配套工程、设施等的施工。</w:t>
            </w:r>
          </w:p>
        </w:tc>
      </w:tr>
      <w:tr w14:paraId="0591B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1B87EDE7">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13</w:t>
            </w:r>
          </w:p>
        </w:tc>
        <w:tc>
          <w:tcPr>
            <w:tcW w:w="1698" w:type="dxa"/>
            <w:tcBorders>
              <w:top w:val="single" w:color="auto" w:sz="4" w:space="0"/>
              <w:left w:val="single" w:color="auto" w:sz="4" w:space="0"/>
              <w:bottom w:val="single" w:color="auto" w:sz="4" w:space="0"/>
              <w:right w:val="single" w:color="auto" w:sz="4" w:space="0"/>
            </w:tcBorders>
            <w:noWrap/>
            <w:vAlign w:val="center"/>
          </w:tcPr>
          <w:p w14:paraId="48BE6F1D">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标段划分</w:t>
            </w:r>
          </w:p>
        </w:tc>
        <w:tc>
          <w:tcPr>
            <w:tcW w:w="7497" w:type="dxa"/>
            <w:tcBorders>
              <w:top w:val="single" w:color="auto" w:sz="4" w:space="0"/>
              <w:left w:val="single" w:color="auto" w:sz="4" w:space="0"/>
              <w:bottom w:val="single" w:color="auto" w:sz="4" w:space="0"/>
              <w:right w:val="single" w:color="auto" w:sz="4" w:space="0"/>
            </w:tcBorders>
            <w:noWrap/>
            <w:vAlign w:val="center"/>
          </w:tcPr>
          <w:p w14:paraId="4CB98E37">
            <w:pPr>
              <w:wordWrap w:val="0"/>
              <w:adjustRightInd w:val="0"/>
              <w:snapToGrid w:val="0"/>
              <w:spacing w:line="360" w:lineRule="auto"/>
              <w:ind w:firstLine="240" w:firstLineChars="100"/>
              <w:rPr>
                <w:rFonts w:asciiTheme="minorEastAsia" w:hAnsiTheme="minorEastAsia" w:eastAsiaTheme="minorEastAsia" w:cstheme="minorEastAsia"/>
                <w:kern w:val="0"/>
                <w:szCs w:val="24"/>
              </w:rPr>
            </w:pPr>
            <w:r>
              <w:rPr>
                <w:rFonts w:asciiTheme="minorEastAsia" w:hAnsiTheme="minorEastAsia" w:eastAsiaTheme="minorEastAsia" w:cstheme="minorEastAsia"/>
                <w:snapToGrid w:val="0"/>
                <w:kern w:val="0"/>
                <w:szCs w:val="24"/>
              </w:rPr>
              <w:t>本招标项目不划分标段。</w:t>
            </w:r>
          </w:p>
        </w:tc>
      </w:tr>
      <w:tr w14:paraId="0971C5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07"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420AF459">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14</w:t>
            </w:r>
          </w:p>
        </w:tc>
        <w:tc>
          <w:tcPr>
            <w:tcW w:w="1698" w:type="dxa"/>
            <w:tcBorders>
              <w:top w:val="single" w:color="auto" w:sz="4" w:space="0"/>
              <w:left w:val="single" w:color="auto" w:sz="4" w:space="0"/>
              <w:bottom w:val="single" w:color="auto" w:sz="4" w:space="0"/>
              <w:right w:val="single" w:color="auto" w:sz="4" w:space="0"/>
            </w:tcBorders>
            <w:noWrap/>
            <w:vAlign w:val="center"/>
          </w:tcPr>
          <w:p w14:paraId="394CCE67">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工期</w:t>
            </w:r>
          </w:p>
        </w:tc>
        <w:tc>
          <w:tcPr>
            <w:tcW w:w="7497" w:type="dxa"/>
            <w:tcBorders>
              <w:top w:val="single" w:color="auto" w:sz="4" w:space="0"/>
              <w:left w:val="single" w:color="auto" w:sz="4" w:space="0"/>
              <w:bottom w:val="single" w:color="auto" w:sz="4" w:space="0"/>
              <w:right w:val="single" w:color="auto" w:sz="4" w:space="0"/>
            </w:tcBorders>
            <w:noWrap/>
            <w:vAlign w:val="center"/>
          </w:tcPr>
          <w:p w14:paraId="5297179D">
            <w:pPr>
              <w:wordWrap w:val="0"/>
              <w:adjustRightInd w:val="0"/>
              <w:snapToGrid w:val="0"/>
              <w:spacing w:line="360" w:lineRule="auto"/>
              <w:ind w:firstLine="240" w:firstLineChars="100"/>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设计、施工总工期180日历天，其中：设计工期为30日历天；施工工期为：150日历天。</w:t>
            </w:r>
            <w:r>
              <w:rPr>
                <w:rFonts w:asciiTheme="minorEastAsia" w:hAnsiTheme="minorEastAsia" w:eastAsiaTheme="minorEastAsia" w:cstheme="minorEastAsia"/>
                <w:kern w:val="0"/>
                <w:szCs w:val="24"/>
              </w:rPr>
              <w:t>中标人必须在所要求的工期内完成招标范围内的全部内容。</w:t>
            </w:r>
          </w:p>
        </w:tc>
      </w:tr>
      <w:tr w14:paraId="765B7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07"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6CBFA0D8">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15</w:t>
            </w:r>
          </w:p>
        </w:tc>
        <w:tc>
          <w:tcPr>
            <w:tcW w:w="1698" w:type="dxa"/>
            <w:tcBorders>
              <w:top w:val="single" w:color="auto" w:sz="4" w:space="0"/>
              <w:left w:val="single" w:color="auto" w:sz="4" w:space="0"/>
              <w:bottom w:val="single" w:color="auto" w:sz="4" w:space="0"/>
              <w:right w:val="single" w:color="auto" w:sz="4" w:space="0"/>
            </w:tcBorders>
            <w:noWrap/>
            <w:vAlign w:val="center"/>
          </w:tcPr>
          <w:p w14:paraId="0E8A7336">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质量标准</w:t>
            </w:r>
          </w:p>
        </w:tc>
        <w:tc>
          <w:tcPr>
            <w:tcW w:w="7497" w:type="dxa"/>
            <w:tcBorders>
              <w:top w:val="single" w:color="auto" w:sz="4" w:space="0"/>
              <w:left w:val="single" w:color="auto" w:sz="4" w:space="0"/>
              <w:bottom w:val="single" w:color="auto" w:sz="4" w:space="0"/>
              <w:right w:val="single" w:color="auto" w:sz="4" w:space="0"/>
            </w:tcBorders>
            <w:noWrap/>
            <w:vAlign w:val="center"/>
          </w:tcPr>
          <w:p w14:paraId="70729217">
            <w:pPr>
              <w:pStyle w:val="34"/>
              <w:ind w:firstLine="240" w:firstLineChars="10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snapToGrid w:val="0"/>
                <w:kern w:val="0"/>
                <w:szCs w:val="24"/>
              </w:rPr>
              <w:t>设计要求：符合国家或行业颁布的现行有效的有关设计的规范要求，符合设计任务书的相关要求，并必须通过有关部门的审查及经有资质的审图机构审查合格。施工要求：施工质量必须达到合格标准。</w:t>
            </w:r>
          </w:p>
        </w:tc>
      </w:tr>
      <w:tr w14:paraId="73E5DF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75"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2D8CF9DE">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16</w:t>
            </w:r>
          </w:p>
        </w:tc>
        <w:tc>
          <w:tcPr>
            <w:tcW w:w="1698" w:type="dxa"/>
            <w:tcBorders>
              <w:top w:val="single" w:color="auto" w:sz="4" w:space="0"/>
              <w:left w:val="single" w:color="auto" w:sz="4" w:space="0"/>
              <w:bottom w:val="single" w:color="auto" w:sz="4" w:space="0"/>
              <w:right w:val="single" w:color="auto" w:sz="4" w:space="0"/>
            </w:tcBorders>
            <w:noWrap/>
            <w:vAlign w:val="center"/>
          </w:tcPr>
          <w:p w14:paraId="145A95E3">
            <w:pPr>
              <w:pStyle w:val="34"/>
              <w:jc w:val="center"/>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zCs w:val="24"/>
              </w:rPr>
              <w:t>工程最高投标限价</w:t>
            </w:r>
          </w:p>
        </w:tc>
        <w:tc>
          <w:tcPr>
            <w:tcW w:w="7497" w:type="dxa"/>
            <w:tcBorders>
              <w:top w:val="single" w:color="auto" w:sz="4" w:space="0"/>
              <w:left w:val="single" w:color="auto" w:sz="4" w:space="0"/>
              <w:bottom w:val="single" w:color="auto" w:sz="4" w:space="0"/>
              <w:right w:val="single" w:color="auto" w:sz="4" w:space="0"/>
            </w:tcBorders>
            <w:noWrap/>
            <w:vAlign w:val="center"/>
          </w:tcPr>
          <w:p w14:paraId="7234EFF1">
            <w:pPr>
              <w:pStyle w:val="34"/>
              <w:ind w:firstLine="240" w:firstLineChars="100"/>
              <w:rPr>
                <w:rFonts w:hint="eastAsia" w:asciiTheme="minorEastAsia" w:hAnsiTheme="minorEastAsia" w:eastAsiaTheme="minorEastAsia" w:cstheme="minorEastAsia"/>
                <w:snapToGrid w:val="0"/>
                <w:kern w:val="0"/>
                <w:highlight w:val="none"/>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本项目最高投标限价</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为人民币(大写) :</w:t>
            </w:r>
            <w:r>
              <w:rPr>
                <w:rFonts w:hint="eastAsia" w:asciiTheme="minorEastAsia" w:hAnsiTheme="minorEastAsia" w:eastAsiaTheme="minorEastAsia" w:cstheme="minorEastAsia"/>
                <w:color w:val="000000" w:themeColor="text1"/>
                <w:sz w:val="24"/>
                <w:szCs w:val="24"/>
                <w:highlight w:val="none"/>
                <w:u w:val="single"/>
                <w:lang w:val="en-US" w:eastAsia="zh-CN"/>
                <w14:textFill>
                  <w14:solidFill>
                    <w14:schemeClr w14:val="tx1"/>
                  </w14:solidFill>
                </w14:textFill>
              </w:rPr>
              <w:t>壹仟叁佰肆拾万零貳仟壹佰玖拾柒元柒角貳分</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(小写:¥</w:t>
            </w:r>
            <w:r>
              <w:rPr>
                <w:rFonts w:hint="eastAsia" w:asciiTheme="minorEastAsia" w:hAnsiTheme="minorEastAsia" w:eastAsiaTheme="minorEastAsia" w:cstheme="minorEastAsia"/>
                <w:color w:val="000000" w:themeColor="text1"/>
                <w:sz w:val="24"/>
                <w:szCs w:val="24"/>
                <w:highlight w:val="none"/>
                <w:u w:val="single"/>
                <w:lang w:val="en-US" w:eastAsia="zh-CN"/>
                <w14:textFill>
                  <w14:solidFill>
                    <w14:schemeClr w14:val="tx1"/>
                  </w14:solidFill>
                </w14:textFill>
              </w:rPr>
              <w:t xml:space="preserve"> 13402197.72</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元)。</w:t>
            </w:r>
            <w:r>
              <w:rPr>
                <w:rFonts w:hint="eastAsia" w:asciiTheme="minorEastAsia" w:hAnsiTheme="minorEastAsia" w:eastAsiaTheme="minorEastAsia" w:cstheme="minorEastAsia"/>
                <w:szCs w:val="24"/>
                <w:highlight w:val="none"/>
              </w:rPr>
              <w:t>。</w:t>
            </w:r>
          </w:p>
        </w:tc>
      </w:tr>
      <w:tr w14:paraId="6009E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9"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54BCCB9B">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17</w:t>
            </w:r>
          </w:p>
        </w:tc>
        <w:tc>
          <w:tcPr>
            <w:tcW w:w="1698" w:type="dxa"/>
            <w:tcBorders>
              <w:top w:val="single" w:color="auto" w:sz="4" w:space="0"/>
              <w:left w:val="single" w:color="auto" w:sz="4" w:space="0"/>
              <w:bottom w:val="single" w:color="auto" w:sz="4" w:space="0"/>
              <w:right w:val="single" w:color="auto" w:sz="4" w:space="0"/>
            </w:tcBorders>
            <w:noWrap/>
            <w:vAlign w:val="center"/>
          </w:tcPr>
          <w:p w14:paraId="69DBCE80">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napToGrid w:val="0"/>
                <w:kern w:val="0"/>
                <w:szCs w:val="24"/>
              </w:rPr>
              <w:t>投标人资格要求</w:t>
            </w:r>
          </w:p>
        </w:tc>
        <w:tc>
          <w:tcPr>
            <w:tcW w:w="7497" w:type="dxa"/>
            <w:tcBorders>
              <w:top w:val="single" w:color="auto" w:sz="4" w:space="0"/>
              <w:left w:val="single" w:color="auto" w:sz="4" w:space="0"/>
              <w:bottom w:val="single" w:color="auto" w:sz="4" w:space="0"/>
              <w:right w:val="single" w:color="auto" w:sz="4" w:space="0"/>
            </w:tcBorders>
            <w:noWrap/>
            <w:vAlign w:val="center"/>
          </w:tcPr>
          <w:p w14:paraId="308DF27F">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1．本次招标</w:t>
            </w:r>
            <w:r>
              <w:rPr>
                <w:rFonts w:hint="eastAsia" w:asciiTheme="minorEastAsia" w:hAnsiTheme="minorEastAsia" w:eastAsiaTheme="minorEastAsia" w:cstheme="minorEastAsia"/>
                <w:b/>
                <w:bCs/>
                <w:sz w:val="24"/>
              </w:rPr>
              <w:t>接受</w:t>
            </w:r>
            <w:r>
              <w:rPr>
                <w:rFonts w:hint="eastAsia" w:asciiTheme="minorEastAsia" w:hAnsiTheme="minorEastAsia" w:eastAsiaTheme="minorEastAsia" w:cstheme="minorEastAsia"/>
                <w:sz w:val="24"/>
              </w:rPr>
              <w:t>联合体投标，联合体以一个投标人的身份共同投标。</w:t>
            </w:r>
          </w:p>
          <w:p w14:paraId="509CBE7D">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 联合体成员数量不超过2个。</w:t>
            </w:r>
          </w:p>
          <w:p w14:paraId="28449EC6">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 联合体各方应按招标文件提供的格式签订联合体协议书，明确联合体牵头人和各方权利义务，并承诺就中标项目向招标人承担连带责任。《联合体协议书》作为投标文件的组成部分向招标人提交。</w:t>
            </w:r>
          </w:p>
          <w:p w14:paraId="6B8BD1D7">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6DFE22FC">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1.4联合体各方不得再以自己名义单独或参加其他联合体在本招标项目中投标，否则各相关投标均无效。</w:t>
            </w:r>
          </w:p>
          <w:p w14:paraId="4990FD61">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2.资质要求</w:t>
            </w:r>
          </w:p>
          <w:p w14:paraId="5A55585D">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2.1投标人须具备独立法人资格，按国家法律经营。</w:t>
            </w:r>
          </w:p>
          <w:p w14:paraId="172BD7BB">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2.2投标人须持有行政主管部门颁发的企业资质证书。</w:t>
            </w:r>
          </w:p>
          <w:p w14:paraId="07FFE2A6">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2.3参加投标的投标人可以是单一独立法人或由不超过两家独立法人组成的联合体（必须注明其中一家为牵头人；联合体成员中设计、施工单位分别不得超过一家），联合体各方不得再以自己的名义单独申请，也不得同时参加两个或两个以上的联合体进行本项目的投标。单一独立法人必须至少同时具备以下①～②资质，组成联合体投标的，联合后必须至少具备以下①～②资质，联合体牵头人必须具备①资质，由同一专业的单位组成的联合体，按照资质等级较低的单位确定资质等级：</w:t>
            </w:r>
          </w:p>
          <w:p w14:paraId="7EA6B93E">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①施工资质：具备</w:t>
            </w:r>
            <w:r>
              <w:rPr>
                <w:rFonts w:hint="eastAsia" w:asciiTheme="minorEastAsia" w:hAnsiTheme="minorEastAsia" w:eastAsiaTheme="minorEastAsia" w:cstheme="minorEastAsia"/>
                <w:sz w:val="24"/>
              </w:rPr>
              <w:t>市政公用工程施工总承包三级以上</w:t>
            </w:r>
            <w:r>
              <w:rPr>
                <w:rFonts w:hint="eastAsia" w:asciiTheme="minorEastAsia" w:hAnsiTheme="minorEastAsia" w:eastAsiaTheme="minorEastAsia" w:cstheme="minorEastAsia"/>
                <w:sz w:val="24"/>
                <w:lang w:val="zh-CN"/>
              </w:rPr>
              <w:t>（含</w:t>
            </w:r>
            <w:r>
              <w:rPr>
                <w:rFonts w:hint="eastAsia" w:asciiTheme="minorEastAsia" w:hAnsiTheme="minorEastAsia" w:eastAsiaTheme="minorEastAsia" w:cstheme="minorEastAsia"/>
                <w:sz w:val="24"/>
              </w:rPr>
              <w:t>三</w:t>
            </w:r>
            <w:r>
              <w:rPr>
                <w:rFonts w:hint="eastAsia" w:asciiTheme="minorEastAsia" w:hAnsiTheme="minorEastAsia" w:eastAsiaTheme="minorEastAsia" w:cstheme="minorEastAsia"/>
                <w:sz w:val="24"/>
                <w:lang w:val="zh-CN"/>
              </w:rPr>
              <w:t>级）资质，并获得安全生产许可证的独立法人。</w:t>
            </w:r>
          </w:p>
          <w:p w14:paraId="5D1D6F8A">
            <w:pPr>
              <w:pStyle w:val="37"/>
              <w:wordWrap w:val="0"/>
              <w:adjustRightInd w:val="0"/>
              <w:snapToGrid w:val="0"/>
              <w:spacing w:line="440" w:lineRule="exact"/>
              <w:ind w:firstLine="48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②设计资质</w:t>
            </w:r>
            <w:r>
              <w:rPr>
                <w:rFonts w:hint="eastAsia" w:asciiTheme="minorEastAsia" w:hAnsiTheme="minorEastAsia" w:eastAsiaTheme="minorEastAsia" w:cstheme="minorEastAsia"/>
                <w:kern w:val="0"/>
                <w:sz w:val="24"/>
              </w:rPr>
              <w:t>必须具备建设行政主管部门颁发的以下资质之一：</w:t>
            </w:r>
          </w:p>
          <w:p w14:paraId="4D4CF040">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（1）工程设计综合甲级资质；</w:t>
            </w:r>
          </w:p>
          <w:p w14:paraId="2777D51B">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市政行业乙级（或以上）资质；市政行业乙级（燃气工程、轨道交通工程除外）（或以上）资质；</w:t>
            </w:r>
          </w:p>
          <w:p w14:paraId="57BAC853">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auto"/>
                <w:sz w:val="24"/>
                <w:highlight w:val="none"/>
                <w:lang w:val="en-US" w:eastAsia="zh-CN"/>
              </w:rPr>
              <w:t>（3）市政行业（道路工程）乙级（或以上）资质；市政行业（排水工程）乙级（或以上）资质</w:t>
            </w:r>
            <w:r>
              <w:rPr>
                <w:rFonts w:hint="eastAsia" w:asciiTheme="minorEastAsia" w:hAnsiTheme="minorEastAsia" w:eastAsiaTheme="minorEastAsia" w:cstheme="minorEastAsia"/>
                <w:color w:val="auto"/>
                <w:sz w:val="24"/>
                <w:lang w:val="en-US" w:eastAsia="zh-CN"/>
              </w:rPr>
              <w:t>；</w:t>
            </w:r>
          </w:p>
          <w:p w14:paraId="33A4040D">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）建筑设计事务所资质。</w:t>
            </w:r>
          </w:p>
          <w:p w14:paraId="363C2FC7">
            <w:pPr>
              <w:pStyle w:val="37"/>
              <w:wordWrap w:val="0"/>
              <w:adjustRightInd w:val="0"/>
              <w:snapToGrid w:val="0"/>
              <w:spacing w:line="440" w:lineRule="exact"/>
              <w:ind w:firstLine="480"/>
              <w:jc w:val="left"/>
              <w:rPr>
                <w:rFonts w:hint="eastAsia"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kern w:val="0"/>
                <w:sz w:val="24"/>
              </w:rPr>
              <w:t>设计单位仅具备建筑设计事务所资质的，应当自行完成招标范围内的建筑专业设计业务，并在保证整个建筑工程项目完整性的前提下，经招标人同意，将其他专业设计业务发包给具有相应资质的分包方。</w:t>
            </w:r>
          </w:p>
          <w:p w14:paraId="3E01C2F4">
            <w:pPr>
              <w:pStyle w:val="37"/>
              <w:wordWrap w:val="0"/>
              <w:adjustRightInd w:val="0"/>
              <w:snapToGrid w:val="0"/>
              <w:spacing w:line="440" w:lineRule="exact"/>
              <w:ind w:firstLine="48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2.4．根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64A0E66D">
            <w:pPr>
              <w:pStyle w:val="37"/>
              <w:wordWrap w:val="0"/>
              <w:adjustRightInd w:val="0"/>
              <w:snapToGrid w:val="0"/>
              <w:spacing w:line="360" w:lineRule="auto"/>
              <w:ind w:firstLine="48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3．相关人员要求</w:t>
            </w:r>
          </w:p>
          <w:p w14:paraId="0BB4D0FF">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3.1</w:t>
            </w:r>
            <w:r>
              <w:rPr>
                <w:rFonts w:hint="eastAsia" w:asciiTheme="minorEastAsia" w:hAnsiTheme="minorEastAsia" w:eastAsiaTheme="minorEastAsia" w:cstheme="minorEastAsia"/>
                <w:snapToGrid w:val="0"/>
                <w:kern w:val="0"/>
                <w:sz w:val="24"/>
              </w:rPr>
              <w:t>拟派项目经理为具有</w:t>
            </w:r>
            <w:r>
              <w:rPr>
                <w:rFonts w:hint="eastAsia" w:asciiTheme="minorEastAsia" w:hAnsiTheme="minorEastAsia" w:eastAsiaTheme="minorEastAsia" w:cstheme="minorEastAsia"/>
                <w:snapToGrid w:val="0"/>
                <w:kern w:val="0"/>
                <w:sz w:val="24"/>
                <w:u w:val="single"/>
              </w:rPr>
              <w:t>市政工程</w:t>
            </w:r>
            <w:r>
              <w:rPr>
                <w:rFonts w:hint="eastAsia" w:asciiTheme="minorEastAsia" w:hAnsiTheme="minorEastAsia" w:eastAsiaTheme="minorEastAsia" w:cstheme="minorEastAsia"/>
                <w:snapToGrid w:val="0"/>
                <w:kern w:val="0"/>
                <w:sz w:val="24"/>
              </w:rPr>
              <w:t>专业一级或二级注册建造师，其中一级注册建造师应持有国家住建部印发的有效注册证书，二级注册建造师应持有考试取得执业资格的省、自治区、直辖市住建部门核准的有效电子注册证书（二级注册建造师应持有住建部门核准的、在使用有效期内的有效电子证书）。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32C2819B">
            <w:pPr>
              <w:pStyle w:val="37"/>
              <w:wordWrap w:val="0"/>
              <w:adjustRightInd w:val="0"/>
              <w:snapToGrid w:val="0"/>
              <w:spacing w:line="360" w:lineRule="auto"/>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3.2．拟派项目技术负责人须具备</w:t>
            </w:r>
            <w:r>
              <w:rPr>
                <w:rFonts w:hint="eastAsia" w:asciiTheme="minorEastAsia" w:hAnsiTheme="minorEastAsia" w:eastAsiaTheme="minorEastAsia" w:cstheme="minorEastAsia"/>
                <w:sz w:val="24"/>
                <w:u w:val="single"/>
              </w:rPr>
              <w:t>市政工程相关</w:t>
            </w:r>
            <w:r>
              <w:rPr>
                <w:rFonts w:hint="eastAsia" w:asciiTheme="minorEastAsia" w:hAnsiTheme="minorEastAsia" w:eastAsiaTheme="minorEastAsia" w:cstheme="minorEastAsia"/>
                <w:sz w:val="24"/>
              </w:rPr>
              <w:t>专业中级或以上技术职称。</w:t>
            </w:r>
          </w:p>
          <w:p w14:paraId="6AF2EF46">
            <w:pPr>
              <w:pStyle w:val="37"/>
              <w:wordWrap w:val="0"/>
              <w:adjustRightInd w:val="0"/>
              <w:snapToGrid w:val="0"/>
              <w:spacing w:line="360" w:lineRule="auto"/>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3.3．拟派专职安全生产管理人员须具备有效安全生产考核合格证明（C证，安全生产考核合格证书或广东省建筑施工企业管理人员安全生产考核系统考核合格信息打印页），且不少于1人。</w:t>
            </w:r>
          </w:p>
          <w:p w14:paraId="04D233B7">
            <w:pPr>
              <w:pStyle w:val="37"/>
              <w:wordWrap w:val="0"/>
              <w:adjustRightInd w:val="0"/>
              <w:snapToGrid w:val="0"/>
              <w:spacing w:line="360" w:lineRule="auto"/>
              <w:ind w:firstLine="48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3.4．拟委派担任本工程的设计负责人必须具备二级注册建筑师或以上注册证书。</w:t>
            </w:r>
          </w:p>
          <w:p w14:paraId="0F169A85">
            <w:pPr>
              <w:wordWrap w:val="0"/>
              <w:adjustRightInd w:val="0"/>
              <w:snapToGrid w:val="0"/>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3.5．投标人（包括组成联合体的所有成员单位）与其拟派往本项目管理机构的所有人员之间必须具备合法、唯一的劳动聘用关系。拟派人员中具备注册执业资格的，其注册单位须与投标人保持一致。</w:t>
            </w:r>
          </w:p>
          <w:p w14:paraId="7132AC24">
            <w:pPr>
              <w:wordWrap w:val="0"/>
              <w:adjustRightInd w:val="0"/>
              <w:snapToGrid w:val="0"/>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4．禁止投标条款：</w:t>
            </w:r>
          </w:p>
          <w:p w14:paraId="4002DA63">
            <w:pPr>
              <w:wordWrap w:val="0"/>
              <w:adjustRightInd w:val="0"/>
              <w:snapToGrid w:val="0"/>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4.1．投标人不得存在下列情形之一：</w:t>
            </w:r>
          </w:p>
          <w:p w14:paraId="4880E4CD">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（1）为招标人不具有独立法人资格的附属机构（单位）；</w:t>
            </w:r>
          </w:p>
          <w:p w14:paraId="13D66856">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（2）为本招标项目前期准备提供咨询服务的；</w:t>
            </w:r>
          </w:p>
          <w:p w14:paraId="236D793F">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（3）与本招标项目的其他投标人为同一个单位负责人；</w:t>
            </w:r>
          </w:p>
          <w:p w14:paraId="39D11CBC">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（4）与本招标项目的其他投标人存在控股、管理关系；</w:t>
            </w:r>
          </w:p>
          <w:p w14:paraId="264830A4">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（5）为本招标项目的监理人；</w:t>
            </w:r>
          </w:p>
          <w:p w14:paraId="3A7EBCF9">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（6）为本招标项目的代建人；</w:t>
            </w:r>
          </w:p>
          <w:p w14:paraId="2B247B8B">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（7）为本招标项目的招标代理机构；</w:t>
            </w:r>
          </w:p>
          <w:p w14:paraId="31A44A3B">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（8）与本招标项目的监理人或代建人或招标代理机构同为一个法定代表人；</w:t>
            </w:r>
          </w:p>
          <w:p w14:paraId="06C07EE5">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（9）与本招标项目的监理人或代建人或招标代理机构存在控股或参股关系；</w:t>
            </w:r>
          </w:p>
          <w:p w14:paraId="21D0D948">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（10）与本招标项目的监理人或代建人或招标代理机构存在相互任职或工作关系；</w:t>
            </w:r>
          </w:p>
          <w:p w14:paraId="642C5A93">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（11）被依法暂停或者取消投标资格；</w:t>
            </w:r>
          </w:p>
          <w:p w14:paraId="149B94D1">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（12）被责令停产停业、暂扣或者吊销许可证、暂扣或者吊销执照；</w:t>
            </w:r>
          </w:p>
          <w:p w14:paraId="2FA8E07B">
            <w:pPr>
              <w:wordWrap w:val="0"/>
              <w:adjustRightInd w:val="0"/>
              <w:snapToGrid w:val="0"/>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（13）进入清算程序，或被宣告破产，或其他丧失履约能力的情形；</w:t>
            </w:r>
          </w:p>
          <w:p w14:paraId="7CB89E41">
            <w:pPr>
              <w:wordWrap w:val="0"/>
              <w:adjustRightInd w:val="0"/>
              <w:snapToGrid w:val="0"/>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（14）在最近三年内发生重大工程质量或安全问题（以相关行业主管部门的行政处罚决定或司法机关出具的有关法律文书为准）；</w:t>
            </w:r>
          </w:p>
          <w:p w14:paraId="519C2012">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（15）被“信用中国”网站（https://www.creditchina.gov.cn）发布的《法人和非法人组织公共信用信息报告》列入严重失信主体名单的。</w:t>
            </w:r>
          </w:p>
          <w:p w14:paraId="6D872123">
            <w:pPr>
              <w:wordWrap w:val="0"/>
              <w:adjustRightInd w:val="0"/>
              <w:snapToGrid w:val="0"/>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4.2．招标人拒绝以下名单中的单位参加本次投标：</w:t>
            </w:r>
          </w:p>
          <w:tbl>
            <w:tblPr>
              <w:tblStyle w:val="21"/>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3598"/>
              <w:gridCol w:w="2895"/>
            </w:tblGrid>
            <w:tr w14:paraId="60EF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7" w:type="dxa"/>
                  <w:noWrap/>
                  <w:vAlign w:val="center"/>
                </w:tcPr>
                <w:p w14:paraId="740F2A4E">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序号</w:t>
                  </w:r>
                </w:p>
              </w:tc>
              <w:tc>
                <w:tcPr>
                  <w:tcW w:w="3598" w:type="dxa"/>
                  <w:noWrap/>
                  <w:vAlign w:val="center"/>
                </w:tcPr>
                <w:p w14:paraId="04D6F670">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单位名称</w:t>
                  </w:r>
                </w:p>
              </w:tc>
              <w:tc>
                <w:tcPr>
                  <w:tcW w:w="2895" w:type="dxa"/>
                  <w:noWrap/>
                  <w:vAlign w:val="center"/>
                </w:tcPr>
                <w:p w14:paraId="45B8E328">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拒绝原因</w:t>
                  </w:r>
                </w:p>
              </w:tc>
            </w:tr>
            <w:tr w14:paraId="0C30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7" w:type="dxa"/>
                  <w:noWrap/>
                  <w:vAlign w:val="center"/>
                </w:tcPr>
                <w:p w14:paraId="55607CBB">
                  <w:pPr>
                    <w:wordWrap w:val="0"/>
                    <w:adjustRightInd w:val="0"/>
                    <w:snapToGrid w:val="0"/>
                    <w:spacing w:line="360" w:lineRule="auto"/>
                    <w:ind w:firstLine="240" w:firstLineChars="100"/>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1</w:t>
                  </w:r>
                </w:p>
              </w:tc>
              <w:tc>
                <w:tcPr>
                  <w:tcW w:w="3598" w:type="dxa"/>
                  <w:noWrap/>
                  <w:vAlign w:val="center"/>
                </w:tcPr>
                <w:p w14:paraId="719DE6C0">
                  <w:pPr>
                    <w:wordWrap w:val="0"/>
                    <w:adjustRightInd w:val="0"/>
                    <w:snapToGrid w:val="0"/>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新丰县人民政府丰城街道办事处</w:t>
                  </w:r>
                </w:p>
              </w:tc>
              <w:tc>
                <w:tcPr>
                  <w:tcW w:w="2895" w:type="dxa"/>
                  <w:noWrap/>
                  <w:vAlign w:val="center"/>
                </w:tcPr>
                <w:p w14:paraId="51AA4544">
                  <w:pPr>
                    <w:wordWrap w:val="0"/>
                    <w:adjustRightInd w:val="0"/>
                    <w:snapToGrid w:val="0"/>
                    <w:spacing w:line="360" w:lineRule="auto"/>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为本招标项目的招标人</w:t>
                  </w:r>
                </w:p>
              </w:tc>
            </w:tr>
            <w:tr w14:paraId="29E0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67" w:type="dxa"/>
                  <w:noWrap/>
                  <w:vAlign w:val="center"/>
                </w:tcPr>
                <w:p w14:paraId="2DB168C1">
                  <w:pPr>
                    <w:wordWrap w:val="0"/>
                    <w:adjustRightInd w:val="0"/>
                    <w:snapToGrid w:val="0"/>
                    <w:spacing w:line="360" w:lineRule="auto"/>
                    <w:ind w:firstLine="240" w:firstLineChars="100"/>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2</w:t>
                  </w:r>
                </w:p>
              </w:tc>
              <w:tc>
                <w:tcPr>
                  <w:tcW w:w="3598" w:type="dxa"/>
                  <w:noWrap/>
                  <w:vAlign w:val="center"/>
                </w:tcPr>
                <w:p w14:paraId="0A0C8185">
                  <w:pPr>
                    <w:wordWrap w:val="0"/>
                    <w:adjustRightInd w:val="0"/>
                    <w:snapToGrid w:val="0"/>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新丰县人民政府丰城街道办事处</w:t>
                  </w:r>
                </w:p>
              </w:tc>
              <w:tc>
                <w:tcPr>
                  <w:tcW w:w="2895" w:type="dxa"/>
                  <w:noWrap/>
                  <w:vAlign w:val="center"/>
                </w:tcPr>
                <w:p w14:paraId="1CD170C8">
                  <w:pPr>
                    <w:wordWrap w:val="0"/>
                    <w:adjustRightInd w:val="0"/>
                    <w:snapToGrid w:val="0"/>
                    <w:spacing w:line="360" w:lineRule="auto"/>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为本招标项目的业主单位</w:t>
                  </w:r>
                </w:p>
              </w:tc>
            </w:tr>
            <w:tr w14:paraId="3AB2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7" w:type="dxa"/>
                  <w:noWrap/>
                  <w:vAlign w:val="center"/>
                </w:tcPr>
                <w:p w14:paraId="23F29FB5">
                  <w:pPr>
                    <w:wordWrap w:val="0"/>
                    <w:adjustRightInd w:val="0"/>
                    <w:snapToGrid w:val="0"/>
                    <w:spacing w:line="360" w:lineRule="auto"/>
                    <w:ind w:firstLine="240" w:firstLineChars="100"/>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3</w:t>
                  </w:r>
                </w:p>
              </w:tc>
              <w:tc>
                <w:tcPr>
                  <w:tcW w:w="3598" w:type="dxa"/>
                  <w:noWrap/>
                  <w:vAlign w:val="center"/>
                </w:tcPr>
                <w:p w14:paraId="2DE5B7A6">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中晟恒昌设计集团有限公司   </w:t>
                  </w:r>
                </w:p>
              </w:tc>
              <w:tc>
                <w:tcPr>
                  <w:tcW w:w="2895" w:type="dxa"/>
                  <w:noWrap/>
                  <w:vAlign w:val="center"/>
                </w:tcPr>
                <w:p w14:paraId="60C32D6D">
                  <w:pPr>
                    <w:wordWrap w:val="0"/>
                    <w:adjustRightInd w:val="0"/>
                    <w:snapToGrid w:val="0"/>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为本招标项目的可行性研究报告编制单位</w:t>
                  </w:r>
                </w:p>
              </w:tc>
            </w:tr>
            <w:tr w14:paraId="301F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7" w:type="dxa"/>
                  <w:noWrap/>
                  <w:vAlign w:val="center"/>
                </w:tcPr>
                <w:p w14:paraId="6E9BFD2F">
                  <w:pPr>
                    <w:wordWrap w:val="0"/>
                    <w:adjustRightInd w:val="0"/>
                    <w:snapToGrid w:val="0"/>
                    <w:spacing w:line="360" w:lineRule="auto"/>
                    <w:ind w:firstLine="240" w:firstLineChars="100"/>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4</w:t>
                  </w:r>
                </w:p>
              </w:tc>
              <w:tc>
                <w:tcPr>
                  <w:tcW w:w="3598" w:type="dxa"/>
                  <w:noWrap/>
                  <w:vAlign w:val="center"/>
                </w:tcPr>
                <w:p w14:paraId="714CE86F">
                  <w:pPr>
                    <w:wordWrap w:val="0"/>
                    <w:adjustRightInd w:val="0"/>
                    <w:snapToGrid w:val="0"/>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韶关市北桓工程咨询有限公司</w:t>
                  </w:r>
                </w:p>
              </w:tc>
              <w:tc>
                <w:tcPr>
                  <w:tcW w:w="2895" w:type="dxa"/>
                  <w:noWrap/>
                  <w:vAlign w:val="center"/>
                </w:tcPr>
                <w:p w14:paraId="2E7DEDFA">
                  <w:pPr>
                    <w:wordWrap w:val="0"/>
                    <w:adjustRightInd w:val="0"/>
                    <w:snapToGrid w:val="0"/>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为本招标项目的招标代理机构</w:t>
                  </w:r>
                </w:p>
              </w:tc>
            </w:tr>
            <w:tr w14:paraId="17EC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7" w:type="dxa"/>
                  <w:noWrap/>
                  <w:vAlign w:val="center"/>
                </w:tcPr>
                <w:p w14:paraId="3B3A42B6">
                  <w:pPr>
                    <w:wordWrap w:val="0"/>
                    <w:adjustRightInd w:val="0"/>
                    <w:snapToGrid w:val="0"/>
                    <w:spacing w:line="360" w:lineRule="auto"/>
                    <w:ind w:firstLine="240" w:firstLineChars="100"/>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5</w:t>
                  </w:r>
                </w:p>
              </w:tc>
              <w:tc>
                <w:tcPr>
                  <w:tcW w:w="3598" w:type="dxa"/>
                  <w:noWrap/>
                  <w:vAlign w:val="center"/>
                </w:tcPr>
                <w:p w14:paraId="451E1B74">
                  <w:pPr>
                    <w:tabs>
                      <w:tab w:val="center" w:pos="941"/>
                    </w:tabs>
                    <w:wordWrap w:val="0"/>
                    <w:adjustRightInd w:val="0"/>
                    <w:snapToGrid w:val="0"/>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待定</w:t>
                  </w:r>
                </w:p>
              </w:tc>
              <w:tc>
                <w:tcPr>
                  <w:tcW w:w="2895" w:type="dxa"/>
                  <w:noWrap/>
                  <w:vAlign w:val="center"/>
                </w:tcPr>
                <w:p w14:paraId="2F101B17">
                  <w:pPr>
                    <w:wordWrap w:val="0"/>
                    <w:adjustRightInd w:val="0"/>
                    <w:snapToGrid w:val="0"/>
                    <w:spacing w:line="360" w:lineRule="auto"/>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为本招标项目的监理单位</w:t>
                  </w:r>
                </w:p>
              </w:tc>
            </w:tr>
          </w:tbl>
          <w:p w14:paraId="56F06971">
            <w:pPr>
              <w:pStyle w:val="38"/>
              <w:ind w:firstLine="480" w:firstLineChars="200"/>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5.省外企业（包括组成联合体的所有成员单位）须按照《广东省住房和城乡建设厅关于取消省外建筑企业和人员进粤信息备案有关工作的通知》（粤建市﹝2015﹞52号）规定在“进粤企业和人员诚信信息登记平台”录入相关信息并通过数据规范检查。</w:t>
            </w:r>
          </w:p>
        </w:tc>
      </w:tr>
      <w:tr w14:paraId="49CC8B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7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76CD22F2">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18</w:t>
            </w:r>
          </w:p>
        </w:tc>
        <w:tc>
          <w:tcPr>
            <w:tcW w:w="1698" w:type="dxa"/>
            <w:tcBorders>
              <w:top w:val="single" w:color="auto" w:sz="4" w:space="0"/>
              <w:left w:val="single" w:color="auto" w:sz="4" w:space="0"/>
              <w:bottom w:val="single" w:color="auto" w:sz="4" w:space="0"/>
              <w:right w:val="single" w:color="auto" w:sz="4" w:space="0"/>
            </w:tcBorders>
            <w:noWrap/>
            <w:vAlign w:val="center"/>
          </w:tcPr>
          <w:p w14:paraId="36C2A443">
            <w:pPr>
              <w:snapToGrid w:val="0"/>
              <w:spacing w:before="120" w:beforeLines="50"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zCs w:val="24"/>
              </w:rPr>
              <w:t>投标保证</w:t>
            </w:r>
          </w:p>
        </w:tc>
        <w:tc>
          <w:tcPr>
            <w:tcW w:w="7497" w:type="dxa"/>
            <w:tcBorders>
              <w:top w:val="single" w:color="auto" w:sz="4" w:space="0"/>
              <w:left w:val="single" w:color="auto" w:sz="4" w:space="0"/>
              <w:bottom w:val="single" w:color="auto" w:sz="4" w:space="0"/>
              <w:right w:val="single" w:color="auto" w:sz="4" w:space="0"/>
            </w:tcBorders>
            <w:noWrap/>
            <w:vAlign w:val="center"/>
          </w:tcPr>
          <w:p w14:paraId="64246C0A">
            <w:pPr>
              <w:wordWrap w:val="0"/>
              <w:adjustRightInd w:val="0"/>
              <w:snapToGrid w:val="0"/>
              <w:spacing w:line="360" w:lineRule="auto"/>
              <w:ind w:firstLine="240" w:firstLineChars="1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  1．投标人须缴纳金额为人民币</w:t>
            </w:r>
            <w:r>
              <w:rPr>
                <w:rFonts w:asciiTheme="minorEastAsia" w:hAnsiTheme="minorEastAsia" w:eastAsiaTheme="minorEastAsia" w:cstheme="minorEastAsia"/>
                <w:b/>
                <w:bCs/>
                <w:snapToGrid w:val="0"/>
                <w:kern w:val="0"/>
                <w:szCs w:val="24"/>
                <w:u w:val="single"/>
              </w:rPr>
              <w:t>壹拾伍万元整</w:t>
            </w:r>
            <w:r>
              <w:rPr>
                <w:rFonts w:asciiTheme="minorEastAsia" w:hAnsiTheme="minorEastAsia" w:eastAsiaTheme="minorEastAsia" w:cstheme="minorEastAsia"/>
                <w:snapToGrid w:val="0"/>
                <w:kern w:val="0"/>
                <w:szCs w:val="24"/>
              </w:rPr>
              <w:t>的投标保证。联合体投标的，由联合体牵头人缴纳。</w:t>
            </w:r>
          </w:p>
          <w:p w14:paraId="6451A355">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2．投标保证的形式包括投标保证金、投标保证担保、投标保证保险三种，由投标人自主选择。</w:t>
            </w:r>
          </w:p>
          <w:p w14:paraId="2AF3DCB5">
            <w:pPr>
              <w:wordWrap w:val="0"/>
              <w:adjustRightInd w:val="0"/>
              <w:snapToGrid w:val="0"/>
              <w:spacing w:line="360" w:lineRule="auto"/>
              <w:ind w:firstLine="240" w:firstLineChars="1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采用投标保证金的，投标人在建设工程交易系统获取招标文件完毕后，即可在系统申请缴纳投标保证金，获取本次招标投标保证金缴纳账号。投标人必须于投标保证金到账截止时间（见本章“重要事项时间地点一览表”）前，从其基本账户将投标保证金转账到指定的缴纳账号。逾期到账的、从非投标人基本账户转出的，其投标无效。</w:t>
            </w:r>
          </w:p>
          <w:p w14:paraId="6866C3A6">
            <w:pPr>
              <w:wordWrap w:val="0"/>
              <w:adjustRightInd w:val="0"/>
              <w:snapToGrid w:val="0"/>
              <w:spacing w:line="360" w:lineRule="auto"/>
              <w:ind w:firstLine="240" w:firstLineChars="1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2）采用投标保证担保的，投标人应提交有效的银行保函，银行保函的有效期不得短于投标有效期。投标人必须在投标保证担保截止时间（见本章“重要事项时间地点一览表”）前，使用工程建设交易系统完成网上办理电子保函。</w:t>
            </w:r>
          </w:p>
          <w:p w14:paraId="496CA47A">
            <w:pPr>
              <w:wordWrap w:val="0"/>
              <w:adjustRightInd w:val="0"/>
              <w:snapToGrid w:val="0"/>
              <w:spacing w:line="360" w:lineRule="auto"/>
              <w:ind w:firstLine="240" w:firstLineChars="1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3）采用投标保证保险的，投标人须在投标保证保险投保截止时间（见本章“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67EEA8BF">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7C7DEC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4718CDA3">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19</w:t>
            </w:r>
          </w:p>
        </w:tc>
        <w:tc>
          <w:tcPr>
            <w:tcW w:w="1698" w:type="dxa"/>
            <w:tcBorders>
              <w:top w:val="single" w:color="auto" w:sz="4" w:space="0"/>
              <w:left w:val="single" w:color="auto" w:sz="4" w:space="0"/>
              <w:bottom w:val="single" w:color="auto" w:sz="4" w:space="0"/>
              <w:right w:val="single" w:color="auto" w:sz="4" w:space="0"/>
            </w:tcBorders>
            <w:noWrap/>
            <w:vAlign w:val="center"/>
          </w:tcPr>
          <w:p w14:paraId="1D95BE1C">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投标有效期</w:t>
            </w:r>
          </w:p>
        </w:tc>
        <w:tc>
          <w:tcPr>
            <w:tcW w:w="7497" w:type="dxa"/>
            <w:tcBorders>
              <w:top w:val="single" w:color="auto" w:sz="4" w:space="0"/>
              <w:left w:val="single" w:color="auto" w:sz="4" w:space="0"/>
              <w:bottom w:val="single" w:color="auto" w:sz="4" w:space="0"/>
              <w:right w:val="single" w:color="auto" w:sz="4" w:space="0"/>
            </w:tcBorders>
            <w:noWrap/>
            <w:vAlign w:val="center"/>
          </w:tcPr>
          <w:p w14:paraId="14AAEE20">
            <w:pPr>
              <w:wordWrap w:val="0"/>
              <w:adjustRightInd w:val="0"/>
              <w:snapToGrid w:val="0"/>
              <w:spacing w:line="360" w:lineRule="auto"/>
              <w:rPr>
                <w:rFonts w:asciiTheme="minorEastAsia" w:hAnsiTheme="minorEastAsia" w:eastAsiaTheme="minorEastAsia" w:cstheme="minorEastAsia"/>
                <w:bCs/>
                <w:szCs w:val="24"/>
              </w:rPr>
            </w:pPr>
            <w:r>
              <w:rPr>
                <w:rFonts w:asciiTheme="minorEastAsia" w:hAnsiTheme="minorEastAsia" w:eastAsiaTheme="minorEastAsia" w:cstheme="minorEastAsia"/>
                <w:snapToGrid w:val="0"/>
                <w:kern w:val="0"/>
                <w:szCs w:val="24"/>
              </w:rPr>
              <w:t xml:space="preserve">  本次招标的投标有效期为</w:t>
            </w:r>
            <w:r>
              <w:rPr>
                <w:rFonts w:asciiTheme="minorEastAsia" w:hAnsiTheme="minorEastAsia" w:eastAsiaTheme="minorEastAsia" w:cstheme="minorEastAsia"/>
                <w:snapToGrid w:val="0"/>
                <w:kern w:val="0"/>
                <w:szCs w:val="24"/>
                <w:u w:val="single"/>
              </w:rPr>
              <w:t>90</w:t>
            </w:r>
            <w:r>
              <w:rPr>
                <w:rFonts w:asciiTheme="minorEastAsia" w:hAnsiTheme="minorEastAsia" w:eastAsiaTheme="minorEastAsia" w:cstheme="minorEastAsia"/>
                <w:snapToGrid w:val="0"/>
                <w:kern w:val="0"/>
                <w:szCs w:val="24"/>
              </w:rPr>
              <w:t>个日历天。</w:t>
            </w:r>
          </w:p>
        </w:tc>
      </w:tr>
      <w:tr w14:paraId="297E5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6"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05EEC69B">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20</w:t>
            </w:r>
          </w:p>
        </w:tc>
        <w:tc>
          <w:tcPr>
            <w:tcW w:w="1698" w:type="dxa"/>
            <w:tcBorders>
              <w:top w:val="single" w:color="auto" w:sz="4" w:space="0"/>
              <w:left w:val="single" w:color="auto" w:sz="4" w:space="0"/>
              <w:bottom w:val="single" w:color="auto" w:sz="4" w:space="0"/>
              <w:right w:val="single" w:color="auto" w:sz="4" w:space="0"/>
            </w:tcBorders>
            <w:noWrap/>
            <w:vAlign w:val="center"/>
          </w:tcPr>
          <w:p w14:paraId="3445DCAF">
            <w:pPr>
              <w:wordWrap w:val="0"/>
              <w:adjustRightInd w:val="0"/>
              <w:snapToGrid w:val="0"/>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投标文件</w:t>
            </w:r>
          </w:p>
          <w:p w14:paraId="772FFE23">
            <w:pPr>
              <w:wordWrap w:val="0"/>
              <w:adjustRightInd w:val="0"/>
              <w:snapToGrid w:val="0"/>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组成</w:t>
            </w:r>
          </w:p>
        </w:tc>
        <w:tc>
          <w:tcPr>
            <w:tcW w:w="7497" w:type="dxa"/>
            <w:tcBorders>
              <w:top w:val="single" w:color="auto" w:sz="4" w:space="0"/>
              <w:left w:val="single" w:color="auto" w:sz="4" w:space="0"/>
              <w:bottom w:val="single" w:color="auto" w:sz="4" w:space="0"/>
              <w:right w:val="single" w:color="auto" w:sz="4" w:space="0"/>
            </w:tcBorders>
            <w:noWrap/>
            <w:vAlign w:val="center"/>
          </w:tcPr>
          <w:p w14:paraId="07357962">
            <w:pPr>
              <w:wordWrap w:val="0"/>
              <w:adjustRightInd w:val="0"/>
              <w:snapToGrid w:val="0"/>
              <w:spacing w:line="360" w:lineRule="auto"/>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投标标书分为一册。</w:t>
            </w:r>
          </w:p>
        </w:tc>
      </w:tr>
      <w:tr w14:paraId="535E0E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07"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6DF79517">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21</w:t>
            </w:r>
          </w:p>
        </w:tc>
        <w:tc>
          <w:tcPr>
            <w:tcW w:w="1698" w:type="dxa"/>
            <w:tcBorders>
              <w:top w:val="single" w:color="auto" w:sz="4" w:space="0"/>
              <w:left w:val="single" w:color="auto" w:sz="4" w:space="0"/>
              <w:bottom w:val="single" w:color="auto" w:sz="4" w:space="0"/>
              <w:right w:val="single" w:color="auto" w:sz="4" w:space="0"/>
            </w:tcBorders>
            <w:noWrap/>
            <w:vAlign w:val="center"/>
          </w:tcPr>
          <w:p w14:paraId="4E1F96DB">
            <w:pPr>
              <w:wordWrap w:val="0"/>
              <w:adjustRightInd w:val="0"/>
              <w:snapToGrid w:val="0"/>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评标委员会</w:t>
            </w:r>
          </w:p>
        </w:tc>
        <w:tc>
          <w:tcPr>
            <w:tcW w:w="7497" w:type="dxa"/>
            <w:tcBorders>
              <w:top w:val="single" w:color="auto" w:sz="4" w:space="0"/>
              <w:left w:val="single" w:color="auto" w:sz="4" w:space="0"/>
              <w:bottom w:val="single" w:color="auto" w:sz="4" w:space="0"/>
              <w:right w:val="single" w:color="auto" w:sz="4" w:space="0"/>
            </w:tcBorders>
            <w:noWrap/>
            <w:vAlign w:val="center"/>
          </w:tcPr>
          <w:p w14:paraId="2CEB2102">
            <w:pPr>
              <w:wordWrap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评标委员会由5人组成，其中招标人代表0人，专家5人。专家从广东省综合评标评审专家库－韶关区域中随机抽取，其中技术类专家3人，经济类专家2人。</w:t>
            </w:r>
          </w:p>
        </w:tc>
      </w:tr>
      <w:tr w14:paraId="020EEA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5A540834">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22</w:t>
            </w:r>
          </w:p>
        </w:tc>
        <w:tc>
          <w:tcPr>
            <w:tcW w:w="1698" w:type="dxa"/>
            <w:tcBorders>
              <w:top w:val="single" w:color="auto" w:sz="4" w:space="0"/>
              <w:left w:val="single" w:color="auto" w:sz="4" w:space="0"/>
              <w:bottom w:val="single" w:color="auto" w:sz="4" w:space="0"/>
              <w:right w:val="single" w:color="auto" w:sz="4" w:space="0"/>
            </w:tcBorders>
            <w:noWrap/>
            <w:vAlign w:val="center"/>
          </w:tcPr>
          <w:p w14:paraId="64CBA3E1">
            <w:pPr>
              <w:wordWrap w:val="0"/>
              <w:adjustRightInd w:val="0"/>
              <w:snapToGrid w:val="0"/>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评标方法</w:t>
            </w:r>
          </w:p>
        </w:tc>
        <w:tc>
          <w:tcPr>
            <w:tcW w:w="7497" w:type="dxa"/>
            <w:tcBorders>
              <w:top w:val="single" w:color="auto" w:sz="4" w:space="0"/>
              <w:left w:val="single" w:color="auto" w:sz="4" w:space="0"/>
              <w:bottom w:val="single" w:color="auto" w:sz="4" w:space="0"/>
              <w:right w:val="single" w:color="auto" w:sz="4" w:space="0"/>
            </w:tcBorders>
            <w:noWrap/>
            <w:vAlign w:val="center"/>
          </w:tcPr>
          <w:p w14:paraId="735AEBA4">
            <w:pPr>
              <w:wordWrap w:val="0"/>
              <w:adjustRightInd w:val="0"/>
              <w:snapToGrid w:val="0"/>
              <w:spacing w:line="360" w:lineRule="auto"/>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  综合评估法</w:t>
            </w:r>
          </w:p>
        </w:tc>
      </w:tr>
      <w:tr w14:paraId="2149B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1156E20F">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23</w:t>
            </w:r>
          </w:p>
        </w:tc>
        <w:tc>
          <w:tcPr>
            <w:tcW w:w="1698" w:type="dxa"/>
            <w:tcBorders>
              <w:top w:val="single" w:color="auto" w:sz="4" w:space="0"/>
              <w:left w:val="single" w:color="auto" w:sz="4" w:space="0"/>
              <w:bottom w:val="single" w:color="auto" w:sz="4" w:space="0"/>
              <w:right w:val="single" w:color="auto" w:sz="4" w:space="0"/>
            </w:tcBorders>
            <w:noWrap/>
            <w:vAlign w:val="center"/>
          </w:tcPr>
          <w:p w14:paraId="4D2B2521">
            <w:pPr>
              <w:pStyle w:val="34"/>
              <w:spacing w:line="240" w:lineRule="auto"/>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安全文明施工</w:t>
            </w:r>
          </w:p>
        </w:tc>
        <w:tc>
          <w:tcPr>
            <w:tcW w:w="7497" w:type="dxa"/>
            <w:tcBorders>
              <w:top w:val="single" w:color="auto" w:sz="4" w:space="0"/>
              <w:left w:val="single" w:color="auto" w:sz="4" w:space="0"/>
              <w:bottom w:val="single" w:color="auto" w:sz="4" w:space="0"/>
              <w:right w:val="single" w:color="auto" w:sz="4" w:space="0"/>
            </w:tcBorders>
            <w:noWrap/>
            <w:vAlign w:val="center"/>
          </w:tcPr>
          <w:p w14:paraId="0B3C3F01">
            <w:pPr>
              <w:pStyle w:val="34"/>
              <w:ind w:firstLine="240" w:firstLineChars="1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达到国家、省、市有关标准</w:t>
            </w:r>
          </w:p>
        </w:tc>
      </w:tr>
      <w:tr w14:paraId="319EFD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3"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252ED228">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24</w:t>
            </w:r>
          </w:p>
        </w:tc>
        <w:tc>
          <w:tcPr>
            <w:tcW w:w="1698" w:type="dxa"/>
            <w:tcBorders>
              <w:top w:val="single" w:color="auto" w:sz="4" w:space="0"/>
              <w:left w:val="single" w:color="auto" w:sz="4" w:space="0"/>
              <w:bottom w:val="single" w:color="auto" w:sz="4" w:space="0"/>
              <w:right w:val="single" w:color="auto" w:sz="4" w:space="0"/>
            </w:tcBorders>
            <w:noWrap/>
            <w:vAlign w:val="center"/>
          </w:tcPr>
          <w:p w14:paraId="104121A0">
            <w:pPr>
              <w:pStyle w:val="34"/>
              <w:spacing w:line="240" w:lineRule="auto"/>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房屋建筑工程</w:t>
            </w:r>
          </w:p>
          <w:p w14:paraId="2DB3A97A">
            <w:pPr>
              <w:pStyle w:val="34"/>
              <w:spacing w:line="240" w:lineRule="auto"/>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绿色建筑标准</w:t>
            </w:r>
          </w:p>
        </w:tc>
        <w:tc>
          <w:tcPr>
            <w:tcW w:w="7497" w:type="dxa"/>
            <w:tcBorders>
              <w:top w:val="single" w:color="auto" w:sz="4" w:space="0"/>
              <w:left w:val="single" w:color="auto" w:sz="4" w:space="0"/>
              <w:bottom w:val="single" w:color="auto" w:sz="4" w:space="0"/>
              <w:right w:val="single" w:color="auto" w:sz="4" w:space="0"/>
            </w:tcBorders>
            <w:noWrap/>
            <w:vAlign w:val="center"/>
          </w:tcPr>
          <w:p w14:paraId="6079898E">
            <w:pPr>
              <w:pStyle w:val="34"/>
              <w:ind w:firstLine="240" w:firstLineChars="1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napToGrid w:val="0"/>
                <w:kern w:val="0"/>
                <w:szCs w:val="24"/>
              </w:rPr>
              <w:t>本招标项目不纳入绿色建筑实施范围。</w:t>
            </w:r>
          </w:p>
        </w:tc>
      </w:tr>
      <w:tr w14:paraId="1C6790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6"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3B6D2D91">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25</w:t>
            </w:r>
          </w:p>
        </w:tc>
        <w:tc>
          <w:tcPr>
            <w:tcW w:w="1698" w:type="dxa"/>
            <w:tcBorders>
              <w:top w:val="single" w:color="auto" w:sz="4" w:space="0"/>
              <w:left w:val="single" w:color="auto" w:sz="4" w:space="0"/>
              <w:bottom w:val="single" w:color="auto" w:sz="4" w:space="0"/>
              <w:right w:val="single" w:color="auto" w:sz="4" w:space="0"/>
            </w:tcBorders>
            <w:noWrap/>
            <w:vAlign w:val="center"/>
          </w:tcPr>
          <w:p w14:paraId="6679EDE3">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履约保证金</w:t>
            </w:r>
          </w:p>
        </w:tc>
        <w:tc>
          <w:tcPr>
            <w:tcW w:w="7497" w:type="dxa"/>
            <w:tcBorders>
              <w:top w:val="single" w:color="auto" w:sz="4" w:space="0"/>
              <w:left w:val="single" w:color="auto" w:sz="4" w:space="0"/>
              <w:bottom w:val="single" w:color="auto" w:sz="4" w:space="0"/>
              <w:right w:val="single" w:color="auto" w:sz="4" w:space="0"/>
            </w:tcBorders>
            <w:noWrap/>
            <w:vAlign w:val="center"/>
          </w:tcPr>
          <w:p w14:paraId="6EA811FA">
            <w:pPr>
              <w:pStyle w:val="34"/>
              <w:ind w:firstLine="480" w:firstLineChars="2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履约保证金为中标价的</w:t>
            </w:r>
            <w:r>
              <w:rPr>
                <w:rFonts w:hint="eastAsia" w:asciiTheme="minorEastAsia" w:hAnsiTheme="minorEastAsia" w:eastAsiaTheme="minorEastAsia" w:cstheme="minorEastAsia"/>
                <w:szCs w:val="24"/>
                <w:u w:val="single"/>
              </w:rPr>
              <w:t>5</w:t>
            </w:r>
            <w:r>
              <w:rPr>
                <w:rFonts w:hint="eastAsia" w:asciiTheme="minorEastAsia" w:hAnsiTheme="minorEastAsia" w:eastAsiaTheme="minorEastAsia" w:cstheme="minorEastAsia"/>
                <w:szCs w:val="24"/>
              </w:rPr>
              <w:t>%（</w:t>
            </w:r>
            <w:r>
              <w:rPr>
                <w:rFonts w:hint="eastAsia" w:asciiTheme="minorEastAsia" w:hAnsiTheme="minorEastAsia" w:eastAsiaTheme="minorEastAsia" w:cstheme="minorEastAsia"/>
                <w:snapToGrid w:val="0"/>
                <w:kern w:val="0"/>
                <w:szCs w:val="24"/>
              </w:rPr>
              <w:t>在领取中标通知书之日起</w:t>
            </w:r>
            <w:r>
              <w:rPr>
                <w:rFonts w:hint="eastAsia" w:asciiTheme="minorEastAsia" w:hAnsiTheme="minorEastAsia" w:eastAsiaTheme="minorEastAsia" w:cstheme="minorEastAsia"/>
                <w:snapToGrid w:val="0"/>
                <w:kern w:val="0"/>
                <w:szCs w:val="24"/>
                <w:u w:val="single"/>
              </w:rPr>
              <w:t>5</w:t>
            </w:r>
            <w:r>
              <w:rPr>
                <w:rFonts w:hint="eastAsia" w:asciiTheme="minorEastAsia" w:hAnsiTheme="minorEastAsia" w:eastAsiaTheme="minorEastAsia" w:cstheme="minorEastAsia"/>
                <w:snapToGrid w:val="0"/>
                <w:kern w:val="0"/>
                <w:szCs w:val="24"/>
              </w:rPr>
              <w:t>个工作日内、签订合同前缴纳</w:t>
            </w:r>
            <w:r>
              <w:rPr>
                <w:rFonts w:hint="eastAsia" w:asciiTheme="minorEastAsia" w:hAnsiTheme="minorEastAsia" w:eastAsiaTheme="minorEastAsia" w:cstheme="minorEastAsia"/>
                <w:szCs w:val="24"/>
              </w:rPr>
              <w:t>，</w:t>
            </w:r>
            <w:r>
              <w:rPr>
                <w:rFonts w:hint="eastAsia" w:asciiTheme="minorEastAsia" w:hAnsiTheme="minorEastAsia" w:eastAsiaTheme="minorEastAsia" w:cstheme="minorEastAsia"/>
                <w:kern w:val="0"/>
                <w:szCs w:val="24"/>
              </w:rPr>
              <w:t>组成联合体时，由联合体牵头人缴纳</w:t>
            </w:r>
            <w:r>
              <w:rPr>
                <w:rFonts w:hint="eastAsia" w:asciiTheme="minorEastAsia" w:hAnsiTheme="minorEastAsia" w:eastAsiaTheme="minorEastAsia" w:cstheme="minorEastAsia"/>
                <w:szCs w:val="24"/>
              </w:rPr>
              <w:t>）。</w:t>
            </w:r>
          </w:p>
          <w:p w14:paraId="40C68EF8">
            <w:pPr>
              <w:pStyle w:val="34"/>
              <w:rPr>
                <w:rFonts w:hint="eastAsia" w:asciiTheme="minorEastAsia" w:hAnsiTheme="minorEastAsia" w:eastAsiaTheme="minorEastAsia" w:cstheme="minorEastAsia"/>
                <w:szCs w:val="24"/>
                <w:u w:val="single"/>
              </w:rPr>
            </w:pPr>
            <w:r>
              <w:rPr>
                <w:rFonts w:hint="eastAsia" w:asciiTheme="minorEastAsia" w:hAnsiTheme="minorEastAsia" w:eastAsiaTheme="minorEastAsia" w:cstheme="minorEastAsia"/>
                <w:snapToGrid w:val="0"/>
                <w:kern w:val="0"/>
                <w:szCs w:val="24"/>
              </w:rPr>
              <w:t>履约保证的形式包括履约保证金、履约保证金担保函两种，由中标人自主选择</w:t>
            </w:r>
            <w:r>
              <w:rPr>
                <w:rFonts w:hint="eastAsia" w:asciiTheme="minorEastAsia" w:hAnsiTheme="minorEastAsia" w:eastAsiaTheme="minorEastAsia" w:cstheme="minorEastAsia"/>
                <w:szCs w:val="24"/>
              </w:rPr>
              <w:t>，保函有效期不得少于</w:t>
            </w:r>
            <w:r>
              <w:rPr>
                <w:rFonts w:hint="eastAsia" w:asciiTheme="minorEastAsia" w:hAnsiTheme="minorEastAsia" w:eastAsiaTheme="minorEastAsia" w:cstheme="minorEastAsia"/>
                <w:szCs w:val="24"/>
                <w:u w:val="single"/>
              </w:rPr>
              <w:t>本工程总工期</w:t>
            </w:r>
            <w:r>
              <w:rPr>
                <w:rFonts w:hint="eastAsia" w:asciiTheme="minorEastAsia" w:hAnsiTheme="minorEastAsia" w:eastAsiaTheme="minorEastAsia" w:cstheme="minorEastAsia"/>
                <w:szCs w:val="24"/>
              </w:rPr>
              <w:t>，如果采用银行转账方式则必须从中标人的法人开户银行的账号划出招标人指定的账户，并详细注明工程名称及用途。</w:t>
            </w:r>
          </w:p>
        </w:tc>
      </w:tr>
      <w:tr w14:paraId="4CCC74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4C19480D">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26</w:t>
            </w:r>
          </w:p>
        </w:tc>
        <w:tc>
          <w:tcPr>
            <w:tcW w:w="1698" w:type="dxa"/>
            <w:tcBorders>
              <w:top w:val="single" w:color="auto" w:sz="4" w:space="0"/>
              <w:left w:val="single" w:color="auto" w:sz="4" w:space="0"/>
              <w:bottom w:val="single" w:color="auto" w:sz="4" w:space="0"/>
              <w:right w:val="single" w:color="auto" w:sz="4" w:space="0"/>
            </w:tcBorders>
            <w:noWrap/>
            <w:vAlign w:val="center"/>
          </w:tcPr>
          <w:p w14:paraId="00EDEA87">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工程款支付</w:t>
            </w:r>
          </w:p>
        </w:tc>
        <w:tc>
          <w:tcPr>
            <w:tcW w:w="7497" w:type="dxa"/>
            <w:tcBorders>
              <w:top w:val="single" w:color="auto" w:sz="4" w:space="0"/>
              <w:left w:val="single" w:color="auto" w:sz="4" w:space="0"/>
              <w:bottom w:val="single" w:color="auto" w:sz="4" w:space="0"/>
              <w:right w:val="single" w:color="auto" w:sz="4" w:space="0"/>
            </w:tcBorders>
            <w:noWrap/>
            <w:vAlign w:val="center"/>
          </w:tcPr>
          <w:p w14:paraId="424ADB50">
            <w:pPr>
              <w:pStyle w:val="34"/>
              <w:ind w:firstLine="240" w:firstLineChars="1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详见本招标文件“2-4、工程付款办法”</w:t>
            </w:r>
          </w:p>
        </w:tc>
      </w:tr>
      <w:tr w14:paraId="74544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6"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5AA192B4">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27</w:t>
            </w:r>
          </w:p>
        </w:tc>
        <w:tc>
          <w:tcPr>
            <w:tcW w:w="1698" w:type="dxa"/>
            <w:tcBorders>
              <w:top w:val="single" w:color="auto" w:sz="4" w:space="0"/>
              <w:left w:val="single" w:color="auto" w:sz="4" w:space="0"/>
              <w:bottom w:val="single" w:color="auto" w:sz="4" w:space="0"/>
              <w:right w:val="single" w:color="auto" w:sz="4" w:space="0"/>
            </w:tcBorders>
            <w:noWrap/>
            <w:vAlign w:val="center"/>
          </w:tcPr>
          <w:p w14:paraId="0385F908">
            <w:pPr>
              <w:pStyle w:val="34"/>
              <w:spacing w:line="240" w:lineRule="auto"/>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工程质量保证金</w:t>
            </w:r>
          </w:p>
        </w:tc>
        <w:tc>
          <w:tcPr>
            <w:tcW w:w="7497" w:type="dxa"/>
            <w:tcBorders>
              <w:top w:val="single" w:color="auto" w:sz="4" w:space="0"/>
              <w:left w:val="single" w:color="auto" w:sz="4" w:space="0"/>
              <w:bottom w:val="single" w:color="auto" w:sz="4" w:space="0"/>
              <w:right w:val="single" w:color="auto" w:sz="4" w:space="0"/>
            </w:tcBorders>
            <w:noWrap/>
            <w:vAlign w:val="center"/>
          </w:tcPr>
          <w:p w14:paraId="45AF6220">
            <w:pPr>
              <w:pStyle w:val="34"/>
              <w:spacing w:line="240" w:lineRule="auto"/>
              <w:ind w:firstLine="240" w:firstLineChars="1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工程质量保证金总金额为结算价的3%，从工程竣工验收合格之日起计满2年。</w:t>
            </w:r>
          </w:p>
        </w:tc>
      </w:tr>
      <w:tr w14:paraId="08A57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07"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5FD9E0FA">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28</w:t>
            </w:r>
          </w:p>
        </w:tc>
        <w:tc>
          <w:tcPr>
            <w:tcW w:w="1698" w:type="dxa"/>
            <w:tcBorders>
              <w:top w:val="single" w:color="auto" w:sz="4" w:space="0"/>
              <w:left w:val="single" w:color="auto" w:sz="4" w:space="0"/>
              <w:bottom w:val="single" w:color="auto" w:sz="4" w:space="0"/>
              <w:right w:val="single" w:color="auto" w:sz="4" w:space="0"/>
            </w:tcBorders>
            <w:noWrap/>
            <w:vAlign w:val="center"/>
          </w:tcPr>
          <w:p w14:paraId="4498C6D7">
            <w:pPr>
              <w:pStyle w:val="34"/>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绿色施工安全防护措施费</w:t>
            </w:r>
          </w:p>
        </w:tc>
        <w:tc>
          <w:tcPr>
            <w:tcW w:w="7497" w:type="dxa"/>
            <w:tcBorders>
              <w:top w:val="single" w:color="auto" w:sz="4" w:space="0"/>
              <w:left w:val="single" w:color="auto" w:sz="4" w:space="0"/>
              <w:bottom w:val="single" w:color="auto" w:sz="4" w:space="0"/>
              <w:right w:val="single" w:color="auto" w:sz="4" w:space="0"/>
            </w:tcBorders>
            <w:noWrap/>
            <w:vAlign w:val="center"/>
          </w:tcPr>
          <w:p w14:paraId="3410EEC9">
            <w:pPr>
              <w:pStyle w:val="34"/>
              <w:ind w:firstLine="240" w:firstLineChars="1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按《建设工程工程量清单计价规范》（GB50500～2013）、《广东省建设工程计价依据（2018）》《关于明确建筑工程安全防护、文明施工措施费用具体管理办法的通知》（韶市建【2015】26号）等最新规定执行。</w:t>
            </w:r>
          </w:p>
        </w:tc>
      </w:tr>
      <w:tr w14:paraId="3210C6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72"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4EB472EB">
            <w:pPr>
              <w:wordWrap w:val="0"/>
              <w:adjustRightInd w:val="0"/>
              <w:snapToGrid w:val="0"/>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29</w:t>
            </w:r>
          </w:p>
        </w:tc>
        <w:tc>
          <w:tcPr>
            <w:tcW w:w="1698" w:type="dxa"/>
            <w:tcBorders>
              <w:top w:val="single" w:color="auto" w:sz="4" w:space="0"/>
              <w:left w:val="single" w:color="auto" w:sz="4" w:space="0"/>
              <w:bottom w:val="single" w:color="auto" w:sz="4" w:space="0"/>
              <w:right w:val="single" w:color="auto" w:sz="4" w:space="0"/>
            </w:tcBorders>
            <w:noWrap/>
            <w:vAlign w:val="center"/>
          </w:tcPr>
          <w:p w14:paraId="7BA98CE4">
            <w:pPr>
              <w:pStyle w:val="34"/>
              <w:ind w:firstLine="240" w:firstLineChars="1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招标文件要求提交的用于评审的证书、证件、</w:t>
            </w:r>
            <w:r>
              <w:rPr>
                <w:rFonts w:hint="eastAsia" w:asciiTheme="minorEastAsia" w:hAnsiTheme="minorEastAsia" w:eastAsiaTheme="minorEastAsia" w:cstheme="minorEastAsia"/>
                <w:snapToGrid w:val="0"/>
                <w:kern w:val="0"/>
                <w:szCs w:val="24"/>
              </w:rPr>
              <w:t>凭证</w:t>
            </w:r>
            <w:r>
              <w:rPr>
                <w:rFonts w:hint="eastAsia" w:asciiTheme="minorEastAsia" w:hAnsiTheme="minorEastAsia" w:eastAsiaTheme="minorEastAsia" w:cstheme="minorEastAsia"/>
                <w:szCs w:val="24"/>
              </w:rPr>
              <w:t>原件（如有）</w:t>
            </w:r>
          </w:p>
        </w:tc>
        <w:tc>
          <w:tcPr>
            <w:tcW w:w="7497" w:type="dxa"/>
            <w:tcBorders>
              <w:top w:val="single" w:color="auto" w:sz="4" w:space="0"/>
              <w:left w:val="single" w:color="auto" w:sz="4" w:space="0"/>
              <w:bottom w:val="single" w:color="auto" w:sz="4" w:space="0"/>
              <w:right w:val="single" w:color="auto" w:sz="4" w:space="0"/>
            </w:tcBorders>
            <w:noWrap/>
            <w:vAlign w:val="center"/>
          </w:tcPr>
          <w:p w14:paraId="328EF9C5">
            <w:pPr>
              <w:pStyle w:val="34"/>
              <w:ind w:firstLine="240" w:firstLineChars="1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投标人在递交纸质投标文件时须</w:t>
            </w:r>
            <w:r>
              <w:rPr>
                <w:rFonts w:hint="eastAsia" w:asciiTheme="minorEastAsia" w:hAnsiTheme="minorEastAsia" w:eastAsiaTheme="minorEastAsia" w:cstheme="minorEastAsia"/>
                <w:snapToGrid w:val="0"/>
                <w:kern w:val="0"/>
                <w:szCs w:val="24"/>
              </w:rPr>
              <w:t>提交用于评审的证书、证件、证明原件</w:t>
            </w:r>
            <w:r>
              <w:rPr>
                <w:rFonts w:hint="eastAsia" w:asciiTheme="minorEastAsia" w:hAnsiTheme="minorEastAsia" w:eastAsiaTheme="minorEastAsia" w:cstheme="minorEastAsia"/>
                <w:szCs w:val="24"/>
              </w:rPr>
              <w:t>的，投标人应自行将所需原件密封于文件袋（箱）中，并自行准备两张“原件一览表”（详见格式十四，投标人须自行填写，表格可扩展），一张贴于文件袋（箱），一张在递交时由投标人、招标代理人签字。招标代理机构仅代签收，不对文件袋（箱）中资料的数量、内容及真实性负责。评标结束后，招标代理人将退回投标人的原件。若投标人未按要求提交相应证明材料原件或投标文件中证明材料的彩色扫描件与原件不一致，评审时相应证明材料不予认可。</w:t>
            </w:r>
          </w:p>
        </w:tc>
      </w:tr>
      <w:tr w14:paraId="0EAD67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48A08340">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30</w:t>
            </w:r>
          </w:p>
        </w:tc>
        <w:tc>
          <w:tcPr>
            <w:tcW w:w="1698" w:type="dxa"/>
            <w:tcBorders>
              <w:top w:val="single" w:color="auto" w:sz="4" w:space="0"/>
              <w:left w:val="single" w:color="auto" w:sz="4" w:space="0"/>
              <w:bottom w:val="single" w:color="auto" w:sz="4" w:space="0"/>
              <w:right w:val="single" w:color="auto" w:sz="4" w:space="0"/>
            </w:tcBorders>
            <w:noWrap/>
            <w:vAlign w:val="center"/>
          </w:tcPr>
          <w:p w14:paraId="50D7FEA6">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招标人</w:t>
            </w:r>
          </w:p>
          <w:p w14:paraId="0950FC53">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联系方式</w:t>
            </w:r>
          </w:p>
        </w:tc>
        <w:tc>
          <w:tcPr>
            <w:tcW w:w="7497" w:type="dxa"/>
            <w:tcBorders>
              <w:top w:val="single" w:color="auto" w:sz="4" w:space="0"/>
              <w:left w:val="single" w:color="auto" w:sz="4" w:space="0"/>
              <w:bottom w:val="single" w:color="auto" w:sz="4" w:space="0"/>
              <w:right w:val="single" w:color="auto" w:sz="4" w:space="0"/>
            </w:tcBorders>
            <w:noWrap/>
            <w:vAlign w:val="center"/>
          </w:tcPr>
          <w:p w14:paraId="02ECC3B7">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单位名称：</w:t>
            </w:r>
            <w:r>
              <w:rPr>
                <w:rFonts w:asciiTheme="minorEastAsia" w:hAnsiTheme="minorEastAsia" w:eastAsiaTheme="minorEastAsia" w:cstheme="minorEastAsia"/>
                <w:snapToGrid w:val="0"/>
                <w:kern w:val="0"/>
                <w:szCs w:val="24"/>
              </w:rPr>
              <w:tab/>
            </w:r>
            <w:r>
              <w:rPr>
                <w:rFonts w:asciiTheme="minorEastAsia" w:hAnsiTheme="minorEastAsia" w:eastAsiaTheme="minorEastAsia" w:cstheme="minorEastAsia"/>
                <w:snapToGrid w:val="0"/>
                <w:kern w:val="0"/>
                <w:szCs w:val="24"/>
              </w:rPr>
              <w:t>新丰县人民政府丰城街道办事处</w:t>
            </w:r>
          </w:p>
          <w:p w14:paraId="501CE280">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办公地址：广东省韶关市新丰县丰城大道东8号</w:t>
            </w:r>
          </w:p>
          <w:p w14:paraId="7F2A29FB">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联系人（部门）：陈先生 </w:t>
            </w:r>
          </w:p>
          <w:p w14:paraId="0F997F18">
            <w:pPr>
              <w:wordWrap w:val="0"/>
              <w:adjustRightInd w:val="0"/>
              <w:snapToGrid w:val="0"/>
              <w:spacing w:line="360" w:lineRule="auto"/>
              <w:jc w:val="left"/>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联系电话：0751-8379619</w:t>
            </w:r>
          </w:p>
        </w:tc>
      </w:tr>
      <w:tr w14:paraId="4F948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2D64B04A">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31</w:t>
            </w:r>
          </w:p>
        </w:tc>
        <w:tc>
          <w:tcPr>
            <w:tcW w:w="1698" w:type="dxa"/>
            <w:tcBorders>
              <w:top w:val="single" w:color="auto" w:sz="4" w:space="0"/>
              <w:left w:val="single" w:color="auto" w:sz="4" w:space="0"/>
              <w:bottom w:val="single" w:color="auto" w:sz="4" w:space="0"/>
              <w:right w:val="single" w:color="auto" w:sz="4" w:space="0"/>
            </w:tcBorders>
            <w:noWrap/>
            <w:vAlign w:val="center"/>
          </w:tcPr>
          <w:p w14:paraId="0ACBC082">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招标代理机构</w:t>
            </w:r>
          </w:p>
          <w:p w14:paraId="45A4E27D">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联系方式</w:t>
            </w:r>
          </w:p>
        </w:tc>
        <w:tc>
          <w:tcPr>
            <w:tcW w:w="7497" w:type="dxa"/>
            <w:tcBorders>
              <w:top w:val="single" w:color="auto" w:sz="4" w:space="0"/>
              <w:left w:val="single" w:color="auto" w:sz="4" w:space="0"/>
              <w:bottom w:val="single" w:color="auto" w:sz="4" w:space="0"/>
              <w:right w:val="single" w:color="auto" w:sz="4" w:space="0"/>
            </w:tcBorders>
            <w:noWrap/>
            <w:vAlign w:val="center"/>
          </w:tcPr>
          <w:p w14:paraId="6191B624">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单位名称：韶关市北桓工程咨询有限公司</w:t>
            </w:r>
          </w:p>
          <w:p w14:paraId="2E057006">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办公地址：</w:t>
            </w:r>
            <w:r>
              <w:rPr>
                <w:rFonts w:hAnsi="宋体" w:eastAsia="宋体" w:cs="宋体"/>
                <w:snapToGrid w:val="0"/>
                <w:szCs w:val="24"/>
                <w:lang w:bidi="ar"/>
              </w:rPr>
              <w:t>韶关市武江区龙归镇兴龙路</w:t>
            </w:r>
            <w:r>
              <w:rPr>
                <w:rFonts w:hAnsi="宋体" w:eastAsia="宋体" w:cs="宋体"/>
                <w:szCs w:val="24"/>
                <w:lang w:bidi="ar"/>
              </w:rPr>
              <w:t>57</w:t>
            </w:r>
            <w:r>
              <w:rPr>
                <w:rFonts w:hAnsi="宋体" w:eastAsia="宋体" w:cs="宋体"/>
                <w:snapToGrid w:val="0"/>
                <w:szCs w:val="24"/>
                <w:lang w:bidi="ar"/>
              </w:rPr>
              <w:t>号</w:t>
            </w:r>
            <w:r>
              <w:rPr>
                <w:rFonts w:hAnsi="宋体" w:eastAsia="宋体" w:cs="宋体"/>
                <w:szCs w:val="24"/>
                <w:lang w:bidi="ar"/>
              </w:rPr>
              <w:t>B</w:t>
            </w:r>
            <w:r>
              <w:rPr>
                <w:rFonts w:hAnsi="宋体" w:eastAsia="宋体" w:cs="宋体"/>
                <w:snapToGrid w:val="0"/>
                <w:szCs w:val="24"/>
                <w:lang w:bidi="ar"/>
              </w:rPr>
              <w:t>栋</w:t>
            </w:r>
            <w:r>
              <w:rPr>
                <w:rFonts w:hAnsi="宋体" w:eastAsia="宋体" w:cs="宋体"/>
                <w:szCs w:val="24"/>
                <w:lang w:bidi="ar"/>
              </w:rPr>
              <w:t>216</w:t>
            </w:r>
            <w:r>
              <w:rPr>
                <w:rFonts w:hAnsi="宋体" w:eastAsia="宋体" w:cs="宋体"/>
                <w:snapToGrid w:val="0"/>
                <w:szCs w:val="24"/>
                <w:lang w:bidi="ar"/>
              </w:rPr>
              <w:t>房</w:t>
            </w:r>
          </w:p>
          <w:p w14:paraId="21A77411">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联系人：刁小姐</w:t>
            </w:r>
          </w:p>
          <w:p w14:paraId="301C7A82">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联系电话： 17703087363</w:t>
            </w:r>
          </w:p>
        </w:tc>
      </w:tr>
      <w:tr w14:paraId="7474A2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173"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102E3EA7">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32</w:t>
            </w:r>
          </w:p>
        </w:tc>
        <w:tc>
          <w:tcPr>
            <w:tcW w:w="1698" w:type="dxa"/>
            <w:tcBorders>
              <w:top w:val="single" w:color="auto" w:sz="4" w:space="0"/>
              <w:left w:val="single" w:color="auto" w:sz="4" w:space="0"/>
              <w:bottom w:val="single" w:color="auto" w:sz="4" w:space="0"/>
              <w:right w:val="single" w:color="auto" w:sz="4" w:space="0"/>
            </w:tcBorders>
            <w:noWrap/>
            <w:vAlign w:val="center"/>
          </w:tcPr>
          <w:p w14:paraId="592633B4">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交易场所</w:t>
            </w:r>
          </w:p>
          <w:p w14:paraId="299A7295">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联系方式</w:t>
            </w:r>
          </w:p>
        </w:tc>
        <w:tc>
          <w:tcPr>
            <w:tcW w:w="7497" w:type="dxa"/>
            <w:tcBorders>
              <w:top w:val="single" w:color="auto" w:sz="4" w:space="0"/>
              <w:left w:val="single" w:color="auto" w:sz="4" w:space="0"/>
              <w:bottom w:val="single" w:color="auto" w:sz="4" w:space="0"/>
              <w:right w:val="single" w:color="auto" w:sz="4" w:space="0"/>
            </w:tcBorders>
            <w:noWrap/>
            <w:vAlign w:val="center"/>
          </w:tcPr>
          <w:p w14:paraId="252A9114">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单位名称：韶关市公共资源交易中心</w:t>
            </w:r>
          </w:p>
          <w:p w14:paraId="6D0C62A9">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办公地址：</w:t>
            </w:r>
            <w:r>
              <w:rPr>
                <w:rFonts w:asciiTheme="minorEastAsia" w:hAnsiTheme="minorEastAsia" w:eastAsiaTheme="minorEastAsia" w:cstheme="minorEastAsia"/>
                <w:snapToGrid w:val="0"/>
                <w:kern w:val="0"/>
                <w:szCs w:val="24"/>
                <w:lang w:bidi="ar"/>
              </w:rPr>
              <w:t>新丰县丰城街道金园路</w:t>
            </w:r>
            <w:r>
              <w:rPr>
                <w:rFonts w:hint="eastAsia" w:asciiTheme="minorEastAsia" w:hAnsiTheme="minorEastAsia" w:eastAsiaTheme="minorEastAsia" w:cstheme="minorEastAsia"/>
                <w:snapToGrid w:val="0"/>
                <w:kern w:val="0"/>
                <w:szCs w:val="24"/>
                <w:lang w:val="en-US" w:eastAsia="zh-CN" w:bidi="ar"/>
              </w:rPr>
              <w:t>53</w:t>
            </w:r>
            <w:r>
              <w:rPr>
                <w:rFonts w:asciiTheme="minorEastAsia" w:hAnsiTheme="minorEastAsia" w:eastAsiaTheme="minorEastAsia" w:cstheme="minorEastAsia"/>
                <w:snapToGrid w:val="0"/>
                <w:kern w:val="0"/>
                <w:szCs w:val="24"/>
                <w:lang w:bidi="ar"/>
              </w:rPr>
              <w:t>号行政服务中心5楼（韶关市公共资源交易中心新丰分中心）</w:t>
            </w:r>
          </w:p>
          <w:p w14:paraId="0F31E8A8">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联系人（部门）：（工程交易股）</w:t>
            </w:r>
          </w:p>
          <w:p w14:paraId="08B720DE">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联系电话： 0751-2198025</w:t>
            </w:r>
          </w:p>
        </w:tc>
      </w:tr>
      <w:tr w14:paraId="723473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17" w:hRule="atLeast"/>
          <w:jc w:val="center"/>
        </w:trPr>
        <w:tc>
          <w:tcPr>
            <w:tcW w:w="804" w:type="dxa"/>
            <w:tcBorders>
              <w:top w:val="single" w:color="auto" w:sz="4" w:space="0"/>
              <w:left w:val="single" w:color="auto" w:sz="4" w:space="0"/>
              <w:bottom w:val="single" w:color="auto" w:sz="4" w:space="0"/>
              <w:right w:val="single" w:color="auto" w:sz="4" w:space="0"/>
            </w:tcBorders>
            <w:noWrap/>
            <w:vAlign w:val="center"/>
          </w:tcPr>
          <w:p w14:paraId="397B2419">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34</w:t>
            </w:r>
          </w:p>
        </w:tc>
        <w:tc>
          <w:tcPr>
            <w:tcW w:w="1698" w:type="dxa"/>
            <w:tcBorders>
              <w:top w:val="single" w:color="auto" w:sz="4" w:space="0"/>
              <w:left w:val="single" w:color="auto" w:sz="4" w:space="0"/>
              <w:bottom w:val="single" w:color="auto" w:sz="4" w:space="0"/>
              <w:right w:val="single" w:color="auto" w:sz="4" w:space="0"/>
            </w:tcBorders>
            <w:noWrap/>
            <w:vAlign w:val="center"/>
          </w:tcPr>
          <w:p w14:paraId="4424A188">
            <w:pPr>
              <w:wordWrap w:val="0"/>
              <w:adjustRightInd w:val="0"/>
              <w:snapToGrid w:val="0"/>
              <w:spacing w:line="360" w:lineRule="auto"/>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行政监督部门</w:t>
            </w:r>
          </w:p>
          <w:p w14:paraId="4C55BF10">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联系方式</w:t>
            </w:r>
          </w:p>
        </w:tc>
        <w:tc>
          <w:tcPr>
            <w:tcW w:w="7497" w:type="dxa"/>
            <w:tcBorders>
              <w:top w:val="single" w:color="auto" w:sz="4" w:space="0"/>
              <w:left w:val="single" w:color="auto" w:sz="4" w:space="0"/>
              <w:bottom w:val="single" w:color="auto" w:sz="4" w:space="0"/>
              <w:right w:val="single" w:color="auto" w:sz="4" w:space="0"/>
            </w:tcBorders>
            <w:noWrap/>
            <w:vAlign w:val="center"/>
          </w:tcPr>
          <w:p w14:paraId="108FAECB">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单位名称：新丰县住房和城乡建设管理局</w:t>
            </w:r>
          </w:p>
          <w:p w14:paraId="73315D63">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办公地址：广东省韶关市新丰县G105</w:t>
            </w:r>
          </w:p>
          <w:p w14:paraId="47D88F48">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联系人（部门）：建管股  </w:t>
            </w:r>
          </w:p>
          <w:p w14:paraId="59FDA1C9">
            <w:pPr>
              <w:wordWrap w:val="0"/>
              <w:adjustRightInd w:val="0"/>
              <w:snapToGrid w:val="0"/>
              <w:spacing w:line="360" w:lineRule="auto"/>
              <w:jc w:val="left"/>
              <w:rPr>
                <w:rFonts w:asciiTheme="minorEastAsia" w:hAnsiTheme="minorEastAsia" w:eastAsiaTheme="minorEastAsia" w:cstheme="minorEastAsia"/>
                <w:kern w:val="0"/>
                <w:szCs w:val="24"/>
              </w:rPr>
            </w:pPr>
            <w:r>
              <w:rPr>
                <w:rFonts w:asciiTheme="minorEastAsia" w:hAnsiTheme="minorEastAsia" w:eastAsiaTheme="minorEastAsia" w:cstheme="minorEastAsia"/>
                <w:snapToGrid w:val="0"/>
                <w:kern w:val="0"/>
                <w:szCs w:val="24"/>
              </w:rPr>
              <w:t>联系电话：0751-8892601</w:t>
            </w:r>
          </w:p>
        </w:tc>
      </w:tr>
      <w:bookmarkEnd w:id="6"/>
    </w:tbl>
    <w:p w14:paraId="6146EE58">
      <w:pPr>
        <w:pStyle w:val="3"/>
        <w:wordWrap w:val="0"/>
        <w:autoSpaceDE/>
        <w:autoSpaceDN/>
        <w:snapToGrid w:val="0"/>
        <w:spacing w:after="260" w:line="440" w:lineRule="exact"/>
        <w:jc w:val="both"/>
        <w:rPr>
          <w:rFonts w:asciiTheme="minorEastAsia" w:hAnsiTheme="minorEastAsia" w:eastAsiaTheme="minorEastAsia" w:cstheme="minorEastAsia"/>
          <w:b/>
          <w:kern w:val="2"/>
        </w:rPr>
      </w:pPr>
      <w:bookmarkStart w:id="7" w:name="_Toc122769943"/>
      <w:bookmarkStart w:id="8" w:name="_Toc122671103"/>
      <w:bookmarkStart w:id="9" w:name="_Toc122859103"/>
      <w:r>
        <w:rPr>
          <w:rFonts w:asciiTheme="minorEastAsia" w:hAnsiTheme="minorEastAsia" w:eastAsiaTheme="minorEastAsia" w:cstheme="minorEastAsia"/>
          <w:b/>
          <w:kern w:val="2"/>
        </w:rPr>
        <w:br w:type="page"/>
      </w:r>
      <w:bookmarkEnd w:id="7"/>
      <w:bookmarkEnd w:id="8"/>
      <w:bookmarkEnd w:id="9"/>
      <w:bookmarkStart w:id="10" w:name="_Toc11957"/>
      <w:bookmarkStart w:id="11" w:name="_Toc5057"/>
      <w:r>
        <w:rPr>
          <w:rFonts w:asciiTheme="minorEastAsia" w:hAnsiTheme="minorEastAsia" w:eastAsiaTheme="minorEastAsia" w:cstheme="minorEastAsia"/>
          <w:b/>
          <w:kern w:val="2"/>
          <w:szCs w:val="24"/>
        </w:rPr>
        <w:t>第二节.重要事项时间地点一览表.</w:t>
      </w:r>
      <w:bookmarkEnd w:id="10"/>
      <w:bookmarkEnd w:id="11"/>
    </w:p>
    <w:tbl>
      <w:tblPr>
        <w:tblStyle w:val="21"/>
        <w:tblW w:w="9699" w:type="dxa"/>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04"/>
        <w:gridCol w:w="1610"/>
        <w:gridCol w:w="7585"/>
      </w:tblGrid>
      <w:tr w14:paraId="13485D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52"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793283DA">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1</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21F932E4">
            <w:pPr>
              <w:wordWrap w:val="0"/>
              <w:adjustRightInd w:val="0"/>
              <w:snapToGrid w:val="0"/>
              <w:spacing w:line="360" w:lineRule="exact"/>
              <w:jc w:val="center"/>
              <w:rPr>
                <w:rFonts w:hAnsi="宋体" w:eastAsia="宋体" w:cs="宋体"/>
                <w:snapToGrid w:val="0"/>
                <w:kern w:val="0"/>
                <w:szCs w:val="24"/>
              </w:rPr>
            </w:pPr>
            <w:r>
              <w:rPr>
                <w:rFonts w:hAnsi="宋体" w:eastAsia="宋体" w:cs="宋体"/>
                <w:snapToGrid w:val="0"/>
                <w:kern w:val="0"/>
                <w:szCs w:val="24"/>
              </w:rPr>
              <w:t>招标公告</w:t>
            </w:r>
          </w:p>
          <w:p w14:paraId="70220F7F">
            <w:pPr>
              <w:wordWrap w:val="0"/>
              <w:adjustRightInd w:val="0"/>
              <w:snapToGrid w:val="0"/>
              <w:spacing w:line="360" w:lineRule="exact"/>
              <w:jc w:val="center"/>
              <w:rPr>
                <w:rFonts w:hAnsi="宋体" w:eastAsia="宋体" w:cs="宋体"/>
                <w:szCs w:val="24"/>
              </w:rPr>
            </w:pPr>
            <w:r>
              <w:rPr>
                <w:rFonts w:hAnsi="宋体" w:eastAsia="宋体" w:cs="宋体"/>
                <w:snapToGrid w:val="0"/>
                <w:kern w:val="0"/>
                <w:szCs w:val="24"/>
              </w:rPr>
              <w:t xml:space="preserve">发布时间 </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65B95D97">
            <w:pPr>
              <w:widowControl/>
              <w:snapToGrid w:val="0"/>
              <w:jc w:val="left"/>
              <w:rPr>
                <w:rFonts w:hAnsi="宋体" w:eastAsia="宋体" w:cs="宋体"/>
                <w:szCs w:val="24"/>
              </w:rPr>
            </w:pP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07</w:t>
            </w:r>
            <w:r>
              <w:rPr>
                <w:rFonts w:hAnsi="宋体" w:eastAsia="宋体" w:cs="宋体"/>
                <w:kern w:val="0"/>
                <w:szCs w:val="24"/>
              </w:rPr>
              <w:t>日</w:t>
            </w:r>
            <w:r>
              <w:rPr>
                <w:rFonts w:hint="eastAsia" w:hAnsi="宋体" w:eastAsia="宋体" w:cs="宋体"/>
                <w:kern w:val="0"/>
                <w:szCs w:val="24"/>
                <w:u w:val="single"/>
                <w:lang w:val="en-US" w:eastAsia="zh-CN"/>
              </w:rPr>
              <w:t>20</w:t>
            </w:r>
            <w:r>
              <w:rPr>
                <w:rFonts w:hAnsi="宋体" w:eastAsia="宋体" w:cs="宋体"/>
                <w:kern w:val="0"/>
                <w:szCs w:val="24"/>
              </w:rPr>
              <w:t>时</w:t>
            </w:r>
            <w:r>
              <w:rPr>
                <w:rFonts w:hint="eastAsia" w:hAnsi="宋体" w:eastAsia="宋体" w:cs="宋体"/>
                <w:kern w:val="0"/>
                <w:szCs w:val="24"/>
                <w:u w:val="single"/>
                <w:lang w:val="en-US" w:eastAsia="zh-CN"/>
              </w:rPr>
              <w:t>3</w:t>
            </w:r>
            <w:bookmarkStart w:id="675" w:name="_GoBack"/>
            <w:bookmarkEnd w:id="675"/>
            <w:r>
              <w:rPr>
                <w:rFonts w:hint="eastAsia" w:hAnsi="宋体" w:eastAsia="宋体" w:cs="宋体"/>
                <w:kern w:val="0"/>
                <w:szCs w:val="24"/>
                <w:u w:val="single"/>
                <w:lang w:val="en-US" w:eastAsia="zh-CN"/>
              </w:rPr>
              <w:t>0</w:t>
            </w:r>
            <w:r>
              <w:rPr>
                <w:rFonts w:hAnsi="宋体" w:eastAsia="宋体" w:cs="宋体"/>
                <w:kern w:val="0"/>
                <w:szCs w:val="24"/>
              </w:rPr>
              <w:t>分至</w:t>
            </w: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29</w:t>
            </w:r>
            <w:r>
              <w:rPr>
                <w:rFonts w:hAnsi="宋体" w:eastAsia="宋体" w:cs="宋体"/>
                <w:kern w:val="0"/>
                <w:szCs w:val="24"/>
              </w:rPr>
              <w:t>日</w:t>
            </w:r>
            <w:r>
              <w:rPr>
                <w:rFonts w:hint="eastAsia" w:hAnsi="宋体" w:eastAsia="宋体" w:cs="宋体"/>
                <w:kern w:val="0"/>
                <w:szCs w:val="24"/>
                <w:u w:val="single"/>
                <w:lang w:val="en-US" w:eastAsia="zh-CN"/>
              </w:rPr>
              <w:t>10</w:t>
            </w:r>
            <w:r>
              <w:rPr>
                <w:rFonts w:hAnsi="宋体" w:eastAsia="宋体" w:cs="宋体"/>
                <w:kern w:val="0"/>
                <w:szCs w:val="24"/>
              </w:rPr>
              <w:t>时</w:t>
            </w:r>
            <w:r>
              <w:rPr>
                <w:rFonts w:hint="eastAsia" w:hAnsi="宋体" w:eastAsia="宋体" w:cs="宋体"/>
                <w:kern w:val="0"/>
                <w:szCs w:val="24"/>
                <w:u w:val="single"/>
                <w:lang w:val="en-US" w:eastAsia="zh-CN"/>
              </w:rPr>
              <w:t>00</w:t>
            </w:r>
            <w:r>
              <w:rPr>
                <w:rFonts w:hAnsi="宋体" w:eastAsia="宋体" w:cs="宋体"/>
                <w:kern w:val="0"/>
                <w:szCs w:val="24"/>
              </w:rPr>
              <w:t>分</w:t>
            </w:r>
          </w:p>
        </w:tc>
      </w:tr>
      <w:tr w14:paraId="7374F5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67"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5A422854">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2</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37120F95">
            <w:pPr>
              <w:wordWrap w:val="0"/>
              <w:adjustRightInd w:val="0"/>
              <w:snapToGrid w:val="0"/>
              <w:spacing w:line="360" w:lineRule="exact"/>
              <w:jc w:val="center"/>
              <w:rPr>
                <w:rFonts w:hAnsi="宋体" w:eastAsia="宋体" w:cs="宋体"/>
                <w:szCs w:val="24"/>
              </w:rPr>
            </w:pPr>
            <w:r>
              <w:rPr>
                <w:rFonts w:hAnsi="宋体" w:eastAsia="宋体" w:cs="宋体"/>
                <w:snapToGrid w:val="0"/>
                <w:kern w:val="0"/>
                <w:szCs w:val="24"/>
              </w:rPr>
              <w:t xml:space="preserve">获取招标文件截止时间 </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4AECA4A4">
            <w:pPr>
              <w:widowControl/>
              <w:snapToGrid w:val="0"/>
              <w:jc w:val="left"/>
              <w:rPr>
                <w:rFonts w:hAnsi="宋体" w:eastAsia="宋体" w:cs="宋体"/>
                <w:szCs w:val="24"/>
              </w:rPr>
            </w:pP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29</w:t>
            </w:r>
            <w:r>
              <w:rPr>
                <w:rFonts w:hAnsi="宋体" w:eastAsia="宋体" w:cs="宋体"/>
                <w:kern w:val="0"/>
                <w:szCs w:val="24"/>
              </w:rPr>
              <w:t>日</w:t>
            </w:r>
            <w:r>
              <w:rPr>
                <w:rFonts w:hint="eastAsia" w:hAnsi="宋体" w:eastAsia="宋体" w:cs="宋体"/>
                <w:kern w:val="0"/>
                <w:szCs w:val="24"/>
                <w:u w:val="single"/>
                <w:lang w:val="en-US" w:eastAsia="zh-CN"/>
              </w:rPr>
              <w:t>10</w:t>
            </w:r>
            <w:r>
              <w:rPr>
                <w:rFonts w:hAnsi="宋体" w:eastAsia="宋体" w:cs="宋体"/>
                <w:kern w:val="0"/>
                <w:szCs w:val="24"/>
              </w:rPr>
              <w:t>时</w:t>
            </w:r>
            <w:r>
              <w:rPr>
                <w:rFonts w:hint="eastAsia" w:hAnsi="宋体" w:eastAsia="宋体" w:cs="宋体"/>
                <w:kern w:val="0"/>
                <w:szCs w:val="24"/>
                <w:u w:val="single"/>
                <w:lang w:val="en-US" w:eastAsia="zh-CN"/>
              </w:rPr>
              <w:t>00</w:t>
            </w:r>
            <w:r>
              <w:rPr>
                <w:rFonts w:hAnsi="宋体" w:eastAsia="宋体" w:cs="宋体"/>
                <w:kern w:val="0"/>
                <w:szCs w:val="24"/>
              </w:rPr>
              <w:t>分</w:t>
            </w:r>
          </w:p>
        </w:tc>
      </w:tr>
      <w:tr w14:paraId="1621A8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08"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68F84C3C">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3</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18917A88">
            <w:pPr>
              <w:wordWrap w:val="0"/>
              <w:adjustRightInd w:val="0"/>
              <w:snapToGrid w:val="0"/>
              <w:spacing w:line="360" w:lineRule="exact"/>
              <w:jc w:val="center"/>
              <w:rPr>
                <w:rFonts w:hAnsi="宋体" w:eastAsia="宋体" w:cs="宋体"/>
                <w:snapToGrid w:val="0"/>
                <w:kern w:val="0"/>
                <w:szCs w:val="24"/>
              </w:rPr>
            </w:pPr>
            <w:r>
              <w:rPr>
                <w:rFonts w:hAnsi="宋体" w:eastAsia="宋体" w:cs="宋体"/>
                <w:snapToGrid w:val="0"/>
                <w:kern w:val="0"/>
                <w:szCs w:val="24"/>
              </w:rPr>
              <w:t>网上提问</w:t>
            </w:r>
          </w:p>
          <w:p w14:paraId="201679FE">
            <w:pPr>
              <w:wordWrap w:val="0"/>
              <w:adjustRightInd w:val="0"/>
              <w:snapToGrid w:val="0"/>
              <w:spacing w:line="360" w:lineRule="exact"/>
              <w:jc w:val="center"/>
              <w:rPr>
                <w:rFonts w:hAnsi="宋体" w:eastAsia="宋体" w:cs="宋体"/>
                <w:szCs w:val="24"/>
              </w:rPr>
            </w:pPr>
            <w:r>
              <w:rPr>
                <w:rFonts w:hAnsi="宋体" w:eastAsia="宋体" w:cs="宋体"/>
                <w:snapToGrid w:val="0"/>
                <w:kern w:val="0"/>
                <w:szCs w:val="24"/>
              </w:rPr>
              <w:t xml:space="preserve">截止时间 </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1952BCCC">
            <w:pPr>
              <w:wordWrap w:val="0"/>
              <w:adjustRightInd w:val="0"/>
              <w:snapToGrid w:val="0"/>
              <w:spacing w:line="400" w:lineRule="exact"/>
              <w:jc w:val="left"/>
              <w:rPr>
                <w:rFonts w:hAnsi="宋体" w:eastAsia="宋体" w:cs="宋体"/>
                <w:szCs w:val="24"/>
              </w:rPr>
            </w:pP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19</w:t>
            </w:r>
            <w:r>
              <w:rPr>
                <w:rFonts w:hAnsi="宋体" w:eastAsia="宋体" w:cs="宋体"/>
                <w:kern w:val="0"/>
                <w:szCs w:val="24"/>
              </w:rPr>
              <w:t>日</w:t>
            </w:r>
            <w:r>
              <w:rPr>
                <w:rFonts w:hAnsi="宋体" w:eastAsia="宋体" w:cs="宋体"/>
                <w:kern w:val="0"/>
                <w:szCs w:val="24"/>
                <w:u w:val="single"/>
              </w:rPr>
              <w:t xml:space="preserve"> 16 </w:t>
            </w:r>
            <w:r>
              <w:rPr>
                <w:rFonts w:hAnsi="宋体" w:eastAsia="宋体" w:cs="宋体"/>
                <w:kern w:val="0"/>
                <w:szCs w:val="24"/>
              </w:rPr>
              <w:t>时</w:t>
            </w:r>
            <w:r>
              <w:rPr>
                <w:rFonts w:hAnsi="宋体" w:eastAsia="宋体" w:cs="宋体"/>
                <w:kern w:val="0"/>
                <w:szCs w:val="24"/>
                <w:u w:val="single"/>
              </w:rPr>
              <w:t xml:space="preserve"> 00 </w:t>
            </w:r>
            <w:r>
              <w:rPr>
                <w:rFonts w:hAnsi="宋体" w:eastAsia="宋体" w:cs="宋体"/>
                <w:kern w:val="0"/>
                <w:szCs w:val="24"/>
              </w:rPr>
              <w:t>分</w:t>
            </w:r>
          </w:p>
        </w:tc>
      </w:tr>
      <w:tr w14:paraId="4D267B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93"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2447B1B9">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4</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6D79C24C">
            <w:pPr>
              <w:wordWrap w:val="0"/>
              <w:adjustRightInd w:val="0"/>
              <w:snapToGrid w:val="0"/>
              <w:spacing w:line="360" w:lineRule="exact"/>
              <w:jc w:val="center"/>
              <w:rPr>
                <w:rFonts w:hAnsi="宋体" w:eastAsia="宋体" w:cs="宋体"/>
                <w:snapToGrid w:val="0"/>
                <w:kern w:val="0"/>
                <w:szCs w:val="24"/>
              </w:rPr>
            </w:pPr>
            <w:r>
              <w:rPr>
                <w:rFonts w:hAnsi="宋体" w:eastAsia="宋体" w:cs="宋体"/>
                <w:snapToGrid w:val="0"/>
                <w:kern w:val="0"/>
                <w:szCs w:val="24"/>
              </w:rPr>
              <w:t>网上答疑</w:t>
            </w:r>
          </w:p>
          <w:p w14:paraId="731FD15F">
            <w:pPr>
              <w:wordWrap w:val="0"/>
              <w:adjustRightInd w:val="0"/>
              <w:snapToGrid w:val="0"/>
              <w:spacing w:line="360" w:lineRule="exact"/>
              <w:jc w:val="center"/>
              <w:rPr>
                <w:rFonts w:hAnsi="宋体" w:eastAsia="宋体" w:cs="宋体"/>
                <w:szCs w:val="24"/>
              </w:rPr>
            </w:pPr>
            <w:r>
              <w:rPr>
                <w:rFonts w:hAnsi="宋体" w:eastAsia="宋体" w:cs="宋体"/>
                <w:snapToGrid w:val="0"/>
                <w:kern w:val="0"/>
                <w:szCs w:val="24"/>
              </w:rPr>
              <w:t>时间</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26B01BC7">
            <w:pPr>
              <w:widowControl/>
              <w:snapToGrid w:val="0"/>
              <w:jc w:val="left"/>
              <w:rPr>
                <w:rFonts w:hAnsi="宋体" w:eastAsia="宋体" w:cs="宋体"/>
                <w:szCs w:val="24"/>
              </w:rPr>
            </w:pPr>
            <w:r>
              <w:rPr>
                <w:rFonts w:hAnsi="宋体" w:eastAsia="宋体" w:cs="宋体"/>
                <w:kern w:val="0"/>
                <w:szCs w:val="24"/>
                <w:u w:val="single"/>
              </w:rPr>
              <w:t>2025</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19</w:t>
            </w:r>
            <w:r>
              <w:rPr>
                <w:rFonts w:hAnsi="宋体" w:eastAsia="宋体" w:cs="宋体"/>
                <w:kern w:val="0"/>
                <w:szCs w:val="24"/>
              </w:rPr>
              <w:t>日</w:t>
            </w:r>
            <w:r>
              <w:rPr>
                <w:rFonts w:hAnsi="宋体" w:eastAsia="宋体" w:cs="宋体"/>
                <w:kern w:val="0"/>
                <w:szCs w:val="24"/>
                <w:u w:val="single"/>
              </w:rPr>
              <w:t xml:space="preserve"> 16 </w:t>
            </w:r>
            <w:r>
              <w:rPr>
                <w:rFonts w:hAnsi="宋体" w:eastAsia="宋体" w:cs="宋体"/>
                <w:kern w:val="0"/>
                <w:szCs w:val="24"/>
              </w:rPr>
              <w:t>时</w:t>
            </w:r>
            <w:r>
              <w:rPr>
                <w:rFonts w:hAnsi="宋体" w:eastAsia="宋体" w:cs="宋体"/>
                <w:kern w:val="0"/>
                <w:szCs w:val="24"/>
                <w:u w:val="single"/>
              </w:rPr>
              <w:t xml:space="preserve"> 30 </w:t>
            </w:r>
            <w:r>
              <w:rPr>
                <w:rFonts w:hAnsi="宋体" w:eastAsia="宋体" w:cs="宋体"/>
                <w:kern w:val="0"/>
                <w:szCs w:val="24"/>
              </w:rPr>
              <w:t>分至</w:t>
            </w:r>
            <w:r>
              <w:rPr>
                <w:rFonts w:hAnsi="宋体" w:eastAsia="宋体" w:cs="宋体"/>
                <w:kern w:val="0"/>
                <w:szCs w:val="24"/>
                <w:u w:val="single"/>
              </w:rPr>
              <w:t xml:space="preserve">  2025</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22</w:t>
            </w:r>
            <w:r>
              <w:rPr>
                <w:rFonts w:hAnsi="宋体" w:eastAsia="宋体" w:cs="宋体"/>
                <w:kern w:val="0"/>
                <w:szCs w:val="24"/>
              </w:rPr>
              <w:t>日</w:t>
            </w:r>
            <w:r>
              <w:rPr>
                <w:rFonts w:hAnsi="宋体" w:eastAsia="宋体" w:cs="宋体"/>
                <w:kern w:val="0"/>
                <w:szCs w:val="24"/>
                <w:u w:val="single"/>
              </w:rPr>
              <w:t xml:space="preserve"> 16 </w:t>
            </w:r>
            <w:r>
              <w:rPr>
                <w:rFonts w:hAnsi="宋体" w:eastAsia="宋体" w:cs="宋体"/>
                <w:kern w:val="0"/>
                <w:szCs w:val="24"/>
              </w:rPr>
              <w:t>时</w:t>
            </w:r>
            <w:r>
              <w:rPr>
                <w:rFonts w:hAnsi="宋体" w:eastAsia="宋体" w:cs="宋体"/>
                <w:kern w:val="0"/>
                <w:szCs w:val="24"/>
                <w:u w:val="single"/>
              </w:rPr>
              <w:t xml:space="preserve"> 00</w:t>
            </w:r>
            <w:r>
              <w:rPr>
                <w:rFonts w:hAnsi="宋体" w:eastAsia="宋体" w:cs="宋体"/>
                <w:kern w:val="0"/>
                <w:szCs w:val="24"/>
              </w:rPr>
              <w:t>分</w:t>
            </w:r>
          </w:p>
        </w:tc>
      </w:tr>
      <w:tr w14:paraId="27371F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95"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585458C3">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5</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36DE285A">
            <w:pPr>
              <w:wordWrap w:val="0"/>
              <w:adjustRightInd w:val="0"/>
              <w:snapToGrid w:val="0"/>
              <w:spacing w:line="360" w:lineRule="auto"/>
              <w:jc w:val="center"/>
              <w:rPr>
                <w:rFonts w:hAnsi="宋体" w:eastAsia="宋体" w:cs="宋体"/>
                <w:snapToGrid w:val="0"/>
                <w:kern w:val="0"/>
                <w:szCs w:val="24"/>
              </w:rPr>
            </w:pPr>
            <w:r>
              <w:rPr>
                <w:rFonts w:hAnsi="宋体" w:eastAsia="宋体" w:cs="宋体"/>
                <w:snapToGrid w:val="0"/>
                <w:kern w:val="0"/>
                <w:szCs w:val="24"/>
              </w:rPr>
              <w:t>投标保证缴</w:t>
            </w:r>
          </w:p>
          <w:p w14:paraId="03BED3AC">
            <w:pPr>
              <w:wordWrap w:val="0"/>
              <w:adjustRightInd w:val="0"/>
              <w:snapToGrid w:val="0"/>
              <w:spacing w:line="360" w:lineRule="auto"/>
              <w:jc w:val="center"/>
              <w:rPr>
                <w:rFonts w:hAnsi="宋体" w:eastAsia="宋体" w:cs="宋体"/>
                <w:szCs w:val="24"/>
              </w:rPr>
            </w:pPr>
            <w:r>
              <w:rPr>
                <w:rFonts w:hAnsi="宋体" w:eastAsia="宋体" w:cs="宋体"/>
                <w:snapToGrid w:val="0"/>
                <w:kern w:val="0"/>
                <w:szCs w:val="24"/>
              </w:rPr>
              <w:t>纳截止时间</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4ACB3231">
            <w:pPr>
              <w:widowControl/>
              <w:snapToGrid w:val="0"/>
              <w:spacing w:line="360" w:lineRule="auto"/>
              <w:jc w:val="left"/>
              <w:rPr>
                <w:rFonts w:hAnsi="宋体" w:eastAsia="宋体" w:cs="宋体"/>
                <w:kern w:val="0"/>
                <w:szCs w:val="24"/>
              </w:rPr>
            </w:pPr>
            <w:r>
              <w:rPr>
                <w:rFonts w:hAnsi="宋体" w:eastAsia="宋体" w:cs="宋体"/>
                <w:kern w:val="0"/>
                <w:szCs w:val="24"/>
              </w:rPr>
              <w:t>投标保证金到账截止时间：</w:t>
            </w: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28</w:t>
            </w:r>
            <w:r>
              <w:rPr>
                <w:rFonts w:hAnsi="宋体" w:eastAsia="宋体" w:cs="宋体"/>
                <w:kern w:val="0"/>
                <w:szCs w:val="24"/>
              </w:rPr>
              <w:t>日</w:t>
            </w:r>
            <w:r>
              <w:rPr>
                <w:rFonts w:hint="eastAsia" w:hAnsi="宋体" w:eastAsia="宋体" w:cs="宋体"/>
                <w:kern w:val="0"/>
                <w:szCs w:val="24"/>
                <w:u w:val="single"/>
                <w:lang w:val="en-US" w:eastAsia="zh-CN"/>
              </w:rPr>
              <w:t>10</w:t>
            </w:r>
            <w:r>
              <w:rPr>
                <w:rFonts w:hAnsi="宋体" w:eastAsia="宋体" w:cs="宋体"/>
                <w:kern w:val="0"/>
                <w:szCs w:val="24"/>
              </w:rPr>
              <w:t>时</w:t>
            </w:r>
            <w:r>
              <w:rPr>
                <w:rFonts w:hAnsi="宋体" w:eastAsia="宋体" w:cs="宋体"/>
                <w:kern w:val="0"/>
                <w:szCs w:val="24"/>
                <w:u w:val="single"/>
              </w:rPr>
              <w:t xml:space="preserve"> 00 </w:t>
            </w:r>
            <w:r>
              <w:rPr>
                <w:rFonts w:hAnsi="宋体" w:eastAsia="宋体" w:cs="宋体"/>
                <w:kern w:val="0"/>
                <w:szCs w:val="24"/>
              </w:rPr>
              <w:t>分；</w:t>
            </w:r>
          </w:p>
          <w:p w14:paraId="7051714B">
            <w:pPr>
              <w:widowControl/>
              <w:snapToGrid w:val="0"/>
              <w:spacing w:line="360" w:lineRule="auto"/>
              <w:jc w:val="left"/>
              <w:rPr>
                <w:rFonts w:hAnsi="宋体" w:eastAsia="宋体" w:cs="宋体"/>
                <w:kern w:val="0"/>
                <w:szCs w:val="24"/>
              </w:rPr>
            </w:pPr>
            <w:r>
              <w:rPr>
                <w:rFonts w:hAnsi="宋体" w:eastAsia="宋体" w:cs="宋体"/>
                <w:kern w:val="0"/>
                <w:szCs w:val="24"/>
              </w:rPr>
              <w:t>投标保证担保上传截止时间：</w:t>
            </w: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28</w:t>
            </w:r>
            <w:r>
              <w:rPr>
                <w:rFonts w:hAnsi="宋体" w:eastAsia="宋体" w:cs="宋体"/>
                <w:kern w:val="0"/>
                <w:szCs w:val="24"/>
              </w:rPr>
              <w:t>日</w:t>
            </w:r>
            <w:r>
              <w:rPr>
                <w:rFonts w:hint="eastAsia" w:hAnsi="宋体" w:eastAsia="宋体" w:cs="宋体"/>
                <w:kern w:val="0"/>
                <w:szCs w:val="24"/>
                <w:u w:val="single"/>
                <w:lang w:val="en-US" w:eastAsia="zh-CN"/>
              </w:rPr>
              <w:t>10</w:t>
            </w:r>
            <w:r>
              <w:rPr>
                <w:rFonts w:hAnsi="宋体" w:eastAsia="宋体" w:cs="宋体"/>
                <w:kern w:val="0"/>
                <w:szCs w:val="24"/>
              </w:rPr>
              <w:t>时</w:t>
            </w:r>
            <w:r>
              <w:rPr>
                <w:rFonts w:hint="eastAsia" w:hAnsi="宋体" w:eastAsia="宋体" w:cs="宋体"/>
                <w:kern w:val="0"/>
                <w:szCs w:val="24"/>
                <w:u w:val="single"/>
                <w:lang w:val="en-US" w:eastAsia="zh-CN"/>
              </w:rPr>
              <w:t>00</w:t>
            </w:r>
            <w:r>
              <w:rPr>
                <w:rFonts w:hAnsi="宋体" w:eastAsia="宋体" w:cs="宋体"/>
                <w:kern w:val="0"/>
                <w:szCs w:val="24"/>
              </w:rPr>
              <w:t>分；</w:t>
            </w:r>
          </w:p>
          <w:p w14:paraId="7F742EDF">
            <w:pPr>
              <w:widowControl/>
              <w:snapToGrid w:val="0"/>
              <w:spacing w:line="360" w:lineRule="auto"/>
              <w:jc w:val="left"/>
              <w:rPr>
                <w:rFonts w:hAnsi="宋体" w:eastAsia="宋体" w:cs="宋体"/>
                <w:szCs w:val="24"/>
              </w:rPr>
            </w:pPr>
            <w:r>
              <w:rPr>
                <w:rFonts w:hAnsi="宋体" w:eastAsia="宋体" w:cs="宋体"/>
                <w:kern w:val="0"/>
                <w:szCs w:val="24"/>
              </w:rPr>
              <w:t>投标保证保险投保截止时间：</w:t>
            </w: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28</w:t>
            </w:r>
            <w:r>
              <w:rPr>
                <w:rFonts w:hAnsi="宋体" w:eastAsia="宋体" w:cs="宋体"/>
                <w:kern w:val="0"/>
                <w:szCs w:val="24"/>
              </w:rPr>
              <w:t>日</w:t>
            </w:r>
            <w:r>
              <w:rPr>
                <w:rFonts w:hint="eastAsia" w:hAnsi="宋体" w:eastAsia="宋体" w:cs="宋体"/>
                <w:kern w:val="0"/>
                <w:szCs w:val="24"/>
                <w:u w:val="single"/>
                <w:lang w:val="en-US" w:eastAsia="zh-CN"/>
              </w:rPr>
              <w:t>10</w:t>
            </w:r>
            <w:r>
              <w:rPr>
                <w:rFonts w:hAnsi="宋体" w:eastAsia="宋体" w:cs="宋体"/>
                <w:kern w:val="0"/>
                <w:szCs w:val="24"/>
              </w:rPr>
              <w:t>时</w:t>
            </w:r>
            <w:r>
              <w:rPr>
                <w:rFonts w:hint="eastAsia" w:hAnsi="宋体" w:eastAsia="宋体" w:cs="宋体"/>
                <w:kern w:val="0"/>
                <w:szCs w:val="24"/>
                <w:u w:val="single"/>
                <w:lang w:val="en-US" w:eastAsia="zh-CN"/>
              </w:rPr>
              <w:t>00</w:t>
            </w:r>
            <w:r>
              <w:rPr>
                <w:rFonts w:hAnsi="宋体" w:eastAsia="宋体" w:cs="宋体"/>
                <w:kern w:val="0"/>
                <w:szCs w:val="24"/>
              </w:rPr>
              <w:t>分。</w:t>
            </w:r>
          </w:p>
        </w:tc>
      </w:tr>
      <w:tr w14:paraId="4D9D9E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37"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08B1905A">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6</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1EFB86FE">
            <w:pPr>
              <w:wordWrap w:val="0"/>
              <w:adjustRightInd w:val="0"/>
              <w:snapToGrid w:val="0"/>
              <w:spacing w:line="360" w:lineRule="exact"/>
              <w:jc w:val="center"/>
              <w:rPr>
                <w:rFonts w:hAnsi="宋体" w:eastAsia="宋体" w:cs="宋体"/>
                <w:snapToGrid w:val="0"/>
                <w:kern w:val="0"/>
                <w:szCs w:val="24"/>
              </w:rPr>
            </w:pPr>
            <w:r>
              <w:rPr>
                <w:rFonts w:hAnsi="宋体" w:eastAsia="宋体" w:cs="宋体"/>
                <w:snapToGrid w:val="0"/>
                <w:kern w:val="0"/>
                <w:szCs w:val="24"/>
              </w:rPr>
              <w:t>电子投标</w:t>
            </w:r>
          </w:p>
          <w:p w14:paraId="32767DE4">
            <w:pPr>
              <w:wordWrap w:val="0"/>
              <w:adjustRightInd w:val="0"/>
              <w:snapToGrid w:val="0"/>
              <w:spacing w:line="360" w:lineRule="exact"/>
              <w:jc w:val="center"/>
              <w:rPr>
                <w:rFonts w:hAnsi="宋体" w:eastAsia="宋体" w:cs="宋体"/>
                <w:szCs w:val="24"/>
              </w:rPr>
            </w:pPr>
            <w:r>
              <w:rPr>
                <w:rFonts w:hAnsi="宋体" w:eastAsia="宋体" w:cs="宋体"/>
                <w:snapToGrid w:val="0"/>
                <w:kern w:val="0"/>
                <w:szCs w:val="24"/>
              </w:rPr>
              <w:t xml:space="preserve">截止时间 </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06C84F7A">
            <w:pPr>
              <w:widowControl/>
              <w:snapToGrid w:val="0"/>
              <w:jc w:val="left"/>
              <w:rPr>
                <w:rFonts w:hAnsi="宋体" w:eastAsia="宋体" w:cs="宋体"/>
                <w:szCs w:val="24"/>
              </w:rPr>
            </w:pPr>
            <w:r>
              <w:rPr>
                <w:rFonts w:hint="eastAsia" w:hAnsi="宋体" w:eastAsia="宋体" w:cs="宋体"/>
                <w:kern w:val="0"/>
                <w:szCs w:val="24"/>
                <w:u w:val="single"/>
                <w:lang w:val="en-US" w:eastAsia="zh-CN"/>
              </w:rPr>
              <w:t>2</w:t>
            </w:r>
            <w:r>
              <w:rPr>
                <w:rFonts w:hAnsi="宋体" w:eastAsia="宋体" w:cs="宋体"/>
                <w:kern w:val="0"/>
                <w:szCs w:val="24"/>
                <w:u w:val="single"/>
              </w:rPr>
              <w:t xml:space="preserve">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29</w:t>
            </w:r>
            <w:r>
              <w:rPr>
                <w:rFonts w:hAnsi="宋体" w:eastAsia="宋体" w:cs="宋体"/>
                <w:kern w:val="0"/>
                <w:szCs w:val="24"/>
              </w:rPr>
              <w:t>日</w:t>
            </w:r>
            <w:r>
              <w:rPr>
                <w:rFonts w:hint="eastAsia" w:hAnsi="宋体" w:eastAsia="宋体" w:cs="宋体"/>
                <w:kern w:val="0"/>
                <w:szCs w:val="24"/>
                <w:u w:val="single"/>
                <w:lang w:val="en-US" w:eastAsia="zh-CN"/>
              </w:rPr>
              <w:t>10</w:t>
            </w:r>
            <w:r>
              <w:rPr>
                <w:rFonts w:hAnsi="宋体" w:eastAsia="宋体" w:cs="宋体"/>
                <w:kern w:val="0"/>
                <w:szCs w:val="24"/>
              </w:rPr>
              <w:t>时</w:t>
            </w:r>
            <w:r>
              <w:rPr>
                <w:rFonts w:hint="eastAsia" w:hAnsi="宋体" w:eastAsia="宋体" w:cs="宋体"/>
                <w:kern w:val="0"/>
                <w:szCs w:val="24"/>
                <w:u w:val="single"/>
                <w:lang w:val="en-US" w:eastAsia="zh-CN"/>
              </w:rPr>
              <w:t>00</w:t>
            </w:r>
            <w:r>
              <w:rPr>
                <w:rFonts w:hAnsi="宋体" w:eastAsia="宋体" w:cs="宋体"/>
                <w:kern w:val="0"/>
                <w:szCs w:val="24"/>
              </w:rPr>
              <w:t>分</w:t>
            </w:r>
          </w:p>
        </w:tc>
      </w:tr>
      <w:tr w14:paraId="2AAD2F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19"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32E63533">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7</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4493B63A">
            <w:pPr>
              <w:wordWrap w:val="0"/>
              <w:adjustRightInd w:val="0"/>
              <w:snapToGrid w:val="0"/>
              <w:spacing w:line="360" w:lineRule="exact"/>
              <w:jc w:val="center"/>
              <w:rPr>
                <w:rFonts w:hAnsi="宋体" w:eastAsia="宋体" w:cs="宋体"/>
                <w:snapToGrid w:val="0"/>
                <w:kern w:val="0"/>
                <w:szCs w:val="24"/>
              </w:rPr>
            </w:pPr>
            <w:r>
              <w:rPr>
                <w:rFonts w:hAnsi="宋体" w:eastAsia="宋体" w:cs="宋体"/>
                <w:snapToGrid w:val="0"/>
                <w:kern w:val="0"/>
                <w:szCs w:val="24"/>
              </w:rPr>
              <w:t>投标相关资料（如有）</w:t>
            </w:r>
          </w:p>
          <w:p w14:paraId="71C29A98">
            <w:pPr>
              <w:wordWrap w:val="0"/>
              <w:adjustRightInd w:val="0"/>
              <w:snapToGrid w:val="0"/>
              <w:spacing w:line="360" w:lineRule="exact"/>
              <w:jc w:val="center"/>
              <w:rPr>
                <w:rFonts w:hAnsi="宋体" w:eastAsia="宋体" w:cs="宋体"/>
                <w:szCs w:val="24"/>
              </w:rPr>
            </w:pPr>
            <w:r>
              <w:rPr>
                <w:rFonts w:hAnsi="宋体" w:eastAsia="宋体" w:cs="宋体"/>
                <w:snapToGrid w:val="0"/>
                <w:kern w:val="0"/>
                <w:szCs w:val="24"/>
              </w:rPr>
              <w:t>递交时间</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51B1BD04">
            <w:pPr>
              <w:widowControl/>
              <w:snapToGrid w:val="0"/>
              <w:jc w:val="left"/>
              <w:rPr>
                <w:rFonts w:hAnsi="宋体" w:eastAsia="宋体" w:cs="宋体"/>
                <w:szCs w:val="24"/>
              </w:rPr>
            </w:pP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29</w:t>
            </w:r>
            <w:r>
              <w:rPr>
                <w:rFonts w:hAnsi="宋体" w:eastAsia="宋体" w:cs="宋体"/>
                <w:kern w:val="0"/>
                <w:szCs w:val="24"/>
              </w:rPr>
              <w:t>日</w:t>
            </w:r>
            <w:r>
              <w:rPr>
                <w:rFonts w:hint="eastAsia" w:hAnsi="宋体" w:eastAsia="宋体" w:cs="宋体"/>
                <w:kern w:val="0"/>
                <w:szCs w:val="24"/>
                <w:u w:val="single"/>
                <w:lang w:val="en-US" w:eastAsia="zh-CN"/>
              </w:rPr>
              <w:t>09</w:t>
            </w:r>
            <w:r>
              <w:rPr>
                <w:rFonts w:hAnsi="宋体" w:eastAsia="宋体" w:cs="宋体"/>
                <w:kern w:val="0"/>
                <w:szCs w:val="24"/>
              </w:rPr>
              <w:t>时</w:t>
            </w:r>
            <w:r>
              <w:rPr>
                <w:rFonts w:hint="eastAsia" w:hAnsi="宋体" w:eastAsia="宋体" w:cs="宋体"/>
                <w:kern w:val="0"/>
                <w:szCs w:val="24"/>
                <w:u w:val="single"/>
                <w:lang w:val="en-US" w:eastAsia="zh-CN"/>
              </w:rPr>
              <w:t>30</w:t>
            </w:r>
            <w:r>
              <w:rPr>
                <w:rFonts w:hAnsi="宋体" w:eastAsia="宋体" w:cs="宋体"/>
                <w:kern w:val="0"/>
                <w:szCs w:val="24"/>
              </w:rPr>
              <w:t>分至</w:t>
            </w: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29</w:t>
            </w:r>
            <w:r>
              <w:rPr>
                <w:rFonts w:hAnsi="宋体" w:eastAsia="宋体" w:cs="宋体"/>
                <w:kern w:val="0"/>
                <w:szCs w:val="24"/>
              </w:rPr>
              <w:t>日</w:t>
            </w:r>
            <w:r>
              <w:rPr>
                <w:rFonts w:hint="eastAsia" w:hAnsi="宋体" w:eastAsia="宋体" w:cs="宋体"/>
                <w:kern w:val="0"/>
                <w:szCs w:val="24"/>
                <w:u w:val="single"/>
                <w:lang w:val="en-US" w:eastAsia="zh-CN"/>
              </w:rPr>
              <w:t>10</w:t>
            </w:r>
            <w:r>
              <w:rPr>
                <w:rFonts w:hAnsi="宋体" w:eastAsia="宋体" w:cs="宋体"/>
                <w:kern w:val="0"/>
                <w:szCs w:val="24"/>
              </w:rPr>
              <w:t>时</w:t>
            </w:r>
            <w:r>
              <w:rPr>
                <w:rFonts w:hint="eastAsia" w:hAnsi="宋体" w:eastAsia="宋体" w:cs="宋体"/>
                <w:kern w:val="0"/>
                <w:szCs w:val="24"/>
                <w:u w:val="single"/>
                <w:lang w:val="en-US" w:eastAsia="zh-CN"/>
              </w:rPr>
              <w:t>00</w:t>
            </w:r>
            <w:r>
              <w:rPr>
                <w:rFonts w:hAnsi="宋体" w:eastAsia="宋体" w:cs="宋体"/>
                <w:kern w:val="0"/>
                <w:szCs w:val="24"/>
              </w:rPr>
              <w:t>分</w:t>
            </w:r>
          </w:p>
        </w:tc>
      </w:tr>
      <w:tr w14:paraId="4E3C2E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19"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510E994B">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8</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381BAE55">
            <w:pPr>
              <w:wordWrap w:val="0"/>
              <w:adjustRightInd w:val="0"/>
              <w:snapToGrid w:val="0"/>
              <w:spacing w:line="360" w:lineRule="exact"/>
              <w:jc w:val="center"/>
              <w:rPr>
                <w:rFonts w:hAnsi="宋体" w:eastAsia="宋体" w:cs="宋体"/>
                <w:snapToGrid w:val="0"/>
                <w:kern w:val="0"/>
                <w:szCs w:val="24"/>
              </w:rPr>
            </w:pPr>
            <w:r>
              <w:rPr>
                <w:rFonts w:hAnsi="宋体" w:eastAsia="宋体" w:cs="宋体"/>
                <w:snapToGrid w:val="0"/>
                <w:kern w:val="0"/>
                <w:szCs w:val="24"/>
              </w:rPr>
              <w:t>投标相关资料（如有）</w:t>
            </w:r>
          </w:p>
          <w:p w14:paraId="18FBD5C9">
            <w:pPr>
              <w:wordWrap w:val="0"/>
              <w:adjustRightInd w:val="0"/>
              <w:snapToGrid w:val="0"/>
              <w:spacing w:line="360" w:lineRule="exact"/>
              <w:jc w:val="center"/>
              <w:rPr>
                <w:rFonts w:hAnsi="宋体" w:eastAsia="宋体" w:cs="宋体"/>
                <w:szCs w:val="24"/>
              </w:rPr>
            </w:pPr>
            <w:r>
              <w:rPr>
                <w:rFonts w:hAnsi="宋体" w:eastAsia="宋体" w:cs="宋体"/>
                <w:snapToGrid w:val="0"/>
                <w:kern w:val="0"/>
                <w:szCs w:val="24"/>
              </w:rPr>
              <w:t>递交地点</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104550DF">
            <w:pPr>
              <w:wordWrap w:val="0"/>
              <w:adjustRightInd w:val="0"/>
              <w:snapToGrid w:val="0"/>
              <w:spacing w:line="400" w:lineRule="exact"/>
              <w:jc w:val="left"/>
              <w:rPr>
                <w:rFonts w:hAnsi="宋体" w:eastAsia="宋体" w:cs="宋体"/>
                <w:szCs w:val="24"/>
              </w:rPr>
            </w:pPr>
            <w:r>
              <w:rPr>
                <w:rFonts w:hAnsi="宋体" w:eastAsia="宋体" w:cs="宋体"/>
                <w:szCs w:val="24"/>
                <w:u w:val="none"/>
              </w:rPr>
              <w:t>递交场所</w:t>
            </w:r>
            <w:r>
              <w:rPr>
                <w:szCs w:val="24"/>
              </w:rPr>
              <w:t>：</w:t>
            </w:r>
            <w:r>
              <w:rPr>
                <w:rFonts w:hAnsi="宋体" w:eastAsia="宋体" w:cs="宋体"/>
                <w:szCs w:val="24"/>
                <w:u w:val="single"/>
              </w:rPr>
              <w:t>韶关市公共资源交易中心新丰分中心</w:t>
            </w:r>
            <w:r>
              <w:rPr>
                <w:rFonts w:hAnsi="宋体" w:eastAsia="宋体" w:cs="宋体"/>
                <w:szCs w:val="24"/>
              </w:rPr>
              <w:t>，地址：</w:t>
            </w:r>
            <w:r>
              <w:rPr>
                <w:rFonts w:asciiTheme="minorEastAsia" w:hAnsiTheme="minorEastAsia" w:eastAsiaTheme="minorEastAsia" w:cstheme="minorEastAsia"/>
                <w:snapToGrid w:val="0"/>
                <w:kern w:val="0"/>
                <w:szCs w:val="24"/>
                <w:lang w:bidi="ar"/>
              </w:rPr>
              <w:t>新丰县丰城街道金园路</w:t>
            </w:r>
            <w:r>
              <w:rPr>
                <w:rFonts w:hint="eastAsia" w:asciiTheme="minorEastAsia" w:hAnsiTheme="minorEastAsia" w:eastAsiaTheme="minorEastAsia" w:cstheme="minorEastAsia"/>
                <w:snapToGrid w:val="0"/>
                <w:kern w:val="0"/>
                <w:szCs w:val="24"/>
                <w:lang w:val="en-US" w:eastAsia="zh-CN" w:bidi="ar"/>
              </w:rPr>
              <w:t>53</w:t>
            </w:r>
            <w:r>
              <w:rPr>
                <w:rFonts w:asciiTheme="minorEastAsia" w:hAnsiTheme="minorEastAsia" w:eastAsiaTheme="minorEastAsia" w:cstheme="minorEastAsia"/>
                <w:snapToGrid w:val="0"/>
                <w:kern w:val="0"/>
                <w:szCs w:val="24"/>
                <w:lang w:bidi="ar"/>
              </w:rPr>
              <w:t>号行政服务中心5楼（韶关市公共资源交易中心新丰分中心）</w:t>
            </w:r>
            <w:r>
              <w:rPr>
                <w:rFonts w:hAnsi="宋体" w:eastAsia="宋体" w:cs="宋体"/>
                <w:szCs w:val="24"/>
                <w:u w:val="single"/>
              </w:rPr>
              <w:t>具体房间号以当日现场通知为准。</w:t>
            </w:r>
          </w:p>
        </w:tc>
      </w:tr>
      <w:tr w14:paraId="5B2658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9"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75C1E3BA">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9</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2A4A4491">
            <w:pPr>
              <w:wordWrap w:val="0"/>
              <w:adjustRightInd w:val="0"/>
              <w:snapToGrid w:val="0"/>
              <w:spacing w:line="360" w:lineRule="exact"/>
              <w:jc w:val="center"/>
              <w:rPr>
                <w:rFonts w:hAnsi="宋体" w:eastAsia="宋体" w:cs="宋体"/>
                <w:szCs w:val="24"/>
              </w:rPr>
            </w:pPr>
            <w:r>
              <w:rPr>
                <w:rFonts w:hAnsi="宋体" w:eastAsia="宋体" w:cs="宋体"/>
                <w:snapToGrid w:val="0"/>
                <w:kern w:val="0"/>
                <w:szCs w:val="24"/>
              </w:rPr>
              <w:t xml:space="preserve">开标时间 </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7E353B06">
            <w:pPr>
              <w:wordWrap w:val="0"/>
              <w:adjustRightInd w:val="0"/>
              <w:snapToGrid w:val="0"/>
              <w:spacing w:line="400" w:lineRule="exact"/>
              <w:jc w:val="left"/>
              <w:rPr>
                <w:rFonts w:hAnsi="宋体" w:eastAsia="宋体" w:cs="宋体"/>
                <w:szCs w:val="24"/>
              </w:rPr>
            </w:pPr>
            <w:r>
              <w:rPr>
                <w:rFonts w:hAnsi="宋体" w:eastAsia="宋体" w:cs="宋体"/>
                <w:kern w:val="0"/>
                <w:szCs w:val="24"/>
                <w:u w:val="single"/>
              </w:rPr>
              <w:t xml:space="preserve">2025 </w:t>
            </w:r>
            <w:r>
              <w:rPr>
                <w:rFonts w:hAnsi="宋体" w:eastAsia="宋体" w:cs="宋体"/>
                <w:kern w:val="0"/>
                <w:szCs w:val="24"/>
              </w:rPr>
              <w:t>年</w:t>
            </w:r>
            <w:r>
              <w:rPr>
                <w:rFonts w:hint="eastAsia" w:hAnsi="宋体" w:eastAsia="宋体" w:cs="宋体"/>
                <w:kern w:val="0"/>
                <w:szCs w:val="24"/>
                <w:u w:val="single"/>
                <w:lang w:val="en-US" w:eastAsia="zh-CN"/>
              </w:rPr>
              <w:t>04</w:t>
            </w:r>
            <w:r>
              <w:rPr>
                <w:rFonts w:hAnsi="宋体" w:eastAsia="宋体" w:cs="宋体"/>
                <w:kern w:val="0"/>
                <w:szCs w:val="24"/>
              </w:rPr>
              <w:t>月</w:t>
            </w:r>
            <w:r>
              <w:rPr>
                <w:rFonts w:hint="eastAsia" w:hAnsi="宋体" w:eastAsia="宋体" w:cs="宋体"/>
                <w:kern w:val="0"/>
                <w:szCs w:val="24"/>
                <w:u w:val="single"/>
                <w:lang w:val="en-US" w:eastAsia="zh-CN"/>
              </w:rPr>
              <w:t>29</w:t>
            </w:r>
            <w:r>
              <w:rPr>
                <w:rFonts w:hAnsi="宋体" w:eastAsia="宋体" w:cs="宋体"/>
                <w:kern w:val="0"/>
                <w:szCs w:val="24"/>
              </w:rPr>
              <w:t>日</w:t>
            </w:r>
            <w:r>
              <w:rPr>
                <w:rFonts w:hint="eastAsia" w:hAnsi="宋体" w:eastAsia="宋体" w:cs="宋体"/>
                <w:kern w:val="0"/>
                <w:szCs w:val="24"/>
                <w:u w:val="single"/>
                <w:lang w:val="en-US" w:eastAsia="zh-CN"/>
              </w:rPr>
              <w:t>10</w:t>
            </w:r>
            <w:r>
              <w:rPr>
                <w:rFonts w:hAnsi="宋体" w:eastAsia="宋体" w:cs="宋体"/>
                <w:kern w:val="0"/>
                <w:szCs w:val="24"/>
              </w:rPr>
              <w:t>时</w:t>
            </w:r>
            <w:r>
              <w:rPr>
                <w:rFonts w:hint="eastAsia" w:hAnsi="宋体" w:eastAsia="宋体" w:cs="宋体"/>
                <w:kern w:val="0"/>
                <w:szCs w:val="24"/>
                <w:u w:val="single"/>
                <w:lang w:val="en-US" w:eastAsia="zh-CN"/>
              </w:rPr>
              <w:t>00</w:t>
            </w:r>
            <w:r>
              <w:rPr>
                <w:rFonts w:hAnsi="宋体" w:eastAsia="宋体" w:cs="宋体"/>
                <w:kern w:val="0"/>
                <w:szCs w:val="24"/>
              </w:rPr>
              <w:t>分</w:t>
            </w:r>
          </w:p>
        </w:tc>
      </w:tr>
      <w:tr w14:paraId="425A9C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28" w:hRule="exact"/>
        </w:trPr>
        <w:tc>
          <w:tcPr>
            <w:tcW w:w="504" w:type="dxa"/>
            <w:tcBorders>
              <w:top w:val="single" w:color="000000" w:sz="4" w:space="0"/>
              <w:left w:val="single" w:color="000000" w:sz="4" w:space="0"/>
              <w:bottom w:val="single" w:color="000000" w:sz="4" w:space="0"/>
              <w:right w:val="single" w:color="000000" w:sz="4" w:space="0"/>
              <w:tl2br w:val="nil"/>
              <w:tr2bl w:val="nil"/>
            </w:tcBorders>
            <w:vAlign w:val="center"/>
          </w:tcPr>
          <w:p w14:paraId="692D7C58">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10</w:t>
            </w:r>
          </w:p>
        </w:tc>
        <w:tc>
          <w:tcPr>
            <w:tcW w:w="1610" w:type="dxa"/>
            <w:tcBorders>
              <w:top w:val="single" w:color="000000" w:sz="4" w:space="0"/>
              <w:left w:val="single" w:color="000000" w:sz="4" w:space="0"/>
              <w:bottom w:val="single" w:color="000000" w:sz="4" w:space="0"/>
              <w:right w:val="single" w:color="000000" w:sz="4" w:space="0"/>
              <w:tl2br w:val="nil"/>
              <w:tr2bl w:val="nil"/>
            </w:tcBorders>
            <w:vAlign w:val="center"/>
          </w:tcPr>
          <w:p w14:paraId="1108216D">
            <w:pPr>
              <w:wordWrap w:val="0"/>
              <w:adjustRightInd w:val="0"/>
              <w:snapToGrid w:val="0"/>
              <w:spacing w:line="360" w:lineRule="exact"/>
              <w:jc w:val="center"/>
              <w:rPr>
                <w:rFonts w:hAnsi="宋体" w:eastAsia="宋体" w:cs="宋体"/>
                <w:szCs w:val="24"/>
              </w:rPr>
            </w:pPr>
            <w:r>
              <w:rPr>
                <w:rFonts w:hAnsi="宋体" w:eastAsia="宋体" w:cs="宋体"/>
                <w:snapToGrid w:val="0"/>
                <w:kern w:val="0"/>
                <w:szCs w:val="24"/>
              </w:rPr>
              <w:t xml:space="preserve">开标地点 </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7FF703D2">
            <w:pPr>
              <w:wordWrap w:val="0"/>
              <w:adjustRightInd w:val="0"/>
              <w:snapToGrid w:val="0"/>
              <w:spacing w:line="400" w:lineRule="exact"/>
              <w:ind w:firstLine="240" w:firstLineChars="100"/>
              <w:jc w:val="left"/>
              <w:rPr>
                <w:rFonts w:hAnsi="宋体" w:eastAsia="宋体" w:cs="宋体"/>
                <w:szCs w:val="24"/>
              </w:rPr>
            </w:pPr>
            <w:r>
              <w:rPr>
                <w:szCs w:val="24"/>
              </w:rPr>
              <w:t>开标场所：</w:t>
            </w:r>
            <w:r>
              <w:rPr>
                <w:rFonts w:hAnsi="宋体" w:eastAsia="宋体" w:cs="宋体"/>
                <w:szCs w:val="24"/>
                <w:u w:val="single"/>
              </w:rPr>
              <w:t>韶关市公共资源交易中心新丰分中心</w:t>
            </w:r>
            <w:r>
              <w:rPr>
                <w:rFonts w:hAnsi="宋体" w:eastAsia="宋体" w:cs="宋体"/>
                <w:szCs w:val="24"/>
              </w:rPr>
              <w:t>，地址：</w:t>
            </w:r>
            <w:r>
              <w:rPr>
                <w:rFonts w:asciiTheme="minorEastAsia" w:hAnsiTheme="minorEastAsia" w:eastAsiaTheme="minorEastAsia" w:cstheme="minorEastAsia"/>
                <w:snapToGrid w:val="0"/>
                <w:kern w:val="0"/>
                <w:szCs w:val="24"/>
                <w:lang w:bidi="ar"/>
              </w:rPr>
              <w:t>新丰县丰城街道金园路</w:t>
            </w:r>
            <w:r>
              <w:rPr>
                <w:rFonts w:hint="eastAsia" w:asciiTheme="minorEastAsia" w:hAnsiTheme="minorEastAsia" w:eastAsiaTheme="minorEastAsia" w:cstheme="minorEastAsia"/>
                <w:snapToGrid w:val="0"/>
                <w:kern w:val="0"/>
                <w:szCs w:val="24"/>
                <w:lang w:val="en-US" w:eastAsia="zh-CN" w:bidi="ar"/>
              </w:rPr>
              <w:t>53</w:t>
            </w:r>
            <w:r>
              <w:rPr>
                <w:rFonts w:asciiTheme="minorEastAsia" w:hAnsiTheme="minorEastAsia" w:eastAsiaTheme="minorEastAsia" w:cstheme="minorEastAsia"/>
                <w:snapToGrid w:val="0"/>
                <w:kern w:val="0"/>
                <w:szCs w:val="24"/>
                <w:lang w:bidi="ar"/>
              </w:rPr>
              <w:t>号行政服务中心5楼（韶关市公共资源交易中心新丰分中心）</w:t>
            </w:r>
            <w:r>
              <w:rPr>
                <w:rFonts w:hAnsi="宋体" w:eastAsia="宋体" w:cs="宋体"/>
                <w:szCs w:val="24"/>
                <w:u w:val="single"/>
              </w:rPr>
              <w:t>具体房间号以当日现场通知为准。</w:t>
            </w:r>
          </w:p>
        </w:tc>
      </w:tr>
      <w:tr w14:paraId="4978AC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1" w:hRule="exact"/>
        </w:trPr>
        <w:tc>
          <w:tcPr>
            <w:tcW w:w="2114"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2930F013">
            <w:pPr>
              <w:pStyle w:val="37"/>
              <w:wordWrap w:val="0"/>
              <w:adjustRightInd w:val="0"/>
              <w:snapToGrid w:val="0"/>
              <w:spacing w:line="360" w:lineRule="exact"/>
              <w:jc w:val="center"/>
              <w:rPr>
                <w:rFonts w:hint="eastAsia" w:ascii="宋体" w:hAnsi="宋体" w:cs="宋体"/>
                <w:sz w:val="24"/>
              </w:rPr>
            </w:pPr>
            <w:r>
              <w:rPr>
                <w:rFonts w:hint="eastAsia" w:ascii="宋体" w:hAnsi="宋体" w:cs="宋体"/>
                <w:snapToGrid w:val="0"/>
                <w:kern w:val="0"/>
                <w:sz w:val="24"/>
              </w:rPr>
              <w:t>备注</w:t>
            </w:r>
          </w:p>
        </w:tc>
        <w:tc>
          <w:tcPr>
            <w:tcW w:w="7585" w:type="dxa"/>
            <w:tcBorders>
              <w:top w:val="single" w:color="000000" w:sz="4" w:space="0"/>
              <w:left w:val="single" w:color="000000" w:sz="4" w:space="0"/>
              <w:bottom w:val="single" w:color="000000" w:sz="4" w:space="0"/>
              <w:right w:val="single" w:color="000000" w:sz="4" w:space="0"/>
              <w:tl2br w:val="nil"/>
              <w:tr2bl w:val="nil"/>
            </w:tcBorders>
            <w:vAlign w:val="center"/>
          </w:tcPr>
          <w:p w14:paraId="5576CBE3">
            <w:pPr>
              <w:pStyle w:val="37"/>
              <w:wordWrap w:val="0"/>
              <w:adjustRightInd w:val="0"/>
              <w:snapToGrid w:val="0"/>
              <w:spacing w:line="400" w:lineRule="exact"/>
              <w:ind w:firstLine="240" w:firstLineChars="100"/>
              <w:jc w:val="left"/>
              <w:rPr>
                <w:rFonts w:hint="eastAsia" w:ascii="宋体" w:hAnsi="宋体" w:cs="宋体"/>
                <w:sz w:val="24"/>
              </w:rPr>
            </w:pPr>
            <w:r>
              <w:rPr>
                <w:rFonts w:hint="eastAsia" w:ascii="宋体" w:hAnsi="宋体" w:cs="宋体"/>
                <w:snapToGrid w:val="0"/>
                <w:kern w:val="0"/>
                <w:sz w:val="24"/>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3570B167">
      <w:pPr>
        <w:pStyle w:val="35"/>
        <w:keepNext/>
        <w:keepLines/>
        <w:tabs>
          <w:tab w:val="left" w:pos="885"/>
        </w:tabs>
        <w:ind w:left="885" w:hanging="885"/>
        <w:jc w:val="center"/>
        <w:outlineLvl w:val="1"/>
        <w:rPr>
          <w:rFonts w:hint="eastAsia" w:asciiTheme="minorEastAsia" w:hAnsiTheme="minorEastAsia" w:eastAsiaTheme="minorEastAsia" w:cstheme="minorEastAsia"/>
          <w:b/>
          <w:kern w:val="44"/>
          <w:sz w:val="36"/>
          <w:szCs w:val="36"/>
        </w:rPr>
      </w:pPr>
      <w:r>
        <w:rPr>
          <w:rFonts w:hint="eastAsia" w:asciiTheme="minorEastAsia" w:hAnsiTheme="minorEastAsia" w:eastAsiaTheme="minorEastAsia" w:cstheme="minorEastAsia"/>
          <w:sz w:val="24"/>
        </w:rPr>
        <w:br w:type="page"/>
      </w:r>
      <w:bookmarkStart w:id="12" w:name="_Hlt69669159"/>
      <w:bookmarkEnd w:id="12"/>
      <w:bookmarkStart w:id="13" w:name="_Toc21348"/>
      <w:bookmarkStart w:id="14" w:name="_Toc30976"/>
      <w:bookmarkStart w:id="15" w:name="_Hlt69698754"/>
      <w:bookmarkStart w:id="16" w:name="_Hlt69698705"/>
      <w:r>
        <w:rPr>
          <w:rFonts w:hint="eastAsia" w:asciiTheme="minorEastAsia" w:hAnsiTheme="minorEastAsia" w:eastAsiaTheme="minorEastAsia" w:cstheme="minorEastAsia"/>
          <w:b/>
          <w:sz w:val="36"/>
          <w:szCs w:val="36"/>
        </w:rPr>
        <w:t>第</w:t>
      </w:r>
      <w:r>
        <w:rPr>
          <w:rFonts w:hint="eastAsia" w:asciiTheme="minorEastAsia" w:hAnsiTheme="minorEastAsia" w:eastAsiaTheme="minorEastAsia" w:cstheme="minorEastAsia"/>
          <w:b/>
          <w:kern w:val="44"/>
          <w:sz w:val="36"/>
          <w:szCs w:val="36"/>
        </w:rPr>
        <w:t>三节</w:t>
      </w:r>
      <w:bookmarkStart w:id="17" w:name="_Hlt87793819"/>
      <w:bookmarkEnd w:id="17"/>
      <w:r>
        <w:rPr>
          <w:rFonts w:hint="eastAsia" w:asciiTheme="minorEastAsia" w:hAnsiTheme="minorEastAsia" w:eastAsiaTheme="minorEastAsia" w:cstheme="minorEastAsia"/>
          <w:b/>
          <w:kern w:val="44"/>
          <w:sz w:val="36"/>
          <w:szCs w:val="36"/>
        </w:rPr>
        <w:t xml:space="preserve"> 投标须知正文</w:t>
      </w:r>
      <w:bookmarkEnd w:id="13"/>
      <w:bookmarkEnd w:id="14"/>
    </w:p>
    <w:bookmarkEnd w:id="15"/>
    <w:bookmarkEnd w:id="16"/>
    <w:p w14:paraId="3F528B78">
      <w:pPr>
        <w:pStyle w:val="7"/>
        <w:spacing w:line="400" w:lineRule="exact"/>
        <w:rPr>
          <w:rFonts w:hint="eastAsia" w:asciiTheme="minorEastAsia" w:hAnsiTheme="minorEastAsia" w:eastAsiaTheme="minorEastAsia" w:cstheme="minorEastAsia"/>
          <w:sz w:val="24"/>
          <w:szCs w:val="28"/>
          <w:u w:val="single"/>
        </w:rPr>
      </w:pPr>
    </w:p>
    <w:p w14:paraId="5CBD4645">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kern w:val="0"/>
          <w:szCs w:val="24"/>
          <w:u w:val="single"/>
        </w:rPr>
        <w:t>新丰县丰城街道105国道龙江横江路段沿线整治和基础设施完善项目</w:t>
      </w:r>
      <w:r>
        <w:rPr>
          <w:rFonts w:asciiTheme="minorEastAsia" w:hAnsiTheme="minorEastAsia" w:eastAsiaTheme="minorEastAsia" w:cstheme="minorEastAsia"/>
          <w:snapToGrid w:val="0"/>
          <w:kern w:val="0"/>
          <w:szCs w:val="24"/>
        </w:rPr>
        <w:t>业经</w:t>
      </w:r>
      <w:r>
        <w:rPr>
          <w:rFonts w:asciiTheme="minorEastAsia" w:hAnsiTheme="minorEastAsia" w:eastAsiaTheme="minorEastAsia" w:cstheme="minorEastAsia"/>
          <w:snapToGrid w:val="0"/>
          <w:kern w:val="0"/>
          <w:u w:val="single"/>
        </w:rPr>
        <w:t>新丰县发展和改革局</w:t>
      </w:r>
      <w:r>
        <w:rPr>
          <w:rFonts w:asciiTheme="minorEastAsia" w:hAnsiTheme="minorEastAsia" w:eastAsiaTheme="minorEastAsia" w:cstheme="minorEastAsia"/>
          <w:snapToGrid w:val="0"/>
          <w:kern w:val="0"/>
          <w:szCs w:val="24"/>
          <w:u w:val="single"/>
        </w:rPr>
        <w:t>以《</w:t>
      </w:r>
      <w:r>
        <w:rPr>
          <w:rFonts w:hAnsi="宋体" w:eastAsia="宋体" w:cs="宋体"/>
          <w:snapToGrid w:val="0"/>
          <w:kern w:val="0"/>
          <w:u w:val="single"/>
        </w:rPr>
        <w:t>新丰县发展和改革局关于新丰县丰城街道105国道龙江横江路段沿线整治和基础设施完善项目可行性研究报告的批复</w:t>
      </w:r>
      <w:r>
        <w:rPr>
          <w:rFonts w:asciiTheme="minorEastAsia" w:hAnsiTheme="minorEastAsia" w:eastAsiaTheme="minorEastAsia" w:cstheme="minorEastAsia"/>
          <w:snapToGrid w:val="0"/>
          <w:kern w:val="0"/>
          <w:szCs w:val="24"/>
          <w:u w:val="single"/>
        </w:rPr>
        <w:t>》（新丰发改投审〔2024〕227号）</w:t>
      </w:r>
      <w:r>
        <w:rPr>
          <w:rFonts w:asciiTheme="minorEastAsia" w:hAnsiTheme="minorEastAsia" w:eastAsiaTheme="minorEastAsia" w:cstheme="minorEastAsia"/>
          <w:snapToGrid w:val="0"/>
          <w:kern w:val="0"/>
          <w:szCs w:val="24"/>
        </w:rPr>
        <w:t>批准建设，项目代码为</w:t>
      </w:r>
      <w:r>
        <w:rPr>
          <w:rFonts w:asciiTheme="minorEastAsia" w:hAnsiTheme="minorEastAsia" w:eastAsiaTheme="minorEastAsia" w:cstheme="minorEastAsia"/>
          <w:szCs w:val="24"/>
          <w:u w:val="single"/>
        </w:rPr>
        <w:t>2412-440233-04-01-313793</w:t>
      </w:r>
      <w:r>
        <w:rPr>
          <w:rFonts w:asciiTheme="minorEastAsia" w:hAnsiTheme="minorEastAsia" w:eastAsiaTheme="minorEastAsia" w:cstheme="minorEastAsia"/>
          <w:snapToGrid w:val="0"/>
          <w:kern w:val="0"/>
          <w:szCs w:val="24"/>
        </w:rPr>
        <w:t>。</w:t>
      </w:r>
      <w:r>
        <w:rPr>
          <w:rFonts w:asciiTheme="minorEastAsia" w:hAnsiTheme="minorEastAsia" w:eastAsiaTheme="minorEastAsia" w:cstheme="minorEastAsia"/>
        </w:rPr>
        <w:t>项目</w:t>
      </w:r>
      <w:r>
        <w:rPr>
          <w:rFonts w:asciiTheme="minorEastAsia" w:hAnsiTheme="minorEastAsia" w:eastAsiaTheme="minorEastAsia" w:cstheme="minorEastAsia"/>
          <w:snapToGrid w:val="0"/>
          <w:kern w:val="0"/>
          <w:szCs w:val="24"/>
        </w:rPr>
        <w:t>业主为</w:t>
      </w:r>
      <w:r>
        <w:rPr>
          <w:rFonts w:asciiTheme="minorEastAsia" w:hAnsiTheme="minorEastAsia" w:eastAsiaTheme="minorEastAsia" w:cstheme="minorEastAsia"/>
          <w:snapToGrid w:val="0"/>
          <w:kern w:val="0"/>
          <w:szCs w:val="24"/>
          <w:u w:val="single"/>
        </w:rPr>
        <w:t>新丰县人民政府丰城街道办事处</w:t>
      </w:r>
      <w:r>
        <w:rPr>
          <w:rFonts w:asciiTheme="minorEastAsia" w:hAnsiTheme="minorEastAsia" w:eastAsiaTheme="minorEastAsia" w:cstheme="minorEastAsia"/>
          <w:snapToGrid w:val="0"/>
          <w:kern w:val="0"/>
          <w:szCs w:val="24"/>
        </w:rPr>
        <w:t>，建设资金来自</w:t>
      </w:r>
      <w:r>
        <w:rPr>
          <w:rFonts w:hAnsi="宋体" w:eastAsia="宋体" w:cs="宋体"/>
          <w:snapToGrid w:val="0"/>
          <w:kern w:val="0"/>
          <w:u w:val="single"/>
        </w:rPr>
        <w:t>由上级资金和县级财政资金安排解决，100%</w:t>
      </w:r>
      <w:r>
        <w:rPr>
          <w:rFonts w:hAnsi="宋体" w:eastAsia="宋体" w:cs="宋体"/>
          <w:snapToGrid w:val="0"/>
          <w:kern w:val="0"/>
        </w:rPr>
        <w:t xml:space="preserve">  </w:t>
      </w:r>
      <w:r>
        <w:rPr>
          <w:rFonts w:asciiTheme="minorEastAsia" w:hAnsiTheme="minorEastAsia" w:eastAsiaTheme="minorEastAsia" w:cstheme="minorEastAsia"/>
          <w:snapToGrid w:val="0"/>
          <w:kern w:val="0"/>
          <w:szCs w:val="24"/>
        </w:rPr>
        <w:t>，出资比例</w:t>
      </w:r>
      <w:r>
        <w:rPr>
          <w:rFonts w:asciiTheme="minorEastAsia" w:hAnsiTheme="minorEastAsia" w:eastAsiaTheme="minorEastAsia" w:cstheme="minorEastAsia"/>
          <w:snapToGrid w:val="0"/>
          <w:kern w:val="0"/>
          <w:szCs w:val="24"/>
          <w:u w:val="single"/>
        </w:rPr>
        <w:t>100%</w:t>
      </w:r>
      <w:r>
        <w:rPr>
          <w:rFonts w:asciiTheme="minorEastAsia" w:hAnsiTheme="minorEastAsia" w:eastAsiaTheme="minorEastAsia" w:cstheme="minorEastAsia"/>
          <w:snapToGrid w:val="0"/>
          <w:kern w:val="0"/>
          <w:szCs w:val="24"/>
        </w:rPr>
        <w:t>，招标人为</w:t>
      </w:r>
      <w:r>
        <w:rPr>
          <w:rFonts w:asciiTheme="minorEastAsia" w:hAnsiTheme="minorEastAsia" w:eastAsiaTheme="minorEastAsia" w:cstheme="minorEastAsia"/>
          <w:snapToGrid w:val="0"/>
          <w:kern w:val="0"/>
          <w:u w:val="single"/>
        </w:rPr>
        <w:t>新丰县人民政府丰城街道办事处</w:t>
      </w:r>
      <w:r>
        <w:rPr>
          <w:rFonts w:asciiTheme="minorEastAsia" w:hAnsiTheme="minorEastAsia" w:eastAsiaTheme="minorEastAsia" w:cstheme="minorEastAsia"/>
          <w:snapToGrid w:val="0"/>
          <w:kern w:val="0"/>
          <w:szCs w:val="24"/>
        </w:rPr>
        <w:t>，招标代理机构为</w:t>
      </w:r>
      <w:r>
        <w:rPr>
          <w:rFonts w:asciiTheme="minorEastAsia" w:hAnsiTheme="minorEastAsia" w:eastAsiaTheme="minorEastAsia" w:cstheme="minorEastAsia"/>
          <w:kern w:val="0"/>
          <w:u w:val="single"/>
        </w:rPr>
        <w:t>韶关市北桓工程咨询有限公司</w:t>
      </w:r>
      <w:r>
        <w:rPr>
          <w:rFonts w:asciiTheme="minorEastAsia" w:hAnsiTheme="minorEastAsia" w:eastAsiaTheme="minorEastAsia" w:cstheme="minorEastAsia"/>
          <w:snapToGrid w:val="0"/>
          <w:kern w:val="0"/>
          <w:szCs w:val="24"/>
        </w:rPr>
        <w:t>。项目已具备招标条件，现对该项目的</w:t>
      </w:r>
      <w:r>
        <w:rPr>
          <w:rFonts w:asciiTheme="minorEastAsia" w:hAnsiTheme="minorEastAsia" w:eastAsiaTheme="minorEastAsia" w:cstheme="minorEastAsia"/>
          <w:snapToGrid w:val="0"/>
          <w:kern w:val="0"/>
          <w:szCs w:val="24"/>
          <w:u w:val="single"/>
        </w:rPr>
        <w:t>设计施工总承包</w:t>
      </w:r>
      <w:r>
        <w:rPr>
          <w:rFonts w:asciiTheme="minorEastAsia" w:hAnsiTheme="minorEastAsia" w:eastAsiaTheme="minorEastAsia" w:cstheme="minorEastAsia"/>
          <w:snapToGrid w:val="0"/>
          <w:kern w:val="0"/>
          <w:szCs w:val="24"/>
        </w:rPr>
        <w:t>进行公开招标。</w:t>
      </w:r>
    </w:p>
    <w:p w14:paraId="643DB070">
      <w:pPr>
        <w:pStyle w:val="36"/>
        <w:keepNext/>
        <w:keepLines/>
        <w:ind w:firstLine="480"/>
        <w:jc w:val="both"/>
        <w:rPr>
          <w:rFonts w:hint="eastAsia" w:asciiTheme="minorEastAsia" w:hAnsiTheme="minorEastAsia" w:eastAsiaTheme="minorEastAsia" w:cstheme="minorEastAsia"/>
          <w:b/>
          <w:bCs/>
          <w:snapToGrid w:val="0"/>
        </w:rPr>
      </w:pPr>
      <w:bookmarkStart w:id="18" w:name="_Hlt74474735"/>
      <w:bookmarkEnd w:id="18"/>
      <w:bookmarkStart w:id="19" w:name="_Hlt109358474"/>
      <w:bookmarkEnd w:id="19"/>
      <w:bookmarkStart w:id="20" w:name="_Hlt87948285"/>
      <w:bookmarkEnd w:id="20"/>
      <w:bookmarkStart w:id="21" w:name="_Hlt78795222"/>
      <w:bookmarkEnd w:id="21"/>
      <w:bookmarkStart w:id="22" w:name="_Hlt119991399"/>
      <w:bookmarkEnd w:id="22"/>
      <w:bookmarkStart w:id="23" w:name="_Toc23054"/>
      <w:bookmarkStart w:id="24" w:name="_Toc31976"/>
      <w:bookmarkStart w:id="25" w:name="_Toc25252"/>
      <w:bookmarkStart w:id="26" w:name="_Toc4081"/>
      <w:bookmarkStart w:id="27" w:name="_Toc30732"/>
      <w:bookmarkStart w:id="28" w:name="_Toc18453"/>
      <w:bookmarkStart w:id="29" w:name="_Toc22295"/>
      <w:bookmarkStart w:id="30" w:name="_Toc574"/>
      <w:bookmarkStart w:id="31" w:name="_Toc21992"/>
      <w:bookmarkStart w:id="32" w:name="_Toc24563"/>
      <w:r>
        <w:rPr>
          <w:rFonts w:hint="eastAsia" w:asciiTheme="minorEastAsia" w:hAnsiTheme="minorEastAsia" w:eastAsiaTheme="minorEastAsia" w:cstheme="minorEastAsia"/>
          <w:b/>
          <w:kern w:val="2"/>
        </w:rPr>
        <w:t>1、 工程概况综合说明</w:t>
      </w:r>
      <w:bookmarkEnd w:id="23"/>
      <w:bookmarkEnd w:id="24"/>
      <w:bookmarkEnd w:id="25"/>
      <w:bookmarkEnd w:id="26"/>
      <w:bookmarkEnd w:id="27"/>
      <w:bookmarkEnd w:id="28"/>
      <w:bookmarkEnd w:id="29"/>
      <w:bookmarkEnd w:id="30"/>
      <w:bookmarkEnd w:id="31"/>
      <w:bookmarkEnd w:id="32"/>
    </w:p>
    <w:p w14:paraId="2DA69DB1">
      <w:pPr>
        <w:pStyle w:val="37"/>
        <w:wordWrap w:val="0"/>
        <w:adjustRightInd w:val="0"/>
        <w:snapToGrid w:val="0"/>
        <w:spacing w:line="360" w:lineRule="auto"/>
        <w:ind w:firstLine="48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rPr>
        <w:t>1.1</w:t>
      </w:r>
      <w:r>
        <w:rPr>
          <w:rFonts w:hint="eastAsia" w:asciiTheme="minorEastAsia" w:hAnsiTheme="minorEastAsia" w:eastAsiaTheme="minorEastAsia" w:cstheme="minorEastAsia"/>
          <w:sz w:val="24"/>
        </w:rPr>
        <w:t xml:space="preserve"> 工程概况</w:t>
      </w:r>
    </w:p>
    <w:p w14:paraId="6BFC6371">
      <w:pPr>
        <w:pStyle w:val="37"/>
        <w:wordWrap w:val="0"/>
        <w:adjustRightInd w:val="0"/>
        <w:snapToGrid w:val="0"/>
        <w:spacing w:line="360" w:lineRule="auto"/>
        <w:ind w:firstLine="480"/>
        <w:jc w:val="left"/>
        <w:rPr>
          <w:rFonts w:hint="eastAsia" w:asciiTheme="minorEastAsia" w:hAnsiTheme="minorEastAsia" w:eastAsiaTheme="minorEastAsia" w:cstheme="minorEastAsia"/>
          <w:snapToGrid w:val="0"/>
          <w:kern w:val="0"/>
          <w:sz w:val="24"/>
          <w:szCs w:val="18"/>
          <w:u w:val="single"/>
        </w:rPr>
      </w:pPr>
      <w:r>
        <w:rPr>
          <w:rFonts w:hint="eastAsia" w:asciiTheme="minorEastAsia" w:hAnsiTheme="minorEastAsia" w:eastAsiaTheme="minorEastAsia" w:cstheme="minorEastAsia"/>
          <w:b/>
          <w:bCs/>
          <w:sz w:val="24"/>
        </w:rPr>
        <w:t>1.1.1</w:t>
      </w:r>
      <w:r>
        <w:rPr>
          <w:rFonts w:hint="eastAsia" w:asciiTheme="minorEastAsia" w:hAnsiTheme="minorEastAsia" w:eastAsiaTheme="minorEastAsia" w:cstheme="minorEastAsia"/>
          <w:sz w:val="24"/>
        </w:rPr>
        <w:t xml:space="preserve"> 建设地点：</w:t>
      </w:r>
      <w:r>
        <w:rPr>
          <w:rFonts w:hint="eastAsia" w:asciiTheme="minorEastAsia" w:hAnsiTheme="minorEastAsia" w:eastAsiaTheme="minorEastAsia" w:cstheme="minorEastAsia"/>
          <w:snapToGrid w:val="0"/>
          <w:kern w:val="0"/>
          <w:sz w:val="24"/>
          <w:u w:val="single"/>
        </w:rPr>
        <w:t>韶关市新丰县丰城街道105国道龙江村~横江村段。</w:t>
      </w:r>
    </w:p>
    <w:p w14:paraId="4C7FE594">
      <w:pPr>
        <w:widowControl/>
        <w:spacing w:line="360" w:lineRule="auto"/>
        <w:ind w:firstLine="482" w:firstLineChars="200"/>
        <w:rPr>
          <w:rFonts w:asciiTheme="minorEastAsia" w:hAnsiTheme="minorEastAsia" w:eastAsiaTheme="minorEastAsia" w:cstheme="minorEastAsia"/>
          <w:snapToGrid w:val="0"/>
          <w:kern w:val="0"/>
          <w:szCs w:val="24"/>
          <w:u w:val="single"/>
        </w:rPr>
      </w:pPr>
      <w:r>
        <w:rPr>
          <w:rFonts w:asciiTheme="minorEastAsia" w:hAnsiTheme="minorEastAsia" w:eastAsiaTheme="minorEastAsia" w:cstheme="minorEastAsia"/>
          <w:b/>
          <w:bCs/>
        </w:rPr>
        <w:t>1.1.2</w:t>
      </w:r>
      <w:r>
        <w:rPr>
          <w:rFonts w:asciiTheme="minorEastAsia" w:hAnsiTheme="minorEastAsia" w:eastAsiaTheme="minorEastAsia" w:cstheme="minorEastAsia"/>
        </w:rPr>
        <w:t xml:space="preserve"> 建设内容和规模：</w:t>
      </w:r>
      <w:r>
        <w:rPr>
          <w:rFonts w:hAnsi="宋体" w:eastAsia="宋体" w:cs="宋体"/>
          <w:snapToGrid w:val="0"/>
          <w:kern w:val="0"/>
          <w:szCs w:val="24"/>
          <w:u w:val="single"/>
        </w:rPr>
        <w:t xml:space="preserve"> </w:t>
      </w:r>
      <w:r>
        <w:rPr>
          <w:rFonts w:asciiTheme="minorEastAsia" w:hAnsiTheme="minorEastAsia" w:eastAsiaTheme="minorEastAsia" w:cstheme="minorEastAsia"/>
          <w:snapToGrid w:val="0"/>
          <w:kern w:val="0"/>
          <w:szCs w:val="24"/>
          <w:u w:val="single"/>
        </w:rPr>
        <w:t>主要包括非机动车道改铺彩色沥青和人行道建设（长度约为4213.06米，非机动车道宽度2米，人行道宽度3.4米）、地面翻新（道路红线到路边建筑的空间，面积约为10507.44平方米）、栏杆翻新（956.71米）、垃圾桶（100个）、坐凳（25个）、波形护栏板和混凝土栏板涂漆（956.71平方米）、排水沟、道路和商铺广告牌整治（990平方米）等。项目规模整治道路全长约2.8公里，起点新丰金三角加油站，终点中国石油进丰加油站，整治的道路宽度为18m-20m左右，整治范围约为4.07万平方米。</w:t>
      </w:r>
    </w:p>
    <w:p w14:paraId="61973E99">
      <w:pPr>
        <w:widowControl/>
        <w:spacing w:line="360" w:lineRule="auto"/>
        <w:ind w:left="511" w:leftChars="213"/>
        <w:rPr>
          <w:rFonts w:asciiTheme="minorEastAsia" w:hAnsiTheme="minorEastAsia" w:eastAsiaTheme="minorEastAsia" w:cstheme="minorEastAsia"/>
          <w:snapToGrid w:val="0"/>
          <w:kern w:val="0"/>
          <w:szCs w:val="24"/>
          <w:u w:val="single"/>
        </w:rPr>
      </w:pPr>
      <w:r>
        <w:rPr>
          <w:rFonts w:asciiTheme="minorEastAsia" w:hAnsiTheme="minorEastAsia" w:eastAsiaTheme="minorEastAsia" w:cstheme="minorEastAsia"/>
          <w:b/>
          <w:bCs/>
          <w:szCs w:val="24"/>
        </w:rPr>
        <w:t>1.1.3</w:t>
      </w:r>
      <w:r>
        <w:rPr>
          <w:rFonts w:asciiTheme="minorEastAsia" w:hAnsiTheme="minorEastAsia" w:eastAsiaTheme="minorEastAsia" w:cstheme="minorEastAsia"/>
          <w:szCs w:val="24"/>
        </w:rPr>
        <w:t xml:space="preserve"> 项目总投资：</w:t>
      </w:r>
      <w:bookmarkStart w:id="33" w:name="_Toc20999"/>
      <w:r>
        <w:rPr>
          <w:rFonts w:hAnsi="宋体" w:eastAsia="宋体" w:cs="宋体"/>
          <w:snapToGrid w:val="0"/>
          <w:kern w:val="0"/>
          <w:u w:val="single"/>
        </w:rPr>
        <w:t>项目估算总投资1579.54万元</w:t>
      </w:r>
    </w:p>
    <w:p w14:paraId="024959A3">
      <w:pPr>
        <w:widowControl/>
        <w:spacing w:line="360" w:lineRule="auto"/>
        <w:ind w:left="511" w:leftChars="213"/>
        <w:rPr>
          <w:rFonts w:asciiTheme="minorEastAsia" w:hAnsiTheme="minorEastAsia" w:eastAsiaTheme="minorEastAsia" w:cstheme="minorEastAsia"/>
          <w:snapToGrid w:val="0"/>
          <w:kern w:val="0"/>
          <w:u w:val="single"/>
        </w:rPr>
      </w:pPr>
      <w:r>
        <w:rPr>
          <w:rFonts w:asciiTheme="minorEastAsia" w:hAnsiTheme="minorEastAsia" w:eastAsiaTheme="minorEastAsia" w:cstheme="minorEastAsia"/>
          <w:b/>
          <w:bCs/>
          <w:snapToGrid w:val="0"/>
          <w:kern w:val="0"/>
        </w:rPr>
        <w:t>1.2</w:t>
      </w:r>
      <w:r>
        <w:rPr>
          <w:rFonts w:asciiTheme="minorEastAsia" w:hAnsiTheme="minorEastAsia" w:eastAsiaTheme="minorEastAsia" w:cstheme="minorEastAsia"/>
          <w:snapToGrid w:val="0"/>
          <w:kern w:val="0"/>
        </w:rPr>
        <w:t xml:space="preserve"> 标段划分：</w:t>
      </w:r>
      <w:bookmarkEnd w:id="33"/>
      <w:r>
        <w:rPr>
          <w:rFonts w:asciiTheme="minorEastAsia" w:hAnsiTheme="minorEastAsia" w:eastAsiaTheme="minorEastAsia" w:cstheme="minorEastAsia"/>
          <w:snapToGrid w:val="0"/>
          <w:kern w:val="0"/>
          <w:szCs w:val="24"/>
          <w:u w:val="single"/>
        </w:rPr>
        <w:t>本招标项目不划分标段。</w:t>
      </w:r>
    </w:p>
    <w:p w14:paraId="530084D3">
      <w:pPr>
        <w:pStyle w:val="34"/>
        <w:tabs>
          <w:tab w:val="left" w:pos="7020"/>
        </w:tabs>
        <w:ind w:firstLine="482"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b/>
          <w:bCs/>
          <w:szCs w:val="24"/>
        </w:rPr>
        <w:t>1.3</w:t>
      </w:r>
      <w:r>
        <w:rPr>
          <w:rFonts w:hint="eastAsia" w:asciiTheme="minorEastAsia" w:hAnsiTheme="minorEastAsia" w:eastAsiaTheme="minorEastAsia" w:cstheme="minorEastAsia"/>
          <w:szCs w:val="24"/>
        </w:rPr>
        <w:t xml:space="preserve"> 监理单位：</w:t>
      </w:r>
      <w:r>
        <w:rPr>
          <w:rFonts w:hint="eastAsia" w:asciiTheme="minorEastAsia" w:hAnsiTheme="minorEastAsia" w:eastAsiaTheme="minorEastAsia" w:cstheme="minorEastAsia"/>
          <w:szCs w:val="18"/>
          <w:u w:val="single"/>
        </w:rPr>
        <w:t>待定</w:t>
      </w:r>
      <w:r>
        <w:rPr>
          <w:rFonts w:hint="eastAsia" w:asciiTheme="minorEastAsia" w:hAnsiTheme="minorEastAsia" w:eastAsiaTheme="minorEastAsia" w:cstheme="minorEastAsia"/>
          <w:szCs w:val="18"/>
        </w:rPr>
        <w:t>。</w:t>
      </w:r>
    </w:p>
    <w:p w14:paraId="55F47EDA">
      <w:pPr>
        <w:pStyle w:val="34"/>
        <w:ind w:firstLine="482" w:firstLineChars="2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b/>
          <w:bCs/>
          <w:szCs w:val="24"/>
        </w:rPr>
        <w:t>1.4</w:t>
      </w:r>
      <w:r>
        <w:rPr>
          <w:rFonts w:hint="eastAsia" w:asciiTheme="minorEastAsia" w:hAnsiTheme="minorEastAsia" w:eastAsiaTheme="minorEastAsia" w:cstheme="minorEastAsia"/>
          <w:szCs w:val="24"/>
        </w:rPr>
        <w:t xml:space="preserve"> 投标费用：</w:t>
      </w:r>
      <w:r>
        <w:rPr>
          <w:rFonts w:hint="eastAsia" w:asciiTheme="minorEastAsia" w:hAnsiTheme="minorEastAsia" w:eastAsiaTheme="minorEastAsia" w:cstheme="minorEastAsia"/>
          <w:szCs w:val="24"/>
          <w:u w:val="single"/>
        </w:rPr>
        <w:t>投标人应承担所有准备和参加投标的相关费用，不论投标结果如何，招标人均无义务和责任承担这些费用</w:t>
      </w:r>
      <w:r>
        <w:rPr>
          <w:rFonts w:hint="eastAsia" w:asciiTheme="minorEastAsia" w:hAnsiTheme="minorEastAsia" w:eastAsiaTheme="minorEastAsia" w:cstheme="minorEastAsia"/>
          <w:szCs w:val="24"/>
        </w:rPr>
        <w:t>。</w:t>
      </w:r>
      <w:bookmarkStart w:id="34" w:name="_Toc106184808"/>
    </w:p>
    <w:p w14:paraId="1FB346C4">
      <w:pPr>
        <w:pStyle w:val="36"/>
        <w:keepNext/>
        <w:keepLines/>
        <w:ind w:firstLine="480"/>
        <w:jc w:val="both"/>
        <w:rPr>
          <w:rFonts w:hint="eastAsia" w:asciiTheme="minorEastAsia" w:hAnsiTheme="minorEastAsia" w:eastAsiaTheme="minorEastAsia" w:cstheme="minorEastAsia"/>
          <w:b/>
          <w:kern w:val="2"/>
        </w:rPr>
      </w:pPr>
      <w:bookmarkStart w:id="35" w:name="_Toc22550"/>
      <w:bookmarkStart w:id="36" w:name="_Toc32400"/>
      <w:bookmarkStart w:id="37" w:name="_Toc121"/>
      <w:bookmarkStart w:id="38" w:name="_Toc18851"/>
      <w:bookmarkStart w:id="39" w:name="_Toc14958"/>
      <w:bookmarkStart w:id="40" w:name="_Toc7700"/>
      <w:bookmarkStart w:id="41" w:name="_Toc13717"/>
      <w:bookmarkStart w:id="42" w:name="_Toc17359"/>
      <w:bookmarkStart w:id="43" w:name="_Toc12190"/>
      <w:bookmarkStart w:id="44" w:name="_Toc12552"/>
      <w:r>
        <w:rPr>
          <w:rFonts w:hint="eastAsia" w:asciiTheme="minorEastAsia" w:hAnsiTheme="minorEastAsia" w:eastAsiaTheme="minorEastAsia" w:cstheme="minorEastAsia"/>
          <w:b/>
          <w:kern w:val="2"/>
        </w:rPr>
        <w:t>2 、招标范围</w:t>
      </w:r>
      <w:bookmarkEnd w:id="34"/>
      <w:bookmarkEnd w:id="35"/>
      <w:bookmarkEnd w:id="36"/>
      <w:bookmarkEnd w:id="37"/>
      <w:bookmarkEnd w:id="38"/>
      <w:bookmarkEnd w:id="39"/>
      <w:bookmarkEnd w:id="40"/>
      <w:bookmarkEnd w:id="41"/>
      <w:bookmarkEnd w:id="42"/>
      <w:bookmarkEnd w:id="43"/>
      <w:bookmarkEnd w:id="44"/>
    </w:p>
    <w:p w14:paraId="3BAE9150">
      <w:pPr>
        <w:pStyle w:val="39"/>
        <w:rPr>
          <w:rFonts w:asciiTheme="minorEastAsia" w:hAnsiTheme="minorEastAsia" w:eastAsiaTheme="minorEastAsia" w:cstheme="minorEastAsia"/>
        </w:rPr>
      </w:pPr>
      <w:bookmarkStart w:id="45" w:name="_Hlt91408212"/>
      <w:bookmarkEnd w:id="45"/>
      <w:r>
        <w:rPr>
          <w:rFonts w:asciiTheme="minorEastAsia" w:hAnsiTheme="minorEastAsia" w:eastAsiaTheme="minorEastAsia" w:cstheme="minorEastAsia"/>
          <w:b/>
          <w:bCs/>
          <w:sz w:val="24"/>
          <w:szCs w:val="24"/>
        </w:rPr>
        <w:t>2.1</w:t>
      </w:r>
      <w:r>
        <w:rPr>
          <w:rFonts w:asciiTheme="minorEastAsia" w:hAnsiTheme="minorEastAsia" w:eastAsiaTheme="minorEastAsia" w:cstheme="minorEastAsia"/>
          <w:sz w:val="24"/>
          <w:szCs w:val="24"/>
        </w:rPr>
        <w:t>招标范围：</w:t>
      </w:r>
      <w:r>
        <w:rPr>
          <w:rFonts w:asciiTheme="minorEastAsia" w:hAnsiTheme="minorEastAsia" w:eastAsiaTheme="minorEastAsia" w:cstheme="minorEastAsia"/>
          <w:sz w:val="24"/>
        </w:rPr>
        <w:t>本工程所涉及的内容包括但不限于以下（1）和（2）：</w:t>
      </w:r>
    </w:p>
    <w:p w14:paraId="3309882C">
      <w:pPr>
        <w:pStyle w:val="34"/>
        <w:ind w:firstLine="240" w:firstLineChars="100"/>
        <w:jc w:val="left"/>
        <w:rPr>
          <w:rFonts w:hint="eastAsia" w:asciiTheme="minorEastAsia" w:hAnsiTheme="minorEastAsia" w:eastAsiaTheme="minorEastAsia" w:cstheme="minorEastAsia"/>
          <w:snapToGrid w:val="0"/>
          <w:kern w:val="0"/>
        </w:rPr>
      </w:pPr>
      <w:bookmarkStart w:id="46" w:name="_Toc32739"/>
      <w:bookmarkStart w:id="47" w:name="_Toc1366"/>
      <w:bookmarkStart w:id="48" w:name="_Toc2217"/>
      <w:bookmarkStart w:id="49" w:name="_Toc2350"/>
      <w:bookmarkStart w:id="50" w:name="_Toc26845"/>
      <w:bookmarkStart w:id="51" w:name="_Toc27886"/>
      <w:bookmarkStart w:id="52" w:name="_Toc21803"/>
      <w:bookmarkStart w:id="53" w:name="_Toc708"/>
      <w:r>
        <w:rPr>
          <w:rFonts w:hint="eastAsia" w:asciiTheme="minorEastAsia" w:hAnsiTheme="minorEastAsia" w:eastAsiaTheme="minorEastAsia" w:cstheme="minorEastAsia"/>
          <w:snapToGrid w:val="0"/>
          <w:kern w:val="0"/>
        </w:rPr>
        <w:t>（1）设计部分：确保项目顺利实施的报建、报批、施工等所需的所有建安工程等的设计文件（具体详见设计任务书、初步设计文件），</w:t>
      </w:r>
      <w:r>
        <w:rPr>
          <w:rFonts w:hint="eastAsia" w:asciiTheme="minorEastAsia" w:hAnsiTheme="minorEastAsia" w:eastAsiaTheme="minorEastAsia" w:cstheme="minorEastAsia"/>
          <w:b/>
          <w:snapToGrid w:val="0"/>
          <w:kern w:val="0"/>
        </w:rPr>
        <w:t>包括但不限于</w:t>
      </w:r>
      <w:r>
        <w:rPr>
          <w:rFonts w:hint="eastAsia" w:asciiTheme="minorEastAsia" w:hAnsiTheme="minorEastAsia" w:eastAsiaTheme="minorEastAsia" w:cstheme="minorEastAsia"/>
          <w:snapToGrid w:val="0"/>
          <w:kern w:val="0"/>
        </w:rPr>
        <w:t>：①</w:t>
      </w:r>
      <w:r>
        <w:rPr>
          <w:rFonts w:hint="eastAsia" w:asciiTheme="minorEastAsia" w:hAnsiTheme="minorEastAsia" w:eastAsiaTheme="minorEastAsia" w:cstheme="minorEastAsia"/>
          <w:snapToGrid w:val="0"/>
          <w:kern w:val="0"/>
          <w:szCs w:val="24"/>
        </w:rPr>
        <w:t>施工图设计含总平面及设计说明书、主要设备及材料以及建筑、结构、建筑装饰装修、给排水、电气、照明、消防、节能、无障碍设计、雨污分流、道路等所有专项设计及红线范围内的所有工程及相关配套工程、设施等本项目涉及的所有建安及市政工程的设计；</w:t>
      </w:r>
    </w:p>
    <w:p w14:paraId="0FB9DF39">
      <w:pPr>
        <w:pStyle w:val="34"/>
        <w:ind w:firstLine="241" w:firstLineChars="1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b/>
          <w:bCs/>
          <w:snapToGrid w:val="0"/>
          <w:kern w:val="0"/>
        </w:rPr>
        <w:t>注：设计文件深度要求必须满足住建部《市政公用工程设计文件编制深度规定（2013版）》和《建筑工程设计文件编制深度规定（2016版）》的要求，各专业还应该满足各专业工程设计文件编制深度规范或规定的要求</w:t>
      </w:r>
      <w:r>
        <w:rPr>
          <w:rFonts w:hint="eastAsia" w:asciiTheme="minorEastAsia" w:hAnsiTheme="minorEastAsia" w:eastAsiaTheme="minorEastAsia" w:cstheme="minorEastAsia"/>
          <w:snapToGrid w:val="0"/>
          <w:kern w:val="0"/>
        </w:rPr>
        <w:t>。</w:t>
      </w:r>
    </w:p>
    <w:p w14:paraId="68B53C03">
      <w:pPr>
        <w:pStyle w:val="34"/>
        <w:ind w:firstLine="240" w:firstLineChars="1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rPr>
        <w:t>②施工图预算（含工程量清单）；</w:t>
      </w:r>
    </w:p>
    <w:p w14:paraId="0BCC22AC">
      <w:pPr>
        <w:pStyle w:val="34"/>
        <w:ind w:firstLine="240" w:firstLineChars="1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rPr>
        <w:t>③提供项目所需相关检测项的明细表和危险性较大的分部分项工程清单；</w:t>
      </w:r>
    </w:p>
    <w:p w14:paraId="315AE352">
      <w:pPr>
        <w:pStyle w:val="34"/>
        <w:ind w:firstLine="240" w:firstLineChars="1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rPr>
        <w:t>④后续设计服务工作。</w:t>
      </w:r>
    </w:p>
    <w:p w14:paraId="06CF9B88">
      <w:pPr>
        <w:pStyle w:val="34"/>
        <w:ind w:firstLine="480" w:firstLineChars="200"/>
        <w:rPr>
          <w:rFonts w:hint="eastAsia" w:asciiTheme="minorEastAsia" w:hAnsiTheme="minorEastAsia" w:eastAsiaTheme="minorEastAsia" w:cstheme="minorEastAsia"/>
          <w:snapToGrid w:val="0"/>
        </w:rPr>
      </w:pPr>
      <w:bookmarkStart w:id="54" w:name="_Toc7799"/>
      <w:bookmarkStart w:id="55" w:name="_Toc4645"/>
      <w:bookmarkStart w:id="56" w:name="_Toc13988"/>
      <w:r>
        <w:rPr>
          <w:rFonts w:hint="eastAsia" w:asciiTheme="minorEastAsia" w:hAnsiTheme="minorEastAsia" w:eastAsiaTheme="minorEastAsia" w:cstheme="minorEastAsia"/>
          <w:snapToGrid w:val="0"/>
        </w:rPr>
        <w:t>（2）施工部分：设计文件及工程量清单范围内的所有工程及配套工程、设施等的施工。</w:t>
      </w:r>
      <w:bookmarkEnd w:id="54"/>
      <w:bookmarkEnd w:id="55"/>
      <w:bookmarkEnd w:id="56"/>
    </w:p>
    <w:p w14:paraId="658E629B">
      <w:pPr>
        <w:pStyle w:val="34"/>
        <w:keepNext/>
        <w:keepLines/>
        <w:ind w:firstLine="480" w:firstLineChars="200"/>
        <w:rPr>
          <w:rFonts w:hint="eastAsia" w:asciiTheme="minorEastAsia" w:hAnsiTheme="minorEastAsia" w:eastAsiaTheme="minorEastAsia" w:cstheme="minorEastAsia"/>
          <w:snapToGrid w:val="0"/>
        </w:rPr>
      </w:pPr>
      <w:bookmarkStart w:id="57" w:name="_Toc2311"/>
      <w:r>
        <w:rPr>
          <w:rFonts w:hint="eastAsia" w:asciiTheme="minorEastAsia" w:hAnsiTheme="minorEastAsia" w:eastAsiaTheme="minorEastAsia" w:cstheme="minorEastAsia"/>
          <w:snapToGrid w:val="0"/>
        </w:rPr>
        <w:t>3</w:t>
      </w:r>
      <w:bookmarkStart w:id="58" w:name="_Hlt66187826"/>
      <w:bookmarkEnd w:id="58"/>
      <w:r>
        <w:rPr>
          <w:rFonts w:hint="eastAsia" w:asciiTheme="minorEastAsia" w:hAnsiTheme="minorEastAsia" w:eastAsiaTheme="minorEastAsia" w:cstheme="minorEastAsia"/>
          <w:snapToGrid w:val="0"/>
        </w:rPr>
        <w:t>、工期</w:t>
      </w:r>
      <w:bookmarkEnd w:id="46"/>
      <w:bookmarkEnd w:id="47"/>
      <w:bookmarkEnd w:id="48"/>
      <w:bookmarkEnd w:id="49"/>
      <w:bookmarkEnd w:id="50"/>
      <w:bookmarkEnd w:id="51"/>
      <w:bookmarkEnd w:id="52"/>
      <w:bookmarkEnd w:id="53"/>
      <w:bookmarkEnd w:id="57"/>
    </w:p>
    <w:p w14:paraId="2269C8F9">
      <w:pPr>
        <w:pStyle w:val="34"/>
        <w:ind w:firstLine="480" w:firstLineChars="200"/>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3.1 本工程工期为：设计、施工总工期180日历天，其中：设计工期为30日历天；施工工期为150日历天。中标人必须在所要求的工期内完成招标范围内的全部内容。</w:t>
      </w:r>
    </w:p>
    <w:p w14:paraId="4F4FCB2D">
      <w:pPr>
        <w:pStyle w:val="34"/>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napToGrid w:val="0"/>
        </w:rPr>
        <w:t>3.2</w:t>
      </w:r>
      <w:r>
        <w:rPr>
          <w:rFonts w:hint="eastAsia" w:asciiTheme="minorEastAsia" w:hAnsiTheme="minorEastAsia" w:eastAsiaTheme="minorEastAsia" w:cstheme="minorEastAsia"/>
        </w:rPr>
        <w:t>因中标人原因，没有按期完成设计任务、工程没有按期竣工时，中标人须在逾期第壹天起每天分别按设计、施工合同价款的1.5</w:t>
      </w:r>
      <w:r>
        <w:rPr>
          <w:rFonts w:hint="eastAsia" w:asciiTheme="minorEastAsia" w:hAnsiTheme="minorEastAsia" w:eastAsiaTheme="minorEastAsia" w:cstheme="minorEastAsia"/>
          <w:szCs w:val="22"/>
        </w:rPr>
        <w:t>‰向</w:t>
      </w:r>
      <w:r>
        <w:rPr>
          <w:rFonts w:hint="eastAsia" w:asciiTheme="minorEastAsia" w:hAnsiTheme="minorEastAsia" w:eastAsiaTheme="minorEastAsia" w:cstheme="minorEastAsia"/>
        </w:rPr>
        <w:t>招标人缴纳逾期违约金，分别累计最高不超过设计、施工合同价款的10%向招标人缴纳逾期违约金。</w:t>
      </w:r>
    </w:p>
    <w:p w14:paraId="43326B91">
      <w:pPr>
        <w:pStyle w:val="34"/>
        <w:ind w:firstLine="482" w:firstLineChars="20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b/>
          <w:kern w:val="44"/>
        </w:rPr>
        <w:t>3.3</w:t>
      </w:r>
      <w:r>
        <w:rPr>
          <w:rFonts w:hint="eastAsia" w:asciiTheme="minorEastAsia" w:hAnsiTheme="minorEastAsia" w:eastAsiaTheme="minorEastAsia" w:cstheme="minorEastAsia"/>
        </w:rPr>
        <w:t>设计工期自</w:t>
      </w:r>
      <w:r>
        <w:rPr>
          <w:rFonts w:hint="eastAsia" w:asciiTheme="minorEastAsia" w:hAnsiTheme="minorEastAsia" w:eastAsiaTheme="minorEastAsia" w:cstheme="minorEastAsia"/>
          <w:szCs w:val="24"/>
        </w:rPr>
        <w:t>中标通知书发出之日</w:t>
      </w:r>
      <w:r>
        <w:rPr>
          <w:rFonts w:hint="eastAsia" w:asciiTheme="minorEastAsia" w:hAnsiTheme="minorEastAsia" w:eastAsiaTheme="minorEastAsia" w:cstheme="minorEastAsia"/>
        </w:rPr>
        <w:t>起计算，至提交符合招标人及审图机构要求的施工图设计文件以及符合要求的施工图预算之日止（每一步设计工作，必须以招标人及有关部门审核批准后方可实施）</w:t>
      </w:r>
      <w:r>
        <w:rPr>
          <w:rFonts w:hint="eastAsia" w:asciiTheme="minorEastAsia" w:hAnsiTheme="minorEastAsia" w:eastAsiaTheme="minorEastAsia" w:cstheme="minorEastAsia"/>
          <w:lang w:val="zh-CN"/>
        </w:rPr>
        <w:t>。</w:t>
      </w:r>
    </w:p>
    <w:p w14:paraId="00557AF0">
      <w:pPr>
        <w:pStyle w:val="34"/>
        <w:ind w:firstLine="482" w:firstLineChars="200"/>
        <w:rPr>
          <w:rFonts w:hint="eastAsia" w:asciiTheme="minorEastAsia" w:hAnsiTheme="minorEastAsia" w:eastAsiaTheme="minorEastAsia" w:cstheme="minorEastAsia"/>
          <w:b/>
          <w:szCs w:val="24"/>
        </w:rPr>
      </w:pPr>
      <w:r>
        <w:rPr>
          <w:rFonts w:hint="eastAsia" w:asciiTheme="minorEastAsia" w:hAnsiTheme="minorEastAsia" w:eastAsiaTheme="minorEastAsia" w:cstheme="minorEastAsia"/>
          <w:b/>
          <w:bCs/>
        </w:rPr>
        <w:t>3</w:t>
      </w:r>
      <w:r>
        <w:rPr>
          <w:rFonts w:hint="eastAsia" w:asciiTheme="minorEastAsia" w:hAnsiTheme="minorEastAsia" w:eastAsiaTheme="minorEastAsia" w:cstheme="minorEastAsia"/>
          <w:b/>
          <w:bCs/>
          <w:lang w:val="zh-CN"/>
        </w:rPr>
        <w:t>.</w:t>
      </w:r>
      <w:r>
        <w:rPr>
          <w:rFonts w:hint="eastAsia" w:asciiTheme="minorEastAsia" w:hAnsiTheme="minorEastAsia" w:eastAsiaTheme="minorEastAsia" w:cstheme="minorEastAsia"/>
          <w:b/>
          <w:bCs/>
        </w:rPr>
        <w:t>4</w:t>
      </w:r>
      <w:r>
        <w:rPr>
          <w:rFonts w:hint="eastAsia" w:asciiTheme="minorEastAsia" w:hAnsiTheme="minorEastAsia" w:eastAsiaTheme="minorEastAsia" w:cstheme="minorEastAsia"/>
          <w:lang w:val="zh-CN"/>
        </w:rPr>
        <w:t xml:space="preserve"> 施工工期从开工令签发之日起计，至竣工验收之日止。</w:t>
      </w:r>
      <w:bookmarkStart w:id="59" w:name="_Toc11872"/>
    </w:p>
    <w:p w14:paraId="6A59F3D2">
      <w:pPr>
        <w:pStyle w:val="36"/>
        <w:keepNext/>
        <w:keepLines/>
        <w:ind w:firstLine="482" w:firstLineChars="200"/>
        <w:jc w:val="both"/>
        <w:rPr>
          <w:rFonts w:hint="eastAsia" w:asciiTheme="minorEastAsia" w:hAnsiTheme="minorEastAsia" w:eastAsiaTheme="minorEastAsia" w:cstheme="minorEastAsia"/>
          <w:b/>
          <w:kern w:val="2"/>
          <w:szCs w:val="24"/>
        </w:rPr>
      </w:pPr>
      <w:bookmarkStart w:id="60" w:name="_Toc30034"/>
      <w:bookmarkStart w:id="61" w:name="_Toc6797"/>
      <w:bookmarkStart w:id="62" w:name="_Toc13379"/>
      <w:bookmarkStart w:id="63" w:name="_Toc24539"/>
      <w:bookmarkStart w:id="64" w:name="_Toc2499"/>
      <w:bookmarkStart w:id="65" w:name="_Toc19644"/>
      <w:bookmarkStart w:id="66" w:name="_Toc3312"/>
      <w:bookmarkStart w:id="67" w:name="_Toc22003"/>
      <w:bookmarkStart w:id="68" w:name="_Toc1889"/>
      <w:r>
        <w:rPr>
          <w:rFonts w:hint="eastAsia" w:asciiTheme="minorEastAsia" w:hAnsiTheme="minorEastAsia" w:eastAsiaTheme="minorEastAsia" w:cstheme="minorEastAsia"/>
          <w:b/>
          <w:kern w:val="2"/>
        </w:rPr>
        <w:t>4 、投标人资质及条件要求</w:t>
      </w:r>
      <w:bookmarkEnd w:id="59"/>
      <w:bookmarkEnd w:id="60"/>
      <w:bookmarkEnd w:id="61"/>
      <w:bookmarkEnd w:id="62"/>
      <w:bookmarkEnd w:id="63"/>
      <w:bookmarkEnd w:id="64"/>
      <w:bookmarkEnd w:id="65"/>
      <w:bookmarkEnd w:id="66"/>
      <w:bookmarkEnd w:id="67"/>
      <w:bookmarkEnd w:id="68"/>
      <w:bookmarkStart w:id="69" w:name="_Hlt74496495"/>
      <w:bookmarkEnd w:id="69"/>
    </w:p>
    <w:p w14:paraId="17EBA6B2">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b/>
          <w:bCs/>
          <w:kern w:val="0"/>
          <w:sz w:val="24"/>
        </w:rPr>
        <w:t>4.1</w:t>
      </w:r>
      <w:r>
        <w:rPr>
          <w:rFonts w:hint="eastAsia" w:asciiTheme="minorEastAsia" w:hAnsiTheme="minorEastAsia" w:eastAsiaTheme="minorEastAsia" w:cstheme="minorEastAsia"/>
          <w:kern w:val="0"/>
          <w:sz w:val="24"/>
        </w:rPr>
        <w:t>本次招标接受联合体投标，联合体以一个投标人的身份共同投标。</w:t>
      </w:r>
    </w:p>
    <w:p w14:paraId="4666AFA3">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b/>
          <w:bCs/>
          <w:kern w:val="0"/>
          <w:sz w:val="24"/>
        </w:rPr>
        <w:t>4.1.1</w:t>
      </w:r>
      <w:r>
        <w:rPr>
          <w:rFonts w:hint="eastAsia" w:asciiTheme="minorEastAsia" w:hAnsiTheme="minorEastAsia" w:eastAsiaTheme="minorEastAsia" w:cstheme="minorEastAsia"/>
          <w:kern w:val="0"/>
          <w:sz w:val="24"/>
        </w:rPr>
        <w:t>联合体成员数量不超过2个。</w:t>
      </w:r>
    </w:p>
    <w:p w14:paraId="6C6CEA29">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b/>
          <w:bCs/>
          <w:kern w:val="0"/>
          <w:sz w:val="24"/>
        </w:rPr>
        <w:t>4.1.2</w:t>
      </w:r>
      <w:r>
        <w:rPr>
          <w:rFonts w:hint="eastAsia" w:asciiTheme="minorEastAsia" w:hAnsiTheme="minorEastAsia" w:eastAsiaTheme="minorEastAsia" w:cstheme="minorEastAsia"/>
          <w:kern w:val="0"/>
          <w:sz w:val="24"/>
        </w:rPr>
        <w:t>联合体各方应按招标文件提供的格式签订联合体协议书，明确联合体牵头人和各方权利义务，并承诺就中标项目向招标人承担连带责任。《联合体协议书》作为投标文件的组成部分向招标人提交。</w:t>
      </w:r>
    </w:p>
    <w:p w14:paraId="296020F4">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b/>
          <w:bCs/>
          <w:kern w:val="0"/>
          <w:sz w:val="24"/>
        </w:rPr>
        <w:t>4.1.3</w:t>
      </w:r>
      <w:r>
        <w:rPr>
          <w:rFonts w:hint="eastAsia" w:asciiTheme="minorEastAsia" w:hAnsiTheme="minorEastAsia" w:eastAsiaTheme="minorEastAsia" w:cstheme="minorEastAsia"/>
          <w:kern w:val="0"/>
          <w:sz w:val="24"/>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67DD066E">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b/>
          <w:bCs/>
          <w:kern w:val="0"/>
          <w:sz w:val="24"/>
        </w:rPr>
        <w:t>4.1.4</w:t>
      </w:r>
      <w:r>
        <w:rPr>
          <w:rFonts w:hint="eastAsia" w:asciiTheme="minorEastAsia" w:hAnsiTheme="minorEastAsia" w:eastAsiaTheme="minorEastAsia" w:cstheme="minorEastAsia"/>
          <w:kern w:val="0"/>
          <w:sz w:val="24"/>
        </w:rPr>
        <w:t>联合体各方不得再以自己名义单独或参加其他联合体在本招标项目中投标，否则各相关投标均无效。</w:t>
      </w:r>
    </w:p>
    <w:p w14:paraId="254CA957">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b/>
          <w:bCs/>
          <w:kern w:val="0"/>
          <w:sz w:val="24"/>
        </w:rPr>
        <w:t>4.2</w:t>
      </w:r>
      <w:r>
        <w:rPr>
          <w:rFonts w:hint="eastAsia" w:asciiTheme="minorEastAsia" w:hAnsiTheme="minorEastAsia" w:eastAsiaTheme="minorEastAsia" w:cstheme="minorEastAsia"/>
          <w:kern w:val="0"/>
          <w:sz w:val="24"/>
        </w:rPr>
        <w:t>资质要求</w:t>
      </w:r>
    </w:p>
    <w:p w14:paraId="0909405B">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b/>
          <w:bCs/>
          <w:kern w:val="0"/>
          <w:sz w:val="24"/>
        </w:rPr>
        <w:t>4.2.1</w:t>
      </w:r>
      <w:r>
        <w:rPr>
          <w:rFonts w:hint="eastAsia" w:asciiTheme="minorEastAsia" w:hAnsiTheme="minorEastAsia" w:eastAsiaTheme="minorEastAsia" w:cstheme="minorEastAsia"/>
          <w:kern w:val="0"/>
          <w:sz w:val="24"/>
        </w:rPr>
        <w:t>投标人须具备独立法人资格，按国家法律经营。</w:t>
      </w:r>
    </w:p>
    <w:p w14:paraId="42F69D0E">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4.2.2</w:t>
      </w:r>
      <w:r>
        <w:rPr>
          <w:rFonts w:hint="eastAsia" w:asciiTheme="minorEastAsia" w:hAnsiTheme="minorEastAsia" w:eastAsiaTheme="minorEastAsia" w:cstheme="minorEastAsia"/>
          <w:kern w:val="0"/>
          <w:sz w:val="24"/>
        </w:rPr>
        <w:t>投标人须持有行政主管部门颁发的企业资质证书。</w:t>
      </w:r>
    </w:p>
    <w:p w14:paraId="09F3EC32">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kern w:val="0"/>
          <w:sz w:val="24"/>
        </w:rPr>
        <w:t>4.2.3</w:t>
      </w:r>
      <w:r>
        <w:rPr>
          <w:rFonts w:hint="eastAsia" w:asciiTheme="minorEastAsia" w:hAnsiTheme="minorEastAsia" w:eastAsiaTheme="minorEastAsia" w:cstheme="minorEastAsia"/>
          <w:sz w:val="24"/>
        </w:rPr>
        <w:t>参加投标的投标人可以是单一独立法人或由不超过两家独立法人组成的联合体（必须注明其中一家为牵头人；联合体成员中设计、施工单位分别不得超过一家），联合体各方不得再以自己的名义单独申请，也不得同时参加两个或两个以上的联合体进行本项目的投标。单一独立法人必须至少同时具备以下①～②资质，组成联合体投标的，联合后必须至少具备以下①～②资质，联合体牵头人必须具备①资质，由同一专业的单位组成的联合体，按照资质等级较低的单位确定资质等级：</w:t>
      </w:r>
    </w:p>
    <w:p w14:paraId="6DB8DFED">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①施工资质：具备</w:t>
      </w:r>
      <w:r>
        <w:rPr>
          <w:rFonts w:hint="eastAsia" w:asciiTheme="minorEastAsia" w:hAnsiTheme="minorEastAsia" w:eastAsiaTheme="minorEastAsia" w:cstheme="minorEastAsia"/>
          <w:sz w:val="24"/>
        </w:rPr>
        <w:t>市政公用工程施工总承包三级以上</w:t>
      </w:r>
      <w:r>
        <w:rPr>
          <w:rFonts w:hint="eastAsia" w:asciiTheme="minorEastAsia" w:hAnsiTheme="minorEastAsia" w:eastAsiaTheme="minorEastAsia" w:cstheme="minorEastAsia"/>
          <w:sz w:val="24"/>
          <w:lang w:val="zh-CN"/>
        </w:rPr>
        <w:t>（含</w:t>
      </w:r>
      <w:r>
        <w:rPr>
          <w:rFonts w:hint="eastAsia" w:asciiTheme="minorEastAsia" w:hAnsiTheme="minorEastAsia" w:eastAsiaTheme="minorEastAsia" w:cstheme="minorEastAsia"/>
          <w:sz w:val="24"/>
        </w:rPr>
        <w:t>三</w:t>
      </w:r>
      <w:r>
        <w:rPr>
          <w:rFonts w:hint="eastAsia" w:asciiTheme="minorEastAsia" w:hAnsiTheme="minorEastAsia" w:eastAsiaTheme="minorEastAsia" w:cstheme="minorEastAsia"/>
          <w:sz w:val="24"/>
          <w:lang w:val="zh-CN"/>
        </w:rPr>
        <w:t>级）资质，并获得安全生产许可证的独立法人。</w:t>
      </w:r>
    </w:p>
    <w:p w14:paraId="687375EA">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②设计资质必须具备建设行政主管部门颁发的以下资质之一：</w:t>
      </w:r>
    </w:p>
    <w:p w14:paraId="307F84B9">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（1）工程设计综合甲级资质；</w:t>
      </w:r>
    </w:p>
    <w:p w14:paraId="20087AB7">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市政行业乙级（或以上）资质；市政行业乙级（燃气工程、轨道交通工程除外）（或以上）资质；</w:t>
      </w:r>
    </w:p>
    <w:p w14:paraId="309181AB">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（3）市政行业（道路工程）乙级（或以上）资质；市政行业（排水工程）乙级（或以上）资质；</w:t>
      </w:r>
    </w:p>
    <w:p w14:paraId="2BBEE229">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（4）建筑设计事务所资质。</w:t>
      </w:r>
    </w:p>
    <w:p w14:paraId="54F6F85D">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设计单位仅具备建筑设计事务所资质的，应当自行完成招标范围内的建筑专业设计业务，并在保证整个建筑工程项目完整性的前提下，经招标人同意，将其他专业设计业务发包给具有相应资质的分包方。</w:t>
      </w:r>
    </w:p>
    <w:p w14:paraId="21A2EDD7">
      <w:pPr>
        <w:pStyle w:val="37"/>
        <w:wordWrap w:val="0"/>
        <w:adjustRightInd w:val="0"/>
        <w:snapToGrid w:val="0"/>
        <w:spacing w:line="440" w:lineRule="exact"/>
        <w:ind w:firstLine="480"/>
        <w:jc w:val="left"/>
        <w:rPr>
          <w:rFonts w:hint="eastAsia" w:asciiTheme="minorEastAsia" w:hAnsiTheme="minorEastAsia" w:eastAsiaTheme="minorEastAsia" w:cstheme="minorEastAsia"/>
          <w:strike/>
          <w:sz w:val="24"/>
          <w:lang w:val="zh-CN"/>
        </w:rPr>
      </w:pPr>
      <w:r>
        <w:rPr>
          <w:rFonts w:hint="eastAsia" w:asciiTheme="minorEastAsia" w:hAnsiTheme="minorEastAsia" w:eastAsiaTheme="minorEastAsia" w:cstheme="minorEastAsia"/>
          <w:b/>
          <w:bCs/>
          <w:kern w:val="0"/>
          <w:sz w:val="24"/>
        </w:rPr>
        <w:t>4.2.4</w:t>
      </w:r>
      <w:r>
        <w:rPr>
          <w:rFonts w:hint="eastAsia" w:asciiTheme="minorEastAsia" w:hAnsiTheme="minorEastAsia" w:eastAsiaTheme="minorEastAsia" w:cstheme="minorEastAsia"/>
          <w:sz w:val="24"/>
          <w:lang w:val="zh-CN"/>
        </w:rPr>
        <w:t>根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28B13B9">
      <w:pPr>
        <w:pStyle w:val="37"/>
        <w:wordWrap w:val="0"/>
        <w:adjustRightInd w:val="0"/>
        <w:snapToGrid w:val="0"/>
        <w:spacing w:line="360" w:lineRule="auto"/>
        <w:ind w:firstLine="480"/>
        <w:jc w:val="left"/>
        <w:rPr>
          <w:rFonts w:hint="eastAsia" w:asciiTheme="minorEastAsia" w:hAnsiTheme="minorEastAsia" w:eastAsiaTheme="minorEastAsia" w:cstheme="minorEastAsia"/>
          <w:snapToGrid w:val="0"/>
          <w:kern w:val="0"/>
          <w:sz w:val="24"/>
        </w:rPr>
      </w:pPr>
      <w:r>
        <w:rPr>
          <w:rFonts w:hint="eastAsia" w:asciiTheme="minorEastAsia" w:hAnsiTheme="minorEastAsia" w:eastAsiaTheme="minorEastAsia" w:cstheme="minorEastAsia"/>
          <w:b/>
          <w:bCs/>
          <w:kern w:val="0"/>
          <w:sz w:val="24"/>
        </w:rPr>
        <w:t>4.3</w:t>
      </w:r>
      <w:r>
        <w:rPr>
          <w:rFonts w:hint="eastAsia" w:asciiTheme="minorEastAsia" w:hAnsiTheme="minorEastAsia" w:eastAsiaTheme="minorEastAsia" w:cstheme="minorEastAsia"/>
          <w:snapToGrid w:val="0"/>
          <w:kern w:val="0"/>
          <w:sz w:val="24"/>
        </w:rPr>
        <w:t>相关人员要求</w:t>
      </w:r>
    </w:p>
    <w:p w14:paraId="2C803FAE">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b/>
          <w:bCs/>
          <w:kern w:val="0"/>
          <w:sz w:val="24"/>
        </w:rPr>
        <w:t>4.3.1</w:t>
      </w:r>
      <w:r>
        <w:rPr>
          <w:rFonts w:hint="eastAsia" w:asciiTheme="minorEastAsia" w:hAnsiTheme="minorEastAsia" w:eastAsiaTheme="minorEastAsia" w:cstheme="minorEastAsia"/>
          <w:snapToGrid w:val="0"/>
          <w:kern w:val="0"/>
          <w:sz w:val="24"/>
        </w:rPr>
        <w:t>拟派项目经理为具有</w:t>
      </w:r>
      <w:r>
        <w:rPr>
          <w:rFonts w:hint="eastAsia" w:asciiTheme="minorEastAsia" w:hAnsiTheme="minorEastAsia" w:eastAsiaTheme="minorEastAsia" w:cstheme="minorEastAsia"/>
          <w:snapToGrid w:val="0"/>
          <w:kern w:val="0"/>
          <w:sz w:val="24"/>
          <w:u w:val="single"/>
        </w:rPr>
        <w:t>市政公用工程</w:t>
      </w:r>
      <w:r>
        <w:rPr>
          <w:rFonts w:hint="eastAsia" w:asciiTheme="minorEastAsia" w:hAnsiTheme="minorEastAsia" w:eastAsiaTheme="minorEastAsia" w:cstheme="minorEastAsia"/>
          <w:snapToGrid w:val="0"/>
          <w:kern w:val="0"/>
          <w:sz w:val="24"/>
        </w:rPr>
        <w:t>专业一级或二级注册建造师，其中一级注册建造师应持有国家住建部印发的有效注册证书，二级注册建造师应持有考试取得执业资格的省、自治区、直辖市住建部门核准的有效电子注册证书（二级注册建造师应持有住建部门核准的、在使用有效期内的有效电子证书）。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4F17B4C7">
      <w:pPr>
        <w:pStyle w:val="37"/>
        <w:wordWrap w:val="0"/>
        <w:adjustRightInd w:val="0"/>
        <w:snapToGrid w:val="0"/>
        <w:spacing w:line="360" w:lineRule="auto"/>
        <w:ind w:firstLine="482"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b/>
          <w:bCs/>
          <w:kern w:val="0"/>
          <w:sz w:val="24"/>
        </w:rPr>
        <w:t>4.</w:t>
      </w:r>
      <w:r>
        <w:rPr>
          <w:rFonts w:hint="eastAsia" w:asciiTheme="minorEastAsia" w:hAnsiTheme="minorEastAsia" w:eastAsiaTheme="minorEastAsia" w:cstheme="minorEastAsia"/>
          <w:snapToGrid w:val="0"/>
          <w:kern w:val="0"/>
          <w:sz w:val="24"/>
        </w:rPr>
        <w:t>3.2拟派项目技术负责人须具备市政工程相关专业中级或以上技术职称。</w:t>
      </w:r>
    </w:p>
    <w:p w14:paraId="5B7F1A79">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napToGrid w:val="0"/>
          <w:kern w:val="0"/>
          <w:sz w:val="24"/>
        </w:rPr>
      </w:pPr>
      <w:r>
        <w:rPr>
          <w:rFonts w:hint="eastAsia" w:asciiTheme="minorEastAsia" w:hAnsiTheme="minorEastAsia" w:eastAsiaTheme="minorEastAsia" w:cstheme="minorEastAsia"/>
          <w:snapToGrid w:val="0"/>
          <w:kern w:val="0"/>
          <w:sz w:val="24"/>
        </w:rPr>
        <w:t>4.3.3拟派专职安全生产管理人员须具备有效安全生产考核合格证明（C证，安全生产考核合格证书或广东省建筑施工企业管理人员安全生产考核系统考核合格信息打印页），且不少于1人。</w:t>
      </w:r>
    </w:p>
    <w:p w14:paraId="3627682D">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napToGrid w:val="0"/>
          <w:kern w:val="0"/>
          <w:sz w:val="24"/>
        </w:rPr>
      </w:pPr>
      <w:r>
        <w:rPr>
          <w:rFonts w:hint="eastAsia" w:asciiTheme="minorEastAsia" w:hAnsiTheme="minorEastAsia" w:eastAsiaTheme="minorEastAsia" w:cstheme="minorEastAsia"/>
          <w:snapToGrid w:val="0"/>
          <w:kern w:val="0"/>
          <w:sz w:val="24"/>
        </w:rPr>
        <w:t>4.3.4</w:t>
      </w:r>
      <w:r>
        <w:rPr>
          <w:rFonts w:hint="eastAsia" w:asciiTheme="minorEastAsia" w:hAnsiTheme="minorEastAsia" w:eastAsiaTheme="minorEastAsia" w:cstheme="minorEastAsia"/>
          <w:sz w:val="24"/>
        </w:rPr>
        <w:t>拟委派担任本工程的设计负责人必须具备二级注册建筑师或以上注册证书。</w:t>
      </w:r>
    </w:p>
    <w:p w14:paraId="20D4667C">
      <w:pPr>
        <w:pStyle w:val="37"/>
        <w:wordWrap w:val="0"/>
        <w:adjustRightInd w:val="0"/>
        <w:snapToGrid w:val="0"/>
        <w:spacing w:line="360" w:lineRule="auto"/>
        <w:ind w:firstLine="480" w:firstLineChars="20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sz w:val="24"/>
        </w:rPr>
        <w:t>4.3.5投标人（包括组成联合体的所有成员单位）与其拟派往本项目管理机构的所有人员之间必须具备合法、唯一的劳动聘用关系。拟派人员中具备注册执业资格的，其注册单位须与投标人保持一致。</w:t>
      </w:r>
    </w:p>
    <w:p w14:paraId="0F6C5840">
      <w:pPr>
        <w:wordWrap w:val="0"/>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kern w:val="0"/>
          <w:szCs w:val="24"/>
        </w:rPr>
        <w:t>4.4</w:t>
      </w:r>
      <w:r>
        <w:rPr>
          <w:rFonts w:asciiTheme="minorEastAsia" w:hAnsiTheme="minorEastAsia" w:eastAsiaTheme="minorEastAsia" w:cstheme="minorEastAsia"/>
          <w:snapToGrid w:val="0"/>
          <w:kern w:val="0"/>
          <w:szCs w:val="24"/>
        </w:rPr>
        <w:t>禁止投标条款：</w:t>
      </w:r>
    </w:p>
    <w:p w14:paraId="4A824160">
      <w:pPr>
        <w:wordWrap w:val="0"/>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kern w:val="0"/>
          <w:szCs w:val="24"/>
        </w:rPr>
        <w:t>4.4.1</w:t>
      </w:r>
      <w:r>
        <w:rPr>
          <w:rFonts w:asciiTheme="minorEastAsia" w:hAnsiTheme="minorEastAsia" w:eastAsiaTheme="minorEastAsia" w:cstheme="minorEastAsia"/>
          <w:snapToGrid w:val="0"/>
          <w:kern w:val="0"/>
          <w:szCs w:val="24"/>
        </w:rPr>
        <w:t>投标人不得存在下列情形之一：</w:t>
      </w:r>
    </w:p>
    <w:p w14:paraId="0212ED93">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（1）为招标人不具有独立法人资格的附属机构（单位）；</w:t>
      </w:r>
    </w:p>
    <w:p w14:paraId="2B30D0E2">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（2）为本招标项目前期准备提供咨询服务的；</w:t>
      </w:r>
    </w:p>
    <w:p w14:paraId="0ACA3597">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（3）与本招标项目的其他投标人为同一个单位负责人；</w:t>
      </w:r>
    </w:p>
    <w:p w14:paraId="0A7690EA">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（4）与本招标项目的其他投标人存在控股、管理关系；</w:t>
      </w:r>
    </w:p>
    <w:p w14:paraId="01A2172F">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（5）为本招标项目的监理人；</w:t>
      </w:r>
    </w:p>
    <w:p w14:paraId="42602610">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（6）为本招标项目的代建人；</w:t>
      </w:r>
    </w:p>
    <w:p w14:paraId="7DA1124B">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（7）为本招标项目的招标代理机构；</w:t>
      </w:r>
    </w:p>
    <w:p w14:paraId="2747D4CA">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（8）与本招标项目的监理人或代建人或招标代理机构同为一个法定代表人；</w:t>
      </w:r>
    </w:p>
    <w:p w14:paraId="09BB0182">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（9）与本招标项目的监理人或代建人或招标代理机构存在控股或参股关系；</w:t>
      </w:r>
    </w:p>
    <w:p w14:paraId="66358D93">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（10）与本招标项目的监理人或代建人或招标代理机构存在相互任职或工作关系；</w:t>
      </w:r>
    </w:p>
    <w:p w14:paraId="2F8526D5">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（11）被依法暂停或者取消投标资格；</w:t>
      </w:r>
    </w:p>
    <w:p w14:paraId="222F7878">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（12）被责令停产停业、暂扣或者吊销许可证、暂扣或者吊销执照；</w:t>
      </w:r>
    </w:p>
    <w:p w14:paraId="122D6B30">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（13）进入清算程序，或被宣告破产，或其他丧失履约能力的情形；</w:t>
      </w:r>
    </w:p>
    <w:p w14:paraId="7375D0DF">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（14）在最近三年内发生重大工程质量或安全问题（以相关行业主管部门的行政处罚决定或司法机关出具的有关法律文书为准）；</w:t>
      </w:r>
    </w:p>
    <w:p w14:paraId="09DB034F">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（15）被“信用中国”网站（https://www.creditchina.gov.cn）发布的《法人和非法人组织公共信用信息报告》列入严重失信主体名单的。</w:t>
      </w:r>
    </w:p>
    <w:p w14:paraId="321AB0C3">
      <w:pPr>
        <w:wordWrap w:val="0"/>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4.4.2</w:t>
      </w:r>
      <w:r>
        <w:rPr>
          <w:rFonts w:asciiTheme="minorEastAsia" w:hAnsiTheme="minorEastAsia" w:eastAsiaTheme="minorEastAsia" w:cstheme="minorEastAsia"/>
          <w:snapToGrid w:val="0"/>
          <w:kern w:val="0"/>
          <w:szCs w:val="24"/>
        </w:rPr>
        <w:t>招标人拒绝以下名单中的单位参加本次投标：</w:t>
      </w:r>
    </w:p>
    <w:tbl>
      <w:tblPr>
        <w:tblStyle w:val="21"/>
        <w:tblW w:w="9780"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4216"/>
        <w:gridCol w:w="4574"/>
      </w:tblGrid>
      <w:tr w14:paraId="15B9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90" w:type="dxa"/>
            <w:noWrap/>
            <w:vAlign w:val="center"/>
          </w:tcPr>
          <w:p w14:paraId="44FBF21F">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序号</w:t>
            </w:r>
          </w:p>
        </w:tc>
        <w:tc>
          <w:tcPr>
            <w:tcW w:w="4216" w:type="dxa"/>
            <w:noWrap/>
            <w:vAlign w:val="center"/>
          </w:tcPr>
          <w:p w14:paraId="10845B78">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单位名称</w:t>
            </w:r>
          </w:p>
        </w:tc>
        <w:tc>
          <w:tcPr>
            <w:tcW w:w="4574" w:type="dxa"/>
            <w:noWrap/>
            <w:vAlign w:val="center"/>
          </w:tcPr>
          <w:p w14:paraId="40B5B3A8">
            <w:pPr>
              <w:wordWrap w:val="0"/>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拒绝原因</w:t>
            </w:r>
          </w:p>
        </w:tc>
      </w:tr>
      <w:tr w14:paraId="2FE7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90" w:type="dxa"/>
            <w:noWrap/>
            <w:vAlign w:val="center"/>
          </w:tcPr>
          <w:p w14:paraId="1B0C9435">
            <w:pPr>
              <w:wordWrap w:val="0"/>
              <w:adjustRightInd w:val="0"/>
              <w:snapToGrid w:val="0"/>
              <w:spacing w:line="360" w:lineRule="auto"/>
              <w:ind w:firstLine="480" w:firstLineChars="200"/>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w:t>
            </w:r>
          </w:p>
        </w:tc>
        <w:tc>
          <w:tcPr>
            <w:tcW w:w="4216" w:type="dxa"/>
            <w:noWrap/>
            <w:vAlign w:val="center"/>
          </w:tcPr>
          <w:p w14:paraId="4C9E75C4">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新丰县人民政府丰城街道办事处</w:t>
            </w:r>
          </w:p>
        </w:tc>
        <w:tc>
          <w:tcPr>
            <w:tcW w:w="4574" w:type="dxa"/>
            <w:noWrap/>
            <w:vAlign w:val="center"/>
          </w:tcPr>
          <w:p w14:paraId="7618C91A">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为本招标项目的招标人</w:t>
            </w:r>
          </w:p>
        </w:tc>
      </w:tr>
      <w:tr w14:paraId="74F6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90" w:type="dxa"/>
            <w:noWrap/>
            <w:vAlign w:val="center"/>
          </w:tcPr>
          <w:p w14:paraId="6B16E29B">
            <w:pPr>
              <w:wordWrap w:val="0"/>
              <w:adjustRightInd w:val="0"/>
              <w:snapToGrid w:val="0"/>
              <w:spacing w:line="360" w:lineRule="auto"/>
              <w:ind w:firstLine="480" w:firstLineChars="200"/>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2</w:t>
            </w:r>
          </w:p>
        </w:tc>
        <w:tc>
          <w:tcPr>
            <w:tcW w:w="4216" w:type="dxa"/>
            <w:noWrap/>
            <w:vAlign w:val="center"/>
          </w:tcPr>
          <w:p w14:paraId="68004E71">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新丰县人民政府丰城街道办事处 </w:t>
            </w:r>
          </w:p>
        </w:tc>
        <w:tc>
          <w:tcPr>
            <w:tcW w:w="4574" w:type="dxa"/>
            <w:noWrap/>
            <w:vAlign w:val="center"/>
          </w:tcPr>
          <w:p w14:paraId="6ECE21E2">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为本招标项目的业主单位</w:t>
            </w:r>
          </w:p>
        </w:tc>
      </w:tr>
      <w:tr w14:paraId="78AF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90" w:type="dxa"/>
            <w:noWrap/>
            <w:vAlign w:val="center"/>
          </w:tcPr>
          <w:p w14:paraId="3D95ADAB">
            <w:pPr>
              <w:wordWrap w:val="0"/>
              <w:adjustRightInd w:val="0"/>
              <w:snapToGrid w:val="0"/>
              <w:spacing w:line="360" w:lineRule="auto"/>
              <w:ind w:firstLine="480" w:firstLineChars="200"/>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3</w:t>
            </w:r>
          </w:p>
        </w:tc>
        <w:tc>
          <w:tcPr>
            <w:tcW w:w="4216" w:type="dxa"/>
            <w:noWrap/>
            <w:vAlign w:val="center"/>
          </w:tcPr>
          <w:p w14:paraId="32343DFB">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中晟恒昌设计集团有限公司   </w:t>
            </w:r>
          </w:p>
        </w:tc>
        <w:tc>
          <w:tcPr>
            <w:tcW w:w="4574" w:type="dxa"/>
            <w:noWrap/>
            <w:vAlign w:val="center"/>
          </w:tcPr>
          <w:p w14:paraId="193A9D41">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为本招标项目的可行性研究报告编制单位</w:t>
            </w:r>
          </w:p>
        </w:tc>
      </w:tr>
      <w:tr w14:paraId="1975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90" w:type="dxa"/>
            <w:noWrap/>
            <w:vAlign w:val="center"/>
          </w:tcPr>
          <w:p w14:paraId="7F4D51A0">
            <w:pPr>
              <w:wordWrap w:val="0"/>
              <w:adjustRightInd w:val="0"/>
              <w:snapToGrid w:val="0"/>
              <w:spacing w:line="360" w:lineRule="auto"/>
              <w:ind w:firstLine="480" w:firstLineChars="200"/>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4</w:t>
            </w:r>
          </w:p>
        </w:tc>
        <w:tc>
          <w:tcPr>
            <w:tcW w:w="4216" w:type="dxa"/>
            <w:noWrap/>
            <w:vAlign w:val="center"/>
          </w:tcPr>
          <w:p w14:paraId="54417437">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韶关市北桓工程咨询有限公司</w:t>
            </w:r>
          </w:p>
        </w:tc>
        <w:tc>
          <w:tcPr>
            <w:tcW w:w="4574" w:type="dxa"/>
            <w:noWrap/>
            <w:vAlign w:val="center"/>
          </w:tcPr>
          <w:p w14:paraId="6E143D04">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为本招标项目的招标代理机构</w:t>
            </w:r>
          </w:p>
        </w:tc>
      </w:tr>
      <w:tr w14:paraId="29BE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990" w:type="dxa"/>
            <w:noWrap/>
            <w:vAlign w:val="center"/>
          </w:tcPr>
          <w:p w14:paraId="53F62D28">
            <w:pPr>
              <w:wordWrap w:val="0"/>
              <w:adjustRightInd w:val="0"/>
              <w:snapToGrid w:val="0"/>
              <w:spacing w:line="360" w:lineRule="auto"/>
              <w:ind w:firstLine="480" w:firstLineChars="200"/>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5</w:t>
            </w:r>
          </w:p>
        </w:tc>
        <w:tc>
          <w:tcPr>
            <w:tcW w:w="4216" w:type="dxa"/>
            <w:noWrap/>
            <w:vAlign w:val="center"/>
          </w:tcPr>
          <w:p w14:paraId="262F39B0">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待定</w:t>
            </w:r>
          </w:p>
        </w:tc>
        <w:tc>
          <w:tcPr>
            <w:tcW w:w="4574" w:type="dxa"/>
            <w:noWrap/>
            <w:vAlign w:val="center"/>
          </w:tcPr>
          <w:p w14:paraId="7CC4ECD3">
            <w:pPr>
              <w:wordWrap w:val="0"/>
              <w:adjustRightInd w:val="0"/>
              <w:snapToGrid w:val="0"/>
              <w:spacing w:line="360" w:lineRule="auto"/>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为本招标项目的监理单位</w:t>
            </w:r>
          </w:p>
        </w:tc>
      </w:tr>
    </w:tbl>
    <w:p w14:paraId="070F30F7">
      <w:pPr>
        <w:wordWrap w:val="0"/>
        <w:adjustRightInd w:val="0"/>
        <w:snapToGrid w:val="0"/>
        <w:spacing w:line="360" w:lineRule="auto"/>
        <w:ind w:firstLine="482" w:firstLineChars="200"/>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4.5</w:t>
      </w:r>
      <w:r>
        <w:rPr>
          <w:rFonts w:asciiTheme="minorEastAsia" w:hAnsiTheme="minorEastAsia" w:eastAsiaTheme="minorEastAsia" w:cstheme="minorEastAsia"/>
          <w:snapToGrid w:val="0"/>
          <w:kern w:val="0"/>
          <w:szCs w:val="24"/>
        </w:rPr>
        <w:t>省外企业（包括组成联合体的所有成员单位）须按照《广东省住房和城乡建设厅关于取消省外建筑企业和人员进粤信息备案有关工作的通知》（粤建市﹝2015﹞52号）规定在“进粤企业和人员诚信信息登记平台”录入相关信息并通过数据规范检查。</w:t>
      </w:r>
    </w:p>
    <w:p w14:paraId="6CD63836">
      <w:pPr>
        <w:pStyle w:val="30"/>
        <w:spacing w:line="360" w:lineRule="auto"/>
        <w:jc w:val="both"/>
        <w:rPr>
          <w:rFonts w:hint="eastAsia" w:asciiTheme="minorEastAsia" w:hAnsiTheme="minorEastAsia" w:eastAsiaTheme="minorEastAsia" w:cstheme="minorEastAsia"/>
        </w:rPr>
      </w:pPr>
    </w:p>
    <w:p w14:paraId="71377091">
      <w:pPr>
        <w:pStyle w:val="36"/>
        <w:keepNext/>
        <w:keepLines/>
        <w:ind w:firstLine="482" w:firstLineChars="200"/>
        <w:jc w:val="both"/>
        <w:rPr>
          <w:rFonts w:hint="eastAsia" w:asciiTheme="minorEastAsia" w:hAnsiTheme="minorEastAsia" w:eastAsiaTheme="minorEastAsia" w:cstheme="minorEastAsia"/>
          <w:b/>
          <w:kern w:val="2"/>
        </w:rPr>
      </w:pPr>
      <w:bookmarkStart w:id="70" w:name="_Toc3588"/>
      <w:bookmarkStart w:id="71" w:name="_Toc8294"/>
      <w:bookmarkStart w:id="72" w:name="_Toc2707"/>
      <w:bookmarkStart w:id="73" w:name="_Toc17645"/>
      <w:bookmarkStart w:id="74" w:name="_Toc15362"/>
      <w:bookmarkStart w:id="75" w:name="_Toc19282"/>
      <w:bookmarkStart w:id="76" w:name="_Toc3094"/>
      <w:bookmarkStart w:id="77" w:name="_Toc24391"/>
      <w:bookmarkStart w:id="78" w:name="_Toc20378"/>
      <w:bookmarkStart w:id="79" w:name="_Toc18979"/>
      <w:r>
        <w:rPr>
          <w:rFonts w:hint="eastAsia" w:asciiTheme="minorEastAsia" w:hAnsiTheme="minorEastAsia" w:eastAsiaTheme="minorEastAsia" w:cstheme="minorEastAsia"/>
          <w:b/>
          <w:kern w:val="2"/>
        </w:rPr>
        <w:t>5 、工程招标内容及要求</w:t>
      </w:r>
      <w:bookmarkEnd w:id="70"/>
      <w:bookmarkEnd w:id="71"/>
      <w:bookmarkEnd w:id="72"/>
      <w:bookmarkEnd w:id="73"/>
      <w:bookmarkEnd w:id="74"/>
      <w:bookmarkEnd w:id="75"/>
      <w:bookmarkEnd w:id="76"/>
      <w:bookmarkEnd w:id="77"/>
      <w:bookmarkEnd w:id="78"/>
      <w:bookmarkEnd w:id="79"/>
    </w:p>
    <w:p w14:paraId="76E65BBD">
      <w:pPr>
        <w:pStyle w:val="42"/>
        <w:widowControl/>
        <w:spacing w:line="360" w:lineRule="auto"/>
        <w:ind w:firstLine="480"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设计阶段包括所有相关报建、报批、施工设计文件、施工图设计、施工图预算（不单独计收预算编制费用）及施工配合、后续设计服务工作等；</w:t>
      </w:r>
    </w:p>
    <w:p w14:paraId="7E5A659B">
      <w:pPr>
        <w:pStyle w:val="42"/>
        <w:widowControl/>
        <w:spacing w:line="360" w:lineRule="auto"/>
        <w:ind w:firstLine="480" w:firstLineChars="200"/>
        <w:jc w:val="left"/>
        <w:rPr>
          <w:rFonts w:hint="eastAsia" w:asciiTheme="minorEastAsia" w:hAnsiTheme="minorEastAsia" w:eastAsiaTheme="minorEastAsia" w:cstheme="minorEastAsia"/>
          <w:b/>
          <w:bCs/>
          <w:snapToGrid w:val="0"/>
          <w:kern w:val="0"/>
        </w:rPr>
      </w:pPr>
      <w:r>
        <w:rPr>
          <w:rFonts w:hint="eastAsia" w:asciiTheme="minorEastAsia" w:hAnsiTheme="minorEastAsia" w:eastAsiaTheme="minorEastAsia" w:cstheme="minorEastAsia"/>
          <w:sz w:val="24"/>
          <w:szCs w:val="21"/>
        </w:rPr>
        <w:t>施工包括施工图设计文件及工程量清单范围内的所有工程及配套设施等的施工及配合阶段验收、档案整理、保修期维护等总承包范围工作。</w:t>
      </w:r>
    </w:p>
    <w:p w14:paraId="6CF8E690">
      <w:pPr>
        <w:adjustRightInd w:val="0"/>
        <w:snapToGrid w:val="0"/>
        <w:spacing w:line="360" w:lineRule="auto"/>
        <w:ind w:firstLine="482" w:firstLineChars="200"/>
        <w:rPr>
          <w:rFonts w:asciiTheme="minorEastAsia" w:hAnsiTheme="minorEastAsia" w:eastAsiaTheme="minorEastAsia" w:cstheme="minorEastAsia"/>
          <w:b/>
          <w:bCs/>
          <w:snapToGrid w:val="0"/>
          <w:kern w:val="0"/>
          <w:szCs w:val="24"/>
        </w:rPr>
      </w:pPr>
      <w:r>
        <w:rPr>
          <w:rFonts w:asciiTheme="minorEastAsia" w:hAnsiTheme="minorEastAsia" w:eastAsiaTheme="minorEastAsia" w:cstheme="minorEastAsia"/>
          <w:b/>
          <w:bCs/>
          <w:snapToGrid w:val="0"/>
          <w:kern w:val="0"/>
          <w:szCs w:val="24"/>
        </w:rPr>
        <w:t>5.1本次设计工程的内容及要求：</w:t>
      </w:r>
    </w:p>
    <w:p w14:paraId="23B21AE0">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5.5.1</w:t>
      </w:r>
      <w:r>
        <w:rPr>
          <w:rFonts w:asciiTheme="minorEastAsia" w:hAnsiTheme="minorEastAsia" w:eastAsiaTheme="minorEastAsia" w:cstheme="minorEastAsia"/>
          <w:snapToGrid w:val="0"/>
          <w:kern w:val="0"/>
          <w:szCs w:val="24"/>
        </w:rPr>
        <w:t>本次设计工程的内容及要求：</w:t>
      </w:r>
    </w:p>
    <w:p w14:paraId="02BDC0E5">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5.1.1.1</w:t>
      </w:r>
      <w:r>
        <w:rPr>
          <w:rFonts w:hint="eastAsia" w:asciiTheme="minorEastAsia" w:hAnsiTheme="minorEastAsia" w:eastAsiaTheme="minorEastAsia" w:cstheme="minorEastAsia"/>
          <w:sz w:val="24"/>
          <w:szCs w:val="21"/>
        </w:rPr>
        <w:t>本项目设计包括工程所有专业及其配套设施工程和其他工程等所有招标范围工程项目报建、报批、施工设计文件、施工图（含配套附属工程等）设计（含预算编制）的编制。</w:t>
      </w:r>
    </w:p>
    <w:p w14:paraId="449DC98A">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5.1.1.2</w:t>
      </w:r>
      <w:r>
        <w:rPr>
          <w:rFonts w:hint="eastAsia" w:asciiTheme="minorEastAsia" w:hAnsiTheme="minorEastAsia" w:eastAsiaTheme="minorEastAsia" w:cstheme="minorEastAsia"/>
          <w:sz w:val="24"/>
          <w:szCs w:val="21"/>
        </w:rPr>
        <w:t>本工程各个阶段的设计成果必须经招标人及有关审批部门同意后方可进行下一工序的设计工作，若招标人或有关审批部门在审批过程中提出的设计修改或变更，中标人必须无条件进行修改或变更，招标人不再支付由此而增加的设计费用。本工程施工图设计必须先经招标人确认才能送审，并经招标人委托的有资质的审图机构审查合格。若招标人或审图机构在审查过程中提出的设计修改或变更，中标人必须无条件进行修改或优化设计，招标人不再支付由此而增加的设计费用。</w:t>
      </w:r>
    </w:p>
    <w:p w14:paraId="74497D63">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5.1.1.3</w:t>
      </w:r>
      <w:r>
        <w:rPr>
          <w:rFonts w:hint="eastAsia" w:asciiTheme="minorEastAsia" w:hAnsiTheme="minorEastAsia" w:eastAsiaTheme="minorEastAsia" w:cstheme="minorEastAsia"/>
          <w:sz w:val="24"/>
          <w:szCs w:val="21"/>
        </w:rPr>
        <w:t>本工程设计要求的质量标准：符合现行的国家及地方的有关设计规范等，且必须通过有关部门的审查及经有资质的审图机构审查合格。</w:t>
      </w:r>
    </w:p>
    <w:p w14:paraId="425C3008">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5.2</w:t>
      </w:r>
      <w:r>
        <w:rPr>
          <w:rFonts w:hint="eastAsia" w:asciiTheme="minorEastAsia" w:hAnsiTheme="minorEastAsia" w:eastAsiaTheme="minorEastAsia" w:cstheme="minorEastAsia"/>
          <w:sz w:val="24"/>
          <w:szCs w:val="21"/>
        </w:rPr>
        <w:t>设计承包内容：中标人按合同约定、招标文件内容要求、法律法规及国家强制性标准要求提供完整的设计文件及建设期间的服务等内容。</w:t>
      </w:r>
    </w:p>
    <w:p w14:paraId="65AB807D">
      <w:pPr>
        <w:pStyle w:val="42"/>
        <w:widowControl/>
        <w:spacing w:line="360" w:lineRule="auto"/>
        <w:ind w:firstLine="480"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施工图设计文件（含施工图预算）12套、施工图预算（含工程量清单）5套。提供的所有资料均含电子版（含CAD及PDF文件格式）。</w:t>
      </w:r>
    </w:p>
    <w:p w14:paraId="7F6D3697">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5.3</w:t>
      </w:r>
      <w:r>
        <w:rPr>
          <w:rFonts w:hint="eastAsia" w:asciiTheme="minorEastAsia" w:hAnsiTheme="minorEastAsia" w:eastAsiaTheme="minorEastAsia" w:cstheme="minorEastAsia"/>
          <w:sz w:val="24"/>
          <w:szCs w:val="21"/>
        </w:rPr>
        <w:t xml:space="preserve"> 中标人要按照批准的设计任务书、投资概算、批准的可行性研究报告、初步设计成果资料等控制施工图设计及施工图预算，即限额设计。中标人要无条件对设计文件出现的遗漏或错误负责修改或补充、优化设计，直到满足要求。</w:t>
      </w:r>
    </w:p>
    <w:p w14:paraId="1BD43060">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5.4</w:t>
      </w:r>
      <w:r>
        <w:rPr>
          <w:rFonts w:hint="eastAsia" w:asciiTheme="minorEastAsia" w:hAnsiTheme="minorEastAsia" w:eastAsiaTheme="minorEastAsia" w:cstheme="minorEastAsia"/>
          <w:sz w:val="24"/>
          <w:szCs w:val="21"/>
        </w:rPr>
        <w:t xml:space="preserve"> 施工期间若遇到工程变更、突发事件或不可预见的事件等情况，中标人接到建设单位或监理单位通知后应当立即到达施工现场，研究并及时处理问题。</w:t>
      </w:r>
    </w:p>
    <w:p w14:paraId="36508D8B">
      <w:pPr>
        <w:pStyle w:val="42"/>
        <w:widowControl/>
        <w:spacing w:line="360" w:lineRule="auto"/>
        <w:ind w:firstLine="482" w:firstLineChars="200"/>
        <w:jc w:val="left"/>
        <w:rPr>
          <w:rFonts w:hint="eastAsia" w:asciiTheme="minorEastAsia" w:hAnsiTheme="minorEastAsia" w:eastAsiaTheme="minorEastAsia" w:cstheme="minorEastAsia"/>
          <w:b/>
          <w:bCs/>
          <w:sz w:val="24"/>
          <w:szCs w:val="21"/>
        </w:rPr>
      </w:pPr>
      <w:r>
        <w:rPr>
          <w:rFonts w:hint="eastAsia" w:asciiTheme="minorEastAsia" w:hAnsiTheme="minorEastAsia" w:eastAsiaTheme="minorEastAsia" w:cstheme="minorEastAsia"/>
          <w:b/>
          <w:bCs/>
          <w:sz w:val="24"/>
          <w:szCs w:val="21"/>
        </w:rPr>
        <w:t>5.5关于设计深度的要求</w:t>
      </w:r>
    </w:p>
    <w:p w14:paraId="4B52EFF4">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5.5.1</w:t>
      </w:r>
      <w:r>
        <w:rPr>
          <w:rFonts w:hint="eastAsia" w:asciiTheme="minorEastAsia" w:hAnsiTheme="minorEastAsia" w:eastAsiaTheme="minorEastAsia" w:cstheme="minorEastAsia"/>
          <w:sz w:val="24"/>
          <w:szCs w:val="21"/>
        </w:rPr>
        <w:t>按现行的设计文件深度规定等有关技术标准、设计规范（标准）要求。</w:t>
      </w:r>
    </w:p>
    <w:p w14:paraId="47CC310B">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5.5.2</w:t>
      </w:r>
      <w:r>
        <w:rPr>
          <w:rFonts w:hint="eastAsia" w:asciiTheme="minorEastAsia" w:hAnsiTheme="minorEastAsia" w:eastAsiaTheme="minorEastAsia" w:cstheme="minorEastAsia"/>
          <w:sz w:val="24"/>
          <w:szCs w:val="21"/>
        </w:rPr>
        <w:t>各专业设计应同步进行，中标人应指定总体中标人统筹布局，做好各项设施的协调和衔接、位置预留，不得留待施工中临时变更。</w:t>
      </w:r>
    </w:p>
    <w:p w14:paraId="7F823ED2">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5.5.3</w:t>
      </w:r>
      <w:r>
        <w:rPr>
          <w:rFonts w:hint="eastAsia" w:asciiTheme="minorEastAsia" w:hAnsiTheme="minorEastAsia" w:eastAsiaTheme="minorEastAsia" w:cstheme="minorEastAsia"/>
          <w:sz w:val="24"/>
          <w:szCs w:val="21"/>
        </w:rPr>
        <w:t>对技术复杂或造价、规模较大的主要分项工程应作方案比较。</w:t>
      </w:r>
    </w:p>
    <w:p w14:paraId="42B0F799">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5.5.4</w:t>
      </w:r>
      <w:r>
        <w:rPr>
          <w:rFonts w:hint="eastAsia" w:asciiTheme="minorEastAsia" w:hAnsiTheme="minorEastAsia" w:eastAsiaTheme="minorEastAsia" w:cstheme="minorEastAsia"/>
          <w:sz w:val="24"/>
          <w:szCs w:val="21"/>
        </w:rPr>
        <w:t>施工图设计文件的深度，应当满足设备材料采购，非标准设备制作和施工的需要，并注明建设工程合理使用年限。</w:t>
      </w:r>
    </w:p>
    <w:p w14:paraId="1A17856C">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5.5.5</w:t>
      </w:r>
      <w:r>
        <w:rPr>
          <w:rFonts w:hint="eastAsia" w:asciiTheme="minorEastAsia" w:hAnsiTheme="minorEastAsia" w:eastAsiaTheme="minorEastAsia" w:cstheme="minorEastAsia"/>
          <w:sz w:val="24"/>
          <w:szCs w:val="21"/>
        </w:rPr>
        <w:t>相关的配套外部接口方案均需取得政府主管部门或规划部门认可。</w:t>
      </w:r>
    </w:p>
    <w:p w14:paraId="136635BC">
      <w:pPr>
        <w:pStyle w:val="42"/>
        <w:widowControl/>
        <w:spacing w:line="360" w:lineRule="auto"/>
        <w:ind w:firstLine="482" w:firstLineChars="200"/>
        <w:jc w:val="left"/>
        <w:rPr>
          <w:rFonts w:hint="eastAsia" w:asciiTheme="minorEastAsia" w:hAnsiTheme="minorEastAsia" w:eastAsiaTheme="minorEastAsia" w:cstheme="minorEastAsia"/>
          <w:sz w:val="24"/>
          <w:szCs w:val="21"/>
        </w:rPr>
      </w:pPr>
      <w:r>
        <w:rPr>
          <w:rFonts w:hint="eastAsia" w:asciiTheme="minorEastAsia" w:hAnsiTheme="minorEastAsia" w:eastAsiaTheme="minorEastAsia" w:cstheme="minorEastAsia"/>
          <w:b/>
          <w:bCs/>
          <w:sz w:val="24"/>
          <w:szCs w:val="21"/>
        </w:rPr>
        <w:t>5.5.6</w:t>
      </w:r>
      <w:r>
        <w:rPr>
          <w:rFonts w:hint="eastAsia" w:asciiTheme="minorEastAsia" w:hAnsiTheme="minorEastAsia" w:eastAsiaTheme="minorEastAsia" w:cstheme="minorEastAsia"/>
          <w:sz w:val="24"/>
          <w:szCs w:val="21"/>
        </w:rPr>
        <w:t>施工图设计文件应考虑交通维护、临时施工便道、危大工程、对周边建筑物的影响等因素，并提供相应的设计方案及计算书（可另册装订），以指导现场施工及过程评审。</w:t>
      </w:r>
    </w:p>
    <w:p w14:paraId="53283B4C">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5.6</w:t>
      </w:r>
      <w:r>
        <w:rPr>
          <w:rFonts w:asciiTheme="minorEastAsia" w:hAnsiTheme="minorEastAsia" w:eastAsiaTheme="minorEastAsia" w:cstheme="minorEastAsia"/>
          <w:b/>
          <w:bCs/>
          <w:kern w:val="0"/>
          <w:szCs w:val="24"/>
        </w:rPr>
        <w:t>．</w:t>
      </w:r>
      <w:r>
        <w:rPr>
          <w:rFonts w:asciiTheme="minorEastAsia" w:hAnsiTheme="minorEastAsia" w:eastAsiaTheme="minorEastAsia" w:cstheme="minorEastAsia"/>
          <w:snapToGrid w:val="0"/>
          <w:kern w:val="0"/>
          <w:szCs w:val="24"/>
        </w:rPr>
        <w:t>设计后期配合施工工作</w:t>
      </w:r>
    </w:p>
    <w:p w14:paraId="4977AFD2">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5.6.1</w:t>
      </w:r>
      <w:r>
        <w:rPr>
          <w:rFonts w:asciiTheme="minorEastAsia" w:hAnsiTheme="minorEastAsia" w:eastAsiaTheme="minorEastAsia" w:cstheme="minorEastAsia"/>
          <w:b/>
          <w:bCs/>
          <w:kern w:val="0"/>
          <w:szCs w:val="24"/>
        </w:rPr>
        <w:t>．</w:t>
      </w:r>
      <w:r>
        <w:rPr>
          <w:rFonts w:asciiTheme="minorEastAsia" w:hAnsiTheme="minorEastAsia" w:eastAsiaTheme="minorEastAsia" w:cstheme="minorEastAsia"/>
          <w:snapToGrid w:val="0"/>
          <w:kern w:val="0"/>
          <w:szCs w:val="24"/>
        </w:rPr>
        <w:t>施工图设计完成并经有关单位审查后，才能进入施工阶段，设计单位必须按投标文件的承诺至少派1名参与并熟悉本项目设计、有现场处理经验的设计代表驻现场以配合，建设管理单位不另外支付配合施工费用。</w:t>
      </w:r>
    </w:p>
    <w:p w14:paraId="0FA0E3A2">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5.6.2</w:t>
      </w:r>
      <w:r>
        <w:rPr>
          <w:rFonts w:asciiTheme="minorEastAsia" w:hAnsiTheme="minorEastAsia" w:eastAsiaTheme="minorEastAsia" w:cstheme="minorEastAsia"/>
          <w:b/>
          <w:bCs/>
          <w:kern w:val="0"/>
          <w:szCs w:val="24"/>
        </w:rPr>
        <w:t>．</w:t>
      </w:r>
      <w:r>
        <w:rPr>
          <w:rFonts w:asciiTheme="minorEastAsia" w:hAnsiTheme="minorEastAsia" w:eastAsiaTheme="minorEastAsia" w:cstheme="minorEastAsia"/>
          <w:snapToGrid w:val="0"/>
          <w:kern w:val="0"/>
          <w:szCs w:val="24"/>
        </w:rPr>
        <w:t>设计单位配合施工、监理及业主单位的工作内容如下：</w:t>
      </w:r>
    </w:p>
    <w:p w14:paraId="2A497740">
      <w:pPr>
        <w:numPr>
          <w:ilvl w:val="0"/>
          <w:numId w:val="2"/>
        </w:numPr>
        <w:tabs>
          <w:tab w:val="left" w:pos="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施工图设计（技术）交底；</w:t>
      </w:r>
    </w:p>
    <w:p w14:paraId="5F708AF8">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配合勘察单位现场交桩；</w:t>
      </w:r>
    </w:p>
    <w:p w14:paraId="7B903930">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变更设计和所有补充设计；</w:t>
      </w:r>
    </w:p>
    <w:p w14:paraId="66EED242">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会签设计变更审批表；</w:t>
      </w:r>
    </w:p>
    <w:p w14:paraId="73051680">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参加处理施工中发生的工程质量和安全事故；</w:t>
      </w:r>
    </w:p>
    <w:p w14:paraId="253D1540">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参加隐蔽工程及工程竣工验收；</w:t>
      </w:r>
    </w:p>
    <w:p w14:paraId="33650FB1">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解决与设计有关的施工问题；</w:t>
      </w:r>
    </w:p>
    <w:p w14:paraId="4717D22A">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配合质量检测；</w:t>
      </w:r>
    </w:p>
    <w:p w14:paraId="77E67F6E">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参加审查施工单位的施工组织设计和专项施工方案；</w:t>
      </w:r>
    </w:p>
    <w:p w14:paraId="60B3878F">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参加本项目建设有关会议。</w:t>
      </w:r>
    </w:p>
    <w:p w14:paraId="626468AA">
      <w:pPr>
        <w:numPr>
          <w:ilvl w:val="0"/>
          <w:numId w:val="2"/>
        </w:numPr>
        <w:tabs>
          <w:tab w:val="left" w:pos="240"/>
        </w:tabs>
        <w:spacing w:line="360" w:lineRule="auto"/>
        <w:ind w:left="240" w:left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在监理招标期间配合建设及相关单位解释及完善施工图相关内容。</w:t>
      </w:r>
    </w:p>
    <w:p w14:paraId="41103B4B">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5.6.3</w:t>
      </w:r>
      <w:r>
        <w:rPr>
          <w:rFonts w:asciiTheme="minorEastAsia" w:hAnsiTheme="minorEastAsia" w:eastAsiaTheme="minorEastAsia" w:cstheme="minorEastAsia"/>
          <w:snapToGrid w:val="0"/>
          <w:kern w:val="0"/>
          <w:szCs w:val="24"/>
        </w:rPr>
        <w:t>设计工作技术总结</w:t>
      </w:r>
    </w:p>
    <w:p w14:paraId="26BF778D">
      <w:pPr>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中标人对设计文件及施工过程中发生的补充设计进行检查，并提出设计文件质量检查报告，在竣工验收前交招标人。工程完工后，中标人应组织设计技术工作人员将全部资料进行整理并撰写工程技术总结，并于竣工后一个月内完成，交招标人。</w:t>
      </w:r>
    </w:p>
    <w:p w14:paraId="1A5A24C2">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5.7</w:t>
      </w:r>
      <w:r>
        <w:rPr>
          <w:rFonts w:asciiTheme="minorEastAsia" w:hAnsiTheme="minorEastAsia" w:eastAsiaTheme="minorEastAsia" w:cstheme="minorEastAsia"/>
          <w:snapToGrid w:val="0"/>
          <w:kern w:val="0"/>
          <w:szCs w:val="24"/>
        </w:rPr>
        <w:t>限额设计要求：</w:t>
      </w:r>
    </w:p>
    <w:p w14:paraId="0F40D35D">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5.7.1</w:t>
      </w:r>
      <w:r>
        <w:rPr>
          <w:rFonts w:asciiTheme="minorEastAsia" w:hAnsiTheme="minorEastAsia" w:eastAsiaTheme="minorEastAsia" w:cstheme="minorEastAsia"/>
          <w:snapToGrid w:val="0"/>
          <w:kern w:val="0"/>
          <w:szCs w:val="24"/>
        </w:rPr>
        <w:t>施工图预算中的建安工程费预算价不得超过经发改部门审定的概算建安工程费</w:t>
      </w:r>
      <w:r>
        <w:rPr>
          <w:rFonts w:asciiTheme="minorEastAsia" w:hAnsiTheme="minorEastAsia" w:eastAsiaTheme="minorEastAsia" w:cstheme="minorEastAsia"/>
          <w:szCs w:val="24"/>
        </w:rPr>
        <w:t>且不得超过建安工程费的中标价</w:t>
      </w:r>
      <w:r>
        <w:rPr>
          <w:rFonts w:asciiTheme="minorEastAsia" w:hAnsiTheme="minorEastAsia" w:eastAsiaTheme="minorEastAsia" w:cstheme="minorEastAsia"/>
          <w:snapToGrid w:val="0"/>
          <w:kern w:val="0"/>
          <w:szCs w:val="24"/>
        </w:rPr>
        <w:t>。</w:t>
      </w:r>
    </w:p>
    <w:p w14:paraId="44F942B1">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5.7.2</w:t>
      </w:r>
      <w:r>
        <w:rPr>
          <w:rFonts w:asciiTheme="minorEastAsia" w:hAnsiTheme="minorEastAsia" w:eastAsiaTheme="minorEastAsia" w:cstheme="minorEastAsia"/>
          <w:snapToGrid w:val="0"/>
          <w:kern w:val="0"/>
          <w:szCs w:val="24"/>
        </w:rPr>
        <w:t>中标人在提交设计施工图时必须同时提交施工图预算。施工图预算作为中标人自我核算是否符合限额设计要求的依据。若造价咨询单位按施工图编制或审核的建安工程费高于5.7.1条规定时，中标人必须无条件对施工图进行修改，直至满足限额设计要求，</w:t>
      </w:r>
      <w:r>
        <w:rPr>
          <w:rFonts w:asciiTheme="minorEastAsia" w:hAnsiTheme="minorEastAsia" w:eastAsiaTheme="minorEastAsia" w:cstheme="minorEastAsia"/>
          <w:szCs w:val="24"/>
        </w:rPr>
        <w:t>不另行增加设计费</w:t>
      </w:r>
      <w:r>
        <w:rPr>
          <w:rFonts w:asciiTheme="minorEastAsia" w:hAnsiTheme="minorEastAsia" w:eastAsiaTheme="minorEastAsia" w:cstheme="minorEastAsia"/>
          <w:snapToGrid w:val="0"/>
          <w:kern w:val="0"/>
          <w:szCs w:val="24"/>
        </w:rPr>
        <w:t>。由此造成造价咨询单位重复编制或审核施工图预算的费用由中标人承担，结算时在设计费中扣除。</w:t>
      </w:r>
    </w:p>
    <w:p w14:paraId="29806B13">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5.7.3</w:t>
      </w:r>
      <w:r>
        <w:rPr>
          <w:rFonts w:asciiTheme="minorEastAsia" w:hAnsiTheme="minorEastAsia" w:eastAsiaTheme="minorEastAsia" w:cstheme="minorEastAsia"/>
          <w:snapToGrid w:val="0"/>
          <w:kern w:val="0"/>
          <w:szCs w:val="24"/>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w:t>
      </w:r>
    </w:p>
    <w:p w14:paraId="3E988B86">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5.8</w:t>
      </w:r>
      <w:r>
        <w:rPr>
          <w:rFonts w:asciiTheme="minorEastAsia" w:hAnsiTheme="minorEastAsia" w:eastAsiaTheme="minorEastAsia" w:cstheme="minorEastAsia"/>
          <w:snapToGrid w:val="0"/>
          <w:kern w:val="0"/>
          <w:szCs w:val="24"/>
        </w:rPr>
        <w:t>设计时需要考虑与周边环境相结合。</w:t>
      </w:r>
    </w:p>
    <w:p w14:paraId="7D2D626D">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5.9</w:t>
      </w:r>
      <w:r>
        <w:rPr>
          <w:rFonts w:asciiTheme="minorEastAsia" w:hAnsiTheme="minorEastAsia" w:eastAsiaTheme="minorEastAsia" w:cstheme="minorEastAsia"/>
          <w:snapToGrid w:val="0"/>
          <w:kern w:val="0"/>
          <w:szCs w:val="24"/>
        </w:rPr>
        <w:t>凡参加本次招标的投标人被视为已充分认识和理解了任何与本工程有关的影响事项和困难等情况。</w:t>
      </w:r>
    </w:p>
    <w:p w14:paraId="5125EC21">
      <w:pPr>
        <w:adjustRightInd w:val="0"/>
        <w:snapToGrid w:val="0"/>
        <w:spacing w:line="360" w:lineRule="auto"/>
        <w:ind w:firstLine="482" w:firstLineChars="200"/>
        <w:rPr>
          <w:rFonts w:asciiTheme="minorEastAsia" w:hAnsiTheme="minorEastAsia" w:eastAsiaTheme="minorEastAsia" w:cstheme="minorEastAsia"/>
          <w:b/>
          <w:bCs/>
          <w:snapToGrid w:val="0"/>
          <w:kern w:val="0"/>
          <w:szCs w:val="24"/>
          <w:u w:val="single"/>
        </w:rPr>
      </w:pPr>
      <w:r>
        <w:rPr>
          <w:rFonts w:asciiTheme="minorEastAsia" w:hAnsiTheme="minorEastAsia" w:eastAsiaTheme="minorEastAsia" w:cstheme="minorEastAsia"/>
          <w:b/>
          <w:bCs/>
          <w:snapToGrid w:val="0"/>
          <w:kern w:val="0"/>
          <w:szCs w:val="24"/>
          <w:u w:val="single"/>
        </w:rPr>
        <w:t>（注：上述招标内容具体详见设计任务书和初步设计及概算，</w:t>
      </w:r>
      <w:r>
        <w:rPr>
          <w:rFonts w:asciiTheme="minorEastAsia" w:hAnsiTheme="minorEastAsia" w:eastAsiaTheme="minorEastAsia" w:cstheme="minorEastAsia"/>
          <w:b/>
          <w:bCs/>
          <w:szCs w:val="24"/>
          <w:u w:val="single"/>
        </w:rPr>
        <w:t>同时招标人在实施过程中可根据实际情况对工程规模、任务内容等进行合理、适当调整。</w:t>
      </w:r>
      <w:r>
        <w:rPr>
          <w:rFonts w:asciiTheme="minorEastAsia" w:hAnsiTheme="minorEastAsia" w:eastAsiaTheme="minorEastAsia" w:cstheme="minorEastAsia"/>
          <w:b/>
          <w:bCs/>
          <w:snapToGrid w:val="0"/>
          <w:kern w:val="0"/>
          <w:szCs w:val="24"/>
          <w:u w:val="single"/>
        </w:rPr>
        <w:t>）</w:t>
      </w:r>
    </w:p>
    <w:p w14:paraId="36E083A2">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5.10</w:t>
      </w:r>
      <w:r>
        <w:rPr>
          <w:rFonts w:asciiTheme="minorEastAsia" w:hAnsiTheme="minorEastAsia" w:eastAsiaTheme="minorEastAsia" w:cstheme="minorEastAsia"/>
          <w:snapToGrid w:val="0"/>
          <w:kern w:val="0"/>
          <w:szCs w:val="24"/>
        </w:rPr>
        <w:t>工程技术要求：本工程须严格以国家和广东省的有关施工技术规范及现行标准为依据</w:t>
      </w:r>
      <w:bookmarkStart w:id="80" w:name="_Hlt74496021"/>
      <w:bookmarkEnd w:id="80"/>
      <w:r>
        <w:rPr>
          <w:rFonts w:asciiTheme="minorEastAsia" w:hAnsiTheme="minorEastAsia" w:eastAsiaTheme="minorEastAsia" w:cstheme="minorEastAsia"/>
          <w:snapToGrid w:val="0"/>
          <w:kern w:val="0"/>
          <w:szCs w:val="24"/>
        </w:rPr>
        <w:t>，工程必须达到合格标准，如工程未达到合格标准，中标人则按合同价款的1%向招标人缴纳质量违约金，返修费用由中标人承担，同时，招标人有权就因此造成的损失向中标人索赔。招标人有权提请建设行政主管部门对其作不良行为记录，有权给予中标人履约评价为不合格，同时招标人有权拒绝中标人3年内参加招标人其它工程的投标。</w:t>
      </w:r>
    </w:p>
    <w:p w14:paraId="5E26A8EE">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5.11</w:t>
      </w:r>
      <w:r>
        <w:rPr>
          <w:rFonts w:asciiTheme="minorEastAsia" w:hAnsiTheme="minorEastAsia" w:eastAsiaTheme="minorEastAsia" w:cstheme="minorEastAsia"/>
          <w:snapToGrid w:val="0"/>
          <w:kern w:val="0"/>
          <w:szCs w:val="24"/>
        </w:rPr>
        <w:t xml:space="preserve"> 中标人在施工中如果工程质量不符合设计要求和有关规定，招标人或监理单位要求停工和返工的必须立即执行，并由中标人承担由此产生的各种费用，工期不予顺延。</w:t>
      </w:r>
    </w:p>
    <w:p w14:paraId="0C2B8C74">
      <w:pPr>
        <w:adjustRightInd w:val="0"/>
        <w:snapToGrid w:val="0"/>
        <w:spacing w:line="360" w:lineRule="auto"/>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 xml:space="preserve">5.12 </w:t>
      </w:r>
      <w:r>
        <w:rPr>
          <w:rFonts w:asciiTheme="minorEastAsia" w:hAnsiTheme="minorEastAsia" w:eastAsiaTheme="minorEastAsia" w:cstheme="minorEastAsia"/>
          <w:snapToGrid w:val="0"/>
          <w:kern w:val="0"/>
          <w:szCs w:val="24"/>
        </w:rPr>
        <w:t>保修期限按中华人民共和国国务院令第279号文《建设工程质量管理条例》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DB7F762">
      <w:pPr>
        <w:adjustRightInd w:val="0"/>
        <w:snapToGrid w:val="0"/>
        <w:spacing w:line="360" w:lineRule="auto"/>
        <w:ind w:firstLine="482" w:firstLineChars="200"/>
        <w:rPr>
          <w:rFonts w:asciiTheme="minorEastAsia" w:hAnsiTheme="minorEastAsia" w:eastAsiaTheme="minorEastAsia" w:cstheme="minorEastAsia"/>
        </w:rPr>
      </w:pPr>
      <w:r>
        <w:rPr>
          <w:rFonts w:asciiTheme="minorEastAsia" w:hAnsiTheme="minorEastAsia" w:eastAsiaTheme="minorEastAsia" w:cstheme="minorEastAsia"/>
          <w:b/>
          <w:bCs/>
          <w:snapToGrid w:val="0"/>
          <w:kern w:val="0"/>
          <w:szCs w:val="24"/>
        </w:rPr>
        <w:t xml:space="preserve">5.13 </w:t>
      </w:r>
      <w:r>
        <w:rPr>
          <w:rFonts w:asciiTheme="minorEastAsia" w:hAnsiTheme="minorEastAsia" w:eastAsiaTheme="minorEastAsia" w:cstheme="minorEastAsia"/>
          <w:snapToGrid w:val="0"/>
          <w:kern w:val="0"/>
          <w:szCs w:val="24"/>
        </w:rPr>
        <w:t>工程使用的主要材料质量要求：不低于国家规范及强制标准所列的要求。主要材料必须先提供样板或相关资料给招标人、业主同意确定其规格、型号、颜色、等级等，</w:t>
      </w:r>
      <w:r>
        <w:rPr>
          <w:rFonts w:asciiTheme="minorEastAsia" w:hAnsiTheme="minorEastAsia" w:eastAsiaTheme="minorEastAsia" w:cstheme="minorEastAsia"/>
          <w:snapToGrid w:val="0"/>
          <w:kern w:val="0"/>
          <w:szCs w:val="24"/>
          <w:lang w:val="zh-CN"/>
        </w:rPr>
        <w:t>并经检测部门检测合格</w:t>
      </w:r>
      <w:r>
        <w:rPr>
          <w:rFonts w:asciiTheme="minorEastAsia" w:hAnsiTheme="minorEastAsia" w:eastAsiaTheme="minorEastAsia" w:cstheme="minorEastAsia"/>
          <w:snapToGrid w:val="0"/>
          <w:kern w:val="0"/>
          <w:szCs w:val="24"/>
        </w:rPr>
        <w:t>方可使用，所有材料必须使用合格产品。</w:t>
      </w:r>
      <w:bookmarkStart w:id="81" w:name="_Hlt88974078"/>
      <w:bookmarkEnd w:id="81"/>
      <w:bookmarkStart w:id="82" w:name="_Hlt69356505"/>
      <w:bookmarkEnd w:id="82"/>
      <w:bookmarkStart w:id="83" w:name="_Hlt120502666"/>
      <w:bookmarkEnd w:id="83"/>
      <w:bookmarkStart w:id="84" w:name="_Hlt111690342"/>
      <w:bookmarkEnd w:id="84"/>
      <w:bookmarkStart w:id="85" w:name="_Hlt69699204"/>
      <w:bookmarkEnd w:id="85"/>
      <w:bookmarkStart w:id="86" w:name="_Hlt121563076"/>
      <w:bookmarkEnd w:id="86"/>
      <w:bookmarkStart w:id="87" w:name="_Hlt74496537"/>
      <w:bookmarkEnd w:id="87"/>
      <w:bookmarkStart w:id="88" w:name="_Hlt74493474"/>
      <w:bookmarkEnd w:id="88"/>
    </w:p>
    <w:p w14:paraId="159A621D">
      <w:pPr>
        <w:pStyle w:val="36"/>
        <w:keepNext/>
        <w:keepLines/>
        <w:ind w:firstLine="480"/>
        <w:jc w:val="both"/>
        <w:rPr>
          <w:rFonts w:hint="eastAsia" w:asciiTheme="minorEastAsia" w:hAnsiTheme="minorEastAsia" w:eastAsiaTheme="minorEastAsia" w:cstheme="minorEastAsia"/>
          <w:b/>
          <w:kern w:val="2"/>
        </w:rPr>
      </w:pPr>
      <w:bookmarkStart w:id="89" w:name="_Toc3193"/>
      <w:bookmarkStart w:id="90" w:name="_Toc10812"/>
      <w:bookmarkStart w:id="91" w:name="_Toc4485"/>
      <w:bookmarkStart w:id="92" w:name="_Toc24793"/>
      <w:bookmarkStart w:id="93" w:name="_Toc17958"/>
      <w:bookmarkStart w:id="94" w:name="_Toc16432"/>
      <w:bookmarkStart w:id="95" w:name="_Toc19911"/>
      <w:bookmarkStart w:id="96" w:name="_Toc12891"/>
      <w:bookmarkStart w:id="97" w:name="_Toc20827"/>
      <w:bookmarkStart w:id="98" w:name="_Toc20005"/>
      <w:r>
        <w:rPr>
          <w:rFonts w:hint="eastAsia" w:asciiTheme="minorEastAsia" w:hAnsiTheme="minorEastAsia" w:eastAsiaTheme="minorEastAsia" w:cstheme="minorEastAsia"/>
          <w:b/>
          <w:kern w:val="2"/>
        </w:rPr>
        <w:t>6 、招标工程施工条件及现场踏勘</w:t>
      </w:r>
      <w:bookmarkEnd w:id="89"/>
      <w:bookmarkEnd w:id="90"/>
      <w:bookmarkEnd w:id="91"/>
      <w:bookmarkEnd w:id="92"/>
      <w:bookmarkEnd w:id="93"/>
      <w:bookmarkEnd w:id="94"/>
      <w:bookmarkEnd w:id="95"/>
      <w:bookmarkEnd w:id="96"/>
      <w:bookmarkEnd w:id="97"/>
      <w:bookmarkEnd w:id="98"/>
    </w:p>
    <w:p w14:paraId="5EB2C195">
      <w:pPr>
        <w:pStyle w:val="43"/>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6.1本工程招标人仅在征地红线范围内提供场地，其他一切场地费用由中标人自行负责（含临时道路）。</w:t>
      </w:r>
    </w:p>
    <w:p w14:paraId="0AB9632C">
      <w:pPr>
        <w:wordWrap w:val="0"/>
        <w:adjustRightInd w:val="0"/>
        <w:snapToGrid w:val="0"/>
        <w:spacing w:line="360" w:lineRule="auto"/>
        <w:ind w:firstLine="360" w:firstLineChars="150"/>
        <w:rPr>
          <w:rFonts w:asciiTheme="minorEastAsia" w:hAnsiTheme="minorEastAsia" w:eastAsiaTheme="minorEastAsia" w:cstheme="minorEastAsia"/>
          <w:b/>
          <w:bCs/>
          <w:snapToGrid w:val="0"/>
          <w:kern w:val="0"/>
          <w:szCs w:val="24"/>
        </w:rPr>
      </w:pPr>
      <w:r>
        <w:rPr>
          <w:rFonts w:asciiTheme="minorEastAsia" w:hAnsiTheme="minorEastAsia" w:eastAsiaTheme="minorEastAsia" w:cstheme="minorEastAsia"/>
        </w:rPr>
        <w:t xml:space="preserve"> 6.2 </w:t>
      </w:r>
      <w:r>
        <w:rPr>
          <w:rFonts w:asciiTheme="minorEastAsia" w:hAnsiTheme="minorEastAsia" w:eastAsiaTheme="minorEastAsia" w:cstheme="minorEastAsia"/>
          <w:szCs w:val="24"/>
        </w:rPr>
        <w:t>施工用水：</w:t>
      </w:r>
      <w:r>
        <w:rPr>
          <w:rFonts w:asciiTheme="minorEastAsia" w:hAnsiTheme="minorEastAsia" w:eastAsiaTheme="minorEastAsia" w:cstheme="minorEastAsia"/>
          <w:szCs w:val="24"/>
          <w:u w:val="single"/>
        </w:rPr>
        <w:t>招标人协调，</w:t>
      </w:r>
      <w:r>
        <w:rPr>
          <w:rFonts w:asciiTheme="minorEastAsia" w:hAnsiTheme="minorEastAsia" w:eastAsiaTheme="minorEastAsia" w:cstheme="minorEastAsia"/>
          <w:snapToGrid w:val="0"/>
          <w:kern w:val="0"/>
          <w:szCs w:val="24"/>
          <w:u w:val="single"/>
        </w:rPr>
        <w:t>施工用水及水源由中标人自行解决，费用含在投标报价中，不另计</w:t>
      </w:r>
      <w:r>
        <w:rPr>
          <w:rFonts w:asciiTheme="minorEastAsia" w:hAnsiTheme="minorEastAsia" w:eastAsiaTheme="minorEastAsia" w:cstheme="minorEastAsia"/>
          <w:kern w:val="0"/>
          <w:szCs w:val="24"/>
          <w:u w:val="single"/>
        </w:rPr>
        <w:t>。</w:t>
      </w:r>
    </w:p>
    <w:p w14:paraId="051E53FF">
      <w:pPr>
        <w:wordWrap w:val="0"/>
        <w:adjustRightInd w:val="0"/>
        <w:snapToGrid w:val="0"/>
        <w:spacing w:line="360" w:lineRule="auto"/>
        <w:ind w:firstLine="480" w:firstLineChars="200"/>
        <w:rPr>
          <w:rFonts w:asciiTheme="minorEastAsia" w:hAnsiTheme="minorEastAsia" w:eastAsiaTheme="minorEastAsia" w:cstheme="minorEastAsia"/>
          <w:b/>
          <w:bCs/>
          <w:snapToGrid w:val="0"/>
          <w:kern w:val="0"/>
          <w:szCs w:val="24"/>
        </w:rPr>
      </w:pPr>
      <w:r>
        <w:rPr>
          <w:rFonts w:asciiTheme="minorEastAsia" w:hAnsiTheme="minorEastAsia" w:eastAsiaTheme="minorEastAsia" w:cstheme="minorEastAsia"/>
        </w:rPr>
        <w:t xml:space="preserve">6.3 </w:t>
      </w:r>
      <w:r>
        <w:rPr>
          <w:rFonts w:asciiTheme="minorEastAsia" w:hAnsiTheme="minorEastAsia" w:eastAsiaTheme="minorEastAsia" w:cstheme="minorEastAsia"/>
          <w:szCs w:val="24"/>
        </w:rPr>
        <w:t>施工用电：</w:t>
      </w:r>
      <w:r>
        <w:rPr>
          <w:rFonts w:asciiTheme="minorEastAsia" w:hAnsiTheme="minorEastAsia" w:eastAsiaTheme="minorEastAsia" w:cstheme="minorEastAsia"/>
          <w:szCs w:val="24"/>
          <w:u w:val="single"/>
        </w:rPr>
        <w:t>招标人协调，</w:t>
      </w:r>
      <w:r>
        <w:rPr>
          <w:rFonts w:asciiTheme="minorEastAsia" w:hAnsiTheme="minorEastAsia" w:eastAsiaTheme="minorEastAsia" w:cstheme="minorEastAsia"/>
          <w:snapToGrid w:val="0"/>
          <w:kern w:val="0"/>
          <w:szCs w:val="24"/>
          <w:u w:val="single"/>
        </w:rPr>
        <w:t>施工用电及电源由中标人自行解决，费用含在投标报价中，不另计</w:t>
      </w:r>
      <w:r>
        <w:rPr>
          <w:rFonts w:asciiTheme="minorEastAsia" w:hAnsiTheme="minorEastAsia" w:eastAsiaTheme="minorEastAsia" w:cstheme="minorEastAsia"/>
          <w:kern w:val="0"/>
          <w:szCs w:val="24"/>
          <w:u w:val="single"/>
        </w:rPr>
        <w:t>。</w:t>
      </w:r>
    </w:p>
    <w:p w14:paraId="77891C46">
      <w:pPr>
        <w:pStyle w:val="34"/>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6.4</w:t>
      </w:r>
      <w:r>
        <w:rPr>
          <w:rFonts w:hint="eastAsia" w:asciiTheme="minorEastAsia" w:hAnsiTheme="minorEastAsia" w:eastAsiaTheme="minorEastAsia" w:cstheme="minorEastAsia"/>
          <w:szCs w:val="22"/>
        </w:rPr>
        <w:t>施工用水、用电由中标人负责报装并接入施工红线范围，</w:t>
      </w:r>
      <w:r>
        <w:rPr>
          <w:rFonts w:hint="eastAsia" w:asciiTheme="minorEastAsia" w:hAnsiTheme="minorEastAsia" w:eastAsiaTheme="minorEastAsia" w:cstheme="minorEastAsia"/>
        </w:rPr>
        <w:t>并由中标人负责购置及安装满足施工所需的临时用电变压器、水表、电表，其水、电费按工程所在地</w:t>
      </w:r>
      <w:r>
        <w:rPr>
          <w:rFonts w:hint="eastAsia" w:asciiTheme="minorEastAsia" w:hAnsiTheme="minorEastAsia" w:eastAsiaTheme="minorEastAsia" w:cstheme="minorEastAsia"/>
          <w:u w:val="single"/>
        </w:rPr>
        <w:t>新丰县</w:t>
      </w:r>
      <w:r>
        <w:rPr>
          <w:rFonts w:hint="eastAsia" w:asciiTheme="minorEastAsia" w:hAnsiTheme="minorEastAsia" w:eastAsiaTheme="minorEastAsia" w:cstheme="minorEastAsia"/>
        </w:rPr>
        <w:t>基建工程水、电计费标准计算并由中标人缴纳，相关线路、管路费用及安装费用以及购置及安装临时用电变压器的费用由中标人自行承担。</w:t>
      </w:r>
    </w:p>
    <w:p w14:paraId="620EA3F0">
      <w:pPr>
        <w:pStyle w:val="34"/>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6.5招标人不集中现场踏勘，但会在招标文件及有关设计文件中明确告知招标工程的具体位置和周边环境，并在现场设置足以识别的标识或提供足以表明工程具体位置的文字或图片。投标人需要了解现场情况的，可自行进行现场踏勘。</w:t>
      </w:r>
    </w:p>
    <w:p w14:paraId="66B4076D">
      <w:pPr>
        <w:pStyle w:val="34"/>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6.6在现场踏勘过程中，投标人应确保自身安全，投标人如果发生人身伤亡、财物或其他损失，法律法规有规定的按有关规定处理，没有规定的由投标人自行负责。</w:t>
      </w:r>
    </w:p>
    <w:p w14:paraId="238DC740">
      <w:pPr>
        <w:pStyle w:val="34"/>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6.7现场踏勘期间的交通、食宿由投标人自行安排，费用自理。</w:t>
      </w:r>
    </w:p>
    <w:p w14:paraId="1121B63F">
      <w:pPr>
        <w:pStyle w:val="36"/>
        <w:keepNext/>
        <w:keepLines/>
        <w:ind w:firstLine="480"/>
        <w:jc w:val="both"/>
        <w:rPr>
          <w:rFonts w:hint="eastAsia" w:asciiTheme="minorEastAsia" w:hAnsiTheme="minorEastAsia" w:eastAsiaTheme="minorEastAsia" w:cstheme="minorEastAsia"/>
          <w:b/>
          <w:bCs/>
          <w:sz w:val="28"/>
          <w:szCs w:val="28"/>
        </w:rPr>
      </w:pPr>
      <w:bookmarkStart w:id="99" w:name="_Toc25799"/>
      <w:bookmarkStart w:id="100" w:name="_Toc25942"/>
      <w:bookmarkStart w:id="101" w:name="_Toc3294"/>
      <w:bookmarkStart w:id="102" w:name="_Toc8518"/>
      <w:bookmarkStart w:id="103" w:name="_Toc23962"/>
      <w:bookmarkStart w:id="104" w:name="_Toc17548"/>
      <w:bookmarkStart w:id="105" w:name="_Toc27595"/>
      <w:bookmarkStart w:id="106" w:name="_Toc22484"/>
      <w:bookmarkStart w:id="107" w:name="_Toc5795"/>
      <w:bookmarkStart w:id="108" w:name="_Toc10116"/>
      <w:r>
        <w:rPr>
          <w:rFonts w:hint="eastAsia" w:asciiTheme="minorEastAsia" w:hAnsiTheme="minorEastAsia" w:eastAsiaTheme="minorEastAsia" w:cstheme="minorEastAsia"/>
          <w:b/>
          <w:kern w:val="2"/>
        </w:rPr>
        <w:t xml:space="preserve">7 </w:t>
      </w:r>
      <w:bookmarkStart w:id="109" w:name="_Toc488220856"/>
      <w:bookmarkStart w:id="110" w:name="_Toc371968705"/>
      <w:r>
        <w:rPr>
          <w:rFonts w:hint="eastAsia" w:asciiTheme="minorEastAsia" w:hAnsiTheme="minorEastAsia" w:eastAsiaTheme="minorEastAsia" w:cstheme="minorEastAsia"/>
          <w:b/>
          <w:kern w:val="2"/>
        </w:rPr>
        <w:t>、其他招标说明</w:t>
      </w:r>
      <w:bookmarkEnd w:id="99"/>
      <w:bookmarkEnd w:id="100"/>
      <w:bookmarkEnd w:id="101"/>
      <w:bookmarkEnd w:id="102"/>
      <w:bookmarkEnd w:id="103"/>
      <w:bookmarkEnd w:id="104"/>
      <w:bookmarkEnd w:id="105"/>
      <w:bookmarkEnd w:id="106"/>
      <w:bookmarkEnd w:id="107"/>
      <w:bookmarkEnd w:id="108"/>
      <w:bookmarkEnd w:id="109"/>
    </w:p>
    <w:bookmarkEnd w:id="110"/>
    <w:p w14:paraId="55595A1D">
      <w:pPr>
        <w:wordWrap w:val="0"/>
        <w:snapToGrid w:val="0"/>
        <w:spacing w:line="440" w:lineRule="exact"/>
        <w:ind w:firstLine="480"/>
        <w:rPr>
          <w:rFonts w:asciiTheme="minorEastAsia" w:hAnsiTheme="minorEastAsia" w:eastAsiaTheme="minorEastAsia" w:cstheme="minorEastAsia"/>
          <w:b/>
          <w:snapToGrid w:val="0"/>
          <w:szCs w:val="24"/>
        </w:rPr>
      </w:pPr>
      <w:bookmarkStart w:id="111" w:name="_Toc28014"/>
      <w:bookmarkStart w:id="112" w:name="_Toc10210"/>
      <w:r>
        <w:rPr>
          <w:rFonts w:asciiTheme="minorEastAsia" w:hAnsiTheme="minorEastAsia" w:eastAsiaTheme="minorEastAsia" w:cstheme="minorEastAsia"/>
          <w:b/>
          <w:snapToGrid w:val="0"/>
          <w:szCs w:val="24"/>
        </w:rPr>
        <w:t>7.1．</w:t>
      </w:r>
      <w:r>
        <w:rPr>
          <w:rStyle w:val="23"/>
          <w:rFonts w:asciiTheme="minorEastAsia" w:hAnsiTheme="minorEastAsia" w:eastAsiaTheme="minorEastAsia" w:cstheme="minorEastAsia"/>
          <w:szCs w:val="24"/>
          <w:shd w:val="clear" w:color="auto" w:fill="FFFFFF"/>
        </w:rPr>
        <w:t>获取招标文件</w:t>
      </w:r>
      <w:bookmarkEnd w:id="111"/>
      <w:bookmarkEnd w:id="112"/>
    </w:p>
    <w:p w14:paraId="5FE2F276">
      <w:pPr>
        <w:pStyle w:val="20"/>
        <w:widowControl w:val="0"/>
        <w:wordWrap w:val="0"/>
        <w:adjustRightInd w:val="0"/>
        <w:snapToGrid w:val="0"/>
        <w:spacing w:beforeAutospacing="0" w:afterAutospacing="0" w:line="440" w:lineRule="exact"/>
        <w:ind w:firstLine="482" w:firstLineChars="200"/>
        <w:rPr>
          <w:rFonts w:asciiTheme="minorEastAsia" w:hAnsiTheme="minorEastAsia" w:eastAsiaTheme="minorEastAsia" w:cstheme="minorEastAsia"/>
          <w:color w:val="auto"/>
          <w:kern w:val="2"/>
        </w:rPr>
      </w:pPr>
      <w:r>
        <w:rPr>
          <w:rFonts w:asciiTheme="minorEastAsia" w:hAnsiTheme="minorEastAsia" w:eastAsiaTheme="minorEastAsia" w:cstheme="minorEastAsia"/>
          <w:b/>
          <w:bCs/>
          <w:snapToGrid w:val="0"/>
          <w:color w:val="auto"/>
        </w:rPr>
        <w:t>7.1.1</w:t>
      </w:r>
      <w:r>
        <w:rPr>
          <w:rFonts w:asciiTheme="minorEastAsia" w:hAnsiTheme="minorEastAsia" w:eastAsiaTheme="minorEastAsia" w:cstheme="minorEastAsia"/>
          <w:snapToGrid w:val="0"/>
          <w:color w:val="auto"/>
        </w:rPr>
        <w:t>本次招标实行电子投标。</w:t>
      </w:r>
      <w:r>
        <w:rPr>
          <w:rFonts w:asciiTheme="minorEastAsia" w:hAnsiTheme="minorEastAsia" w:eastAsiaTheme="minorEastAsia" w:cstheme="minorEastAsia"/>
          <w:color w:val="auto"/>
          <w:shd w:val="clear" w:color="auto" w:fill="FFFFFF"/>
        </w:rPr>
        <w:t>本项目招标文件随招标公告一并在</w:t>
      </w:r>
      <w:r>
        <w:rPr>
          <w:rFonts w:asciiTheme="minorEastAsia" w:hAnsiTheme="minorEastAsia" w:eastAsiaTheme="minorEastAsia" w:cstheme="minorEastAsia"/>
          <w:bCs/>
          <w:snapToGrid w:val="0"/>
          <w:color w:val="auto"/>
        </w:rPr>
        <w:t>广东省招标投标监管网(https://www.gdzwfw.gov.cn/ztbjg-portal/#/index)、</w:t>
      </w:r>
      <w:r>
        <w:rPr>
          <w:rFonts w:asciiTheme="minorEastAsia" w:hAnsiTheme="minorEastAsia" w:eastAsiaTheme="minorEastAsia" w:cstheme="minorEastAsia"/>
          <w:color w:val="auto"/>
          <w:shd w:val="clear" w:color="auto" w:fill="FFFFFF"/>
        </w:rPr>
        <w:t>全国公共资源交易平台（广东省·韶关市）（https://ygp.gdzwfw.gov.cn/ggzy-portal/#/440200/index）网站发布。招标文件一经在交易平台发布，视为发送投标人，招标文件及相关附件由投标人自行在交易平台网站下载。招标文件获取</w:t>
      </w:r>
      <w:r>
        <w:rPr>
          <w:rFonts w:asciiTheme="minorEastAsia" w:hAnsiTheme="minorEastAsia" w:eastAsiaTheme="minorEastAsia" w:cstheme="minorEastAsia"/>
          <w:snapToGrid w:val="0"/>
          <w:color w:val="auto"/>
        </w:rPr>
        <w:t>期间</w:t>
      </w:r>
      <w:r>
        <w:rPr>
          <w:rFonts w:asciiTheme="minorEastAsia" w:hAnsiTheme="minorEastAsia" w:eastAsiaTheme="minorEastAsia" w:cstheme="minorEastAsia"/>
          <w:color w:val="auto"/>
          <w:shd w:val="clear" w:color="auto" w:fill="FFFFFF"/>
        </w:rPr>
        <w:t>（</w:t>
      </w:r>
      <w:r>
        <w:rPr>
          <w:rFonts w:asciiTheme="minorEastAsia" w:hAnsiTheme="minorEastAsia" w:eastAsiaTheme="minorEastAsia" w:cstheme="minorEastAsia"/>
          <w:snapToGrid w:val="0"/>
          <w:color w:val="auto"/>
        </w:rPr>
        <w:t>见本章第二节“重要事项时间地点一览表”，招标文件获取期间与招标公告发布时间一致</w:t>
      </w:r>
      <w:r>
        <w:rPr>
          <w:rFonts w:asciiTheme="minorEastAsia" w:hAnsiTheme="minorEastAsia" w:eastAsiaTheme="minorEastAsia" w:cstheme="minorEastAsia"/>
          <w:color w:val="auto"/>
          <w:shd w:val="clear" w:color="auto" w:fill="FFFFFF"/>
        </w:rPr>
        <w:t>），投标人须登录全国公共资源交易平台（广东省·韶关市）（https://ygp.gdzwfw.gov.cn/ggzy-portal/#/440200/index）</w:t>
      </w:r>
      <w:r>
        <w:rPr>
          <w:rFonts w:asciiTheme="minorEastAsia" w:hAnsiTheme="minorEastAsia" w:eastAsiaTheme="minorEastAsia" w:cstheme="minorEastAsia"/>
          <w:snapToGrid w:val="0"/>
          <w:color w:val="auto"/>
        </w:rPr>
        <w:t>下载</w:t>
      </w:r>
      <w:r>
        <w:rPr>
          <w:rFonts w:asciiTheme="minorEastAsia" w:hAnsiTheme="minorEastAsia" w:eastAsiaTheme="minorEastAsia" w:cstheme="minorEastAsia"/>
          <w:color w:val="auto"/>
          <w:shd w:val="clear" w:color="auto" w:fill="FFFFFF"/>
        </w:rPr>
        <w:t>招标文件及相关附件，并于电子投标截止时间（</w:t>
      </w:r>
      <w:r>
        <w:rPr>
          <w:rFonts w:asciiTheme="minorEastAsia" w:hAnsiTheme="minorEastAsia" w:eastAsiaTheme="minorEastAsia" w:cstheme="minorEastAsia"/>
          <w:snapToGrid w:val="0"/>
          <w:color w:val="auto"/>
        </w:rPr>
        <w:t>见本章第二节“重要事项时间地点一览表”</w:t>
      </w:r>
      <w:r>
        <w:rPr>
          <w:rFonts w:asciiTheme="minorEastAsia" w:hAnsiTheme="minorEastAsia" w:eastAsiaTheme="minorEastAsia" w:cstheme="minorEastAsia"/>
          <w:color w:val="auto"/>
          <w:shd w:val="clear" w:color="auto" w:fill="FFFFFF"/>
        </w:rPr>
        <w:t>）前完成电子投标。投标人可登录全国公共资源交易平台（广东省·韶关市）（https://ygp.gdzwfw.gov.cn/ggzy-portal/#/440200/index），在【服务指南】栏目中下载《韶关市公共资源建设工程交易系统-投标人操作指南（电子评标）》，了解网上获取招标文件操作流程。技术咨询电话：18819797080/0751-8379671 伍先生，业务咨询电话：0751-8633211、8633071。</w:t>
      </w:r>
    </w:p>
    <w:p w14:paraId="207C703C">
      <w:pPr>
        <w:pStyle w:val="37"/>
        <w:wordWrap w:val="0"/>
        <w:adjustRightInd w:val="0"/>
        <w:snapToGrid w:val="0"/>
        <w:spacing w:line="440" w:lineRule="exact"/>
        <w:ind w:firstLine="480"/>
        <w:jc w:val="left"/>
        <w:rPr>
          <w:rFonts w:hint="eastAsia"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b/>
          <w:bCs/>
          <w:snapToGrid w:val="0"/>
          <w:kern w:val="0"/>
          <w:sz w:val="24"/>
        </w:rPr>
        <w:t xml:space="preserve">7.1.2 </w:t>
      </w:r>
      <w:r>
        <w:rPr>
          <w:rFonts w:hint="eastAsia" w:asciiTheme="minorEastAsia" w:hAnsiTheme="minorEastAsia" w:eastAsiaTheme="minorEastAsia" w:cstheme="minorEastAsia"/>
          <w:sz w:val="24"/>
          <w:shd w:val="clear" w:color="auto" w:fill="FFFFFF"/>
        </w:rPr>
        <w:t>只有申领了数字证书（CA）、“粤企签”或GDCA/SZCA/NETCA等符合法律法规规定的电子印章，并在交易平台中完成企业信息数据入库的投标人，方可在交易平台获取招标文件和电子投标。</w:t>
      </w:r>
    </w:p>
    <w:p w14:paraId="60EA7FB1">
      <w:pPr>
        <w:pStyle w:val="37"/>
        <w:wordWrap w:val="0"/>
        <w:adjustRightInd w:val="0"/>
        <w:snapToGrid w:val="0"/>
        <w:spacing w:line="440" w:lineRule="exact"/>
        <w:ind w:firstLine="480"/>
        <w:jc w:val="left"/>
        <w:rPr>
          <w:rFonts w:hint="eastAsia"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首次在韶关市参与建设工程招标投标活动的投标人，必须在交易平台上传企业相关资料办理企业入库事宜。投标人可登录全国公共资源交易平台（广东省·韶关市）（https://ygp.gdzwfw.gov.cn/ggzy-portal/#/440200/index）办理企业入库、数字证书及电子印章事宜，具体请在交易平台查阅相应的交易指引。</w:t>
      </w:r>
    </w:p>
    <w:p w14:paraId="1F319799">
      <w:pPr>
        <w:pStyle w:val="37"/>
        <w:wordWrap w:val="0"/>
        <w:adjustRightInd w:val="0"/>
        <w:snapToGrid w:val="0"/>
        <w:spacing w:line="440" w:lineRule="exact"/>
        <w:ind w:firstLine="480"/>
        <w:jc w:val="left"/>
        <w:rPr>
          <w:rFonts w:hint="eastAsia" w:asciiTheme="minorEastAsia" w:hAnsiTheme="minorEastAsia" w:eastAsiaTheme="minorEastAsia" w:cstheme="minorEastAsia"/>
          <w:snapToGrid w:val="0"/>
          <w:kern w:val="0"/>
          <w:sz w:val="24"/>
        </w:rPr>
      </w:pPr>
      <w:r>
        <w:rPr>
          <w:rFonts w:hint="eastAsia" w:asciiTheme="minorEastAsia" w:hAnsiTheme="minorEastAsia" w:eastAsiaTheme="minorEastAsia" w:cstheme="minorEastAsia"/>
          <w:sz w:val="24"/>
          <w:shd w:val="clear" w:color="auto" w:fill="FFFFFF"/>
        </w:rPr>
        <w:t>已入库企业有关信息（如单位名称、基本账号、资质、人员等）发生变化的，须及时在交易平台进行相应变更。投标人未及时变更信息而造成的损失和后果，由投标人自行承担。</w:t>
      </w:r>
    </w:p>
    <w:p w14:paraId="4C918A72">
      <w:pPr>
        <w:tabs>
          <w:tab w:val="left" w:pos="7020"/>
        </w:tabs>
        <w:wordWrap w:val="0"/>
        <w:adjustRightInd w:val="0"/>
        <w:snapToGrid w:val="0"/>
        <w:spacing w:line="440" w:lineRule="exact"/>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zCs w:val="24"/>
          <w:shd w:val="clear" w:color="auto" w:fill="FFFFFF"/>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asciiTheme="minorEastAsia" w:hAnsiTheme="minorEastAsia" w:eastAsiaTheme="minorEastAsia" w:cstheme="minorEastAsia"/>
          <w:snapToGrid w:val="0"/>
          <w:szCs w:val="24"/>
        </w:rPr>
        <w:t>。</w:t>
      </w:r>
    </w:p>
    <w:p w14:paraId="0679044B">
      <w:pPr>
        <w:spacing w:line="360" w:lineRule="auto"/>
        <w:ind w:firstLine="480" w:firstLineChars="200"/>
        <w:rPr>
          <w:rFonts w:asciiTheme="minorEastAsia" w:hAnsiTheme="minorEastAsia" w:eastAsiaTheme="minorEastAsia" w:cstheme="minorEastAsia"/>
        </w:rPr>
      </w:pPr>
      <w:r>
        <w:rPr>
          <w:rFonts w:asciiTheme="minorEastAsia" w:hAnsiTheme="minorEastAsia" w:eastAsiaTheme="minorEastAsia" w:cstheme="minorEastAsia"/>
          <w:szCs w:val="22"/>
        </w:rPr>
        <w:t>7.2</w:t>
      </w:r>
      <w:r>
        <w:rPr>
          <w:rFonts w:asciiTheme="minorEastAsia" w:hAnsiTheme="minorEastAsia" w:eastAsiaTheme="minorEastAsia" w:cstheme="minorEastAsia"/>
        </w:rPr>
        <w:t>招标人（或招标代理机构）对投标人的失误不负任何责任，投标人应指定一名投标事务负责人（即授权委托人），专门负责跟踪、签收、阅读和理解招标文件及随后收到的有关资料，向招标人（或招标代理机构）发出疑问，检查投标文件，协助有关人员尽力克服各种投标失误。投标事务负责人（即授权委托人）如有更换，投标人应及时向招标人（或招标代理机构）提交授权委托书。</w:t>
      </w:r>
    </w:p>
    <w:p w14:paraId="6BA672A8">
      <w:pPr>
        <w:spacing w:line="360" w:lineRule="auto"/>
        <w:ind w:firstLine="480" w:firstLineChars="200"/>
        <w:rPr>
          <w:rFonts w:asciiTheme="minorEastAsia" w:hAnsiTheme="minorEastAsia" w:eastAsiaTheme="minorEastAsia" w:cstheme="minorEastAsia"/>
          <w:bCs/>
        </w:rPr>
      </w:pPr>
      <w:r>
        <w:rPr>
          <w:rFonts w:asciiTheme="minorEastAsia" w:hAnsiTheme="minorEastAsia" w:eastAsiaTheme="minorEastAsia" w:cstheme="minorEastAsia"/>
        </w:rPr>
        <w:t xml:space="preserve">7.3 </w:t>
      </w:r>
      <w:r>
        <w:rPr>
          <w:rFonts w:asciiTheme="minorEastAsia" w:hAnsiTheme="minorEastAsia" w:eastAsiaTheme="minorEastAsia" w:cstheme="minorEastAsia"/>
          <w:b/>
          <w:bCs/>
        </w:rPr>
        <w:t>纪律与保密要求：</w:t>
      </w:r>
    </w:p>
    <w:p w14:paraId="6B8986D2">
      <w:pPr>
        <w:spacing w:line="360" w:lineRule="auto"/>
        <w:ind w:firstLine="495"/>
        <w:rPr>
          <w:rFonts w:asciiTheme="minorEastAsia" w:hAnsiTheme="minorEastAsia" w:eastAsiaTheme="minorEastAsia" w:cstheme="minorEastAsia"/>
          <w:szCs w:val="24"/>
        </w:rPr>
      </w:pPr>
      <w:r>
        <w:rPr>
          <w:rFonts w:asciiTheme="minorEastAsia" w:hAnsiTheme="minorEastAsia" w:eastAsiaTheme="minorEastAsia" w:cstheme="minorEastAsia"/>
          <w:szCs w:val="24"/>
        </w:rPr>
        <w:t>7.3.1</w:t>
      </w:r>
      <w:r>
        <w:rPr>
          <w:rFonts w:asciiTheme="minorEastAsia" w:hAnsiTheme="minorEastAsia" w:eastAsiaTheme="minorEastAsia" w:cstheme="minorEastAsia"/>
          <w:b/>
          <w:szCs w:val="24"/>
        </w:rPr>
        <w:t>对招标人的纪律要求</w:t>
      </w:r>
      <w:r>
        <w:rPr>
          <w:rFonts w:asciiTheme="minorEastAsia" w:hAnsiTheme="minorEastAsia" w:eastAsiaTheme="minorEastAsia" w:cstheme="minorEastAsia"/>
          <w:szCs w:val="24"/>
        </w:rPr>
        <w:t>：招标人不得泄露招标投标活动中应当保密的情况和资料，不得与投标人串通损害国家利益、社会公共利益或者他人合法权益。</w:t>
      </w:r>
    </w:p>
    <w:p w14:paraId="160626CB">
      <w:pPr>
        <w:spacing w:line="360" w:lineRule="auto"/>
        <w:ind w:firstLine="495"/>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7.3.2 </w:t>
      </w:r>
      <w:r>
        <w:rPr>
          <w:rFonts w:asciiTheme="minorEastAsia" w:hAnsiTheme="minorEastAsia" w:eastAsiaTheme="minorEastAsia" w:cstheme="minorEastAsia"/>
          <w:b/>
          <w:szCs w:val="24"/>
        </w:rPr>
        <w:t>对投标人的纪律要求</w:t>
      </w:r>
      <w:r>
        <w:rPr>
          <w:rFonts w:asciiTheme="minorEastAsia" w:hAnsiTheme="minorEastAsia" w:eastAsiaTheme="minorEastAsia" w:cstheme="minorEastAsia"/>
          <w:szCs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50B0102">
      <w:pPr>
        <w:spacing w:line="360" w:lineRule="auto"/>
        <w:ind w:firstLine="495"/>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7.3.3 </w:t>
      </w:r>
      <w:r>
        <w:rPr>
          <w:rFonts w:asciiTheme="minorEastAsia" w:hAnsiTheme="minorEastAsia" w:eastAsiaTheme="minorEastAsia" w:cstheme="minorEastAsia"/>
          <w:spacing w:val="8"/>
          <w:szCs w:val="24"/>
        </w:rPr>
        <w:t>参与招</w:t>
      </w:r>
      <w:r>
        <w:rPr>
          <w:rFonts w:asciiTheme="minorEastAsia" w:hAnsiTheme="minorEastAsia" w:eastAsiaTheme="minorEastAsia" w:cstheme="minorEastAsia"/>
          <w:szCs w:val="24"/>
        </w:rPr>
        <w:t>标</w:t>
      </w:r>
      <w:r>
        <w:rPr>
          <w:rFonts w:asciiTheme="minorEastAsia" w:hAnsiTheme="minorEastAsia" w:eastAsiaTheme="minorEastAsia" w:cstheme="minorEastAsia"/>
          <w:spacing w:val="8"/>
          <w:szCs w:val="24"/>
        </w:rPr>
        <w:t>投标活</w:t>
      </w:r>
      <w:r>
        <w:rPr>
          <w:rFonts w:asciiTheme="minorEastAsia" w:hAnsiTheme="minorEastAsia" w:eastAsiaTheme="minorEastAsia" w:cstheme="minorEastAsia"/>
          <w:szCs w:val="24"/>
        </w:rPr>
        <w:t>动</w:t>
      </w:r>
      <w:r>
        <w:rPr>
          <w:rFonts w:asciiTheme="minorEastAsia" w:hAnsiTheme="minorEastAsia" w:eastAsiaTheme="minorEastAsia" w:cstheme="minorEastAsia"/>
          <w:spacing w:val="8"/>
          <w:szCs w:val="24"/>
        </w:rPr>
        <w:t>的各方</w:t>
      </w:r>
      <w:r>
        <w:rPr>
          <w:rFonts w:asciiTheme="minorEastAsia" w:hAnsiTheme="minorEastAsia" w:eastAsiaTheme="minorEastAsia" w:cstheme="minorEastAsia"/>
          <w:szCs w:val="24"/>
        </w:rPr>
        <w:t>应</w:t>
      </w:r>
      <w:r>
        <w:rPr>
          <w:rFonts w:asciiTheme="minorEastAsia" w:hAnsiTheme="minorEastAsia" w:eastAsiaTheme="minorEastAsia" w:cstheme="minorEastAsia"/>
          <w:spacing w:val="8"/>
          <w:szCs w:val="24"/>
        </w:rPr>
        <w:t>对招标</w:t>
      </w:r>
      <w:r>
        <w:rPr>
          <w:rFonts w:asciiTheme="minorEastAsia" w:hAnsiTheme="minorEastAsia" w:eastAsiaTheme="minorEastAsia" w:cstheme="minorEastAsia"/>
          <w:szCs w:val="24"/>
        </w:rPr>
        <w:t>文</w:t>
      </w:r>
      <w:r>
        <w:rPr>
          <w:rFonts w:asciiTheme="minorEastAsia" w:hAnsiTheme="minorEastAsia" w:eastAsiaTheme="minorEastAsia" w:cstheme="minorEastAsia"/>
          <w:spacing w:val="8"/>
          <w:szCs w:val="24"/>
        </w:rPr>
        <w:t>件和投</w:t>
      </w:r>
      <w:r>
        <w:rPr>
          <w:rFonts w:asciiTheme="minorEastAsia" w:hAnsiTheme="minorEastAsia" w:eastAsiaTheme="minorEastAsia" w:cstheme="minorEastAsia"/>
          <w:szCs w:val="24"/>
        </w:rPr>
        <w:t>标</w:t>
      </w:r>
      <w:r>
        <w:rPr>
          <w:rFonts w:asciiTheme="minorEastAsia" w:hAnsiTheme="minorEastAsia" w:eastAsiaTheme="minorEastAsia" w:cstheme="minorEastAsia"/>
          <w:spacing w:val="8"/>
          <w:szCs w:val="24"/>
        </w:rPr>
        <w:t>文件中</w:t>
      </w:r>
      <w:r>
        <w:rPr>
          <w:rFonts w:asciiTheme="minorEastAsia" w:hAnsiTheme="minorEastAsia" w:eastAsiaTheme="minorEastAsia" w:cstheme="minorEastAsia"/>
          <w:szCs w:val="24"/>
        </w:rPr>
        <w:t>的</w:t>
      </w:r>
      <w:r>
        <w:rPr>
          <w:rFonts w:asciiTheme="minorEastAsia" w:hAnsiTheme="minorEastAsia" w:eastAsiaTheme="minorEastAsia" w:cstheme="minorEastAsia"/>
          <w:spacing w:val="8"/>
          <w:szCs w:val="24"/>
        </w:rPr>
        <w:t>商业和</w:t>
      </w:r>
      <w:r>
        <w:rPr>
          <w:rFonts w:asciiTheme="minorEastAsia" w:hAnsiTheme="minorEastAsia" w:eastAsiaTheme="minorEastAsia" w:cstheme="minorEastAsia"/>
          <w:szCs w:val="24"/>
        </w:rPr>
        <w:t>技</w:t>
      </w:r>
      <w:r>
        <w:rPr>
          <w:rFonts w:asciiTheme="minorEastAsia" w:hAnsiTheme="minorEastAsia" w:eastAsiaTheme="minorEastAsia" w:cstheme="minorEastAsia"/>
          <w:spacing w:val="8"/>
          <w:szCs w:val="24"/>
        </w:rPr>
        <w:t>术等秘密</w:t>
      </w:r>
      <w:r>
        <w:rPr>
          <w:rFonts w:asciiTheme="minorEastAsia" w:hAnsiTheme="minorEastAsia" w:eastAsiaTheme="minorEastAsia" w:cstheme="minorEastAsia"/>
          <w:szCs w:val="24"/>
        </w:rPr>
        <w:t>保密，违者应对由此造成的后果承担法律责任。</w:t>
      </w:r>
      <w:bookmarkStart w:id="113" w:name="_Toc371968706"/>
    </w:p>
    <w:p w14:paraId="1232533D">
      <w:pPr>
        <w:spacing w:line="360" w:lineRule="auto"/>
        <w:ind w:firstLine="480" w:firstLineChars="200"/>
        <w:rPr>
          <w:rFonts w:asciiTheme="minorEastAsia" w:hAnsiTheme="minorEastAsia" w:eastAsiaTheme="minorEastAsia" w:cstheme="minorEastAsia"/>
          <w:b/>
          <w:bCs/>
          <w:szCs w:val="24"/>
        </w:rPr>
      </w:pPr>
      <w:r>
        <w:rPr>
          <w:rFonts w:asciiTheme="minorEastAsia" w:hAnsiTheme="minorEastAsia" w:eastAsiaTheme="minorEastAsia" w:cstheme="minorEastAsia"/>
          <w:szCs w:val="24"/>
        </w:rPr>
        <w:t>7.</w:t>
      </w:r>
      <w:bookmarkStart w:id="114" w:name="_Toc353462300"/>
      <w:bookmarkStart w:id="115" w:name="_Toc143766459"/>
      <w:bookmarkStart w:id="116" w:name="_Toc353462191"/>
      <w:r>
        <w:rPr>
          <w:rFonts w:asciiTheme="minorEastAsia" w:hAnsiTheme="minorEastAsia" w:eastAsiaTheme="minorEastAsia" w:cstheme="minorEastAsia"/>
          <w:szCs w:val="24"/>
        </w:rPr>
        <w:t xml:space="preserve">4 </w:t>
      </w:r>
      <w:r>
        <w:rPr>
          <w:rFonts w:asciiTheme="minorEastAsia" w:hAnsiTheme="minorEastAsia" w:eastAsiaTheme="minorEastAsia" w:cstheme="minorEastAsia"/>
          <w:b/>
          <w:bCs/>
          <w:szCs w:val="24"/>
        </w:rPr>
        <w:t>语言、计量及投标费用</w:t>
      </w:r>
      <w:bookmarkEnd w:id="113"/>
      <w:bookmarkEnd w:id="114"/>
      <w:bookmarkEnd w:id="115"/>
      <w:bookmarkEnd w:id="116"/>
      <w:r>
        <w:rPr>
          <w:rFonts w:asciiTheme="minorEastAsia" w:hAnsiTheme="minorEastAsia" w:eastAsiaTheme="minorEastAsia" w:cstheme="minorEastAsia"/>
          <w:b/>
          <w:bCs/>
          <w:szCs w:val="24"/>
        </w:rPr>
        <w:t>：</w:t>
      </w:r>
    </w:p>
    <w:p w14:paraId="2FB016C4">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7.4.1 除专用术语外</w:t>
      </w:r>
      <w:r>
        <w:rPr>
          <w:rFonts w:asciiTheme="minorEastAsia" w:hAnsiTheme="minorEastAsia" w:eastAsiaTheme="minorEastAsia" w:cstheme="minorEastAsia"/>
          <w:spacing w:val="-80"/>
          <w:szCs w:val="24"/>
        </w:rPr>
        <w:t>，</w:t>
      </w:r>
      <w:r>
        <w:rPr>
          <w:rFonts w:asciiTheme="minorEastAsia" w:hAnsiTheme="minorEastAsia" w:eastAsiaTheme="minorEastAsia" w:cstheme="minorEastAsia"/>
          <w:szCs w:val="24"/>
        </w:rPr>
        <w:t>与招标投标有关的语言均使用中文</w:t>
      </w:r>
      <w:r>
        <w:rPr>
          <w:rFonts w:asciiTheme="minorEastAsia" w:hAnsiTheme="minorEastAsia" w:eastAsiaTheme="minorEastAsia" w:cstheme="minorEastAsia"/>
          <w:spacing w:val="-80"/>
          <w:szCs w:val="24"/>
        </w:rPr>
        <w:t>。</w:t>
      </w:r>
    </w:p>
    <w:p w14:paraId="11661B3F">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7.4.2 所有计量均采用中华人民共和国法定计量单位。</w:t>
      </w:r>
    </w:p>
    <w:p w14:paraId="153002A7">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7.4.3 招标文件、投标文件中所指的币种均为人民币。</w:t>
      </w:r>
    </w:p>
    <w:p w14:paraId="6DE26E12">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7.4.4 投标人准备和参加投标活动发生的所有费用自理。</w:t>
      </w:r>
      <w:bookmarkStart w:id="117" w:name="_Toc371968707"/>
    </w:p>
    <w:p w14:paraId="22A5AB97">
      <w:pPr>
        <w:spacing w:line="360" w:lineRule="auto"/>
        <w:ind w:firstLine="480" w:firstLineChars="200"/>
        <w:rPr>
          <w:rFonts w:asciiTheme="minorEastAsia" w:hAnsiTheme="minorEastAsia" w:eastAsiaTheme="minorEastAsia" w:cstheme="minorEastAsia"/>
          <w:b/>
          <w:bCs/>
        </w:rPr>
      </w:pPr>
      <w:r>
        <w:rPr>
          <w:rFonts w:asciiTheme="minorEastAsia" w:hAnsiTheme="minorEastAsia" w:eastAsiaTheme="minorEastAsia" w:cstheme="minorEastAsia"/>
          <w:szCs w:val="24"/>
        </w:rPr>
        <w:t>7.5</w:t>
      </w:r>
      <w:r>
        <w:rPr>
          <w:rFonts w:asciiTheme="minorEastAsia" w:hAnsiTheme="minorEastAsia" w:eastAsiaTheme="minorEastAsia" w:cstheme="minorEastAsia"/>
          <w:b/>
          <w:bCs/>
        </w:rPr>
        <w:t>知识产权和专利权</w:t>
      </w:r>
      <w:bookmarkEnd w:id="117"/>
      <w:r>
        <w:rPr>
          <w:rFonts w:asciiTheme="minorEastAsia" w:hAnsiTheme="minorEastAsia" w:eastAsiaTheme="minorEastAsia" w:cstheme="minorEastAsia"/>
          <w:b/>
          <w:bCs/>
        </w:rPr>
        <w:t>：</w:t>
      </w:r>
    </w:p>
    <w:p w14:paraId="48B48DDB">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7.5.1 </w:t>
      </w:r>
      <w:r>
        <w:rPr>
          <w:rFonts w:asciiTheme="minorEastAsia" w:hAnsiTheme="minorEastAsia" w:eastAsiaTheme="minorEastAsia" w:cstheme="minorEastAsia"/>
        </w:rPr>
        <w:t>投标人保证投标文件及资料均未侵犯他人的知识产权，否则必须承担全部责任。若投标人使用了他人的专利、专有技术，涉及的费用由投标人负责。</w:t>
      </w:r>
      <w:r>
        <w:rPr>
          <w:rFonts w:asciiTheme="minorEastAsia" w:hAnsiTheme="minorEastAsia" w:eastAsiaTheme="minorEastAsia" w:cstheme="minorEastAsia"/>
          <w:szCs w:val="24"/>
        </w:rPr>
        <w:t>投标价应包括所有应支付的对专利权和版权、设计和其他知识产权而需要向其他方支付的版税。</w:t>
      </w:r>
    </w:p>
    <w:p w14:paraId="51B2E7C5">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7.5.2 中标人应保证招标人在本项目建设过程中使用其设计文件和设计文件的任何一部分时，招标人免受第三方提出侵犯其专利权、商标权或其他知识产权的起诉。</w:t>
      </w:r>
    </w:p>
    <w:p w14:paraId="577248E8">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7.5.3 中标人提交给招标人的设计文件，其著作权、版权、专利权和使用权归招标人所有（署名权除外）。</w:t>
      </w:r>
    </w:p>
    <w:p w14:paraId="5663CC0A">
      <w:pPr>
        <w:spacing w:line="360" w:lineRule="auto"/>
        <w:ind w:firstLine="480" w:firstLineChars="200"/>
        <w:rPr>
          <w:rFonts w:asciiTheme="minorEastAsia" w:hAnsiTheme="minorEastAsia" w:eastAsiaTheme="minorEastAsia" w:cstheme="minorEastAsia"/>
          <w:szCs w:val="24"/>
        </w:rPr>
      </w:pPr>
      <w:bookmarkStart w:id="118" w:name="_Toc371968708"/>
      <w:r>
        <w:rPr>
          <w:rFonts w:asciiTheme="minorEastAsia" w:hAnsiTheme="minorEastAsia" w:eastAsiaTheme="minorEastAsia" w:cstheme="minorEastAsia"/>
          <w:szCs w:val="24"/>
        </w:rPr>
        <w:t>7.</w:t>
      </w:r>
      <w:bookmarkEnd w:id="118"/>
      <w:r>
        <w:rPr>
          <w:rFonts w:asciiTheme="minorEastAsia" w:hAnsiTheme="minorEastAsia" w:eastAsiaTheme="minorEastAsia" w:cstheme="minorEastAsia"/>
          <w:szCs w:val="24"/>
        </w:rPr>
        <w:t>6 招标文件是招标人发出的要约邀请，投标人参加投标均视为承认招标公告、招标文件及附件的所有条款，并承诺一旦中标将按招标文件、投标文件、合同条款、技术规范要求的质量和进度完成全部委托任务。</w:t>
      </w:r>
    </w:p>
    <w:p w14:paraId="4D977AB7">
      <w:pPr>
        <w:pStyle w:val="36"/>
        <w:keepNext/>
        <w:keepLines/>
        <w:ind w:firstLine="480"/>
        <w:jc w:val="both"/>
        <w:rPr>
          <w:rFonts w:hint="eastAsia" w:asciiTheme="minorEastAsia" w:hAnsiTheme="minorEastAsia" w:eastAsiaTheme="minorEastAsia" w:cstheme="minorEastAsia"/>
          <w:b/>
          <w:kern w:val="2"/>
        </w:rPr>
      </w:pPr>
      <w:bookmarkStart w:id="119" w:name="_Toc11198"/>
      <w:bookmarkStart w:id="120" w:name="_Toc5476"/>
      <w:bookmarkStart w:id="121" w:name="_Toc30148"/>
      <w:r>
        <w:rPr>
          <w:rFonts w:hint="eastAsia" w:asciiTheme="minorEastAsia" w:hAnsiTheme="minorEastAsia" w:eastAsiaTheme="minorEastAsia" w:cstheme="minorEastAsia"/>
          <w:b/>
          <w:kern w:val="2"/>
        </w:rPr>
        <w:t>8 、招标答疑</w:t>
      </w:r>
      <w:bookmarkEnd w:id="119"/>
      <w:bookmarkEnd w:id="120"/>
      <w:bookmarkEnd w:id="121"/>
      <w:bookmarkStart w:id="122" w:name="_Hlt74496410"/>
      <w:bookmarkEnd w:id="122"/>
    </w:p>
    <w:p w14:paraId="474BAB93">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8.1招标人不集中组织答疑，实行网上答疑。</w:t>
      </w:r>
      <w:r>
        <w:rPr>
          <w:rFonts w:hint="eastAsia" w:asciiTheme="minorEastAsia" w:hAnsiTheme="minorEastAsia" w:eastAsiaTheme="minorEastAsia" w:cstheme="minorEastAsia"/>
          <w:snapToGrid w:val="0"/>
          <w:kern w:val="0"/>
        </w:rPr>
        <w:t>投标人若对招标文件有疑问</w:t>
      </w:r>
      <w:r>
        <w:rPr>
          <w:rFonts w:hint="eastAsia" w:asciiTheme="minorEastAsia" w:hAnsiTheme="minorEastAsia" w:eastAsiaTheme="minorEastAsia" w:cstheme="minorEastAsia"/>
        </w:rPr>
        <w:t>应在提问截止时间（</w:t>
      </w:r>
      <w:r>
        <w:rPr>
          <w:rFonts w:hint="eastAsia" w:asciiTheme="minorEastAsia" w:hAnsiTheme="minorEastAsia" w:eastAsiaTheme="minorEastAsia" w:cstheme="minorEastAsia"/>
          <w:snapToGrid w:val="0"/>
          <w:kern w:val="0"/>
          <w:szCs w:val="24"/>
        </w:rPr>
        <w:t>见本章第二节“重要事项时间地点一览表”</w:t>
      </w:r>
      <w:r>
        <w:rPr>
          <w:rFonts w:hint="eastAsia" w:asciiTheme="minorEastAsia" w:hAnsiTheme="minorEastAsia" w:eastAsiaTheme="minorEastAsia" w:cstheme="minorEastAsia"/>
        </w:rPr>
        <w:t>）前在交易平台提出问题。未在指定时间前、未采用指定方式提出的，招标人不予受理。</w:t>
      </w:r>
    </w:p>
    <w:p w14:paraId="3D02123A">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8.2 </w:t>
      </w:r>
      <w:r>
        <w:rPr>
          <w:rFonts w:hint="eastAsia" w:asciiTheme="minorEastAsia" w:hAnsiTheme="minorEastAsia" w:eastAsiaTheme="minorEastAsia" w:cstheme="minorEastAsia"/>
          <w:snapToGrid w:val="0"/>
          <w:kern w:val="0"/>
        </w:rPr>
        <w:t>招标人在提问截止时间（</w:t>
      </w:r>
      <w:r>
        <w:rPr>
          <w:rFonts w:hint="eastAsia" w:asciiTheme="minorEastAsia" w:hAnsiTheme="minorEastAsia" w:eastAsiaTheme="minorEastAsia" w:cstheme="minorEastAsia"/>
          <w:snapToGrid w:val="0"/>
          <w:kern w:val="0"/>
          <w:szCs w:val="24"/>
        </w:rPr>
        <w:t>见本章第二节“重要事项时间地点一览表”</w:t>
      </w:r>
      <w:r>
        <w:rPr>
          <w:rFonts w:hint="eastAsia" w:asciiTheme="minorEastAsia" w:hAnsiTheme="minorEastAsia" w:eastAsiaTheme="minorEastAsia" w:cstheme="minorEastAsia"/>
          <w:snapToGrid w:val="0"/>
          <w:kern w:val="0"/>
        </w:rPr>
        <w:t>）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1381FD29">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8.3 答疑书（</w:t>
      </w:r>
      <w:r>
        <w:rPr>
          <w:rFonts w:hint="eastAsia" w:asciiTheme="minorEastAsia" w:hAnsiTheme="minorEastAsia" w:eastAsiaTheme="minorEastAsia" w:cstheme="minorEastAsia"/>
          <w:snapToGrid w:val="0"/>
          <w:kern w:val="0"/>
        </w:rPr>
        <w:t>或修改</w:t>
      </w:r>
      <w:r>
        <w:rPr>
          <w:rFonts w:hint="eastAsia" w:asciiTheme="minorEastAsia" w:hAnsiTheme="minorEastAsia" w:eastAsiaTheme="minorEastAsia" w:cstheme="minorEastAsia"/>
        </w:rPr>
        <w:t>）对招标文件的修改或补充内容作为招标文件的组成部分，具有约束作用。招标文件的澄清、修改、补充等内容均以答疑书（</w:t>
      </w:r>
      <w:r>
        <w:rPr>
          <w:rFonts w:hint="eastAsia" w:asciiTheme="minorEastAsia" w:hAnsiTheme="minorEastAsia" w:eastAsiaTheme="minorEastAsia" w:cstheme="minorEastAsia"/>
          <w:snapToGrid w:val="0"/>
          <w:kern w:val="0"/>
        </w:rPr>
        <w:t>或修改</w:t>
      </w:r>
      <w:r>
        <w:rPr>
          <w:rFonts w:hint="eastAsia" w:asciiTheme="minorEastAsia" w:hAnsiTheme="minorEastAsia" w:eastAsiaTheme="minorEastAsia" w:cstheme="minorEastAsia"/>
        </w:rPr>
        <w:t>）中明确的内容为准。当招标文件、招标文件的澄清、修改、补充等文件在同一内容的表述上不一致时，以最后发出的答疑书（</w:t>
      </w:r>
      <w:r>
        <w:rPr>
          <w:rFonts w:hint="eastAsia" w:asciiTheme="minorEastAsia" w:hAnsiTheme="minorEastAsia" w:eastAsiaTheme="minorEastAsia" w:cstheme="minorEastAsia"/>
          <w:snapToGrid w:val="0"/>
          <w:kern w:val="0"/>
        </w:rPr>
        <w:t>或修改</w:t>
      </w:r>
      <w:r>
        <w:rPr>
          <w:rFonts w:hint="eastAsia" w:asciiTheme="minorEastAsia" w:hAnsiTheme="minorEastAsia" w:eastAsiaTheme="minorEastAsia" w:cstheme="minorEastAsia"/>
        </w:rPr>
        <w:t>）为准。</w:t>
      </w:r>
    </w:p>
    <w:p w14:paraId="7CD9C94F">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8.4 投标人在规定的时间内未对招标文件提出澄清或疑问的，招标人将视其为无异议。对招标文件中描述有歧义或前后不一致的地方，评标委员会有权进行评判，但对同一条款的评判应适用于每个投标人。</w:t>
      </w:r>
    </w:p>
    <w:p w14:paraId="4A0CDD7A">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8.5 招标人向投标人提供的资料和数据，是招标人现有的能使投标人利用的资料。投标人对招标人提供的招标文件所作出的推论、解释和结论，招标人概不负责；投标人由于对招标文件的任何推论和误解以及招标人对有关问题的口头解释所造成的后果，均由投标人自行负责。</w:t>
      </w:r>
    </w:p>
    <w:p w14:paraId="6A995BDF">
      <w:pPr>
        <w:pStyle w:val="36"/>
        <w:keepNext/>
        <w:keepLines/>
        <w:ind w:firstLine="480"/>
        <w:jc w:val="both"/>
        <w:rPr>
          <w:rFonts w:hint="eastAsia" w:asciiTheme="minorEastAsia" w:hAnsiTheme="minorEastAsia" w:eastAsiaTheme="minorEastAsia" w:cstheme="minorEastAsia"/>
          <w:b/>
          <w:kern w:val="2"/>
        </w:rPr>
      </w:pPr>
      <w:bookmarkStart w:id="123" w:name="_Hlt92513711"/>
      <w:bookmarkEnd w:id="123"/>
      <w:bookmarkStart w:id="124" w:name="_Hlt92513715"/>
      <w:bookmarkEnd w:id="124"/>
      <w:bookmarkStart w:id="125" w:name="_Hlt69699188"/>
      <w:bookmarkEnd w:id="125"/>
      <w:bookmarkStart w:id="126" w:name="_Toc8032"/>
      <w:bookmarkStart w:id="127" w:name="_Toc15195"/>
      <w:bookmarkStart w:id="128" w:name="_Toc11301"/>
      <w:bookmarkStart w:id="129" w:name="_Toc31064"/>
      <w:bookmarkStart w:id="130" w:name="_Toc25532"/>
      <w:bookmarkStart w:id="131" w:name="_Toc30627"/>
      <w:bookmarkStart w:id="132" w:name="_Toc28777"/>
      <w:bookmarkStart w:id="133" w:name="_Toc20643"/>
      <w:bookmarkStart w:id="134" w:name="_Toc15800"/>
      <w:bookmarkStart w:id="135" w:name="_Toc8666"/>
      <w:r>
        <w:rPr>
          <w:rFonts w:hint="eastAsia" w:asciiTheme="minorEastAsia" w:hAnsiTheme="minorEastAsia" w:eastAsiaTheme="minorEastAsia" w:cstheme="minorEastAsia"/>
          <w:b/>
          <w:kern w:val="2"/>
        </w:rPr>
        <w:t>9 、投标报价的编制</w:t>
      </w:r>
      <w:bookmarkEnd w:id="126"/>
      <w:bookmarkEnd w:id="127"/>
      <w:bookmarkEnd w:id="128"/>
      <w:bookmarkEnd w:id="129"/>
      <w:bookmarkEnd w:id="130"/>
      <w:bookmarkEnd w:id="131"/>
      <w:bookmarkEnd w:id="132"/>
      <w:bookmarkEnd w:id="133"/>
      <w:bookmarkEnd w:id="134"/>
      <w:bookmarkEnd w:id="135"/>
      <w:bookmarkStart w:id="136" w:name="_Hlt74498519"/>
      <w:bookmarkEnd w:id="136"/>
    </w:p>
    <w:p w14:paraId="18666FF4">
      <w:pPr>
        <w:pStyle w:val="34"/>
        <w:ind w:firstLine="560"/>
        <w:rPr>
          <w:rFonts w:hint="eastAsia" w:asciiTheme="minorEastAsia" w:hAnsiTheme="minorEastAsia" w:eastAsiaTheme="minorEastAsia" w:cstheme="minorEastAsia"/>
          <w:spacing w:val="12"/>
        </w:rPr>
      </w:pPr>
      <w:r>
        <w:rPr>
          <w:rFonts w:hint="eastAsia" w:asciiTheme="minorEastAsia" w:hAnsiTheme="minorEastAsia" w:eastAsiaTheme="minorEastAsia" w:cstheme="minorEastAsia"/>
          <w:spacing w:val="12"/>
        </w:rPr>
        <w:t>9.1 本工程计价依据为：</w:t>
      </w:r>
    </w:p>
    <w:p w14:paraId="2CE1935F">
      <w:pPr>
        <w:pStyle w:val="34"/>
        <w:ind w:firstLine="560"/>
        <w:rPr>
          <w:rFonts w:hint="eastAsia" w:asciiTheme="minorEastAsia" w:hAnsiTheme="minorEastAsia" w:eastAsiaTheme="minorEastAsia" w:cstheme="minorEastAsia"/>
        </w:rPr>
      </w:pPr>
      <w:bookmarkStart w:id="137" w:name="_Hlt69335755"/>
      <w:bookmarkEnd w:id="137"/>
      <w:r>
        <w:rPr>
          <w:rFonts w:hint="eastAsia" w:asciiTheme="minorEastAsia" w:hAnsiTheme="minorEastAsia" w:eastAsiaTheme="minorEastAsia" w:cstheme="minorEastAsia"/>
        </w:rPr>
        <w:t>（1）《工程勘察设计收费管理规定》（计价格[2002]10号）、《工程勘察设计收费导则（第二版）》（粤勘设协〔2021〕2号）；</w:t>
      </w:r>
    </w:p>
    <w:p w14:paraId="64DF7209">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（2）《建设工程工程量清单计价规范》（GB50500—2013）；</w:t>
      </w:r>
    </w:p>
    <w:p w14:paraId="6B26AAE5">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4576F50C">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snapToGrid w:val="0"/>
          <w:kern w:val="0"/>
        </w:rPr>
        <w:t>招标文件及其答疑（或修改）公告</w:t>
      </w:r>
      <w:r>
        <w:rPr>
          <w:rFonts w:hint="eastAsia" w:asciiTheme="minorEastAsia" w:hAnsiTheme="minorEastAsia" w:eastAsiaTheme="minorEastAsia" w:cstheme="minorEastAsia"/>
        </w:rPr>
        <w:t>；</w:t>
      </w:r>
    </w:p>
    <w:p w14:paraId="7FA3AFE3">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（5）施工现场情况、工程特点及常规施工方案；</w:t>
      </w:r>
    </w:p>
    <w:p w14:paraId="459F9233">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（6）项目所在地工程造价管理机构发布的工程造价信息，工程造价信息缺项的，参照市场价格；</w:t>
      </w:r>
    </w:p>
    <w:p w14:paraId="15B87663">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（7）与建设项目相关的标准、规范、技术资料。</w:t>
      </w:r>
    </w:p>
    <w:p w14:paraId="60A26EDB">
      <w:pPr>
        <w:pStyle w:val="34"/>
        <w:ind w:firstLine="792" w:firstLineChars="30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2"/>
        </w:rPr>
        <w:t>9.2</w:t>
      </w:r>
      <w:r>
        <w:rPr>
          <w:rFonts w:hint="eastAsia" w:asciiTheme="minorEastAsia" w:hAnsiTheme="minorEastAsia" w:eastAsiaTheme="minorEastAsia" w:cstheme="minorEastAsia"/>
        </w:rPr>
        <w:t xml:space="preserve"> 本工程投标前，招标人及招标代理机构不集中组织现场踏勘，投标人需要了解现场情况的，可自行进行现场踏勘。各投标人应勘察施工现场及周围环境、地形、地貌、水文、交通等情况，以获得一切可能影响到投标的直</w:t>
      </w:r>
      <w:bookmarkStart w:id="138" w:name="_Hlt66509056"/>
      <w:bookmarkEnd w:id="138"/>
      <w:r>
        <w:rPr>
          <w:rFonts w:hint="eastAsia" w:asciiTheme="minorEastAsia" w:hAnsiTheme="minorEastAsia" w:eastAsiaTheme="minorEastAsia" w:cstheme="minorEastAsia"/>
        </w:rPr>
        <w:t>接资料。投标人应针对现场情况编制施工组织设计，并在写投标报价时考虑现场情况的影响。</w:t>
      </w:r>
    </w:p>
    <w:p w14:paraId="5283BEEB">
      <w:pPr>
        <w:pStyle w:val="4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2"/>
        </w:rPr>
        <w:t>9.</w:t>
      </w:r>
      <w:bookmarkStart w:id="139" w:name="_Hlt88974322"/>
      <w:r>
        <w:rPr>
          <w:rFonts w:hint="eastAsia" w:asciiTheme="minorEastAsia" w:hAnsiTheme="minorEastAsia" w:eastAsiaTheme="minorEastAsia" w:cstheme="minorEastAsia"/>
          <w:color w:val="auto"/>
          <w:spacing w:val="12"/>
        </w:rPr>
        <w:t>3</w:t>
      </w:r>
      <w:r>
        <w:rPr>
          <w:rFonts w:hint="eastAsia" w:asciiTheme="minorEastAsia" w:hAnsiTheme="minorEastAsia" w:eastAsiaTheme="minorEastAsia" w:cstheme="minorEastAsia"/>
          <w:color w:val="auto"/>
        </w:rPr>
        <w:t xml:space="preserve"> 现场踏勘费以及其它施工措施项目费，由投标人在投标报价中综合考虑，</w:t>
      </w:r>
      <w:r>
        <w:rPr>
          <w:rFonts w:hint="eastAsia" w:asciiTheme="minorEastAsia" w:hAnsiTheme="minorEastAsia" w:eastAsiaTheme="minorEastAsia" w:cstheme="minorEastAsia"/>
          <w:color w:val="auto"/>
          <w:szCs w:val="22"/>
        </w:rPr>
        <w:t>一次包定</w:t>
      </w:r>
      <w:r>
        <w:rPr>
          <w:rFonts w:hint="eastAsia" w:asciiTheme="minorEastAsia" w:hAnsiTheme="minorEastAsia" w:eastAsiaTheme="minorEastAsia" w:cstheme="minorEastAsia"/>
          <w:color w:val="auto"/>
        </w:rPr>
        <w:t>。无论投标人是否列出费用，招标人将一律视为已确认所有现场条件和可能发生的异常情况。</w:t>
      </w:r>
    </w:p>
    <w:bookmarkEnd w:id="139"/>
    <w:p w14:paraId="234024C6">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9.4 招标人向投标人提供的有关现场的数据和资料，是招标人现有的能被投标人利用的资料，招标人对投标人做出的任何推论、理解和结论均不负责任。</w:t>
      </w:r>
    </w:p>
    <w:p w14:paraId="6ECF8CE1">
      <w:pPr>
        <w:spacing w:line="360" w:lineRule="auto"/>
        <w:ind w:firstLine="600"/>
        <w:rPr>
          <w:rFonts w:asciiTheme="minorEastAsia" w:hAnsiTheme="minorEastAsia" w:eastAsiaTheme="minorEastAsia" w:cstheme="minorEastAsia"/>
          <w:lang w:val="zh-CN"/>
        </w:rPr>
      </w:pPr>
      <w:r>
        <w:rPr>
          <w:rFonts w:asciiTheme="minorEastAsia" w:hAnsiTheme="minorEastAsia" w:eastAsiaTheme="minorEastAsia" w:cstheme="minorEastAsia"/>
        </w:rPr>
        <w:t>9</w:t>
      </w:r>
      <w:r>
        <w:rPr>
          <w:rFonts w:asciiTheme="minorEastAsia" w:hAnsiTheme="minorEastAsia" w:eastAsiaTheme="minorEastAsia" w:cstheme="minorEastAsia"/>
          <w:lang w:val="zh-CN"/>
        </w:rPr>
        <w:t>.</w:t>
      </w:r>
      <w:r>
        <w:rPr>
          <w:rFonts w:asciiTheme="minorEastAsia" w:hAnsiTheme="minorEastAsia" w:eastAsiaTheme="minorEastAsia" w:cstheme="minorEastAsia"/>
        </w:rPr>
        <w:t>5</w:t>
      </w:r>
      <w:r>
        <w:rPr>
          <w:rFonts w:asciiTheme="minorEastAsia" w:hAnsiTheme="minorEastAsia" w:eastAsiaTheme="minorEastAsia" w:cstheme="minorEastAsia"/>
          <w:lang w:val="zh-CN"/>
        </w:rPr>
        <w:t>投标人负责协调处理因项目实施与周边企业和村民等关系并承担相关费用。</w:t>
      </w:r>
    </w:p>
    <w:p w14:paraId="2B5C827C">
      <w:pPr>
        <w:spacing w:line="360" w:lineRule="auto"/>
        <w:ind w:firstLine="600"/>
        <w:rPr>
          <w:rFonts w:asciiTheme="minorEastAsia" w:hAnsiTheme="minorEastAsia" w:eastAsiaTheme="minorEastAsia" w:cstheme="minorEastAsia"/>
          <w:lang w:val="zh-CN"/>
        </w:rPr>
      </w:pPr>
      <w:r>
        <w:rPr>
          <w:rFonts w:asciiTheme="minorEastAsia" w:hAnsiTheme="minorEastAsia" w:eastAsiaTheme="minorEastAsia" w:cstheme="minorEastAsia"/>
        </w:rPr>
        <w:t>9</w:t>
      </w:r>
      <w:r>
        <w:rPr>
          <w:rFonts w:asciiTheme="minorEastAsia" w:hAnsiTheme="minorEastAsia" w:eastAsiaTheme="minorEastAsia" w:cstheme="minorEastAsia"/>
          <w:lang w:val="zh-CN"/>
        </w:rPr>
        <w:t>.</w:t>
      </w:r>
      <w:r>
        <w:rPr>
          <w:rFonts w:asciiTheme="minorEastAsia" w:hAnsiTheme="minorEastAsia" w:eastAsiaTheme="minorEastAsia" w:cstheme="minorEastAsia"/>
        </w:rPr>
        <w:t>6</w:t>
      </w:r>
      <w:r>
        <w:rPr>
          <w:rFonts w:asciiTheme="minorEastAsia" w:hAnsiTheme="minorEastAsia" w:eastAsiaTheme="minorEastAsia" w:cstheme="minorEastAsia"/>
          <w:lang w:val="zh-CN"/>
        </w:rPr>
        <w:t>投标人应采取设计优化的方式，通过土方平衡方法解决弃土问题，若仍有弃土，按实结算。</w:t>
      </w:r>
    </w:p>
    <w:p w14:paraId="17069482">
      <w:pPr>
        <w:spacing w:line="360" w:lineRule="auto"/>
        <w:ind w:firstLine="570"/>
        <w:rPr>
          <w:rFonts w:asciiTheme="minorEastAsia" w:hAnsiTheme="minorEastAsia" w:eastAsiaTheme="minorEastAsia" w:cstheme="minorEastAsia"/>
          <w:b/>
          <w:u w:val="double"/>
        </w:rPr>
      </w:pPr>
      <w:r>
        <w:rPr>
          <w:rFonts w:asciiTheme="minorEastAsia" w:hAnsiTheme="minorEastAsia" w:eastAsiaTheme="minorEastAsia" w:cstheme="minorEastAsia"/>
        </w:rPr>
        <w:t>9</w:t>
      </w:r>
      <w:r>
        <w:rPr>
          <w:rFonts w:asciiTheme="minorEastAsia" w:hAnsiTheme="minorEastAsia" w:eastAsiaTheme="minorEastAsia" w:cstheme="minorEastAsia"/>
          <w:lang w:val="zh-CN"/>
        </w:rPr>
        <w:t>.</w:t>
      </w:r>
      <w:bookmarkStart w:id="140" w:name="_Toc319917951"/>
      <w:r>
        <w:rPr>
          <w:rFonts w:asciiTheme="minorEastAsia" w:hAnsiTheme="minorEastAsia" w:eastAsiaTheme="minorEastAsia" w:cstheme="minorEastAsia"/>
        </w:rPr>
        <w:t>7</w:t>
      </w:r>
      <w:r>
        <w:rPr>
          <w:rFonts w:asciiTheme="minorEastAsia" w:hAnsiTheme="minorEastAsia" w:eastAsiaTheme="minorEastAsia" w:cstheme="minorEastAsia"/>
          <w:b/>
          <w:u w:val="double"/>
        </w:rPr>
        <w:t>投标人的投标报价不得超过招标人公布的最高投标限价。本项目为限额设计，工程结算总造价不得超过中标价。</w:t>
      </w:r>
    </w:p>
    <w:p w14:paraId="727C0150">
      <w:pPr>
        <w:spacing w:line="360" w:lineRule="auto"/>
        <w:ind w:firstLine="570"/>
        <w:rPr>
          <w:rFonts w:asciiTheme="minorEastAsia" w:hAnsiTheme="minorEastAsia" w:eastAsiaTheme="minorEastAsia" w:cstheme="minorEastAsia"/>
          <w:lang w:val="zh-CN"/>
        </w:rPr>
      </w:pPr>
      <w:r>
        <w:rPr>
          <w:rFonts w:asciiTheme="minorEastAsia" w:hAnsiTheme="minorEastAsia" w:eastAsiaTheme="minorEastAsia" w:cstheme="minorEastAsia"/>
        </w:rPr>
        <w:t>9.8</w:t>
      </w:r>
      <w:r>
        <w:rPr>
          <w:rFonts w:asciiTheme="minorEastAsia" w:hAnsiTheme="minorEastAsia" w:eastAsiaTheme="minorEastAsia" w:cstheme="minorEastAsia"/>
          <w:b/>
          <w:lang w:val="zh-CN"/>
        </w:rPr>
        <w:t>投标单位应充分考虑本招标文件“第二章 拟签订合同的主要条款”所列的结算原则进行投标及报价。</w:t>
      </w:r>
      <w:bookmarkEnd w:id="140"/>
    </w:p>
    <w:p w14:paraId="1A4B3BD9">
      <w:pPr>
        <w:spacing w:line="360" w:lineRule="auto"/>
        <w:ind w:firstLine="570"/>
        <w:rPr>
          <w:rFonts w:asciiTheme="minorEastAsia" w:hAnsiTheme="minorEastAsia" w:eastAsiaTheme="minorEastAsia" w:cstheme="minorEastAsia"/>
          <w:lang w:val="zh-CN"/>
        </w:rPr>
      </w:pPr>
      <w:r>
        <w:rPr>
          <w:rFonts w:asciiTheme="minorEastAsia" w:hAnsiTheme="minorEastAsia" w:eastAsiaTheme="minorEastAsia" w:cstheme="minorEastAsia"/>
        </w:rPr>
        <w:t>9</w:t>
      </w:r>
      <w:r>
        <w:rPr>
          <w:rFonts w:asciiTheme="minorEastAsia" w:hAnsiTheme="minorEastAsia" w:eastAsiaTheme="minorEastAsia" w:cstheme="minorEastAsia"/>
          <w:lang w:val="zh-CN"/>
        </w:rPr>
        <w:t>.</w:t>
      </w:r>
      <w:r>
        <w:rPr>
          <w:rFonts w:asciiTheme="minorEastAsia" w:hAnsiTheme="minorEastAsia" w:eastAsiaTheme="minorEastAsia" w:cstheme="minorEastAsia"/>
        </w:rPr>
        <w:t>9</w:t>
      </w:r>
      <w:r>
        <w:rPr>
          <w:rFonts w:asciiTheme="minorEastAsia" w:hAnsiTheme="minorEastAsia" w:eastAsiaTheme="minorEastAsia" w:cstheme="minorEastAsia"/>
          <w:lang w:val="zh-CN"/>
        </w:rPr>
        <w:t>投标人的投标总报价应考虑完成招标文件中招标规模、内容及</w:t>
      </w:r>
      <w:r>
        <w:rPr>
          <w:rFonts w:asciiTheme="minorEastAsia" w:hAnsiTheme="minorEastAsia" w:eastAsiaTheme="minorEastAsia" w:cstheme="minorEastAsia"/>
        </w:rPr>
        <w:t>设计任务书</w:t>
      </w:r>
      <w:r>
        <w:rPr>
          <w:rFonts w:asciiTheme="minorEastAsia" w:hAnsiTheme="minorEastAsia" w:eastAsiaTheme="minorEastAsia" w:cstheme="minorEastAsia"/>
          <w:lang w:val="zh-CN"/>
        </w:rPr>
        <w:t>所有工程及设备的费用，并承担结算原则中规定的一切风险，还应考虑预算编制费、报建和施工时应由施工单位承担的一切费用。各项费用的主要内容及其报价方式：</w:t>
      </w:r>
    </w:p>
    <w:p w14:paraId="5343A8F5">
      <w:pPr>
        <w:spacing w:line="360" w:lineRule="auto"/>
        <w:ind w:firstLine="570"/>
        <w:rPr>
          <w:rFonts w:asciiTheme="minorEastAsia" w:hAnsiTheme="minorEastAsia" w:eastAsiaTheme="minorEastAsia" w:cstheme="minorEastAsia"/>
          <w:lang w:val="zh-CN"/>
        </w:rPr>
      </w:pPr>
      <w:r>
        <w:rPr>
          <w:rFonts w:asciiTheme="minorEastAsia" w:hAnsiTheme="minorEastAsia" w:eastAsiaTheme="minorEastAsia" w:cstheme="minorEastAsia"/>
        </w:rPr>
        <w:t>9</w:t>
      </w:r>
      <w:r>
        <w:rPr>
          <w:rFonts w:asciiTheme="minorEastAsia" w:hAnsiTheme="minorEastAsia" w:eastAsiaTheme="minorEastAsia" w:cstheme="minorEastAsia"/>
          <w:lang w:val="zh-CN"/>
        </w:rPr>
        <w:t>.</w:t>
      </w:r>
      <w:r>
        <w:rPr>
          <w:rFonts w:asciiTheme="minorEastAsia" w:hAnsiTheme="minorEastAsia" w:eastAsiaTheme="minorEastAsia" w:cstheme="minorEastAsia"/>
        </w:rPr>
        <w:t>9</w:t>
      </w:r>
      <w:r>
        <w:rPr>
          <w:rFonts w:asciiTheme="minorEastAsia" w:hAnsiTheme="minorEastAsia" w:eastAsiaTheme="minorEastAsia" w:cstheme="minorEastAsia"/>
          <w:lang w:val="zh-CN"/>
        </w:rPr>
        <w:t>.1设计费投标报价</w:t>
      </w:r>
      <w:r>
        <w:rPr>
          <w:rFonts w:asciiTheme="minorEastAsia" w:hAnsiTheme="minorEastAsia" w:eastAsiaTheme="minorEastAsia" w:cstheme="minorEastAsia"/>
          <w:szCs w:val="24"/>
        </w:rPr>
        <w:t>：</w:t>
      </w:r>
      <w:r>
        <w:rPr>
          <w:rFonts w:asciiTheme="minorEastAsia" w:hAnsiTheme="minorEastAsia" w:eastAsiaTheme="minorEastAsia" w:cstheme="minorEastAsia"/>
          <w:lang w:val="zh-CN"/>
        </w:rPr>
        <w:t>在最高投标限价范围内，投标人自行报总价，结算按设计费的中标价包干不作任何调整。设计费的报价应包含各个不同专业的施工图设计费用、进行优化设计或修改设计所增加的设计费用、各项专家评审的专家费用、预算编制费等</w:t>
      </w:r>
      <w:r>
        <w:rPr>
          <w:rFonts w:asciiTheme="minorEastAsia" w:hAnsiTheme="minorEastAsia" w:eastAsiaTheme="minorEastAsia" w:cstheme="minorEastAsia"/>
          <w:szCs w:val="24"/>
        </w:rPr>
        <w:t>（不含第三方施工图审查费）</w:t>
      </w:r>
      <w:r>
        <w:rPr>
          <w:rFonts w:asciiTheme="minorEastAsia" w:hAnsiTheme="minorEastAsia" w:eastAsiaTheme="minorEastAsia" w:cstheme="minorEastAsia"/>
          <w:lang w:val="zh-CN"/>
        </w:rPr>
        <w:t>，由投标人自行考虑所有设计工作的辅助费用。如其他专业需要分包的，需向招标人报备。另外，中标人需向招标人提供合格施工图一式1</w:t>
      </w:r>
      <w:r>
        <w:rPr>
          <w:rFonts w:asciiTheme="minorEastAsia" w:hAnsiTheme="minorEastAsia" w:eastAsiaTheme="minorEastAsia" w:cstheme="minorEastAsia"/>
        </w:rPr>
        <w:t>2</w:t>
      </w:r>
      <w:r>
        <w:rPr>
          <w:rFonts w:asciiTheme="minorEastAsia" w:hAnsiTheme="minorEastAsia" w:eastAsiaTheme="minorEastAsia" w:cstheme="minorEastAsia"/>
          <w:lang w:val="zh-CN"/>
        </w:rPr>
        <w:t>份。</w:t>
      </w:r>
    </w:p>
    <w:p w14:paraId="65B59086">
      <w:pPr>
        <w:spacing w:line="360" w:lineRule="auto"/>
        <w:ind w:firstLine="570"/>
        <w:rPr>
          <w:rFonts w:asciiTheme="minorEastAsia" w:hAnsiTheme="minorEastAsia" w:eastAsiaTheme="minorEastAsia" w:cstheme="minorEastAsia"/>
          <w:b/>
          <w:bCs/>
          <w:lang w:val="zh-CN"/>
        </w:rPr>
      </w:pPr>
      <w:r>
        <w:rPr>
          <w:rFonts w:asciiTheme="minorEastAsia" w:hAnsiTheme="minorEastAsia" w:eastAsiaTheme="minorEastAsia" w:cstheme="minorEastAsia"/>
          <w:b/>
          <w:bCs/>
          <w:lang w:val="zh-CN"/>
        </w:rPr>
        <w:t>本项目在实施过程中可能出现设计成果已通过确认，仍需进行设计变更、修改、调整等情况，不另行增加设计费。</w:t>
      </w:r>
    </w:p>
    <w:p w14:paraId="01765680">
      <w:pPr>
        <w:spacing w:line="360" w:lineRule="auto"/>
        <w:ind w:firstLine="588" w:firstLineChars="245"/>
        <w:rPr>
          <w:rFonts w:asciiTheme="minorEastAsia" w:hAnsiTheme="minorEastAsia" w:eastAsiaTheme="minorEastAsia" w:cstheme="minorEastAsia"/>
          <w:szCs w:val="24"/>
        </w:rPr>
      </w:pPr>
      <w:r>
        <w:rPr>
          <w:rFonts w:asciiTheme="minorEastAsia" w:hAnsiTheme="minorEastAsia" w:eastAsiaTheme="minorEastAsia" w:cstheme="minorEastAsia"/>
        </w:rPr>
        <w:t>9</w:t>
      </w:r>
      <w:r>
        <w:rPr>
          <w:rFonts w:asciiTheme="minorEastAsia" w:hAnsiTheme="minorEastAsia" w:eastAsiaTheme="minorEastAsia" w:cstheme="minorEastAsia"/>
          <w:lang w:val="zh-CN"/>
        </w:rPr>
        <w:t>.</w:t>
      </w:r>
      <w:r>
        <w:rPr>
          <w:rFonts w:asciiTheme="minorEastAsia" w:hAnsiTheme="minorEastAsia" w:eastAsiaTheme="minorEastAsia" w:cstheme="minorEastAsia"/>
        </w:rPr>
        <w:t>9</w:t>
      </w:r>
      <w:r>
        <w:rPr>
          <w:rFonts w:asciiTheme="minorEastAsia" w:hAnsiTheme="minorEastAsia" w:eastAsiaTheme="minorEastAsia" w:cstheme="minorEastAsia"/>
          <w:lang w:val="zh-CN"/>
        </w:rPr>
        <w:t>.</w:t>
      </w:r>
      <w:r>
        <w:rPr>
          <w:rFonts w:asciiTheme="minorEastAsia" w:hAnsiTheme="minorEastAsia" w:eastAsiaTheme="minorEastAsia" w:cstheme="minorEastAsia"/>
        </w:rPr>
        <w:t>2</w:t>
      </w:r>
      <w:r>
        <w:rPr>
          <w:rFonts w:asciiTheme="minorEastAsia" w:hAnsiTheme="minorEastAsia" w:eastAsiaTheme="minorEastAsia" w:cstheme="minorEastAsia"/>
          <w:lang w:val="zh-CN"/>
        </w:rPr>
        <w:t>建安</w:t>
      </w:r>
      <w:r>
        <w:rPr>
          <w:rFonts w:asciiTheme="minorEastAsia" w:hAnsiTheme="minorEastAsia" w:eastAsiaTheme="minorEastAsia" w:cstheme="minorEastAsia"/>
          <w:szCs w:val="24"/>
        </w:rPr>
        <w:t>工程费用</w:t>
      </w:r>
      <w:r>
        <w:rPr>
          <w:rFonts w:asciiTheme="minorEastAsia" w:hAnsiTheme="minorEastAsia" w:eastAsiaTheme="minorEastAsia" w:cstheme="minorEastAsia"/>
          <w:lang w:val="zh-CN"/>
        </w:rPr>
        <w:t>：采用下浮率的方式进行报价</w:t>
      </w:r>
      <w:r>
        <w:rPr>
          <w:rFonts w:asciiTheme="minorEastAsia" w:hAnsiTheme="minorEastAsia" w:eastAsiaTheme="minorEastAsia" w:cstheme="minorEastAsia"/>
          <w:szCs w:val="24"/>
        </w:rPr>
        <w:t>，结算时按招标文件有关结算原则计算后再按报价</w:t>
      </w:r>
      <w:r>
        <w:rPr>
          <w:rFonts w:asciiTheme="minorEastAsia" w:hAnsiTheme="minorEastAsia" w:eastAsiaTheme="minorEastAsia" w:cstheme="minorEastAsia"/>
          <w:lang w:val="zh-CN"/>
        </w:rPr>
        <w:t>下浮率</w:t>
      </w:r>
      <w:r>
        <w:rPr>
          <w:rFonts w:asciiTheme="minorEastAsia" w:hAnsiTheme="minorEastAsia" w:eastAsiaTheme="minorEastAsia" w:cstheme="minorEastAsia"/>
          <w:szCs w:val="24"/>
        </w:rPr>
        <w:t>下浮。建安工程费投标报价=计算基数×（1-下浮率）。</w:t>
      </w:r>
    </w:p>
    <w:p w14:paraId="33E11C9B">
      <w:pPr>
        <w:spacing w:line="360" w:lineRule="auto"/>
        <w:ind w:firstLine="588" w:firstLineChars="245"/>
        <w:rPr>
          <w:rFonts w:asciiTheme="minorEastAsia" w:hAnsiTheme="minorEastAsia" w:eastAsiaTheme="minorEastAsia" w:cstheme="minorEastAsia"/>
          <w:strike/>
          <w:szCs w:val="24"/>
        </w:rPr>
      </w:pPr>
      <w:r>
        <w:rPr>
          <w:rFonts w:asciiTheme="minorEastAsia" w:hAnsiTheme="minorEastAsia" w:eastAsiaTheme="minorEastAsia" w:cstheme="minorEastAsia"/>
          <w:szCs w:val="24"/>
        </w:rPr>
        <w:t>如投标人的建安工程费用投标报价</w:t>
      </w:r>
      <w:r>
        <w:rPr>
          <w:rFonts w:asciiTheme="minorEastAsia" w:hAnsiTheme="minorEastAsia" w:eastAsiaTheme="minorEastAsia" w:cstheme="minorEastAsia"/>
          <w:lang w:val="zh-CN"/>
        </w:rPr>
        <w:t>下浮率</w:t>
      </w:r>
      <w:r>
        <w:rPr>
          <w:rFonts w:asciiTheme="minorEastAsia" w:hAnsiTheme="minorEastAsia" w:eastAsiaTheme="minorEastAsia" w:cstheme="minorEastAsia"/>
          <w:szCs w:val="24"/>
        </w:rPr>
        <w:t>高于15%时，投标人必须在投标报价书中另行作出详细合理的书面说明并提供相关证明材料供评标委员会评审，否则评标委员会将认定该投标人以低于成本报价竞标。</w:t>
      </w:r>
    </w:p>
    <w:p w14:paraId="5E133150">
      <w:pPr>
        <w:pStyle w:val="30"/>
        <w:spacing w:line="360" w:lineRule="auto"/>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Cs/>
          <w:snapToGrid w:val="0"/>
          <w:kern w:val="0"/>
          <w:sz w:val="24"/>
        </w:rPr>
        <w:t xml:space="preserve">    建安工程费的报价应考虑完成招标文件中招标规模、内容及设计任务书所规定的所有工程的费用，并承担结算原则中规定的一切风险，还应包含工程报建和施工时应由施工单位承担的一切费用。</w:t>
      </w:r>
    </w:p>
    <w:p w14:paraId="2157A896">
      <w:pPr>
        <w:spacing w:line="360" w:lineRule="auto"/>
        <w:ind w:firstLine="588" w:firstLineChars="245"/>
        <w:rPr>
          <w:rFonts w:asciiTheme="minorEastAsia" w:hAnsiTheme="minorEastAsia" w:eastAsiaTheme="minorEastAsia" w:cstheme="minorEastAsia"/>
          <w:szCs w:val="24"/>
        </w:rPr>
      </w:pPr>
      <w:r>
        <w:rPr>
          <w:rFonts w:asciiTheme="minorEastAsia" w:hAnsiTheme="minorEastAsia" w:eastAsiaTheme="minorEastAsia" w:cstheme="minorEastAsia"/>
        </w:rPr>
        <w:t>9.9.3</w:t>
      </w:r>
      <w:r>
        <w:rPr>
          <w:rFonts w:asciiTheme="minorEastAsia" w:hAnsiTheme="minorEastAsia" w:eastAsiaTheme="minorEastAsia" w:cstheme="minorEastAsia"/>
          <w:szCs w:val="24"/>
        </w:rPr>
        <w:t>预算包干费：根据2018年《广东省市政工程综合定额》、2018年《广东省房屋建筑与装饰工程综合定额》、2018年《广东省通用安装工程综合定额》、2018年《广东省园林绿化工程综合定额》，以各专业分部分项的人工费与施工机具费之和为基础计算预算包干费。本工程的预算包干内容包括：按《广东省建设工程计价依据（2018）》相关规定。</w:t>
      </w:r>
    </w:p>
    <w:p w14:paraId="3AEB4E78">
      <w:pPr>
        <w:spacing w:line="360" w:lineRule="auto"/>
        <w:ind w:firstLine="588" w:firstLineChars="245"/>
        <w:rPr>
          <w:rFonts w:asciiTheme="minorEastAsia" w:hAnsiTheme="minorEastAsia" w:eastAsiaTheme="minorEastAsia" w:cstheme="minorEastAsia"/>
          <w:szCs w:val="24"/>
        </w:rPr>
      </w:pPr>
      <w:r>
        <w:rPr>
          <w:rFonts w:asciiTheme="minorEastAsia" w:hAnsiTheme="minorEastAsia" w:eastAsiaTheme="minorEastAsia" w:cstheme="minorEastAsia"/>
        </w:rPr>
        <w:t>9.9.4</w:t>
      </w:r>
      <w:r>
        <w:rPr>
          <w:rFonts w:asciiTheme="minorEastAsia" w:hAnsiTheme="minorEastAsia" w:eastAsiaTheme="minorEastAsia" w:cstheme="minorEastAsia"/>
          <w:szCs w:val="24"/>
        </w:rPr>
        <w:t>投标人在投标报价时，自行考虑高温补贴费、施工视频监控系统费用，专业分包的总包服务及配合费，预算（含工程量清单编制费）等，并承担相应风险，结算时不另行计取。</w:t>
      </w:r>
    </w:p>
    <w:p w14:paraId="702E3279">
      <w:pPr>
        <w:spacing w:line="360" w:lineRule="auto"/>
        <w:ind w:firstLine="588" w:firstLineChars="245"/>
        <w:rPr>
          <w:rFonts w:asciiTheme="minorEastAsia" w:hAnsiTheme="minorEastAsia" w:eastAsiaTheme="minorEastAsia" w:cstheme="minorEastAsia"/>
          <w:bCs/>
          <w:szCs w:val="24"/>
          <w:highlight w:val="none"/>
        </w:rPr>
      </w:pPr>
      <w:r>
        <w:rPr>
          <w:rFonts w:asciiTheme="minorEastAsia" w:hAnsiTheme="minorEastAsia" w:eastAsiaTheme="minorEastAsia" w:cstheme="minorEastAsia"/>
        </w:rPr>
        <w:t>9</w:t>
      </w:r>
      <w:r>
        <w:rPr>
          <w:rFonts w:asciiTheme="minorEastAsia" w:hAnsiTheme="minorEastAsia" w:eastAsiaTheme="minorEastAsia" w:cstheme="minorEastAsia"/>
          <w:lang w:val="zh-CN"/>
        </w:rPr>
        <w:t>.</w:t>
      </w:r>
      <w:r>
        <w:rPr>
          <w:rFonts w:asciiTheme="minorEastAsia" w:hAnsiTheme="minorEastAsia" w:eastAsiaTheme="minorEastAsia" w:cstheme="minorEastAsia"/>
        </w:rPr>
        <w:t xml:space="preserve">9.5 </w:t>
      </w:r>
      <w:r>
        <w:rPr>
          <w:rFonts w:asciiTheme="minorEastAsia" w:hAnsiTheme="minorEastAsia" w:eastAsiaTheme="minorEastAsia" w:cstheme="minorEastAsia"/>
          <w:bCs/>
        </w:rPr>
        <w:t>招标人可根据本项目实际情况对规模及内容进行调整</w:t>
      </w:r>
      <w:r>
        <w:rPr>
          <w:rFonts w:asciiTheme="minorEastAsia" w:hAnsiTheme="minorEastAsia" w:eastAsiaTheme="minorEastAsia" w:cstheme="minorEastAsia"/>
        </w:rPr>
        <w:t>或减少，投标人中标后不得因此调整或减少向招标人索赔</w:t>
      </w:r>
      <w:r>
        <w:rPr>
          <w:rFonts w:asciiTheme="minorEastAsia" w:hAnsiTheme="minorEastAsia" w:eastAsiaTheme="minorEastAsia" w:cstheme="minorEastAsia"/>
          <w:highlight w:val="none"/>
        </w:rPr>
        <w:t>，并且必须按调整或减少后的规模及内容完成工程建设。投标人在投标报价时需综合考虑该因素并报价</w:t>
      </w:r>
      <w:r>
        <w:rPr>
          <w:rFonts w:asciiTheme="minorEastAsia" w:hAnsiTheme="minorEastAsia" w:eastAsiaTheme="minorEastAsia" w:cstheme="minorEastAsia"/>
          <w:bCs/>
          <w:highlight w:val="none"/>
        </w:rPr>
        <w:t>。</w:t>
      </w:r>
    </w:p>
    <w:p w14:paraId="375346D7">
      <w:pPr>
        <w:pStyle w:val="36"/>
        <w:keepNext/>
        <w:keepLines/>
        <w:ind w:firstLine="480"/>
        <w:jc w:val="both"/>
        <w:rPr>
          <w:rFonts w:hint="eastAsia" w:asciiTheme="minorEastAsia" w:hAnsiTheme="minorEastAsia" w:eastAsiaTheme="minorEastAsia" w:cstheme="minorEastAsia"/>
          <w:b/>
          <w:szCs w:val="24"/>
          <w:highlight w:val="none"/>
        </w:rPr>
      </w:pPr>
      <w:bookmarkStart w:id="141" w:name="_Toc2339"/>
      <w:bookmarkStart w:id="142" w:name="_Toc31966"/>
      <w:r>
        <w:rPr>
          <w:rFonts w:hint="eastAsia" w:asciiTheme="minorEastAsia" w:hAnsiTheme="minorEastAsia" w:eastAsiaTheme="minorEastAsia" w:cstheme="minorEastAsia"/>
          <w:b/>
          <w:szCs w:val="24"/>
          <w:highlight w:val="none"/>
        </w:rPr>
        <w:t>10、 最高</w:t>
      </w:r>
      <w:r>
        <w:rPr>
          <w:rFonts w:hint="eastAsia" w:asciiTheme="minorEastAsia" w:hAnsiTheme="minorEastAsia" w:eastAsiaTheme="minorEastAsia" w:cstheme="minorEastAsia"/>
          <w:b/>
          <w:kern w:val="2"/>
          <w:highlight w:val="none"/>
        </w:rPr>
        <w:t>投标</w:t>
      </w:r>
      <w:r>
        <w:rPr>
          <w:rFonts w:hint="eastAsia" w:asciiTheme="minorEastAsia" w:hAnsiTheme="minorEastAsia" w:eastAsiaTheme="minorEastAsia" w:cstheme="minorEastAsia"/>
          <w:b/>
          <w:szCs w:val="24"/>
          <w:highlight w:val="none"/>
        </w:rPr>
        <w:t>限价的确定</w:t>
      </w:r>
      <w:bookmarkEnd w:id="141"/>
      <w:bookmarkEnd w:id="142"/>
      <w:bookmarkStart w:id="143" w:name="_Hlt69335617"/>
      <w:bookmarkStart w:id="144" w:name="_Hlt121629839"/>
    </w:p>
    <w:p w14:paraId="10D17BC0">
      <w:pPr>
        <w:spacing w:line="360" w:lineRule="auto"/>
        <w:ind w:firstLine="588" w:firstLineChars="245"/>
        <w:jc w:val="left"/>
        <w:rPr>
          <w:highlight w:val="none"/>
        </w:rPr>
      </w:pPr>
      <w:bookmarkStart w:id="145" w:name="_Toc13350"/>
      <w:bookmarkStart w:id="146" w:name="_Toc24510"/>
      <w:bookmarkStart w:id="147" w:name="_Toc5483"/>
      <w:bookmarkStart w:id="148" w:name="_Toc29734"/>
      <w:bookmarkStart w:id="149" w:name="_Toc32578"/>
      <w:bookmarkStart w:id="150" w:name="_Toc15152"/>
      <w:bookmarkStart w:id="151" w:name="_Toc7307"/>
      <w:bookmarkStart w:id="152" w:name="_Toc4604"/>
      <w:r>
        <w:rPr>
          <w:rFonts w:asciiTheme="minorEastAsia" w:hAnsiTheme="minorEastAsia" w:eastAsiaTheme="minorEastAsia" w:cstheme="minorEastAsia"/>
          <w:szCs w:val="24"/>
          <w:highlight w:val="none"/>
        </w:rPr>
        <w:t>本项目最高投标限价为人民币(大写) :</w:t>
      </w:r>
      <w:r>
        <w:rPr>
          <w:rFonts w:hint="eastAsia" w:asciiTheme="minorEastAsia" w:hAnsiTheme="minorEastAsia" w:eastAsiaTheme="minorEastAsia" w:cstheme="minorEastAsia"/>
          <w:color w:val="000000" w:themeColor="text1"/>
          <w:szCs w:val="24"/>
          <w:highlight w:val="none"/>
          <w:u w:val="single"/>
          <w:lang w:eastAsia="zh-CN"/>
          <w14:textFill>
            <w14:solidFill>
              <w14:schemeClr w14:val="tx1"/>
            </w14:solidFill>
          </w14:textFill>
        </w:rPr>
        <w:t>壹仟叁佰肆拾万零貳仟壹佰玖拾柒元柒角貳分</w:t>
      </w:r>
      <w:r>
        <w:rPr>
          <w:rFonts w:hint="eastAsia" w:asciiTheme="minorEastAsia" w:hAnsiTheme="minorEastAsia" w:eastAsiaTheme="minorEastAsia" w:cstheme="minorEastAsia"/>
          <w:color w:val="000000" w:themeColor="text1"/>
          <w:szCs w:val="24"/>
          <w:highlight w:val="none"/>
          <w:u w:val="single"/>
          <w14:textFill>
            <w14:solidFill>
              <w14:schemeClr w14:val="tx1"/>
            </w14:solidFill>
          </w14:textFill>
        </w:rPr>
        <w:t xml:space="preserve">(小写:¥ </w:t>
      </w:r>
      <w:r>
        <w:rPr>
          <w:rFonts w:hint="eastAsia" w:asciiTheme="minorEastAsia" w:hAnsiTheme="minorEastAsia" w:eastAsiaTheme="minorEastAsia" w:cstheme="minorEastAsia"/>
          <w:color w:val="000000" w:themeColor="text1"/>
          <w:szCs w:val="24"/>
          <w:highlight w:val="none"/>
          <w:u w:val="single"/>
          <w:lang w:eastAsia="zh-CN"/>
          <w14:textFill>
            <w14:solidFill>
              <w14:schemeClr w14:val="tx1"/>
            </w14:solidFill>
          </w14:textFill>
        </w:rPr>
        <w:t>13402197.72</w:t>
      </w:r>
      <w:r>
        <w:rPr>
          <w:rFonts w:hint="eastAsia" w:asciiTheme="minorEastAsia" w:hAnsiTheme="minorEastAsia" w:eastAsiaTheme="minorEastAsia" w:cstheme="minorEastAsia"/>
          <w:color w:val="000000" w:themeColor="text1"/>
          <w:szCs w:val="24"/>
          <w:highlight w:val="none"/>
          <w:u w:val="single"/>
          <w14:textFill>
            <w14:solidFill>
              <w14:schemeClr w14:val="tx1"/>
            </w14:solidFill>
          </w14:textFill>
        </w:rPr>
        <w:t>元</w:t>
      </w:r>
      <w:r>
        <w:rPr>
          <w:rFonts w:hint="eastAsia" w:asciiTheme="minorEastAsia" w:hAnsiTheme="minorEastAsia" w:eastAsiaTheme="minorEastAsia" w:cstheme="minorEastAsia"/>
          <w:color w:val="000000" w:themeColor="text1"/>
          <w:szCs w:val="24"/>
          <w:highlight w:val="none"/>
          <w14:textFill>
            <w14:solidFill>
              <w14:schemeClr w14:val="tx1"/>
            </w14:solidFill>
          </w14:textFill>
        </w:rPr>
        <w:t>)</w:t>
      </w:r>
      <w:r>
        <w:rPr>
          <w:rFonts w:asciiTheme="minorEastAsia" w:hAnsiTheme="minorEastAsia" w:eastAsiaTheme="minorEastAsia" w:cstheme="minorEastAsia"/>
          <w:szCs w:val="24"/>
          <w:highlight w:val="none"/>
        </w:rPr>
        <w:t>。具体详见如下：</w:t>
      </w:r>
    </w:p>
    <w:tbl>
      <w:tblPr>
        <w:tblStyle w:val="21"/>
        <w:tblW w:w="95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2"/>
        <w:gridCol w:w="1615"/>
        <w:gridCol w:w="2223"/>
        <w:gridCol w:w="4747"/>
      </w:tblGrid>
      <w:tr w14:paraId="5B627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982" w:type="dxa"/>
            <w:noWrap/>
            <w:vAlign w:val="center"/>
          </w:tcPr>
          <w:p w14:paraId="4F853FD4">
            <w:pPr>
              <w:spacing w:line="360" w:lineRule="auto"/>
              <w:jc w:val="center"/>
              <w:rPr>
                <w:rFonts w:asciiTheme="minorEastAsia" w:hAnsiTheme="minorEastAsia" w:eastAsiaTheme="minorEastAsia" w:cstheme="minorEastAsia"/>
                <w:kern w:val="1"/>
                <w:highlight w:val="none"/>
              </w:rPr>
            </w:pPr>
            <w:r>
              <w:rPr>
                <w:rFonts w:asciiTheme="minorEastAsia" w:hAnsiTheme="minorEastAsia" w:eastAsiaTheme="minorEastAsia" w:cstheme="minorEastAsia"/>
                <w:kern w:val="1"/>
                <w:szCs w:val="24"/>
                <w:highlight w:val="none"/>
              </w:rPr>
              <w:t>序号</w:t>
            </w:r>
          </w:p>
        </w:tc>
        <w:tc>
          <w:tcPr>
            <w:tcW w:w="1615" w:type="dxa"/>
            <w:noWrap/>
            <w:vAlign w:val="center"/>
          </w:tcPr>
          <w:p w14:paraId="45EE8201">
            <w:pPr>
              <w:spacing w:line="360" w:lineRule="auto"/>
              <w:jc w:val="center"/>
              <w:rPr>
                <w:rFonts w:asciiTheme="minorEastAsia" w:hAnsiTheme="minorEastAsia" w:eastAsiaTheme="minorEastAsia" w:cstheme="minorEastAsia"/>
                <w:kern w:val="1"/>
                <w:highlight w:val="none"/>
              </w:rPr>
            </w:pPr>
            <w:r>
              <w:rPr>
                <w:rFonts w:asciiTheme="minorEastAsia" w:hAnsiTheme="minorEastAsia" w:eastAsiaTheme="minorEastAsia" w:cstheme="minorEastAsia"/>
                <w:kern w:val="1"/>
                <w:szCs w:val="24"/>
                <w:highlight w:val="none"/>
              </w:rPr>
              <w:t>项目名称</w:t>
            </w:r>
          </w:p>
        </w:tc>
        <w:tc>
          <w:tcPr>
            <w:tcW w:w="2223" w:type="dxa"/>
            <w:noWrap/>
            <w:vAlign w:val="center"/>
          </w:tcPr>
          <w:p w14:paraId="69FE3FF8">
            <w:pPr>
              <w:spacing w:line="360" w:lineRule="auto"/>
              <w:jc w:val="center"/>
              <w:rPr>
                <w:rFonts w:asciiTheme="minorEastAsia" w:hAnsiTheme="minorEastAsia" w:eastAsiaTheme="minorEastAsia" w:cstheme="minorEastAsia"/>
                <w:highlight w:val="none"/>
              </w:rPr>
            </w:pPr>
            <w:r>
              <w:rPr>
                <w:rFonts w:asciiTheme="minorEastAsia" w:hAnsiTheme="minorEastAsia" w:eastAsiaTheme="minorEastAsia" w:cstheme="minorEastAsia"/>
                <w:szCs w:val="24"/>
                <w:highlight w:val="none"/>
              </w:rPr>
              <w:t>最高投标限价（元）</w:t>
            </w:r>
          </w:p>
        </w:tc>
        <w:tc>
          <w:tcPr>
            <w:tcW w:w="4747" w:type="dxa"/>
            <w:noWrap/>
            <w:vAlign w:val="center"/>
          </w:tcPr>
          <w:p w14:paraId="59E9049A">
            <w:pPr>
              <w:spacing w:line="360" w:lineRule="auto"/>
              <w:jc w:val="center"/>
              <w:rPr>
                <w:rFonts w:asciiTheme="minorEastAsia" w:hAnsiTheme="minorEastAsia" w:eastAsiaTheme="minorEastAsia" w:cstheme="minorEastAsia"/>
                <w:highlight w:val="none"/>
              </w:rPr>
            </w:pPr>
            <w:r>
              <w:rPr>
                <w:rFonts w:asciiTheme="minorEastAsia" w:hAnsiTheme="minorEastAsia" w:eastAsiaTheme="minorEastAsia" w:cstheme="minorEastAsia"/>
                <w:kern w:val="1"/>
                <w:szCs w:val="24"/>
                <w:highlight w:val="none"/>
              </w:rPr>
              <w:t>报价要求</w:t>
            </w:r>
          </w:p>
        </w:tc>
      </w:tr>
      <w:tr w14:paraId="01780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3" w:hRule="atLeast"/>
          <w:jc w:val="center"/>
        </w:trPr>
        <w:tc>
          <w:tcPr>
            <w:tcW w:w="982" w:type="dxa"/>
            <w:noWrap/>
            <w:vAlign w:val="center"/>
          </w:tcPr>
          <w:p w14:paraId="6C6D1E3A">
            <w:pPr>
              <w:spacing w:line="360" w:lineRule="auto"/>
              <w:jc w:val="center"/>
              <w:rPr>
                <w:rFonts w:asciiTheme="minorEastAsia" w:hAnsiTheme="minorEastAsia" w:eastAsiaTheme="minorEastAsia" w:cstheme="minorEastAsia"/>
                <w:kern w:val="1"/>
                <w:highlight w:val="none"/>
              </w:rPr>
            </w:pPr>
            <w:r>
              <w:rPr>
                <w:rFonts w:asciiTheme="minorEastAsia" w:hAnsiTheme="minorEastAsia" w:eastAsiaTheme="minorEastAsia" w:cstheme="minorEastAsia"/>
                <w:kern w:val="1"/>
                <w:szCs w:val="24"/>
                <w:highlight w:val="none"/>
              </w:rPr>
              <w:t>1</w:t>
            </w:r>
          </w:p>
        </w:tc>
        <w:tc>
          <w:tcPr>
            <w:tcW w:w="1615" w:type="dxa"/>
            <w:noWrap/>
            <w:vAlign w:val="center"/>
          </w:tcPr>
          <w:p w14:paraId="312D8691">
            <w:pPr>
              <w:spacing w:line="360" w:lineRule="auto"/>
              <w:jc w:val="center"/>
              <w:rPr>
                <w:rFonts w:asciiTheme="minorEastAsia" w:hAnsiTheme="minorEastAsia" w:eastAsiaTheme="minorEastAsia" w:cstheme="minorEastAsia"/>
                <w:kern w:val="1"/>
                <w:highlight w:val="none"/>
              </w:rPr>
            </w:pPr>
            <w:r>
              <w:rPr>
                <w:rFonts w:asciiTheme="minorEastAsia" w:hAnsiTheme="minorEastAsia" w:eastAsiaTheme="minorEastAsia" w:cstheme="minorEastAsia"/>
                <w:kern w:val="1"/>
                <w:szCs w:val="24"/>
                <w:highlight w:val="none"/>
              </w:rPr>
              <w:t>设计费</w:t>
            </w:r>
          </w:p>
        </w:tc>
        <w:tc>
          <w:tcPr>
            <w:tcW w:w="2223" w:type="dxa"/>
            <w:noWrap/>
            <w:vAlign w:val="center"/>
          </w:tcPr>
          <w:p w14:paraId="3A9026F1">
            <w:pPr>
              <w:widowControl/>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372154.45</w:t>
            </w:r>
          </w:p>
        </w:tc>
        <w:tc>
          <w:tcPr>
            <w:tcW w:w="4747" w:type="dxa"/>
            <w:noWrap/>
            <w:vAlign w:val="center"/>
          </w:tcPr>
          <w:p w14:paraId="4732C337">
            <w:pPr>
              <w:wordWrap w:val="0"/>
              <w:adjustRightInd w:val="0"/>
              <w:snapToGrid w:val="0"/>
              <w:ind w:firstLine="480" w:firstLineChars="200"/>
              <w:rPr>
                <w:rFonts w:asciiTheme="minorEastAsia" w:hAnsiTheme="minorEastAsia" w:eastAsiaTheme="minorEastAsia" w:cstheme="minorEastAsia"/>
                <w:highlight w:val="none"/>
              </w:rPr>
            </w:pPr>
            <w:r>
              <w:rPr>
                <w:rFonts w:asciiTheme="minorEastAsia" w:hAnsiTheme="minorEastAsia" w:eastAsiaTheme="minorEastAsia" w:cstheme="minorEastAsia"/>
                <w:szCs w:val="24"/>
                <w:highlight w:val="none"/>
              </w:rPr>
              <w:t>设计费自行报价，结算按设计费的中标价包干不作任何调整。设计费的报价应包含各个不同专业的设计费用、进行优化设计或修改设计所增加的设计费用、各项专家评审的专家费用。</w:t>
            </w:r>
          </w:p>
        </w:tc>
      </w:tr>
      <w:tr w14:paraId="7065E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982" w:type="dxa"/>
            <w:noWrap/>
            <w:vAlign w:val="center"/>
          </w:tcPr>
          <w:p w14:paraId="740E5D8F">
            <w:pPr>
              <w:spacing w:line="360" w:lineRule="auto"/>
              <w:jc w:val="center"/>
              <w:rPr>
                <w:rFonts w:asciiTheme="minorEastAsia" w:hAnsiTheme="minorEastAsia" w:eastAsiaTheme="minorEastAsia" w:cstheme="minorEastAsia"/>
                <w:kern w:val="1"/>
                <w:highlight w:val="none"/>
              </w:rPr>
            </w:pPr>
            <w:r>
              <w:rPr>
                <w:rFonts w:asciiTheme="minorEastAsia" w:hAnsiTheme="minorEastAsia" w:eastAsiaTheme="minorEastAsia" w:cstheme="minorEastAsia"/>
                <w:kern w:val="1"/>
                <w:szCs w:val="24"/>
                <w:highlight w:val="none"/>
              </w:rPr>
              <w:t>2</w:t>
            </w:r>
          </w:p>
        </w:tc>
        <w:tc>
          <w:tcPr>
            <w:tcW w:w="1615" w:type="dxa"/>
            <w:noWrap/>
            <w:vAlign w:val="center"/>
          </w:tcPr>
          <w:p w14:paraId="662820AC">
            <w:pPr>
              <w:spacing w:line="360" w:lineRule="auto"/>
              <w:jc w:val="center"/>
              <w:rPr>
                <w:rFonts w:asciiTheme="minorEastAsia" w:hAnsiTheme="minorEastAsia" w:eastAsiaTheme="minorEastAsia" w:cstheme="minorEastAsia"/>
                <w:highlight w:val="none"/>
              </w:rPr>
            </w:pPr>
            <w:r>
              <w:rPr>
                <w:rFonts w:asciiTheme="minorEastAsia" w:hAnsiTheme="minorEastAsia" w:eastAsiaTheme="minorEastAsia" w:cstheme="minorEastAsia"/>
                <w:kern w:val="1"/>
                <w:szCs w:val="24"/>
                <w:highlight w:val="none"/>
              </w:rPr>
              <w:t>建安工程费</w:t>
            </w:r>
          </w:p>
        </w:tc>
        <w:tc>
          <w:tcPr>
            <w:tcW w:w="2223" w:type="dxa"/>
            <w:noWrap/>
            <w:vAlign w:val="center"/>
          </w:tcPr>
          <w:p w14:paraId="2C7A5741">
            <w:pPr>
              <w:spacing w:line="360" w:lineRule="auto"/>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13030043.27</w:t>
            </w:r>
          </w:p>
        </w:tc>
        <w:tc>
          <w:tcPr>
            <w:tcW w:w="4747" w:type="dxa"/>
            <w:noWrap/>
            <w:vAlign w:val="center"/>
          </w:tcPr>
          <w:p w14:paraId="6C721A40">
            <w:pPr>
              <w:spacing w:line="360" w:lineRule="auto"/>
              <w:jc w:val="center"/>
              <w:rPr>
                <w:rFonts w:asciiTheme="minorEastAsia" w:hAnsiTheme="minorEastAsia" w:eastAsiaTheme="minorEastAsia" w:cstheme="minorEastAsia"/>
                <w:kern w:val="1"/>
                <w:highlight w:val="none"/>
                <w:lang w:val="zh-CN"/>
              </w:rPr>
            </w:pPr>
          </w:p>
        </w:tc>
      </w:tr>
      <w:tr w14:paraId="77862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2597" w:type="dxa"/>
            <w:gridSpan w:val="2"/>
            <w:noWrap/>
            <w:vAlign w:val="center"/>
          </w:tcPr>
          <w:p w14:paraId="10723359">
            <w:pPr>
              <w:spacing w:line="360" w:lineRule="auto"/>
              <w:jc w:val="center"/>
              <w:rPr>
                <w:rFonts w:asciiTheme="minorEastAsia" w:hAnsiTheme="minorEastAsia" w:eastAsiaTheme="minorEastAsia" w:cstheme="minorEastAsia"/>
                <w:kern w:val="1"/>
                <w:highlight w:val="none"/>
              </w:rPr>
            </w:pPr>
            <w:r>
              <w:rPr>
                <w:rFonts w:asciiTheme="minorEastAsia" w:hAnsiTheme="minorEastAsia" w:eastAsiaTheme="minorEastAsia" w:cstheme="minorEastAsia"/>
                <w:kern w:val="1"/>
                <w:szCs w:val="24"/>
                <w:highlight w:val="none"/>
              </w:rPr>
              <w:t>合计</w:t>
            </w:r>
          </w:p>
        </w:tc>
        <w:tc>
          <w:tcPr>
            <w:tcW w:w="2223" w:type="dxa"/>
            <w:noWrap/>
            <w:vAlign w:val="center"/>
          </w:tcPr>
          <w:p w14:paraId="08288652">
            <w:pPr>
              <w:spacing w:line="360" w:lineRule="auto"/>
              <w:jc w:val="center"/>
              <w:rPr>
                <w:rFonts w:asciiTheme="minorEastAsia" w:hAnsiTheme="minorEastAsia" w:eastAsiaTheme="minorEastAsia" w:cstheme="minorEastAsia"/>
                <w:kern w:val="1"/>
                <w:highlight w:val="none"/>
              </w:rPr>
            </w:pPr>
            <w:r>
              <w:rPr>
                <w:rFonts w:hint="eastAsia" w:asciiTheme="minorEastAsia" w:hAnsiTheme="minorEastAsia" w:eastAsiaTheme="minorEastAsia" w:cstheme="minorEastAsia"/>
                <w:color w:val="000000" w:themeColor="text1"/>
                <w:kern w:val="1"/>
                <w:sz w:val="24"/>
                <w:szCs w:val="24"/>
                <w:highlight w:val="none"/>
                <w:lang w:eastAsia="zh-CN"/>
                <w14:textFill>
                  <w14:solidFill>
                    <w14:schemeClr w14:val="tx1"/>
                  </w14:solidFill>
                </w14:textFill>
              </w:rPr>
              <w:t>13402197.72</w:t>
            </w:r>
          </w:p>
        </w:tc>
        <w:tc>
          <w:tcPr>
            <w:tcW w:w="4747" w:type="dxa"/>
            <w:noWrap/>
            <w:vAlign w:val="center"/>
          </w:tcPr>
          <w:p w14:paraId="15B5B8FB">
            <w:pPr>
              <w:spacing w:line="360" w:lineRule="auto"/>
              <w:jc w:val="center"/>
              <w:rPr>
                <w:rFonts w:asciiTheme="minorEastAsia" w:hAnsiTheme="minorEastAsia" w:eastAsiaTheme="minorEastAsia" w:cstheme="minorEastAsia"/>
                <w:kern w:val="1"/>
                <w:highlight w:val="none"/>
              </w:rPr>
            </w:pPr>
            <w:r>
              <w:rPr>
                <w:rFonts w:asciiTheme="minorEastAsia" w:hAnsiTheme="minorEastAsia" w:eastAsiaTheme="minorEastAsia" w:cstheme="minorEastAsia"/>
                <w:kern w:val="1"/>
                <w:szCs w:val="24"/>
                <w:highlight w:val="none"/>
              </w:rPr>
              <w:t>/</w:t>
            </w:r>
          </w:p>
        </w:tc>
      </w:tr>
    </w:tbl>
    <w:p w14:paraId="70FAEB41">
      <w:pPr>
        <w:spacing w:line="360" w:lineRule="auto"/>
        <w:ind w:firstLine="588" w:firstLineChars="245"/>
        <w:jc w:val="left"/>
        <w:rPr>
          <w:rFonts w:asciiTheme="minorEastAsia" w:hAnsiTheme="minorEastAsia" w:eastAsiaTheme="minorEastAsia" w:cstheme="minorEastAsia"/>
          <w:szCs w:val="24"/>
        </w:rPr>
      </w:pPr>
      <w:r>
        <w:rPr>
          <w:rFonts w:hint="default" w:asciiTheme="minorEastAsia" w:hAnsiTheme="minorEastAsia" w:eastAsiaTheme="minorEastAsia" w:cstheme="minorEastAsia"/>
          <w:szCs w:val="24"/>
          <w:highlight w:val="none"/>
        </w:rPr>
        <w:t>注：投标报价及投标</w:t>
      </w:r>
      <w:r>
        <w:rPr>
          <w:rFonts w:asciiTheme="minorEastAsia" w:hAnsiTheme="minorEastAsia" w:eastAsiaTheme="minorEastAsia" w:cstheme="minorEastAsia"/>
          <w:szCs w:val="24"/>
          <w:highlight w:val="none"/>
        </w:rPr>
        <w:t>下浮</w:t>
      </w:r>
      <w:r>
        <w:rPr>
          <w:rFonts w:hint="default" w:asciiTheme="minorEastAsia" w:hAnsiTheme="minorEastAsia" w:eastAsiaTheme="minorEastAsia" w:cstheme="minorEastAsia"/>
          <w:szCs w:val="24"/>
          <w:highlight w:val="none"/>
        </w:rPr>
        <w:t>率均按“四舍五入”原则精确到两位小数，建安工程</w:t>
      </w:r>
      <w:r>
        <w:rPr>
          <w:rFonts w:hint="default" w:asciiTheme="minorEastAsia" w:hAnsiTheme="minorEastAsia" w:eastAsiaTheme="minorEastAsia" w:cstheme="minorEastAsia"/>
          <w:szCs w:val="24"/>
        </w:rPr>
        <w:t>费投标报价=计算基数×（1-下浮率）。</w:t>
      </w:r>
    </w:p>
    <w:p w14:paraId="65200908">
      <w:pPr>
        <w:pStyle w:val="36"/>
        <w:keepNext/>
        <w:keepLines/>
        <w:ind w:firstLine="480"/>
        <w:jc w:val="both"/>
        <w:rPr>
          <w:rFonts w:hint="eastAsia" w:asciiTheme="minorEastAsia" w:hAnsiTheme="minorEastAsia" w:eastAsiaTheme="minorEastAsia" w:cstheme="minorEastAsia"/>
          <w:b/>
          <w:szCs w:val="22"/>
        </w:rPr>
      </w:pPr>
      <w:bookmarkStart w:id="153" w:name="_Toc8991"/>
      <w:bookmarkStart w:id="154" w:name="_Toc16504"/>
      <w:r>
        <w:rPr>
          <w:rFonts w:hint="eastAsia" w:asciiTheme="minorEastAsia" w:hAnsiTheme="minorEastAsia" w:eastAsiaTheme="minorEastAsia" w:cstheme="minorEastAsia"/>
          <w:b/>
          <w:szCs w:val="22"/>
        </w:rPr>
        <w:t>11、</w:t>
      </w:r>
      <w:r>
        <w:rPr>
          <w:rFonts w:hint="eastAsia" w:asciiTheme="minorEastAsia" w:hAnsiTheme="minorEastAsia" w:eastAsiaTheme="minorEastAsia" w:cstheme="minorEastAsia"/>
          <w:b/>
          <w:kern w:val="2"/>
        </w:rPr>
        <w:t>投标</w:t>
      </w:r>
      <w:r>
        <w:rPr>
          <w:rFonts w:hint="eastAsia" w:asciiTheme="minorEastAsia" w:hAnsiTheme="minorEastAsia" w:eastAsiaTheme="minorEastAsia" w:cstheme="minorEastAsia"/>
          <w:b/>
          <w:szCs w:val="22"/>
        </w:rPr>
        <w:t>文件的编制</w:t>
      </w:r>
      <w:bookmarkStart w:id="155" w:name="_Hlt69208262"/>
      <w:bookmarkEnd w:id="155"/>
      <w:bookmarkStart w:id="156" w:name="_Hlt69332370"/>
      <w:bookmarkEnd w:id="156"/>
      <w:r>
        <w:rPr>
          <w:rFonts w:hint="eastAsia" w:asciiTheme="minorEastAsia" w:hAnsiTheme="minorEastAsia" w:eastAsiaTheme="minorEastAsia" w:cstheme="minorEastAsia"/>
          <w:b/>
          <w:szCs w:val="22"/>
        </w:rPr>
        <w:t>要求</w:t>
      </w:r>
      <w:bookmarkEnd w:id="145"/>
      <w:bookmarkEnd w:id="146"/>
      <w:bookmarkEnd w:id="147"/>
      <w:bookmarkEnd w:id="148"/>
      <w:bookmarkEnd w:id="149"/>
      <w:bookmarkEnd w:id="150"/>
      <w:bookmarkEnd w:id="151"/>
      <w:bookmarkEnd w:id="152"/>
      <w:bookmarkEnd w:id="153"/>
      <w:bookmarkEnd w:id="154"/>
    </w:p>
    <w:p w14:paraId="190771D1">
      <w:pPr>
        <w:pStyle w:val="45"/>
        <w:spacing w:line="400" w:lineRule="exact"/>
        <w:ind w:firstLine="482" w:firstLineChars="200"/>
        <w:jc w:val="both"/>
        <w:outlineLvl w:val="9"/>
        <w:rPr>
          <w:rFonts w:hint="eastAsia" w:asciiTheme="minorEastAsia" w:hAnsiTheme="minorEastAsia" w:eastAsiaTheme="minorEastAsia" w:cstheme="minorEastAsia"/>
          <w:b/>
        </w:rPr>
      </w:pPr>
      <w:bookmarkStart w:id="157" w:name="_Hlt74497202"/>
      <w:bookmarkEnd w:id="157"/>
      <w:bookmarkStart w:id="158" w:name="_Hlt78768224"/>
      <w:bookmarkEnd w:id="158"/>
      <w:bookmarkStart w:id="159" w:name="_Hlt74495594"/>
      <w:bookmarkEnd w:id="159"/>
      <w:bookmarkStart w:id="160" w:name="_Toc6695"/>
      <w:bookmarkStart w:id="161" w:name="_Toc2841"/>
      <w:bookmarkStart w:id="162" w:name="_Toc17330"/>
      <w:bookmarkStart w:id="163" w:name="_Toc32061"/>
      <w:bookmarkStart w:id="164" w:name="_Toc31856"/>
      <w:bookmarkStart w:id="165" w:name="_Toc13462"/>
      <w:bookmarkStart w:id="166" w:name="_Toc29847"/>
      <w:bookmarkStart w:id="167" w:name="_Toc20091"/>
      <w:bookmarkStart w:id="168" w:name="_Toc12050"/>
      <w:bookmarkStart w:id="169" w:name="_Toc20541"/>
      <w:bookmarkStart w:id="170" w:name="_Toc437"/>
      <w:bookmarkStart w:id="171" w:name="_Toc9696"/>
      <w:bookmarkStart w:id="172" w:name="_Toc25295"/>
      <w:bookmarkStart w:id="173" w:name="_Toc5812"/>
      <w:bookmarkStart w:id="174" w:name="_Toc22875"/>
      <w:r>
        <w:rPr>
          <w:rFonts w:hint="eastAsia" w:asciiTheme="minorEastAsia" w:hAnsiTheme="minorEastAsia" w:eastAsiaTheme="minorEastAsia" w:cstheme="minorEastAsia"/>
          <w:b/>
        </w:rPr>
        <w:t>11.1 一般要求</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DA626B5">
      <w:pPr>
        <w:pStyle w:val="43"/>
        <w:ind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snapToGrid w:val="0"/>
          <w:kern w:val="0"/>
        </w:rPr>
        <w:t>投标文件应按第七章 投标文件格式规定的内容，投标人提交的投标文件应当使用招标文件所提供的投标文件全部格式。</w:t>
      </w:r>
    </w:p>
    <w:p w14:paraId="7A27C80A">
      <w:pPr>
        <w:pStyle w:val="34"/>
        <w:ind w:firstLine="560"/>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rPr>
        <w:t>11.1.1</w:t>
      </w:r>
      <w:r>
        <w:rPr>
          <w:rFonts w:hint="eastAsia" w:asciiTheme="minorEastAsia" w:hAnsiTheme="minorEastAsia" w:eastAsiaTheme="minorEastAsia" w:cstheme="minorEastAsia"/>
          <w:snapToGrid w:val="0"/>
          <w:kern w:val="0"/>
        </w:rPr>
        <w:t>投标人必须响应招标文件，并在充分理解招标人提供的全部文件、设计图纸、资料及现场条件的基础上编制投标文件。因投标文件不符合招标文件的要求而造成的损失和后果，由投标人自行承担。</w:t>
      </w:r>
    </w:p>
    <w:p w14:paraId="6332231D">
      <w:pPr>
        <w:pStyle w:val="34"/>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rPr>
        <w:t>11.1.2</w:t>
      </w:r>
      <w:r>
        <w:rPr>
          <w:rFonts w:hint="eastAsia" w:asciiTheme="minorEastAsia" w:hAnsiTheme="minorEastAsia" w:eastAsiaTheme="minorEastAsia" w:cstheme="minorEastAsia"/>
          <w:snapToGrid w:val="0"/>
          <w:kern w:val="0"/>
          <w:szCs w:val="24"/>
        </w:rPr>
        <w:t>投标文件包含投标标书分为一册。</w:t>
      </w:r>
      <w:r>
        <w:rPr>
          <w:rFonts w:hint="eastAsia" w:asciiTheme="minorEastAsia" w:hAnsiTheme="minorEastAsia" w:eastAsiaTheme="minorEastAsia" w:cstheme="minorEastAsia"/>
          <w:snapToGrid w:val="0"/>
          <w:kern w:val="0"/>
        </w:rPr>
        <w:t>投标文件在电子投标时全部采用电子文档（中标人自中标通知书发出之日起五个工作日内再提供正本1份、副本壹份的纸质版投标文件给招标人存档），投标文件所附证书证件均为原件彩色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 （广东省 · 韶关市）（https://ygp.gdzwfw.gov.cn/ggzy-portal/#/440200/index）交易指引。</w:t>
      </w:r>
      <w:r>
        <w:rPr>
          <w:rFonts w:hint="eastAsia" w:asciiTheme="minorEastAsia" w:hAnsiTheme="minorEastAsia" w:eastAsiaTheme="minorEastAsia" w:cstheme="minorEastAsia"/>
        </w:rPr>
        <w:t>（注：组成联合体时，只须加盖联合体牵头人的公章，联合体其它成员可不盖章）。</w:t>
      </w:r>
    </w:p>
    <w:p w14:paraId="1579F691">
      <w:pPr>
        <w:pStyle w:val="34"/>
        <w:ind w:firstLine="560"/>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rPr>
        <w:t>11.1.3 投标文件需按以下要求签字、盖章：</w:t>
      </w:r>
    </w:p>
    <w:p w14:paraId="02F4C2CA">
      <w:pPr>
        <w:pStyle w:val="34"/>
        <w:ind w:firstLine="560"/>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rPr>
        <w:t>电子投标文件：</w:t>
      </w:r>
    </w:p>
    <w:p w14:paraId="02E17602">
      <w:pPr>
        <w:pStyle w:val="34"/>
        <w:ind w:firstLine="560"/>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rPr>
        <w:t>11.1.3.1 投标文件封面、组成内容中凡注明“签字”处由要求的人员签字或电子签章；凡注明“签字或盖章”处由要求的人员签字或盖其私章（电子印章）；凡注明“签字并盖执业印章”处由要求的人员签字并盖其执业印章。</w:t>
      </w:r>
    </w:p>
    <w:p w14:paraId="1E78EE2B">
      <w:pPr>
        <w:pStyle w:val="34"/>
        <w:ind w:firstLine="560"/>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rPr>
        <w:t>11.1.3.2 投标文件封套、封面、组成内容中凡要求录入投标人名称且注明“盖单位章”处盖单位法人公章（电子印章）</w:t>
      </w:r>
    </w:p>
    <w:p w14:paraId="20559E04">
      <w:pPr>
        <w:pStyle w:val="34"/>
        <w:ind w:firstLine="560"/>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rPr>
        <w:t>11.1.3.3 投标文件的签字均为签字人本人亲笔署名或签章（电子印章），其余部分的彩色扫描件无须另行签字、盖章。</w:t>
      </w:r>
    </w:p>
    <w:p w14:paraId="0F9BCCB5">
      <w:pPr>
        <w:pStyle w:val="34"/>
        <w:ind w:firstLine="560"/>
        <w:rPr>
          <w:rFonts w:hint="eastAsia" w:asciiTheme="minorEastAsia" w:hAnsiTheme="minorEastAsia" w:eastAsiaTheme="minorEastAsia" w:cstheme="minorEastAsia"/>
          <w:b/>
        </w:rPr>
      </w:pPr>
      <w:r>
        <w:rPr>
          <w:rFonts w:hint="eastAsia" w:asciiTheme="minorEastAsia" w:hAnsiTheme="minorEastAsia" w:eastAsiaTheme="minorEastAsia" w:cstheme="minorEastAsia"/>
          <w:snapToGrid w:val="0"/>
          <w:kern w:val="0"/>
        </w:rPr>
        <w:t>11.1.3.4 联合体投标的，除《联合体协议书》外，由联合体牵头人按以上要求签字（电子印章）、盖章（电子印章）即可。</w:t>
      </w:r>
      <w:bookmarkStart w:id="175" w:name="_Toc274313880"/>
      <w:bookmarkStart w:id="176" w:name="_Toc257031159"/>
    </w:p>
    <w:p w14:paraId="6708F9A5">
      <w:pPr>
        <w:pStyle w:val="45"/>
        <w:spacing w:line="360" w:lineRule="auto"/>
        <w:ind w:firstLine="482" w:firstLineChars="200"/>
        <w:jc w:val="both"/>
        <w:outlineLvl w:val="9"/>
        <w:rPr>
          <w:rFonts w:hint="eastAsia" w:asciiTheme="minorEastAsia" w:hAnsiTheme="minorEastAsia" w:eastAsiaTheme="minorEastAsia" w:cstheme="minorEastAsia"/>
          <w:b/>
        </w:rPr>
      </w:pPr>
      <w:bookmarkStart w:id="177" w:name="_Toc6622"/>
      <w:bookmarkStart w:id="178" w:name="_Toc27606"/>
      <w:bookmarkStart w:id="179" w:name="_Toc26859"/>
      <w:bookmarkStart w:id="180" w:name="_Toc18076"/>
      <w:bookmarkStart w:id="181" w:name="_Toc38"/>
      <w:bookmarkStart w:id="182" w:name="_Toc8355"/>
      <w:bookmarkStart w:id="183" w:name="_Toc27670"/>
      <w:bookmarkStart w:id="184" w:name="_Toc16107"/>
      <w:bookmarkStart w:id="185" w:name="_Toc29894"/>
      <w:bookmarkStart w:id="186" w:name="_Toc17946"/>
      <w:bookmarkStart w:id="187" w:name="_Toc32441"/>
      <w:bookmarkStart w:id="188" w:name="_Toc18670"/>
      <w:bookmarkStart w:id="189" w:name="_Toc26289"/>
      <w:bookmarkStart w:id="190" w:name="_Toc23484"/>
      <w:bookmarkStart w:id="191" w:name="_Toc4699"/>
      <w:r>
        <w:rPr>
          <w:rFonts w:hint="eastAsia" w:asciiTheme="minorEastAsia" w:hAnsiTheme="minorEastAsia" w:eastAsiaTheme="minorEastAsia" w:cstheme="minorEastAsia"/>
          <w:b/>
        </w:rPr>
        <w:t xml:space="preserve">11.2 </w:t>
      </w:r>
      <w:bookmarkEnd w:id="175"/>
      <w:bookmarkEnd w:id="176"/>
      <w:bookmarkEnd w:id="177"/>
      <w:bookmarkEnd w:id="178"/>
      <w:bookmarkEnd w:id="179"/>
      <w:bookmarkEnd w:id="180"/>
      <w:bookmarkEnd w:id="181"/>
      <w:bookmarkEnd w:id="182"/>
      <w:bookmarkEnd w:id="183"/>
      <w:bookmarkEnd w:id="184"/>
      <w:r>
        <w:rPr>
          <w:rFonts w:hint="eastAsia" w:asciiTheme="minorEastAsia" w:hAnsiTheme="minorEastAsia" w:eastAsiaTheme="minorEastAsia" w:cstheme="minorEastAsia"/>
          <w:b/>
        </w:rPr>
        <w:t>投标标书的编制要求</w:t>
      </w:r>
      <w:bookmarkEnd w:id="185"/>
      <w:bookmarkEnd w:id="186"/>
      <w:bookmarkEnd w:id="187"/>
      <w:bookmarkEnd w:id="188"/>
      <w:bookmarkEnd w:id="189"/>
      <w:bookmarkEnd w:id="190"/>
      <w:bookmarkEnd w:id="191"/>
    </w:p>
    <w:p w14:paraId="5E5E0A21">
      <w:pPr>
        <w:pStyle w:val="34"/>
        <w:ind w:firstLine="561"/>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11.2.1 投标标书包括但不限于以下内容：</w:t>
      </w:r>
    </w:p>
    <w:p w14:paraId="58B77000">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（1）封面（格式一）；</w:t>
      </w:r>
    </w:p>
    <w:p w14:paraId="10508BF1">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（2）目录； </w:t>
      </w:r>
    </w:p>
    <w:p w14:paraId="7D154B27">
      <w:pPr>
        <w:wordWrap w:val="0"/>
        <w:adjustRightInd w:val="0"/>
        <w:snapToGrid w:val="0"/>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（3）《投标函》及《工程项目总价表》（格式二）；</w:t>
      </w:r>
    </w:p>
    <w:p w14:paraId="34F1169F">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（4）《各项承诺一览表》（格式三）；</w:t>
      </w:r>
    </w:p>
    <w:p w14:paraId="1FFDAA8E">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（5）《授权委托书》（格式四）；</w:t>
      </w:r>
    </w:p>
    <w:p w14:paraId="6184C66D">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（6）《法定代表人身份证明》（格式五）；</w:t>
      </w:r>
    </w:p>
    <w:p w14:paraId="3DBD3052">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（7）《联合体协议书》（格式六）及所附资料；</w:t>
      </w:r>
    </w:p>
    <w:p w14:paraId="1DF382C6">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（8）投标保证缴纳证明（</w:t>
      </w:r>
      <w:r>
        <w:rPr>
          <w:rFonts w:asciiTheme="minorEastAsia" w:hAnsiTheme="minorEastAsia" w:eastAsiaTheme="minorEastAsia" w:cstheme="minorEastAsia"/>
          <w:snapToGrid w:val="0"/>
          <w:kern w:val="0"/>
          <w:szCs w:val="18"/>
        </w:rPr>
        <w:t>投标人采用投标保证金的，附建设工程交易系统《缴纳投标保证金通知书》页面截图和银行转账单彩色扫描件；采用投标保证担保的，附银行保函彩色扫描件；采用投标保证保险的，附电子保单和</w:t>
      </w:r>
      <w:r>
        <w:rPr>
          <w:rFonts w:asciiTheme="minorEastAsia" w:hAnsiTheme="minorEastAsia" w:eastAsiaTheme="minorEastAsia" w:cstheme="minorEastAsia"/>
          <w:b/>
          <w:bCs/>
          <w:szCs w:val="24"/>
        </w:rPr>
        <w:t>《韶关市公共资源交易一体化平台保证金缴纳信息》</w:t>
      </w:r>
      <w:r>
        <w:rPr>
          <w:rFonts w:asciiTheme="minorEastAsia" w:hAnsiTheme="minorEastAsia" w:eastAsiaTheme="minorEastAsia" w:cstheme="minorEastAsia"/>
          <w:b/>
          <w:bCs/>
          <w:snapToGrid w:val="0"/>
          <w:kern w:val="0"/>
          <w:szCs w:val="18"/>
        </w:rPr>
        <w:t>页面截图</w:t>
      </w:r>
      <w:r>
        <w:rPr>
          <w:rFonts w:asciiTheme="minorEastAsia" w:hAnsiTheme="minorEastAsia" w:eastAsiaTheme="minorEastAsia" w:cstheme="minorEastAsia"/>
          <w:snapToGrid w:val="0"/>
          <w:kern w:val="0"/>
          <w:szCs w:val="24"/>
        </w:rPr>
        <w:t>）。</w:t>
      </w:r>
    </w:p>
    <w:p w14:paraId="21EC9643">
      <w:pPr>
        <w:wordWrap w:val="0"/>
        <w:adjustRightInd w:val="0"/>
        <w:snapToGrid w:val="0"/>
        <w:spacing w:line="360" w:lineRule="auto"/>
        <w:ind w:firstLine="480" w:firstLineChars="200"/>
        <w:rPr>
          <w:rFonts w:asciiTheme="minorEastAsia" w:hAnsiTheme="minorEastAsia" w:eastAsiaTheme="minorEastAsia" w:cstheme="minorEastAsia"/>
        </w:rPr>
      </w:pPr>
      <w:r>
        <w:rPr>
          <w:rFonts w:asciiTheme="minorEastAsia" w:hAnsiTheme="minorEastAsia" w:eastAsiaTheme="minorEastAsia" w:cstheme="minorEastAsia"/>
          <w:snapToGrid w:val="0"/>
          <w:kern w:val="0"/>
          <w:szCs w:val="24"/>
        </w:rPr>
        <w:t>（9）《投标人基本情况表》（格式七）及所附资料；</w:t>
      </w:r>
    </w:p>
    <w:p w14:paraId="0C4D41E3">
      <w:pPr>
        <w:wordWrap w:val="0"/>
        <w:adjustRightInd w:val="0"/>
        <w:snapToGrid w:val="0"/>
        <w:spacing w:line="360" w:lineRule="auto"/>
        <w:ind w:firstLine="480" w:firstLineChars="200"/>
        <w:rPr>
          <w:rFonts w:asciiTheme="minorEastAsia" w:hAnsiTheme="minorEastAsia" w:eastAsiaTheme="minorEastAsia" w:cstheme="minorEastAsia"/>
          <w:strike/>
          <w:snapToGrid w:val="0"/>
          <w:kern w:val="0"/>
          <w:szCs w:val="24"/>
        </w:rPr>
      </w:pPr>
      <w:r>
        <w:rPr>
          <w:rFonts w:asciiTheme="minorEastAsia" w:hAnsiTheme="minorEastAsia" w:eastAsiaTheme="minorEastAsia" w:cstheme="minorEastAsia"/>
          <w:snapToGrid w:val="0"/>
          <w:kern w:val="0"/>
          <w:szCs w:val="24"/>
        </w:rPr>
        <w:t>（10）《项目经理简历表》（格式八）及所附资料；</w:t>
      </w:r>
    </w:p>
    <w:p w14:paraId="0AE56820">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（11）《项目经理任职声明》（格式九）；</w:t>
      </w:r>
    </w:p>
    <w:p w14:paraId="1DD8521E">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（12）《项目技术负责人简历表》（格式十）及所附资料；</w:t>
      </w:r>
    </w:p>
    <w:p w14:paraId="0ED30F1C">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（13）《项目设计负责人简历表》（格式十一）及所附资料；</w:t>
      </w:r>
    </w:p>
    <w:p w14:paraId="51F76037">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（14）《项目管理机构组成表》（格式十二）及所附资料；</w:t>
      </w:r>
    </w:p>
    <w:p w14:paraId="1A32FCEB">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（15）本章第14.2目“评标方法”要求提供的评审资料（如有）；</w:t>
      </w:r>
    </w:p>
    <w:p w14:paraId="311D7C2B">
      <w:pPr>
        <w:pStyle w:val="34"/>
        <w:ind w:firstLine="480" w:firstLineChars="200"/>
        <w:rPr>
          <w:rFonts w:hint="eastAsia" w:asciiTheme="minorEastAsia" w:hAnsiTheme="minorEastAsia" w:eastAsiaTheme="minorEastAsia" w:cstheme="minorEastAsia"/>
          <w:szCs w:val="18"/>
        </w:rPr>
      </w:pPr>
      <w:r>
        <w:rPr>
          <w:rFonts w:hint="eastAsia" w:asciiTheme="minorEastAsia" w:hAnsiTheme="minorEastAsia" w:eastAsiaTheme="minorEastAsia" w:cstheme="minorEastAsia"/>
          <w:snapToGrid w:val="0"/>
          <w:kern w:val="0"/>
          <w:szCs w:val="24"/>
        </w:rPr>
        <w:t>（16）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关于投标总价下浮率超过15%的书面说明和佐证材料）。</w:t>
      </w:r>
    </w:p>
    <w:p w14:paraId="53314B52">
      <w:pPr>
        <w:wordWrap w:val="0"/>
        <w:adjustRightInd w:val="0"/>
        <w:snapToGrid w:val="0"/>
        <w:spacing w:line="360" w:lineRule="auto"/>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zCs w:val="24"/>
        </w:rPr>
        <w:t>11.2.</w:t>
      </w:r>
      <w:r>
        <w:rPr>
          <w:rFonts w:asciiTheme="minorEastAsia" w:hAnsiTheme="minorEastAsia" w:eastAsiaTheme="minorEastAsia" w:cstheme="minorEastAsia"/>
          <w:snapToGrid w:val="0"/>
          <w:kern w:val="0"/>
          <w:szCs w:val="24"/>
        </w:rPr>
        <w:t>2 本章第</w:t>
      </w:r>
      <w:r>
        <w:rPr>
          <w:rFonts w:asciiTheme="minorEastAsia" w:hAnsiTheme="minorEastAsia" w:eastAsiaTheme="minorEastAsia" w:cstheme="minorEastAsia"/>
          <w:b/>
          <w:bCs/>
          <w:snapToGrid w:val="0"/>
          <w:kern w:val="0"/>
          <w:szCs w:val="24"/>
        </w:rPr>
        <w:t>11.2.1</w:t>
      </w:r>
      <w:r>
        <w:rPr>
          <w:rFonts w:asciiTheme="minorEastAsia" w:hAnsiTheme="minorEastAsia" w:eastAsiaTheme="minorEastAsia" w:cstheme="minorEastAsia"/>
          <w:snapToGrid w:val="0"/>
          <w:kern w:val="0"/>
          <w:szCs w:val="24"/>
        </w:rPr>
        <w:t>目中所列出的投标标书组成内容中，第（1）至第（15）项所有投标人均应提供，</w:t>
      </w:r>
      <w:r>
        <w:rPr>
          <w:rFonts w:asciiTheme="minorEastAsia" w:hAnsiTheme="minorEastAsia" w:eastAsiaTheme="minorEastAsia" w:cstheme="minorEastAsia"/>
          <w:b/>
          <w:bCs/>
          <w:snapToGrid w:val="0"/>
          <w:kern w:val="0"/>
          <w:szCs w:val="24"/>
        </w:rPr>
        <w:t>但非联合体投标的，无需提供第（7）项内容。</w:t>
      </w:r>
    </w:p>
    <w:p w14:paraId="2523707E">
      <w:pPr>
        <w:wordWrap w:val="0"/>
        <w:adjustRightInd w:val="0"/>
        <w:snapToGrid w:val="0"/>
        <w:spacing w:line="360" w:lineRule="auto"/>
        <w:ind w:firstLine="480" w:firstLineChars="200"/>
        <w:rPr>
          <w:rFonts w:asciiTheme="minorEastAsia" w:hAnsiTheme="minorEastAsia" w:eastAsiaTheme="minorEastAsia" w:cstheme="minorEastAsia"/>
          <w:b/>
          <w:bCs/>
          <w:snapToGrid w:val="0"/>
          <w:kern w:val="0"/>
          <w:szCs w:val="24"/>
        </w:rPr>
      </w:pPr>
      <w:r>
        <w:rPr>
          <w:rFonts w:asciiTheme="minorEastAsia" w:hAnsiTheme="minorEastAsia" w:eastAsiaTheme="minorEastAsia" w:cstheme="minorEastAsia"/>
          <w:szCs w:val="24"/>
        </w:rPr>
        <w:t>11.2.</w:t>
      </w:r>
      <w:r>
        <w:rPr>
          <w:rFonts w:asciiTheme="minorEastAsia" w:hAnsiTheme="minorEastAsia" w:eastAsiaTheme="minorEastAsia" w:cstheme="minorEastAsia"/>
          <w:snapToGrid w:val="0"/>
          <w:kern w:val="0"/>
          <w:szCs w:val="24"/>
        </w:rPr>
        <w:t>3 投标标书的组成内容按本章第</w:t>
      </w:r>
      <w:r>
        <w:rPr>
          <w:rFonts w:asciiTheme="minorEastAsia" w:hAnsiTheme="minorEastAsia" w:eastAsiaTheme="minorEastAsia" w:cstheme="minorEastAsia"/>
          <w:b/>
          <w:bCs/>
          <w:snapToGrid w:val="0"/>
          <w:kern w:val="0"/>
          <w:szCs w:val="24"/>
        </w:rPr>
        <w:t>11.2.1</w:t>
      </w:r>
      <w:r>
        <w:rPr>
          <w:rFonts w:asciiTheme="minorEastAsia" w:hAnsiTheme="minorEastAsia" w:eastAsiaTheme="minorEastAsia" w:cstheme="minorEastAsia"/>
          <w:snapToGrid w:val="0"/>
          <w:kern w:val="0"/>
          <w:szCs w:val="24"/>
        </w:rPr>
        <w:t>目规定的顺序整理、编排后，逐页连续标记页码。</w:t>
      </w:r>
    </w:p>
    <w:p w14:paraId="5B9F543C">
      <w:pPr>
        <w:pStyle w:val="48"/>
        <w:ind w:firstLine="482" w:firstLineChars="200"/>
        <w:rPr>
          <w:rFonts w:hint="eastAsia" w:asciiTheme="minorEastAsia" w:hAnsiTheme="minorEastAsia" w:eastAsiaTheme="minorEastAsia" w:cstheme="minorEastAsia"/>
          <w:b/>
          <w:bCs/>
          <w:u w:val="single"/>
        </w:rPr>
      </w:pPr>
      <w:r>
        <w:rPr>
          <w:rFonts w:hint="eastAsia" w:asciiTheme="minorEastAsia" w:hAnsiTheme="minorEastAsia" w:eastAsiaTheme="minorEastAsia" w:cstheme="minorEastAsia"/>
          <w:b/>
          <w:bCs/>
          <w:u w:val="single"/>
        </w:rPr>
        <w:t>特别说明：</w:t>
      </w:r>
    </w:p>
    <w:p w14:paraId="0A6F600F">
      <w:pPr>
        <w:pStyle w:val="48"/>
        <w:ind w:firstLine="482" w:firstLineChars="200"/>
        <w:rPr>
          <w:rFonts w:hint="eastAsia" w:asciiTheme="minorEastAsia" w:hAnsiTheme="minorEastAsia" w:eastAsiaTheme="minorEastAsia" w:cstheme="minorEastAsia"/>
          <w:b/>
          <w:bCs/>
          <w:u w:val="single"/>
        </w:rPr>
      </w:pPr>
      <w:r>
        <w:rPr>
          <w:rFonts w:hint="eastAsia" w:asciiTheme="minorEastAsia" w:hAnsiTheme="minorEastAsia" w:eastAsiaTheme="minorEastAsia" w:cstheme="minorEastAsia"/>
          <w:b/>
          <w:bCs/>
          <w:u w:val="single"/>
        </w:rPr>
        <w:t>1、本次招标投标时不要求编制施工组织设计。中标人中标后先按有关规定及要求提供设计成果文件，中标人设计成果确认经有关部门的审查及经有资质的审图机构审查合格通过，中标人还应编制施工组织设计及专项施工方案报监理及招标人审批，然后依据审图合格后的设计施工图编写施工组织设计，报有关部门审查批准后方可实施；中标人须向招标人提供经批准的施工组织设计一式五份。</w:t>
      </w:r>
    </w:p>
    <w:p w14:paraId="6DC4E641">
      <w:pPr>
        <w:pStyle w:val="48"/>
        <w:ind w:firstLine="482" w:firstLineChars="200"/>
        <w:rPr>
          <w:rFonts w:hint="eastAsia" w:asciiTheme="minorEastAsia" w:hAnsiTheme="minorEastAsia" w:eastAsiaTheme="minorEastAsia" w:cstheme="minorEastAsia"/>
          <w:b/>
          <w:bCs/>
          <w:u w:val="single"/>
        </w:rPr>
      </w:pPr>
      <w:r>
        <w:rPr>
          <w:rFonts w:hint="eastAsia" w:asciiTheme="minorEastAsia" w:hAnsiTheme="minorEastAsia" w:eastAsiaTheme="minorEastAsia" w:cstheme="minorEastAsia"/>
          <w:b/>
          <w:bCs/>
          <w:u w:val="single"/>
        </w:rPr>
        <w:t xml:space="preserve">2、本次招标投标时不要求按编制工程量清单计价模式进行投标报价。投标人若中标后依据经审图合格后的设计施工图编制施工图预算，该施工图预算必须达到办理合同备案及开工手续的要求；中标人须向招标人提供一式伍份完整的预算资料（含工程量计算表、施工图预算书及电子版）。 </w:t>
      </w:r>
      <w:bookmarkStart w:id="192" w:name="_Toc11313"/>
      <w:bookmarkStart w:id="193" w:name="_Toc1583"/>
      <w:bookmarkStart w:id="194" w:name="_Toc14130"/>
      <w:bookmarkStart w:id="195" w:name="_Toc11926"/>
      <w:bookmarkStart w:id="196" w:name="_Toc17812"/>
      <w:bookmarkStart w:id="197" w:name="_Toc13003"/>
      <w:bookmarkStart w:id="198" w:name="_Toc17459"/>
      <w:bookmarkStart w:id="199" w:name="_Toc27175"/>
    </w:p>
    <w:p w14:paraId="35C23E68">
      <w:pPr>
        <w:pStyle w:val="48"/>
        <w:ind w:firstLine="482" w:firstLineChars="200"/>
        <w:rPr>
          <w:rFonts w:hint="eastAsia" w:asciiTheme="minorEastAsia" w:hAnsiTheme="minorEastAsia" w:eastAsiaTheme="minorEastAsia" w:cstheme="minorEastAsia"/>
          <w:b/>
          <w:snapToGrid w:val="0"/>
        </w:rPr>
      </w:pPr>
      <w:r>
        <w:rPr>
          <w:rFonts w:hint="eastAsia" w:asciiTheme="minorEastAsia" w:hAnsiTheme="minorEastAsia" w:eastAsiaTheme="minorEastAsia" w:cstheme="minorEastAsia"/>
          <w:b/>
        </w:rPr>
        <w:t>11.3</w:t>
      </w:r>
      <w:bookmarkEnd w:id="192"/>
      <w:bookmarkEnd w:id="193"/>
      <w:bookmarkEnd w:id="194"/>
      <w:bookmarkEnd w:id="195"/>
      <w:bookmarkEnd w:id="196"/>
      <w:bookmarkEnd w:id="197"/>
      <w:bookmarkEnd w:id="198"/>
      <w:bookmarkEnd w:id="199"/>
      <w:r>
        <w:rPr>
          <w:rFonts w:hint="eastAsia" w:asciiTheme="minorEastAsia" w:hAnsiTheme="minorEastAsia" w:eastAsiaTheme="minorEastAsia" w:cstheme="minorEastAsia"/>
          <w:b/>
          <w:snapToGrid w:val="0"/>
        </w:rPr>
        <w:t>电子投标</w:t>
      </w:r>
      <w:bookmarkStart w:id="200" w:name="_Hlt88627590"/>
      <w:bookmarkEnd w:id="200"/>
      <w:bookmarkStart w:id="201" w:name="_Hlt66200498"/>
      <w:bookmarkEnd w:id="201"/>
      <w:bookmarkStart w:id="202" w:name="_Hlt66511038"/>
      <w:bookmarkEnd w:id="202"/>
      <w:bookmarkStart w:id="203" w:name="_Toc27961"/>
    </w:p>
    <w:p w14:paraId="77E0D9BE">
      <w:pPr>
        <w:pStyle w:val="48"/>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11.3.1、在交易平台上传加盖了电子印章的投标文件、录入相关信息及标书页码信息，并提交投标标书（页码起始从封面开始）。提交标书为已加密投标文件。具体操作参照《韶关市公共资源建设工程交易系统-投标人操作指南（电子评标）》。</w:t>
      </w:r>
    </w:p>
    <w:p w14:paraId="080E568C">
      <w:pPr>
        <w:pStyle w:val="48"/>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本项目评标采用全流程电子化进行招标投标（投标人应在交易平台进行编辑投标相关内容、按招标文件电子投标要求上传已加盖电子印章的投标文件，否则将自行承担不利后果）。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291AEA8A">
      <w:pPr>
        <w:pStyle w:val="48"/>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投标文件完成上传后，投标人应使用 CA 数字证书对投标文件进行文件加密，形成加密的投标文件并提交标书。</w:t>
      </w:r>
    </w:p>
    <w:p w14:paraId="08A47406">
      <w:pPr>
        <w:pStyle w:val="48"/>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11.3.2电子投标文件的修改、撤回：在提交投标文件截止时间前，投标人可以修改或撤回未解密的电子投标文件，并于提交投标文件截止时间前将重新上传修改后的电子投标文件至交易平台，到达投标文件提交截止时间后投标人不得撤回、补充、修改和更换投标文件。</w:t>
      </w:r>
    </w:p>
    <w:p w14:paraId="2803AD06">
      <w:pPr>
        <w:pStyle w:val="48"/>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11.3.3电子投标及投标解密失败及突发情况的补救方案</w:t>
      </w:r>
    </w:p>
    <w:p w14:paraId="3011846A">
      <w:pPr>
        <w:pStyle w:val="48"/>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11.3.3.1按照交易平台关于全流程电子化项目的相关指南进行操作。详见：全国公共资源交易平台（广东省·韶关市）发布的最新版操作指南。</w:t>
      </w:r>
    </w:p>
    <w:p w14:paraId="2B11AA0E">
      <w:pPr>
        <w:pStyle w:val="48"/>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11.3.3.2补救方案</w:t>
      </w:r>
    </w:p>
    <w:p w14:paraId="5FB5A2DE">
      <w:pPr>
        <w:pStyle w:val="48"/>
        <w:numPr>
          <w:ilvl w:val="0"/>
          <w:numId w:val="3"/>
        </w:numPr>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投标文件解密失败的补救方案：</w:t>
      </w:r>
      <w:bookmarkStart w:id="204" w:name="_Toc28927"/>
    </w:p>
    <w:p w14:paraId="5635F8F0">
      <w:pPr>
        <w:pStyle w:val="48"/>
        <w:ind w:firstLine="720" w:firstLineChars="3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电子投标文件解密失败且未在规定的时限内按要求成功上传未加密的备用投标文件的，视为无效投标。</w:t>
      </w:r>
      <w:bookmarkEnd w:id="204"/>
      <w:bookmarkStart w:id="205" w:name="_Toc9612"/>
    </w:p>
    <w:p w14:paraId="6F9BE44E">
      <w:pPr>
        <w:pStyle w:val="48"/>
        <w:numPr>
          <w:ilvl w:val="0"/>
          <w:numId w:val="3"/>
        </w:numPr>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评标时突发情况的补救方案</w:t>
      </w:r>
      <w:bookmarkEnd w:id="205"/>
      <w:bookmarkStart w:id="206" w:name="_Toc6314"/>
      <w:r>
        <w:rPr>
          <w:rFonts w:hint="eastAsia" w:asciiTheme="minorEastAsia" w:hAnsiTheme="minorEastAsia" w:eastAsiaTheme="minorEastAsia" w:cstheme="minorEastAsia"/>
          <w:bCs/>
        </w:rPr>
        <w:t>：</w:t>
      </w:r>
    </w:p>
    <w:p w14:paraId="4A926B5D">
      <w:pPr>
        <w:pStyle w:val="48"/>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bookmarkEnd w:id="206"/>
      <w:bookmarkStart w:id="207" w:name="_Toc10157"/>
    </w:p>
    <w:p w14:paraId="6E2D9F55">
      <w:pPr>
        <w:pStyle w:val="48"/>
        <w:numPr>
          <w:ilvl w:val="0"/>
          <w:numId w:val="3"/>
        </w:numPr>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除发生上述情况外，开标评标均以投标人通过交易平台网上递交的电子投标文件为准。</w:t>
      </w:r>
      <w:bookmarkEnd w:id="207"/>
      <w:bookmarkStart w:id="208" w:name="_Toc12675"/>
    </w:p>
    <w:p w14:paraId="674663D5">
      <w:pPr>
        <w:pStyle w:val="48"/>
        <w:ind w:left="480" w:leftChars="200"/>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11.4 投标文件的提交、修改和撤回</w:t>
      </w:r>
      <w:bookmarkEnd w:id="203"/>
      <w:bookmarkEnd w:id="208"/>
      <w:bookmarkStart w:id="209" w:name="_Hlt92512875"/>
      <w:bookmarkEnd w:id="209"/>
      <w:bookmarkStart w:id="210" w:name="_Hlt74494779"/>
      <w:bookmarkEnd w:id="210"/>
      <w:bookmarkStart w:id="211" w:name="_Hlt66608380"/>
      <w:bookmarkEnd w:id="211"/>
      <w:bookmarkStart w:id="212" w:name="_Hlt69699424"/>
      <w:bookmarkEnd w:id="212"/>
      <w:bookmarkStart w:id="213" w:name="_Hlt75685366"/>
      <w:bookmarkEnd w:id="213"/>
      <w:bookmarkStart w:id="214" w:name="_Toc24469"/>
      <w:bookmarkStart w:id="215" w:name="_Toc28454"/>
      <w:bookmarkStart w:id="216" w:name="_Toc9838"/>
      <w:bookmarkStart w:id="217" w:name="_Toc30635"/>
      <w:bookmarkStart w:id="218" w:name="_Toc106418820"/>
      <w:bookmarkStart w:id="219" w:name="_Toc7631"/>
      <w:bookmarkStart w:id="220" w:name="_Toc4483"/>
      <w:bookmarkStart w:id="221" w:name="_Toc104711075"/>
      <w:bookmarkStart w:id="222" w:name="_Toc22741"/>
      <w:bookmarkStart w:id="223" w:name="_Toc3050"/>
      <w:bookmarkStart w:id="224" w:name="_Toc24322"/>
    </w:p>
    <w:p w14:paraId="1270C836">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11.4.1在投标文件提交截止时间前，投标人通过交易平台提交已加密投标文件。逾期提交的电子投标文件，交易平台将予以拒收。</w:t>
      </w:r>
      <w:bookmarkEnd w:id="214"/>
      <w:bookmarkStart w:id="225" w:name="_Toc25103"/>
    </w:p>
    <w:p w14:paraId="0BBD6D54">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11.4.2提交时间：见本章第二节“重要事项时间地点一览表”。</w:t>
      </w:r>
      <w:bookmarkEnd w:id="225"/>
      <w:bookmarkStart w:id="226" w:name="_Toc9791"/>
    </w:p>
    <w:p w14:paraId="7D17DB58">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11.4.3投标人无须进行现场签到，如有招标文件要求提交的用于评审的证书、证件、证明原件等投标相关资料，投标人可在规定的地点、时间内递交至开标现场（附一式两份清单），无原件的不作要求。</w:t>
      </w:r>
      <w:bookmarkEnd w:id="226"/>
      <w:bookmarkStart w:id="227" w:name="_Toc25029"/>
    </w:p>
    <w:p w14:paraId="1746C924">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11.4.4 递交时间和地点：见本章第二节“重要事项时间地点一览表”。</w:t>
      </w:r>
      <w:bookmarkEnd w:id="227"/>
      <w:bookmarkStart w:id="228" w:name="_Toc5665"/>
    </w:p>
    <w:p w14:paraId="119F1B76">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11.4.5 投标人代表到达现场后，应出示以下身份证明材料：</w:t>
      </w:r>
      <w:bookmarkEnd w:id="228"/>
      <w:bookmarkStart w:id="229" w:name="_Toc1714"/>
    </w:p>
    <w:p w14:paraId="1FED25E2">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（1）本人有效的第二代居民身份证；</w:t>
      </w:r>
      <w:bookmarkEnd w:id="229"/>
      <w:bookmarkStart w:id="230" w:name="_Toc30210"/>
      <w:bookmarkStart w:id="231" w:name="_Toc22519"/>
      <w:bookmarkStart w:id="232" w:name="_Toc1212"/>
    </w:p>
    <w:p w14:paraId="67D3026D">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（2）法定代表人到场的，出示《法定代表人身份证明》（格式五）；委托代理人到场的，应同时出示《授权委托书》（格式四）和《法定代表人身份证明》。</w:t>
      </w:r>
      <w:bookmarkEnd w:id="230"/>
      <w:bookmarkEnd w:id="231"/>
      <w:bookmarkEnd w:id="232"/>
      <w:bookmarkStart w:id="233" w:name="_Toc29016"/>
      <w:bookmarkStart w:id="234" w:name="_Toc8927"/>
      <w:bookmarkStart w:id="235" w:name="_Toc3014"/>
    </w:p>
    <w:p w14:paraId="2510F9B3">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11.4.6联合体投标的，由联合体牵头人按以上要求递交投标相关资料。</w:t>
      </w:r>
      <w:bookmarkEnd w:id="233"/>
      <w:bookmarkEnd w:id="234"/>
      <w:bookmarkEnd w:id="235"/>
      <w:bookmarkStart w:id="236" w:name="_Toc13697"/>
      <w:bookmarkStart w:id="237" w:name="_Toc16539"/>
      <w:bookmarkStart w:id="238" w:name="_Toc13703"/>
    </w:p>
    <w:p w14:paraId="1748034C">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11.4.7招标人或其授权的招标代理机构核对、接收投标人递交的投标相关资料后，应并妥善保管。</w:t>
      </w:r>
      <w:bookmarkEnd w:id="236"/>
      <w:bookmarkEnd w:id="237"/>
      <w:bookmarkEnd w:id="238"/>
      <w:bookmarkStart w:id="239" w:name="_Toc6708"/>
      <w:bookmarkStart w:id="240" w:name="_Toc20579"/>
      <w:bookmarkStart w:id="241" w:name="_Toc5287"/>
    </w:p>
    <w:p w14:paraId="40B34816">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11.4.8 投标人发生以下情形的，其投标相关资料招标人不予接收：</w:t>
      </w:r>
      <w:bookmarkEnd w:id="239"/>
      <w:bookmarkEnd w:id="240"/>
      <w:bookmarkEnd w:id="241"/>
      <w:bookmarkStart w:id="242" w:name="_Toc32603"/>
      <w:bookmarkStart w:id="243" w:name="_Toc18916"/>
      <w:bookmarkStart w:id="244" w:name="_Toc31045"/>
    </w:p>
    <w:p w14:paraId="38E146CA">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（1）未在指定的时间和地点递交的；</w:t>
      </w:r>
      <w:bookmarkEnd w:id="242"/>
      <w:bookmarkEnd w:id="243"/>
      <w:bookmarkEnd w:id="244"/>
      <w:bookmarkStart w:id="245" w:name="_Toc17194"/>
      <w:bookmarkStart w:id="246" w:name="_Toc15823"/>
      <w:bookmarkStart w:id="247" w:name="_Toc15124"/>
    </w:p>
    <w:p w14:paraId="35658235">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（2）到场人员未出示身份证明材料的。</w:t>
      </w:r>
      <w:bookmarkEnd w:id="245"/>
      <w:bookmarkEnd w:id="246"/>
      <w:bookmarkEnd w:id="247"/>
      <w:bookmarkStart w:id="248" w:name="_Toc17679"/>
      <w:bookmarkStart w:id="249" w:name="_Toc2022"/>
      <w:bookmarkStart w:id="250" w:name="_Toc23037"/>
    </w:p>
    <w:p w14:paraId="12410865">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11.4..9出现下述情形之一，属于未成功提交投标文件，按无效投标处理：</w:t>
      </w:r>
      <w:bookmarkEnd w:id="248"/>
      <w:bookmarkEnd w:id="249"/>
      <w:bookmarkEnd w:id="250"/>
      <w:bookmarkStart w:id="251" w:name="_Toc22805"/>
      <w:bookmarkStart w:id="252" w:name="_Toc30279"/>
      <w:bookmarkStart w:id="253" w:name="_Toc27579"/>
    </w:p>
    <w:p w14:paraId="63EBB5B3">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（1）至提交投标文件截止时，投标文件未完整上传或未提交投标；</w:t>
      </w:r>
      <w:bookmarkEnd w:id="251"/>
      <w:bookmarkEnd w:id="252"/>
      <w:bookmarkEnd w:id="253"/>
      <w:bookmarkStart w:id="254" w:name="_Toc1293"/>
      <w:bookmarkStart w:id="255" w:name="_Toc26257"/>
      <w:bookmarkStart w:id="256" w:name="_Toc17052"/>
    </w:p>
    <w:p w14:paraId="64A677E8">
      <w:pPr>
        <w:pStyle w:val="48"/>
        <w:ind w:left="480" w:left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（2）投标文件未按投标格式中注明需签字盖章的要求进行签名（含电子签名）和加盖电子印章，或签名（含电子签名）或电子印章不完整的；</w:t>
      </w:r>
      <w:bookmarkEnd w:id="254"/>
      <w:bookmarkEnd w:id="255"/>
      <w:bookmarkEnd w:id="256"/>
    </w:p>
    <w:p w14:paraId="6152DDFD">
      <w:pPr>
        <w:pStyle w:val="36"/>
        <w:keepNext/>
        <w:keepLines/>
        <w:ind w:firstLine="480"/>
        <w:jc w:val="both"/>
        <w:outlineLvl w:val="9"/>
        <w:rPr>
          <w:rFonts w:hint="eastAsia" w:asciiTheme="minorEastAsia" w:hAnsiTheme="minorEastAsia" w:eastAsiaTheme="minorEastAsia" w:cstheme="minorEastAsia"/>
          <w:bCs/>
          <w:kern w:val="2"/>
        </w:rPr>
      </w:pPr>
      <w:bookmarkStart w:id="257" w:name="_Toc23907"/>
      <w:bookmarkStart w:id="258" w:name="_Toc444"/>
      <w:bookmarkStart w:id="259" w:name="_Toc7367"/>
      <w:bookmarkStart w:id="260" w:name="_Toc30845"/>
      <w:r>
        <w:rPr>
          <w:rFonts w:hint="eastAsia" w:asciiTheme="minorEastAsia" w:hAnsiTheme="minorEastAsia" w:eastAsiaTheme="minorEastAsia" w:cstheme="minorEastAsia"/>
          <w:bCs/>
          <w:kern w:val="2"/>
        </w:rPr>
        <w:t>（3）解密失败且在规定时间内未重新提交投标文件的；</w:t>
      </w:r>
      <w:bookmarkEnd w:id="257"/>
      <w:bookmarkEnd w:id="258"/>
      <w:bookmarkEnd w:id="259"/>
      <w:bookmarkEnd w:id="260"/>
    </w:p>
    <w:p w14:paraId="431B2387">
      <w:pPr>
        <w:pStyle w:val="36"/>
        <w:keepNext/>
        <w:keepLines/>
        <w:ind w:firstLine="480"/>
        <w:jc w:val="both"/>
        <w:outlineLvl w:val="9"/>
        <w:rPr>
          <w:rFonts w:hint="eastAsia" w:asciiTheme="minorEastAsia" w:hAnsiTheme="minorEastAsia" w:eastAsiaTheme="minorEastAsia" w:cstheme="minorEastAsia"/>
          <w:bCs/>
          <w:kern w:val="2"/>
        </w:rPr>
      </w:pPr>
      <w:bookmarkStart w:id="261" w:name="_Toc21719"/>
      <w:bookmarkStart w:id="262" w:name="_Toc24518"/>
      <w:bookmarkStart w:id="263" w:name="_Toc13"/>
      <w:bookmarkStart w:id="264" w:name="_Toc26444"/>
      <w:r>
        <w:rPr>
          <w:rFonts w:hint="eastAsia" w:asciiTheme="minorEastAsia" w:hAnsiTheme="minorEastAsia" w:eastAsiaTheme="minorEastAsia" w:cstheme="minorEastAsia"/>
          <w:bCs/>
          <w:kern w:val="2"/>
        </w:rPr>
        <w:t>（4）投标文件损坏或格式不正确的。</w:t>
      </w:r>
      <w:bookmarkEnd w:id="261"/>
      <w:bookmarkEnd w:id="262"/>
      <w:bookmarkEnd w:id="263"/>
      <w:bookmarkEnd w:id="264"/>
    </w:p>
    <w:p w14:paraId="032ECC1C">
      <w:pPr>
        <w:pStyle w:val="36"/>
        <w:keepNext/>
        <w:keepLines/>
        <w:ind w:firstLine="480"/>
        <w:jc w:val="both"/>
        <w:rPr>
          <w:rFonts w:hint="eastAsia" w:asciiTheme="minorEastAsia" w:hAnsiTheme="minorEastAsia" w:eastAsiaTheme="minorEastAsia" w:cstheme="minorEastAsia"/>
          <w:b/>
          <w:kern w:val="2"/>
        </w:rPr>
      </w:pPr>
      <w:bookmarkStart w:id="265" w:name="_Toc23010"/>
      <w:bookmarkStart w:id="266" w:name="_Toc13728"/>
      <w:bookmarkStart w:id="267" w:name="_Toc29572"/>
      <w:r>
        <w:rPr>
          <w:rFonts w:hint="eastAsia" w:asciiTheme="minorEastAsia" w:hAnsiTheme="minorEastAsia" w:eastAsiaTheme="minorEastAsia" w:cstheme="minorEastAsia"/>
          <w:b/>
          <w:kern w:val="2"/>
        </w:rPr>
        <w:t>12、 投标有效期及对投标人的其他要求</w:t>
      </w:r>
      <w:bookmarkEnd w:id="215"/>
      <w:bookmarkEnd w:id="216"/>
      <w:bookmarkEnd w:id="217"/>
      <w:bookmarkEnd w:id="218"/>
      <w:bookmarkEnd w:id="219"/>
      <w:bookmarkEnd w:id="220"/>
      <w:bookmarkEnd w:id="221"/>
      <w:bookmarkEnd w:id="222"/>
      <w:bookmarkEnd w:id="223"/>
      <w:bookmarkEnd w:id="224"/>
      <w:bookmarkEnd w:id="265"/>
      <w:bookmarkEnd w:id="266"/>
      <w:bookmarkEnd w:id="267"/>
    </w:p>
    <w:p w14:paraId="35590E63">
      <w:pPr>
        <w:pStyle w:val="34"/>
        <w:ind w:firstLine="48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napToGrid w:val="0"/>
          <w:kern w:val="0"/>
          <w:szCs w:val="24"/>
        </w:rPr>
        <w:t>本次招标投标有效期为</w:t>
      </w:r>
      <w:r>
        <w:rPr>
          <w:rFonts w:hint="eastAsia" w:asciiTheme="minorEastAsia" w:hAnsiTheme="minorEastAsia" w:eastAsiaTheme="minorEastAsia" w:cstheme="minorEastAsia"/>
          <w:snapToGrid w:val="0"/>
          <w:kern w:val="0"/>
          <w:szCs w:val="24"/>
          <w:u w:val="single"/>
        </w:rPr>
        <w:t xml:space="preserve"> 120 </w:t>
      </w:r>
      <w:r>
        <w:rPr>
          <w:rFonts w:hint="eastAsia" w:asciiTheme="minorEastAsia" w:hAnsiTheme="minorEastAsia" w:eastAsiaTheme="minorEastAsia" w:cstheme="minorEastAsia"/>
          <w:snapToGrid w:val="0"/>
          <w:kern w:val="0"/>
          <w:szCs w:val="24"/>
        </w:rPr>
        <w:t>个日历天，投标有效期从提交投标文件的截止之日起计算。在此期间，投标人不得撤销或修改其投标文件，否则其投标保证不予退还。</w:t>
      </w:r>
    </w:p>
    <w:bookmarkEnd w:id="143"/>
    <w:p w14:paraId="3489B8FF">
      <w:pPr>
        <w:pStyle w:val="34"/>
        <w:autoSpaceDE w:val="0"/>
        <w:autoSpaceDN w:val="0"/>
        <w:adjustRightInd w:val="0"/>
        <w:ind w:firstLine="482" w:firstLineChars="200"/>
        <w:outlineLvl w:val="1"/>
        <w:rPr>
          <w:rFonts w:hint="eastAsia" w:asciiTheme="minorEastAsia" w:hAnsiTheme="minorEastAsia" w:eastAsiaTheme="minorEastAsia" w:cstheme="minorEastAsia"/>
          <w:b/>
        </w:rPr>
      </w:pPr>
      <w:bookmarkStart w:id="268" w:name="_Hlt111081624"/>
      <w:bookmarkEnd w:id="268"/>
      <w:r>
        <w:rPr>
          <w:rFonts w:hint="eastAsia" w:asciiTheme="minorEastAsia" w:hAnsiTheme="minorEastAsia" w:eastAsiaTheme="minorEastAsia" w:cstheme="minorEastAsia"/>
          <w:b/>
        </w:rPr>
        <w:t>13、开标</w:t>
      </w:r>
    </w:p>
    <w:p w14:paraId="228ACEA1">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13.1 招标人邀请所有正确完成了网上获取招标文件、电子投标、缴纳投标保证、递交投标文件的投标人参加开标，投标人可自主决定是否参加。投标人不参加开标的，视其默认开标结果，以及放弃在开标期间见证、监督、投诉、申辩的权利。</w:t>
      </w:r>
    </w:p>
    <w:p w14:paraId="4225AE9C">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13.1.1 开标时间和地点：见本章第二节“重要事项时间地点一览表”。</w:t>
      </w:r>
    </w:p>
    <w:p w14:paraId="3AA87262">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13.1.2 开标前24小时，若交易平台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6B390007">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13.1.3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04C2F200">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13.2 开标程序</w:t>
      </w:r>
    </w:p>
    <w:p w14:paraId="45CA9B61">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（1）主持人（招标人代表或招标人授权的招标代理机构人员）宣读开标纪律。</w:t>
      </w:r>
    </w:p>
    <w:p w14:paraId="08B7A69E">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（2）主持人宣布唱标人、记录人、见证人、监督人等有关人员姓名。</w:t>
      </w:r>
    </w:p>
    <w:p w14:paraId="087FAEBA">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（3）唱标人公布在投标截止时间前进行投标文件的投标人数量和名称</w:t>
      </w:r>
    </w:p>
    <w:p w14:paraId="255ED94F">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（4）招标代理机构会同交易场所工作人员对投标人的电子投标信息进行解密，建设工程交易系统自动生成《投标保证缴纳情况表》和《开标一览表》。</w:t>
      </w:r>
    </w:p>
    <w:p w14:paraId="42C366F8">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5D520591">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因本工程采用全流程电子招标投标方式进行招标，投标人在唱标环节为解密唱标时，以网上电子解密唱标信息为准。全流程电子招标投标采用线上评审，以电子投标文件为准。如果两者报价不一致的，视为报价不唯一，其响应性评审不通过。</w:t>
      </w:r>
    </w:p>
    <w:p w14:paraId="2EAC84D6">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13.3 投标人对开标相关事项（如开标程序等）有异议的，必须在开标期间及时提出，招标人或其授权的招标代理机构应当场作出答复，并记录在案。对开标事项的异议未在开标期间及时提出的，招标人不予受理。</w:t>
      </w:r>
    </w:p>
    <w:p w14:paraId="2B70D491">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13.4 招标代理机构将资料原件（若有）、《开标一览表》以及其他有关资料移交评标委员会。</w:t>
      </w:r>
    </w:p>
    <w:p w14:paraId="22979BD0">
      <w:pPr>
        <w:pStyle w:val="34"/>
        <w:autoSpaceDE w:val="0"/>
        <w:autoSpaceDN w:val="0"/>
        <w:adjustRightInd w:val="0"/>
        <w:ind w:firstLine="482" w:firstLineChars="200"/>
        <w:outlineLvl w:val="1"/>
        <w:rPr>
          <w:rFonts w:hint="eastAsia" w:asciiTheme="minorEastAsia" w:hAnsiTheme="minorEastAsia" w:eastAsiaTheme="minorEastAsia" w:cstheme="minorEastAsia"/>
          <w:bCs/>
        </w:rPr>
      </w:pPr>
      <w:bookmarkStart w:id="269" w:name="_Toc21041"/>
      <w:r>
        <w:rPr>
          <w:rFonts w:hint="eastAsia" w:asciiTheme="minorEastAsia" w:hAnsiTheme="minorEastAsia" w:eastAsiaTheme="minorEastAsia" w:cstheme="minorEastAsia"/>
          <w:b/>
        </w:rPr>
        <w:t>14</w:t>
      </w:r>
      <w:bookmarkStart w:id="270" w:name="_Hlt127093805"/>
      <w:bookmarkEnd w:id="270"/>
      <w:r>
        <w:rPr>
          <w:rFonts w:hint="eastAsia" w:asciiTheme="minorEastAsia" w:hAnsiTheme="minorEastAsia" w:eastAsiaTheme="minorEastAsia" w:cstheme="minorEastAsia"/>
          <w:b/>
        </w:rPr>
        <w:t>、评标的方法和标准</w:t>
      </w:r>
      <w:bookmarkEnd w:id="269"/>
    </w:p>
    <w:p w14:paraId="2D414BF0">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评标分为初步评审和详细评审两个阶段，由评标委员会在有关部门的监督下，严格按照本招标文件指定的评标方法，对投标人的投标文件进行审查、评审。评标委员会完成评标后，向招标人推荐 3 个中标候选人，并向招标人提交由全体评标委员会成员签字的评标报告。</w:t>
      </w:r>
    </w:p>
    <w:p w14:paraId="3D0AF3B4">
      <w:pPr>
        <w:pStyle w:val="34"/>
        <w:autoSpaceDE w:val="0"/>
        <w:autoSpaceDN w:val="0"/>
        <w:adjustRightInd w:val="0"/>
        <w:ind w:firstLine="482" w:firstLineChars="200"/>
        <w:rPr>
          <w:rFonts w:hint="eastAsia" w:asciiTheme="minorEastAsia" w:hAnsiTheme="minorEastAsia" w:eastAsiaTheme="minorEastAsia" w:cstheme="minorEastAsia"/>
          <w:bCs/>
        </w:rPr>
      </w:pPr>
      <w:bookmarkStart w:id="271" w:name="_Toc32313"/>
      <w:r>
        <w:rPr>
          <w:rFonts w:hint="eastAsia" w:asciiTheme="minorEastAsia" w:hAnsiTheme="minorEastAsia" w:eastAsiaTheme="minorEastAsia" w:cstheme="minorEastAsia"/>
          <w:b/>
        </w:rPr>
        <w:t>14.1 评标</w:t>
      </w:r>
      <w:bookmarkStart w:id="272" w:name="_Hlt69208274"/>
      <w:bookmarkEnd w:id="272"/>
      <w:r>
        <w:rPr>
          <w:rFonts w:hint="eastAsia" w:asciiTheme="minorEastAsia" w:hAnsiTheme="minorEastAsia" w:eastAsiaTheme="minorEastAsia" w:cstheme="minorEastAsia"/>
          <w:b/>
        </w:rPr>
        <w:t>委员会</w:t>
      </w:r>
      <w:bookmarkEnd w:id="271"/>
      <w:bookmarkStart w:id="273" w:name="_Hlt69338169"/>
      <w:bookmarkEnd w:id="273"/>
    </w:p>
    <w:p w14:paraId="68341F19">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    14.1.1 评标委员会由5 人组成。专家从广东省综合评标评审专家库-韶关区域中随机抽取，其中技术类专家3人，经济类专家2人。评标委员会的负责人在评委中民主选出，负责人的权力与评委成员相等。</w:t>
      </w:r>
    </w:p>
    <w:p w14:paraId="3299F2B3">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  14.1.2 评标委员会应认真、公正、诚实、廉洁地履行职责。有下列情形之一的，不得担任评标委员会成员：</w:t>
      </w:r>
    </w:p>
    <w:p w14:paraId="57009717">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  14.1.2.1 投标人或者投标人主要负责人的近亲属；</w:t>
      </w:r>
    </w:p>
    <w:p w14:paraId="4CB133EF">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 14.1.2.2 项目主管部门或者行政监督部门的人员；</w:t>
      </w:r>
    </w:p>
    <w:p w14:paraId="452224DA">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 14.1.2.3 与投标人有经济利益关系，可能影响对投标公正评审的；</w:t>
      </w:r>
    </w:p>
    <w:p w14:paraId="49EC8E8B">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14.1.2.4 曾因在</w:t>
      </w:r>
      <w:bookmarkStart w:id="274" w:name="_Hlt69700387"/>
      <w:bookmarkEnd w:id="274"/>
      <w:r>
        <w:rPr>
          <w:rFonts w:hint="eastAsia" w:asciiTheme="minorEastAsia" w:hAnsiTheme="minorEastAsia" w:eastAsiaTheme="minorEastAsia" w:cstheme="minorEastAsia"/>
          <w:bCs/>
        </w:rPr>
        <w:t>招标、评标以及其他与招标投标有关活动中从事违法行为而受过行政处罚或刑事处罚的。</w:t>
      </w:r>
    </w:p>
    <w:p w14:paraId="1325520D">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14.1.3 评标委员会成员有前款规定情形之一的，应主动提出回避。</w:t>
      </w:r>
    </w:p>
    <w:p w14:paraId="19C97140">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 14.1.4 评标全过程实行封闭式管理，在中标结果公布前，禁止评标委员会成员以任何方式私下接触投标人。</w:t>
      </w:r>
    </w:p>
    <w:p w14:paraId="600A6463">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 14.1.5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09BA1664">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14.1.6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2F9A76F">
      <w:pPr>
        <w:pStyle w:val="34"/>
        <w:autoSpaceDE w:val="0"/>
        <w:autoSpaceDN w:val="0"/>
        <w:adjustRightInd w:val="0"/>
        <w:ind w:firstLine="480" w:firstLineChars="200"/>
        <w:rPr>
          <w:rFonts w:hint="eastAsia" w:asciiTheme="minorEastAsia" w:hAnsiTheme="minorEastAsia" w:eastAsiaTheme="minorEastAsia" w:cstheme="minorEastAsia"/>
          <w:bCs/>
        </w:rPr>
      </w:pPr>
    </w:p>
    <w:p w14:paraId="7E99347F">
      <w:pPr>
        <w:pStyle w:val="34"/>
        <w:autoSpaceDE w:val="0"/>
        <w:autoSpaceDN w:val="0"/>
        <w:adjustRightInd w:val="0"/>
        <w:ind w:firstLine="482" w:firstLineChars="200"/>
        <w:rPr>
          <w:rFonts w:hint="eastAsia" w:asciiTheme="minorEastAsia" w:hAnsiTheme="minorEastAsia" w:eastAsiaTheme="minorEastAsia" w:cstheme="minorEastAsia"/>
          <w:b/>
        </w:rPr>
      </w:pPr>
      <w:bookmarkStart w:id="275" w:name="_Toc104711078"/>
      <w:bookmarkStart w:id="276" w:name="_Toc106418823"/>
      <w:bookmarkStart w:id="277" w:name="_Toc17385"/>
      <w:r>
        <w:rPr>
          <w:rFonts w:hint="eastAsia" w:asciiTheme="minorEastAsia" w:hAnsiTheme="minorEastAsia" w:eastAsiaTheme="minorEastAsia" w:cstheme="minorEastAsia"/>
          <w:b/>
        </w:rPr>
        <w:t>14.2</w:t>
      </w:r>
      <w:bookmarkEnd w:id="275"/>
      <w:bookmarkEnd w:id="276"/>
      <w:r>
        <w:rPr>
          <w:rFonts w:hint="eastAsia" w:asciiTheme="minorEastAsia" w:hAnsiTheme="minorEastAsia" w:eastAsiaTheme="minorEastAsia" w:cstheme="minorEastAsia"/>
          <w:b/>
        </w:rPr>
        <w:t>评标方法</w:t>
      </w:r>
      <w:bookmarkEnd w:id="277"/>
    </w:p>
    <w:p w14:paraId="567FF0E9">
      <w:pPr>
        <w:pStyle w:val="34"/>
        <w:autoSpaceDE w:val="0"/>
        <w:autoSpaceDN w:val="0"/>
        <w:adjustRightInd w:val="0"/>
        <w:ind w:firstLine="480" w:firstLineChars="200"/>
        <w:rPr>
          <w:rFonts w:hint="eastAsia" w:asciiTheme="minorEastAsia" w:hAnsiTheme="minorEastAsia" w:eastAsiaTheme="minorEastAsia" w:cstheme="minorEastAsia"/>
          <w:bCs/>
        </w:rPr>
      </w:pPr>
      <w:bookmarkStart w:id="278" w:name="_Hlt66591657"/>
      <w:bookmarkEnd w:id="278"/>
      <w:r>
        <w:rPr>
          <w:rFonts w:hint="eastAsia" w:asciiTheme="minorEastAsia" w:hAnsiTheme="minorEastAsia" w:eastAsiaTheme="minorEastAsia" w:cstheme="minorEastAsia"/>
          <w:bCs/>
        </w:rPr>
        <w:t>根据有关法律、法规的相关规定，结合本招标项目资金来源和规模特点，本次招标采用综合评估法进行评标。</w:t>
      </w:r>
    </w:p>
    <w:p w14:paraId="0549EF64">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14.2.1评审范围：评标委员会应对所有投标人的投标文件进行评审。</w:t>
      </w:r>
    </w:p>
    <w:p w14:paraId="00719384">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14.2.2 初步评审阶段</w:t>
      </w:r>
    </w:p>
    <w:p w14:paraId="2034EDAC">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初步评审阶段分为资格评审、形式评审和响应性评审三个环节。</w:t>
      </w:r>
    </w:p>
    <w:p w14:paraId="298E943D">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14.2.3资格评审环节</w:t>
      </w:r>
    </w:p>
    <w:p w14:paraId="5DD9A257">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资格评审事项包括：</w:t>
      </w:r>
    </w:p>
    <w:p w14:paraId="0135D251">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（1）投标人是否符合本章第三节第 4.4条“禁止投标条款”规定。</w:t>
      </w:r>
    </w:p>
    <w:p w14:paraId="08D21C09">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（2）投标人名称是否与营业执照、资质证书、安全生产许可证一致。</w:t>
      </w:r>
    </w:p>
    <w:p w14:paraId="7F8A37FE">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（3）投标人的资质是否符合招标文件规定；其营业执照、资质证书、安全生产许可证是否合法、有效、准确。</w:t>
      </w:r>
    </w:p>
    <w:p w14:paraId="749315DA">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（4）《项目经理简历表》中拟派项目经理是否与《开标一览表》一致。</w:t>
      </w:r>
    </w:p>
    <w:p w14:paraId="49BA371E">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5）拟派项目经理、项目技术负责人、专职安全员、设计负责人的条件是否符合招标文件规定；项目管理机构组成人员的各类证书、证件、证明是否合法、有效、准确；是否擅自修改、遗漏《项目经理任职声明》的实质性内容。</w:t>
      </w:r>
    </w:p>
    <w:p w14:paraId="07E15B89">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6）联合体投标的，是否提交《联合体协议书》；是否擅自修改、遗漏《联合体协议书》的实质性内容；联合体成员的数量、资质是否符合招标文件规定；联合体成员是否以自己名义单独或者参加其他联合体参与本招标工程投标。</w:t>
      </w:r>
    </w:p>
    <w:p w14:paraId="6B813DE1">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（7）投标人为外省建筑企业的，是否按规定在“进粤企业和人员诚信信息登记平台”录入企业及其拟派人员有关信息并通过数据规范检查。</w:t>
      </w:r>
    </w:p>
    <w:p w14:paraId="582FD9E5">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注：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3EC71B74">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14.2.4 形式评审环节</w:t>
      </w:r>
    </w:p>
    <w:p w14:paraId="7775153E">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形式评审事项包括：</w:t>
      </w:r>
    </w:p>
    <w:p w14:paraId="61BCDF23">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（1）投标文件是否按招标文件规定加盖电子印章。</w:t>
      </w:r>
    </w:p>
    <w:p w14:paraId="25C9260C">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（2）本节第11.2.2目中规定的“所有投标人均应提供”的组成内容（包括该组成内容的所附资料）是否完整、齐全。</w:t>
      </w:r>
    </w:p>
    <w:p w14:paraId="30C55627">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14.2.5 响应性评审环节</w:t>
      </w:r>
    </w:p>
    <w:p w14:paraId="1D86EE10">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响应性评审事项包括：</w:t>
      </w:r>
    </w:p>
    <w:p w14:paraId="5C6791C2">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（1）投标有效期、质量标准、工期等是否响应招标文件实质性要求；是否擅自修改、遗漏《投标函》《各项承诺一览表》的实质性内容。</w:t>
      </w:r>
    </w:p>
    <w:p w14:paraId="0C4FB74A">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（2）编投标总价是否唯一；投标总价是否超出最高投标限价；投标人是否以低于成本的价格竞标。</w:t>
      </w:r>
    </w:p>
    <w:p w14:paraId="6937565D">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    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0AF92EBE">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14.2.6 否决投标说明</w:t>
      </w:r>
    </w:p>
    <w:p w14:paraId="1482D34B">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79F0946C">
      <w:pPr>
        <w:pStyle w:val="34"/>
        <w:autoSpaceDE w:val="0"/>
        <w:autoSpaceDN w:val="0"/>
        <w:adjustRightInd w:val="0"/>
        <w:ind w:firstLine="482" w:firstLineChars="200"/>
        <w:rPr>
          <w:rFonts w:hint="eastAsia" w:asciiTheme="minorEastAsia" w:hAnsiTheme="minorEastAsia" w:eastAsiaTheme="minorEastAsia" w:cstheme="minorEastAsia"/>
          <w:bCs/>
        </w:rPr>
      </w:pPr>
      <w:bookmarkStart w:id="279" w:name="_Toc18413"/>
      <w:r>
        <w:rPr>
          <w:rFonts w:hint="eastAsia" w:asciiTheme="minorEastAsia" w:hAnsiTheme="minorEastAsia" w:eastAsiaTheme="minorEastAsia" w:cstheme="minorEastAsia"/>
          <w:b/>
        </w:rPr>
        <w:t>14.3 详细评审阶段</w:t>
      </w:r>
      <w:bookmarkEnd w:id="279"/>
    </w:p>
    <w:p w14:paraId="1D7AEB92">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 14.3.1 “综合评估法”评审程序</w:t>
      </w:r>
    </w:p>
    <w:p w14:paraId="0FAC0F17">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评审内容分为商务部分和经济部分两大部分，实行分项计分，以100分为满分。具体分值详见《综合评分表》。</w:t>
      </w:r>
    </w:p>
    <w:p w14:paraId="56CBB108">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除特别注明外，综合得分以及商务部分得分、经济部分得分的中间过程计算值和最终值，均按“四舍五入”原则精确到两位小数。</w:t>
      </w:r>
    </w:p>
    <w:p w14:paraId="5F536B47">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（1）商务部分得分</w:t>
      </w:r>
    </w:p>
    <w:p w14:paraId="1E4767CC">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①评标委员会各成员独立按照《综合评分表》商务部分指定的评分标准对各评分因素进行打分。各评分因素得分之和即为某投标人的商务部分得分。</w:t>
      </w:r>
    </w:p>
    <w:p w14:paraId="3465D141">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②全体评委对该投标人的商务部分总评分取平均值，按“四舍五入”原则精确到两位小数即为该投标人商务部分的最终得分。</w:t>
      </w:r>
    </w:p>
    <w:p w14:paraId="411983C7">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（2）经济部分得分</w:t>
      </w:r>
    </w:p>
    <w:p w14:paraId="0AE148FB">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经济部分评分方法详见《综合评分表》。</w:t>
      </w:r>
    </w:p>
    <w:p w14:paraId="7FB976EF">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（3）综合得分</w:t>
      </w:r>
    </w:p>
    <w:p w14:paraId="0914A00B">
      <w:pPr>
        <w:pStyle w:val="34"/>
        <w:autoSpaceDE w:val="0"/>
        <w:autoSpaceDN w:val="0"/>
        <w:adjustRightInd w:val="0"/>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综合得分=商务部分得分+经济部分得分</w:t>
      </w:r>
    </w:p>
    <w:p w14:paraId="774C8B27">
      <w:pPr>
        <w:spacing w:line="440" w:lineRule="exact"/>
        <w:ind w:firstLine="480" w:firstLineChars="200"/>
        <w:rPr>
          <w:rFonts w:asciiTheme="minorEastAsia" w:hAnsiTheme="minorEastAsia" w:eastAsiaTheme="minorEastAsia" w:cstheme="minorEastAsia"/>
          <w:bCs/>
        </w:rPr>
      </w:pPr>
      <w:r>
        <w:rPr>
          <w:rFonts w:asciiTheme="minorEastAsia" w:hAnsiTheme="minorEastAsia" w:eastAsiaTheme="minorEastAsia" w:cstheme="minorEastAsia"/>
          <w:bCs/>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bookmarkEnd w:id="144"/>
    </w:p>
    <w:p w14:paraId="4E834A1B">
      <w:pPr>
        <w:spacing w:line="440" w:lineRule="exact"/>
        <w:rPr>
          <w:rFonts w:asciiTheme="minorEastAsia" w:hAnsiTheme="minorEastAsia" w:eastAsiaTheme="minorEastAsia" w:cstheme="minorEastAsia"/>
          <w:b/>
          <w:sz w:val="28"/>
          <w:szCs w:val="28"/>
        </w:rPr>
      </w:pPr>
      <w:r>
        <w:rPr>
          <w:rFonts w:asciiTheme="minorEastAsia" w:hAnsiTheme="minorEastAsia" w:eastAsiaTheme="minorEastAsia" w:cstheme="minorEastAsia"/>
          <w:b/>
          <w:sz w:val="28"/>
          <w:szCs w:val="28"/>
        </w:rPr>
        <w:br w:type="page"/>
      </w:r>
    </w:p>
    <w:p w14:paraId="1DBEE03A">
      <w:pPr>
        <w:pStyle w:val="34"/>
        <w:autoSpaceDE w:val="0"/>
        <w:autoSpaceDN w:val="0"/>
        <w:adjustRightInd w:val="0"/>
        <w:jc w:val="center"/>
        <w:outlineLvl w:val="2"/>
        <w:rPr>
          <w:rFonts w:hint="eastAsia" w:hAnsi="宋体" w:cs="宋体"/>
          <w:b/>
          <w:bCs/>
          <w:kern w:val="0"/>
          <w:sz w:val="28"/>
          <w:szCs w:val="30"/>
        </w:rPr>
      </w:pPr>
      <w:r>
        <w:rPr>
          <w:rFonts w:hint="eastAsia" w:hAnsi="宋体" w:cs="宋体"/>
          <w:b/>
          <w:bCs/>
          <w:kern w:val="0"/>
          <w:sz w:val="28"/>
          <w:szCs w:val="30"/>
        </w:rPr>
        <w:t>综合评分表</w:t>
      </w:r>
    </w:p>
    <w:tbl>
      <w:tblPr>
        <w:tblStyle w:val="21"/>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633"/>
        <w:gridCol w:w="533"/>
        <w:gridCol w:w="867"/>
        <w:gridCol w:w="2917"/>
        <w:gridCol w:w="4509"/>
      </w:tblGrid>
      <w:tr w14:paraId="013D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56" w:type="dxa"/>
            <w:vAlign w:val="center"/>
          </w:tcPr>
          <w:p w14:paraId="3EACD28F">
            <w:pPr>
              <w:widowControl/>
              <w:jc w:val="center"/>
              <w:rPr>
                <w:rFonts w:hAnsi="宋体" w:eastAsia="宋体" w:cs="宋体"/>
                <w:kern w:val="0"/>
                <w:szCs w:val="24"/>
              </w:rPr>
            </w:pPr>
            <w:r>
              <w:rPr>
                <w:rFonts w:hAnsi="宋体" w:eastAsia="宋体" w:cs="宋体"/>
                <w:kern w:val="0"/>
                <w:szCs w:val="24"/>
              </w:rPr>
              <w:t>序号</w:t>
            </w:r>
          </w:p>
        </w:tc>
        <w:tc>
          <w:tcPr>
            <w:tcW w:w="1166" w:type="dxa"/>
            <w:gridSpan w:val="2"/>
            <w:vAlign w:val="center"/>
          </w:tcPr>
          <w:p w14:paraId="0716885A">
            <w:pPr>
              <w:widowControl/>
              <w:jc w:val="center"/>
              <w:rPr>
                <w:rFonts w:hAnsi="宋体" w:eastAsia="宋体" w:cs="宋体"/>
                <w:kern w:val="0"/>
                <w:szCs w:val="24"/>
              </w:rPr>
            </w:pPr>
            <w:r>
              <w:rPr>
                <w:rFonts w:hAnsi="宋体" w:eastAsia="宋体" w:cs="宋体"/>
                <w:kern w:val="0"/>
                <w:szCs w:val="24"/>
              </w:rPr>
              <w:t>评标内容</w:t>
            </w:r>
          </w:p>
        </w:tc>
        <w:tc>
          <w:tcPr>
            <w:tcW w:w="8293" w:type="dxa"/>
            <w:gridSpan w:val="3"/>
            <w:vAlign w:val="center"/>
          </w:tcPr>
          <w:p w14:paraId="0679945B">
            <w:pPr>
              <w:widowControl/>
              <w:jc w:val="center"/>
              <w:rPr>
                <w:rFonts w:hAnsi="宋体" w:eastAsia="宋体" w:cs="宋体"/>
                <w:kern w:val="0"/>
                <w:szCs w:val="24"/>
              </w:rPr>
            </w:pPr>
            <w:r>
              <w:rPr>
                <w:rFonts w:hAnsi="宋体" w:eastAsia="宋体" w:cs="宋体"/>
                <w:kern w:val="0"/>
                <w:szCs w:val="24"/>
              </w:rPr>
              <w:t>说    明</w:t>
            </w:r>
          </w:p>
        </w:tc>
      </w:tr>
      <w:tr w14:paraId="7747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5" w:hRule="atLeast"/>
          <w:jc w:val="center"/>
        </w:trPr>
        <w:tc>
          <w:tcPr>
            <w:tcW w:w="456" w:type="dxa"/>
            <w:vMerge w:val="restart"/>
            <w:vAlign w:val="center"/>
          </w:tcPr>
          <w:p w14:paraId="1D726B00">
            <w:pPr>
              <w:widowControl/>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1</w:t>
            </w:r>
          </w:p>
        </w:tc>
        <w:tc>
          <w:tcPr>
            <w:tcW w:w="633" w:type="dxa"/>
            <w:vMerge w:val="restart"/>
            <w:vAlign w:val="center"/>
          </w:tcPr>
          <w:p w14:paraId="497F9A1F">
            <w:pPr>
              <w:widowControl/>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商务得分（50分）</w:t>
            </w:r>
          </w:p>
        </w:tc>
        <w:tc>
          <w:tcPr>
            <w:tcW w:w="533" w:type="dxa"/>
            <w:vMerge w:val="restart"/>
            <w:vAlign w:val="center"/>
          </w:tcPr>
          <w:p w14:paraId="3F48624E">
            <w:pPr>
              <w:widowControl/>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施工企业（25分）</w:t>
            </w:r>
          </w:p>
        </w:tc>
        <w:tc>
          <w:tcPr>
            <w:tcW w:w="867" w:type="dxa"/>
            <w:vAlign w:val="center"/>
          </w:tcPr>
          <w:p w14:paraId="56F00D9F">
            <w:pPr>
              <w:pStyle w:val="8"/>
              <w:wordWrap w:val="0"/>
              <w:adjustRightInd w:val="0"/>
              <w:snapToGrid w:val="0"/>
              <w:spacing w:line="400" w:lineRule="exact"/>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企业业绩</w:t>
            </w:r>
          </w:p>
          <w:p w14:paraId="52476AF2">
            <w:pPr>
              <w:pStyle w:val="8"/>
              <w:wordWrap w:val="0"/>
              <w:adjustRightInd w:val="0"/>
              <w:snapToGrid w:val="0"/>
              <w:spacing w:line="400" w:lineRule="exact"/>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kern w:val="0"/>
                <w:szCs w:val="24"/>
              </w:rPr>
              <w:t>（5分）</w:t>
            </w:r>
          </w:p>
        </w:tc>
        <w:tc>
          <w:tcPr>
            <w:tcW w:w="2917" w:type="dxa"/>
            <w:vAlign w:val="center"/>
          </w:tcPr>
          <w:p w14:paraId="18DEAC1E">
            <w:pPr>
              <w:pStyle w:val="8"/>
              <w:wordWrap w:val="0"/>
              <w:adjustRightInd w:val="0"/>
              <w:snapToGrid w:val="0"/>
              <w:spacing w:line="400" w:lineRule="exact"/>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1.2020年1月1日至今，承接过工程类项目的，每个得 2.5分，本项最高得5分。</w:t>
            </w:r>
          </w:p>
          <w:p w14:paraId="317DCB73">
            <w:pPr>
              <w:pStyle w:val="8"/>
              <w:wordWrap w:val="0"/>
              <w:adjustRightInd w:val="0"/>
              <w:snapToGrid w:val="0"/>
              <w:spacing w:line="400" w:lineRule="exact"/>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2.未提供不予计分；</w:t>
            </w:r>
          </w:p>
          <w:p w14:paraId="41F2B85E">
            <w:pPr>
              <w:pStyle w:val="8"/>
              <w:wordWrap w:val="0"/>
              <w:adjustRightInd w:val="0"/>
              <w:snapToGrid w:val="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kern w:val="0"/>
                <w:szCs w:val="24"/>
              </w:rPr>
              <w:t>本项最高得5分。</w:t>
            </w:r>
          </w:p>
        </w:tc>
        <w:tc>
          <w:tcPr>
            <w:tcW w:w="4509" w:type="dxa"/>
            <w:vAlign w:val="center"/>
          </w:tcPr>
          <w:p w14:paraId="1797D3D4">
            <w:pPr>
              <w:pStyle w:val="8"/>
              <w:widowControl/>
              <w:wordWrap w:val="0"/>
              <w:adjustRightInd w:val="0"/>
              <w:snapToGrid w:val="0"/>
              <w:spacing w:line="360" w:lineRule="auto"/>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1．工程类项目指：合同金额≥1000万元的工程类施工总承包或</w:t>
            </w:r>
            <w:r>
              <w:rPr>
                <w:rFonts w:asciiTheme="minorEastAsia" w:hAnsiTheme="minorEastAsia" w:eastAsiaTheme="minorEastAsia" w:cstheme="minorEastAsia"/>
                <w:szCs w:val="24"/>
                <w:u w:val="single"/>
              </w:rPr>
              <w:t>设计、施工总承包（EPC）或勘察、设计、施工总承包或勘测、设计、施工总承包</w:t>
            </w:r>
            <w:r>
              <w:rPr>
                <w:rFonts w:asciiTheme="minorEastAsia" w:hAnsiTheme="minorEastAsia" w:eastAsiaTheme="minorEastAsia" w:cstheme="minorEastAsia"/>
                <w:kern w:val="0"/>
                <w:szCs w:val="24"/>
                <w:u w:val="single"/>
              </w:rPr>
              <w:t>。</w:t>
            </w:r>
            <w:r>
              <w:rPr>
                <w:rFonts w:asciiTheme="minorEastAsia" w:hAnsiTheme="minorEastAsia" w:eastAsiaTheme="minorEastAsia" w:cstheme="minorEastAsia"/>
                <w:kern w:val="0"/>
                <w:szCs w:val="24"/>
              </w:rPr>
              <w:t>）。</w:t>
            </w:r>
          </w:p>
          <w:p w14:paraId="36A63226">
            <w:pPr>
              <w:pStyle w:val="8"/>
              <w:wordWrap w:val="0"/>
              <w:adjustRightInd w:val="0"/>
              <w:snapToGrid w:val="0"/>
              <w:spacing w:line="360" w:lineRule="auto"/>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2．需附有关业绩合同协议书和竣工验收报告的彩色扫描件，同时提供原件供核对。</w:t>
            </w:r>
          </w:p>
          <w:p w14:paraId="20DEB63F">
            <w:pPr>
              <w:pStyle w:val="8"/>
              <w:wordWrap w:val="0"/>
              <w:adjustRightInd w:val="0"/>
              <w:snapToGrid w:val="0"/>
              <w:spacing w:line="360" w:lineRule="auto"/>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3．业绩时间以竣工验收报告日期为准。</w:t>
            </w:r>
          </w:p>
          <w:p w14:paraId="1B024B95">
            <w:pPr>
              <w:pStyle w:val="8"/>
              <w:widowControl/>
              <w:wordWrap w:val="0"/>
              <w:adjustRightInd w:val="0"/>
              <w:snapToGrid w:val="0"/>
              <w:spacing w:line="360" w:lineRule="auto"/>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4．任一业绩有以下情形之一的，该业绩视为无效，不予计分：</w:t>
            </w:r>
          </w:p>
          <w:p w14:paraId="421A4B8D">
            <w:pPr>
              <w:pStyle w:val="8"/>
              <w:widowControl/>
              <w:wordWrap w:val="0"/>
              <w:adjustRightInd w:val="0"/>
              <w:snapToGrid w:val="0"/>
              <w:spacing w:line="360" w:lineRule="auto"/>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①未提供业绩证明材料原件的；</w:t>
            </w:r>
          </w:p>
          <w:p w14:paraId="05D13173">
            <w:pPr>
              <w:pStyle w:val="8"/>
              <w:widowControl/>
              <w:wordWrap w:val="0"/>
              <w:adjustRightInd w:val="0"/>
              <w:snapToGrid w:val="0"/>
              <w:spacing w:line="360" w:lineRule="auto"/>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②业绩不属于类似工程的；</w:t>
            </w:r>
          </w:p>
          <w:p w14:paraId="4562B85B">
            <w:pPr>
              <w:pStyle w:val="8"/>
              <w:wordWrap w:val="0"/>
              <w:adjustRightInd w:val="0"/>
              <w:snapToGrid w:val="0"/>
              <w:rPr>
                <w:rFonts w:asciiTheme="minorEastAsia" w:hAnsiTheme="minorEastAsia" w:eastAsiaTheme="minorEastAsia" w:cstheme="minorEastAsia"/>
                <w:szCs w:val="24"/>
              </w:rPr>
            </w:pPr>
            <w:r>
              <w:rPr>
                <w:rFonts w:asciiTheme="minorEastAsia" w:hAnsiTheme="minorEastAsia" w:eastAsiaTheme="minorEastAsia" w:cstheme="minorEastAsia"/>
                <w:kern w:val="0"/>
                <w:szCs w:val="24"/>
              </w:rPr>
              <w:t>③业绩时间不符合要求的。</w:t>
            </w:r>
          </w:p>
        </w:tc>
      </w:tr>
      <w:tr w14:paraId="5E06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Merge w:val="continue"/>
            <w:vAlign w:val="center"/>
          </w:tcPr>
          <w:p w14:paraId="0887D699">
            <w:pPr>
              <w:widowControl/>
              <w:jc w:val="center"/>
              <w:rPr>
                <w:rFonts w:asciiTheme="minorEastAsia" w:hAnsiTheme="minorEastAsia" w:eastAsiaTheme="minorEastAsia" w:cstheme="minorEastAsia"/>
                <w:kern w:val="0"/>
                <w:szCs w:val="24"/>
              </w:rPr>
            </w:pPr>
          </w:p>
        </w:tc>
        <w:tc>
          <w:tcPr>
            <w:tcW w:w="633" w:type="dxa"/>
            <w:vMerge w:val="continue"/>
            <w:vAlign w:val="center"/>
          </w:tcPr>
          <w:p w14:paraId="5E406666">
            <w:pPr>
              <w:widowControl/>
              <w:jc w:val="center"/>
              <w:rPr>
                <w:rFonts w:asciiTheme="minorEastAsia" w:hAnsiTheme="minorEastAsia" w:eastAsiaTheme="minorEastAsia" w:cstheme="minorEastAsia"/>
                <w:kern w:val="0"/>
                <w:szCs w:val="24"/>
              </w:rPr>
            </w:pPr>
          </w:p>
        </w:tc>
        <w:tc>
          <w:tcPr>
            <w:tcW w:w="533" w:type="dxa"/>
            <w:vMerge w:val="continue"/>
            <w:vAlign w:val="center"/>
          </w:tcPr>
          <w:p w14:paraId="67A54772">
            <w:pPr>
              <w:widowControl/>
              <w:jc w:val="center"/>
              <w:rPr>
                <w:rFonts w:asciiTheme="minorEastAsia" w:hAnsiTheme="minorEastAsia" w:eastAsiaTheme="minorEastAsia" w:cstheme="minorEastAsia"/>
                <w:kern w:val="0"/>
                <w:szCs w:val="24"/>
              </w:rPr>
            </w:pPr>
          </w:p>
        </w:tc>
        <w:tc>
          <w:tcPr>
            <w:tcW w:w="867" w:type="dxa"/>
            <w:vAlign w:val="center"/>
          </w:tcPr>
          <w:p w14:paraId="4AB2CBF0">
            <w:pPr>
              <w:pStyle w:val="8"/>
              <w:adjustRightInd w:val="0"/>
              <w:snapToGrid w:val="0"/>
              <w:spacing w:line="360" w:lineRule="auto"/>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纳税信用（5分）</w:t>
            </w:r>
          </w:p>
        </w:tc>
        <w:tc>
          <w:tcPr>
            <w:tcW w:w="2917" w:type="dxa"/>
            <w:vAlign w:val="center"/>
          </w:tcPr>
          <w:p w14:paraId="484682C4">
            <w:pPr>
              <w:snapToGrid w:val="0"/>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kern w:val="0"/>
                <w:szCs w:val="24"/>
              </w:rPr>
              <w:t>企业</w:t>
            </w:r>
            <w:r>
              <w:rPr>
                <w:rFonts w:asciiTheme="minorEastAsia" w:hAnsiTheme="minorEastAsia" w:eastAsiaTheme="minorEastAsia" w:cstheme="minorEastAsia"/>
                <w:szCs w:val="24"/>
              </w:rPr>
              <w:t>获得纳税信用A级纳税人连续5年的得3分，超过5年，每连续增加一年加0.5分。</w:t>
            </w:r>
          </w:p>
          <w:p w14:paraId="5413651B">
            <w:pPr>
              <w:snapToGrid w:val="0"/>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注 ：1.本小项最高得5分。</w:t>
            </w:r>
          </w:p>
          <w:p w14:paraId="071A96BA">
            <w:pPr>
              <w:snapToGrid w:val="0"/>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2.须含2023年度。</w:t>
            </w:r>
          </w:p>
        </w:tc>
        <w:tc>
          <w:tcPr>
            <w:tcW w:w="4509" w:type="dxa"/>
            <w:vAlign w:val="center"/>
          </w:tcPr>
          <w:p w14:paraId="22150FD9">
            <w:pPr>
              <w:pStyle w:val="8"/>
              <w:wordWrap w:val="0"/>
              <w:adjustRightInd w:val="0"/>
              <w:snapToGrid w:val="0"/>
              <w:spacing w:line="360" w:lineRule="auto"/>
              <w:rPr>
                <w:rFonts w:asciiTheme="minorEastAsia" w:hAnsiTheme="minorEastAsia" w:eastAsiaTheme="minorEastAsia" w:cstheme="minorEastAsia"/>
                <w:kern w:val="0"/>
              </w:rPr>
            </w:pPr>
            <w:r>
              <w:rPr>
                <w:rFonts w:asciiTheme="minorEastAsia" w:hAnsiTheme="minorEastAsia" w:eastAsiaTheme="minorEastAsia" w:cstheme="minorEastAsia"/>
                <w:kern w:val="0"/>
                <w:szCs w:val="24"/>
              </w:rPr>
              <w:t>1、必须提供企业纳税信用A级纳税人证书</w:t>
            </w:r>
            <w:r>
              <w:rPr>
                <w:rFonts w:asciiTheme="minorEastAsia" w:hAnsiTheme="minorEastAsia" w:eastAsiaTheme="minorEastAsia" w:cstheme="minorEastAsia"/>
                <w:snapToGrid w:val="0"/>
                <w:kern w:val="0"/>
                <w:szCs w:val="24"/>
              </w:rPr>
              <w:t>彩色扫描件</w:t>
            </w:r>
            <w:r>
              <w:rPr>
                <w:rFonts w:asciiTheme="minorEastAsia" w:hAnsiTheme="minorEastAsia" w:eastAsiaTheme="minorEastAsia" w:cstheme="minorEastAsia"/>
                <w:kern w:val="0"/>
                <w:szCs w:val="24"/>
              </w:rPr>
              <w:t>及国家税务总局（或省级电子税务局）网上查询截图，否则不得分。</w:t>
            </w:r>
          </w:p>
          <w:p w14:paraId="1D0DCD1A">
            <w:pPr>
              <w:spacing w:line="360" w:lineRule="auto"/>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kern w:val="0"/>
                <w:szCs w:val="24"/>
              </w:rPr>
              <w:t>2、只计算投标人自身（投标人的分公司、子公司及分支机构除外）。</w:t>
            </w:r>
          </w:p>
          <w:p w14:paraId="35822D0C">
            <w:pPr>
              <w:pStyle w:val="8"/>
              <w:widowControl/>
              <w:adjustRightInd w:val="0"/>
              <w:snapToGrid w:val="0"/>
              <w:spacing w:line="360" w:lineRule="auto"/>
              <w:rPr>
                <w:rFonts w:asciiTheme="minorEastAsia" w:hAnsiTheme="minorEastAsia" w:eastAsiaTheme="minorEastAsia" w:cstheme="minorEastAsia"/>
                <w:szCs w:val="24"/>
              </w:rPr>
            </w:pPr>
          </w:p>
        </w:tc>
      </w:tr>
      <w:tr w14:paraId="11DD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456" w:type="dxa"/>
            <w:vMerge w:val="continue"/>
            <w:vAlign w:val="center"/>
          </w:tcPr>
          <w:p w14:paraId="4AD59797">
            <w:pPr>
              <w:widowControl/>
              <w:jc w:val="center"/>
              <w:rPr>
                <w:rFonts w:asciiTheme="minorEastAsia" w:hAnsiTheme="minorEastAsia" w:eastAsiaTheme="minorEastAsia" w:cstheme="minorEastAsia"/>
                <w:kern w:val="0"/>
                <w:szCs w:val="24"/>
              </w:rPr>
            </w:pPr>
          </w:p>
        </w:tc>
        <w:tc>
          <w:tcPr>
            <w:tcW w:w="633" w:type="dxa"/>
            <w:vMerge w:val="continue"/>
            <w:vAlign w:val="center"/>
          </w:tcPr>
          <w:p w14:paraId="7F255E9C">
            <w:pPr>
              <w:widowControl/>
              <w:jc w:val="center"/>
              <w:rPr>
                <w:rFonts w:asciiTheme="minorEastAsia" w:hAnsiTheme="minorEastAsia" w:eastAsiaTheme="minorEastAsia" w:cstheme="minorEastAsia"/>
                <w:kern w:val="0"/>
                <w:szCs w:val="24"/>
              </w:rPr>
            </w:pPr>
          </w:p>
        </w:tc>
        <w:tc>
          <w:tcPr>
            <w:tcW w:w="533" w:type="dxa"/>
            <w:vMerge w:val="continue"/>
            <w:vAlign w:val="center"/>
          </w:tcPr>
          <w:p w14:paraId="57AB6FF2">
            <w:pPr>
              <w:widowControl/>
              <w:jc w:val="center"/>
              <w:rPr>
                <w:rFonts w:asciiTheme="minorEastAsia" w:hAnsiTheme="minorEastAsia" w:eastAsiaTheme="minorEastAsia" w:cstheme="minorEastAsia"/>
                <w:kern w:val="0"/>
                <w:szCs w:val="24"/>
              </w:rPr>
            </w:pPr>
          </w:p>
        </w:tc>
        <w:tc>
          <w:tcPr>
            <w:tcW w:w="867" w:type="dxa"/>
            <w:vAlign w:val="center"/>
          </w:tcPr>
          <w:p w14:paraId="66F278B2">
            <w:pPr>
              <w:pStyle w:val="8"/>
              <w:wordWrap w:val="0"/>
              <w:adjustRightInd w:val="0"/>
              <w:snapToGrid w:val="0"/>
              <w:spacing w:line="400" w:lineRule="exact"/>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zCs w:val="24"/>
              </w:rPr>
              <w:t>获得管理体系认证证书（满分5分）</w:t>
            </w:r>
          </w:p>
        </w:tc>
        <w:tc>
          <w:tcPr>
            <w:tcW w:w="2917" w:type="dxa"/>
            <w:vAlign w:val="center"/>
          </w:tcPr>
          <w:p w14:paraId="7F0D2013">
            <w:pPr>
              <w:spacing w:line="340" w:lineRule="exact"/>
              <w:rPr>
                <w:rFonts w:asciiTheme="minorEastAsia" w:hAnsiTheme="minorEastAsia" w:eastAsiaTheme="minorEastAsia" w:cstheme="minorEastAsia"/>
                <w:szCs w:val="24"/>
                <w:shd w:val="clear" w:color="auto" w:fill="FFFFFF"/>
              </w:rPr>
            </w:pPr>
            <w:r>
              <w:rPr>
                <w:rFonts w:asciiTheme="minorEastAsia" w:hAnsiTheme="minorEastAsia" w:eastAsiaTheme="minorEastAsia" w:cstheme="minorEastAsia"/>
                <w:szCs w:val="24"/>
                <w:shd w:val="clear" w:color="auto" w:fill="FFFFFF"/>
              </w:rPr>
              <w:t>获得质量管理体系认证、环境管理体系认证、职业健康安全管理体系认证证书，并在有效期内的：</w:t>
            </w:r>
          </w:p>
          <w:p w14:paraId="359469D2">
            <w:pPr>
              <w:numPr>
                <w:ilvl w:val="255"/>
                <w:numId w:val="0"/>
              </w:numPr>
              <w:spacing w:line="340" w:lineRule="exact"/>
              <w:rPr>
                <w:rFonts w:asciiTheme="minorEastAsia" w:hAnsiTheme="minorEastAsia" w:eastAsiaTheme="minorEastAsia" w:cstheme="minorEastAsia"/>
                <w:szCs w:val="24"/>
                <w:shd w:val="clear" w:color="auto" w:fill="FFFFFF"/>
              </w:rPr>
            </w:pPr>
            <w:r>
              <w:rPr>
                <w:rFonts w:asciiTheme="minorEastAsia" w:hAnsiTheme="minorEastAsia" w:eastAsiaTheme="minorEastAsia" w:cstheme="minorEastAsia"/>
                <w:szCs w:val="24"/>
                <w:shd w:val="clear" w:color="auto" w:fill="FFFFFF"/>
              </w:rPr>
              <w:t>获得全部3项证书的得5分；</w:t>
            </w:r>
          </w:p>
          <w:p w14:paraId="19AC6CF1">
            <w:pPr>
              <w:spacing w:line="340" w:lineRule="exact"/>
              <w:rPr>
                <w:rFonts w:asciiTheme="minorEastAsia" w:hAnsiTheme="minorEastAsia" w:eastAsiaTheme="minorEastAsia" w:cstheme="minorEastAsia"/>
                <w:szCs w:val="24"/>
              </w:rPr>
            </w:pPr>
            <w:r>
              <w:rPr>
                <w:rFonts w:asciiTheme="minorEastAsia" w:hAnsiTheme="minorEastAsia" w:eastAsiaTheme="minorEastAsia" w:cstheme="minorEastAsia"/>
                <w:szCs w:val="24"/>
                <w:shd w:val="clear" w:color="auto" w:fill="FFFFFF"/>
              </w:rPr>
              <w:t>获得其中2项证书的得2分；</w:t>
            </w:r>
          </w:p>
          <w:p w14:paraId="06DC1041">
            <w:pPr>
              <w:spacing w:line="340" w:lineRule="exact"/>
              <w:rPr>
                <w:rFonts w:asciiTheme="minorEastAsia" w:hAnsiTheme="minorEastAsia" w:eastAsiaTheme="minorEastAsia" w:cstheme="minorEastAsia"/>
                <w:szCs w:val="24"/>
                <w:shd w:val="clear" w:color="auto" w:fill="FFFFFF"/>
              </w:rPr>
            </w:pPr>
            <w:r>
              <w:rPr>
                <w:rFonts w:asciiTheme="minorEastAsia" w:hAnsiTheme="minorEastAsia" w:eastAsiaTheme="minorEastAsia" w:cstheme="minorEastAsia"/>
                <w:szCs w:val="24"/>
                <w:shd w:val="clear" w:color="auto" w:fill="FFFFFF"/>
              </w:rPr>
              <w:t>3、获得其中1项证书的得1分；</w:t>
            </w:r>
          </w:p>
          <w:p w14:paraId="436831A7">
            <w:pPr>
              <w:spacing w:line="3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zCs w:val="24"/>
                <w:shd w:val="clear" w:color="auto" w:fill="FFFFFF"/>
              </w:rPr>
              <w:t>其他不得分。本项最高得5分。</w:t>
            </w:r>
          </w:p>
        </w:tc>
        <w:tc>
          <w:tcPr>
            <w:tcW w:w="4509" w:type="dxa"/>
            <w:vAlign w:val="center"/>
          </w:tcPr>
          <w:p w14:paraId="0F45BBAC">
            <w:pPr>
              <w:rPr>
                <w:rFonts w:asciiTheme="minorEastAsia" w:hAnsiTheme="minorEastAsia" w:eastAsiaTheme="minorEastAsia" w:cstheme="minorEastAsia"/>
                <w:szCs w:val="24"/>
                <w:shd w:val="clear" w:color="auto" w:fill="FFFFFF"/>
              </w:rPr>
            </w:pPr>
            <w:r>
              <w:rPr>
                <w:rFonts w:asciiTheme="minorEastAsia" w:hAnsiTheme="minorEastAsia" w:eastAsiaTheme="minorEastAsia" w:cstheme="minorEastAsia"/>
                <w:szCs w:val="24"/>
                <w:shd w:val="clear" w:color="auto" w:fill="FFFFFF"/>
              </w:rPr>
              <w:t>1．需附在有效期内的认证证书彩色扫描件，同时提供原件供核对（证书为电子证书的除外）。</w:t>
            </w:r>
          </w:p>
          <w:p w14:paraId="013D6D76">
            <w:pPr>
              <w:rPr>
                <w:rFonts w:asciiTheme="minorEastAsia" w:hAnsiTheme="minorEastAsia" w:eastAsiaTheme="minorEastAsia" w:cstheme="minorEastAsia"/>
                <w:szCs w:val="24"/>
                <w:shd w:val="clear" w:color="auto" w:fill="FFFFFF"/>
              </w:rPr>
            </w:pPr>
            <w:r>
              <w:rPr>
                <w:rFonts w:asciiTheme="minorEastAsia" w:hAnsiTheme="minorEastAsia" w:eastAsiaTheme="minorEastAsia" w:cstheme="minorEastAsia"/>
                <w:szCs w:val="24"/>
                <w:shd w:val="clear" w:color="auto" w:fill="FFFFFF"/>
              </w:rPr>
              <w:t>2．任一认证证书有以下情形之一的，该认证证书视为无效，不予计分：</w:t>
            </w:r>
          </w:p>
          <w:p w14:paraId="2C9CEF48">
            <w:pPr>
              <w:rPr>
                <w:rFonts w:asciiTheme="minorEastAsia" w:hAnsiTheme="minorEastAsia" w:eastAsiaTheme="minorEastAsia" w:cstheme="minorEastAsia"/>
                <w:szCs w:val="24"/>
                <w:shd w:val="clear" w:color="auto" w:fill="FFFFFF"/>
              </w:rPr>
            </w:pPr>
            <w:r>
              <w:rPr>
                <w:rFonts w:asciiTheme="minorEastAsia" w:hAnsiTheme="minorEastAsia" w:eastAsiaTheme="minorEastAsia" w:cstheme="minorEastAsia"/>
                <w:szCs w:val="24"/>
                <w:shd w:val="clear" w:color="auto" w:fill="FFFFFF"/>
              </w:rPr>
              <w:t>①未提供认证证书原件的；</w:t>
            </w:r>
          </w:p>
          <w:p w14:paraId="1B946577">
            <w:pPr>
              <w:rPr>
                <w:rFonts w:asciiTheme="minorEastAsia" w:hAnsiTheme="minorEastAsia" w:eastAsiaTheme="minorEastAsia" w:cstheme="minorEastAsia"/>
                <w:szCs w:val="24"/>
                <w:shd w:val="clear" w:color="auto" w:fill="FFFFFF"/>
              </w:rPr>
            </w:pPr>
            <w:r>
              <w:rPr>
                <w:rFonts w:asciiTheme="minorEastAsia" w:hAnsiTheme="minorEastAsia" w:eastAsiaTheme="minorEastAsia" w:cstheme="minorEastAsia"/>
                <w:szCs w:val="24"/>
                <w:shd w:val="clear" w:color="auto" w:fill="FFFFFF"/>
              </w:rPr>
              <w:t>②认证证书不在有效期内的。</w:t>
            </w:r>
          </w:p>
          <w:p w14:paraId="27055013">
            <w:pP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zCs w:val="24"/>
                <w:shd w:val="clear" w:color="auto" w:fill="FFFFFF"/>
              </w:rPr>
              <w:t xml:space="preserve">注：开标时须提供体系认证证书复印件，证书必须在有效期内，提供原件核对，否则不得分。 </w:t>
            </w:r>
          </w:p>
        </w:tc>
      </w:tr>
      <w:tr w14:paraId="4B8C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7" w:hRule="atLeast"/>
          <w:jc w:val="center"/>
        </w:trPr>
        <w:tc>
          <w:tcPr>
            <w:tcW w:w="456" w:type="dxa"/>
            <w:vMerge w:val="continue"/>
            <w:vAlign w:val="center"/>
          </w:tcPr>
          <w:p w14:paraId="00AEF55B">
            <w:pPr>
              <w:widowControl/>
              <w:jc w:val="center"/>
              <w:rPr>
                <w:rFonts w:asciiTheme="minorEastAsia" w:hAnsiTheme="minorEastAsia" w:eastAsiaTheme="minorEastAsia" w:cstheme="minorEastAsia"/>
                <w:kern w:val="0"/>
                <w:szCs w:val="24"/>
              </w:rPr>
            </w:pPr>
          </w:p>
        </w:tc>
        <w:tc>
          <w:tcPr>
            <w:tcW w:w="633" w:type="dxa"/>
            <w:vMerge w:val="continue"/>
            <w:vAlign w:val="center"/>
          </w:tcPr>
          <w:p w14:paraId="530748A9">
            <w:pPr>
              <w:widowControl/>
              <w:jc w:val="center"/>
              <w:rPr>
                <w:rFonts w:asciiTheme="minorEastAsia" w:hAnsiTheme="minorEastAsia" w:eastAsiaTheme="minorEastAsia" w:cstheme="minorEastAsia"/>
                <w:kern w:val="0"/>
                <w:szCs w:val="24"/>
              </w:rPr>
            </w:pPr>
          </w:p>
        </w:tc>
        <w:tc>
          <w:tcPr>
            <w:tcW w:w="533" w:type="dxa"/>
            <w:vMerge w:val="continue"/>
            <w:vAlign w:val="center"/>
          </w:tcPr>
          <w:p w14:paraId="597B5E1D">
            <w:pPr>
              <w:widowControl/>
              <w:jc w:val="center"/>
              <w:rPr>
                <w:rFonts w:asciiTheme="minorEastAsia" w:hAnsiTheme="minorEastAsia" w:eastAsiaTheme="minorEastAsia" w:cstheme="minorEastAsia"/>
                <w:kern w:val="0"/>
                <w:szCs w:val="24"/>
              </w:rPr>
            </w:pPr>
          </w:p>
        </w:tc>
        <w:tc>
          <w:tcPr>
            <w:tcW w:w="867" w:type="dxa"/>
            <w:vAlign w:val="center"/>
          </w:tcPr>
          <w:p w14:paraId="6CD65CA5">
            <w:pPr>
              <w:pStyle w:val="8"/>
              <w:adjustRightInd w:val="0"/>
              <w:snapToGrid w:val="0"/>
              <w:spacing w:line="360" w:lineRule="auto"/>
              <w:jc w:val="center"/>
              <w:rPr>
                <w:rFonts w:asciiTheme="minorEastAsia" w:hAnsiTheme="minorEastAsia" w:eastAsiaTheme="minorEastAsia" w:cstheme="minorEastAsia"/>
              </w:rPr>
            </w:pPr>
            <w:r>
              <w:rPr>
                <w:rFonts w:asciiTheme="minorEastAsia" w:hAnsiTheme="minorEastAsia" w:eastAsiaTheme="minorEastAsia" w:cstheme="minorEastAsia"/>
                <w:szCs w:val="24"/>
              </w:rPr>
              <w:t>科技创新先进企业（满分5分）</w:t>
            </w:r>
          </w:p>
        </w:tc>
        <w:tc>
          <w:tcPr>
            <w:tcW w:w="2917" w:type="dxa"/>
            <w:vAlign w:val="center"/>
          </w:tcPr>
          <w:p w14:paraId="76AD052C">
            <w:pPr>
              <w:adjustRightInd w:val="0"/>
              <w:snapToGrid w:val="0"/>
              <w:spacing w:before="120" w:after="60" w:line="360" w:lineRule="auto"/>
              <w:rPr>
                <w:rFonts w:asciiTheme="minorEastAsia" w:hAnsiTheme="minorEastAsia" w:eastAsiaTheme="minorEastAsia" w:cstheme="minorEastAsia"/>
                <w:szCs w:val="24"/>
              </w:rPr>
            </w:pPr>
            <w:r>
              <w:rPr>
                <w:rFonts w:asciiTheme="minorEastAsia" w:hAnsiTheme="minorEastAsia" w:eastAsiaTheme="minorEastAsia" w:cstheme="minorEastAsia"/>
                <w:kern w:val="0"/>
                <w:szCs w:val="24"/>
              </w:rPr>
              <w:t>企业连续5年获得过省级或以上土木建筑学会颁发的科技创新先进企业证书的</w:t>
            </w:r>
            <w:r>
              <w:rPr>
                <w:rFonts w:asciiTheme="minorEastAsia" w:hAnsiTheme="minorEastAsia" w:eastAsiaTheme="minorEastAsia" w:cstheme="minorEastAsia"/>
                <w:szCs w:val="24"/>
              </w:rPr>
              <w:t>得2分，每连续增加一年加1分。</w:t>
            </w:r>
          </w:p>
          <w:p w14:paraId="66AC6417">
            <w:pPr>
              <w:adjustRightInd w:val="0"/>
              <w:snapToGrid w:val="0"/>
              <w:spacing w:before="120" w:after="60"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注：1.本小项最高得5分。</w:t>
            </w:r>
          </w:p>
          <w:p w14:paraId="7E88B0FA">
            <w:pPr>
              <w:adjustRightInd w:val="0"/>
              <w:snapToGrid w:val="0"/>
              <w:spacing w:before="120" w:after="60"/>
              <w:rPr>
                <w:rFonts w:asciiTheme="minorEastAsia" w:hAnsiTheme="minorEastAsia" w:eastAsiaTheme="minorEastAsia" w:cstheme="minorEastAsia"/>
              </w:rPr>
            </w:pPr>
            <w:r>
              <w:rPr>
                <w:rFonts w:asciiTheme="minorEastAsia" w:hAnsiTheme="minorEastAsia" w:eastAsiaTheme="minorEastAsia" w:cstheme="minorEastAsia"/>
                <w:szCs w:val="24"/>
              </w:rPr>
              <w:t>2.(须含2024年度)。</w:t>
            </w:r>
          </w:p>
        </w:tc>
        <w:tc>
          <w:tcPr>
            <w:tcW w:w="4509" w:type="dxa"/>
            <w:vAlign w:val="center"/>
          </w:tcPr>
          <w:p w14:paraId="5CFA52DE">
            <w:pPr>
              <w:pStyle w:val="8"/>
              <w:wordWrap w:val="0"/>
              <w:snapToGrid w:val="0"/>
              <w:spacing w:line="360" w:lineRule="auto"/>
              <w:rPr>
                <w:rFonts w:asciiTheme="minorEastAsia" w:hAnsiTheme="minorEastAsia" w:eastAsiaTheme="minorEastAsia" w:cstheme="minorEastAsia"/>
                <w:shd w:val="clear" w:color="auto" w:fill="FFFFFF"/>
              </w:rPr>
            </w:pPr>
            <w:r>
              <w:rPr>
                <w:rFonts w:asciiTheme="minorEastAsia" w:hAnsiTheme="minorEastAsia" w:eastAsiaTheme="minorEastAsia" w:cstheme="minorEastAsia"/>
                <w:szCs w:val="24"/>
                <w:shd w:val="clear" w:color="auto" w:fill="FFFFFF"/>
              </w:rPr>
              <w:t>1. 需附相关网站公示页面或公告页面。</w:t>
            </w:r>
          </w:p>
          <w:p w14:paraId="0A49E5CB">
            <w:pPr>
              <w:pStyle w:val="8"/>
              <w:wordWrap w:val="0"/>
              <w:snapToGrid w:val="0"/>
              <w:spacing w:line="360" w:lineRule="auto"/>
              <w:rPr>
                <w:rFonts w:asciiTheme="minorEastAsia" w:hAnsiTheme="minorEastAsia" w:eastAsiaTheme="minorEastAsia" w:cstheme="minorEastAsia"/>
                <w:shd w:val="clear" w:color="auto" w:fill="FFFFFF"/>
              </w:rPr>
            </w:pPr>
            <w:r>
              <w:rPr>
                <w:rFonts w:asciiTheme="minorEastAsia" w:hAnsiTheme="minorEastAsia" w:eastAsiaTheme="minorEastAsia" w:cstheme="minorEastAsia"/>
                <w:szCs w:val="24"/>
                <w:shd w:val="clear" w:color="auto" w:fill="FFFFFF"/>
              </w:rPr>
              <w:t>2. 证书须由省级或以上土木建筑学会颁发。</w:t>
            </w:r>
          </w:p>
          <w:p w14:paraId="500159BD">
            <w:pPr>
              <w:pStyle w:val="8"/>
              <w:wordWrap w:val="0"/>
              <w:snapToGrid w:val="0"/>
              <w:spacing w:line="360" w:lineRule="auto"/>
              <w:rPr>
                <w:rFonts w:asciiTheme="minorEastAsia" w:hAnsiTheme="minorEastAsia" w:eastAsiaTheme="minorEastAsia" w:cstheme="minorEastAsia"/>
                <w:shd w:val="clear" w:color="auto" w:fill="FFFFFF"/>
              </w:rPr>
            </w:pPr>
            <w:r>
              <w:rPr>
                <w:rFonts w:asciiTheme="minorEastAsia" w:hAnsiTheme="minorEastAsia" w:eastAsiaTheme="minorEastAsia" w:cstheme="minorEastAsia"/>
                <w:szCs w:val="24"/>
                <w:shd w:val="clear" w:color="auto" w:fill="FFFFFF"/>
              </w:rPr>
              <w:t>3. 未提供原件的；颁发机构、荣誉称号、获奖</w:t>
            </w:r>
          </w:p>
          <w:p w14:paraId="5EDC7BF4">
            <w:pPr>
              <w:pStyle w:val="8"/>
              <w:spacing w:line="360" w:lineRule="auto"/>
              <w:jc w:val="left"/>
              <w:rPr>
                <w:rFonts w:asciiTheme="minorEastAsia" w:hAnsiTheme="minorEastAsia" w:eastAsiaTheme="minorEastAsia" w:cstheme="minorEastAsia"/>
              </w:rPr>
            </w:pPr>
            <w:r>
              <w:rPr>
                <w:rFonts w:asciiTheme="minorEastAsia" w:hAnsiTheme="minorEastAsia" w:eastAsiaTheme="minorEastAsia" w:cstheme="minorEastAsia"/>
                <w:szCs w:val="24"/>
                <w:shd w:val="clear" w:color="auto" w:fill="FFFFFF"/>
              </w:rPr>
              <w:t>时间不符合评分标准的，不予得分。</w:t>
            </w:r>
          </w:p>
        </w:tc>
      </w:tr>
      <w:tr w14:paraId="5E0E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0" w:hRule="atLeast"/>
          <w:jc w:val="center"/>
        </w:trPr>
        <w:tc>
          <w:tcPr>
            <w:tcW w:w="456" w:type="dxa"/>
            <w:vMerge w:val="continue"/>
            <w:vAlign w:val="center"/>
          </w:tcPr>
          <w:p w14:paraId="5AB71E77">
            <w:pPr>
              <w:widowControl/>
              <w:jc w:val="center"/>
              <w:rPr>
                <w:rFonts w:asciiTheme="minorEastAsia" w:hAnsiTheme="minorEastAsia" w:eastAsiaTheme="minorEastAsia" w:cstheme="minorEastAsia"/>
                <w:kern w:val="0"/>
                <w:szCs w:val="24"/>
              </w:rPr>
            </w:pPr>
          </w:p>
        </w:tc>
        <w:tc>
          <w:tcPr>
            <w:tcW w:w="633" w:type="dxa"/>
            <w:vMerge w:val="continue"/>
            <w:vAlign w:val="center"/>
          </w:tcPr>
          <w:p w14:paraId="3E189419">
            <w:pPr>
              <w:widowControl/>
              <w:jc w:val="center"/>
              <w:rPr>
                <w:rFonts w:asciiTheme="minorEastAsia" w:hAnsiTheme="minorEastAsia" w:eastAsiaTheme="minorEastAsia" w:cstheme="minorEastAsia"/>
                <w:kern w:val="0"/>
                <w:szCs w:val="24"/>
              </w:rPr>
            </w:pPr>
          </w:p>
        </w:tc>
        <w:tc>
          <w:tcPr>
            <w:tcW w:w="533" w:type="dxa"/>
            <w:vMerge w:val="continue"/>
            <w:vAlign w:val="center"/>
          </w:tcPr>
          <w:p w14:paraId="4FF646E4">
            <w:pPr>
              <w:widowControl/>
              <w:jc w:val="center"/>
              <w:rPr>
                <w:rFonts w:asciiTheme="minorEastAsia" w:hAnsiTheme="minorEastAsia" w:eastAsiaTheme="minorEastAsia" w:cstheme="minorEastAsia"/>
                <w:kern w:val="0"/>
                <w:szCs w:val="24"/>
              </w:rPr>
            </w:pPr>
          </w:p>
        </w:tc>
        <w:tc>
          <w:tcPr>
            <w:tcW w:w="867" w:type="dxa"/>
            <w:vAlign w:val="center"/>
          </w:tcPr>
          <w:p w14:paraId="360A816E">
            <w:pPr>
              <w:pStyle w:val="8"/>
              <w:wordWrap w:val="0"/>
              <w:adjustRightInd w:val="0"/>
              <w:snapToGrid w:val="0"/>
              <w:spacing w:line="360" w:lineRule="auto"/>
              <w:jc w:val="center"/>
              <w:rPr>
                <w:rFonts w:asciiTheme="minorEastAsia" w:hAnsiTheme="minorEastAsia" w:eastAsiaTheme="minorEastAsia" w:cstheme="minorEastAsia"/>
                <w:shd w:val="clear" w:color="auto" w:fill="FFFFFF"/>
              </w:rPr>
            </w:pPr>
            <w:r>
              <w:rPr>
                <w:rFonts w:asciiTheme="minorEastAsia" w:hAnsiTheme="minorEastAsia" w:eastAsiaTheme="minorEastAsia" w:cstheme="minorEastAsia"/>
                <w:szCs w:val="24"/>
                <w:shd w:val="clear" w:color="auto" w:fill="FFFFFF"/>
              </w:rPr>
              <w:t>企业</w:t>
            </w:r>
          </w:p>
          <w:p w14:paraId="4C142251">
            <w:pPr>
              <w:pStyle w:val="8"/>
              <w:wordWrap w:val="0"/>
              <w:adjustRightInd w:val="0"/>
              <w:snapToGrid w:val="0"/>
              <w:spacing w:line="360" w:lineRule="auto"/>
              <w:jc w:val="center"/>
              <w:rPr>
                <w:rFonts w:asciiTheme="minorEastAsia" w:hAnsiTheme="minorEastAsia" w:eastAsiaTheme="minorEastAsia" w:cstheme="minorEastAsia"/>
                <w:shd w:val="clear" w:color="auto" w:fill="FFFFFF"/>
              </w:rPr>
            </w:pPr>
            <w:r>
              <w:rPr>
                <w:rFonts w:asciiTheme="minorEastAsia" w:hAnsiTheme="minorEastAsia" w:eastAsiaTheme="minorEastAsia" w:cstheme="minorEastAsia"/>
                <w:szCs w:val="24"/>
                <w:shd w:val="clear" w:color="auto" w:fill="FFFFFF"/>
              </w:rPr>
              <w:t>信誉</w:t>
            </w:r>
          </w:p>
          <w:p w14:paraId="3B755099">
            <w:pPr>
              <w:pStyle w:val="8"/>
              <w:wordWrap w:val="0"/>
              <w:adjustRightInd w:val="0"/>
              <w:snapToGrid w:val="0"/>
              <w:spacing w:line="400" w:lineRule="exact"/>
              <w:jc w:val="center"/>
              <w:rPr>
                <w:rStyle w:val="50"/>
                <w:rFonts w:asciiTheme="minorEastAsia" w:hAnsiTheme="minorEastAsia" w:eastAsiaTheme="minorEastAsia" w:cstheme="minorEastAsia"/>
              </w:rPr>
            </w:pPr>
            <w:r>
              <w:rPr>
                <w:rFonts w:asciiTheme="minorEastAsia" w:hAnsiTheme="minorEastAsia" w:eastAsiaTheme="minorEastAsia" w:cstheme="minorEastAsia"/>
                <w:szCs w:val="24"/>
                <w:shd w:val="clear" w:color="auto" w:fill="FFFFFF"/>
              </w:rPr>
              <w:t>(5分）</w:t>
            </w:r>
          </w:p>
        </w:tc>
        <w:tc>
          <w:tcPr>
            <w:tcW w:w="2917" w:type="dxa"/>
            <w:vAlign w:val="center"/>
          </w:tcPr>
          <w:p w14:paraId="1EA1C8E3">
            <w:pPr>
              <w:pStyle w:val="52"/>
              <w:wordWrap w:val="0"/>
              <w:adjustRightInd w:val="0"/>
              <w:snapToGrid w:val="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企业连续10年获得省级/国级“诚信示范企业”或“企业诚信公约证书”或</w:t>
            </w:r>
            <w:r>
              <w:rPr>
                <w:rFonts w:hint="eastAsia" w:asciiTheme="minorEastAsia" w:hAnsiTheme="minorEastAsia" w:eastAsiaTheme="minorEastAsia" w:cstheme="minorEastAsia"/>
                <w:b/>
                <w:bCs/>
                <w:szCs w:val="24"/>
              </w:rPr>
              <w:t>“AAA级信用企业”</w:t>
            </w:r>
            <w:r>
              <w:rPr>
                <w:rFonts w:hint="eastAsia" w:asciiTheme="minorEastAsia" w:hAnsiTheme="minorEastAsia" w:eastAsiaTheme="minorEastAsia" w:cstheme="minorEastAsia"/>
                <w:szCs w:val="24"/>
              </w:rPr>
              <w:t>称号的得2分，超过</w:t>
            </w:r>
            <w:r>
              <w:rPr>
                <w:rFonts w:hint="eastAsia" w:asciiTheme="minorEastAsia" w:hAnsiTheme="minorEastAsia" w:eastAsiaTheme="minorEastAsia" w:cstheme="minorEastAsia"/>
                <w:szCs w:val="24"/>
                <w:lang w:val="en-US" w:eastAsia="zh-CN"/>
              </w:rPr>
              <w:t>10</w:t>
            </w:r>
            <w:r>
              <w:rPr>
                <w:rFonts w:hint="eastAsia" w:asciiTheme="minorEastAsia" w:hAnsiTheme="minorEastAsia" w:eastAsiaTheme="minorEastAsia" w:cstheme="minorEastAsia"/>
                <w:szCs w:val="24"/>
              </w:rPr>
              <w:t>年的，每连续增加一年加0.5分。</w:t>
            </w:r>
          </w:p>
          <w:p w14:paraId="3FA474FF">
            <w:pPr>
              <w:pStyle w:val="52"/>
              <w:wordWrap w:val="0"/>
              <w:adjustRightInd w:val="0"/>
              <w:snapToGrid w:val="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注：本小项最高得5分 。</w:t>
            </w:r>
          </w:p>
          <w:p w14:paraId="23292DE2">
            <w:pPr>
              <w:pStyle w:val="52"/>
              <w:wordWrap w:val="0"/>
              <w:adjustRightInd w:val="0"/>
              <w:snapToGrid w:val="0"/>
              <w:spacing w:line="240" w:lineRule="auto"/>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zCs w:val="24"/>
              </w:rPr>
              <w:t>2.须含2023年。</w:t>
            </w:r>
          </w:p>
        </w:tc>
        <w:tc>
          <w:tcPr>
            <w:tcW w:w="4509" w:type="dxa"/>
            <w:vAlign w:val="center"/>
          </w:tcPr>
          <w:p w14:paraId="7DD2095F">
            <w:pPr>
              <w:pStyle w:val="8"/>
              <w:wordWrap w:val="0"/>
              <w:adjustRightInd w:val="0"/>
              <w:snapToGrid w:val="0"/>
              <w:spacing w:line="360" w:lineRule="auto"/>
              <w:rPr>
                <w:rFonts w:asciiTheme="minorEastAsia" w:hAnsiTheme="minorEastAsia" w:eastAsiaTheme="minorEastAsia" w:cstheme="minorEastAsia"/>
              </w:rPr>
            </w:pPr>
            <w:r>
              <w:rPr>
                <w:rFonts w:asciiTheme="minorEastAsia" w:hAnsiTheme="minorEastAsia" w:eastAsiaTheme="minorEastAsia" w:cstheme="minorEastAsia"/>
                <w:szCs w:val="24"/>
              </w:rPr>
              <w:t>1．需附相关证书彩色扫描件，同时提供原件供核对。</w:t>
            </w:r>
          </w:p>
          <w:p w14:paraId="7DBE6C48">
            <w:pPr>
              <w:pStyle w:val="8"/>
              <w:wordWrap w:val="0"/>
              <w:adjustRightInd w:val="0"/>
              <w:snapToGrid w:val="0"/>
              <w:spacing w:line="360" w:lineRule="auto"/>
              <w:rPr>
                <w:rFonts w:asciiTheme="minorEastAsia" w:hAnsiTheme="minorEastAsia" w:eastAsiaTheme="minorEastAsia" w:cstheme="minorEastAsia"/>
              </w:rPr>
            </w:pPr>
            <w:r>
              <w:rPr>
                <w:rFonts w:asciiTheme="minorEastAsia" w:hAnsiTheme="minorEastAsia" w:eastAsiaTheme="minorEastAsia" w:cstheme="minorEastAsia"/>
                <w:szCs w:val="24"/>
              </w:rPr>
              <w:t>2．证书须由省级/国级企业联合会和企业家协会（需经民政局备案）同时颁发。</w:t>
            </w:r>
          </w:p>
          <w:p w14:paraId="0D4D0038">
            <w:pPr>
              <w:pStyle w:val="52"/>
              <w:wordWrap w:val="0"/>
              <w:adjustRightInd w:val="0"/>
              <w:snapToGrid w:val="0"/>
              <w:jc w:val="left"/>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zCs w:val="24"/>
              </w:rPr>
              <w:t>3．未提供原件的；颁发机构、获奖时间不符合评分标准和备注规定的，不予得分。</w:t>
            </w:r>
          </w:p>
        </w:tc>
      </w:tr>
      <w:tr w14:paraId="65F1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8" w:hRule="atLeast"/>
          <w:jc w:val="center"/>
        </w:trPr>
        <w:tc>
          <w:tcPr>
            <w:tcW w:w="456" w:type="dxa"/>
            <w:vMerge w:val="continue"/>
            <w:vAlign w:val="center"/>
          </w:tcPr>
          <w:p w14:paraId="5D196BF1">
            <w:pPr>
              <w:widowControl/>
              <w:jc w:val="center"/>
              <w:rPr>
                <w:rFonts w:asciiTheme="minorEastAsia" w:hAnsiTheme="minorEastAsia" w:eastAsiaTheme="minorEastAsia" w:cstheme="minorEastAsia"/>
                <w:kern w:val="0"/>
                <w:szCs w:val="24"/>
              </w:rPr>
            </w:pPr>
          </w:p>
        </w:tc>
        <w:tc>
          <w:tcPr>
            <w:tcW w:w="633" w:type="dxa"/>
            <w:vMerge w:val="continue"/>
            <w:vAlign w:val="center"/>
          </w:tcPr>
          <w:p w14:paraId="334EF4A9">
            <w:pPr>
              <w:widowControl/>
              <w:jc w:val="center"/>
              <w:rPr>
                <w:rFonts w:asciiTheme="minorEastAsia" w:hAnsiTheme="minorEastAsia" w:eastAsiaTheme="minorEastAsia" w:cstheme="minorEastAsia"/>
                <w:kern w:val="0"/>
                <w:szCs w:val="24"/>
              </w:rPr>
            </w:pPr>
          </w:p>
        </w:tc>
        <w:tc>
          <w:tcPr>
            <w:tcW w:w="533" w:type="dxa"/>
            <w:vMerge w:val="restart"/>
            <w:vAlign w:val="center"/>
          </w:tcPr>
          <w:p w14:paraId="770CD7C0">
            <w:pPr>
              <w:widowControl/>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设计企业（25分）</w:t>
            </w:r>
          </w:p>
        </w:tc>
        <w:tc>
          <w:tcPr>
            <w:tcW w:w="867" w:type="dxa"/>
            <w:vAlign w:val="center"/>
          </w:tcPr>
          <w:p w14:paraId="42BDD138">
            <w:pPr>
              <w:spacing w:line="320" w:lineRule="exact"/>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企业奖项</w:t>
            </w:r>
          </w:p>
          <w:p w14:paraId="07101D8D">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（5分）</w:t>
            </w:r>
          </w:p>
        </w:tc>
        <w:tc>
          <w:tcPr>
            <w:tcW w:w="2917" w:type="dxa"/>
            <w:vAlign w:val="center"/>
          </w:tcPr>
          <w:p w14:paraId="104A5349">
            <w:pPr>
              <w:rPr>
                <w:rFonts w:asciiTheme="minorEastAsia" w:hAnsiTheme="minorEastAsia" w:eastAsiaTheme="minorEastAsia" w:cstheme="minorEastAsia"/>
                <w:szCs w:val="24"/>
              </w:rPr>
            </w:pPr>
            <w:r>
              <w:rPr>
                <w:rFonts w:asciiTheme="minorEastAsia" w:hAnsiTheme="minorEastAsia" w:eastAsiaTheme="minorEastAsia" w:cstheme="minorEastAsia"/>
                <w:kern w:val="0"/>
                <w:szCs w:val="24"/>
              </w:rPr>
              <w:t>企业</w:t>
            </w:r>
            <w:r>
              <w:rPr>
                <w:rFonts w:asciiTheme="minorEastAsia" w:hAnsiTheme="minorEastAsia" w:eastAsiaTheme="minorEastAsia" w:cstheme="minorEastAsia"/>
                <w:szCs w:val="24"/>
              </w:rPr>
              <w:t>2020年1月1日至今获得工程设计类项目奖项：</w:t>
            </w:r>
          </w:p>
          <w:p w14:paraId="0E69DFAE">
            <w:pPr>
              <w:rPr>
                <w:rFonts w:asciiTheme="minorEastAsia" w:hAnsiTheme="minorEastAsia" w:eastAsiaTheme="minorEastAsia" w:cstheme="minorEastAsia"/>
                <w:szCs w:val="24"/>
              </w:rPr>
            </w:pPr>
            <w:r>
              <w:rPr>
                <w:rFonts w:asciiTheme="minorEastAsia" w:hAnsiTheme="minorEastAsia" w:eastAsiaTheme="minorEastAsia" w:cstheme="minorEastAsia"/>
                <w:szCs w:val="24"/>
              </w:rPr>
              <w:t>1.获得国家级的，每项得1分；</w:t>
            </w:r>
          </w:p>
          <w:p w14:paraId="0EB6C69E">
            <w:pPr>
              <w:rPr>
                <w:rFonts w:asciiTheme="minorEastAsia" w:hAnsiTheme="minorEastAsia" w:eastAsiaTheme="minorEastAsia" w:cstheme="minorEastAsia"/>
                <w:szCs w:val="24"/>
              </w:rPr>
            </w:pPr>
            <w:r>
              <w:rPr>
                <w:rFonts w:asciiTheme="minorEastAsia" w:hAnsiTheme="minorEastAsia" w:eastAsiaTheme="minorEastAsia" w:cstheme="minorEastAsia"/>
                <w:szCs w:val="24"/>
              </w:rPr>
              <w:t>2获得省级的，每项得0.5分；</w:t>
            </w:r>
          </w:p>
          <w:p w14:paraId="14EE5BEA">
            <w:pPr>
              <w:rPr>
                <w:rFonts w:asciiTheme="minorEastAsia" w:hAnsiTheme="minorEastAsia" w:eastAsiaTheme="minorEastAsia" w:cstheme="minorEastAsia"/>
                <w:szCs w:val="24"/>
              </w:rPr>
            </w:pPr>
            <w:r>
              <w:rPr>
                <w:rFonts w:asciiTheme="minorEastAsia" w:hAnsiTheme="minorEastAsia" w:eastAsiaTheme="minorEastAsia" w:cstheme="minorEastAsia"/>
                <w:szCs w:val="24"/>
              </w:rPr>
              <w:t>3.获得地市级的，每项得0.1分；</w:t>
            </w:r>
          </w:p>
          <w:p w14:paraId="1748E28C">
            <w:pPr>
              <w:spacing w:line="400" w:lineRule="exact"/>
              <w:rPr>
                <w:rFonts w:asciiTheme="minorEastAsia" w:hAnsiTheme="minorEastAsia" w:eastAsiaTheme="minorEastAsia" w:cstheme="minorEastAsia"/>
                <w:szCs w:val="24"/>
              </w:rPr>
            </w:pPr>
            <w:r>
              <w:rPr>
                <w:rFonts w:asciiTheme="minorEastAsia" w:hAnsiTheme="minorEastAsia" w:eastAsiaTheme="minorEastAsia" w:cstheme="minorEastAsia"/>
                <w:szCs w:val="24"/>
              </w:rPr>
              <w:t>以上奖项均未获得的，不予计分。</w:t>
            </w:r>
          </w:p>
          <w:p w14:paraId="6227D3B9">
            <w:pPr>
              <w:spacing w:line="340" w:lineRule="exact"/>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zCs w:val="24"/>
              </w:rPr>
              <w:t>4.本项最高得5分。</w:t>
            </w:r>
          </w:p>
        </w:tc>
        <w:tc>
          <w:tcPr>
            <w:tcW w:w="4509" w:type="dxa"/>
            <w:vAlign w:val="center"/>
          </w:tcPr>
          <w:p w14:paraId="2CF24942">
            <w:pPr>
              <w:pStyle w:val="8"/>
              <w:wordWrap w:val="0"/>
              <w:adjustRightInd w:val="0"/>
              <w:snapToGrid w:val="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注：①颁发单位包括行政区政府、建设行政主管部门或行业协会（学会）；②获奖时间以获奖证书颁发时间或网上公示获奖时间为准；③需提供获奖证书原件扫描件或网上公示获奖页面截图凭证，得奖项目按高分项只计算一次、不重复计分。】</w:t>
            </w:r>
          </w:p>
        </w:tc>
      </w:tr>
      <w:tr w14:paraId="1916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jc w:val="center"/>
        </w:trPr>
        <w:tc>
          <w:tcPr>
            <w:tcW w:w="456" w:type="dxa"/>
            <w:vMerge w:val="continue"/>
            <w:vAlign w:val="center"/>
          </w:tcPr>
          <w:p w14:paraId="71A8F419">
            <w:pPr>
              <w:widowControl/>
              <w:jc w:val="center"/>
              <w:rPr>
                <w:rFonts w:asciiTheme="minorEastAsia" w:hAnsiTheme="minorEastAsia" w:eastAsiaTheme="minorEastAsia" w:cstheme="minorEastAsia"/>
                <w:kern w:val="0"/>
                <w:szCs w:val="24"/>
              </w:rPr>
            </w:pPr>
          </w:p>
        </w:tc>
        <w:tc>
          <w:tcPr>
            <w:tcW w:w="633" w:type="dxa"/>
            <w:vMerge w:val="continue"/>
            <w:vAlign w:val="center"/>
          </w:tcPr>
          <w:p w14:paraId="79A956FE">
            <w:pPr>
              <w:widowControl/>
              <w:jc w:val="center"/>
              <w:rPr>
                <w:rFonts w:asciiTheme="minorEastAsia" w:hAnsiTheme="minorEastAsia" w:eastAsiaTheme="minorEastAsia" w:cstheme="minorEastAsia"/>
                <w:kern w:val="0"/>
                <w:szCs w:val="24"/>
              </w:rPr>
            </w:pPr>
          </w:p>
        </w:tc>
        <w:tc>
          <w:tcPr>
            <w:tcW w:w="533" w:type="dxa"/>
            <w:vMerge w:val="continue"/>
            <w:vAlign w:val="center"/>
          </w:tcPr>
          <w:p w14:paraId="707B4E79">
            <w:pPr>
              <w:widowControl/>
              <w:jc w:val="center"/>
              <w:rPr>
                <w:rFonts w:asciiTheme="minorEastAsia" w:hAnsiTheme="minorEastAsia" w:eastAsiaTheme="minorEastAsia" w:cstheme="minorEastAsia"/>
                <w:kern w:val="0"/>
                <w:szCs w:val="24"/>
              </w:rPr>
            </w:pPr>
          </w:p>
        </w:tc>
        <w:tc>
          <w:tcPr>
            <w:tcW w:w="867" w:type="dxa"/>
            <w:vAlign w:val="center"/>
          </w:tcPr>
          <w:p w14:paraId="457E7011">
            <w:pPr>
              <w:spacing w:line="320" w:lineRule="exact"/>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企业业绩</w:t>
            </w:r>
          </w:p>
          <w:p w14:paraId="1E9E1C9C">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（3分）</w:t>
            </w:r>
          </w:p>
        </w:tc>
        <w:tc>
          <w:tcPr>
            <w:tcW w:w="2917" w:type="dxa"/>
            <w:vAlign w:val="center"/>
          </w:tcPr>
          <w:p w14:paraId="32BC5DBF">
            <w:pPr>
              <w:widowControl/>
              <w:jc w:val="left"/>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企业</w:t>
            </w:r>
            <w:r>
              <w:rPr>
                <w:rFonts w:asciiTheme="minorEastAsia" w:hAnsiTheme="minorEastAsia" w:eastAsiaTheme="minorEastAsia" w:cstheme="minorEastAsia"/>
                <w:szCs w:val="24"/>
              </w:rPr>
              <w:t>2020</w:t>
            </w:r>
            <w:r>
              <w:rPr>
                <w:rFonts w:asciiTheme="minorEastAsia" w:hAnsiTheme="minorEastAsia" w:eastAsiaTheme="minorEastAsia" w:cstheme="minorEastAsia"/>
                <w:kern w:val="0"/>
                <w:szCs w:val="24"/>
              </w:rPr>
              <w:t>年 1月 1日至今工程类项目业绩情况：</w:t>
            </w:r>
          </w:p>
          <w:p w14:paraId="7F653064">
            <w:pPr>
              <w:widowControl/>
              <w:jc w:val="left"/>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1.承接过工程类项目的，每个得0.5分；</w:t>
            </w:r>
          </w:p>
          <w:p w14:paraId="67FE5B85">
            <w:pPr>
              <w:widowControl/>
              <w:jc w:val="left"/>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2.未承接过工程类项目的，不予计分；</w:t>
            </w:r>
          </w:p>
          <w:p w14:paraId="2409EC70">
            <w:pPr>
              <w:widowControl/>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kern w:val="0"/>
                <w:szCs w:val="24"/>
              </w:rPr>
              <w:t>本项最多得3分。</w:t>
            </w:r>
          </w:p>
        </w:tc>
        <w:tc>
          <w:tcPr>
            <w:tcW w:w="4509" w:type="dxa"/>
            <w:vAlign w:val="center"/>
          </w:tcPr>
          <w:p w14:paraId="2BC0467A">
            <w:pPr>
              <w:pStyle w:val="8"/>
              <w:wordWrap w:val="0"/>
              <w:adjustRightInd w:val="0"/>
              <w:snapToGrid w:val="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w:t>
            </w:r>
            <w:r>
              <w:rPr>
                <w:rFonts w:asciiTheme="minorEastAsia" w:hAnsiTheme="minorEastAsia" w:eastAsiaTheme="minorEastAsia" w:cstheme="minorEastAsia"/>
                <w:kern w:val="0"/>
                <w:szCs w:val="24"/>
              </w:rPr>
              <w:t>工程类</w:t>
            </w:r>
            <w:r>
              <w:rPr>
                <w:rFonts w:asciiTheme="minorEastAsia" w:hAnsiTheme="minorEastAsia" w:eastAsiaTheme="minorEastAsia" w:cstheme="minorEastAsia"/>
                <w:snapToGrid w:val="0"/>
                <w:kern w:val="0"/>
                <w:szCs w:val="24"/>
              </w:rPr>
              <w:t>项目指：工程类设计项目（含设计，勘察设计，勘察设计施工总承包项目）。</w:t>
            </w:r>
          </w:p>
          <w:p w14:paraId="0A5C7C3B">
            <w:pPr>
              <w:pStyle w:val="8"/>
              <w:wordWrap w:val="0"/>
              <w:adjustRightInd w:val="0"/>
              <w:snapToGrid w:val="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注：①有效业绩时间以合同签订的时间为准，一个合同为1项业绩，不可重复计分；②提供的合同关键页能反映设计建筑面积等主要内容和合同双方盖章页；③有效业绩需同时提供竣工验收报告。以上资料未提供齐全不得分】</w:t>
            </w:r>
          </w:p>
        </w:tc>
      </w:tr>
      <w:tr w14:paraId="0190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dxa"/>
            <w:vMerge w:val="continue"/>
            <w:vAlign w:val="center"/>
          </w:tcPr>
          <w:p w14:paraId="155CFB27">
            <w:pPr>
              <w:widowControl/>
              <w:jc w:val="center"/>
              <w:rPr>
                <w:rFonts w:asciiTheme="minorEastAsia" w:hAnsiTheme="minorEastAsia" w:eastAsiaTheme="minorEastAsia" w:cstheme="minorEastAsia"/>
                <w:kern w:val="0"/>
                <w:szCs w:val="24"/>
              </w:rPr>
            </w:pPr>
          </w:p>
        </w:tc>
        <w:tc>
          <w:tcPr>
            <w:tcW w:w="633" w:type="dxa"/>
            <w:vMerge w:val="continue"/>
            <w:vAlign w:val="center"/>
          </w:tcPr>
          <w:p w14:paraId="2B1BBE77">
            <w:pPr>
              <w:widowControl/>
              <w:jc w:val="center"/>
              <w:rPr>
                <w:rFonts w:asciiTheme="minorEastAsia" w:hAnsiTheme="minorEastAsia" w:eastAsiaTheme="minorEastAsia" w:cstheme="minorEastAsia"/>
                <w:kern w:val="0"/>
                <w:szCs w:val="24"/>
              </w:rPr>
            </w:pPr>
          </w:p>
        </w:tc>
        <w:tc>
          <w:tcPr>
            <w:tcW w:w="533" w:type="dxa"/>
            <w:vMerge w:val="continue"/>
            <w:vAlign w:val="center"/>
          </w:tcPr>
          <w:p w14:paraId="6266B704">
            <w:pPr>
              <w:widowControl/>
              <w:jc w:val="center"/>
              <w:rPr>
                <w:rFonts w:asciiTheme="minorEastAsia" w:hAnsiTheme="minorEastAsia" w:eastAsiaTheme="minorEastAsia" w:cstheme="minorEastAsia"/>
                <w:kern w:val="0"/>
                <w:szCs w:val="24"/>
              </w:rPr>
            </w:pPr>
          </w:p>
        </w:tc>
        <w:tc>
          <w:tcPr>
            <w:tcW w:w="867" w:type="dxa"/>
            <w:vAlign w:val="center"/>
          </w:tcPr>
          <w:p w14:paraId="198801DA">
            <w:pPr>
              <w:pStyle w:val="8"/>
              <w:wordWrap w:val="0"/>
              <w:adjustRightInd w:val="0"/>
              <w:snapToGrid w:val="0"/>
              <w:spacing w:line="320" w:lineRule="exact"/>
              <w:jc w:val="cente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设计单位拟委派人员情况</w:t>
            </w:r>
          </w:p>
          <w:p w14:paraId="11BBC32B">
            <w:pPr>
              <w:wordWrap w:val="0"/>
              <w:adjustRightInd w:val="0"/>
              <w:snapToGrid w:val="0"/>
              <w:spacing w:line="360" w:lineRule="auto"/>
              <w:jc w:val="left"/>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（5分）</w:t>
            </w:r>
          </w:p>
        </w:tc>
        <w:tc>
          <w:tcPr>
            <w:tcW w:w="2917" w:type="dxa"/>
            <w:vAlign w:val="center"/>
          </w:tcPr>
          <w:p w14:paraId="6B3AFA39">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企业拟派项目负责人：</w:t>
            </w:r>
          </w:p>
          <w:p w14:paraId="509E3FFD">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具有市政工程相关专业高级工程师或以上职称的，得 2分；</w:t>
            </w:r>
          </w:p>
          <w:p w14:paraId="62099A4F">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具有市政工程相关专业工程师职称的，得 0.5分；</w:t>
            </w:r>
          </w:p>
          <w:p w14:paraId="2571BAE4">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本小项最高得 2分。</w:t>
            </w:r>
          </w:p>
          <w:p w14:paraId="171B8FC7">
            <w:pPr>
              <w:spacing w:line="340" w:lineRule="exact"/>
              <w:jc w:val="left"/>
              <w:rPr>
                <w:rFonts w:asciiTheme="minorEastAsia" w:hAnsiTheme="minorEastAsia" w:eastAsiaTheme="minorEastAsia" w:cstheme="minorEastAsia"/>
                <w:szCs w:val="24"/>
              </w:rPr>
            </w:pPr>
          </w:p>
          <w:p w14:paraId="17677BB2">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企业拟投入本项目各专业负责人：</w:t>
            </w:r>
          </w:p>
          <w:p w14:paraId="78010A31">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1.各专业（建筑、给排水、造价），具有高级工程师或以上职称证书和本专业注册证书的，每个得1分；</w:t>
            </w:r>
          </w:p>
          <w:p w14:paraId="5AF0F249">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2.具有工程师职称证书和本专业注册证书的，每个得0.5分；</w:t>
            </w:r>
          </w:p>
          <w:p w14:paraId="688BB75B">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注：1.同专业人员不重复计分。</w:t>
            </w:r>
          </w:p>
          <w:p w14:paraId="5305F9EB">
            <w:pPr>
              <w:spacing w:line="340" w:lineRule="exact"/>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zCs w:val="24"/>
              </w:rPr>
              <w:t>2.本项最高得3分。</w:t>
            </w:r>
          </w:p>
        </w:tc>
        <w:tc>
          <w:tcPr>
            <w:tcW w:w="4509" w:type="dxa"/>
            <w:vAlign w:val="center"/>
          </w:tcPr>
          <w:p w14:paraId="2751A0BD">
            <w:pPr>
              <w:spacing w:line="340" w:lineRule="exact"/>
              <w:jc w:val="lef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zCs w:val="24"/>
              </w:rPr>
              <w:t>（1）投标人在上述人员中分别投入1名负责人，各负责人不得为同一人，且与项目负责人、设计负责人不为同一人；（2）提供相关证书扫描件及投标人（或其非独立法人分支机构）为拟派人员</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在本单位缴纳社保的证明（至少3个月，其中必须中2025年</w:t>
            </w:r>
            <w:r>
              <w:rPr>
                <w:rFonts w:hint="eastAsia" w:asciiTheme="minorEastAsia" w:hAnsiTheme="minorEastAsia" w:eastAsiaTheme="minorEastAsia" w:cstheme="minorEastAsia"/>
                <w:snapToGrid w:val="0"/>
                <w:color w:val="000000" w:themeColor="text1"/>
                <w:kern w:val="0"/>
                <w:szCs w:val="24"/>
                <w:lang w:val="en-US" w:eastAsia="zh-CN"/>
                <w14:textFill>
                  <w14:solidFill>
                    <w14:schemeClr w14:val="tx1"/>
                  </w14:solidFill>
                </w14:textFill>
              </w:rPr>
              <w:t>3</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w:t>
            </w:r>
            <w:r>
              <w:rPr>
                <w:rFonts w:asciiTheme="minorEastAsia" w:hAnsiTheme="minorEastAsia" w:eastAsiaTheme="minorEastAsia" w:cstheme="minorEastAsia"/>
                <w:szCs w:val="24"/>
              </w:rPr>
              <w:t>的社保证明材料并加盖投标人公章作为评审依据，不提供不得分；（3）如是注册人员，须同时提供该人员在全国建筑市场监管公共服务平台（http://jzsc.mohurd.gov.cn/home)的注册信息截图并加盖投标人公章作为评审依据，不提供不得分；（4）根据原人事部、原建设部发布的《造价工程师执业资格制度暂行规定》（人发【1996】77号）取得的造价工程师执业资格，并经注册且在有效期内的，等同于一级注册造价工程师。</w:t>
            </w:r>
          </w:p>
        </w:tc>
      </w:tr>
      <w:tr w14:paraId="09F9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456" w:type="dxa"/>
            <w:vMerge w:val="continue"/>
            <w:vAlign w:val="center"/>
          </w:tcPr>
          <w:p w14:paraId="12953892">
            <w:pPr>
              <w:widowControl/>
              <w:jc w:val="center"/>
              <w:rPr>
                <w:rFonts w:asciiTheme="minorEastAsia" w:hAnsiTheme="minorEastAsia" w:eastAsiaTheme="minorEastAsia" w:cstheme="minorEastAsia"/>
                <w:kern w:val="0"/>
                <w:szCs w:val="24"/>
              </w:rPr>
            </w:pPr>
          </w:p>
        </w:tc>
        <w:tc>
          <w:tcPr>
            <w:tcW w:w="633" w:type="dxa"/>
            <w:vMerge w:val="continue"/>
            <w:vAlign w:val="center"/>
          </w:tcPr>
          <w:p w14:paraId="01A7F270">
            <w:pPr>
              <w:widowControl/>
              <w:jc w:val="center"/>
              <w:rPr>
                <w:rFonts w:asciiTheme="minorEastAsia" w:hAnsiTheme="minorEastAsia" w:eastAsiaTheme="minorEastAsia" w:cstheme="minorEastAsia"/>
                <w:kern w:val="0"/>
                <w:szCs w:val="24"/>
              </w:rPr>
            </w:pPr>
          </w:p>
        </w:tc>
        <w:tc>
          <w:tcPr>
            <w:tcW w:w="533" w:type="dxa"/>
            <w:vMerge w:val="continue"/>
            <w:vAlign w:val="center"/>
          </w:tcPr>
          <w:p w14:paraId="230C76E9">
            <w:pPr>
              <w:widowControl/>
              <w:jc w:val="center"/>
              <w:rPr>
                <w:rFonts w:asciiTheme="minorEastAsia" w:hAnsiTheme="minorEastAsia" w:eastAsiaTheme="minorEastAsia" w:cstheme="minorEastAsia"/>
                <w:kern w:val="0"/>
                <w:szCs w:val="24"/>
              </w:rPr>
            </w:pPr>
          </w:p>
        </w:tc>
        <w:tc>
          <w:tcPr>
            <w:tcW w:w="867" w:type="dxa"/>
            <w:vAlign w:val="center"/>
          </w:tcPr>
          <w:p w14:paraId="303A9E07">
            <w:pPr>
              <w:spacing w:line="320" w:lineRule="exact"/>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企业管理 </w:t>
            </w:r>
          </w:p>
          <w:p w14:paraId="53CD43EA">
            <w:pPr>
              <w:spacing w:line="320" w:lineRule="exact"/>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体系认证</w:t>
            </w:r>
          </w:p>
          <w:p w14:paraId="04B34BE4">
            <w:pPr>
              <w:widowControl/>
              <w:tabs>
                <w:tab w:val="left" w:pos="7020"/>
              </w:tabs>
              <w:spacing w:line="400" w:lineRule="exact"/>
              <w:jc w:val="left"/>
              <w:textAlignment w:val="baseline"/>
              <w:rPr>
                <w:rFonts w:asciiTheme="minorEastAsia" w:hAnsiTheme="minorEastAsia" w:eastAsiaTheme="minorEastAsia" w:cstheme="minorEastAsia"/>
                <w:szCs w:val="24"/>
              </w:rPr>
            </w:pPr>
            <w:r>
              <w:rPr>
                <w:rFonts w:asciiTheme="minorEastAsia" w:hAnsiTheme="minorEastAsia" w:eastAsiaTheme="minorEastAsia" w:cstheme="minorEastAsia"/>
                <w:szCs w:val="24"/>
              </w:rPr>
              <w:t>（2分）</w:t>
            </w:r>
          </w:p>
        </w:tc>
        <w:tc>
          <w:tcPr>
            <w:tcW w:w="2917" w:type="dxa"/>
            <w:vAlign w:val="center"/>
          </w:tcPr>
          <w:p w14:paraId="6D73222C">
            <w:pPr>
              <w:pStyle w:val="8"/>
              <w:wordWrap w:val="0"/>
              <w:adjustRightInd w:val="0"/>
              <w:snapToGrid w:val="0"/>
              <w:rPr>
                <w:rFonts w:asciiTheme="minorEastAsia" w:hAnsiTheme="minorEastAsia" w:eastAsiaTheme="minorEastAsia" w:cstheme="minorEastAsia"/>
                <w:bCs/>
                <w:szCs w:val="24"/>
              </w:rPr>
            </w:pPr>
            <w:r>
              <w:rPr>
                <w:rFonts w:asciiTheme="minorEastAsia" w:hAnsiTheme="minorEastAsia" w:eastAsiaTheme="minorEastAsia" w:cstheme="minorEastAsia"/>
                <w:kern w:val="0"/>
                <w:szCs w:val="24"/>
              </w:rPr>
              <w:t>质量管理体系认证、职业健康安全管理体系认证、环境管理体系认证、每缺少一项扣1分，本项最高得2分； 未获得以上认证的，不予计分。</w:t>
            </w:r>
          </w:p>
        </w:tc>
        <w:tc>
          <w:tcPr>
            <w:tcW w:w="4509" w:type="dxa"/>
            <w:vAlign w:val="center"/>
          </w:tcPr>
          <w:p w14:paraId="74F2E299">
            <w:pPr>
              <w:pStyle w:val="8"/>
              <w:wordWrap w:val="0"/>
              <w:adjustRightInd w:val="0"/>
              <w:snapToGrid w:val="0"/>
              <w:spacing w:line="32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1.需附在有效期内的认证证书彩色扫描件，并加盖投标人公章。</w:t>
            </w:r>
          </w:p>
          <w:p w14:paraId="24EC0816">
            <w:pPr>
              <w:pStyle w:val="8"/>
              <w:wordWrap w:val="0"/>
              <w:adjustRightInd w:val="0"/>
              <w:snapToGrid w:val="0"/>
              <w:spacing w:line="32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2.任一认证证书有以下情形之一的，该认证证书视为无效，不予计分：</w:t>
            </w:r>
          </w:p>
          <w:p w14:paraId="0DFEFB41">
            <w:pPr>
              <w:wordWrap w:val="0"/>
              <w:topLinePunct/>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napToGrid w:val="0"/>
                <w:kern w:val="0"/>
                <w:szCs w:val="24"/>
              </w:rPr>
              <w:t>①认证证书不在有效期内的。</w:t>
            </w:r>
          </w:p>
        </w:tc>
      </w:tr>
      <w:tr w14:paraId="2FD6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jc w:val="center"/>
        </w:trPr>
        <w:tc>
          <w:tcPr>
            <w:tcW w:w="456" w:type="dxa"/>
            <w:vMerge w:val="continue"/>
            <w:vAlign w:val="center"/>
          </w:tcPr>
          <w:p w14:paraId="4701153A">
            <w:pPr>
              <w:widowControl/>
              <w:jc w:val="center"/>
              <w:rPr>
                <w:rFonts w:asciiTheme="minorEastAsia" w:hAnsiTheme="minorEastAsia" w:eastAsiaTheme="minorEastAsia" w:cstheme="minorEastAsia"/>
                <w:kern w:val="0"/>
                <w:szCs w:val="24"/>
              </w:rPr>
            </w:pPr>
          </w:p>
        </w:tc>
        <w:tc>
          <w:tcPr>
            <w:tcW w:w="633" w:type="dxa"/>
            <w:vMerge w:val="continue"/>
            <w:vAlign w:val="center"/>
          </w:tcPr>
          <w:p w14:paraId="0F98367A">
            <w:pPr>
              <w:widowControl/>
              <w:jc w:val="center"/>
              <w:rPr>
                <w:rFonts w:asciiTheme="minorEastAsia" w:hAnsiTheme="minorEastAsia" w:eastAsiaTheme="minorEastAsia" w:cstheme="minorEastAsia"/>
                <w:kern w:val="0"/>
                <w:szCs w:val="24"/>
              </w:rPr>
            </w:pPr>
          </w:p>
        </w:tc>
        <w:tc>
          <w:tcPr>
            <w:tcW w:w="533" w:type="dxa"/>
            <w:vMerge w:val="continue"/>
            <w:vAlign w:val="center"/>
          </w:tcPr>
          <w:p w14:paraId="5D6EA914">
            <w:pPr>
              <w:widowControl/>
              <w:jc w:val="center"/>
              <w:rPr>
                <w:rFonts w:asciiTheme="minorEastAsia" w:hAnsiTheme="minorEastAsia" w:eastAsiaTheme="minorEastAsia" w:cstheme="minorEastAsia"/>
                <w:kern w:val="0"/>
                <w:szCs w:val="24"/>
              </w:rPr>
            </w:pPr>
          </w:p>
        </w:tc>
        <w:tc>
          <w:tcPr>
            <w:tcW w:w="867" w:type="dxa"/>
            <w:vAlign w:val="center"/>
          </w:tcPr>
          <w:p w14:paraId="79595E65">
            <w:pPr>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kern w:val="0"/>
                <w:szCs w:val="24"/>
              </w:rPr>
              <w:t>科技创新先进企业（满分5分）</w:t>
            </w:r>
          </w:p>
          <w:p w14:paraId="74874BBD">
            <w:pPr>
              <w:wordWrap w:val="0"/>
              <w:adjustRightInd w:val="0"/>
              <w:snapToGrid w:val="0"/>
              <w:spacing w:line="400" w:lineRule="exact"/>
              <w:rPr>
                <w:rFonts w:asciiTheme="minorEastAsia" w:hAnsiTheme="minorEastAsia" w:eastAsiaTheme="minorEastAsia" w:cstheme="minorEastAsia"/>
                <w:szCs w:val="24"/>
              </w:rPr>
            </w:pPr>
          </w:p>
        </w:tc>
        <w:tc>
          <w:tcPr>
            <w:tcW w:w="2917" w:type="dxa"/>
            <w:vAlign w:val="center"/>
          </w:tcPr>
          <w:p w14:paraId="05718607">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kern w:val="0"/>
                <w:szCs w:val="24"/>
              </w:rPr>
              <w:t>企业连续5年或以上获得过省级或以上土木建筑学会颁发的科技创新先进企业证书的</w:t>
            </w:r>
            <w:r>
              <w:rPr>
                <w:rFonts w:asciiTheme="minorEastAsia" w:hAnsiTheme="minorEastAsia" w:eastAsiaTheme="minorEastAsia" w:cstheme="minorEastAsia"/>
                <w:szCs w:val="24"/>
              </w:rPr>
              <w:t>得5分。</w:t>
            </w:r>
          </w:p>
          <w:p w14:paraId="6F2F7176">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注：1.本小项最高得5分。</w:t>
            </w:r>
          </w:p>
          <w:p w14:paraId="0A20C18B">
            <w:pPr>
              <w:spacing w:line="360" w:lineRule="auto"/>
              <w:rPr>
                <w:rFonts w:asciiTheme="minorEastAsia" w:hAnsiTheme="minorEastAsia" w:eastAsiaTheme="minorEastAsia" w:cstheme="minorEastAsia"/>
                <w:kern w:val="0"/>
                <w:szCs w:val="24"/>
              </w:rPr>
            </w:pPr>
            <w:r>
              <w:rPr>
                <w:rFonts w:asciiTheme="minorEastAsia" w:hAnsiTheme="minorEastAsia" w:eastAsiaTheme="minorEastAsia" w:cstheme="minorEastAsia"/>
                <w:szCs w:val="24"/>
              </w:rPr>
              <w:t>2.(须含2024年度)。</w:t>
            </w:r>
          </w:p>
        </w:tc>
        <w:tc>
          <w:tcPr>
            <w:tcW w:w="4509" w:type="dxa"/>
            <w:vAlign w:val="center"/>
          </w:tcPr>
          <w:p w14:paraId="25ADA6C6">
            <w:pPr>
              <w:pStyle w:val="8"/>
              <w:wordWrap w:val="0"/>
              <w:snapToGrid w:val="0"/>
              <w:spacing w:line="360" w:lineRule="auto"/>
              <w:rPr>
                <w:rFonts w:asciiTheme="minorEastAsia" w:hAnsiTheme="minorEastAsia" w:eastAsiaTheme="minorEastAsia" w:cstheme="minorEastAsia"/>
                <w:szCs w:val="24"/>
                <w:shd w:val="clear" w:color="auto" w:fill="FFFFFF"/>
              </w:rPr>
            </w:pPr>
            <w:r>
              <w:rPr>
                <w:rFonts w:asciiTheme="minorEastAsia" w:hAnsiTheme="minorEastAsia" w:eastAsiaTheme="minorEastAsia" w:cstheme="minorEastAsia"/>
                <w:szCs w:val="24"/>
                <w:shd w:val="clear" w:color="auto" w:fill="FFFFFF"/>
              </w:rPr>
              <w:t>1. 需附相关网站公示页面或公告页面。</w:t>
            </w:r>
          </w:p>
          <w:p w14:paraId="11E3B307">
            <w:pPr>
              <w:pStyle w:val="8"/>
              <w:wordWrap w:val="0"/>
              <w:snapToGrid w:val="0"/>
              <w:spacing w:line="360" w:lineRule="auto"/>
              <w:rPr>
                <w:rFonts w:asciiTheme="minorEastAsia" w:hAnsiTheme="minorEastAsia" w:eastAsiaTheme="minorEastAsia" w:cstheme="minorEastAsia"/>
                <w:szCs w:val="24"/>
                <w:shd w:val="clear" w:color="auto" w:fill="FFFFFF"/>
              </w:rPr>
            </w:pPr>
            <w:r>
              <w:rPr>
                <w:rFonts w:asciiTheme="minorEastAsia" w:hAnsiTheme="minorEastAsia" w:eastAsiaTheme="minorEastAsia" w:cstheme="minorEastAsia"/>
                <w:szCs w:val="24"/>
                <w:shd w:val="clear" w:color="auto" w:fill="FFFFFF"/>
              </w:rPr>
              <w:t>2. 证书须由省级或以上土木建筑学会颁发。</w:t>
            </w:r>
          </w:p>
          <w:p w14:paraId="6757D6C0">
            <w:pPr>
              <w:spacing w:line="360" w:lineRule="auto"/>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shd w:val="clear" w:color="auto" w:fill="FFFFFF"/>
              </w:rPr>
              <w:t>3. 未提供原件的；颁发机构、荣誉称号、获奖时间不符合评分标准的，不予得分。</w:t>
            </w:r>
          </w:p>
        </w:tc>
      </w:tr>
      <w:tr w14:paraId="016B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jc w:val="center"/>
        </w:trPr>
        <w:tc>
          <w:tcPr>
            <w:tcW w:w="456" w:type="dxa"/>
            <w:vMerge w:val="continue"/>
            <w:vAlign w:val="center"/>
          </w:tcPr>
          <w:p w14:paraId="532C5DD7">
            <w:pPr>
              <w:widowControl/>
              <w:jc w:val="center"/>
              <w:rPr>
                <w:rFonts w:asciiTheme="minorEastAsia" w:hAnsiTheme="minorEastAsia" w:eastAsiaTheme="minorEastAsia" w:cstheme="minorEastAsia"/>
                <w:kern w:val="0"/>
                <w:szCs w:val="24"/>
              </w:rPr>
            </w:pPr>
          </w:p>
        </w:tc>
        <w:tc>
          <w:tcPr>
            <w:tcW w:w="633" w:type="dxa"/>
            <w:vMerge w:val="continue"/>
            <w:vAlign w:val="center"/>
          </w:tcPr>
          <w:p w14:paraId="6818D147">
            <w:pPr>
              <w:widowControl/>
              <w:jc w:val="center"/>
              <w:rPr>
                <w:rFonts w:asciiTheme="minorEastAsia" w:hAnsiTheme="minorEastAsia" w:eastAsiaTheme="minorEastAsia" w:cstheme="minorEastAsia"/>
                <w:kern w:val="0"/>
                <w:szCs w:val="24"/>
              </w:rPr>
            </w:pPr>
          </w:p>
        </w:tc>
        <w:tc>
          <w:tcPr>
            <w:tcW w:w="533" w:type="dxa"/>
            <w:vMerge w:val="continue"/>
            <w:vAlign w:val="center"/>
          </w:tcPr>
          <w:p w14:paraId="1B217846">
            <w:pPr>
              <w:widowControl/>
              <w:jc w:val="center"/>
              <w:rPr>
                <w:rFonts w:asciiTheme="minorEastAsia" w:hAnsiTheme="minorEastAsia" w:eastAsiaTheme="minorEastAsia" w:cstheme="minorEastAsia"/>
                <w:kern w:val="0"/>
                <w:szCs w:val="24"/>
              </w:rPr>
            </w:pPr>
          </w:p>
        </w:tc>
        <w:tc>
          <w:tcPr>
            <w:tcW w:w="867" w:type="dxa"/>
            <w:vAlign w:val="center"/>
          </w:tcPr>
          <w:p w14:paraId="6E0FC2FC">
            <w:pPr>
              <w:pStyle w:val="8"/>
              <w:adjustRightInd w:val="0"/>
              <w:snapToGrid w:val="0"/>
              <w:spacing w:line="360" w:lineRule="auto"/>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szCs w:val="24"/>
              </w:rPr>
              <w:t>纳税信用（5分）</w:t>
            </w:r>
          </w:p>
        </w:tc>
        <w:tc>
          <w:tcPr>
            <w:tcW w:w="2917" w:type="dxa"/>
            <w:vAlign w:val="center"/>
          </w:tcPr>
          <w:p w14:paraId="6DB8282B">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kern w:val="0"/>
                <w:szCs w:val="24"/>
              </w:rPr>
              <w:t>企业</w:t>
            </w:r>
            <w:r>
              <w:rPr>
                <w:rFonts w:asciiTheme="minorEastAsia" w:hAnsiTheme="minorEastAsia" w:eastAsiaTheme="minorEastAsia" w:cstheme="minorEastAsia"/>
                <w:szCs w:val="24"/>
              </w:rPr>
              <w:t>获得纳税信用A级纳税人连续5年的得2分，超过5年，每连续增加一年加1分。</w:t>
            </w:r>
          </w:p>
          <w:p w14:paraId="4CE9E5BE">
            <w:pPr>
              <w:snapToGrid w:val="0"/>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注 ：1.本小项最高得5分。</w:t>
            </w:r>
          </w:p>
          <w:p w14:paraId="441F880F">
            <w:pPr>
              <w:snapToGrid w:val="0"/>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2.须含2023年度。</w:t>
            </w:r>
          </w:p>
        </w:tc>
        <w:tc>
          <w:tcPr>
            <w:tcW w:w="4509" w:type="dxa"/>
            <w:vAlign w:val="center"/>
          </w:tcPr>
          <w:p w14:paraId="08B37FB8">
            <w:pPr>
              <w:pStyle w:val="8"/>
              <w:wordWrap w:val="0"/>
              <w:adjustRightInd w:val="0"/>
              <w:snapToGrid w:val="0"/>
              <w:spacing w:line="360" w:lineRule="auto"/>
              <w:rPr>
                <w:rFonts w:asciiTheme="minorEastAsia" w:hAnsiTheme="minorEastAsia" w:eastAsiaTheme="minorEastAsia" w:cstheme="minorEastAsia"/>
                <w:kern w:val="0"/>
              </w:rPr>
            </w:pPr>
            <w:r>
              <w:rPr>
                <w:rFonts w:asciiTheme="minorEastAsia" w:hAnsiTheme="minorEastAsia" w:eastAsiaTheme="minorEastAsia" w:cstheme="minorEastAsia"/>
                <w:kern w:val="0"/>
                <w:szCs w:val="24"/>
              </w:rPr>
              <w:t>1、必须提供企业纳税信用A级纳税人证书</w:t>
            </w:r>
            <w:r>
              <w:rPr>
                <w:rFonts w:asciiTheme="minorEastAsia" w:hAnsiTheme="minorEastAsia" w:eastAsiaTheme="minorEastAsia" w:cstheme="minorEastAsia"/>
                <w:snapToGrid w:val="0"/>
                <w:kern w:val="0"/>
                <w:szCs w:val="24"/>
              </w:rPr>
              <w:t>彩色扫描件</w:t>
            </w:r>
            <w:r>
              <w:rPr>
                <w:rFonts w:asciiTheme="minorEastAsia" w:hAnsiTheme="minorEastAsia" w:eastAsiaTheme="minorEastAsia" w:cstheme="minorEastAsia"/>
                <w:kern w:val="0"/>
                <w:szCs w:val="24"/>
              </w:rPr>
              <w:t>及国家税务总局（或省级电子税务局）网上查询截图，否则不得分。</w:t>
            </w:r>
          </w:p>
          <w:p w14:paraId="69376845">
            <w:pPr>
              <w:spacing w:line="360" w:lineRule="auto"/>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kern w:val="0"/>
                <w:szCs w:val="24"/>
              </w:rPr>
              <w:t>2、只计算投标人自身（投标人的分公司、子公司及分支机构除外）。</w:t>
            </w:r>
          </w:p>
          <w:p w14:paraId="0DA80246">
            <w:pPr>
              <w:pStyle w:val="8"/>
              <w:widowControl/>
              <w:adjustRightInd w:val="0"/>
              <w:snapToGrid w:val="0"/>
              <w:spacing w:line="360" w:lineRule="auto"/>
              <w:rPr>
                <w:rFonts w:asciiTheme="minorEastAsia" w:hAnsiTheme="minorEastAsia" w:eastAsiaTheme="minorEastAsia" w:cstheme="minorEastAsia"/>
                <w:szCs w:val="24"/>
              </w:rPr>
            </w:pPr>
          </w:p>
        </w:tc>
      </w:tr>
      <w:tr w14:paraId="1EC3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9" w:hRule="atLeast"/>
          <w:jc w:val="center"/>
        </w:trPr>
        <w:tc>
          <w:tcPr>
            <w:tcW w:w="456" w:type="dxa"/>
            <w:vMerge w:val="restart"/>
            <w:vAlign w:val="center"/>
          </w:tcPr>
          <w:p w14:paraId="26F3F75D">
            <w:pPr>
              <w:widowControl/>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2</w:t>
            </w:r>
          </w:p>
        </w:tc>
        <w:tc>
          <w:tcPr>
            <w:tcW w:w="1166" w:type="dxa"/>
            <w:gridSpan w:val="2"/>
            <w:vMerge w:val="restart"/>
            <w:vAlign w:val="center"/>
          </w:tcPr>
          <w:p w14:paraId="7865817A">
            <w:pPr>
              <w:widowControl/>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b/>
                <w:bCs/>
                <w:kern w:val="0"/>
                <w:szCs w:val="24"/>
              </w:rPr>
              <w:t>技术部分，满分：20分。</w:t>
            </w:r>
          </w:p>
        </w:tc>
        <w:tc>
          <w:tcPr>
            <w:tcW w:w="867" w:type="dxa"/>
            <w:vAlign w:val="center"/>
          </w:tcPr>
          <w:p w14:paraId="692510BA">
            <w:pPr>
              <w:wordWrap w:val="0"/>
              <w:adjustRightInd w:val="0"/>
              <w:snapToGrid w:val="0"/>
              <w:spacing w:line="400" w:lineRule="exact"/>
              <w:rPr>
                <w:rFonts w:asciiTheme="minorEastAsia" w:hAnsiTheme="minorEastAsia" w:eastAsiaTheme="minorEastAsia" w:cstheme="minorEastAsia"/>
                <w:kern w:val="0"/>
                <w:szCs w:val="24"/>
              </w:rPr>
            </w:pPr>
            <w:r>
              <w:rPr>
                <w:rFonts w:asciiTheme="minorEastAsia" w:hAnsiTheme="minorEastAsia" w:eastAsiaTheme="minorEastAsia" w:cstheme="minorEastAsia"/>
                <w:spacing w:val="-2"/>
                <w:szCs w:val="24"/>
              </w:rPr>
              <w:t>项目设计重点、难点分析（8分）</w:t>
            </w:r>
          </w:p>
        </w:tc>
        <w:tc>
          <w:tcPr>
            <w:tcW w:w="7426" w:type="dxa"/>
            <w:gridSpan w:val="2"/>
            <w:vAlign w:val="center"/>
          </w:tcPr>
          <w:p w14:paraId="4DFFAB47">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对本招标项目的重点、难点的分析，以及相关应对措施：</w:t>
            </w:r>
          </w:p>
          <w:p w14:paraId="645A985C">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【优】对本招标项目的重点、难点的分析，以及相关应对措施描述详尽、透彻的得8.0分；</w:t>
            </w:r>
          </w:p>
          <w:p w14:paraId="0293EBE6">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【良】对本招标项目的重点、难点的分析，以及相关应对措施描述较详尽、较透彻的得7.5分；</w:t>
            </w:r>
          </w:p>
          <w:p w14:paraId="7FCD8E4C">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【合格】对本招标项目的重点、难点的分析，以及相关应对措施描述不够详尽、不够透彻的得7.0分；</w:t>
            </w:r>
          </w:p>
          <w:p w14:paraId="0BD8FF36">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pacing w:val="-2"/>
                <w:szCs w:val="24"/>
              </w:rPr>
              <w:t>无该项描述得0分。</w:t>
            </w:r>
          </w:p>
        </w:tc>
      </w:tr>
      <w:tr w14:paraId="3849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9" w:hRule="atLeast"/>
          <w:jc w:val="center"/>
        </w:trPr>
        <w:tc>
          <w:tcPr>
            <w:tcW w:w="456" w:type="dxa"/>
            <w:vMerge w:val="continue"/>
            <w:vAlign w:val="center"/>
          </w:tcPr>
          <w:p w14:paraId="4D0F819C">
            <w:pPr>
              <w:widowControl/>
              <w:jc w:val="center"/>
              <w:rPr>
                <w:rFonts w:asciiTheme="minorEastAsia" w:hAnsiTheme="minorEastAsia" w:eastAsiaTheme="minorEastAsia" w:cstheme="minorEastAsia"/>
                <w:kern w:val="0"/>
                <w:szCs w:val="24"/>
              </w:rPr>
            </w:pPr>
          </w:p>
        </w:tc>
        <w:tc>
          <w:tcPr>
            <w:tcW w:w="1166" w:type="dxa"/>
            <w:gridSpan w:val="2"/>
            <w:vMerge w:val="continue"/>
            <w:vAlign w:val="center"/>
          </w:tcPr>
          <w:p w14:paraId="66EC27B1">
            <w:pPr>
              <w:widowControl/>
              <w:jc w:val="center"/>
              <w:rPr>
                <w:rFonts w:asciiTheme="minorEastAsia" w:hAnsiTheme="minorEastAsia" w:eastAsiaTheme="minorEastAsia" w:cstheme="minorEastAsia"/>
                <w:kern w:val="0"/>
                <w:szCs w:val="24"/>
              </w:rPr>
            </w:pPr>
          </w:p>
        </w:tc>
        <w:tc>
          <w:tcPr>
            <w:tcW w:w="867" w:type="dxa"/>
            <w:vAlign w:val="center"/>
          </w:tcPr>
          <w:p w14:paraId="0CBBB255">
            <w:pPr>
              <w:wordWrap w:val="0"/>
              <w:adjustRightInd w:val="0"/>
              <w:snapToGrid w:val="0"/>
              <w:spacing w:line="400" w:lineRule="exact"/>
              <w:rPr>
                <w:rFonts w:asciiTheme="minorEastAsia" w:hAnsiTheme="minorEastAsia" w:eastAsiaTheme="minorEastAsia" w:cstheme="minorEastAsia"/>
                <w:kern w:val="0"/>
                <w:szCs w:val="24"/>
              </w:rPr>
            </w:pPr>
            <w:r>
              <w:rPr>
                <w:rFonts w:asciiTheme="minorEastAsia" w:hAnsiTheme="minorEastAsia" w:eastAsiaTheme="minorEastAsia" w:cstheme="minorEastAsia"/>
                <w:spacing w:val="-2"/>
                <w:szCs w:val="24"/>
              </w:rPr>
              <w:t>质量和进度保证措施（6分）</w:t>
            </w:r>
          </w:p>
        </w:tc>
        <w:tc>
          <w:tcPr>
            <w:tcW w:w="7426" w:type="dxa"/>
            <w:gridSpan w:val="2"/>
            <w:vAlign w:val="center"/>
          </w:tcPr>
          <w:p w14:paraId="17B5121E">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据投标人对质量和进度的保证措施及承诺进行评分：</w:t>
            </w:r>
          </w:p>
          <w:p w14:paraId="1884B4F6">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【优】对质量和进度的保证措施及承诺描述详尽、透彻的得6.0分；</w:t>
            </w:r>
          </w:p>
          <w:p w14:paraId="361EED5A">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【良】对质量和进度的保证措施及承诺描述较详尽、较透彻的得5.5分；</w:t>
            </w:r>
          </w:p>
          <w:p w14:paraId="5B846112">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【合格】对质量和进度的保证措施及承诺描述不够详尽、不够透彻的得5.0分；</w:t>
            </w:r>
          </w:p>
          <w:p w14:paraId="008CE568">
            <w:pPr>
              <w:spacing w:line="340" w:lineRule="exact"/>
              <w:jc w:val="left"/>
              <w:rPr>
                <w:rFonts w:asciiTheme="minorEastAsia" w:hAnsiTheme="minorEastAsia" w:eastAsiaTheme="minorEastAsia" w:cstheme="minorEastAsia"/>
                <w:szCs w:val="24"/>
              </w:rPr>
            </w:pPr>
            <w:r>
              <w:rPr>
                <w:rFonts w:asciiTheme="minorEastAsia" w:hAnsiTheme="minorEastAsia" w:eastAsiaTheme="minorEastAsia" w:cstheme="minorEastAsia"/>
                <w:spacing w:val="-2"/>
                <w:szCs w:val="24"/>
              </w:rPr>
              <w:t>无该项描述得0分。</w:t>
            </w:r>
          </w:p>
        </w:tc>
      </w:tr>
      <w:tr w14:paraId="41E4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jc w:val="center"/>
        </w:trPr>
        <w:tc>
          <w:tcPr>
            <w:tcW w:w="456" w:type="dxa"/>
            <w:vMerge w:val="continue"/>
            <w:vAlign w:val="center"/>
          </w:tcPr>
          <w:p w14:paraId="7448FA24">
            <w:pPr>
              <w:widowControl/>
              <w:jc w:val="center"/>
              <w:rPr>
                <w:rFonts w:asciiTheme="minorEastAsia" w:hAnsiTheme="minorEastAsia" w:eastAsiaTheme="minorEastAsia" w:cstheme="minorEastAsia"/>
                <w:kern w:val="0"/>
                <w:szCs w:val="24"/>
              </w:rPr>
            </w:pPr>
          </w:p>
        </w:tc>
        <w:tc>
          <w:tcPr>
            <w:tcW w:w="1166" w:type="dxa"/>
            <w:gridSpan w:val="2"/>
            <w:vMerge w:val="continue"/>
            <w:vAlign w:val="center"/>
          </w:tcPr>
          <w:p w14:paraId="2EB129CB">
            <w:pPr>
              <w:widowControl/>
              <w:jc w:val="center"/>
              <w:rPr>
                <w:rFonts w:asciiTheme="minorEastAsia" w:hAnsiTheme="minorEastAsia" w:eastAsiaTheme="minorEastAsia" w:cstheme="minorEastAsia"/>
                <w:kern w:val="0"/>
                <w:szCs w:val="24"/>
              </w:rPr>
            </w:pPr>
          </w:p>
        </w:tc>
        <w:tc>
          <w:tcPr>
            <w:tcW w:w="867" w:type="dxa"/>
            <w:vAlign w:val="center"/>
          </w:tcPr>
          <w:p w14:paraId="5D9D2E2E">
            <w:pPr>
              <w:wordWrap w:val="0"/>
              <w:adjustRightInd w:val="0"/>
              <w:snapToGrid w:val="0"/>
              <w:spacing w:line="400" w:lineRule="exact"/>
              <w:rPr>
                <w:rFonts w:asciiTheme="minorEastAsia" w:hAnsiTheme="minorEastAsia" w:eastAsiaTheme="minorEastAsia" w:cstheme="minorEastAsia"/>
                <w:kern w:val="0"/>
                <w:szCs w:val="24"/>
              </w:rPr>
            </w:pPr>
            <w:r>
              <w:rPr>
                <w:rFonts w:asciiTheme="minorEastAsia" w:hAnsiTheme="minorEastAsia" w:eastAsiaTheme="minorEastAsia" w:cstheme="minorEastAsia"/>
                <w:szCs w:val="24"/>
                <w:lang w:bidi="ar"/>
              </w:rPr>
              <w:t>安全控制措施</w:t>
            </w:r>
            <w:r>
              <w:rPr>
                <w:rFonts w:asciiTheme="minorEastAsia" w:hAnsiTheme="minorEastAsia" w:eastAsiaTheme="minorEastAsia" w:cstheme="minorEastAsia"/>
                <w:spacing w:val="-2"/>
                <w:szCs w:val="24"/>
              </w:rPr>
              <w:t>（6分）</w:t>
            </w:r>
          </w:p>
        </w:tc>
        <w:tc>
          <w:tcPr>
            <w:tcW w:w="7426" w:type="dxa"/>
            <w:gridSpan w:val="2"/>
            <w:vAlign w:val="center"/>
          </w:tcPr>
          <w:p w14:paraId="720187F4">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据投标人对</w:t>
            </w:r>
            <w:r>
              <w:rPr>
                <w:rFonts w:asciiTheme="minorEastAsia" w:hAnsiTheme="minorEastAsia" w:eastAsiaTheme="minorEastAsia" w:cstheme="minorEastAsia"/>
                <w:szCs w:val="24"/>
                <w:lang w:bidi="ar"/>
              </w:rPr>
              <w:t>安全控制措施</w:t>
            </w:r>
            <w:r>
              <w:rPr>
                <w:rFonts w:asciiTheme="minorEastAsia" w:hAnsiTheme="minorEastAsia" w:eastAsiaTheme="minorEastAsia" w:cstheme="minorEastAsia"/>
                <w:spacing w:val="-2"/>
                <w:szCs w:val="24"/>
              </w:rPr>
              <w:t>及承诺进行评分：</w:t>
            </w:r>
          </w:p>
          <w:p w14:paraId="3FC99566">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【优】对</w:t>
            </w:r>
            <w:r>
              <w:rPr>
                <w:rFonts w:asciiTheme="minorEastAsia" w:hAnsiTheme="minorEastAsia" w:eastAsiaTheme="minorEastAsia" w:cstheme="minorEastAsia"/>
                <w:szCs w:val="24"/>
                <w:lang w:bidi="ar"/>
              </w:rPr>
              <w:t>安全控制措施</w:t>
            </w:r>
            <w:r>
              <w:rPr>
                <w:rFonts w:asciiTheme="minorEastAsia" w:hAnsiTheme="minorEastAsia" w:eastAsiaTheme="minorEastAsia" w:cstheme="minorEastAsia"/>
                <w:spacing w:val="-2"/>
                <w:szCs w:val="24"/>
              </w:rPr>
              <w:t>及承诺描述详尽、透彻的得6.0分；</w:t>
            </w:r>
          </w:p>
          <w:p w14:paraId="33754A57">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【良】对</w:t>
            </w:r>
            <w:r>
              <w:rPr>
                <w:rFonts w:asciiTheme="minorEastAsia" w:hAnsiTheme="minorEastAsia" w:eastAsiaTheme="minorEastAsia" w:cstheme="minorEastAsia"/>
                <w:szCs w:val="24"/>
                <w:lang w:bidi="ar"/>
              </w:rPr>
              <w:t>安全控制措施</w:t>
            </w:r>
            <w:r>
              <w:rPr>
                <w:rFonts w:asciiTheme="minorEastAsia" w:hAnsiTheme="minorEastAsia" w:eastAsiaTheme="minorEastAsia" w:cstheme="minorEastAsia"/>
                <w:spacing w:val="-2"/>
                <w:szCs w:val="24"/>
              </w:rPr>
              <w:t>及承诺描述较详尽、较透彻的得5.5分；</w:t>
            </w:r>
          </w:p>
          <w:p w14:paraId="35B1AEBE">
            <w:pPr>
              <w:pStyle w:val="8"/>
              <w:wordWrap w:val="0"/>
              <w:autoSpaceDE w:val="0"/>
              <w:adjustRightInd w:val="0"/>
              <w:snapToGrid w:val="0"/>
              <w:spacing w:line="360" w:lineRule="auto"/>
              <w:jc w:val="left"/>
              <w:rPr>
                <w:rFonts w:asciiTheme="minorEastAsia" w:hAnsiTheme="minorEastAsia" w:eastAsiaTheme="minorEastAsia" w:cstheme="minorEastAsia"/>
                <w:spacing w:val="-2"/>
                <w:szCs w:val="24"/>
              </w:rPr>
            </w:pPr>
            <w:r>
              <w:rPr>
                <w:rFonts w:asciiTheme="minorEastAsia" w:hAnsiTheme="minorEastAsia" w:eastAsiaTheme="minorEastAsia" w:cstheme="minorEastAsia"/>
                <w:spacing w:val="-2"/>
                <w:szCs w:val="24"/>
              </w:rPr>
              <w:t>【合格】对</w:t>
            </w:r>
            <w:r>
              <w:rPr>
                <w:rFonts w:asciiTheme="minorEastAsia" w:hAnsiTheme="minorEastAsia" w:eastAsiaTheme="minorEastAsia" w:cstheme="minorEastAsia"/>
                <w:szCs w:val="24"/>
                <w:lang w:bidi="ar"/>
              </w:rPr>
              <w:t>安全控制措施</w:t>
            </w:r>
            <w:r>
              <w:rPr>
                <w:rFonts w:asciiTheme="minorEastAsia" w:hAnsiTheme="minorEastAsia" w:eastAsiaTheme="minorEastAsia" w:cstheme="minorEastAsia"/>
                <w:spacing w:val="-2"/>
                <w:szCs w:val="24"/>
              </w:rPr>
              <w:t>及承诺描述不够详尽、不够透彻的得5.0分；</w:t>
            </w:r>
          </w:p>
          <w:p w14:paraId="7C897F45">
            <w:pPr>
              <w:pStyle w:val="8"/>
              <w:wordWrap w:val="0"/>
              <w:autoSpaceDE w:val="0"/>
              <w:adjustRightInd w:val="0"/>
              <w:snapToGrid w:val="0"/>
              <w:spacing w:line="360" w:lineRule="auto"/>
              <w:jc w:val="left"/>
              <w:rPr>
                <w:rFonts w:asciiTheme="minorEastAsia" w:hAnsiTheme="minorEastAsia" w:eastAsiaTheme="minorEastAsia" w:cstheme="minorEastAsia"/>
                <w:szCs w:val="24"/>
              </w:rPr>
            </w:pPr>
            <w:r>
              <w:rPr>
                <w:rFonts w:asciiTheme="minorEastAsia" w:hAnsiTheme="minorEastAsia" w:eastAsiaTheme="minorEastAsia" w:cstheme="minorEastAsia"/>
                <w:spacing w:val="-2"/>
                <w:szCs w:val="24"/>
              </w:rPr>
              <w:t>无该项描述得0分。</w:t>
            </w:r>
          </w:p>
        </w:tc>
      </w:tr>
      <w:tr w14:paraId="0711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0" w:hRule="atLeast"/>
          <w:jc w:val="center"/>
        </w:trPr>
        <w:tc>
          <w:tcPr>
            <w:tcW w:w="456" w:type="dxa"/>
            <w:vMerge w:val="restart"/>
            <w:vAlign w:val="center"/>
          </w:tcPr>
          <w:p w14:paraId="728A3989">
            <w:pPr>
              <w:widowControl/>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3</w:t>
            </w:r>
          </w:p>
        </w:tc>
        <w:tc>
          <w:tcPr>
            <w:tcW w:w="633" w:type="dxa"/>
            <w:vMerge w:val="restart"/>
            <w:vAlign w:val="center"/>
          </w:tcPr>
          <w:p w14:paraId="3BCE35B4">
            <w:pPr>
              <w:pStyle w:val="8"/>
              <w:spacing w:line="360" w:lineRule="exact"/>
              <w:jc w:val="center"/>
              <w:rPr>
                <w:rFonts w:asciiTheme="minorEastAsia" w:hAnsiTheme="minorEastAsia" w:eastAsiaTheme="minorEastAsia" w:cstheme="minorEastAsia"/>
                <w:b/>
                <w:szCs w:val="24"/>
              </w:rPr>
            </w:pPr>
            <w:r>
              <w:rPr>
                <w:rFonts w:asciiTheme="minorEastAsia" w:hAnsiTheme="minorEastAsia" w:eastAsiaTheme="minorEastAsia" w:cstheme="minorEastAsia"/>
                <w:b/>
                <w:szCs w:val="24"/>
              </w:rPr>
              <w:t>投标报价得分</w:t>
            </w:r>
          </w:p>
          <w:p w14:paraId="70EF1AD2">
            <w:pPr>
              <w:pStyle w:val="8"/>
              <w:spacing w:line="360" w:lineRule="exact"/>
              <w:jc w:val="center"/>
              <w:rPr>
                <w:rFonts w:asciiTheme="minorEastAsia" w:hAnsiTheme="minorEastAsia" w:eastAsiaTheme="minorEastAsia" w:cstheme="minorEastAsia"/>
                <w:szCs w:val="24"/>
              </w:rPr>
            </w:pPr>
            <w:r>
              <w:rPr>
                <w:rFonts w:asciiTheme="minorEastAsia" w:hAnsiTheme="minorEastAsia" w:eastAsiaTheme="minorEastAsia" w:cstheme="minorEastAsia"/>
                <w:b/>
                <w:szCs w:val="24"/>
              </w:rPr>
              <w:t>（30分）</w:t>
            </w:r>
          </w:p>
        </w:tc>
        <w:tc>
          <w:tcPr>
            <w:tcW w:w="1400" w:type="dxa"/>
            <w:gridSpan w:val="2"/>
            <w:vAlign w:val="center"/>
          </w:tcPr>
          <w:p w14:paraId="1FE4E1BA">
            <w:pPr>
              <w:spacing w:line="360" w:lineRule="exact"/>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szCs w:val="24"/>
              </w:rPr>
              <w:t>评标基准价D</w:t>
            </w:r>
          </w:p>
        </w:tc>
        <w:tc>
          <w:tcPr>
            <w:tcW w:w="7426" w:type="dxa"/>
            <w:gridSpan w:val="2"/>
            <w:vAlign w:val="center"/>
          </w:tcPr>
          <w:p w14:paraId="2AB464BA">
            <w:pPr>
              <w:rPr>
                <w:rFonts w:asciiTheme="minorEastAsia" w:hAnsiTheme="minorEastAsia" w:eastAsiaTheme="minorEastAsia" w:cstheme="minorEastAsia"/>
                <w:szCs w:val="24"/>
              </w:rPr>
            </w:pPr>
            <w:r>
              <w:rPr>
                <w:rFonts w:asciiTheme="minorEastAsia" w:hAnsiTheme="minorEastAsia" w:eastAsiaTheme="minorEastAsia" w:cstheme="minorEastAsia"/>
                <w:szCs w:val="24"/>
              </w:rPr>
              <w:t>（1）确定招标控制价下浮系数n：用1～21号球分别代表一个下浮系数，由评委代表从这21个号码中随机抽取3次，每次抽取1个号码，抽出的号球不参与下次抽取。所抽取的3个号码对应下浮系数的算术平均值作为招标控制价下浮系数n。具体号码对应的下浮系数可参考下表。</w:t>
            </w:r>
          </w:p>
          <w:tbl>
            <w:tblPr>
              <w:tblStyle w:val="21"/>
              <w:tblW w:w="7256" w:type="dxa"/>
              <w:tblInd w:w="0" w:type="dxa"/>
              <w:shd w:val="clear" w:color="auto" w:fill="FFFFFF"/>
              <w:tblLayout w:type="fixed"/>
              <w:tblCellMar>
                <w:top w:w="0" w:type="dxa"/>
                <w:left w:w="108" w:type="dxa"/>
                <w:bottom w:w="0" w:type="dxa"/>
                <w:right w:w="108" w:type="dxa"/>
              </w:tblCellMar>
            </w:tblPr>
            <w:tblGrid>
              <w:gridCol w:w="1306"/>
              <w:gridCol w:w="821"/>
              <w:gridCol w:w="853"/>
              <w:gridCol w:w="730"/>
              <w:gridCol w:w="887"/>
              <w:gridCol w:w="821"/>
              <w:gridCol w:w="933"/>
              <w:gridCol w:w="905"/>
            </w:tblGrid>
            <w:tr w14:paraId="662CFDBF">
              <w:tblPrEx>
                <w:tblCellMar>
                  <w:top w:w="0" w:type="dxa"/>
                  <w:left w:w="108" w:type="dxa"/>
                  <w:bottom w:w="0" w:type="dxa"/>
                  <w:right w:w="108" w:type="dxa"/>
                </w:tblCellMar>
              </w:tblPrEx>
              <w:trPr>
                <w:trHeight w:val="401" w:hRule="atLeast"/>
              </w:trPr>
              <w:tc>
                <w:tcPr>
                  <w:tcW w:w="13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90A56">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号球</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E6C1E">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w:t>
                  </w:r>
                </w:p>
              </w:tc>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6A3CD">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6AE56">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3</w:t>
                  </w:r>
                </w:p>
              </w:tc>
              <w:tc>
                <w:tcPr>
                  <w:tcW w:w="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B024A">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4</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3C40D">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5</w:t>
                  </w:r>
                </w:p>
              </w:tc>
              <w:tc>
                <w:tcPr>
                  <w:tcW w:w="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4E12A">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6</w:t>
                  </w:r>
                </w:p>
              </w:tc>
              <w:tc>
                <w:tcPr>
                  <w:tcW w:w="9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EFC2B">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7</w:t>
                  </w:r>
                </w:p>
              </w:tc>
            </w:tr>
            <w:tr w14:paraId="16FA8BD4">
              <w:tblPrEx>
                <w:tblCellMar>
                  <w:top w:w="0" w:type="dxa"/>
                  <w:left w:w="108" w:type="dxa"/>
                  <w:bottom w:w="0" w:type="dxa"/>
                  <w:right w:w="108" w:type="dxa"/>
                </w:tblCellMar>
              </w:tblPrEx>
              <w:trPr>
                <w:trHeight w:val="686" w:hRule="atLeast"/>
              </w:trPr>
              <w:tc>
                <w:tcPr>
                  <w:tcW w:w="13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F799A">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下浮系数（%）</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8F464">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w:t>
                  </w:r>
                </w:p>
              </w:tc>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48C4C">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1.1</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73600">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1.2</w:t>
                  </w:r>
                </w:p>
              </w:tc>
              <w:tc>
                <w:tcPr>
                  <w:tcW w:w="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F512D">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1.3</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A0782">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1.4</w:t>
                  </w:r>
                </w:p>
              </w:tc>
              <w:tc>
                <w:tcPr>
                  <w:tcW w:w="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EF019">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1.5</w:t>
                  </w:r>
                </w:p>
              </w:tc>
              <w:tc>
                <w:tcPr>
                  <w:tcW w:w="9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DE22B">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1.6</w:t>
                  </w:r>
                </w:p>
              </w:tc>
            </w:tr>
            <w:tr w14:paraId="1D27C881">
              <w:tblPrEx>
                <w:tblCellMar>
                  <w:top w:w="0" w:type="dxa"/>
                  <w:left w:w="108" w:type="dxa"/>
                  <w:bottom w:w="0" w:type="dxa"/>
                  <w:right w:w="108" w:type="dxa"/>
                </w:tblCellMar>
              </w:tblPrEx>
              <w:trPr>
                <w:trHeight w:val="416" w:hRule="atLeast"/>
              </w:trPr>
              <w:tc>
                <w:tcPr>
                  <w:tcW w:w="13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2EF67">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号球</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6FC6A">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8</w:t>
                  </w:r>
                </w:p>
              </w:tc>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E389D">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9</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EAB29">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10</w:t>
                  </w:r>
                </w:p>
              </w:tc>
              <w:tc>
                <w:tcPr>
                  <w:tcW w:w="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932B7">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11</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B62C3">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12</w:t>
                  </w:r>
                </w:p>
              </w:tc>
              <w:tc>
                <w:tcPr>
                  <w:tcW w:w="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882DF">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13</w:t>
                  </w:r>
                </w:p>
              </w:tc>
              <w:tc>
                <w:tcPr>
                  <w:tcW w:w="9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1690C">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14</w:t>
                  </w:r>
                </w:p>
              </w:tc>
            </w:tr>
            <w:tr w14:paraId="6B017D5A">
              <w:tblPrEx>
                <w:tblCellMar>
                  <w:top w:w="0" w:type="dxa"/>
                  <w:left w:w="108" w:type="dxa"/>
                  <w:bottom w:w="0" w:type="dxa"/>
                  <w:right w:w="108" w:type="dxa"/>
                </w:tblCellMar>
              </w:tblPrEx>
              <w:trPr>
                <w:trHeight w:val="570" w:hRule="atLeast"/>
              </w:trPr>
              <w:tc>
                <w:tcPr>
                  <w:tcW w:w="13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3B9DC">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下浮系数（%）</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DDADB">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1.7</w:t>
                  </w:r>
                </w:p>
              </w:tc>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1C44B">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1.8</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46F0D">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1.9</w:t>
                  </w:r>
                </w:p>
              </w:tc>
              <w:tc>
                <w:tcPr>
                  <w:tcW w:w="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51E96">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34AAA">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2.1</w:t>
                  </w:r>
                </w:p>
              </w:tc>
              <w:tc>
                <w:tcPr>
                  <w:tcW w:w="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4446F">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2.2</w:t>
                  </w:r>
                </w:p>
              </w:tc>
              <w:tc>
                <w:tcPr>
                  <w:tcW w:w="9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226A6">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2.3</w:t>
                  </w:r>
                </w:p>
              </w:tc>
            </w:tr>
            <w:tr w14:paraId="73871C34">
              <w:tblPrEx>
                <w:tblCellMar>
                  <w:top w:w="0" w:type="dxa"/>
                  <w:left w:w="108" w:type="dxa"/>
                  <w:bottom w:w="0" w:type="dxa"/>
                  <w:right w:w="108" w:type="dxa"/>
                </w:tblCellMar>
              </w:tblPrEx>
              <w:trPr>
                <w:trHeight w:val="401" w:hRule="atLeast"/>
              </w:trPr>
              <w:tc>
                <w:tcPr>
                  <w:tcW w:w="13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2D7BD">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号球</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B32D2">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15</w:t>
                  </w:r>
                </w:p>
              </w:tc>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96EDE">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16</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F068D">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17</w:t>
                  </w:r>
                </w:p>
              </w:tc>
              <w:tc>
                <w:tcPr>
                  <w:tcW w:w="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B2923">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18</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5FC5A">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19</w:t>
                  </w:r>
                </w:p>
              </w:tc>
              <w:tc>
                <w:tcPr>
                  <w:tcW w:w="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F0453">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20</w:t>
                  </w:r>
                </w:p>
              </w:tc>
              <w:tc>
                <w:tcPr>
                  <w:tcW w:w="9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5D91E">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21</w:t>
                  </w:r>
                </w:p>
              </w:tc>
            </w:tr>
            <w:tr w14:paraId="5B84649B">
              <w:tblPrEx>
                <w:tblCellMar>
                  <w:top w:w="0" w:type="dxa"/>
                  <w:left w:w="108" w:type="dxa"/>
                  <w:bottom w:w="0" w:type="dxa"/>
                  <w:right w:w="108" w:type="dxa"/>
                </w:tblCellMar>
              </w:tblPrEx>
              <w:trPr>
                <w:trHeight w:val="681" w:hRule="atLeast"/>
              </w:trPr>
              <w:tc>
                <w:tcPr>
                  <w:tcW w:w="13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1DB99">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下浮系数（%）</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234DA">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2.4</w:t>
                  </w:r>
                </w:p>
              </w:tc>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278D8">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2.5</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2D4A8">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2.6</w:t>
                  </w:r>
                </w:p>
              </w:tc>
              <w:tc>
                <w:tcPr>
                  <w:tcW w:w="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4F0DE">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2.7</w:t>
                  </w: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96B90">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2.8</w:t>
                  </w:r>
                </w:p>
              </w:tc>
              <w:tc>
                <w:tcPr>
                  <w:tcW w:w="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030FB">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2.9</w:t>
                  </w:r>
                </w:p>
              </w:tc>
              <w:tc>
                <w:tcPr>
                  <w:tcW w:w="9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3D378">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3.0</w:t>
                  </w:r>
                </w:p>
              </w:tc>
            </w:tr>
          </w:tbl>
          <w:p w14:paraId="01146920">
            <w:pPr>
              <w:spacing w:line="360" w:lineRule="exact"/>
              <w:rPr>
                <w:rFonts w:asciiTheme="minorEastAsia" w:hAnsiTheme="minorEastAsia" w:eastAsiaTheme="minorEastAsia" w:cstheme="minorEastAsia"/>
                <w:kern w:val="0"/>
                <w:szCs w:val="24"/>
                <w:lang w:bidi="ar"/>
              </w:rPr>
            </w:pPr>
            <w:r>
              <w:rPr>
                <w:rFonts w:asciiTheme="minorEastAsia" w:hAnsiTheme="minorEastAsia" w:eastAsiaTheme="minorEastAsia" w:cstheme="minorEastAsia"/>
                <w:szCs w:val="24"/>
              </w:rPr>
              <w:t>（2）评标基准价D＝招标控制价×（1－n）</w:t>
            </w:r>
          </w:p>
        </w:tc>
      </w:tr>
      <w:tr w14:paraId="225E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456" w:type="dxa"/>
            <w:vMerge w:val="continue"/>
            <w:vAlign w:val="center"/>
          </w:tcPr>
          <w:p w14:paraId="4BABC14A">
            <w:pPr>
              <w:widowControl/>
              <w:jc w:val="center"/>
              <w:rPr>
                <w:rFonts w:asciiTheme="minorEastAsia" w:hAnsiTheme="minorEastAsia" w:eastAsiaTheme="minorEastAsia" w:cstheme="minorEastAsia"/>
                <w:kern w:val="0"/>
                <w:szCs w:val="24"/>
              </w:rPr>
            </w:pPr>
          </w:p>
        </w:tc>
        <w:tc>
          <w:tcPr>
            <w:tcW w:w="633" w:type="dxa"/>
            <w:vMerge w:val="continue"/>
            <w:vAlign w:val="center"/>
          </w:tcPr>
          <w:p w14:paraId="1723127C">
            <w:pPr>
              <w:widowControl/>
              <w:jc w:val="center"/>
              <w:rPr>
                <w:rFonts w:asciiTheme="minorEastAsia" w:hAnsiTheme="minorEastAsia" w:eastAsiaTheme="minorEastAsia" w:cstheme="minorEastAsia"/>
                <w:kern w:val="0"/>
                <w:szCs w:val="24"/>
              </w:rPr>
            </w:pPr>
          </w:p>
        </w:tc>
        <w:tc>
          <w:tcPr>
            <w:tcW w:w="1400" w:type="dxa"/>
            <w:gridSpan w:val="2"/>
            <w:vAlign w:val="center"/>
          </w:tcPr>
          <w:p w14:paraId="3788CBB4">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投标报价</w:t>
            </w:r>
          </w:p>
          <w:p w14:paraId="15FB9C20">
            <w:pPr>
              <w:jc w:val="center"/>
              <w:rPr>
                <w:rFonts w:asciiTheme="minorEastAsia" w:hAnsiTheme="minorEastAsia" w:eastAsiaTheme="minorEastAsia" w:cstheme="minorEastAsia"/>
                <w:kern w:val="0"/>
                <w:szCs w:val="24"/>
              </w:rPr>
            </w:pPr>
            <w:r>
              <w:rPr>
                <w:rFonts w:asciiTheme="minorEastAsia" w:hAnsiTheme="minorEastAsia" w:eastAsiaTheme="minorEastAsia" w:cstheme="minorEastAsia"/>
                <w:szCs w:val="24"/>
              </w:rPr>
              <w:t>得分N</w:t>
            </w:r>
          </w:p>
        </w:tc>
        <w:tc>
          <w:tcPr>
            <w:tcW w:w="7426" w:type="dxa"/>
            <w:gridSpan w:val="2"/>
            <w:vAlign w:val="center"/>
          </w:tcPr>
          <w:p w14:paraId="70A12208">
            <w:pPr>
              <w:spacing w:line="360" w:lineRule="exact"/>
              <w:rPr>
                <w:rFonts w:asciiTheme="minorEastAsia" w:hAnsiTheme="minorEastAsia" w:eastAsiaTheme="minorEastAsia" w:cstheme="minorEastAsia"/>
                <w:szCs w:val="24"/>
              </w:rPr>
            </w:pPr>
            <w:r>
              <w:rPr>
                <w:rFonts w:asciiTheme="minorEastAsia" w:hAnsiTheme="minorEastAsia" w:eastAsiaTheme="minorEastAsia" w:cstheme="minorEastAsia"/>
                <w:szCs w:val="24"/>
              </w:rPr>
              <w:t>采用内插法计算某投标人的投标报价得分N，即当投标人的投标总价等于评标基准价时得</w:t>
            </w:r>
            <w:r>
              <w:rPr>
                <w:rFonts w:hint="eastAsia" w:asciiTheme="minorEastAsia" w:hAnsiTheme="minorEastAsia" w:eastAsiaTheme="minorEastAsia" w:cstheme="minorEastAsia"/>
                <w:szCs w:val="24"/>
                <w:lang w:val="en-US" w:eastAsia="zh-CN"/>
              </w:rPr>
              <w:t>30</w:t>
            </w:r>
            <w:r>
              <w:rPr>
                <w:rFonts w:asciiTheme="minorEastAsia" w:hAnsiTheme="minorEastAsia" w:eastAsiaTheme="minorEastAsia" w:cstheme="minorEastAsia"/>
                <w:szCs w:val="24"/>
              </w:rPr>
              <w:t>分，每高于评标基准价一个百分点扣0.5分, 每低于评标基准价一个百分点扣0.3分，扣完为止。公式如下：</w:t>
            </w:r>
          </w:p>
          <w:p w14:paraId="70A385C3">
            <w:pPr>
              <w:spacing w:line="360" w:lineRule="exact"/>
              <w:rPr>
                <w:rFonts w:asciiTheme="minorEastAsia" w:hAnsiTheme="minorEastAsia" w:eastAsiaTheme="minorEastAsia" w:cstheme="minorEastAsia"/>
                <w:szCs w:val="24"/>
              </w:rPr>
            </w:pPr>
            <w:r>
              <w:rPr>
                <w:rFonts w:asciiTheme="minorEastAsia" w:hAnsiTheme="minorEastAsia" w:eastAsiaTheme="minorEastAsia" w:cstheme="minorEastAsia"/>
                <w:szCs w:val="24"/>
              </w:rPr>
              <w:t>N＝30－（| Di－D | ÷D）×100×E</w:t>
            </w:r>
          </w:p>
          <w:p w14:paraId="4C4F8998">
            <w:pPr>
              <w:spacing w:line="360" w:lineRule="exact"/>
              <w:rPr>
                <w:rFonts w:asciiTheme="minorEastAsia" w:hAnsiTheme="minorEastAsia" w:eastAsiaTheme="minorEastAsia" w:cstheme="minorEastAsia"/>
                <w:szCs w:val="24"/>
              </w:rPr>
            </w:pPr>
            <w:r>
              <w:rPr>
                <w:rFonts w:asciiTheme="minorEastAsia" w:hAnsiTheme="minorEastAsia" w:eastAsiaTheme="minorEastAsia" w:cstheme="minorEastAsia"/>
                <w:szCs w:val="24"/>
              </w:rPr>
              <w:t>式中：D为评标基准价；Di为某投标人的投标总价；E为扣分因子，当Di＞D时，E＝0.5；当Di＜D时，E＝0.3。</w:t>
            </w:r>
          </w:p>
        </w:tc>
      </w:tr>
      <w:tr w14:paraId="1835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2489" w:type="dxa"/>
            <w:gridSpan w:val="4"/>
            <w:vAlign w:val="center"/>
          </w:tcPr>
          <w:p w14:paraId="18C3730A">
            <w:pPr>
              <w:jc w:val="center"/>
              <w:rPr>
                <w:rFonts w:asciiTheme="minorEastAsia" w:hAnsiTheme="minorEastAsia" w:eastAsiaTheme="minorEastAsia" w:cstheme="minorEastAsia"/>
                <w:szCs w:val="24"/>
              </w:rPr>
            </w:pPr>
            <w:r>
              <w:rPr>
                <w:rFonts w:asciiTheme="minorEastAsia" w:hAnsiTheme="minorEastAsia" w:eastAsiaTheme="minorEastAsia" w:cstheme="minorEastAsia"/>
                <w:szCs w:val="24"/>
              </w:rPr>
              <w:t>合计</w:t>
            </w:r>
          </w:p>
        </w:tc>
        <w:tc>
          <w:tcPr>
            <w:tcW w:w="7426" w:type="dxa"/>
            <w:gridSpan w:val="2"/>
            <w:vAlign w:val="center"/>
          </w:tcPr>
          <w:p w14:paraId="1D210E7E">
            <w:pPr>
              <w:spacing w:line="360" w:lineRule="exact"/>
              <w:rPr>
                <w:rFonts w:asciiTheme="minorEastAsia" w:hAnsiTheme="minorEastAsia" w:eastAsiaTheme="minorEastAsia" w:cstheme="minorEastAsia"/>
                <w:szCs w:val="24"/>
              </w:rPr>
            </w:pPr>
            <w:r>
              <w:rPr>
                <w:rFonts w:asciiTheme="minorEastAsia" w:hAnsiTheme="minorEastAsia" w:eastAsiaTheme="minorEastAsia" w:cstheme="minorEastAsia"/>
                <w:szCs w:val="24"/>
              </w:rPr>
              <w:t>商务得分+投标报价得分=总得分</w:t>
            </w:r>
          </w:p>
        </w:tc>
      </w:tr>
    </w:tbl>
    <w:p w14:paraId="5F141B1E">
      <w:pPr>
        <w:spacing w:line="440" w:lineRule="exact"/>
        <w:rPr>
          <w:rFonts w:asciiTheme="minorEastAsia" w:hAnsiTheme="minorEastAsia" w:eastAsiaTheme="minorEastAsia" w:cstheme="minorEastAsia"/>
          <w:spacing w:val="10"/>
          <w:kern w:val="0"/>
          <w:szCs w:val="24"/>
        </w:rPr>
      </w:pPr>
      <w:r>
        <w:rPr>
          <w:rFonts w:asciiTheme="minorEastAsia" w:hAnsiTheme="minorEastAsia" w:eastAsiaTheme="minorEastAsia" w:cstheme="minorEastAsia"/>
          <w:spacing w:val="10"/>
          <w:kern w:val="0"/>
          <w:szCs w:val="24"/>
        </w:rPr>
        <w:t>备注：</w:t>
      </w:r>
    </w:p>
    <w:p w14:paraId="2161354D">
      <w:pPr>
        <w:spacing w:line="440" w:lineRule="exact"/>
        <w:ind w:firstLine="482" w:firstLineChars="200"/>
        <w:rPr>
          <w:rFonts w:asciiTheme="minorEastAsia" w:hAnsiTheme="minorEastAsia" w:eastAsiaTheme="minorEastAsia" w:cstheme="minorEastAsia"/>
          <w:b/>
          <w:bCs/>
          <w:szCs w:val="24"/>
          <w:u w:val="double"/>
        </w:rPr>
      </w:pPr>
      <w:r>
        <w:rPr>
          <w:rFonts w:asciiTheme="minorEastAsia" w:hAnsiTheme="minorEastAsia" w:eastAsiaTheme="minorEastAsia" w:cstheme="minorEastAsia"/>
          <w:b/>
          <w:bCs/>
          <w:szCs w:val="24"/>
        </w:rPr>
        <w:t>1、</w:t>
      </w:r>
      <w:r>
        <w:rPr>
          <w:rFonts w:asciiTheme="minorEastAsia" w:hAnsiTheme="minorEastAsia" w:eastAsiaTheme="minorEastAsia" w:cstheme="minorEastAsia"/>
          <w:b/>
          <w:bCs/>
          <w:szCs w:val="24"/>
          <w:u w:val="double"/>
        </w:rPr>
        <w:t>综合评分表中注明“扫描件”为原件扫描件。</w:t>
      </w:r>
    </w:p>
    <w:p w14:paraId="294697ED">
      <w:pPr>
        <w:spacing w:line="440" w:lineRule="exact"/>
        <w:ind w:firstLine="482" w:firstLineChars="200"/>
        <w:rPr>
          <w:rFonts w:asciiTheme="minorEastAsia" w:hAnsiTheme="minorEastAsia" w:eastAsiaTheme="minorEastAsia" w:cstheme="minorEastAsia"/>
          <w:b/>
          <w:bCs/>
          <w:szCs w:val="24"/>
          <w:u w:val="double"/>
        </w:rPr>
      </w:pPr>
      <w:r>
        <w:rPr>
          <w:rFonts w:asciiTheme="minorEastAsia" w:hAnsiTheme="minorEastAsia" w:eastAsiaTheme="minorEastAsia" w:cstheme="minorEastAsia"/>
          <w:b/>
          <w:bCs/>
          <w:szCs w:val="24"/>
        </w:rPr>
        <w:t>2、</w:t>
      </w:r>
      <w:r>
        <w:rPr>
          <w:rFonts w:asciiTheme="minorEastAsia" w:hAnsiTheme="minorEastAsia" w:eastAsiaTheme="minorEastAsia" w:cstheme="minorEastAsia"/>
          <w:b/>
          <w:bCs/>
          <w:szCs w:val="24"/>
          <w:u w:val="double"/>
        </w:rPr>
        <w:t>评分如出现小数点，则保留小数点后两位，第三位四舍五入。</w:t>
      </w:r>
    </w:p>
    <w:p w14:paraId="143F277B">
      <w:pPr>
        <w:spacing w:line="440" w:lineRule="exact"/>
        <w:ind w:firstLine="482" w:firstLineChars="200"/>
        <w:rPr>
          <w:rFonts w:asciiTheme="minorEastAsia" w:hAnsiTheme="minorEastAsia" w:eastAsiaTheme="minorEastAsia" w:cstheme="minorEastAsia"/>
          <w:b/>
          <w:kern w:val="1"/>
          <w:szCs w:val="24"/>
          <w:u w:val="single"/>
        </w:rPr>
      </w:pPr>
      <w:r>
        <w:rPr>
          <w:rFonts w:asciiTheme="minorEastAsia" w:hAnsiTheme="minorEastAsia" w:eastAsiaTheme="minorEastAsia" w:cstheme="minorEastAsia"/>
          <w:b/>
          <w:bCs/>
          <w:szCs w:val="24"/>
        </w:rPr>
        <w:t>3、</w:t>
      </w:r>
      <w:r>
        <w:rPr>
          <w:rFonts w:asciiTheme="minorEastAsia" w:hAnsiTheme="minorEastAsia" w:eastAsiaTheme="minorEastAsia" w:cstheme="minorEastAsia"/>
          <w:b/>
          <w:bCs/>
          <w:szCs w:val="24"/>
          <w:u w:val="double"/>
        </w:rPr>
        <w:t>如果某投标人的建安工程费下浮率高于15%时，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55DA5EFE">
      <w:pPr>
        <w:wordWrap w:val="0"/>
        <w:adjustRightInd w:val="0"/>
        <w:snapToGrid w:val="0"/>
        <w:spacing w:line="440" w:lineRule="exact"/>
        <w:ind w:firstLine="52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Cs/>
          <w:spacing w:val="10"/>
          <w:kern w:val="0"/>
          <w:szCs w:val="24"/>
        </w:rPr>
        <w:t>14.3.2</w:t>
      </w:r>
      <w:r>
        <w:rPr>
          <w:rFonts w:asciiTheme="minorEastAsia" w:hAnsiTheme="minorEastAsia" w:eastAsiaTheme="minorEastAsia" w:cstheme="minorEastAsia"/>
          <w:snapToGrid w:val="0"/>
          <w:kern w:val="0"/>
          <w:szCs w:val="24"/>
        </w:rPr>
        <w:t>否决投标说明</w:t>
      </w:r>
    </w:p>
    <w:p w14:paraId="357B10CA">
      <w:pPr>
        <w:wordWrap w:val="0"/>
        <w:adjustRightInd w:val="0"/>
        <w:snapToGrid w:val="0"/>
        <w:spacing w:line="440" w:lineRule="exact"/>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详细评审阶段否决投标的全部条件，在本章第</w:t>
      </w:r>
      <w:r>
        <w:rPr>
          <w:rFonts w:asciiTheme="minorEastAsia" w:hAnsiTheme="minorEastAsia" w:eastAsiaTheme="minorEastAsia" w:cstheme="minorEastAsia"/>
          <w:b/>
          <w:snapToGrid w:val="0"/>
          <w:kern w:val="0"/>
          <w:szCs w:val="24"/>
        </w:rPr>
        <w:t>15.6条</w:t>
      </w:r>
      <w:r>
        <w:rPr>
          <w:rFonts w:asciiTheme="minorEastAsia" w:hAnsiTheme="minorEastAsia" w:eastAsiaTheme="minorEastAsia" w:cstheme="minorEastAsia"/>
          <w:snapToGrid w:val="0"/>
          <w:kern w:val="0"/>
          <w:szCs w:val="24"/>
        </w:rPr>
        <w:t>“否决投标条件”第4条中集中列示。投标人有其中所列任何一种情形的，由评标委员会否决其投标。经详细评审后，有效投标人数量不足3个时，招标人应依法重新组织招标。</w:t>
      </w:r>
    </w:p>
    <w:p w14:paraId="4D3FD90B">
      <w:pPr>
        <w:pStyle w:val="34"/>
        <w:spacing w:line="400" w:lineRule="exact"/>
        <w:rPr>
          <w:rFonts w:hint="eastAsia" w:asciiTheme="minorEastAsia" w:hAnsiTheme="minorEastAsia" w:eastAsiaTheme="minorEastAsia" w:cstheme="minorEastAsia"/>
          <w:b/>
        </w:rPr>
      </w:pPr>
      <w:r>
        <w:rPr>
          <w:rFonts w:hint="eastAsia" w:asciiTheme="minorEastAsia" w:hAnsiTheme="minorEastAsia" w:eastAsiaTheme="minorEastAsia" w:cstheme="minorEastAsia"/>
          <w:b/>
          <w:bCs/>
          <w:snapToGrid w:val="0"/>
          <w:kern w:val="0"/>
          <w:szCs w:val="24"/>
        </w:rPr>
        <w:t>注：投标人在详细评审阶段根据评分方法提供的佐证材料，其合法性、有效性和准确性不符合要求的，有关量化因素（或评分因素）的折算、调整（或评分）按相应量化标准（或评分标准）处理，但不否决投标。</w:t>
      </w:r>
    </w:p>
    <w:p w14:paraId="257655A9">
      <w:pPr>
        <w:pStyle w:val="45"/>
        <w:ind w:firstLine="482" w:firstLineChars="200"/>
        <w:jc w:val="both"/>
        <w:outlineLvl w:val="9"/>
        <w:rPr>
          <w:rFonts w:hint="eastAsia" w:asciiTheme="minorEastAsia" w:hAnsiTheme="minorEastAsia" w:eastAsiaTheme="minorEastAsia" w:cstheme="minorEastAsia"/>
          <w:b/>
        </w:rPr>
      </w:pPr>
    </w:p>
    <w:p w14:paraId="47C105FE">
      <w:pPr>
        <w:pStyle w:val="45"/>
        <w:jc w:val="both"/>
        <w:outlineLvl w:val="1"/>
        <w:rPr>
          <w:rFonts w:hint="eastAsia" w:asciiTheme="minorEastAsia" w:hAnsiTheme="minorEastAsia" w:eastAsiaTheme="minorEastAsia" w:cstheme="minorEastAsia"/>
          <w:b/>
        </w:rPr>
      </w:pPr>
      <w:bookmarkStart w:id="280" w:name="_Toc32481"/>
      <w:bookmarkStart w:id="281" w:name="_Toc13475"/>
      <w:bookmarkStart w:id="282" w:name="_Toc13618"/>
      <w:r>
        <w:rPr>
          <w:rFonts w:hint="eastAsia" w:asciiTheme="minorEastAsia" w:hAnsiTheme="minorEastAsia" w:eastAsiaTheme="minorEastAsia" w:cstheme="minorEastAsia"/>
          <w:b/>
        </w:rPr>
        <w:t>15、</w:t>
      </w:r>
      <w:r>
        <w:rPr>
          <w:rFonts w:hint="eastAsia" w:asciiTheme="minorEastAsia" w:hAnsiTheme="minorEastAsia" w:eastAsiaTheme="minorEastAsia" w:cstheme="minorEastAsia"/>
          <w:b/>
          <w:snapToGrid w:val="0"/>
        </w:rPr>
        <w:t>中标</w:t>
      </w:r>
      <w:r>
        <w:rPr>
          <w:rFonts w:hint="eastAsia" w:asciiTheme="minorEastAsia" w:hAnsiTheme="minorEastAsia" w:eastAsiaTheme="minorEastAsia" w:cstheme="minorEastAsia"/>
          <w:b/>
        </w:rPr>
        <w:t>候选人公示</w:t>
      </w:r>
      <w:bookmarkEnd w:id="280"/>
      <w:bookmarkEnd w:id="281"/>
      <w:bookmarkEnd w:id="282"/>
    </w:p>
    <w:p w14:paraId="530FB3B2">
      <w:pPr>
        <w:pStyle w:val="34"/>
        <w:spacing w:line="400" w:lineRule="exact"/>
        <w:ind w:firstLine="480" w:firstLineChars="200"/>
        <w:rPr>
          <w:rFonts w:hint="eastAsia" w:asciiTheme="minorEastAsia" w:hAnsiTheme="minorEastAsia" w:eastAsiaTheme="minorEastAsia" w:cstheme="minorEastAsia"/>
          <w:bCs/>
          <w:snapToGrid w:val="0"/>
          <w:kern w:val="0"/>
        </w:rPr>
      </w:pPr>
      <w:r>
        <w:rPr>
          <w:rFonts w:hint="eastAsia" w:asciiTheme="minorEastAsia" w:hAnsiTheme="minorEastAsia" w:eastAsiaTheme="minorEastAsia" w:cstheme="minorEastAsia"/>
          <w:bCs/>
        </w:rPr>
        <w:t>15.1</w:t>
      </w:r>
      <w:r>
        <w:rPr>
          <w:rFonts w:hint="eastAsia" w:asciiTheme="minorEastAsia" w:hAnsiTheme="minorEastAsia" w:eastAsiaTheme="minorEastAsia" w:cstheme="minorEastAsia"/>
          <w:bCs/>
          <w:snapToGrid w:val="0"/>
          <w:kern w:val="0"/>
        </w:rPr>
        <w:t>招标人自收到评标委员会提交的书面评标报告和中标候选人名单之日起3日内，将评标结果（即中标候选人名单）、中标候选人投标文件、评标过程（评标专家姓名用代码标记）一并在广东省招标投标监管网（http://zbtb.gd.gov.cn）、全国公共资源交易平台（广东省·韶关市）（https://ygp.gdzwfw.gov.cn/ggzy-portal/#/440200/index）进行公示，公示期不得少于3天。</w:t>
      </w:r>
    </w:p>
    <w:p w14:paraId="1C6D8603">
      <w:pPr>
        <w:pStyle w:val="34"/>
        <w:spacing w:line="400" w:lineRule="exact"/>
        <w:ind w:firstLine="480" w:firstLineChars="200"/>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15.2</w:t>
      </w:r>
      <w:r>
        <w:rPr>
          <w:rFonts w:hint="eastAsia" w:asciiTheme="minorEastAsia" w:hAnsiTheme="minorEastAsia" w:eastAsiaTheme="minorEastAsia" w:cstheme="minorEastAsia"/>
          <w:bCs/>
          <w:snapToGrid w:val="0"/>
          <w:kern w:val="0"/>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号）执行。</w:t>
      </w:r>
    </w:p>
    <w:p w14:paraId="30BAEC78">
      <w:pPr>
        <w:pStyle w:val="34"/>
        <w:spacing w:line="400" w:lineRule="exact"/>
        <w:ind w:firstLine="480" w:firstLineChars="200"/>
        <w:rPr>
          <w:rFonts w:hint="eastAsia" w:asciiTheme="minorEastAsia" w:hAnsiTheme="minorEastAsia" w:eastAsiaTheme="minorEastAsia" w:cstheme="minorEastAsia"/>
          <w:bCs/>
          <w:snapToGrid w:val="0"/>
          <w:kern w:val="0"/>
        </w:rPr>
      </w:pPr>
      <w:r>
        <w:rPr>
          <w:rFonts w:hint="eastAsia" w:asciiTheme="minorEastAsia" w:hAnsiTheme="minorEastAsia" w:eastAsiaTheme="minorEastAsia" w:cstheme="minorEastAsia"/>
          <w:bCs/>
          <w:snapToGrid w:val="0"/>
          <w:kern w:val="0"/>
        </w:rPr>
        <w:t>15.3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0E0E8719">
      <w:pPr>
        <w:wordWrap w:val="0"/>
        <w:adjustRightInd w:val="0"/>
        <w:snapToGrid w:val="0"/>
        <w:spacing w:line="440" w:lineRule="exact"/>
        <w:outlineLvl w:val="1"/>
        <w:rPr>
          <w:rFonts w:asciiTheme="minorEastAsia" w:hAnsiTheme="minorEastAsia" w:eastAsiaTheme="minorEastAsia" w:cstheme="minorEastAsia"/>
          <w:snapToGrid w:val="0"/>
          <w:kern w:val="0"/>
          <w:szCs w:val="24"/>
        </w:rPr>
      </w:pPr>
      <w:bookmarkStart w:id="283" w:name="_Hlt69669771"/>
      <w:bookmarkEnd w:id="283"/>
      <w:bookmarkStart w:id="284" w:name="_Hlt112206772"/>
      <w:bookmarkEnd w:id="284"/>
      <w:bookmarkStart w:id="285" w:name="_Toc11519"/>
      <w:bookmarkStart w:id="286" w:name="_Toc21045"/>
      <w:bookmarkStart w:id="287" w:name="_Toc24184"/>
      <w:bookmarkStart w:id="288" w:name="_Toc16300"/>
      <w:bookmarkStart w:id="289" w:name="_Toc9083"/>
      <w:bookmarkStart w:id="290" w:name="_Toc16649"/>
      <w:bookmarkStart w:id="291" w:name="_Toc16203"/>
      <w:bookmarkStart w:id="292" w:name="_Toc13416"/>
      <w:bookmarkStart w:id="293" w:name="_Hlt69698713"/>
      <w:bookmarkStart w:id="294" w:name="_Hlt69698765"/>
      <w:r>
        <w:rPr>
          <w:rFonts w:asciiTheme="minorEastAsia" w:hAnsiTheme="minorEastAsia" w:eastAsiaTheme="minorEastAsia" w:cstheme="minorEastAsia"/>
          <w:b/>
          <w:bCs/>
          <w:snapToGrid w:val="0"/>
          <w:kern w:val="0"/>
          <w:szCs w:val="24"/>
        </w:rPr>
        <w:t>第四节 否决投标条件</w:t>
      </w:r>
    </w:p>
    <w:p w14:paraId="5E6172D7">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rPr>
        <w:t>　　</w:t>
      </w:r>
      <w:r>
        <w:rPr>
          <w:rFonts w:asciiTheme="minorEastAsia" w:hAnsiTheme="minorEastAsia" w:eastAsiaTheme="minorEastAsia" w:cstheme="minorEastAsia"/>
          <w:snapToGrid w:val="0"/>
          <w:kern w:val="0"/>
          <w:szCs w:val="24"/>
        </w:rPr>
        <w:t xml:space="preserve">  本节所集中列示的否决投标条件，是本章第三节“投标人须知正文”的组成部分，是对本章第三节所规定的否决投标条件的总结和补充。投标人未有列入本节情形的，评标时一律不得否决其投标。本节所称“规定”均指招标文件的规定。</w:t>
      </w:r>
    </w:p>
    <w:p w14:paraId="5B7F9B1D">
      <w:pPr>
        <w:wordWrap w:val="0"/>
        <w:adjustRightInd w:val="0"/>
        <w:snapToGrid w:val="0"/>
        <w:spacing w:line="440" w:lineRule="exact"/>
        <w:outlineLvl w:val="1"/>
        <w:rPr>
          <w:rFonts w:asciiTheme="minorEastAsia" w:hAnsiTheme="minorEastAsia" w:eastAsiaTheme="minorEastAsia" w:cstheme="minorEastAsia"/>
          <w:b/>
          <w:bCs/>
          <w:snapToGrid w:val="0"/>
          <w:kern w:val="0"/>
          <w:szCs w:val="24"/>
        </w:rPr>
      </w:pPr>
      <w:bookmarkStart w:id="295" w:name="_Toc25868"/>
      <w:r>
        <w:rPr>
          <w:rFonts w:asciiTheme="minorEastAsia" w:hAnsiTheme="minorEastAsia" w:eastAsiaTheme="minorEastAsia" w:cstheme="minorEastAsia"/>
          <w:b/>
          <w:bCs/>
          <w:snapToGrid w:val="0"/>
          <w:kern w:val="0"/>
          <w:szCs w:val="24"/>
        </w:rPr>
        <w:t>1．资格评审环节</w:t>
      </w:r>
      <w:bookmarkEnd w:id="295"/>
    </w:p>
    <w:p w14:paraId="496E8EC9">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投标人有下列情形之一的，评标委员会应否决其投标。被否决的投标人，不进入形式评审环节。</w:t>
      </w:r>
    </w:p>
    <w:p w14:paraId="31689A66">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（1）有本章第三节第4.4条“禁止投标条款”规定的任何一种情形；</w:t>
      </w:r>
    </w:p>
    <w:p w14:paraId="14F80BAE">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（2）投标人资质不符合规定的；</w:t>
      </w:r>
    </w:p>
    <w:p w14:paraId="0AE4D6C6">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08102520">
      <w:pPr>
        <w:wordWrap w:val="0"/>
        <w:adjustRightInd w:val="0"/>
        <w:snapToGrid w:val="0"/>
        <w:spacing w:line="440" w:lineRule="exact"/>
        <w:ind w:firstLine="723" w:firstLineChars="300"/>
        <w:rPr>
          <w:rFonts w:asciiTheme="minorEastAsia" w:hAnsiTheme="minorEastAsia" w:eastAsiaTheme="minorEastAsia" w:cstheme="minorEastAsia"/>
          <w:b/>
          <w:bCs/>
          <w:snapToGrid w:val="0"/>
          <w:kern w:val="0"/>
          <w:szCs w:val="24"/>
        </w:rPr>
      </w:pPr>
      <w:r>
        <w:rPr>
          <w:rFonts w:asciiTheme="minorEastAsia" w:hAnsiTheme="minorEastAsia" w:eastAsiaTheme="minorEastAsia" w:cstheme="minorEastAsia"/>
          <w:b/>
          <w:bCs/>
          <w:snapToGrid w:val="0"/>
          <w:kern w:val="0"/>
          <w:szCs w:val="24"/>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6E6D0321">
      <w:pPr>
        <w:wordWrap w:val="0"/>
        <w:adjustRightInd w:val="0"/>
        <w:snapToGrid w:val="0"/>
        <w:spacing w:line="440" w:lineRule="exact"/>
        <w:ind w:firstLine="482"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b/>
          <w:bCs/>
          <w:snapToGrid w:val="0"/>
          <w:kern w:val="0"/>
          <w:szCs w:val="24"/>
        </w:rPr>
        <w:t>根据有关文件精神，投标人的企业相关证书到期的，均按该证书的发证机构相关行政主管部门最新文件执行（如自动顺延或推迟办理延期业务的通知等）投标人须提供相关证明材料附在该证书后面，证明在开标日继续有效的。</w:t>
      </w:r>
    </w:p>
    <w:p w14:paraId="671E0644">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    （4）拟派项目经理、项目技术负责人、专职安全员、设计负责人的条件不符合规定的；拟派专职安全员数量不符合规定的；</w:t>
      </w:r>
    </w:p>
    <w:p w14:paraId="05E35385">
      <w:pPr>
        <w:wordWrap w:val="0"/>
        <w:adjustRightInd w:val="0"/>
        <w:snapToGrid w:val="0"/>
        <w:spacing w:line="440" w:lineRule="exact"/>
        <w:ind w:firstLine="480" w:firstLineChars="20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5）《项目经理简历表》中拟派项目经理与《开标一览表》不一致的；建造师的注册证书不是住建部门颁发的；建造师的注册单位与投标人不一致的；项目管理班子组成人员的各类证书、证件、证明不在有效期内的（建造师注册证书不在使用有效期内的）；擅自修改、遗漏《项目经理任职声明》实质性内容的；</w:t>
      </w:r>
    </w:p>
    <w:p w14:paraId="7D07CF9B">
      <w:pPr>
        <w:wordWrap w:val="0"/>
        <w:adjustRightInd w:val="0"/>
        <w:snapToGrid w:val="0"/>
        <w:spacing w:line="440" w:lineRule="exact"/>
        <w:ind w:firstLine="723" w:firstLineChars="300"/>
        <w:rPr>
          <w:rFonts w:asciiTheme="minorEastAsia" w:hAnsiTheme="minorEastAsia" w:eastAsiaTheme="minorEastAsia" w:cstheme="minorEastAsia"/>
          <w:b/>
          <w:bCs/>
          <w:snapToGrid w:val="0"/>
          <w:kern w:val="0"/>
          <w:szCs w:val="24"/>
        </w:rPr>
      </w:pPr>
      <w:r>
        <w:rPr>
          <w:rFonts w:asciiTheme="minorEastAsia" w:hAnsiTheme="minorEastAsia" w:eastAsiaTheme="minorEastAsia" w:cstheme="minorEastAsia"/>
          <w:b/>
          <w:bCs/>
          <w:snapToGrid w:val="0"/>
          <w:kern w:val="0"/>
          <w:szCs w:val="24"/>
        </w:rPr>
        <w:t>注：投标人已经工商变更，但其员工执业资格注册证书的注册单位名称未完成变更的，不得否决其投标。</w:t>
      </w:r>
    </w:p>
    <w:p w14:paraId="2FB479A7">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（6）联合体投标，未提交《联合体协议书》的；擅自修改、遗漏《联合体协议书》实质性内容的；联合体成员的数量、资质不符合规定的；联合体成员同时以自己名义单独投标或者参加其他联合体投标的；</w:t>
      </w:r>
    </w:p>
    <w:p w14:paraId="39ABB763">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（7）投标人为外省建筑企业，但未提供“进粤企业和人员诚信信息登记平台”企业和拟派人员信息情况打印页或网页截图的。</w:t>
      </w:r>
    </w:p>
    <w:p w14:paraId="0BA721E4">
      <w:pPr>
        <w:wordWrap w:val="0"/>
        <w:adjustRightInd w:val="0"/>
        <w:snapToGrid w:val="0"/>
        <w:spacing w:line="440" w:lineRule="exact"/>
        <w:outlineLvl w:val="1"/>
        <w:rPr>
          <w:rFonts w:asciiTheme="minorEastAsia" w:hAnsiTheme="minorEastAsia" w:eastAsiaTheme="minorEastAsia" w:cstheme="minorEastAsia"/>
          <w:b/>
          <w:bCs/>
          <w:snapToGrid w:val="0"/>
          <w:kern w:val="0"/>
          <w:szCs w:val="24"/>
        </w:rPr>
      </w:pPr>
      <w:bookmarkStart w:id="296" w:name="_Toc16862"/>
      <w:r>
        <w:rPr>
          <w:rFonts w:asciiTheme="minorEastAsia" w:hAnsiTheme="minorEastAsia" w:eastAsiaTheme="minorEastAsia" w:cstheme="minorEastAsia"/>
          <w:b/>
          <w:bCs/>
          <w:snapToGrid w:val="0"/>
          <w:kern w:val="0"/>
          <w:szCs w:val="24"/>
        </w:rPr>
        <w:t>2．形式评审环节</w:t>
      </w:r>
      <w:bookmarkEnd w:id="296"/>
    </w:p>
    <w:p w14:paraId="25CBE1E6">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投标人有下列情形之一的，评标委员会应否决其投标。被否决的投标人，不进入响应性评审环节。</w:t>
      </w:r>
    </w:p>
    <w:p w14:paraId="19A605A1">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（8）本章第三节第11.2.2目中规定的“所有投标人均应提供”的组成内容（包括该组成内容的所附资料）中，任何一项有缺漏的；</w:t>
      </w:r>
    </w:p>
    <w:p w14:paraId="1132B97F">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9）关键字迹模糊、无法辨认，且该种过错将导致评标委员会无法判断投标文件是否响应招标文件实质性要求的；出现手工涂改、行间插字或删除，但未加盖单位章或由投标人的法定代表人或其委托代理人签字确认的；</w:t>
      </w:r>
    </w:p>
    <w:p w14:paraId="620305F7">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（10）投标文件未按规定签字、盖章的；</w:t>
      </w:r>
    </w:p>
    <w:p w14:paraId="2908C3DA">
      <w:pPr>
        <w:wordWrap w:val="0"/>
        <w:adjustRightInd w:val="0"/>
        <w:snapToGrid w:val="0"/>
        <w:spacing w:line="440" w:lineRule="exact"/>
        <w:outlineLvl w:val="1"/>
        <w:rPr>
          <w:rFonts w:asciiTheme="minorEastAsia" w:hAnsiTheme="minorEastAsia" w:eastAsiaTheme="minorEastAsia" w:cstheme="minorEastAsia"/>
          <w:b/>
          <w:bCs/>
          <w:snapToGrid w:val="0"/>
          <w:kern w:val="0"/>
          <w:szCs w:val="24"/>
        </w:rPr>
      </w:pPr>
      <w:bookmarkStart w:id="297" w:name="_Toc11607"/>
      <w:r>
        <w:rPr>
          <w:rFonts w:asciiTheme="minorEastAsia" w:hAnsiTheme="minorEastAsia" w:eastAsiaTheme="minorEastAsia" w:cstheme="minorEastAsia"/>
          <w:b/>
          <w:bCs/>
          <w:snapToGrid w:val="0"/>
          <w:kern w:val="0"/>
          <w:szCs w:val="24"/>
        </w:rPr>
        <w:t>3．响应性评审环节</w:t>
      </w:r>
      <w:bookmarkEnd w:id="297"/>
    </w:p>
    <w:p w14:paraId="504E43FB">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投标人有下列情形之一的，评标委员会应否决其投标。被否决的投标人，不进入详细评审阶段。</w:t>
      </w:r>
    </w:p>
    <w:p w14:paraId="6592E074">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（11）承诺的投标有效期短于规定的；工期超出规定的；擅自修改、遗漏《投标函》《各项承诺一览表》实质性内容的；</w:t>
      </w:r>
    </w:p>
    <w:p w14:paraId="4EB9AE09">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12）两个或两个以上投标总价的（同一个投标总价大、小写不一致的除外）；投标总价超出出现最高投标限价的；投标总价下浮率超过15%，又未提供相应书面说明和佐证材料或提供的书面说明和佐证材料不能令人信服，被评标委员会认定以低于成本报价竞标的；</w:t>
      </w:r>
    </w:p>
    <w:p w14:paraId="44567EB0">
      <w:pPr>
        <w:wordWrap w:val="0"/>
        <w:adjustRightInd w:val="0"/>
        <w:snapToGrid w:val="0"/>
        <w:spacing w:line="440" w:lineRule="exact"/>
        <w:outlineLvl w:val="1"/>
        <w:rPr>
          <w:rFonts w:asciiTheme="minorEastAsia" w:hAnsiTheme="minorEastAsia" w:eastAsiaTheme="minorEastAsia" w:cstheme="minorEastAsia"/>
          <w:b/>
          <w:bCs/>
          <w:snapToGrid w:val="0"/>
          <w:kern w:val="0"/>
          <w:szCs w:val="24"/>
        </w:rPr>
      </w:pPr>
      <w:bookmarkStart w:id="298" w:name="_Toc29578"/>
      <w:r>
        <w:rPr>
          <w:rFonts w:asciiTheme="minorEastAsia" w:hAnsiTheme="minorEastAsia" w:eastAsiaTheme="minorEastAsia" w:cstheme="minorEastAsia"/>
          <w:b/>
          <w:bCs/>
          <w:snapToGrid w:val="0"/>
          <w:kern w:val="0"/>
          <w:szCs w:val="24"/>
        </w:rPr>
        <w:t>4．其他</w:t>
      </w:r>
      <w:bookmarkEnd w:id="298"/>
    </w:p>
    <w:p w14:paraId="45470399">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在任何评标环节（或阶段），投标人有下列情形之一的，评标委员会应否决其投标。被否决的投标人，不进入下一环节（或阶段）。</w:t>
      </w:r>
    </w:p>
    <w:p w14:paraId="5061E05E">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（14）不按评标委员会要求澄清、说明或补正的；</w:t>
      </w:r>
    </w:p>
    <w:p w14:paraId="55E9638B">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（15）有下列情形之一，被评标委员会认定属于串通投标的：</w:t>
      </w:r>
    </w:p>
    <w:p w14:paraId="759CACD3">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 ①不同投标人的投标文件两处以上（含两处）错、漏一致；</w:t>
      </w:r>
    </w:p>
    <w:p w14:paraId="169F18FC">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 xml:space="preserve"> ②不同投标人的投标总价相近且各分项报价、综合单价分析表内容混乱不能相互对应、乱调乱压或乱抬的，而在询标时没有合理的解释或者不能提供计算依据和报价依据；</w:t>
      </w:r>
    </w:p>
    <w:p w14:paraId="708E389C">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③不同投标人的投标各项报价存在异常一致或者呈规律性变化；</w:t>
      </w:r>
    </w:p>
    <w:p w14:paraId="1B1EBA4D">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④不同投标人的投标文件由同一单位或者同一个人编制；</w:t>
      </w:r>
    </w:p>
    <w:p w14:paraId="04DDD8BE">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⑤不同投标人的投标文件中投标资料（包括电子资料）相互混装或项目班子成员出现同一人；</w:t>
      </w:r>
    </w:p>
    <w:p w14:paraId="4DD0B06A">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⑥不同投标人的投标文件由同一电脑编制或同一台附属设备打印，或投标报价用同一个预算编制软件密码锁制作或出自同一电子文档；</w:t>
      </w:r>
    </w:p>
    <w:p w14:paraId="5A0C9F9C">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⑦不同投标人的投标保证由同一企业或同一账户资金缴纳；</w:t>
      </w:r>
    </w:p>
    <w:p w14:paraId="3153F9FE">
      <w:pPr>
        <w:wordWrap w:val="0"/>
        <w:adjustRightInd w:val="0"/>
        <w:snapToGrid w:val="0"/>
        <w:spacing w:line="440" w:lineRule="exact"/>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⑧不同投标人委托同一个人或注册在同一家企业的注册人员或同一家企业为其投标提供投标咨询、商务报价、技术咨询（招标工程本身要求采用专有技术的除外）等服务。</w:t>
      </w:r>
    </w:p>
    <w:p w14:paraId="7DAA4256">
      <w:pPr>
        <w:wordWrap w:val="0"/>
        <w:adjustRightInd w:val="0"/>
        <w:snapToGrid w:val="0"/>
        <w:spacing w:line="440" w:lineRule="exact"/>
        <w:rPr>
          <w:rFonts w:asciiTheme="minorEastAsia" w:hAnsiTheme="minorEastAsia" w:eastAsiaTheme="minorEastAsia" w:cstheme="minorEastAsia"/>
          <w:snapToGrid w:val="0"/>
          <w:kern w:val="0"/>
          <w:szCs w:val="24"/>
        </w:rPr>
        <w:sectPr>
          <w:footerReference r:id="rId5" w:type="default"/>
          <w:endnotePr>
            <w:numFmt w:val="decimal"/>
          </w:endnotePr>
          <w:pgSz w:w="11906" w:h="16838"/>
          <w:pgMar w:top="850" w:right="850" w:bottom="850" w:left="850" w:header="850" w:footer="992" w:gutter="0"/>
          <w:pgNumType w:start="1"/>
          <w:cols w:space="720" w:num="1"/>
          <w:docGrid w:linePitch="327" w:charSpace="0"/>
        </w:sectPr>
      </w:pPr>
    </w:p>
    <w:p w14:paraId="07BFDEDF">
      <w:pPr>
        <w:pStyle w:val="35"/>
        <w:keepNext/>
        <w:keepLines/>
        <w:tabs>
          <w:tab w:val="left" w:pos="885"/>
        </w:tabs>
        <w:spacing w:line="400" w:lineRule="exact"/>
        <w:jc w:val="center"/>
        <w:rPr>
          <w:rFonts w:hint="eastAsia" w:asciiTheme="minorEastAsia" w:hAnsiTheme="minorEastAsia" w:eastAsiaTheme="minorEastAsia" w:cstheme="minorEastAsia"/>
          <w:b/>
          <w:kern w:val="44"/>
          <w:sz w:val="36"/>
          <w:szCs w:val="36"/>
        </w:rPr>
      </w:pPr>
      <w:bookmarkStart w:id="299" w:name="_Toc2775"/>
      <w:bookmarkStart w:id="300" w:name="_Toc9715"/>
      <w:r>
        <w:rPr>
          <w:rFonts w:hint="eastAsia" w:asciiTheme="minorEastAsia" w:hAnsiTheme="minorEastAsia" w:eastAsiaTheme="minorEastAsia" w:cstheme="minorEastAsia"/>
          <w:b/>
          <w:kern w:val="44"/>
          <w:sz w:val="36"/>
          <w:szCs w:val="36"/>
        </w:rPr>
        <w:t>第二章</w:t>
      </w:r>
      <w:bookmarkStart w:id="301" w:name="_Hlt87793831"/>
      <w:bookmarkEnd w:id="301"/>
      <w:r>
        <w:rPr>
          <w:rFonts w:hint="eastAsia" w:asciiTheme="minorEastAsia" w:hAnsiTheme="minorEastAsia" w:eastAsiaTheme="minorEastAsia" w:cstheme="minorEastAsia"/>
          <w:b/>
          <w:kern w:val="44"/>
          <w:sz w:val="36"/>
          <w:szCs w:val="36"/>
        </w:rPr>
        <w:t xml:space="preserve"> 拟签订合同的主要条款</w:t>
      </w:r>
      <w:bookmarkEnd w:id="285"/>
      <w:bookmarkEnd w:id="286"/>
      <w:bookmarkEnd w:id="287"/>
      <w:bookmarkEnd w:id="288"/>
      <w:bookmarkEnd w:id="289"/>
      <w:bookmarkEnd w:id="290"/>
      <w:bookmarkEnd w:id="291"/>
      <w:bookmarkEnd w:id="292"/>
      <w:bookmarkEnd w:id="299"/>
      <w:bookmarkEnd w:id="300"/>
    </w:p>
    <w:p w14:paraId="66D5CDC7">
      <w:pPr>
        <w:pStyle w:val="34"/>
        <w:rPr>
          <w:rFonts w:hint="eastAsia" w:asciiTheme="minorEastAsia" w:hAnsiTheme="minorEastAsia" w:eastAsiaTheme="minorEastAsia" w:cstheme="minorEastAsia"/>
        </w:rPr>
      </w:pPr>
    </w:p>
    <w:bookmarkEnd w:id="293"/>
    <w:bookmarkEnd w:id="294"/>
    <w:p w14:paraId="3344310C">
      <w:pPr>
        <w:pStyle w:val="36"/>
        <w:keepNext/>
        <w:keepLines/>
        <w:ind w:firstLine="480"/>
        <w:jc w:val="both"/>
        <w:rPr>
          <w:rFonts w:hint="eastAsia" w:asciiTheme="minorEastAsia" w:hAnsiTheme="minorEastAsia" w:eastAsiaTheme="minorEastAsia" w:cstheme="minorEastAsia"/>
          <w:b/>
          <w:kern w:val="2"/>
        </w:rPr>
      </w:pPr>
      <w:bookmarkStart w:id="302" w:name="_Toc22879"/>
      <w:bookmarkStart w:id="303" w:name="_Toc19931"/>
      <w:bookmarkStart w:id="304" w:name="_Toc8407"/>
      <w:bookmarkStart w:id="305" w:name="_Toc12651"/>
      <w:bookmarkStart w:id="306" w:name="_Toc18454"/>
      <w:bookmarkStart w:id="307" w:name="_Toc20401"/>
      <w:bookmarkStart w:id="308" w:name="_Toc7347"/>
      <w:bookmarkStart w:id="309" w:name="_Toc28378"/>
      <w:bookmarkStart w:id="310" w:name="_Toc326916629"/>
      <w:bookmarkStart w:id="311" w:name="_Toc26552"/>
      <w:bookmarkStart w:id="312" w:name="_Toc17791"/>
      <w:bookmarkStart w:id="313" w:name="_Toc21667"/>
      <w:bookmarkStart w:id="314" w:name="_Toc322793288"/>
      <w:bookmarkStart w:id="315" w:name="_Hlt69698722"/>
      <w:bookmarkStart w:id="316" w:name="_Hlt69698769"/>
      <w:bookmarkStart w:id="317" w:name="_Hlt69698741"/>
      <w:r>
        <w:rPr>
          <w:rFonts w:hint="eastAsia" w:asciiTheme="minorEastAsia" w:hAnsiTheme="minorEastAsia" w:eastAsiaTheme="minorEastAsia" w:cstheme="minorEastAsia"/>
          <w:b/>
          <w:kern w:val="2"/>
        </w:rPr>
        <w:t>1 工程承包方式</w:t>
      </w:r>
      <w:bookmarkEnd w:id="302"/>
      <w:bookmarkEnd w:id="303"/>
      <w:bookmarkEnd w:id="304"/>
      <w:bookmarkEnd w:id="305"/>
      <w:bookmarkEnd w:id="306"/>
      <w:bookmarkEnd w:id="307"/>
      <w:bookmarkEnd w:id="308"/>
      <w:bookmarkEnd w:id="309"/>
      <w:bookmarkEnd w:id="310"/>
      <w:bookmarkEnd w:id="311"/>
      <w:bookmarkEnd w:id="312"/>
      <w:bookmarkEnd w:id="313"/>
      <w:bookmarkEnd w:id="314"/>
    </w:p>
    <w:p w14:paraId="5A1A6676">
      <w:pPr>
        <w:pStyle w:val="34"/>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1.1承包人按中标价以总承包方式在规定的期限内对设计、施工（包工</w:t>
      </w:r>
      <w:bookmarkStart w:id="318" w:name="_Hlt87948212"/>
      <w:bookmarkEnd w:id="318"/>
      <w:r>
        <w:rPr>
          <w:rFonts w:hint="eastAsia" w:asciiTheme="minorEastAsia" w:hAnsiTheme="minorEastAsia" w:eastAsiaTheme="minorEastAsia" w:cstheme="minorEastAsia"/>
        </w:rPr>
        <w:t>包料、包质量、包机械、包绿色安全文明施工、包工期等）进行总承包，不允许转包和违法分包，如承包人无相应专业资质，确需分包须与发包人协商并得到发包人和监理人同意并报工程主管部门备案。</w:t>
      </w:r>
    </w:p>
    <w:p w14:paraId="41D9932F">
      <w:pPr>
        <w:pStyle w:val="34"/>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1.1.1 包工包料：材料符合招标文件要求</w:t>
      </w:r>
      <w:r>
        <w:rPr>
          <w:rFonts w:hint="eastAsia" w:asciiTheme="minorEastAsia" w:hAnsiTheme="minorEastAsia" w:eastAsiaTheme="minorEastAsia" w:cstheme="minorEastAsia"/>
          <w:snapToGrid w:val="0"/>
          <w:kern w:val="0"/>
        </w:rPr>
        <w:t>及合同的相关约定</w:t>
      </w:r>
      <w:r>
        <w:rPr>
          <w:rFonts w:hint="eastAsia" w:asciiTheme="minorEastAsia" w:hAnsiTheme="minorEastAsia" w:eastAsiaTheme="minorEastAsia" w:cstheme="minorEastAsia"/>
        </w:rPr>
        <w:t>，报验使用；办理用工保险。</w:t>
      </w:r>
    </w:p>
    <w:p w14:paraId="52F05581">
      <w:pPr>
        <w:pStyle w:val="34"/>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1.1.2 包质量：符合招标文件要求</w:t>
      </w:r>
      <w:r>
        <w:rPr>
          <w:rFonts w:hint="eastAsia" w:asciiTheme="minorEastAsia" w:hAnsiTheme="minorEastAsia" w:eastAsiaTheme="minorEastAsia" w:cstheme="minorEastAsia"/>
          <w:szCs w:val="24"/>
        </w:rPr>
        <w:t>及合同有关质量的相关约定</w:t>
      </w:r>
      <w:r>
        <w:rPr>
          <w:rFonts w:hint="eastAsia" w:asciiTheme="minorEastAsia" w:hAnsiTheme="minorEastAsia" w:eastAsiaTheme="minorEastAsia" w:cstheme="minorEastAsia"/>
        </w:rPr>
        <w:t>。</w:t>
      </w:r>
    </w:p>
    <w:p w14:paraId="690D1120">
      <w:pPr>
        <w:wordWrap w:val="0"/>
        <w:adjustRightInd w:val="0"/>
        <w:snapToGrid w:val="0"/>
        <w:spacing w:line="360" w:lineRule="auto"/>
        <w:ind w:firstLine="480" w:firstLineChars="200"/>
        <w:rPr>
          <w:rFonts w:asciiTheme="minorEastAsia" w:hAnsiTheme="minorEastAsia" w:eastAsiaTheme="minorEastAsia" w:cstheme="minorEastAsia"/>
          <w:szCs w:val="22"/>
        </w:rPr>
      </w:pPr>
      <w:r>
        <w:rPr>
          <w:rFonts w:asciiTheme="minorEastAsia" w:hAnsiTheme="minorEastAsia" w:eastAsiaTheme="minorEastAsia" w:cstheme="minorEastAsia"/>
          <w:szCs w:val="22"/>
        </w:rPr>
        <w:t>1.1.3 包安全包文明施工：符合国家及省、市的相关规定及招标文件、合同的相关约定要求。</w:t>
      </w:r>
    </w:p>
    <w:p w14:paraId="3556DB9B">
      <w:pPr>
        <w:pStyle w:val="34"/>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1.1.4 包工期：本工程项目施工必须在规定的期限内完成。</w:t>
      </w:r>
    </w:p>
    <w:p w14:paraId="6033A11F">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2"/>
        </w:rPr>
        <w:t xml:space="preserve">1.2 </w:t>
      </w:r>
      <w:r>
        <w:rPr>
          <w:rFonts w:asciiTheme="minorEastAsia" w:hAnsiTheme="minorEastAsia" w:eastAsiaTheme="minorEastAsia" w:cstheme="minorEastAsia"/>
          <w:szCs w:val="24"/>
        </w:rPr>
        <w:t>限额设计要求：</w:t>
      </w:r>
    </w:p>
    <w:p w14:paraId="37B91DF8">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1.2.1施工图预算中的建安工程费不得超过初步设计概算中的建安工程费且不得超过建安工程费的中标价。</w:t>
      </w:r>
    </w:p>
    <w:p w14:paraId="53BF88A9">
      <w:pPr>
        <w:spacing w:line="360" w:lineRule="auto"/>
        <w:ind w:firstLine="480" w:firstLineChars="200"/>
        <w:rPr>
          <w:rFonts w:asciiTheme="minorEastAsia" w:hAnsiTheme="minorEastAsia" w:eastAsiaTheme="minorEastAsia" w:cstheme="minorEastAsia"/>
        </w:rPr>
      </w:pPr>
      <w:r>
        <w:rPr>
          <w:rFonts w:asciiTheme="minorEastAsia" w:hAnsiTheme="minorEastAsia" w:eastAsiaTheme="minorEastAsia" w:cstheme="minorEastAsia"/>
          <w:szCs w:val="24"/>
        </w:rPr>
        <w:t>1.2.2 承包人在提交设计施工图时必须同时提交施工图预算。施工图预算作为承包人自我核算是否符合限额设计要求的依据。若造价咨询单位按施工图编制或审核的建安工程费高于前条1.2.1条规定时，承包人必须无条件对施工图进行修改，直至满足限额设计要求，不另行增加设计费，且由此造成发包人委托的造价咨询单位重复编制或审核施工图预算的费用由承包人承担，结算时在设计费中扣除。</w:t>
      </w:r>
    </w:p>
    <w:p w14:paraId="75EAA5DD">
      <w:pPr>
        <w:pStyle w:val="51"/>
        <w:keepNext/>
        <w:keepLines/>
        <w:ind w:firstLine="480"/>
        <w:jc w:val="both"/>
        <w:rPr>
          <w:rFonts w:hint="eastAsia" w:asciiTheme="minorEastAsia" w:hAnsiTheme="minorEastAsia" w:eastAsiaTheme="minorEastAsia" w:cstheme="minorEastAsia"/>
          <w:b/>
        </w:rPr>
      </w:pPr>
      <w:bookmarkStart w:id="319" w:name="_Toc13383"/>
      <w:bookmarkStart w:id="320" w:name="_Toc10533"/>
      <w:bookmarkStart w:id="321" w:name="_Toc16582"/>
      <w:bookmarkStart w:id="322" w:name="_Toc16000"/>
      <w:bookmarkStart w:id="323" w:name="_Toc27815"/>
      <w:bookmarkStart w:id="324" w:name="_Toc6111"/>
      <w:bookmarkStart w:id="325" w:name="_Toc1359"/>
      <w:bookmarkStart w:id="326" w:name="_Toc3936"/>
      <w:bookmarkStart w:id="327" w:name="_Toc4817"/>
      <w:bookmarkStart w:id="328" w:name="_Toc467587699"/>
      <w:bookmarkStart w:id="329" w:name="_Toc469940920"/>
      <w:bookmarkStart w:id="330" w:name="_Toc20951"/>
      <w:bookmarkStart w:id="331" w:name="_Toc10036"/>
      <w:r>
        <w:rPr>
          <w:rFonts w:hint="eastAsia" w:asciiTheme="minorEastAsia" w:hAnsiTheme="minorEastAsia" w:eastAsiaTheme="minorEastAsia" w:cstheme="minorEastAsia"/>
          <w:b/>
        </w:rPr>
        <w:t>2 施工图工程量清单预算的编制原则</w:t>
      </w:r>
      <w:bookmarkEnd w:id="319"/>
      <w:bookmarkEnd w:id="320"/>
      <w:bookmarkEnd w:id="321"/>
      <w:bookmarkEnd w:id="322"/>
      <w:bookmarkEnd w:id="323"/>
      <w:bookmarkEnd w:id="324"/>
      <w:bookmarkEnd w:id="325"/>
      <w:bookmarkEnd w:id="326"/>
      <w:bookmarkEnd w:id="327"/>
      <w:bookmarkEnd w:id="328"/>
      <w:bookmarkEnd w:id="329"/>
      <w:bookmarkEnd w:id="330"/>
      <w:bookmarkEnd w:id="331"/>
    </w:p>
    <w:p w14:paraId="45EA13C2">
      <w:pPr>
        <w:pStyle w:val="52"/>
        <w:ind w:firstLine="480" w:firstLineChars="200"/>
        <w:jc w:val="left"/>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2.1 施工图设计必须符合本项目限额设计要求。本项目的建安工程费预算价不得超过已批复概算中相应的建安工程费</w:t>
      </w:r>
      <w:r>
        <w:rPr>
          <w:rFonts w:hint="eastAsia" w:asciiTheme="minorEastAsia" w:hAnsiTheme="minorEastAsia" w:eastAsiaTheme="minorEastAsia" w:cstheme="minorEastAsia"/>
          <w:szCs w:val="24"/>
        </w:rPr>
        <w:t>且不得超过建安工程费的中标价</w:t>
      </w:r>
      <w:r>
        <w:rPr>
          <w:rFonts w:hint="eastAsia" w:asciiTheme="minorEastAsia" w:hAnsiTheme="minorEastAsia" w:eastAsiaTheme="minorEastAsia" w:cstheme="minorEastAsia"/>
          <w:kern w:val="0"/>
        </w:rPr>
        <w:t>。否则，承包人必须进行调整，直至符合限额设计要求为止。</w:t>
      </w:r>
    </w:p>
    <w:p w14:paraId="4004D8B6">
      <w:pPr>
        <w:spacing w:line="360" w:lineRule="auto"/>
        <w:ind w:firstLine="480" w:firstLineChars="200"/>
        <w:jc w:val="left"/>
        <w:rPr>
          <w:rFonts w:asciiTheme="minorEastAsia" w:hAnsiTheme="minorEastAsia" w:eastAsiaTheme="minorEastAsia" w:cstheme="minorEastAsia"/>
          <w:i/>
          <w:strike/>
          <w:szCs w:val="24"/>
        </w:rPr>
      </w:pPr>
      <w:r>
        <w:rPr>
          <w:rFonts w:asciiTheme="minorEastAsia" w:hAnsiTheme="minorEastAsia" w:eastAsiaTheme="minorEastAsia" w:cstheme="minorEastAsia"/>
          <w:kern w:val="0"/>
        </w:rPr>
        <w:t>2.2</w:t>
      </w:r>
      <w:r>
        <w:rPr>
          <w:rFonts w:asciiTheme="minorEastAsia" w:hAnsiTheme="minorEastAsia" w:eastAsiaTheme="minorEastAsia" w:cstheme="minorEastAsia"/>
          <w:szCs w:val="24"/>
        </w:rPr>
        <w:t xml:space="preserve"> 施工图工程量清单预算价的编制：承包人根据招标文件及设计任务书、初步设计等相关的文件完成本项目的设计工作，承包人设计的施工图经发包人确认后由发包人委托有资质的审图公司审查，施工图经审查合格后，由承包人编制的施工图工程量清单预算</w:t>
      </w:r>
      <w:r>
        <w:rPr>
          <w:rFonts w:asciiTheme="minorEastAsia" w:hAnsiTheme="minorEastAsia" w:eastAsiaTheme="minorEastAsia" w:cstheme="minorEastAsia"/>
          <w:kern w:val="0"/>
          <w:szCs w:val="24"/>
        </w:rPr>
        <w:t>需经过发包人委托的第三方</w:t>
      </w:r>
      <w:r>
        <w:rPr>
          <w:rFonts w:asciiTheme="minorEastAsia" w:hAnsiTheme="minorEastAsia" w:eastAsiaTheme="minorEastAsia" w:cstheme="minorEastAsia"/>
          <w:szCs w:val="24"/>
        </w:rPr>
        <w:t>造价咨询单位审核</w:t>
      </w:r>
      <w:r>
        <w:rPr>
          <w:rFonts w:asciiTheme="minorEastAsia" w:hAnsiTheme="minorEastAsia" w:eastAsiaTheme="minorEastAsia" w:cstheme="minorEastAsia"/>
          <w:kern w:val="0"/>
          <w:szCs w:val="24"/>
        </w:rPr>
        <w:t>通过后，并报</w:t>
      </w:r>
      <w:r>
        <w:rPr>
          <w:rFonts w:asciiTheme="minorEastAsia" w:hAnsiTheme="minorEastAsia" w:eastAsiaTheme="minorEastAsia" w:cstheme="minorEastAsia"/>
          <w:szCs w:val="24"/>
        </w:rPr>
        <w:t>新丰县财政局投资评审中心</w:t>
      </w:r>
      <w:r>
        <w:rPr>
          <w:rFonts w:asciiTheme="minorEastAsia" w:hAnsiTheme="minorEastAsia" w:eastAsiaTheme="minorEastAsia" w:cstheme="minorEastAsia"/>
          <w:kern w:val="0"/>
          <w:szCs w:val="24"/>
        </w:rPr>
        <w:t>审核</w:t>
      </w:r>
      <w:r>
        <w:rPr>
          <w:rFonts w:asciiTheme="minorEastAsia" w:hAnsiTheme="minorEastAsia" w:eastAsiaTheme="minorEastAsia" w:cstheme="minorEastAsia"/>
          <w:szCs w:val="24"/>
        </w:rPr>
        <w:t>。施工图工程量清单预算的编制依据为：（1）《建设工程工程量清单计价规范》（GB50500—2013）；（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r>
        <w:rPr>
          <w:rFonts w:asciiTheme="minorEastAsia" w:hAnsiTheme="minorEastAsia" w:eastAsiaTheme="minorEastAsia" w:cstheme="minorEastAsia"/>
          <w:kern w:val="0"/>
          <w:szCs w:val="24"/>
        </w:rPr>
        <w:t>工程量按施工图计算，主要材料价格按预算编制时（招标文件所规定的设计预算编制工期内）当季新丰县工程造价管理机构发布的人工、材料、机械台班综合单价（若新丰县未发布信息则依次参照广东省韶关市、广东省清远市、广东省肇庆市、广东省佛山市、广东省东莞市、广东省广州市，若以上城市均没有信息价则按市场询价，市场询价方式优先从京东、国美、苏宁等大型电商平台查询）执行、经发包人确认的材料价格或暂定材料价格计算，规费、税金等其它费用则按有关规定计算（费率有上、下限的按平均值计算），预算包干费按2018年广东省计价办法的规定计算，赶工措施费不另行计算。</w:t>
      </w:r>
    </w:p>
    <w:p w14:paraId="14FA92CA">
      <w:pPr>
        <w:pStyle w:val="3"/>
        <w:keepNext/>
        <w:keepLines/>
        <w:spacing w:line="360" w:lineRule="auto"/>
        <w:ind w:firstLine="480"/>
        <w:jc w:val="both"/>
        <w:rPr>
          <w:rFonts w:asciiTheme="minorEastAsia" w:hAnsiTheme="minorEastAsia" w:eastAsiaTheme="minorEastAsia" w:cstheme="minorEastAsia"/>
          <w:b/>
          <w:kern w:val="2"/>
          <w:szCs w:val="24"/>
        </w:rPr>
      </w:pPr>
      <w:bookmarkStart w:id="332" w:name="_Toc28537"/>
      <w:bookmarkStart w:id="333" w:name="_Toc3958"/>
      <w:bookmarkStart w:id="334" w:name="_Toc2286"/>
      <w:bookmarkStart w:id="335" w:name="_Toc6675"/>
      <w:bookmarkStart w:id="336" w:name="_Toc30405"/>
      <w:bookmarkStart w:id="337" w:name="_Toc13437"/>
      <w:bookmarkStart w:id="338" w:name="_Toc14948"/>
      <w:bookmarkStart w:id="339" w:name="_Toc31011"/>
      <w:bookmarkStart w:id="340" w:name="_Toc755"/>
      <w:bookmarkStart w:id="341" w:name="_Toc466640604"/>
      <w:bookmarkStart w:id="342" w:name="_Toc25565"/>
      <w:bookmarkStart w:id="343" w:name="_Toc11307"/>
      <w:bookmarkStart w:id="344" w:name="_Hlt87948447"/>
      <w:bookmarkStart w:id="345" w:name="_Hlt87948449"/>
      <w:r>
        <w:rPr>
          <w:rFonts w:asciiTheme="minorEastAsia" w:hAnsiTheme="minorEastAsia" w:eastAsiaTheme="minorEastAsia" w:cstheme="minorEastAsia"/>
          <w:b/>
          <w:kern w:val="2"/>
          <w:szCs w:val="24"/>
        </w:rPr>
        <w:t>3 工程结算原则</w:t>
      </w:r>
      <w:bookmarkEnd w:id="332"/>
      <w:bookmarkEnd w:id="333"/>
      <w:bookmarkEnd w:id="334"/>
      <w:bookmarkEnd w:id="335"/>
      <w:bookmarkEnd w:id="336"/>
      <w:bookmarkEnd w:id="337"/>
      <w:bookmarkEnd w:id="338"/>
      <w:bookmarkEnd w:id="339"/>
      <w:bookmarkEnd w:id="340"/>
      <w:bookmarkEnd w:id="341"/>
      <w:bookmarkEnd w:id="342"/>
      <w:bookmarkEnd w:id="343"/>
    </w:p>
    <w:p w14:paraId="6BDE0C99">
      <w:pPr>
        <w:spacing w:line="360" w:lineRule="auto"/>
        <w:ind w:firstLine="480" w:firstLineChars="200"/>
        <w:jc w:val="left"/>
        <w:rPr>
          <w:rFonts w:asciiTheme="minorEastAsia" w:hAnsiTheme="minorEastAsia" w:eastAsiaTheme="minorEastAsia" w:cstheme="minorEastAsia"/>
          <w:szCs w:val="24"/>
        </w:rPr>
      </w:pPr>
      <w:r>
        <w:rPr>
          <w:rFonts w:asciiTheme="minorEastAsia" w:hAnsiTheme="minorEastAsia" w:eastAsiaTheme="minorEastAsia" w:cstheme="minorEastAsia"/>
          <w:szCs w:val="24"/>
        </w:rPr>
        <w:t>3.1设计费结算原则：设计费按中标价包干，结算时不作任何调整</w:t>
      </w:r>
      <w:r>
        <w:rPr>
          <w:rFonts w:asciiTheme="minorEastAsia" w:hAnsiTheme="minorEastAsia" w:eastAsiaTheme="minorEastAsia" w:cstheme="minorEastAsia"/>
          <w:kern w:val="1"/>
          <w:szCs w:val="24"/>
        </w:rPr>
        <w:t>。</w:t>
      </w:r>
    </w:p>
    <w:p w14:paraId="409632C8">
      <w:pPr>
        <w:spacing w:line="360" w:lineRule="auto"/>
        <w:ind w:firstLine="480" w:firstLineChars="200"/>
        <w:jc w:val="left"/>
        <w:rPr>
          <w:rFonts w:asciiTheme="minorEastAsia" w:hAnsiTheme="minorEastAsia" w:eastAsiaTheme="minorEastAsia" w:cstheme="minorEastAsia"/>
          <w:strike/>
          <w:szCs w:val="24"/>
        </w:rPr>
      </w:pPr>
      <w:r>
        <w:rPr>
          <w:rFonts w:asciiTheme="minorEastAsia" w:hAnsiTheme="minorEastAsia" w:eastAsiaTheme="minorEastAsia" w:cstheme="minorEastAsia"/>
          <w:szCs w:val="24"/>
        </w:rPr>
        <w:t>3.2工程费用结算基准价的确定：以第2</w:t>
      </w:r>
      <w:r>
        <w:rPr>
          <w:rFonts w:asciiTheme="minorEastAsia" w:hAnsiTheme="minorEastAsia" w:eastAsiaTheme="minorEastAsia" w:cstheme="minorEastAsia"/>
          <w:b/>
        </w:rPr>
        <w:t>～</w:t>
      </w:r>
      <w:r>
        <w:rPr>
          <w:rFonts w:asciiTheme="minorEastAsia" w:hAnsiTheme="minorEastAsia" w:eastAsiaTheme="minorEastAsia" w:cstheme="minorEastAsia"/>
          <w:szCs w:val="24"/>
        </w:rPr>
        <w:t>2条工程预算价编制原则编制的经审核后的预算价乘以（1－承包人中标下浮率）作为此工程项目的建安工程结算基准价（不含预备费）。</w:t>
      </w:r>
    </w:p>
    <w:p w14:paraId="5D26FD65">
      <w:pPr>
        <w:spacing w:line="360" w:lineRule="auto"/>
        <w:ind w:firstLine="480" w:firstLineChars="200"/>
        <w:jc w:val="left"/>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3.3</w:t>
      </w:r>
      <w:r>
        <w:rPr>
          <w:rFonts w:asciiTheme="minorEastAsia" w:hAnsiTheme="minorEastAsia" w:eastAsiaTheme="minorEastAsia" w:cstheme="minorEastAsia"/>
          <w:szCs w:val="24"/>
        </w:rPr>
        <w:t>工程</w:t>
      </w:r>
      <w:r>
        <w:rPr>
          <w:rFonts w:asciiTheme="minorEastAsia" w:hAnsiTheme="minorEastAsia" w:eastAsiaTheme="minorEastAsia" w:cstheme="minorEastAsia"/>
          <w:kern w:val="0"/>
          <w:szCs w:val="24"/>
        </w:rPr>
        <w:t>费用结算原则：发包人在不增减建设规模的情况下，结算价即为</w:t>
      </w:r>
      <w:r>
        <w:rPr>
          <w:rFonts w:asciiTheme="minorEastAsia" w:hAnsiTheme="minorEastAsia" w:eastAsiaTheme="minorEastAsia" w:cstheme="minorEastAsia"/>
          <w:szCs w:val="24"/>
        </w:rPr>
        <w:t>结算基准价</w:t>
      </w:r>
      <w:r>
        <w:rPr>
          <w:rFonts w:asciiTheme="minorEastAsia" w:hAnsiTheme="minorEastAsia" w:eastAsiaTheme="minorEastAsia" w:cstheme="minorEastAsia"/>
          <w:kern w:val="0"/>
          <w:szCs w:val="24"/>
        </w:rPr>
        <w:t>，但下列情形除外：</w:t>
      </w:r>
    </w:p>
    <w:p w14:paraId="3BD3E442">
      <w:pPr>
        <w:spacing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3.3.1 国家政策性人工价差调整：</w:t>
      </w:r>
      <w:r>
        <w:rPr>
          <w:rFonts w:asciiTheme="minorEastAsia" w:hAnsiTheme="minorEastAsia" w:eastAsiaTheme="minorEastAsia" w:cstheme="minorEastAsia"/>
          <w:kern w:val="0"/>
          <w:szCs w:val="24"/>
        </w:rPr>
        <w:t>调整方式按省、市有关规定调整。</w:t>
      </w:r>
    </w:p>
    <w:p w14:paraId="4AE88647">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3.3.2 当后继相关法律、法规、规章和政策引起安全文明施工费发生变化时，应当按照省建设行政主管部门或省、韶关市、新丰县工程造价管理机构据此发布的规定调整；</w:t>
      </w:r>
    </w:p>
    <w:p w14:paraId="55742483">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3.3.3 当后继相关法律、法规、规章和政策引起规费、税金等发生变化时，应当按照省政府或省、韶关市、新丰县有关主管部门据此发布的规定调整；</w:t>
      </w:r>
    </w:p>
    <w:p w14:paraId="63A9A3CF">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3.3.4 当施工期间市场物价发生涨落，引起工程所在地工程造价管理机构发布的价格信息中材料价格变化，主要建筑材料价格浮动超过±5%（指钢材、商品砼、商品砂浆、水泥、砂、石等主要材料），则双方同意调整5％以外部分价差；</w:t>
      </w:r>
      <w:r>
        <w:rPr>
          <w:rFonts w:asciiTheme="minorEastAsia" w:hAnsiTheme="minorEastAsia" w:eastAsiaTheme="minorEastAsia" w:cstheme="minorEastAsia"/>
          <w:kern w:val="0"/>
          <w:szCs w:val="24"/>
        </w:rPr>
        <w:t>人工费</w:t>
      </w:r>
      <w:r>
        <w:rPr>
          <w:rFonts w:asciiTheme="minorEastAsia" w:hAnsiTheme="minorEastAsia" w:eastAsiaTheme="minorEastAsia" w:cstheme="minorEastAsia"/>
          <w:szCs w:val="24"/>
        </w:rPr>
        <w:t>根据国家政策按实调整；机械费浮动超过±10%，双方同意调整10％以外部分价差。其工、料、机消耗量以发包人确认的</w:t>
      </w:r>
      <w:r>
        <w:rPr>
          <w:rFonts w:asciiTheme="minorEastAsia" w:hAnsiTheme="minorEastAsia" w:eastAsiaTheme="minorEastAsia" w:cstheme="minorEastAsia"/>
          <w:kern w:val="0"/>
          <w:szCs w:val="24"/>
        </w:rPr>
        <w:t>施工图工程量清单预算</w:t>
      </w:r>
      <w:r>
        <w:rPr>
          <w:rFonts w:asciiTheme="minorEastAsia" w:hAnsiTheme="minorEastAsia" w:eastAsiaTheme="minorEastAsia" w:cstheme="minorEastAsia"/>
          <w:szCs w:val="24"/>
        </w:rPr>
        <w:t>及进度中的消耗量为准。</w:t>
      </w:r>
    </w:p>
    <w:p w14:paraId="7DFE1D74">
      <w:pPr>
        <w:spacing w:line="440" w:lineRule="exact"/>
        <w:ind w:firstLine="482" w:firstLineChars="200"/>
        <w:rPr>
          <w:rFonts w:asciiTheme="minorEastAsia" w:hAnsiTheme="minorEastAsia" w:eastAsiaTheme="minorEastAsia" w:cstheme="minorEastAsia"/>
          <w:b/>
          <w:bCs/>
          <w:kern w:val="0"/>
          <w:szCs w:val="24"/>
          <w:u w:val="single"/>
        </w:rPr>
      </w:pPr>
      <w:r>
        <w:rPr>
          <w:rFonts w:asciiTheme="minorEastAsia" w:hAnsiTheme="minorEastAsia" w:eastAsiaTheme="minorEastAsia" w:cstheme="minorEastAsia"/>
          <w:b/>
          <w:bCs/>
          <w:kern w:val="0"/>
          <w:szCs w:val="24"/>
          <w:u w:val="single"/>
        </w:rPr>
        <w:t>注：人工费、材料单价、机械台班的价差调整基数是以施工当季《新丰县建筑工程造价信息》</w:t>
      </w:r>
      <w:r>
        <w:rPr>
          <w:rFonts w:asciiTheme="minorEastAsia" w:hAnsiTheme="minorEastAsia" w:eastAsiaTheme="minorEastAsia" w:cstheme="minorEastAsia"/>
          <w:b/>
          <w:bCs/>
          <w:szCs w:val="24"/>
          <w:u w:val="single"/>
        </w:rPr>
        <w:t>（如信息价没有时参考施工当月&lt;韶关建筑工程造价信息&gt;）</w:t>
      </w:r>
      <w:r>
        <w:rPr>
          <w:rFonts w:asciiTheme="minorEastAsia" w:hAnsiTheme="minorEastAsia" w:eastAsiaTheme="minorEastAsia" w:cstheme="minorEastAsia"/>
          <w:b/>
          <w:bCs/>
          <w:kern w:val="0"/>
          <w:szCs w:val="24"/>
          <w:u w:val="single"/>
        </w:rPr>
        <w:t>公布的信息价（包括人工费、材料单价、机械台班）为F1与编制施工图工程量清单预算当季</w:t>
      </w:r>
      <w:r>
        <w:rPr>
          <w:rFonts w:asciiTheme="minorEastAsia" w:hAnsiTheme="minorEastAsia" w:eastAsiaTheme="minorEastAsia" w:cstheme="minorEastAsia"/>
          <w:b/>
          <w:kern w:val="0"/>
          <w:szCs w:val="24"/>
          <w:u w:val="single"/>
        </w:rPr>
        <w:t>（招标文件所规定的设计预算编制工期内）</w:t>
      </w:r>
      <w:r>
        <w:rPr>
          <w:rFonts w:asciiTheme="minorEastAsia" w:hAnsiTheme="minorEastAsia" w:eastAsiaTheme="minorEastAsia" w:cstheme="minorEastAsia"/>
          <w:b/>
          <w:bCs/>
          <w:kern w:val="0"/>
          <w:szCs w:val="24"/>
          <w:u w:val="single"/>
        </w:rPr>
        <w:t>《新丰县建筑工程造价信息》</w:t>
      </w:r>
      <w:r>
        <w:rPr>
          <w:rFonts w:asciiTheme="minorEastAsia" w:hAnsiTheme="minorEastAsia" w:eastAsiaTheme="minorEastAsia" w:cstheme="minorEastAsia"/>
          <w:b/>
          <w:bCs/>
          <w:szCs w:val="24"/>
          <w:u w:val="single"/>
        </w:rPr>
        <w:t>（如信息价没有时参考预算编制当月</w:t>
      </w:r>
      <w:r>
        <w:rPr>
          <w:rFonts w:asciiTheme="minorEastAsia" w:hAnsiTheme="minorEastAsia" w:eastAsiaTheme="minorEastAsia" w:cstheme="minorEastAsia"/>
          <w:b/>
          <w:kern w:val="0"/>
          <w:szCs w:val="24"/>
          <w:u w:val="single"/>
        </w:rPr>
        <w:t>（招标文件所规定的设计预算编制工期内）</w:t>
      </w:r>
      <w:r>
        <w:rPr>
          <w:rFonts w:asciiTheme="minorEastAsia" w:hAnsiTheme="minorEastAsia" w:eastAsiaTheme="minorEastAsia" w:cstheme="minorEastAsia"/>
          <w:b/>
          <w:bCs/>
          <w:szCs w:val="24"/>
          <w:u w:val="single"/>
        </w:rPr>
        <w:t>&lt;韶关建筑工程造价信息&gt;）</w:t>
      </w:r>
      <w:r>
        <w:rPr>
          <w:rFonts w:asciiTheme="minorEastAsia" w:hAnsiTheme="minorEastAsia" w:eastAsiaTheme="minorEastAsia" w:cstheme="minorEastAsia"/>
          <w:b/>
          <w:bCs/>
          <w:kern w:val="0"/>
          <w:szCs w:val="24"/>
          <w:u w:val="single"/>
        </w:rPr>
        <w:t>公布的信息价（包括人工费、材料单价、机械台班）F0比较。</w:t>
      </w:r>
    </w:p>
    <w:p w14:paraId="18BCE281">
      <w:pPr>
        <w:spacing w:line="360" w:lineRule="auto"/>
        <w:ind w:firstLine="480" w:firstLineChars="200"/>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1）人工费调整方式：按省、市有关规定调整。</w:t>
      </w:r>
    </w:p>
    <w:p w14:paraId="214A2FFA">
      <w:pPr>
        <w:spacing w:line="360" w:lineRule="auto"/>
        <w:ind w:firstLine="480" w:firstLineChars="200"/>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2）材料补差方式：</w:t>
      </w:r>
    </w:p>
    <w:p w14:paraId="361F5DBE">
      <w:pPr>
        <w:spacing w:line="360" w:lineRule="auto"/>
        <w:ind w:firstLine="480" w:firstLineChars="200"/>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调价系数A=（F1-F0）÷F0×100%</w:t>
      </w:r>
    </w:p>
    <w:p w14:paraId="6C5C0648">
      <w:pPr>
        <w:spacing w:line="360" w:lineRule="auto"/>
        <w:ind w:firstLine="480" w:firstLineChars="200"/>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当材料涨价时，材料补差= F0×（A-5%），当材料跌价时，材料补差= F0×（A+5%），材料补差只计算相应的规费和税金。</w:t>
      </w:r>
    </w:p>
    <w:p w14:paraId="2169E434">
      <w:pPr>
        <w:spacing w:line="360" w:lineRule="auto"/>
        <w:ind w:firstLine="480" w:firstLineChars="200"/>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3）施工机械使用费补差方式：</w:t>
      </w:r>
    </w:p>
    <w:p w14:paraId="76647607">
      <w:pPr>
        <w:spacing w:line="360" w:lineRule="auto"/>
        <w:ind w:firstLine="480" w:firstLineChars="200"/>
        <w:rPr>
          <w:rFonts w:asciiTheme="minorEastAsia" w:hAnsiTheme="minorEastAsia" w:eastAsiaTheme="minorEastAsia" w:cstheme="minorEastAsia"/>
          <w:kern w:val="0"/>
          <w:szCs w:val="24"/>
        </w:rPr>
      </w:pPr>
      <w:r>
        <w:rPr>
          <w:rFonts w:asciiTheme="minorEastAsia" w:hAnsiTheme="minorEastAsia" w:eastAsiaTheme="minorEastAsia" w:cstheme="minorEastAsia"/>
          <w:kern w:val="0"/>
          <w:szCs w:val="24"/>
        </w:rPr>
        <w:t>调价系数A=（F1-F0）÷F0×100%</w:t>
      </w:r>
    </w:p>
    <w:p w14:paraId="0710F444">
      <w:pPr>
        <w:spacing w:line="360" w:lineRule="auto"/>
        <w:ind w:firstLine="480" w:firstLineChars="200"/>
        <w:rPr>
          <w:rFonts w:asciiTheme="minorEastAsia" w:hAnsiTheme="minorEastAsia" w:eastAsiaTheme="minorEastAsia" w:cstheme="minorEastAsia"/>
        </w:rPr>
      </w:pPr>
      <w:r>
        <w:rPr>
          <w:rFonts w:asciiTheme="minorEastAsia" w:hAnsiTheme="minorEastAsia" w:eastAsiaTheme="minorEastAsia" w:cstheme="minorEastAsia"/>
          <w:kern w:val="0"/>
          <w:szCs w:val="24"/>
        </w:rPr>
        <w:t>当施工机械台班费涨价时，机械台班补差= F0×（A-10%），当施工机械台班费跌价时，机械台班补差= F0×（A+10%）， 施工机械使用费补差只计算相应的规费和税金。</w:t>
      </w:r>
    </w:p>
    <w:p w14:paraId="307782C9">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4）若项目规模、建设标准等发生变化，因变化而发生的措施项目费结算时进行相应增减。</w:t>
      </w:r>
    </w:p>
    <w:p w14:paraId="73E127B1">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5）施工合同履行期间，由于非承包人原因导致工程变更的，发、承包双方应当按照GB50500-2013年《建设工程工程量清单计价规范》和省的有关规定，依据实际变更项目调整工程价款。工程变更引起工程量发生变化，出现本合同价款调整方式第3.3.5款情形的，应当按照其规定调整；其他情形的，按照以下规定调整：</w:t>
      </w:r>
    </w:p>
    <w:p w14:paraId="1FBCA6DE">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①结算基准价中有适用于变更工程项目的，按照该项目的单价或合价调整；</w:t>
      </w:r>
    </w:p>
    <w:p w14:paraId="235A45FA">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②结算基准价中没有适用、只有类似于变更工程项目的，可在合理范围内参照类似项目的单价或合价调整；</w:t>
      </w:r>
    </w:p>
    <w:p w14:paraId="593B4B8E">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③结算基准价中没有适用也没有类似于变更工程项目的，根据变更工程资料、计量规则和计价办法、施工期间工程造价管理机构发布的价格信息，按本结算原则第3.3.5款重新确定综合单价后，相应调整工程价款；</w:t>
      </w:r>
    </w:p>
    <w:p w14:paraId="52CE6837">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④结算基准价中没有适用也没有类似于变更工程项目，且施工期间工程造价管理机构发布的价格信息缺项的，根据变更工程资料、计量规则、计价办法和通过市场调查等的有合法依据的市场价格，按本原则第3.3.5条提出变更工程项目的单价或合价，经发、承包双方确认后调整；</w:t>
      </w:r>
    </w:p>
    <w:p w14:paraId="5380F9D2">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⑤如发包人只调整材料的等级、规格或品牌，则其综合单价按结算基准价中单价＋该项材料的价差（经发包人审定后的材料单价-结算基准价中的材料单价）进行调整，规费、税金按有关规定调整。</w:t>
      </w:r>
    </w:p>
    <w:p w14:paraId="15FCC016">
      <w:pPr>
        <w:spacing w:line="360" w:lineRule="auto"/>
        <w:rPr>
          <w:rFonts w:asciiTheme="minorEastAsia" w:hAnsiTheme="minorEastAsia" w:eastAsiaTheme="minorEastAsia" w:cstheme="minorEastAsia"/>
          <w:kern w:val="0"/>
          <w:szCs w:val="24"/>
        </w:rPr>
      </w:pPr>
      <w:r>
        <w:rPr>
          <w:rFonts w:asciiTheme="minorEastAsia" w:hAnsiTheme="minorEastAsia" w:eastAsiaTheme="minorEastAsia" w:cstheme="minorEastAsia"/>
          <w:szCs w:val="24"/>
        </w:rPr>
        <w:t xml:space="preserve">    6）建设工程完工后，发、承包双方和受其委托具有相应资质的工程造价咨询企业必须按照GB50500-2013年《建设工程工程量清单计价规范》和省的有关规定办理竣工结算。</w:t>
      </w:r>
    </w:p>
    <w:p w14:paraId="1C61DAD2">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3.3.5 工程造价调整项目若是结算基准价中没有的项目，其造价调整如下：</w:t>
      </w:r>
    </w:p>
    <w:p w14:paraId="7114610F">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按（1）GB50500-2013年《建设工程工程量清单计价规范》、（2）2018年广东省建设工程计价依据（包括2018年《广东省市政工程综合定额》、2018年《广东省房屋建筑与装饰工程综合定额》、2018年《广东省通用安装工程综合定额》、2018年《广东省园林绿化工程综合定额》、2018年《广东省建设工程施工机具台班费用编制规则》），工程量按发、承包双方签证确认的、应予计量的实际完成的工程量计算，主要材料价格按施工同期工程所在地工程造价管理机构发布的价格信息中的综合单价计算，工程所在地工程造价管理机构发布的价格信息中参考价没有的材料价由发、承包双方市场询价确定，规费、税金等其它费用则按有关规定计算（费率有上、下限的以下限计算），预算包干费及赶工措施费不予计算。经发包人或其指定的有关单位审核，经审核后的造价按承包人的建安工程费中标下浮率下浮后作为工程结算价。</w:t>
      </w:r>
    </w:p>
    <w:p w14:paraId="35DC7430">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清单项目如只单独调整人工、材料、机械台班价差的，其人工、材料、机械台班消耗量均以审定施工图预算中的该清单项目的人工、材料、机械台班消耗量为准。</w:t>
      </w:r>
    </w:p>
    <w:p w14:paraId="6562131A">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承包人不得以不完全了解现场情况为理由，提出额外付款或延长工期等要求。对此类要求，发包人不作任何考虑及答复。</w:t>
      </w:r>
    </w:p>
    <w:p w14:paraId="7E83B916">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合同履行期间，由于承包人原因导致发生设计变更或现场签证的，由此增加的工程造价费用，由承包人自行承担，发包人不予以考虑和补偿，同时按相关违约条款处罚。</w:t>
      </w:r>
    </w:p>
    <w:p w14:paraId="1E608FBC">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kern w:val="0"/>
          <w:szCs w:val="24"/>
        </w:rPr>
        <w:t xml:space="preserve">    3.4 如发包人减少建设规模，则</w:t>
      </w:r>
      <w:r>
        <w:rPr>
          <w:rFonts w:asciiTheme="minorEastAsia" w:hAnsiTheme="minorEastAsia" w:eastAsiaTheme="minorEastAsia" w:cstheme="minorEastAsia"/>
          <w:szCs w:val="24"/>
        </w:rPr>
        <w:t>根据</w:t>
      </w:r>
      <w:r>
        <w:rPr>
          <w:rFonts w:asciiTheme="minorEastAsia" w:hAnsiTheme="minorEastAsia" w:eastAsiaTheme="minorEastAsia" w:cstheme="minorEastAsia"/>
          <w:kern w:val="0"/>
          <w:szCs w:val="24"/>
        </w:rPr>
        <w:t>经发包人确认的预算书</w:t>
      </w:r>
      <w:r>
        <w:rPr>
          <w:rFonts w:asciiTheme="minorEastAsia" w:hAnsiTheme="minorEastAsia" w:eastAsiaTheme="minorEastAsia" w:cstheme="minorEastAsia"/>
          <w:szCs w:val="24"/>
        </w:rPr>
        <w:t>扣减减少</w:t>
      </w:r>
      <w:r>
        <w:rPr>
          <w:rFonts w:asciiTheme="minorEastAsia" w:hAnsiTheme="minorEastAsia" w:eastAsiaTheme="minorEastAsia" w:cstheme="minorEastAsia"/>
          <w:kern w:val="0"/>
          <w:szCs w:val="24"/>
        </w:rPr>
        <w:t>部分工程造价。</w:t>
      </w:r>
      <w:r>
        <w:rPr>
          <w:rFonts w:asciiTheme="minorEastAsia" w:hAnsiTheme="minorEastAsia" w:eastAsiaTheme="minorEastAsia" w:cstheme="minorEastAsia"/>
          <w:szCs w:val="24"/>
        </w:rPr>
        <w:t>最终结算价由新丰县财政局投资评审中心审定为准</w:t>
      </w:r>
      <w:r>
        <w:rPr>
          <w:rFonts w:asciiTheme="minorEastAsia" w:hAnsiTheme="minorEastAsia" w:eastAsiaTheme="minorEastAsia" w:cstheme="minorEastAsia"/>
          <w:kern w:val="0"/>
          <w:szCs w:val="24"/>
        </w:rPr>
        <w:t xml:space="preserve">。 </w:t>
      </w:r>
    </w:p>
    <w:p w14:paraId="7976D3D2">
      <w:pPr>
        <w:spacing w:line="360" w:lineRule="auto"/>
        <w:rPr>
          <w:rFonts w:asciiTheme="minorEastAsia" w:hAnsiTheme="minorEastAsia" w:eastAsiaTheme="minorEastAsia" w:cstheme="minorEastAsia"/>
          <w:strike/>
          <w:szCs w:val="24"/>
        </w:rPr>
      </w:pPr>
      <w:r>
        <w:rPr>
          <w:rFonts w:asciiTheme="minorEastAsia" w:hAnsiTheme="minorEastAsia" w:eastAsiaTheme="minorEastAsia" w:cstheme="minorEastAsia"/>
          <w:szCs w:val="24"/>
        </w:rPr>
        <w:t xml:space="preserve">    3.5 预备费：</w:t>
      </w:r>
      <w:r>
        <w:rPr>
          <w:rFonts w:asciiTheme="minorEastAsia" w:hAnsiTheme="minorEastAsia" w:eastAsiaTheme="minorEastAsia" w:cstheme="minorEastAsia"/>
          <w:b/>
          <w:szCs w:val="24"/>
        </w:rPr>
        <w:t>由发包人掌握使用，不发生时不计入结算总价。使用范围用于以下情形：</w:t>
      </w:r>
    </w:p>
    <w:p w14:paraId="5EA905CA">
      <w:pPr>
        <w:spacing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（1）由于发包人的要求导致发生设计变更或合同约定调整因素出现时的工程价款调整以及发生的索赔、现场签证等，其工程量按实调整，结算时按实际施工工作量及招标文件、合同约定进行结算，</w:t>
      </w:r>
      <w:r>
        <w:rPr>
          <w:rFonts w:asciiTheme="minorEastAsia" w:hAnsiTheme="minorEastAsia" w:eastAsiaTheme="minorEastAsia" w:cstheme="minorEastAsia"/>
          <w:b/>
          <w:szCs w:val="24"/>
        </w:rPr>
        <w:t>不发生时不计入结算总价</w:t>
      </w:r>
      <w:r>
        <w:rPr>
          <w:rFonts w:asciiTheme="minorEastAsia" w:hAnsiTheme="minorEastAsia" w:eastAsiaTheme="minorEastAsia" w:cstheme="minorEastAsia"/>
          <w:szCs w:val="24"/>
        </w:rPr>
        <w:t>。</w:t>
      </w:r>
    </w:p>
    <w:p w14:paraId="155002CF">
      <w:pPr>
        <w:spacing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（2）国家政策变化导致的调整。</w:t>
      </w:r>
    </w:p>
    <w:p w14:paraId="39886C4F">
      <w:pPr>
        <w:spacing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（3）施工期间市场物价涨落，引起工程所在地工程造价管理机构发布的价格信息中材料价格变化，主要建筑材料（具体参照第3.3.4条款）价格浮动超过+5%的。</w:t>
      </w:r>
    </w:p>
    <w:p w14:paraId="41AFD383">
      <w:pPr>
        <w:spacing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（4）施工合同签订时尚未确定或者不可预见的所需材料、设备、服务的采购。结算时按实际发生根据本招标文件的工程结算原则第3.3.5款进行结算。</w:t>
      </w:r>
    </w:p>
    <w:p w14:paraId="11522701">
      <w:pPr>
        <w:spacing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（5）因不可预见的原因施工局部调整或施工技术工艺调整或应急工作需要发生的工程量。</w:t>
      </w:r>
    </w:p>
    <w:p w14:paraId="17AEFFBF">
      <w:pPr>
        <w:spacing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（6）土石方工程等相应的投资概算范围之外的及因地质情况引起的基础变更的工程价款调整：其工程量按实调整，结算时按实际施工工作量及招标文件、合同约定进行结算。</w:t>
      </w:r>
    </w:p>
    <w:p w14:paraId="2F960693">
      <w:pPr>
        <w:spacing w:line="500" w:lineRule="exact"/>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3.6 预算包干费：根据2018年《广东省市政工程综合定额》、2018年《广东省房屋建筑与装饰工程综合定额》、2018年《广东省通用安装工程综合定额》、2018年《广东省园林绿化工程综合定额》，以各专业分部分项的人工费与施工机具费之和为基础计算预算包干费。本工程的预算包干内容包括：按《广东省建设工程计价依据（2018）》相关规定。</w:t>
      </w:r>
    </w:p>
    <w:p w14:paraId="2986F41E">
      <w:pPr>
        <w:spacing w:line="500" w:lineRule="exact"/>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3.7本工程结算不另行计取高温补贴费用、预算编制费、专业分包总包服务及配合费、设计优化及修改增加的费用。</w:t>
      </w:r>
    </w:p>
    <w:p w14:paraId="394FFE03">
      <w:pPr>
        <w:spacing w:line="500" w:lineRule="exact"/>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3.8 本工程暂估价（若有）为发包人用于支付必然发生但暂时不能确定价格的材料、工程设备的单价以及专业工程的金额，其结算原则按本章“2～3 工程结算原则”有关条款进行结算，结算时不得超过预算中所列相应的暂估价。</w:t>
      </w:r>
    </w:p>
    <w:p w14:paraId="4CD08E22">
      <w:pPr>
        <w:spacing w:line="500" w:lineRule="exact"/>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3.9 因本项目为设计、施工总承包，如果设计图纸、施工图预算由于设计深度原因导致的设计变更，不另行增加费用。</w:t>
      </w:r>
    </w:p>
    <w:p w14:paraId="77E98E68">
      <w:pPr>
        <w:spacing w:line="500" w:lineRule="exact"/>
        <w:ind w:firstLine="480" w:firstLineChars="200"/>
        <w:rPr>
          <w:rFonts w:asciiTheme="minorEastAsia" w:hAnsiTheme="minorEastAsia" w:eastAsiaTheme="minorEastAsia" w:cstheme="minorEastAsia"/>
        </w:rPr>
      </w:pPr>
      <w:r>
        <w:rPr>
          <w:rFonts w:asciiTheme="minorEastAsia" w:hAnsiTheme="minorEastAsia" w:eastAsiaTheme="minorEastAsia" w:cstheme="minorEastAsia"/>
          <w:szCs w:val="24"/>
        </w:rPr>
        <w:t>3.10 项目工程费用最终结算价以新丰县财政局投资评审中心的审定意见为准：若最终结算价超过中标价，则按中标价结算；若最终结算价未超过中标价，则按新丰县财政局投资评审中心审定的结算价进行结算。</w:t>
      </w:r>
    </w:p>
    <w:bookmarkEnd w:id="344"/>
    <w:bookmarkEnd w:id="345"/>
    <w:p w14:paraId="560926BD">
      <w:pPr>
        <w:pStyle w:val="36"/>
        <w:keepNext/>
        <w:keepLines/>
        <w:spacing w:line="500" w:lineRule="exact"/>
        <w:ind w:firstLine="480"/>
        <w:jc w:val="both"/>
        <w:rPr>
          <w:rFonts w:hint="eastAsia" w:asciiTheme="minorEastAsia" w:hAnsiTheme="minorEastAsia" w:eastAsiaTheme="minorEastAsia" w:cstheme="minorEastAsia"/>
          <w:b/>
          <w:kern w:val="2"/>
          <w:szCs w:val="24"/>
        </w:rPr>
      </w:pPr>
      <w:bookmarkStart w:id="346" w:name="_Hlt112206782"/>
      <w:bookmarkEnd w:id="346"/>
      <w:bookmarkStart w:id="347" w:name="_Toc2973"/>
      <w:bookmarkStart w:id="348" w:name="_Toc322793290"/>
      <w:bookmarkStart w:id="349" w:name="_Toc23408"/>
      <w:bookmarkStart w:id="350" w:name="_Toc29998"/>
      <w:bookmarkStart w:id="351" w:name="_Toc15300"/>
      <w:bookmarkStart w:id="352" w:name="_Toc326916631"/>
      <w:bookmarkStart w:id="353" w:name="_Toc11208"/>
      <w:bookmarkStart w:id="354" w:name="_Toc30894"/>
      <w:bookmarkStart w:id="355" w:name="_Toc23009"/>
      <w:bookmarkStart w:id="356" w:name="_Toc20983"/>
      <w:bookmarkStart w:id="357" w:name="_Toc16793"/>
      <w:bookmarkStart w:id="358" w:name="_Toc16341"/>
      <w:bookmarkStart w:id="359" w:name="_Toc24211"/>
      <w:bookmarkStart w:id="360" w:name="_Hlt87951777"/>
      <w:r>
        <w:rPr>
          <w:rFonts w:hint="eastAsia" w:asciiTheme="minorEastAsia" w:hAnsiTheme="minorEastAsia" w:eastAsiaTheme="minorEastAsia" w:cstheme="minorEastAsia"/>
          <w:b/>
          <w:kern w:val="2"/>
          <w:szCs w:val="24"/>
        </w:rPr>
        <w:t>4 工程付款办法</w:t>
      </w:r>
      <w:bookmarkEnd w:id="347"/>
      <w:bookmarkEnd w:id="348"/>
      <w:bookmarkEnd w:id="349"/>
      <w:bookmarkEnd w:id="350"/>
      <w:bookmarkEnd w:id="351"/>
      <w:bookmarkEnd w:id="352"/>
      <w:bookmarkEnd w:id="353"/>
      <w:bookmarkEnd w:id="354"/>
      <w:bookmarkEnd w:id="355"/>
      <w:bookmarkEnd w:id="356"/>
      <w:bookmarkEnd w:id="357"/>
      <w:bookmarkEnd w:id="358"/>
      <w:bookmarkEnd w:id="359"/>
    </w:p>
    <w:bookmarkEnd w:id="360"/>
    <w:p w14:paraId="381FFD59">
      <w:pPr>
        <w:pStyle w:val="34"/>
        <w:spacing w:line="500" w:lineRule="exact"/>
        <w:ind w:firstLine="480"/>
        <w:rPr>
          <w:rFonts w:hint="eastAsia" w:asciiTheme="minorEastAsia" w:hAnsiTheme="minorEastAsia" w:eastAsiaTheme="minorEastAsia" w:cstheme="minorEastAsia"/>
          <w:szCs w:val="22"/>
        </w:rPr>
      </w:pPr>
      <w:bookmarkStart w:id="361" w:name="_Hlt69700007"/>
      <w:bookmarkEnd w:id="361"/>
      <w:bookmarkStart w:id="362" w:name="_Hlt88976467"/>
      <w:bookmarkEnd w:id="362"/>
      <w:bookmarkStart w:id="363" w:name="_Hlt66608388"/>
      <w:bookmarkEnd w:id="363"/>
      <w:bookmarkStart w:id="364" w:name="_Hlt69114106"/>
      <w:bookmarkEnd w:id="364"/>
      <w:bookmarkStart w:id="365" w:name="_Hlt66591689"/>
      <w:bookmarkEnd w:id="365"/>
      <w:bookmarkStart w:id="366" w:name="_Hlt70150985"/>
      <w:bookmarkEnd w:id="366"/>
      <w:bookmarkStart w:id="367" w:name="_Hlt69669774"/>
      <w:bookmarkEnd w:id="367"/>
      <w:bookmarkStart w:id="368" w:name="_Hlt66593437"/>
      <w:bookmarkEnd w:id="368"/>
      <w:r>
        <w:rPr>
          <w:rFonts w:hint="eastAsia" w:asciiTheme="minorEastAsia" w:hAnsiTheme="minorEastAsia" w:eastAsiaTheme="minorEastAsia" w:cstheme="minorEastAsia"/>
          <w:b/>
          <w:bCs/>
          <w:szCs w:val="22"/>
        </w:rPr>
        <w:t>4.1</w:t>
      </w:r>
      <w:r>
        <w:rPr>
          <w:rFonts w:hint="eastAsia" w:asciiTheme="minorEastAsia" w:hAnsiTheme="minorEastAsia" w:eastAsiaTheme="minorEastAsia" w:cstheme="minorEastAsia"/>
          <w:b/>
          <w:bCs/>
          <w:szCs w:val="21"/>
        </w:rPr>
        <w:t>设计费的支付</w:t>
      </w:r>
      <w:r>
        <w:rPr>
          <w:rFonts w:hint="eastAsia" w:asciiTheme="minorEastAsia" w:hAnsiTheme="minorEastAsia" w:eastAsiaTheme="minorEastAsia" w:cstheme="minorEastAsia"/>
          <w:szCs w:val="22"/>
        </w:rPr>
        <w:t>：</w:t>
      </w:r>
    </w:p>
    <w:p w14:paraId="3E470D42">
      <w:pPr>
        <w:pStyle w:val="34"/>
        <w:spacing w:line="440" w:lineRule="exact"/>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4.1.1完成本项目工程施工图设计并提交符合要求的完整送审施工图设计文件后，相关请款资料经新丰县财政局审批后10个工作日内，支付至设计费合同价款的30%。</w:t>
      </w:r>
    </w:p>
    <w:p w14:paraId="46D47338">
      <w:pPr>
        <w:pStyle w:val="34"/>
        <w:spacing w:line="440" w:lineRule="exact"/>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4.1.2本项目工程施工图设计经发包人委托具有资质的第三方审图机构审查合格并提交合格的完整施工图设计成果文件后，相关请款资料经新丰县财政局审批后10个工作日内，支付至设计费合同价款的50%。</w:t>
      </w:r>
    </w:p>
    <w:p w14:paraId="5F5507CE">
      <w:pPr>
        <w:pStyle w:val="34"/>
        <w:spacing w:line="440" w:lineRule="exact"/>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4.1.3完成本项目工程施工图预算并经新丰县财政局投资评审中心审定后，相关请款资料经新丰县财政局审批后10个工作日内，支付至设计费合同价款的70%。</w:t>
      </w:r>
    </w:p>
    <w:p w14:paraId="5C194938">
      <w:pPr>
        <w:pStyle w:val="34"/>
        <w:spacing w:line="440" w:lineRule="exact"/>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4.1.4工程竣工验收合格后，相关请款资料经新丰县财政局审批后10个工作日内支付至设计费合同价款的90%。</w:t>
      </w:r>
    </w:p>
    <w:p w14:paraId="511ACBF3">
      <w:pPr>
        <w:pStyle w:val="34"/>
        <w:spacing w:line="440" w:lineRule="exact"/>
        <w:ind w:firstLine="48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rPr>
        <w:t>4.1.5工程结算审核定案后，相关请款资料经新丰县财政局审批后10个工作日内支付剩余的设计费余额。</w:t>
      </w:r>
    </w:p>
    <w:p w14:paraId="0C0F049E">
      <w:pPr>
        <w:pStyle w:val="34"/>
        <w:spacing w:line="500" w:lineRule="exact"/>
        <w:ind w:firstLine="482"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 xml:space="preserve">4.2 </w:t>
      </w:r>
      <w:r>
        <w:rPr>
          <w:rFonts w:hint="eastAsia" w:asciiTheme="minorEastAsia" w:hAnsiTheme="minorEastAsia" w:eastAsiaTheme="minorEastAsia" w:cstheme="minorEastAsia"/>
          <w:b/>
          <w:bCs/>
          <w:szCs w:val="21"/>
        </w:rPr>
        <w:t>建安工程款的支付</w:t>
      </w:r>
      <w:r>
        <w:rPr>
          <w:rFonts w:hint="eastAsia" w:asciiTheme="minorEastAsia" w:hAnsiTheme="minorEastAsia" w:eastAsiaTheme="minorEastAsia" w:cstheme="minorEastAsia"/>
          <w:szCs w:val="22"/>
        </w:rPr>
        <w:t>：</w:t>
      </w:r>
    </w:p>
    <w:p w14:paraId="3730E4FC">
      <w:pPr>
        <w:pStyle w:val="34"/>
        <w:spacing w:line="500" w:lineRule="exact"/>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4.2.1 本工程</w:t>
      </w:r>
      <w:r>
        <w:rPr>
          <w:rFonts w:hint="eastAsia" w:asciiTheme="minorEastAsia" w:hAnsiTheme="minorEastAsia" w:eastAsiaTheme="minorEastAsia" w:cstheme="minorEastAsia"/>
          <w:u w:val="single"/>
        </w:rPr>
        <w:t>支付</w:t>
      </w:r>
      <w:r>
        <w:rPr>
          <w:rFonts w:hint="eastAsia" w:asciiTheme="minorEastAsia" w:hAnsiTheme="minorEastAsia" w:eastAsiaTheme="minorEastAsia" w:cstheme="minorEastAsia"/>
        </w:rPr>
        <w:t>施工预付款。</w:t>
      </w:r>
    </w:p>
    <w:p w14:paraId="69CD6B3D">
      <w:pPr>
        <w:pStyle w:val="34"/>
        <w:spacing w:line="500" w:lineRule="exact"/>
        <w:ind w:firstLine="480"/>
        <w:rPr>
          <w:rFonts w:hint="eastAsia" w:asciiTheme="minorEastAsia" w:hAnsiTheme="minorEastAsia" w:eastAsiaTheme="minorEastAsia" w:cstheme="minorEastAsia"/>
          <w:i/>
          <w:snapToGrid w:val="0"/>
          <w:kern w:val="0"/>
        </w:rPr>
      </w:pPr>
      <w:r>
        <w:rPr>
          <w:rFonts w:hint="eastAsia" w:asciiTheme="minorEastAsia" w:hAnsiTheme="minorEastAsia" w:eastAsiaTheme="minorEastAsia" w:cstheme="minorEastAsia"/>
        </w:rPr>
        <w:t xml:space="preserve">4.2.2 </w:t>
      </w:r>
      <w:r>
        <w:rPr>
          <w:rFonts w:hint="eastAsia" w:asciiTheme="minorEastAsia" w:hAnsiTheme="minorEastAsia" w:eastAsiaTheme="minorEastAsia" w:cstheme="minorEastAsia"/>
          <w:snapToGrid w:val="0"/>
          <w:kern w:val="0"/>
        </w:rPr>
        <w:t>施工预付款必须专用于合同工程，并按以下原则支付和抵扣：</w:t>
      </w:r>
    </w:p>
    <w:p w14:paraId="0897FF3F">
      <w:pPr>
        <w:adjustRightInd w:val="0"/>
        <w:snapToGrid w:val="0"/>
        <w:spacing w:line="500" w:lineRule="exact"/>
        <w:ind w:firstLine="560"/>
        <w:rPr>
          <w:rFonts w:asciiTheme="minorEastAsia" w:hAnsiTheme="minorEastAsia" w:eastAsiaTheme="minorEastAsia" w:cstheme="minorEastAsia"/>
          <w:snapToGrid w:val="0"/>
          <w:kern w:val="0"/>
          <w:szCs w:val="24"/>
        </w:rPr>
      </w:pPr>
      <w:r>
        <w:rPr>
          <w:rFonts w:asciiTheme="minorEastAsia" w:hAnsiTheme="minorEastAsia" w:eastAsiaTheme="minorEastAsia" w:cstheme="minorEastAsia"/>
          <w:snapToGrid w:val="0"/>
          <w:kern w:val="0"/>
          <w:szCs w:val="24"/>
        </w:rPr>
        <w:t>（1） 施工预付款支付比例为：按施工合同价（预备费除外）的</w:t>
      </w:r>
      <w:r>
        <w:rPr>
          <w:rFonts w:asciiTheme="minorEastAsia" w:hAnsiTheme="minorEastAsia" w:eastAsiaTheme="minorEastAsia" w:cstheme="minorEastAsia"/>
          <w:snapToGrid w:val="0"/>
          <w:kern w:val="0"/>
          <w:szCs w:val="24"/>
          <w:u w:val="single"/>
        </w:rPr>
        <w:t xml:space="preserve">30% </w:t>
      </w:r>
      <w:r>
        <w:rPr>
          <w:rFonts w:asciiTheme="minorEastAsia" w:hAnsiTheme="minorEastAsia" w:eastAsiaTheme="minorEastAsia" w:cstheme="minorEastAsia"/>
          <w:snapToGrid w:val="0"/>
          <w:kern w:val="0"/>
          <w:szCs w:val="24"/>
        </w:rPr>
        <w:t>支付，施工预付款中包含工人工资预付款，其中工人工资预付款比例为施工合同价（预备费除外）的1%。</w:t>
      </w:r>
    </w:p>
    <w:p w14:paraId="4A27BF92">
      <w:pPr>
        <w:adjustRightInd w:val="0"/>
        <w:snapToGrid w:val="0"/>
        <w:spacing w:line="500" w:lineRule="exact"/>
        <w:ind w:firstLine="560"/>
        <w:rPr>
          <w:rFonts w:asciiTheme="minorEastAsia" w:hAnsiTheme="minorEastAsia" w:eastAsiaTheme="minorEastAsia" w:cstheme="minorEastAsia"/>
          <w:b/>
          <w:snapToGrid w:val="0"/>
          <w:kern w:val="0"/>
          <w:szCs w:val="24"/>
        </w:rPr>
      </w:pPr>
      <w:r>
        <w:rPr>
          <w:rFonts w:asciiTheme="minorEastAsia" w:hAnsiTheme="minorEastAsia" w:eastAsiaTheme="minorEastAsia" w:cstheme="minorEastAsia"/>
          <w:snapToGrid w:val="0"/>
          <w:kern w:val="0"/>
          <w:szCs w:val="24"/>
        </w:rPr>
        <w:t>（2）本工程要求承包人提供与预付款等额的预付款银行保函（</w:t>
      </w:r>
      <w:r>
        <w:rPr>
          <w:rFonts w:asciiTheme="minorEastAsia" w:hAnsiTheme="minorEastAsia" w:eastAsiaTheme="minorEastAsia" w:cstheme="minorEastAsia"/>
          <w:snapToGrid w:val="0"/>
          <w:kern w:val="0"/>
          <w:szCs w:val="22"/>
        </w:rPr>
        <w:t>预付款银行保函按发包人提供的格式，详见招标文件第八章：预付款保函</w:t>
      </w:r>
      <w:r>
        <w:rPr>
          <w:rFonts w:asciiTheme="minorEastAsia" w:hAnsiTheme="minorEastAsia" w:eastAsiaTheme="minorEastAsia" w:cstheme="minorEastAsia"/>
          <w:snapToGrid w:val="0"/>
          <w:kern w:val="0"/>
          <w:szCs w:val="24"/>
        </w:rPr>
        <w:t>），</w:t>
      </w:r>
      <w:r>
        <w:rPr>
          <w:rFonts w:asciiTheme="minorEastAsia" w:hAnsiTheme="minorEastAsia" w:eastAsiaTheme="minorEastAsia" w:cstheme="minorEastAsia"/>
          <w:b/>
          <w:snapToGrid w:val="0"/>
          <w:kern w:val="0"/>
          <w:szCs w:val="24"/>
        </w:rPr>
        <w:t>且本工程预付款保函期限原则上不少于3个月，承包人的预付款保函有效期应保证在扣回预付款前有效，未扣回预付款但保函过期的，承包人应重新开具预付款保函。</w:t>
      </w:r>
    </w:p>
    <w:p w14:paraId="71ED19E7">
      <w:pPr>
        <w:pStyle w:val="34"/>
        <w:ind w:firstLine="480"/>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szCs w:val="24"/>
        </w:rPr>
        <w:t>（3）承包人应在签订施工合同后，在提供等额的预付款保函及具备施工条件的前提下（如承包人主要人员及主要机械进场到位），向发包人提交预付款支付申请。</w:t>
      </w:r>
    </w:p>
    <w:p w14:paraId="3007B944">
      <w:pPr>
        <w:pStyle w:val="34"/>
        <w:ind w:firstLine="480" w:firstLineChars="200"/>
        <w:rPr>
          <w:rFonts w:hint="eastAsia" w:asciiTheme="minorEastAsia" w:hAnsiTheme="minorEastAsia" w:eastAsiaTheme="minorEastAsia" w:cstheme="minorEastAsia"/>
          <w:snapToGrid w:val="0"/>
          <w:kern w:val="0"/>
        </w:rPr>
      </w:pPr>
      <w:r>
        <w:rPr>
          <w:rFonts w:hint="eastAsia" w:asciiTheme="minorEastAsia" w:hAnsiTheme="minorEastAsia" w:eastAsiaTheme="minorEastAsia" w:cstheme="minorEastAsia"/>
          <w:snapToGrid w:val="0"/>
          <w:kern w:val="0"/>
        </w:rPr>
        <w:t>发包人在收到支付申请的7天内进行核实后，按程序向财政部门申请一次性支付预付款（工人工资预付款单独支付至工人工资专用账户）。</w:t>
      </w:r>
      <w:r>
        <w:rPr>
          <w:rFonts w:hint="eastAsia" w:asciiTheme="minorEastAsia" w:hAnsiTheme="minorEastAsia" w:eastAsiaTheme="minorEastAsia" w:cstheme="minorEastAsia"/>
          <w:b/>
          <w:snapToGrid w:val="0"/>
          <w:kern w:val="0"/>
        </w:rPr>
        <w:t>凡未签订合同、未提供预付款保函或不具备施工条件的工程，发包人不预付工程款。</w:t>
      </w:r>
    </w:p>
    <w:p w14:paraId="335B3368">
      <w:pPr>
        <w:pStyle w:val="34"/>
        <w:ind w:firstLine="480" w:firstLineChars="200"/>
        <w:rPr>
          <w:rFonts w:hint="eastAsia" w:asciiTheme="minorEastAsia" w:hAnsiTheme="minorEastAsia" w:eastAsiaTheme="minorEastAsia" w:cstheme="minorEastAsia"/>
          <w:bCs/>
          <w:snapToGrid w:val="0"/>
          <w:kern w:val="0"/>
        </w:rPr>
      </w:pPr>
      <w:r>
        <w:rPr>
          <w:rFonts w:hint="eastAsia" w:asciiTheme="minorEastAsia" w:hAnsiTheme="minorEastAsia" w:eastAsiaTheme="minorEastAsia" w:cstheme="minorEastAsia"/>
          <w:bCs/>
          <w:snapToGrid w:val="0"/>
          <w:kern w:val="0"/>
        </w:rPr>
        <w:t>（4）预付款应从每支付期应支付给承包人的工程进度款中扣回，扣回比例为每支付期的工程进度款的50%，直到扣回的金额达到合同约定的预付款金额为止。</w:t>
      </w:r>
    </w:p>
    <w:p w14:paraId="4CCFDE1E">
      <w:pPr>
        <w:pStyle w:val="34"/>
        <w:ind w:firstLine="480" w:firstLineChars="200"/>
        <w:rPr>
          <w:rFonts w:hint="eastAsia" w:asciiTheme="minorEastAsia" w:hAnsiTheme="minorEastAsia" w:eastAsiaTheme="minorEastAsia" w:cstheme="minorEastAsia"/>
          <w:bCs/>
          <w:snapToGrid w:val="0"/>
          <w:kern w:val="0"/>
        </w:rPr>
      </w:pPr>
      <w:r>
        <w:rPr>
          <w:rFonts w:hint="eastAsia" w:asciiTheme="minorEastAsia" w:hAnsiTheme="minorEastAsia" w:eastAsiaTheme="minorEastAsia" w:cstheme="minorEastAsia"/>
        </w:rPr>
        <w:t xml:space="preserve"> 4.2.3工程进度款支付条件：承包人必须提供完整的施工图预算（加盖承包人公章及注册造价工程师注册章）报发包人审核后方可支付工程进度款。</w:t>
      </w:r>
    </w:p>
    <w:p w14:paraId="5D890DB9">
      <w:pPr>
        <w:pStyle w:val="34"/>
        <w:rPr>
          <w:rFonts w:hint="eastAsia" w:asciiTheme="minorEastAsia" w:hAnsiTheme="minorEastAsia" w:eastAsiaTheme="minorEastAsia" w:cstheme="minorEastAsia"/>
          <w:strike/>
        </w:rPr>
      </w:pPr>
      <w:r>
        <w:rPr>
          <w:rFonts w:hint="eastAsia" w:asciiTheme="minorEastAsia" w:hAnsiTheme="minorEastAsia" w:eastAsiaTheme="minorEastAsia" w:cstheme="minorEastAsia"/>
          <w:szCs w:val="24"/>
        </w:rPr>
        <w:t xml:space="preserve"> 4.2.4</w:t>
      </w:r>
      <w:r>
        <w:rPr>
          <w:rFonts w:hint="eastAsia" w:asciiTheme="minorEastAsia" w:hAnsiTheme="minorEastAsia" w:eastAsiaTheme="minorEastAsia" w:cstheme="minorEastAsia"/>
        </w:rPr>
        <w:t xml:space="preserve"> 施工过程中按月支付工程进度款：承包人每月按</w:t>
      </w:r>
      <w:r>
        <w:rPr>
          <w:rFonts w:hint="eastAsia" w:asciiTheme="minorEastAsia" w:hAnsiTheme="minorEastAsia" w:eastAsiaTheme="minorEastAsia" w:cstheme="minorEastAsia"/>
          <w:szCs w:val="22"/>
        </w:rPr>
        <w:t>工程形象进度申</w:t>
      </w:r>
      <w:r>
        <w:rPr>
          <w:rFonts w:hint="eastAsia" w:asciiTheme="minorEastAsia" w:hAnsiTheme="minorEastAsia" w:eastAsiaTheme="minorEastAsia" w:cstheme="minorEastAsia"/>
        </w:rPr>
        <w:t>报，截止日为当月26日，形象进度和</w:t>
      </w:r>
      <w:r>
        <w:rPr>
          <w:rFonts w:hint="eastAsia" w:asciiTheme="minorEastAsia" w:hAnsiTheme="minorEastAsia" w:eastAsiaTheme="minorEastAsia" w:cstheme="minorEastAsia"/>
          <w:snapToGrid w:val="0"/>
          <w:kern w:val="0"/>
        </w:rPr>
        <w:t>《工程付款申请书》</w:t>
      </w:r>
      <w:r>
        <w:rPr>
          <w:rFonts w:hint="eastAsia" w:asciiTheme="minorEastAsia" w:hAnsiTheme="minorEastAsia" w:eastAsiaTheme="minorEastAsia" w:cstheme="minorEastAsia"/>
        </w:rPr>
        <w:t>由监理单位核实确认，经</w:t>
      </w:r>
      <w:r>
        <w:rPr>
          <w:rFonts w:hint="eastAsia" w:asciiTheme="minorEastAsia" w:hAnsiTheme="minorEastAsia" w:eastAsiaTheme="minorEastAsia" w:cstheme="minorEastAsia"/>
          <w:snapToGrid w:val="0"/>
          <w:kern w:val="0"/>
        </w:rPr>
        <w:t>造价咨询单位（如有造价单位）审核，</w:t>
      </w:r>
      <w:r>
        <w:rPr>
          <w:rFonts w:hint="eastAsia" w:asciiTheme="minorEastAsia" w:hAnsiTheme="minorEastAsia" w:eastAsiaTheme="minorEastAsia" w:cstheme="minorEastAsia"/>
        </w:rPr>
        <w:t>再经发包人审核确认后于申报工程进度款的次月支付。</w:t>
      </w:r>
    </w:p>
    <w:p w14:paraId="6DE05077">
      <w:pPr>
        <w:spacing w:line="360" w:lineRule="auto"/>
        <w:rPr>
          <w:rFonts w:asciiTheme="minorEastAsia" w:hAnsiTheme="minorEastAsia" w:eastAsiaTheme="minorEastAsia" w:cstheme="minorEastAsia"/>
          <w:snapToGrid w:val="0"/>
          <w:kern w:val="0"/>
        </w:rPr>
      </w:pPr>
      <w:r>
        <w:rPr>
          <w:rFonts w:asciiTheme="minorEastAsia" w:hAnsiTheme="minorEastAsia" w:eastAsiaTheme="minorEastAsia" w:cstheme="minorEastAsia"/>
          <w:szCs w:val="24"/>
        </w:rPr>
        <w:t xml:space="preserve">     4.2.5</w:t>
      </w:r>
      <w:r>
        <w:rPr>
          <w:rFonts w:asciiTheme="minorEastAsia" w:hAnsiTheme="minorEastAsia" w:eastAsiaTheme="minorEastAsia" w:cstheme="minorEastAsia"/>
          <w:snapToGrid w:val="0"/>
          <w:kern w:val="0"/>
        </w:rPr>
        <w:t>每月的工程进度款按应付金额的 80 ％支付，工程进度款中的作业工人工资款项暂为该月工程进度款的 30 ％，具体工人工资拨付金额以该月实际审核确认的为准，由发包人将该月审核确认后的作业工人工资款项单独足额拨付到承包人的工资专户。</w:t>
      </w:r>
    </w:p>
    <w:p w14:paraId="517BD266">
      <w:pPr>
        <w:pStyle w:val="34"/>
        <w:ind w:firstLine="480" w:firstLineChars="200"/>
        <w:rPr>
          <w:rFonts w:hint="eastAsia" w:asciiTheme="minorEastAsia" w:hAnsiTheme="minorEastAsia" w:eastAsiaTheme="minorEastAsia" w:cstheme="minorEastAsia"/>
          <w:strike/>
        </w:rPr>
      </w:pPr>
      <w:r>
        <w:rPr>
          <w:rFonts w:hint="eastAsia" w:asciiTheme="minorEastAsia" w:hAnsiTheme="minorEastAsia" w:eastAsiaTheme="minorEastAsia" w:cstheme="minorEastAsia"/>
        </w:rPr>
        <w:t>4.3</w:t>
      </w:r>
      <w:r>
        <w:rPr>
          <w:rFonts w:hint="eastAsia" w:asciiTheme="minorEastAsia" w:hAnsiTheme="minorEastAsia" w:eastAsiaTheme="minorEastAsia" w:cstheme="minorEastAsia"/>
          <w:snapToGrid w:val="0"/>
          <w:kern w:val="0"/>
          <w:szCs w:val="24"/>
        </w:rPr>
        <w:t>措施项目费中的“绿色施工安全防护措施费”拨付按照《广东省建设工程计价依据（2018）》执行，按照</w:t>
      </w:r>
      <w:r>
        <w:rPr>
          <w:rFonts w:hint="eastAsia" w:asciiTheme="minorEastAsia" w:hAnsiTheme="minorEastAsia" w:eastAsiaTheme="minorEastAsia" w:cstheme="minorEastAsia"/>
          <w:szCs w:val="24"/>
        </w:rPr>
        <w:t>韶关市住房和城乡建设管理局《关于明确建筑工程安全防护、文明施工措施费用具体管理办法的通知》韶市建字〔2015〕26号文的</w:t>
      </w:r>
      <w:r>
        <w:rPr>
          <w:rFonts w:hint="eastAsia" w:asciiTheme="minorEastAsia" w:hAnsiTheme="minorEastAsia" w:eastAsiaTheme="minorEastAsia" w:cstheme="minorEastAsia"/>
          <w:snapToGrid w:val="0"/>
          <w:kern w:val="0"/>
          <w:szCs w:val="24"/>
        </w:rPr>
        <w:t>有关规定支付。发生一般事故及以上等级重大安全事故的，发包人可扣除承包人金额相当于所有“绿色施工安全防护措施费”的工程管理费。</w:t>
      </w:r>
    </w:p>
    <w:p w14:paraId="164385EC">
      <w:pPr>
        <w:wordWrap w:val="0"/>
        <w:adjustRightInd w:val="0"/>
        <w:snapToGrid w:val="0"/>
        <w:spacing w:line="360" w:lineRule="auto"/>
        <w:ind w:firstLine="480" w:firstLineChars="200"/>
        <w:rPr>
          <w:rFonts w:asciiTheme="minorEastAsia" w:hAnsiTheme="minorEastAsia" w:eastAsiaTheme="minorEastAsia" w:cstheme="minorEastAsia"/>
          <w:strike/>
        </w:rPr>
      </w:pPr>
      <w:r>
        <w:rPr>
          <w:rFonts w:asciiTheme="minorEastAsia" w:hAnsiTheme="minorEastAsia" w:eastAsiaTheme="minorEastAsia" w:cstheme="minorEastAsia"/>
          <w:szCs w:val="24"/>
        </w:rPr>
        <w:t>4.4</w:t>
      </w:r>
      <w:r>
        <w:rPr>
          <w:rFonts w:asciiTheme="minorEastAsia" w:hAnsiTheme="minorEastAsia" w:eastAsiaTheme="minorEastAsia" w:cstheme="minorEastAsia"/>
          <w:snapToGrid w:val="0"/>
          <w:kern w:val="0"/>
          <w:szCs w:val="24"/>
        </w:rPr>
        <w:t>变更工程造价必须经监理单位核实及造价咨询单位（如有造价单位）审核，并经发包人核定后方可支付。</w:t>
      </w:r>
    </w:p>
    <w:p w14:paraId="377573AB">
      <w:pPr>
        <w:pStyle w:val="34"/>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4.5 结算审核完成后，于次月支付至审定总造价的97%。</w:t>
      </w:r>
    </w:p>
    <w:p w14:paraId="2FE34528">
      <w:pPr>
        <w:pStyle w:val="34"/>
        <w:rPr>
          <w:rFonts w:hint="eastAsia" w:asciiTheme="minorEastAsia" w:hAnsiTheme="minorEastAsia" w:eastAsiaTheme="minorEastAsia" w:cstheme="minorEastAsia"/>
          <w:strike/>
        </w:rPr>
      </w:pPr>
      <w:r>
        <w:rPr>
          <w:rFonts w:hint="eastAsia" w:asciiTheme="minorEastAsia" w:hAnsiTheme="minorEastAsia" w:eastAsiaTheme="minorEastAsia" w:cstheme="minorEastAsia"/>
        </w:rPr>
        <w:t xml:space="preserve">    4.6 剩余3%为工程质量保证金，从工程竣工验收合格之日起满</w:t>
      </w:r>
      <w:r>
        <w:rPr>
          <w:rFonts w:hint="eastAsia" w:asciiTheme="minorEastAsia" w:hAnsiTheme="minorEastAsia" w:eastAsiaTheme="minorEastAsia" w:cstheme="minorEastAsia"/>
          <w:u w:val="single"/>
        </w:rPr>
        <w:t>2</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snapToGrid w:val="0"/>
          <w:kern w:val="0"/>
        </w:rPr>
        <w:t>若未发现质量问题，</w:t>
      </w:r>
      <w:r>
        <w:rPr>
          <w:rFonts w:hint="eastAsia" w:asciiTheme="minorEastAsia" w:hAnsiTheme="minorEastAsia" w:eastAsiaTheme="minorEastAsia" w:cstheme="minorEastAsia"/>
          <w:bCs/>
          <w:snapToGrid w:val="0"/>
          <w:kern w:val="0"/>
        </w:rPr>
        <w:t>承包人向发包人申请退还质量保证（或保证金），发包人按照《建设工程质量保证金管理办法》及合同的有关规定和约定将质量保证（或保证金）</w:t>
      </w:r>
      <w:r>
        <w:rPr>
          <w:rFonts w:hint="eastAsia" w:asciiTheme="minorEastAsia" w:hAnsiTheme="minorEastAsia" w:eastAsiaTheme="minorEastAsia" w:cstheme="minorEastAsia"/>
          <w:bCs/>
          <w:kern w:val="0"/>
        </w:rPr>
        <w:t>于次月</w:t>
      </w:r>
      <w:r>
        <w:rPr>
          <w:rFonts w:hint="eastAsia" w:asciiTheme="minorEastAsia" w:hAnsiTheme="minorEastAsia" w:eastAsiaTheme="minorEastAsia" w:cstheme="minorEastAsia"/>
          <w:bCs/>
          <w:snapToGrid w:val="0"/>
          <w:kern w:val="0"/>
        </w:rPr>
        <w:t>退还给承包人</w:t>
      </w:r>
      <w:r>
        <w:rPr>
          <w:rFonts w:hint="eastAsia" w:asciiTheme="minorEastAsia" w:hAnsiTheme="minorEastAsia" w:eastAsiaTheme="minorEastAsia" w:cstheme="minorEastAsia"/>
          <w:bCs/>
          <w:kern w:val="0"/>
        </w:rPr>
        <w:t>（不计息）。</w:t>
      </w:r>
    </w:p>
    <w:p w14:paraId="3CE0E7CC">
      <w:pPr>
        <w:wordWrap w:val="0"/>
        <w:adjustRightInd w:val="0"/>
        <w:snapToGrid w:val="0"/>
        <w:spacing w:line="360" w:lineRule="auto"/>
        <w:ind w:firstLine="480" w:firstLineChars="200"/>
        <w:rPr>
          <w:rFonts w:asciiTheme="minorEastAsia" w:hAnsiTheme="minorEastAsia" w:eastAsiaTheme="minorEastAsia" w:cstheme="minorEastAsia"/>
        </w:rPr>
      </w:pPr>
      <w:r>
        <w:rPr>
          <w:rFonts w:asciiTheme="minorEastAsia" w:hAnsiTheme="minorEastAsia" w:eastAsiaTheme="minorEastAsia" w:cstheme="minorEastAsia"/>
          <w:szCs w:val="24"/>
        </w:rPr>
        <w:t xml:space="preserve"> 4.7承包人提供的工程款发票必须按照发包人要求提供相应增值税发票给发包人，发包人收到符合要求的发票后方可支付工程款。</w:t>
      </w:r>
      <w:r>
        <w:rPr>
          <w:rFonts w:asciiTheme="minorEastAsia" w:hAnsiTheme="minorEastAsia" w:eastAsiaTheme="minorEastAsia" w:cstheme="minorEastAsia"/>
          <w:snapToGrid w:val="0"/>
          <w:kern w:val="0"/>
          <w:szCs w:val="24"/>
        </w:rPr>
        <w:t>如果承包人无法提供符合要求的发票，由此造成的相应损失由承包人承担。</w:t>
      </w:r>
    </w:p>
    <w:p w14:paraId="1B2955E7">
      <w:pPr>
        <w:pStyle w:val="34"/>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4.8本项目为政府全额投资，所有支付手续经发包人审批后，还须报政府财政部门审批完毕方可支付，如经发包人审批后已及时履行了向财政部门申报审批手续，则发包人不支付延期付</w:t>
      </w:r>
      <w:r>
        <w:rPr>
          <w:rFonts w:hint="eastAsia" w:asciiTheme="minorEastAsia" w:hAnsiTheme="minorEastAsia" w:eastAsiaTheme="minorEastAsia" w:cstheme="minorEastAsia"/>
          <w:szCs w:val="22"/>
        </w:rPr>
        <w:t>款的利息，承包人也不得因政府财政部门履行审批程序所造成的延期付款而暂停施工和相关服务。</w:t>
      </w:r>
    </w:p>
    <w:p w14:paraId="1BD13BC3">
      <w:pPr>
        <w:wordWrap w:val="0"/>
        <w:adjustRightInd w:val="0"/>
        <w:snapToGrid w:val="0"/>
        <w:spacing w:line="360" w:lineRule="auto"/>
        <w:ind w:firstLine="482" w:firstLineChars="200"/>
        <w:rPr>
          <w:rFonts w:asciiTheme="minorEastAsia" w:hAnsiTheme="minorEastAsia" w:eastAsiaTheme="minorEastAsia" w:cstheme="minorEastAsia"/>
          <w:szCs w:val="24"/>
          <w:u w:val="single"/>
        </w:rPr>
      </w:pPr>
      <w:r>
        <w:rPr>
          <w:rFonts w:asciiTheme="minorEastAsia" w:hAnsiTheme="minorEastAsia" w:eastAsiaTheme="minorEastAsia" w:cstheme="minorEastAsia"/>
          <w:b/>
          <w:bCs/>
          <w:szCs w:val="24"/>
        </w:rPr>
        <w:t>4.9</w:t>
      </w:r>
      <w:r>
        <w:rPr>
          <w:rFonts w:asciiTheme="minorEastAsia" w:hAnsiTheme="minorEastAsia" w:eastAsiaTheme="minorEastAsia" w:cstheme="minorEastAsia"/>
        </w:rPr>
        <w:t>预备费支付方式：与每个月的工程进度款一并报送（若发生符合使用范围的情形需使用预备费时），在预备费的范围内由监理单位进行签认，造价咨询单位审核，发包人确认，进度款中需要列明涉及预备费的部分。在预备费的范围内由监理单位进行签证，造价咨询单位审核后，经发包人确认后按该进度款项的50％支付，其余部分待结算完成审核后支付。预备费如有余额归发包人，不发生时不计入结算总价。</w:t>
      </w:r>
    </w:p>
    <w:p w14:paraId="44EE6E33">
      <w:pPr>
        <w:wordWrap w:val="0"/>
        <w:adjustRightInd w:val="0"/>
        <w:snapToGrid w:val="0"/>
        <w:spacing w:line="360" w:lineRule="auto"/>
        <w:ind w:firstLine="482" w:firstLineChars="200"/>
        <w:rPr>
          <w:rFonts w:asciiTheme="minorEastAsia" w:hAnsiTheme="minorEastAsia" w:eastAsiaTheme="minorEastAsia" w:cstheme="minorEastAsia"/>
          <w:szCs w:val="24"/>
        </w:rPr>
      </w:pPr>
      <w:r>
        <w:rPr>
          <w:rFonts w:asciiTheme="minorEastAsia" w:hAnsiTheme="minorEastAsia" w:eastAsiaTheme="minorEastAsia" w:cstheme="minorEastAsia"/>
          <w:b/>
          <w:szCs w:val="24"/>
        </w:rPr>
        <w:t>4.10</w:t>
      </w:r>
      <w:r>
        <w:rPr>
          <w:rFonts w:asciiTheme="minorEastAsia" w:hAnsiTheme="minorEastAsia" w:eastAsiaTheme="minorEastAsia" w:cstheme="minorEastAsia"/>
          <w:szCs w:val="24"/>
        </w:rPr>
        <w:t>本工程按政府有关要求或资金安排情况、合同有关约定，经双方协商可调整建安费支付办法。</w:t>
      </w:r>
    </w:p>
    <w:p w14:paraId="0A066383">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补充条款：</w:t>
      </w:r>
    </w:p>
    <w:p w14:paraId="322448EB">
      <w:pPr>
        <w:pStyle w:val="34"/>
        <w:numPr>
          <w:ilvl w:val="0"/>
          <w:numId w:val="4"/>
        </w:numPr>
        <w:ind w:firstLine="361" w:firstLineChars="150"/>
        <w:rPr>
          <w:rFonts w:hint="eastAsia" w:asciiTheme="minorEastAsia" w:hAnsiTheme="minorEastAsia" w:eastAsiaTheme="minorEastAsia" w:cstheme="minorEastAsia"/>
          <w:b/>
          <w:bCs/>
          <w:szCs w:val="24"/>
        </w:rPr>
      </w:pPr>
      <w:r>
        <w:rPr>
          <w:rFonts w:hint="eastAsia" w:asciiTheme="minorEastAsia" w:hAnsiTheme="minorEastAsia" w:eastAsiaTheme="minorEastAsia" w:cstheme="minorEastAsia"/>
          <w:b/>
          <w:bCs/>
          <w:szCs w:val="24"/>
        </w:rPr>
        <w:t>施工部分</w:t>
      </w:r>
    </w:p>
    <w:p w14:paraId="350E3F48">
      <w:pPr>
        <w:pStyle w:val="53"/>
        <w:widowControl/>
        <w:spacing w:line="360" w:lineRule="auto"/>
        <w:ind w:firstLine="420"/>
        <w:jc w:val="left"/>
        <w:rPr>
          <w:rFonts w:hint="eastAsia" w:asciiTheme="minorEastAsia" w:hAnsiTheme="minorEastAsia" w:eastAsiaTheme="minorEastAsia" w:cstheme="minorEastAsia"/>
          <w:b/>
          <w:bCs/>
          <w:lang w:val="zh-CN"/>
        </w:rPr>
      </w:pPr>
      <w:r>
        <w:rPr>
          <w:rFonts w:hint="eastAsia" w:asciiTheme="minorEastAsia" w:hAnsiTheme="minorEastAsia" w:eastAsiaTheme="minorEastAsia" w:cstheme="minorEastAsia"/>
          <w:b/>
          <w:bCs/>
        </w:rPr>
        <w:t>5.1</w:t>
      </w:r>
      <w:r>
        <w:rPr>
          <w:rFonts w:hint="eastAsia" w:asciiTheme="minorEastAsia" w:hAnsiTheme="minorEastAsia" w:eastAsiaTheme="minorEastAsia" w:cstheme="minorEastAsia"/>
          <w:b/>
          <w:bCs/>
          <w:lang w:val="zh-CN"/>
        </w:rPr>
        <w:t>项目管理</w:t>
      </w:r>
    </w:p>
    <w:p w14:paraId="7E9E73CF">
      <w:pPr>
        <w:pStyle w:val="53"/>
        <w:widowControl/>
        <w:spacing w:line="360" w:lineRule="auto"/>
        <w:ind w:firstLine="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5.1.1项目经理要求：</w:t>
      </w:r>
    </w:p>
    <w:p w14:paraId="1FCDD76B">
      <w:pPr>
        <w:pStyle w:val="53"/>
        <w:widowControl/>
        <w:spacing w:line="360" w:lineRule="auto"/>
        <w:ind w:firstLine="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项目经理与投标文件承诺不一致或未及时到位，发包人将按照下列方式对承包人进行处罚：</w:t>
      </w:r>
    </w:p>
    <w:p w14:paraId="36CDEA3B">
      <w:pPr>
        <w:pStyle w:val="53"/>
        <w:widowControl/>
        <w:numPr>
          <w:ilvl w:val="0"/>
          <w:numId w:val="5"/>
        </w:numPr>
        <w:spacing w:line="360" w:lineRule="auto"/>
        <w:ind w:firstLine="420"/>
        <w:jc w:val="lef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u w:val="single"/>
        </w:rPr>
        <w:t>担任项目经理的注册建造师与投标书承诺不一致，将视为承包人严重违约。除符合广东省住房和城乡建设厅《关于建设工程项目招标中标后监督检查的办法》〔2009〕8号文第九条规定的情形外，项目经理一律不得更换。承包人未经监理工程师和发包人书面同意，擅自更换投标书中确认的本工程项目经理的，监理工程师或发包人有权责令承包人三天内整改，且发包人有权提请建设行政主管部门对其作不良行为记录，有权给予承包人履约评价为不合格，同时发包人有权拒绝承包人3年内参加发包人其它工程的投标。</w:t>
      </w:r>
      <w:r>
        <w:rPr>
          <w:rFonts w:hint="eastAsia" w:asciiTheme="minorEastAsia" w:hAnsiTheme="minorEastAsia" w:eastAsiaTheme="minorEastAsia" w:cstheme="minorEastAsia"/>
          <w:snapToGrid w:val="0"/>
          <w:kern w:val="0"/>
          <w:szCs w:val="24"/>
          <w:u w:val="single"/>
        </w:rPr>
        <w:t>擅自更换本工程项目经理的，</w:t>
      </w:r>
      <w:r>
        <w:rPr>
          <w:rFonts w:hint="eastAsia" w:asciiTheme="minorEastAsia" w:hAnsiTheme="minorEastAsia" w:eastAsiaTheme="minorEastAsia" w:cstheme="minorEastAsia"/>
          <w:u w:val="single"/>
        </w:rPr>
        <w:t>即使发包人</w:t>
      </w:r>
      <w:r>
        <w:rPr>
          <w:rFonts w:hint="eastAsia" w:asciiTheme="minorEastAsia" w:hAnsiTheme="minorEastAsia" w:eastAsiaTheme="minorEastAsia" w:cstheme="minorEastAsia"/>
          <w:snapToGrid w:val="0"/>
          <w:kern w:val="0"/>
          <w:szCs w:val="24"/>
          <w:u w:val="single"/>
        </w:rPr>
        <w:t>事后</w:t>
      </w:r>
      <w:r>
        <w:rPr>
          <w:rFonts w:hint="eastAsia" w:asciiTheme="minorEastAsia" w:hAnsiTheme="minorEastAsia" w:eastAsiaTheme="minorEastAsia" w:cstheme="minorEastAsia"/>
          <w:u w:val="single"/>
        </w:rPr>
        <w:t>批准同意更换，承包人仍需支付每换一次15万元的违约金（仅被羁押或判处刑罚、身亡可免责）。</w:t>
      </w:r>
    </w:p>
    <w:p w14:paraId="149FA26B">
      <w:pPr>
        <w:pStyle w:val="53"/>
        <w:widowControl/>
        <w:numPr>
          <w:ilvl w:val="0"/>
          <w:numId w:val="5"/>
        </w:numPr>
        <w:spacing w:line="360" w:lineRule="auto"/>
        <w:ind w:firstLine="420"/>
        <w:jc w:val="lef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u w:val="single"/>
        </w:rPr>
        <w:t>项目经理每延迟到位一天承包人应向发包人支付违约金5万元/天，超过10天（含10天）发包人有权单方解除合同，并要求承包人承担由此造成的一切损失。</w:t>
      </w:r>
    </w:p>
    <w:p w14:paraId="4B269333">
      <w:pPr>
        <w:pStyle w:val="53"/>
        <w:widowControl/>
        <w:numPr>
          <w:ilvl w:val="0"/>
          <w:numId w:val="5"/>
        </w:numPr>
        <w:spacing w:line="360" w:lineRule="auto"/>
        <w:ind w:firstLine="420"/>
        <w:jc w:val="lef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u w:val="single"/>
        </w:rPr>
        <w:t>项目经理必须按时参加工程例会、图纸会审和技术交底、现场协调会、方案论证会、专项工作碰头会，以及发包人要求其参加的会议。未经发包人同意不到会者，承包人每次向发包人支付1万元违约金，并承担一般违约责任1次。</w:t>
      </w:r>
    </w:p>
    <w:p w14:paraId="21E9EB70">
      <w:pPr>
        <w:pStyle w:val="53"/>
        <w:widowControl/>
        <w:numPr>
          <w:ilvl w:val="0"/>
          <w:numId w:val="5"/>
        </w:numPr>
        <w:spacing w:line="360" w:lineRule="auto"/>
        <w:ind w:firstLine="420"/>
        <w:jc w:val="lef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u w:val="single"/>
        </w:rPr>
        <w:t>项目经理若需离开施工现场1日以上（含1日）需经发包人批准。在其请假离开的时间段内应委托项目副经理或项目总工全权代表其行使职权，否则每违约一次，承包人应当承担一般违约责任1次。项目经理每月的出勤天数不得少于22天，如少于22天的，按每缺勤一天向发包人支付违约金人民币3仟元，并承担一般违约责任1次。</w:t>
      </w:r>
    </w:p>
    <w:p w14:paraId="25F9EE59">
      <w:pPr>
        <w:pStyle w:val="53"/>
        <w:widowControl/>
        <w:spacing w:line="360" w:lineRule="auto"/>
        <w:ind w:firstLine="480" w:firstLineChars="2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u w:val="single"/>
        </w:rPr>
        <w:t>（5）对于难以胜任工作项目经理，发包人有权要求承包人进行更换，直至发包人满意为止，且更换人员应在接到书面通知后的3天内到位。更换项目经理期间延误的工期不予顺延，所有费用由承包人承担，给发包人造成的损失由承包人承担。</w:t>
      </w:r>
    </w:p>
    <w:p w14:paraId="00398AD4">
      <w:pPr>
        <w:pStyle w:val="53"/>
        <w:widowControl/>
        <w:spacing w:line="360" w:lineRule="auto"/>
        <w:ind w:firstLine="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u w:val="single"/>
        </w:rPr>
        <w:t>上述违约金由承包人直接向发包人支付，未付清之前，发包人有权暂停支付工程款。</w:t>
      </w:r>
    </w:p>
    <w:p w14:paraId="3A8F86DC">
      <w:pPr>
        <w:pStyle w:val="53"/>
        <w:widowControl/>
        <w:spacing w:line="360" w:lineRule="auto"/>
        <w:ind w:firstLine="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5.1.2承包人必须遵守国家相关法律法规、政府相关规定及</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新丰县人民政府丰城街道办事处的工程管理制度。</w:t>
      </w:r>
    </w:p>
    <w:p w14:paraId="2F358755">
      <w:pPr>
        <w:pStyle w:val="53"/>
        <w:widowControl/>
        <w:spacing w:line="360" w:lineRule="auto"/>
        <w:ind w:firstLine="42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5.1.3承包人应根据工程实际需要，配备满足进度要求的施工机械，自备发电机保证供电稳定，所有费用已包含在合同价中。</w:t>
      </w:r>
    </w:p>
    <w:p w14:paraId="33958ED6">
      <w:pPr>
        <w:pStyle w:val="53"/>
        <w:widowControl/>
        <w:spacing w:line="360" w:lineRule="auto"/>
        <w:ind w:firstLine="42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5.1.4如果承包人未能按照规定的工期完成合同工程（含材料、设备采购等），或者未能在相应的工期内完成某区段或某单项工程，经发包人书面发出通知要求承包人在规定时间内完成前述工程后，承包人仍未完成，则发包人有权直接雇用他人执行该项指令，并向其支付有关费用，所发生的费用从承包人合同总价中扣除，同时，在工程结算时发包人有权扣除承包人向发包人支付所发生费用10%的违约金，并由承包人承担影响工期的一切责任。</w:t>
      </w:r>
    </w:p>
    <w:p w14:paraId="0B95821C">
      <w:pPr>
        <w:pStyle w:val="53"/>
        <w:widowControl/>
        <w:spacing w:line="360" w:lineRule="auto"/>
        <w:ind w:firstLine="42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5.1.5在合同履行中如发包人、承包人双方发生争议，承包人不得以争议未解决为由擅自停工，否则将视为违约，由此产生工期的延误不予顺延。</w:t>
      </w:r>
    </w:p>
    <w:p w14:paraId="01AD21E6">
      <w:pPr>
        <w:pStyle w:val="53"/>
        <w:widowControl/>
        <w:spacing w:line="360" w:lineRule="auto"/>
        <w:ind w:firstLine="42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5.1.6对于隐蔽工程，若发现承包人在验收合格后到隐蔽施工前，对合格部分做任何改动，应重新进行验收；若承包人同一分项工程验收两次仍不合格，则以后每增加一次验收，承包人向发包人支付违约金5000元。如出现未经验收就进行隐蔽施工，承包人向发包人支付10万元/次的违约金，并且发包人有权暂停支付该部分进度款，直至发包人确认该部分工程合格为止，并通报相关部门，由此产生质量、工期延误等等均由承包人负责。</w:t>
      </w:r>
    </w:p>
    <w:p w14:paraId="69FA3118">
      <w:pPr>
        <w:wordWrap w:val="0"/>
        <w:adjustRightInd w:val="0"/>
        <w:snapToGrid w:val="0"/>
        <w:spacing w:line="440" w:lineRule="exact"/>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经承包人的自检确认隐蔽工程和工程的隐蔽部位具备覆盖条件后的24小时内，承包人应通知监理人进行检查，通知应按规定的格式说明检查地点、内容和检查时间，并附有承包人自检记录和必要的检查资料。监理人应按通知约定的时间派员到场进行检查，在监理人员确认质量符合要求，并在检查记录上签字后，承包人才能进行覆盖。</w:t>
      </w:r>
    </w:p>
    <w:p w14:paraId="3E3A5CEF">
      <w:pPr>
        <w:pStyle w:val="53"/>
        <w:widowControl/>
        <w:spacing w:line="360" w:lineRule="auto"/>
        <w:ind w:firstLine="42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承包人未及时通知监理人到场检查，私自将隐蔽部位覆盖，监理人有权指示承包人采用钻孔探测揭开进行检查，由此增加的费用和工期延误责任由承包人承担。</w:t>
      </w:r>
    </w:p>
    <w:p w14:paraId="600C06ED">
      <w:pPr>
        <w:pStyle w:val="53"/>
        <w:widowControl/>
        <w:spacing w:line="360" w:lineRule="auto"/>
        <w:ind w:firstLine="42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5.1.7承包人必须编制合理的交通维护方案并负责实施，保证施工期间的交通组织符合新丰县公安交通管理的有关规定，确保施工安全，其费用包含在合同价中。</w:t>
      </w:r>
    </w:p>
    <w:p w14:paraId="4872A497">
      <w:pPr>
        <w:pStyle w:val="53"/>
        <w:widowControl/>
        <w:spacing w:line="360" w:lineRule="auto"/>
        <w:ind w:firstLine="42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5.1.8发生伤亡事故，承包人应在第一时间通知发包人，并按规定立即上报有关部门，同时按法律、法规及相关规定的要求及时处理，否则记承包人严重违约责任一次。</w:t>
      </w:r>
    </w:p>
    <w:p w14:paraId="7120FD4F">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因承包人原因，承包人施工现场发生工伤或其他责任事故的，除按相关法律法规依法接受处理和赔偿所造成的损失外，承包人还须按下列标准向发包人支付惩罚性违约金：</w:t>
      </w:r>
    </w:p>
    <w:p w14:paraId="19A2B258">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（1）一次事故或全年累计死亡3人及以上：安全第一责任人在韶关市地区建设范围内公开检查；承包人必须撤换项目经理、安全主管，同时支付合同价款15％的惩罚性违约金。</w:t>
      </w:r>
    </w:p>
    <w:p w14:paraId="11A08A27">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（2）一次事故或全年累计死亡2人：安全第一责任人在韶关市地区建设范围内公开检查；承包人必须撤换项目经理、安全主管，同时支付合同价款10％的惩罚性违约金。</w:t>
      </w:r>
    </w:p>
    <w:p w14:paraId="56E0A5C6">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（3）全年死亡1人：安全第一责任人在韶关市地区建设范围内公开检查，并报其上级单位；承包人必须撤换项目经理、安全主管；同时支付合同价款5％的惩罚性违约金。</w:t>
      </w:r>
    </w:p>
    <w:p w14:paraId="03449232">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（4）重伤事故、造成10人及以上集体中毒住院、经济损失重大的火灾、设备及交通事故，依法由承包人承担责任，并支付惩罚性违约金3万元。</w:t>
      </w:r>
    </w:p>
    <w:p w14:paraId="78A945E7">
      <w:pPr>
        <w:pStyle w:val="53"/>
        <w:widowControl/>
        <w:spacing w:line="360" w:lineRule="auto"/>
        <w:ind w:firstLine="42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（5）因施工造成的道路交通中断、通讯中断、管线漏水漏气等全部责任事故，依法由承包人承担责任，并支付惩罚性违约金2万元。</w:t>
      </w:r>
    </w:p>
    <w:p w14:paraId="10EBA28A">
      <w:pPr>
        <w:pStyle w:val="53"/>
        <w:widowControl/>
        <w:spacing w:line="360" w:lineRule="auto"/>
        <w:ind w:firstLine="42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 xml:space="preserve">5.1.9 承包人必须遵守有关环境保护的法律法规，并采取有效措施控制施工现场的各种粉尘、废气、废弃物、噪声、振动等对身体健康和周边环境造成的危害和污染，有关费用已包含在合同价中。 </w:t>
      </w:r>
    </w:p>
    <w:p w14:paraId="3AC736AA">
      <w:pPr>
        <w:autoSpaceDE w:val="0"/>
        <w:autoSpaceDN w:val="0"/>
        <w:adjustRightInd w:val="0"/>
        <w:snapToGrid w:val="0"/>
        <w:spacing w:before="120" w:beforeLines="50"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5.1.10 工程竣工验收合格后30天内，承包人必须及时</w:t>
      </w:r>
      <w:r>
        <w:rPr>
          <w:rFonts w:asciiTheme="minorEastAsia" w:hAnsiTheme="minorEastAsia" w:eastAsiaTheme="minorEastAsia" w:cstheme="minorEastAsia"/>
          <w:snapToGrid w:val="0"/>
          <w:kern w:val="0"/>
          <w:szCs w:val="24"/>
        </w:rPr>
        <w:t>按</w:t>
      </w:r>
      <w:r>
        <w:rPr>
          <w:rFonts w:asciiTheme="minorEastAsia" w:hAnsiTheme="minorEastAsia" w:eastAsiaTheme="minorEastAsia" w:cstheme="minorEastAsia"/>
          <w:szCs w:val="24"/>
        </w:rPr>
        <w:t xml:space="preserve">韶关市城市建设档案要求及发包人要求提交真实完整的竣工图纸等竣工资料，并由承包人负责汇总后，移交相关管理部门，且办理完成相关移交手续，否则每延迟１天，承包人向发包人支付2000元/天的违约金。同时，承包人向发包人提供完整的竣工图纸等竣工资料各8套（包括声像及电子文件），档案的制作费用由承包人承担。 </w:t>
      </w:r>
    </w:p>
    <w:p w14:paraId="0788E9E2">
      <w:pPr>
        <w:autoSpaceDE w:val="0"/>
        <w:autoSpaceDN w:val="0"/>
        <w:adjustRightInd w:val="0"/>
        <w:snapToGrid w:val="0"/>
        <w:spacing w:before="120" w:beforeLines="50"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5.1.11 如承包人不按合同内容及条款施工，或违反正常施工程序、施工工艺进行施工，或施工质量、安全、环保等达不到有关要求，或施工用材料设备不符合规定，发包人有权勒令承包人暂停施工，承包人必须停工整改，一切责任由承包人负责。</w:t>
      </w:r>
    </w:p>
    <w:p w14:paraId="2A813993">
      <w:pPr>
        <w:autoSpaceDE w:val="0"/>
        <w:autoSpaceDN w:val="0"/>
        <w:adjustRightInd w:val="0"/>
        <w:snapToGrid w:val="0"/>
        <w:spacing w:before="120" w:beforeLines="50"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5.1.12 承包人全体现场施工人员佩戴安全帽，全部施工人员佩戴工作牌。</w:t>
      </w:r>
    </w:p>
    <w:p w14:paraId="3A8A9844">
      <w:pPr>
        <w:autoSpaceDE w:val="0"/>
        <w:autoSpaceDN w:val="0"/>
        <w:adjustRightInd w:val="0"/>
        <w:snapToGrid w:val="0"/>
        <w:spacing w:before="120" w:beforeLines="50"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5.1.13 未经发包人书面许可，承包人不得在施工现场布置任何与本项目工程无关的商业广告，否则发包人有权要求承包人予以拆除，承包人并向发包人每次支付违约金10000元。</w:t>
      </w:r>
    </w:p>
    <w:p w14:paraId="720036B3">
      <w:pPr>
        <w:autoSpaceDE w:val="0"/>
        <w:autoSpaceDN w:val="0"/>
        <w:adjustRightInd w:val="0"/>
        <w:snapToGrid w:val="0"/>
        <w:spacing w:before="120" w:beforeLines="50" w:line="360" w:lineRule="auto"/>
        <w:ind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5.1.14 承包人下列人员有以下情形的，承包人必须在24小时内将其调离，并应在3天内补充经发包人批准的相关合格人员。若承包人不及时履行，发包人则有权要求承包人按每人每次支付违约金1000元/天，具体情形如下：</w:t>
      </w:r>
    </w:p>
    <w:p w14:paraId="0D3F749B">
      <w:pPr>
        <w:autoSpaceDE w:val="0"/>
        <w:autoSpaceDN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（1）发包人确认无法胜任工作者，包括：对分部分项工程施工进度及施工质量达不到合同要求负有责任的施工人员、不熟悉本专业的施工人员、工作责任心不强的施工人员等；</w:t>
      </w:r>
    </w:p>
    <w:p w14:paraId="56691049">
      <w:pPr>
        <w:autoSpaceDE w:val="0"/>
        <w:autoSpaceDN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（2）不积极配合发包人、监理工程师正常工作人员；</w:t>
      </w:r>
    </w:p>
    <w:p w14:paraId="17A2A048">
      <w:pPr>
        <w:autoSpaceDE w:val="0"/>
        <w:autoSpaceDN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（3）违反承包人或发包人工地现场管理规定的人员；</w:t>
      </w:r>
    </w:p>
    <w:p w14:paraId="54EBA2E0">
      <w:pPr>
        <w:autoSpaceDE w:val="0"/>
        <w:autoSpaceDN w:val="0"/>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（4）无证上岗人员（适用于按规定必须有上岗证的）；</w:t>
      </w:r>
    </w:p>
    <w:p w14:paraId="6ED45878">
      <w:pPr>
        <w:adjustRightInd w:val="0"/>
        <w:snapToGrid w:val="0"/>
        <w:spacing w:line="360" w:lineRule="auto"/>
        <w:ind w:firstLine="240" w:firstLineChars="100"/>
        <w:rPr>
          <w:rFonts w:asciiTheme="minorEastAsia" w:hAnsiTheme="minorEastAsia" w:eastAsiaTheme="minorEastAsia" w:cstheme="minorEastAsia"/>
          <w:szCs w:val="24"/>
        </w:rPr>
      </w:pPr>
      <w:r>
        <w:rPr>
          <w:rFonts w:asciiTheme="minorEastAsia" w:hAnsiTheme="minorEastAsia" w:eastAsiaTheme="minorEastAsia" w:cstheme="minorEastAsia"/>
          <w:szCs w:val="24"/>
        </w:rPr>
        <w:t>（5）与本工程施工无关的人员。</w:t>
      </w:r>
    </w:p>
    <w:p w14:paraId="6352DF6A">
      <w:pPr>
        <w:adjustRightInd w:val="0"/>
        <w:snapToGrid w:val="0"/>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5.1.15 本工程禁止转包，若发包人和监理人认为承包人有转包行为，且经行政主管部门落实认定。发包人有权勒令承包人停工、驱逐其出现场，并提请建设行政主管部门对承包人按相关法律法规进行行政处罚；发包人还有权给予承包人履约评价为不合格，及有权拒绝承包人3年内参加发包人其它工程的投标；同时发包人有权单方面解除本合同。由此造成的损失均由承包人承担。 </w:t>
      </w:r>
    </w:p>
    <w:p w14:paraId="7D51CE08">
      <w:pPr>
        <w:spacing w:line="360" w:lineRule="auto"/>
        <w:ind w:firstLine="482" w:firstLineChars="200"/>
        <w:rPr>
          <w:rFonts w:asciiTheme="minorEastAsia" w:hAnsiTheme="minorEastAsia" w:eastAsiaTheme="minorEastAsia" w:cstheme="minorEastAsia"/>
          <w:b/>
          <w:bCs/>
          <w:szCs w:val="24"/>
        </w:rPr>
      </w:pPr>
      <w:r>
        <w:rPr>
          <w:rFonts w:asciiTheme="minorEastAsia" w:hAnsiTheme="minorEastAsia" w:eastAsiaTheme="minorEastAsia" w:cstheme="minorEastAsia"/>
          <w:b/>
          <w:bCs/>
          <w:szCs w:val="24"/>
        </w:rPr>
        <w:t>5.2 用工和劳务</w:t>
      </w:r>
    </w:p>
    <w:p w14:paraId="4659F1A8">
      <w:pPr>
        <w:adjustRightInd w:val="0"/>
        <w:snapToGrid w:val="0"/>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5.2.1承包人不得从为发包人或工程师服务的人员中招雇任何人员。</w:t>
      </w:r>
    </w:p>
    <w:p w14:paraId="0398917A">
      <w:pPr>
        <w:adjustRightInd w:val="0"/>
        <w:snapToGrid w:val="0"/>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5.2.2承包人不得以任何理由延期支付雇员的工资和劳务分包人的劳务费用。对发包人支付的工程款，承包人须优先用于支付工人劳动报酬，确保不发生因拖欠工人工资、劳务费而停工、上访，或因此在媒体曝光等事件。如果发生因拖欠工人工资、劳务费而停工上访，或因此在媒体曝光等事件，视为承包人违约，发包人有权要求承包人支付违约金20万元/次。</w:t>
      </w:r>
    </w:p>
    <w:p w14:paraId="0F11A7D3">
      <w:pPr>
        <w:adjustRightInd w:val="0"/>
        <w:snapToGrid w:val="0"/>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5.2.3承包人应避免发包人因施工工人追索劳务费或工程款而将发包人诉至法庭或仲裁庭，否则一切责任由承包人承担，所发生的所有费用（包括但不限于诉讼费、调查费、律师费、赔偿费、违约金等）全部由承包人承担，发包人有权将此等费用从任何应支付的工程款中扣除或没收履约保函中的相应金额。</w:t>
      </w:r>
    </w:p>
    <w:p w14:paraId="33600D77">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5.2.4如果现场工程师需要了解承包人在现场的管理人员和各种劳务工种操作人员情况，以及工程师要求的有关承包人机械设备、主要施工机具、周转材料等的详细资料。承包人则应向工程师提交一份详细的统计表，其格式和提交的间隔时间应符合工程师的规定。</w:t>
      </w:r>
    </w:p>
    <w:p w14:paraId="06F15079">
      <w:pPr>
        <w:spacing w:line="360" w:lineRule="auto"/>
        <w:ind w:firstLine="482" w:firstLineChars="200"/>
        <w:rPr>
          <w:rFonts w:asciiTheme="minorEastAsia" w:hAnsiTheme="minorEastAsia" w:eastAsiaTheme="minorEastAsia" w:cstheme="minorEastAsia"/>
          <w:b/>
          <w:bCs/>
          <w:szCs w:val="24"/>
        </w:rPr>
      </w:pPr>
      <w:r>
        <w:rPr>
          <w:rFonts w:asciiTheme="minorEastAsia" w:hAnsiTheme="minorEastAsia" w:eastAsiaTheme="minorEastAsia" w:cstheme="minorEastAsia"/>
          <w:b/>
          <w:bCs/>
          <w:szCs w:val="24"/>
        </w:rPr>
        <w:t>5.3施工准备工作</w:t>
      </w:r>
    </w:p>
    <w:p w14:paraId="72A8D4F2">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5.3.1承包人应充分认识到本工程的特殊性和复杂性，施工前应切实做好各项准备工作，包括但不限于以下（1）、（2）、（3）的内容：</w:t>
      </w:r>
    </w:p>
    <w:p w14:paraId="51FE4172">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（1）必须按要求完成临时设施建设和现场指挥部建设。</w:t>
      </w:r>
    </w:p>
    <w:p w14:paraId="2221A43B">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（2）按照相关规定及发包人要求做好现场申报、宣传、走访、排查和解释工作。</w:t>
      </w:r>
    </w:p>
    <w:p w14:paraId="7FA641E6">
      <w:pPr>
        <w:spacing w:line="360" w:lineRule="auto"/>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   （3）根据现场实际环境，做好防火、防盗、防坠落等各项措施，排除安全隐患，确保施工期间施工的安全。</w:t>
      </w:r>
    </w:p>
    <w:p w14:paraId="283B05EC">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5.3.2存在设计图纸疑问，必须在施工前30日提出，不得在施工时临时提出，也不得以此手段要求任何索赔，由此造成的一切损失由承包人承担。</w:t>
      </w:r>
    </w:p>
    <w:p w14:paraId="7B5F01D4">
      <w:pPr>
        <w:spacing w:line="360" w:lineRule="auto"/>
        <w:ind w:left="480" w:leftChars="200"/>
        <w:rPr>
          <w:rFonts w:asciiTheme="minorEastAsia" w:hAnsiTheme="minorEastAsia" w:eastAsiaTheme="minorEastAsia" w:cstheme="minorEastAsia"/>
          <w:strike/>
          <w:szCs w:val="24"/>
        </w:rPr>
      </w:pPr>
      <w:r>
        <w:rPr>
          <w:rFonts w:asciiTheme="minorEastAsia" w:hAnsiTheme="minorEastAsia" w:eastAsiaTheme="minorEastAsia" w:cstheme="minorEastAsia"/>
          <w:b/>
          <w:bCs/>
          <w:szCs w:val="24"/>
        </w:rPr>
        <w:t>5.4工程变更</w:t>
      </w:r>
    </w:p>
    <w:p w14:paraId="06D60CB8">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5.4.1承包人报送的变更价款，应实事求是，不得虚报数量，增加或变更的工程内容按招标文件中约定计价办法进行计量。若其报送金额超出建设工程造价管理部门或政府审核部门审定金额15%以上的，每次承包人向发包人支付人民币伍仟（￥5000）元的违约金，并在结算中予以扣除。</w:t>
      </w:r>
    </w:p>
    <w:p w14:paraId="5CB29521">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5.4.2承包人应充分考虑工程设计变更带来的风险。工程变更须按政府及发包人的有关规定、审批权限和审批程序进行审批，凡未经发包人审批同意，承包人擅自实施的，一律视为无效变更，结算时发包人不予承认。</w:t>
      </w:r>
    </w:p>
    <w:p w14:paraId="4A100C39">
      <w:pPr>
        <w:spacing w:line="360" w:lineRule="auto"/>
        <w:ind w:firstLine="482" w:firstLineChars="200"/>
        <w:rPr>
          <w:rFonts w:asciiTheme="minorEastAsia" w:hAnsiTheme="minorEastAsia" w:eastAsiaTheme="minorEastAsia" w:cstheme="minorEastAsia"/>
          <w:b/>
          <w:bCs/>
          <w:szCs w:val="24"/>
        </w:rPr>
      </w:pPr>
      <w:r>
        <w:rPr>
          <w:rFonts w:asciiTheme="minorEastAsia" w:hAnsiTheme="minorEastAsia" w:eastAsiaTheme="minorEastAsia" w:cstheme="minorEastAsia"/>
          <w:b/>
          <w:bCs/>
          <w:szCs w:val="24"/>
        </w:rPr>
        <w:t>5.5工程量计量的约定：</w:t>
      </w:r>
    </w:p>
    <w:p w14:paraId="64B1BC7F">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①承包人不得自行取消施工图或清单中的任何项目，发包人根据需要取消的未施工项目，经监理工程师核实后予以扣减，相应的措施费用予以扣减。</w:t>
      </w:r>
    </w:p>
    <w:p w14:paraId="11995385">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②承包人自身原因造成的返工工程量，不予计量。</w:t>
      </w:r>
    </w:p>
    <w:p w14:paraId="4225C0B3">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③凡超出图纸范围又未经变更审批的工程量，不予计量。</w:t>
      </w:r>
    </w:p>
    <w:p w14:paraId="3D5E7363">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④不符合工程质量标准的工程量，不予计量。</w:t>
      </w:r>
    </w:p>
    <w:p w14:paraId="6B7D6711">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⑤发包人书面通知承包人取消的工程量，不予计量。</w:t>
      </w:r>
    </w:p>
    <w:p w14:paraId="44E7E9AB">
      <w:pPr>
        <w:pStyle w:val="30"/>
        <w:spacing w:line="360" w:lineRule="auto"/>
        <w:jc w:val="left"/>
        <w:rPr>
          <w:rFonts w:hint="eastAsia" w:asciiTheme="minorEastAsia" w:hAnsiTheme="minorEastAsia" w:eastAsiaTheme="minorEastAsia" w:cstheme="minorEastAsia"/>
          <w:b w:val="0"/>
          <w:bCs/>
        </w:rPr>
      </w:pPr>
      <w:r>
        <w:rPr>
          <w:rFonts w:hint="eastAsia" w:asciiTheme="minorEastAsia" w:hAnsiTheme="minorEastAsia" w:eastAsiaTheme="minorEastAsia" w:cstheme="minorEastAsia"/>
          <w:b w:val="0"/>
          <w:bCs/>
          <w:snapToGrid w:val="0"/>
          <w:kern w:val="0"/>
          <w:sz w:val="24"/>
        </w:rPr>
        <w:t>承包人编制的工程量预算清单中的综合单价为按技术规范与技术要求完成一个规定计量单位的工程所需的人工费、材料费、机械使用费、管理费、利润并考虑风险因素。按技术规范、招标文件、设计图纸、国标《建设工程工程量清单计价规范》、省市现行计价规程等要求为完成一个规定计量单位的工程量所需的其他一切费用，承包人不得以综合单价和措施费所含工作内容缺漏项为由，向发包人提出任何变更工程价款的要求。</w:t>
      </w:r>
    </w:p>
    <w:p w14:paraId="0FFC0D94">
      <w:pPr>
        <w:spacing w:line="360" w:lineRule="auto"/>
        <w:ind w:firstLine="482" w:firstLineChars="200"/>
        <w:rPr>
          <w:rFonts w:asciiTheme="minorEastAsia" w:hAnsiTheme="minorEastAsia" w:eastAsiaTheme="minorEastAsia" w:cstheme="minorEastAsia"/>
          <w:b/>
          <w:bCs/>
          <w:szCs w:val="24"/>
          <w:u w:val="single"/>
        </w:rPr>
      </w:pPr>
      <w:r>
        <w:rPr>
          <w:rFonts w:asciiTheme="minorEastAsia" w:hAnsiTheme="minorEastAsia" w:eastAsiaTheme="minorEastAsia" w:cstheme="minorEastAsia"/>
          <w:b/>
          <w:bCs/>
          <w:szCs w:val="24"/>
        </w:rPr>
        <w:t>5.6承包人对专业分包的总要求</w:t>
      </w:r>
    </w:p>
    <w:p w14:paraId="53A1B30B">
      <w:pPr>
        <w:adjustRightInd w:val="0"/>
        <w:snapToGrid w:val="0"/>
        <w:spacing w:before="120" w:beforeLines="50"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5.6.1承包人对本工程所有分包人的管理费和相互间的配合费用由承包人与分包人自行商定，已含在承包人的投标报价中，发包人不予任何补偿。承包人承担全部管理、组织、协调和配合工作。</w:t>
      </w:r>
    </w:p>
    <w:p w14:paraId="7D5E8363">
      <w:pPr>
        <w:spacing w:line="360" w:lineRule="auto"/>
        <w:ind w:firstLine="495"/>
        <w:rPr>
          <w:rFonts w:asciiTheme="minorEastAsia" w:hAnsiTheme="minorEastAsia" w:eastAsiaTheme="minorEastAsia" w:cstheme="minorEastAsia"/>
          <w:szCs w:val="24"/>
        </w:rPr>
      </w:pPr>
      <w:r>
        <w:rPr>
          <w:rFonts w:asciiTheme="minorEastAsia" w:hAnsiTheme="minorEastAsia" w:eastAsiaTheme="minorEastAsia" w:cstheme="minorEastAsia"/>
          <w:szCs w:val="24"/>
        </w:rPr>
        <w:t>5.6.2若承包人的施工承包资质缺少本工程的专业承包资质，应按照有关规定事先报发包人和监理工程师审查并取得发包人批准后分包给具有相应资质的专业承包人（如果分包工程按规定需要进行招标的，由承包人在建设交易中心自行组织），由此产生的一切分包费用、配合费、招标费用以及其他可能存在风险所产生的费用都含在合同价中。承包人因上述情况提出的任何索赔或工期延长申请将不获批准。若承包人在施工过程中由于自身缺少本工程要求的专业承包资质，而又不能按规定时间发包给具有资质的专业承包企业或者分包企业不能按照设计要求实施专业工程的，由此造成工期延误，每延误1天承包人向发包人支付违约金3万元；给发包人造成质量损失的，承包人负责赔偿，同时发包人有权从合同价中按分包工程的审定预算价扣除，并委托其他施工单位实施，承包人须无条件与分包人签订合同。</w:t>
      </w:r>
    </w:p>
    <w:p w14:paraId="2DE3575D">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5.6.3若同一分包工程的分包申请被否定二次，发包人有权就该分包工程采用单独招标形式确定分包人或直接指定分包人，承包人须无条件与分包人签订合同，并不得收取任何费用。同时发包人有权从合同价中按分包工程的审定预算价扣除，并委托其他施工单位实施，承包人须无条件与分包人签订合同。同时由此造成工期延误，每延误1天承包人向发包人支付违约金3万元；给发包人造成质量损失的，承包人负责赔偿。</w:t>
      </w:r>
    </w:p>
    <w:p w14:paraId="059B61EE">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5.6.4经工程师、发包人认可，承包人与分包人签订分包合同后的5天内，承包人必须将分包合同等相关资料按规定送建设行政主管部门及其他相关管理部门备案，分包合同与本施工合同发生抵触，以本施工合同为准。承包人对分包合同承担连带责任。分包合同不解除承包人任何义务与责任，承包人在分包现场应派驻监督管理人员，保证合同的履行。分包人的任何违约或疏忽，均视为承包人违约或疏忽。</w:t>
      </w:r>
    </w:p>
    <w:p w14:paraId="3508A474">
      <w:pPr>
        <w:adjustRightInd w:val="0"/>
        <w:snapToGrid w:val="0"/>
        <w:spacing w:line="360" w:lineRule="auto"/>
        <w:ind w:firstLine="600" w:firstLineChars="250"/>
        <w:rPr>
          <w:rFonts w:asciiTheme="minorEastAsia" w:hAnsiTheme="minorEastAsia" w:eastAsiaTheme="minorEastAsia" w:cstheme="minorEastAsia"/>
          <w:szCs w:val="24"/>
        </w:rPr>
      </w:pPr>
      <w:r>
        <w:rPr>
          <w:rFonts w:asciiTheme="minorEastAsia" w:hAnsiTheme="minorEastAsia" w:eastAsiaTheme="minorEastAsia" w:cstheme="minorEastAsia"/>
          <w:szCs w:val="24"/>
        </w:rPr>
        <w:t xml:space="preserve">5.6.5若发包人和监理均认定承包人有未经发包人同意的分包行为（无须承包人认可，除非承包人在发包人发出通知后3天内提出有效举证），发包人有权勒令其停工、驱逐出现场等，由此造成的损失均由承包人承担，同时承包人向发包人支付违约金30万元/每次。发包人有权提请建设行政主管部门对其作不良行为记录，有权给予承包人履约评价为不合格，同时发包人有权拒绝承包人3年内参加发包人其它工程的投标。 </w:t>
      </w:r>
    </w:p>
    <w:p w14:paraId="2799CA70">
      <w:pPr>
        <w:adjustRightInd w:val="0"/>
        <w:snapToGrid w:val="0"/>
        <w:spacing w:line="360" w:lineRule="auto"/>
        <w:ind w:firstLine="482" w:firstLineChars="200"/>
        <w:rPr>
          <w:rFonts w:asciiTheme="minorEastAsia" w:hAnsiTheme="minorEastAsia" w:eastAsiaTheme="minorEastAsia" w:cstheme="minorEastAsia"/>
          <w:b/>
          <w:bCs/>
          <w:szCs w:val="24"/>
        </w:rPr>
      </w:pPr>
      <w:r>
        <w:rPr>
          <w:rFonts w:asciiTheme="minorEastAsia" w:hAnsiTheme="minorEastAsia" w:eastAsiaTheme="minorEastAsia" w:cstheme="minorEastAsia"/>
          <w:b/>
          <w:bCs/>
          <w:szCs w:val="24"/>
        </w:rPr>
        <w:t>5.7 措施项目</w:t>
      </w:r>
    </w:p>
    <w:p w14:paraId="51F7EB6D">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5.7.1现场安全文明设计必须满足国家、省市相关的要求，除此之外，尚应满足如下要求：</w:t>
      </w:r>
    </w:p>
    <w:p w14:paraId="2F0F8C0A">
      <w:pPr>
        <w:numPr>
          <w:ilvl w:val="0"/>
          <w:numId w:val="6"/>
        </w:num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安全、文明、临时设施要求：①主要管理人员与投标文件内填写的应一致；</w:t>
      </w:r>
    </w:p>
    <w:p w14:paraId="027C3480">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②施工现场应封闭施工。进出口要设大门、门卫和门卫制度。主进出口门头设企业标志，两侧要挂“七牌一图”，标牌应规范、整齐；</w:t>
      </w:r>
    </w:p>
    <w:p w14:paraId="71F6D64F">
      <w:pPr>
        <w:spacing w:line="360" w:lineRule="auto"/>
        <w:ind w:firstLine="480" w:firstLineChars="200"/>
        <w:rPr>
          <w:rFonts w:asciiTheme="minorEastAsia" w:hAnsiTheme="minorEastAsia" w:eastAsiaTheme="minorEastAsia" w:cstheme="minorEastAsia"/>
          <w:szCs w:val="24"/>
        </w:rPr>
      </w:pPr>
      <w:r>
        <w:rPr>
          <w:rFonts w:asciiTheme="minorEastAsia" w:hAnsiTheme="minorEastAsia" w:eastAsiaTheme="minorEastAsia" w:cstheme="minorEastAsia"/>
          <w:szCs w:val="24"/>
        </w:rPr>
        <w:t>③施工场地及生活区的所有临时道路，无污水、积水，地面要平整，路面满足施工及生活需要；排水要通畅，要有防止泥浆、污物堵塞排水管道的措施；按要求张挂各种安全标志牌和标语，设宣传栏，读报栏和黑板报并设有吸烟处；有绿化布置；</w:t>
      </w:r>
    </w:p>
    <w:p w14:paraId="25887D4E">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szCs w:val="24"/>
        </w:rPr>
        <w:t>④施工期间，承包人应随时根据现场情况对围挡进行维修和保护，确保施工界面达到韶关市、新丰县和建设部有关规定的标准。为确保施工安全，防止无关人员进入现场，承包人必须对施工范围（特殊情况除外）进行全封闭围挡，并设置车辆进出口</w:t>
      </w:r>
      <w:r>
        <w:rPr>
          <w:rFonts w:asciiTheme="minorEastAsia" w:hAnsiTheme="minorEastAsia" w:eastAsiaTheme="minorEastAsia" w:cstheme="minorEastAsia"/>
          <w:color w:val="000000" w:themeColor="text1"/>
          <w:szCs w:val="24"/>
          <w14:textFill>
            <w14:solidFill>
              <w14:schemeClr w14:val="tx1"/>
            </w14:solidFill>
          </w14:textFill>
        </w:rPr>
        <w:t>，若确因条件限制或环境要求无法实施封闭围挡，承包人应切实做好安全防护及安全通道，设置合理科学的安全警示标志。如果承包人开工后经监理工程师下达整改通知后3天内仍未按规定实施，发包人有权安排其他施工队伍进场作好封闭围挡，相应费用从本合同总价中的现场安全文明措施费中扣除。承包人承诺按发包人制定的此条款执行，不得有任何异议；</w:t>
      </w:r>
    </w:p>
    <w:p w14:paraId="003BD369">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⑤施工场内，建筑材料、构件和料具要按施工现场平面图的布置要求堆放整齐，并挂物料名称，品种，规格等标牌，施工现场渣土和垃圾清运应当采取喷淋压尘装载；</w:t>
      </w:r>
    </w:p>
    <w:p w14:paraId="122A0DDB">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⑥承包人必须按照粤建安字〔2009〕20号文件要求，在开工前按有关规定要求，编制施工组织设计和施工现场消防设施平面布置图，按规定配备合格的消防器材等，满足施工现场所需的消防措施、制度和灭火器材，灭火器材配置、消防水源所有器材和设备应合理、合格，使用明火应有动火审批手续和动火监护，所发生的费用已含合同中；</w:t>
      </w:r>
    </w:p>
    <w:p w14:paraId="72625290">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⑦施工现场的施工区、 办公区、生活区应当分开设置，实行区划管理，临时办公和生活用房应采用轻钢板房，并要具有抗强台风的措施，确保安全；</w:t>
      </w:r>
    </w:p>
    <w:p w14:paraId="41065BE0">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⑧工地内要配备经培训的急救人员、保健医药箱、安全急救措施和急救器材，要开展卫生、防病自救、互救宣传教育；</w:t>
      </w:r>
    </w:p>
    <w:p w14:paraId="2BFF6C4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⑨要建立治安保卫制度，责任要分解到人。承包人在施工过程中的施工人员应配备必要的劳动、安全保护用品并佩戴工作证，以及满足招标文件中其他相关规定。</w:t>
      </w:r>
    </w:p>
    <w:p w14:paraId="00E9B9B6">
      <w:pPr>
        <w:numPr>
          <w:ilvl w:val="0"/>
          <w:numId w:val="6"/>
        </w:num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环保要求：承包人在施工过程中必须根据环保部门和城管部门的要求采取一切可能的措施做好环境保护和水土保持工作，有效控制施工现场的各种粉尘、废气、废弃物、噪音、振动、雨污水等对周边环境造成的污染和危害，避免对周围的管线、道路、构筑物、建筑物造成损坏，环境保护所采用的措施包括但不局限于：</w:t>
      </w:r>
    </w:p>
    <w:p w14:paraId="21862D65">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①环境污染防治措施：禁止向周边和雨水口、河道倾倒一切废物，包括生产和生活污水、生产和生活垃圾等；生活废水要自建生活污水处理装置；生活垃圾要收集在有防雨棚和防地表径流冲刷的临时垃圾池内，及时集中、清运；堆土区表面进行覆盖；</w:t>
      </w:r>
    </w:p>
    <w:p w14:paraId="338850F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②大气污染防治措施：采用洒水湿法抑尘；重点时段防护如：对</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工地进出运输</w:t>
      </w:r>
      <w:r>
        <w:rPr>
          <w:rFonts w:asciiTheme="minorEastAsia" w:hAnsiTheme="minorEastAsia" w:eastAsiaTheme="minorEastAsia" w:cstheme="minorEastAsia"/>
          <w:color w:val="000000" w:themeColor="text1"/>
          <w:szCs w:val="24"/>
          <w14:textFill>
            <w14:solidFill>
              <w14:schemeClr w14:val="tx1"/>
            </w14:solidFill>
          </w14:textFill>
        </w:rPr>
        <w:t>车辆进行冲洗；运送散装物料的机动车、存放散装物料的堆放场地必须用棚布遮盖，拌和设备尽量封闭；</w:t>
      </w:r>
    </w:p>
    <w:p w14:paraId="0F96C779">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③施工噪音防护措施：施工噪音执行《建筑施工噪音标准限值》（GB12523-90）规定的有关标准，未经环保部门批准中午和夜间不得施工作业；对高噪音的施工机械或加工环节尽量安排在远离民居的地方；</w:t>
      </w:r>
    </w:p>
    <w:p w14:paraId="266F1D7A">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fldChar w:fldCharType="begin"/>
      </w:r>
      <w:r>
        <w:rPr>
          <w:rFonts w:asciiTheme="minorEastAsia" w:hAnsiTheme="minorEastAsia" w:eastAsiaTheme="minorEastAsia" w:cstheme="minorEastAsia"/>
          <w:color w:val="000000" w:themeColor="text1"/>
          <w:szCs w:val="24"/>
          <w14:textFill>
            <w14:solidFill>
              <w14:schemeClr w14:val="tx1"/>
            </w14:solidFill>
          </w14:textFill>
        </w:rPr>
        <w:instrText xml:space="preserve"> = 4 \* GB3 </w:instrText>
      </w:r>
      <w:r>
        <w:rPr>
          <w:rFonts w:asciiTheme="minorEastAsia" w:hAnsiTheme="minorEastAsia" w:eastAsiaTheme="minorEastAsia" w:cstheme="minorEastAsia"/>
          <w:color w:val="000000" w:themeColor="text1"/>
          <w:szCs w:val="24"/>
          <w14:textFill>
            <w14:solidFill>
              <w14:schemeClr w14:val="tx1"/>
            </w14:solidFill>
          </w14:textFill>
        </w:rPr>
        <w:fldChar w:fldCharType="separate"/>
      </w:r>
      <w:r>
        <w:rPr>
          <w:rFonts w:asciiTheme="minorEastAsia" w:hAnsiTheme="minorEastAsia" w:eastAsiaTheme="minorEastAsia" w:cstheme="minorEastAsia"/>
          <w:color w:val="000000" w:themeColor="text1"/>
          <w:szCs w:val="24"/>
          <w:lang w:val="zh-CN"/>
          <w14:textFill>
            <w14:solidFill>
              <w14:schemeClr w14:val="tx1"/>
            </w14:solidFill>
          </w14:textFill>
        </w:rPr>
        <w:t>④</w:t>
      </w:r>
      <w:r>
        <w:rPr>
          <w:rFonts w:asciiTheme="minorEastAsia" w:hAnsiTheme="minorEastAsia" w:eastAsiaTheme="minorEastAsia" w:cstheme="minorEastAsia"/>
          <w:color w:val="000000" w:themeColor="text1"/>
          <w:szCs w:val="24"/>
          <w14:textFill>
            <w14:solidFill>
              <w14:schemeClr w14:val="tx1"/>
            </w14:solidFill>
          </w14:textFill>
        </w:rPr>
        <w:fldChar w:fldCharType="end"/>
      </w:r>
      <w:r>
        <w:rPr>
          <w:rFonts w:asciiTheme="minorEastAsia" w:hAnsiTheme="minorEastAsia" w:eastAsiaTheme="minorEastAsia" w:cstheme="minorEastAsia"/>
          <w:color w:val="000000" w:themeColor="text1"/>
          <w:szCs w:val="24"/>
          <w14:textFill>
            <w14:solidFill>
              <w14:schemeClr w14:val="tx1"/>
            </w14:solidFill>
          </w14:textFill>
        </w:rPr>
        <w:t>针对固体废物可能产生的多种环境影响，须采取必要的措施分类收集，运至指定地点和按规定进行处理；</w:t>
      </w:r>
    </w:p>
    <w:p w14:paraId="0FCA891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fldChar w:fldCharType="begin"/>
      </w:r>
      <w:r>
        <w:rPr>
          <w:rFonts w:asciiTheme="minorEastAsia" w:hAnsiTheme="minorEastAsia" w:eastAsiaTheme="minorEastAsia" w:cstheme="minorEastAsia"/>
          <w:color w:val="000000" w:themeColor="text1"/>
          <w:szCs w:val="24"/>
          <w14:textFill>
            <w14:solidFill>
              <w14:schemeClr w14:val="tx1"/>
            </w14:solidFill>
          </w14:textFill>
        </w:rPr>
        <w:instrText xml:space="preserve"> = 5 \* GB3 </w:instrText>
      </w:r>
      <w:r>
        <w:rPr>
          <w:rFonts w:asciiTheme="minorEastAsia" w:hAnsiTheme="minorEastAsia" w:eastAsiaTheme="minorEastAsia" w:cstheme="minorEastAsia"/>
          <w:color w:val="000000" w:themeColor="text1"/>
          <w:szCs w:val="24"/>
          <w14:textFill>
            <w14:solidFill>
              <w14:schemeClr w14:val="tx1"/>
            </w14:solidFill>
          </w14:textFill>
        </w:rPr>
        <w:fldChar w:fldCharType="separate"/>
      </w:r>
      <w:r>
        <w:rPr>
          <w:rFonts w:asciiTheme="minorEastAsia" w:hAnsiTheme="minorEastAsia" w:eastAsiaTheme="minorEastAsia" w:cstheme="minorEastAsia"/>
          <w:color w:val="000000" w:themeColor="text1"/>
          <w:szCs w:val="24"/>
          <w:lang w:val="zh-CN"/>
          <w14:textFill>
            <w14:solidFill>
              <w14:schemeClr w14:val="tx1"/>
            </w14:solidFill>
          </w14:textFill>
        </w:rPr>
        <w:t>⑤</w:t>
      </w:r>
      <w:r>
        <w:rPr>
          <w:rFonts w:asciiTheme="minorEastAsia" w:hAnsiTheme="minorEastAsia" w:eastAsiaTheme="minorEastAsia" w:cstheme="minorEastAsia"/>
          <w:color w:val="000000" w:themeColor="text1"/>
          <w:szCs w:val="24"/>
          <w14:textFill>
            <w14:solidFill>
              <w14:schemeClr w14:val="tx1"/>
            </w14:solidFill>
          </w14:textFill>
        </w:rPr>
        <w:fldChar w:fldCharType="end"/>
      </w:r>
      <w:r>
        <w:rPr>
          <w:rFonts w:asciiTheme="minorEastAsia" w:hAnsiTheme="minorEastAsia" w:eastAsiaTheme="minorEastAsia" w:cstheme="minorEastAsia"/>
          <w:color w:val="000000" w:themeColor="text1"/>
          <w:szCs w:val="24"/>
          <w14:textFill>
            <w14:solidFill>
              <w14:schemeClr w14:val="tx1"/>
            </w14:solidFill>
          </w14:textFill>
        </w:rPr>
        <w:t>制定建筑废弃物管理计划，达到绿色安全文明施工的要求；</w:t>
      </w:r>
    </w:p>
    <w:p w14:paraId="67FAA058">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fldChar w:fldCharType="begin"/>
      </w:r>
      <w:r>
        <w:rPr>
          <w:rFonts w:asciiTheme="minorEastAsia" w:hAnsiTheme="minorEastAsia" w:eastAsiaTheme="minorEastAsia" w:cstheme="minorEastAsia"/>
          <w:color w:val="000000" w:themeColor="text1"/>
          <w:szCs w:val="24"/>
          <w14:textFill>
            <w14:solidFill>
              <w14:schemeClr w14:val="tx1"/>
            </w14:solidFill>
          </w14:textFill>
        </w:rPr>
        <w:instrText xml:space="preserve"> = 6 \* GB3 </w:instrText>
      </w:r>
      <w:r>
        <w:rPr>
          <w:rFonts w:asciiTheme="minorEastAsia" w:hAnsiTheme="minorEastAsia" w:eastAsiaTheme="minorEastAsia" w:cstheme="minorEastAsia"/>
          <w:color w:val="000000" w:themeColor="text1"/>
          <w:szCs w:val="24"/>
          <w14:textFill>
            <w14:solidFill>
              <w14:schemeClr w14:val="tx1"/>
            </w14:solidFill>
          </w14:textFill>
        </w:rPr>
        <w:fldChar w:fldCharType="separate"/>
      </w:r>
      <w:r>
        <w:rPr>
          <w:rFonts w:asciiTheme="minorEastAsia" w:hAnsiTheme="minorEastAsia" w:eastAsiaTheme="minorEastAsia" w:cstheme="minorEastAsia"/>
          <w:color w:val="000000" w:themeColor="text1"/>
          <w:szCs w:val="24"/>
          <w:lang w:val="zh-CN"/>
          <w14:textFill>
            <w14:solidFill>
              <w14:schemeClr w14:val="tx1"/>
            </w14:solidFill>
          </w14:textFill>
        </w:rPr>
        <w:t>⑥</w:t>
      </w:r>
      <w:r>
        <w:rPr>
          <w:rFonts w:asciiTheme="minorEastAsia" w:hAnsiTheme="minorEastAsia" w:eastAsiaTheme="minorEastAsia" w:cstheme="minorEastAsia"/>
          <w:color w:val="000000" w:themeColor="text1"/>
          <w:szCs w:val="24"/>
          <w14:textFill>
            <w14:solidFill>
              <w14:schemeClr w14:val="tx1"/>
            </w14:solidFill>
          </w14:textFill>
        </w:rPr>
        <w:fldChar w:fldCharType="end"/>
      </w:r>
      <w:r>
        <w:rPr>
          <w:rFonts w:asciiTheme="minorEastAsia" w:hAnsiTheme="minorEastAsia" w:eastAsiaTheme="minorEastAsia" w:cstheme="minorEastAsia"/>
          <w:color w:val="000000" w:themeColor="text1"/>
          <w:szCs w:val="24"/>
          <w14:textFill>
            <w14:solidFill>
              <w14:schemeClr w14:val="tx1"/>
            </w14:solidFill>
          </w14:textFill>
        </w:rPr>
        <w:t>红线范围内必须落实雨污分流，生活污水须经过化粪池处理后接入市政管网排放。</w:t>
      </w:r>
    </w:p>
    <w:p w14:paraId="14E635C3">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由于承包人原因导致的投诉、索赔、指控，由承包人承担全部责任，同时造成工期延误的，发包人将按照合同条款相关约定进行索赔。</w:t>
      </w:r>
    </w:p>
    <w:p w14:paraId="5EA93748">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以上须采取的所有措施费用及相关的费用已含在合同价中。</w:t>
      </w:r>
    </w:p>
    <w:p w14:paraId="1CBA9CE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第三、承包人须按建设主管部门的相关规定，在工地安装视频监控系统，覆盖全场，保证正常使用。采取相应保卫措施防止出现财、物被盗行为，相关费用已包括在安全文明施工措施费中，发包人不再另行支付此类费用。</w:t>
      </w:r>
    </w:p>
    <w:p w14:paraId="3E21F1EE">
      <w:pPr>
        <w:spacing w:line="360" w:lineRule="auto"/>
        <w:ind w:firstLine="480" w:firstLineChars="200"/>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5.7.2已完工程及设备保护费</w:t>
      </w:r>
    </w:p>
    <w:p w14:paraId="374B1127">
      <w:pPr>
        <w:spacing w:line="360" w:lineRule="auto"/>
        <w:ind w:firstLine="480" w:firstLineChars="200"/>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①承包人应充分考虑本工程的</w:t>
      </w:r>
      <w:r>
        <w:rPr>
          <w:rFonts w:asciiTheme="minorEastAsia" w:hAnsiTheme="minorEastAsia" w:eastAsiaTheme="minorEastAsia" w:cstheme="minorEastAsia"/>
          <w:color w:val="000000" w:themeColor="text1"/>
          <w:kern w:val="0"/>
          <w:szCs w:val="24"/>
          <w14:textFill>
            <w14:solidFill>
              <w14:schemeClr w14:val="tx1"/>
            </w14:solidFill>
          </w14:textFill>
        </w:rPr>
        <w:t>已完工程及设备保护，其费用已包含在合同价内，结算不再调整；</w:t>
      </w:r>
    </w:p>
    <w:p w14:paraId="55DDC8E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②承包人应充分考虑施工影响范围内的地上、地下设施，建筑物的临时保护等措施，</w:t>
      </w:r>
      <w:r>
        <w:rPr>
          <w:rFonts w:asciiTheme="minorEastAsia" w:hAnsiTheme="minorEastAsia" w:eastAsiaTheme="minorEastAsia" w:cstheme="minorEastAsia"/>
          <w:color w:val="000000" w:themeColor="text1"/>
          <w:kern w:val="0"/>
          <w:szCs w:val="24"/>
          <w14:textFill>
            <w14:solidFill>
              <w14:schemeClr w14:val="tx1"/>
            </w14:solidFill>
          </w14:textFill>
        </w:rPr>
        <w:t>以及</w:t>
      </w:r>
      <w:r>
        <w:rPr>
          <w:rFonts w:asciiTheme="minorEastAsia" w:hAnsiTheme="minorEastAsia" w:eastAsiaTheme="minorEastAsia" w:cstheme="minorEastAsia"/>
          <w:color w:val="000000" w:themeColor="text1"/>
          <w:szCs w:val="24"/>
          <w14:textFill>
            <w14:solidFill>
              <w14:schemeClr w14:val="tx1"/>
            </w14:solidFill>
          </w14:textFill>
        </w:rPr>
        <w:t>对周围建筑物、周围道路管线的沉降和位移按照施工规范进行质量、安全性检查，对于现场及周边临近的可能发生的危险情况及时向监理工程师或主管部门报告，在施工现场根据相关要求准备应急物资并及时采取有效措施，保护费用已包含在合同价中，结算时不再调整。</w:t>
      </w:r>
    </w:p>
    <w:p w14:paraId="3871278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5.7.3施工降排水</w:t>
      </w:r>
    </w:p>
    <w:p w14:paraId="680719B2">
      <w:pPr>
        <w:spacing w:line="360" w:lineRule="auto"/>
        <w:ind w:firstLine="480" w:firstLineChars="200"/>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承包人应按照地质报告、设计图纸要求、降水水位要求、现场实际和工程经验等对降排水进行深化设计、维护和加固，其深化应经过设计单位的审批、监理工程师和发包人的同意，施工降排水应包括设计、施工、加固、维护直至竣工的全部施工和抽排水工作，同时</w:t>
      </w:r>
      <w:r>
        <w:rPr>
          <w:rFonts w:asciiTheme="minorEastAsia" w:hAnsiTheme="minorEastAsia" w:eastAsiaTheme="minorEastAsia" w:cstheme="minorEastAsia"/>
          <w:color w:val="000000" w:themeColor="text1"/>
          <w:kern w:val="0"/>
          <w:szCs w:val="24"/>
          <w14:textFill>
            <w14:solidFill>
              <w14:schemeClr w14:val="tx1"/>
            </w14:solidFill>
          </w14:textFill>
        </w:rPr>
        <w:t>保证护栏的安全性。</w:t>
      </w:r>
    </w:p>
    <w:p w14:paraId="7371BAD2">
      <w:pPr>
        <w:spacing w:line="360" w:lineRule="auto"/>
        <w:ind w:firstLine="480" w:firstLineChars="200"/>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 xml:space="preserve">本工程施工期间地表及地下水采用有组织的排放，尤其是主体结构工程施工期间，应确保满足低于设计抗浮水位要求并满足防水工程需要，采取的施工排水、降水应确保周边建（构）筑物的安全等有效措施。 </w:t>
      </w:r>
    </w:p>
    <w:p w14:paraId="6D18FF79">
      <w:pPr>
        <w:spacing w:line="360" w:lineRule="auto"/>
        <w:ind w:firstLine="480" w:firstLineChars="200"/>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承包人应综合考虑施工期间除不可抗力原因外的气候条件造成的现场工程量的增加及其它风险（如发包人提供的地质报告等相关资料可能存在与实际不符）。</w:t>
      </w:r>
    </w:p>
    <w:p w14:paraId="730DC874">
      <w:pPr>
        <w:spacing w:line="360" w:lineRule="auto"/>
        <w:ind w:firstLine="480" w:firstLineChars="200"/>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雨季施工随时与气象部门保持联系，在大雨、台风到来之前按有关主管部门规定的防洪防汛应急措施等。</w:t>
      </w:r>
    </w:p>
    <w:p w14:paraId="72D001F3">
      <w:pPr>
        <w:spacing w:line="360" w:lineRule="auto"/>
        <w:ind w:firstLine="480" w:firstLineChars="200"/>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以上有关费用已含在合同价中，结算不作调整。</w:t>
      </w:r>
    </w:p>
    <w:p w14:paraId="30E7B234">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5.7.4水土保持</w:t>
      </w:r>
    </w:p>
    <w:p w14:paraId="43AC3029">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承包人必须按照水土保持方案以及监理和检测单位的要求，采取设置排水沟、排洪沟、沉砂池、砂袋、植草等水土保持和防洪排涝措施，优化挖方填方，对土石方合理利用；对已完工土石方工程裸露表面，及时采取防护措施、严格控制水土流失，实现水土流失防治目标；及时做好排水导流工作，使地表径流和工程用水经沉砂池沉降后方可排放，沉砂池要定期清理，减轻水流对裸露地表的冲刷，防止泥砂流出对周边区域造成危害；临时堆土要全面覆盖，减少粉尘及雨水冲刷，堆土清理后或其他裸露地要采取恢复植被或其他防止水土流失措施。</w:t>
      </w:r>
    </w:p>
    <w:p w14:paraId="3FC0625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5.7.5施工用水、用电等</w:t>
      </w:r>
    </w:p>
    <w:p w14:paraId="528AA94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（1）承包人根据现场条件和工程情况，接通生活和生产区场内外的给水、排水、施工用电、通讯等工作，</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同时承包人应自备充足的发电机，确保施工过程中的水、电安全稳定供应，结算费用不作调整。</w:t>
      </w:r>
    </w:p>
    <w:p w14:paraId="2C8E0A8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（2）所有施工范围内涉及的清理、外运全部拆除物与垃圾，以及场地平整。</w:t>
      </w:r>
    </w:p>
    <w:p w14:paraId="603693D0">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（3）为建设单位、监理单位提供施工现场临时办公用房和办公必须品，并开通通讯线路。</w:t>
      </w:r>
    </w:p>
    <w:p w14:paraId="28D18A4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（4）合同工期和顺延工期内临时用地（含占道）、房屋租赁的手续费和租金。</w:t>
      </w:r>
    </w:p>
    <w:p w14:paraId="09B3697E">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承包人在投标报价时应充分考虑施工场地现状与地形图不符的风险，谨慎报价，该部分报价为包干费用，承包人不得以任何理由提出增加费用。</w:t>
      </w:r>
    </w:p>
    <w:p w14:paraId="42E2BF1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5.7.6与其他工程的衔接、管理与配合费</w:t>
      </w:r>
    </w:p>
    <w:p w14:paraId="0FCAD285">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由承包人负责工程衔接各专业工程进度安排、施工现场管理协调等工作。对安全、文明、施工、运输、仓储、住宿统筹管理；确定合理的工序和进度计划、安排作业面与通道、提供场地；工程完工后的整体调试、验收和竣工资料整理；按专业设计图纸要求配合做好埋件、预留洞、预埋管等工作；提供脚手架供专业承包人使用；提供照明、临时水电等设施。其费用在对其他工程的衔接、管理和配合费用中报价，结算不做调整。</w:t>
      </w:r>
    </w:p>
    <w:p w14:paraId="72FAEC04">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5.7.7因承包人原因而引起的罚款、索赔和指控等责任由承包人自行承担。</w:t>
      </w:r>
    </w:p>
    <w:p w14:paraId="1F3D3C08">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5.7.8工程完工后需要恢复的建筑物、构筑物，承包人必须及时恢复，并使监理工程师和发包人满意，满足政府管理部门的规定和要求。</w:t>
      </w:r>
    </w:p>
    <w:p w14:paraId="0B34CC03">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5.7.9承包人必须按有关法规、标准、规定或发包人的合理要求实施有关措施项目，若以上设施或措施达不到要求，工程师发出指令后，承包人应按照要求予以整改，其费用由承包人承担。承包人拒绝整改的，发包人有权要求承包人支付违约金50万元，并将其列入履约考评不良记录，同时发包人有权委托第三方实施，所有费用由承包人承担。由于承包人原因导致的投诉、索赔、指控，由承包人承担全部责任，同时造成工期延误的，发包人将按照合同条款相关约定进行索赔。</w:t>
      </w:r>
    </w:p>
    <w:p w14:paraId="03833F0C">
      <w:pPr>
        <w:spacing w:line="360" w:lineRule="auto"/>
        <w:ind w:firstLine="482" w:firstLineChars="200"/>
        <w:rPr>
          <w:rFonts w:asciiTheme="minorEastAsia" w:hAnsiTheme="minorEastAsia" w:eastAsiaTheme="minorEastAsia" w:cstheme="minorEastAsia"/>
          <w:b/>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5.7.10承包人必须按照《建设工程安全生产管理条例》和《危险性较大的分部分项工程安全管理办法》进行施工，应按有关规定提供相应的防护措施且在施工前编制危险性较大分部分项工程的专项施工方案，有关费用已含在合同价中。因承包人原因，导致的安全事故，由承包人承担相应责任及发生的费用。</w:t>
      </w:r>
    </w:p>
    <w:p w14:paraId="5D166C6D">
      <w:pPr>
        <w:spacing w:line="360" w:lineRule="auto"/>
        <w:ind w:firstLine="480" w:firstLineChars="200"/>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5.7.11承包人必须严格按照相关规定和安全规范等，以及设计图纸，结合实际情况对施工作业面进行处理，以保证各施工机械有效支撑，确保其施工安全和正常使用。任何对支护的修改必须经设计单位、发包人和监理工程师同意，方可实施，同时承包人必须对周边建筑物、周边道路管线的沉降和位移进行巡查和跟踪，如因承包人的措施无法满足施工安全、正常施工的要求，有关的责任、损失、补救费用全部由承包人自行承担。</w:t>
      </w:r>
    </w:p>
    <w:p w14:paraId="404A6CD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5.7.12根据广东省、韶关市、新丰县建设主管部门的相关文件规定，承包人须在工程施工现场安装使用视频监控系统、工人实名制系统并接入至新丰县住建主管部门建筑工地视频监控专网及发包人视频监控系统。</w:t>
      </w:r>
    </w:p>
    <w:p w14:paraId="023F16E8">
      <w:pPr>
        <w:spacing w:line="360" w:lineRule="auto"/>
        <w:ind w:firstLine="480" w:firstLineChars="200"/>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以上措施项目有关费用已含在合同价中，结算不作调整。</w:t>
      </w:r>
    </w:p>
    <w:p w14:paraId="495E73BC">
      <w:pPr>
        <w:adjustRightInd w:val="0"/>
        <w:snapToGrid w:val="0"/>
        <w:spacing w:line="360" w:lineRule="auto"/>
        <w:ind w:firstLine="482" w:firstLineChars="200"/>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5.8 解除合同后续工程的补充约定</w:t>
      </w:r>
    </w:p>
    <w:p w14:paraId="478AC8A4">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5.8.1发包人向承包人发出解除或部分解除合同通知到达后，本合同即解除或部分解除，承包人必须在3日内停止施工，5日内将现场施工材料设备、工程用机具设备和人员等撤出施工场地，完成现场和有关资料的移交，并于完成交接工作当日内离场。承包人应保护好已完工程、已购设备材料，保证所移交的资料齐全完整。承包人无特殊原因未在规定期限内移交、离场或移交完整资料，发包人有权处理其留在现场的材料、设备和其他物件，处理费用由承包人承担。</w:t>
      </w:r>
    </w:p>
    <w:p w14:paraId="32402826">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对于部分解除合同的情形，承包人拒不履行配合，发包人有权全部解除合同，如果引致发包人工期延误和其他方面的损失，发包人将要求承包人赔偿有关损失。发包人在发出解除合同的通知后，发包人即可清理现场、委托重新招标或委托新的承包人承接该工程。同时，承包人不得影响或阻碍新的承包人办理进场手续和相关工作。</w:t>
      </w:r>
    </w:p>
    <w:p w14:paraId="62511B36">
      <w:pPr>
        <w:spacing w:line="360" w:lineRule="auto"/>
        <w:ind w:left="-2" w:leftChars="-1" w:firstLine="424" w:firstLineChars="177"/>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5.8.2由于承包人原因导致的合同解除或部分合同解除，承包人已经订货的材料、设备，以及已进场尚未安装的材料设备均由承包人负责退货或解除订货合同，不能退还的货款、定金、订金，因退货和解除订货合同发生的费用以及因无法退货造成的损失均由承包人承担，发包人不予补偿。</w:t>
      </w:r>
    </w:p>
    <w:p w14:paraId="5C8DC58D">
      <w:pPr>
        <w:spacing w:line="360" w:lineRule="auto"/>
        <w:ind w:left="-2" w:leftChars="-1" w:firstLine="424" w:firstLineChars="177"/>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承包人没有正当合理的理由中途退场，除扣除合同价款20％作为履约违约金外，承包人还须承当因其无故中途退场所造成的全部损失责任。</w:t>
      </w:r>
    </w:p>
    <w:p w14:paraId="45E09162">
      <w:pPr>
        <w:spacing w:line="360" w:lineRule="auto"/>
        <w:ind w:left="-2" w:leftChars="-1" w:firstLine="424" w:firstLineChars="177"/>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5.8.3非承包人原因导致的合同解除或部分合同解除，承包人已经签订订货合同，但尚未进场的材料、设备；或虽已进场但发包人或监理工程师验货不合格的，解除订货合同或退货发生的费用以及因无法退货造成的损失均由承包人承担，发包人不予补偿。</w:t>
      </w:r>
    </w:p>
    <w:p w14:paraId="53362A4D">
      <w:pPr>
        <w:spacing w:line="360" w:lineRule="auto"/>
        <w:ind w:left="-2" w:leftChars="-1" w:firstLine="424" w:firstLineChars="177"/>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经发包人或监理工程验货、签收，且已进场的材料设备但尚未安装的材料设备，费用由发包人承担。数量按发包人、监理工程师审核确认的数量；原投标设备材料表中已列明单价，单价按投标报价计算，原投标设备材料表中未列明单价的，按预算审定价中的材料设备价*（1－下浮率）计算。</w:t>
      </w:r>
    </w:p>
    <w:p w14:paraId="6001B3AC">
      <w:pPr>
        <w:spacing w:line="360" w:lineRule="auto"/>
        <w:ind w:left="-2" w:leftChars="-1" w:firstLine="424" w:firstLineChars="177"/>
        <w:rPr>
          <w:rFonts w:asciiTheme="minorEastAsia" w:hAnsiTheme="minorEastAsia" w:eastAsiaTheme="minorEastAsia" w:cstheme="minorEastAsia"/>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5.8.4承包人的已完工程结算时间由发包人确定。按本合同结算条款约定办理结算，同时必须按合同约定扣除违约金、赔偿金。</w:t>
      </w:r>
    </w:p>
    <w:p w14:paraId="3C56B64F">
      <w:pPr>
        <w:spacing w:line="360" w:lineRule="auto"/>
        <w:ind w:left="-2" w:leftChars="-1" w:firstLine="424" w:firstLineChars="17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5.8.5因承包人原因导致解除合同，发包人所遭受的一切损失，由承包人承担全部赔偿责任。</w:t>
      </w:r>
    </w:p>
    <w:p w14:paraId="659CD2F5">
      <w:pPr>
        <w:adjustRightInd w:val="0"/>
        <w:snapToGrid w:val="0"/>
        <w:spacing w:line="360" w:lineRule="auto"/>
        <w:ind w:firstLine="482" w:firstLineChars="200"/>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5.9承包人违约责任追究补充细则</w:t>
      </w:r>
    </w:p>
    <w:p w14:paraId="4C55EE2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5.9.1工程质量达不到合同约定的质量标准承包人违约责任：如未达到合格标准，除则按合同价款的</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1 </w:t>
      </w:r>
      <w:r>
        <w:rPr>
          <w:rFonts w:asciiTheme="minorEastAsia" w:hAnsiTheme="minorEastAsia" w:eastAsiaTheme="minorEastAsia" w:cstheme="minorEastAsia"/>
          <w:color w:val="000000" w:themeColor="text1"/>
          <w:szCs w:val="24"/>
          <w14:textFill>
            <w14:solidFill>
              <w14:schemeClr w14:val="tx1"/>
            </w14:solidFill>
          </w14:textFill>
        </w:rPr>
        <w:t>%向发包人返纳质量违约金外，发包人有权利选择以下方式返工或修复，承包人不得异议：</w:t>
      </w:r>
    </w:p>
    <w:p w14:paraId="179F00C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（1）发包人要求承包人在监理工程师和发包人要求的合理时间内，完成质量不合格工程的返工或修复工作，直至合同约定的质量标准，由此造成的工期延误和所有费用，全部由承包人承担；</w:t>
      </w:r>
    </w:p>
    <w:p w14:paraId="49ED904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（2）发包人直接委托其它承包人完成质量不合格部分工程的返工或修复工作，由此造成的工期延误和所有费用，全部由承包人承担。</w:t>
      </w:r>
    </w:p>
    <w:p w14:paraId="39C4162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（3）无论采取以上何种方式返工或修复，发包人均有权提请建设行政主管部门对其作不良行为记录，有权给予承包人履约评价为不合格，同时发包人有权拒绝承包人3年内参加发包人其它工程的投标。</w:t>
      </w:r>
    </w:p>
    <w:p w14:paraId="3291EE3E">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5.9.2承包人违反本合同的约定，应当按约定向发包人承担相应的违约责任。本合同违约责任形式按以下情况分类：</w:t>
      </w:r>
    </w:p>
    <w:p w14:paraId="236D9CD6">
      <w:pPr>
        <w:adjustRightInd w:val="0"/>
        <w:snapToGrid w:val="0"/>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（1） 限期改正。承包人未履行或未按时履行或未按质履行义务时，发包人有权提出书面警告，承包人必须在发包人限定的时间内履行义务。每一次书面警告扣除违约金人民币壹仟元（￥1000）。</w:t>
      </w:r>
    </w:p>
    <w:p w14:paraId="3F268F31">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（2）一般违约责任。承包人按本合同约定应当承担一般违约责任时，在发包人提出书面警告或通知后扣除违约金人民币伍仟元（￥5000）/次。合同另有约定的除外。</w:t>
      </w:r>
    </w:p>
    <w:p w14:paraId="45500F49">
      <w:pPr>
        <w:adjustRightInd w:val="0"/>
        <w:snapToGrid w:val="0"/>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（3）严重违约责任。承包人按本合同约定应当承担严重违约责任时，在发包人提出书面警告或通知后扣除违约金伍万元（￥50000）/次。合同另有约定的除外。</w:t>
      </w:r>
    </w:p>
    <w:p w14:paraId="2B673E1C">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（4）部分解除合同。三次受到发包人书面警告，发包人有权直接解除合同或部分解除合同，按承包人违约解除合同的条款执行。</w:t>
      </w:r>
    </w:p>
    <w:p w14:paraId="32C682CD">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5.9.3三次限期改正责任相当于一次一般违约责任，三次一般违约责任相当于一次严重违约责任；累计三次严重违约责任，发包人有权单方部分解除合同；累计五次严重违约责任，发包人有权全部解除合同。合同另有约定的除外。</w:t>
      </w:r>
    </w:p>
    <w:p w14:paraId="0494C905">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5.9.4承包人未按合同要求建立组织架构、派驻项目管理人员和投入设备，承包人必须按发包人要求限期整改，并承担相应违约责任。具体约定为：</w:t>
      </w:r>
    </w:p>
    <w:p w14:paraId="5AF0706C">
      <w:pPr>
        <w:adjustRightInd w:val="0"/>
        <w:snapToGrid w:val="0"/>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1）在中标通知书发出后3日内，承包人承诺的项目技术负责人（总工）不到位，或到位后又离开，造成该岗位空缺。发包人一旦发现，将要求承包人做出书面解释并保证限期到位，同时将承担一般违约责任1次；若承包人拒不配合，未在发包人提出限期改正的期限内进行整改的，应承担严重违约责任1次，发包人有权单方提出解除合同，并要求承包人承担由此造成的一切损失。</w:t>
      </w:r>
    </w:p>
    <w:p w14:paraId="5515D47F">
      <w:pPr>
        <w:adjustRightInd w:val="0"/>
        <w:snapToGrid w:val="0"/>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2）在规定的时间内施工人员和设备进场后3日内，承包人在投标文件中承诺的其他主要管理人员未能足额到位，或到位后又离开，造成该岗位空缺，以及未按承诺依时、足额投入有关设备，发包人一旦发现将要求承包人做出书面解释并保证人员、设备限期到位。上述情况每发生1次，承包人应承担限期改正责任1次。如果承包人拒不配合，未在发包人提出限期改正的期限内进行整改的，承包人应承担一般违约责任1次，连续二次书面通知整改拒不配合的，承包人应承担严重违约责任1次。</w:t>
      </w:r>
    </w:p>
    <w:p w14:paraId="4185F03E">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5.9.5承包人如需要调换除项目经理外的其他主要管理人员，必须事先征得发包人书面同意。如承包人未经发包人书面同意，擅自调换项目主要管理人员，除必须限期改正外，承包人必须承担严重违约责任，发包人有权暂停支付工程款，并保留索赔的权利。</w:t>
      </w:r>
    </w:p>
    <w:p w14:paraId="4A5E47C6">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5.9.6除项目经理外的其他主要管理人员需离开施工现场3日以上（含3日）需报发包人批准。在其请假离开的时间段内应书面委托其他驻场管理人员全权代表其行使相应职权。否则，每违约一次，承包人应当承担限期整改责任1次。在国家法定节假日期间，承包人应做好管理人员的轮休，并保证现场管理人员不少于3名。在工程实施期间，承包人应对现场主要管理人员进行考勤，并在每月1日前将前一月考勤表报送甲方审核。现场主要管理人员出勤天数均不得少于22天，若少于22天将按每缺勤一天扣减工程费用叁仟元（￥3000）/每人次处理。</w:t>
      </w:r>
    </w:p>
    <w:p w14:paraId="1DF45B30">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5.9.7承包人项目经理和主要管理人员的考勤实行实名制打卡，承包人项目经理和主要管理人员的考勤若发现有弄虚作假行为，发现一次，承包人应承担一般违约责任1次。</w:t>
      </w:r>
    </w:p>
    <w:p w14:paraId="425AF543">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5.9.8对于难以胜任工作的承包人管理人员和主要操作技术人员，发包人有权要求承包人进行更换，直至发包人满意为止，且更换人员应在接到书面通知后的3天内到位。</w:t>
      </w:r>
    </w:p>
    <w:p w14:paraId="367FE75A">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5.9.9承包人未按招标文件及合同要求按期提交发包人工程指挥部所需要的各项设施，应承担限期整改责任1次，若限期整改仍不提交，应承担一般违约责任1次，发包人有权自行安排临时设施的建设，所有费用由承包人工程费用中扣减。</w:t>
      </w:r>
    </w:p>
    <w:p w14:paraId="63DB43A1">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5.9.10承包人未按合同及投标书所作的承诺投入机械、设备、材料等，被监理工程师或发包人发现后，承包人除必须限期改正外，应承担限期改正责任1次。</w:t>
      </w:r>
    </w:p>
    <w:p w14:paraId="6DBE72D1">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5.9.11工程承包人每次的进场材料，若出现不合格材料使用于工程上并造成质量缺陷，承包人必须承担一般违约责任1次。若出现质量事故或经济损失一次人民币壹拾万元（￥100,000）以上的，必须承担严重违约责任1次。造成重大质量安全事故（按国家安监部门规定界定），发包人视情况部分或全部解除合同。同时，发包人有权追究当事人和承包人的法律责任。</w:t>
      </w:r>
    </w:p>
    <w:p w14:paraId="3E47BB61">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5.9.12承包人的工程质量，经监理工程师、发包人或工程质量监督机构抽查，发现质量有不合格、或未按设计要求和有关规范进行施工的，每发现一处承包人应承担一般违约责任1次；出现大面积质量不合格（占比达30％及以上），每发现一处承包人应承担严重违约责任1次，发包人将情况通报纪检监察和建设行政主管部门，必要时申请调查责任相关人员，且承包人应赔偿发包人的经济损失。</w:t>
      </w:r>
    </w:p>
    <w:p w14:paraId="60EC5107">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5.9.13承包人没有按投标承诺和有关规定做好文明施工措施及安全生产，当发生包括但不限于以下情况：工人不统一着装、施工临时材料如脚手架、泥网等过于陈旧、现场垃圾未安排专人清理、现场排水不畅污水横流、交通组织不力现场交通严重拥挤、材料设备堆放混乱、安全防护不符合要求、既有管线被破坏、野蛮施工造成周边环境破坏及警示安全标志不齐等，被监理工程师、发包人发现后，承包人除必须限期改正外， 每发生一次（或一处），承包人必须承担限期改正责任1次。由此而被上级主管部门通报批评、被新闻媒体曝光的，承包人应承担一般违约责任1次；若由此发生安全生产事故，承包人应承担严重违约责任1次；造成严重安全事故等情节严重的，发包人有权部分或全部解除合同。</w:t>
      </w:r>
    </w:p>
    <w:p w14:paraId="64ED5CBF">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5.9.14因承包人原因造成工程投资增加的，承包人应赔偿发包人由此遭受的实际损失，情况严重时发包人有权单方解除本施工合同。</w:t>
      </w:r>
    </w:p>
    <w:p w14:paraId="010BF81D">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若因承包人未按设计规定和施工技术规程要求认真做好施工现场的临时降水、排水（尤其是雨季施工期间）工作导致需要进行地基处理、边坡加固等情况时，每发生一处承包人应负严重违约责任1次，由此造成的工程投资增加由承包人承担。</w:t>
      </w:r>
    </w:p>
    <w:p w14:paraId="433A1327">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（2）若承包人未严格按施工进度计划要求组织施工造成工期拖延，导致一些工程项目被迫进入雨季施工而引起投资增加的，承包人应承担严重违约责任1次，由此造成的投资增加由承包人负责。</w:t>
      </w:r>
    </w:p>
    <w:p w14:paraId="25FD95DD">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（3）承包人未经监理工程师、发包人同意擅自改变施工技术方案和工艺，造成投资增加的，应承担严重违约责任1次，由此造成的投资增加由承包人负责。</w:t>
      </w:r>
    </w:p>
    <w:p w14:paraId="0C6B044C">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4）承包人未拟定临时设施方案并经监理工程师、发包人审批同意擅自实施临时设施建设，若此临时设施建设经核实无法达到合同规定的要求，承包人应承担限期整改责任1次，若承包人拒绝限期整改应当承担一般违约责任1次，同时发包人有权按实际发生重新核定安全文明施工措施费。</w:t>
      </w:r>
    </w:p>
    <w:p w14:paraId="00909641">
      <w:pPr>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（5）承包人提供虚假情况或制造现场假象造成设计变更及投资增加时，经监理公司、发包人发现，承包人应承担严重违约责任1次，造成的投资增加由承包人承担。 </w:t>
      </w:r>
    </w:p>
    <w:p w14:paraId="45E0E965">
      <w:pPr>
        <w:adjustRightInd w:val="0"/>
        <w:snapToGrid w:val="0"/>
        <w:spacing w:line="360" w:lineRule="auto"/>
        <w:ind w:firstLine="482"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5.10、</w:t>
      </w:r>
      <w:r>
        <w:rPr>
          <w:rFonts w:asciiTheme="minorEastAsia" w:hAnsiTheme="minorEastAsia" w:eastAsiaTheme="minorEastAsia" w:cstheme="minorEastAsia"/>
          <w:color w:val="000000" w:themeColor="text1"/>
          <w:szCs w:val="24"/>
          <w14:textFill>
            <w14:solidFill>
              <w14:schemeClr w14:val="tx1"/>
            </w14:solidFill>
          </w14:textFill>
        </w:rPr>
        <w:t>发包人将根据承包人的投标文件，严格考核施工项目管理人员的日常到位情况，并定期按照发包人的合同履约评价管理办法、质量安全评估管理办法对承包人的合同履行情况进行评价和评估，评价和评估内容包含人员到位情况、服务配合程度、工程质量、安全、项目后期服务及信用评价结果、评估结果的运用等。履约评价为不合格的，发包人有权拒绝承包人3年内参加发包人任何其它工程的投标，有权报请建设行政主管部门对其作不良行为记录。</w:t>
      </w:r>
    </w:p>
    <w:p w14:paraId="6066A0DB">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 xml:space="preserve"> 5.11 承包人提供竣工资料的约定：</w:t>
      </w:r>
    </w:p>
    <w:p w14:paraId="5C35DCB4">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本工程具备竣工验收条件后14天内，承包人按国家建设部、广东省及新丰县的有关规定和发包人的要求编制工程竣工资料（包括施工原始记录、照片等资料），向工程师提供完整竣工验收资料8套、竣工验收报告和相应的声像、电子文件，并由承包人及时向主管部门和监督部门备案。工程师收到竣工验收资料后，应在10天内审核，若不符合要求，工程师可提出整改意见。承包人按要求整改合格后报工程师，工程师在整改验收合格后10天内应组织有关单位进行初步验收，并在10天内对工程质量予以认可或提出再次整改意见。承包人按要求再次整改，并承担由其自身原因造成的整改费用。编制竣工图、竣工资料的费用已含在合同价中。</w:t>
      </w:r>
    </w:p>
    <w:p w14:paraId="1960DBDB">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竣工验收资料包括全部工程（包括项目单位发包项目及其他分包工程）的竣工图纸和竣工资料，以及经确认的深化设计图纸和技术资料。各类分包工程的竣工资料均由承包人负责编制、指导、审阅、汇总、整理、归档，费用由本合同承包人自行承担。    </w:t>
      </w:r>
    </w:p>
    <w:p w14:paraId="33DF1AB4">
      <w:pPr>
        <w:spacing w:line="360" w:lineRule="auto"/>
        <w:ind w:firstLine="482" w:firstLineChars="200"/>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5.12工程移交及档案管理</w:t>
      </w:r>
    </w:p>
    <w:p w14:paraId="1110436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5.12.1工程完工后，承包人必须及时按城建相关档案管理规定整理及移交竣工档案，承包人办理工程结算需提交相关工程档案移交签字单，否则结算不予办理。</w:t>
      </w:r>
    </w:p>
    <w:p w14:paraId="37F7BD3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5.12.2工程竣工验收合格后承包人必须将成品移交给发包人指定的接管单位。在移交工作完成前，现场所有安全及成品保护责任和费用由承包人承担。</w:t>
      </w:r>
    </w:p>
    <w:p w14:paraId="362289D3">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5.12.3在向发包人指定的接管单位移交钥匙的同时提供下列清单：</w:t>
      </w:r>
    </w:p>
    <w:p w14:paraId="660E28E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①办理钥匙移交清单（如有）；</w:t>
      </w:r>
    </w:p>
    <w:p w14:paraId="4843600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②双方抄好水表电表底数；</w:t>
      </w:r>
    </w:p>
    <w:p w14:paraId="5BC71AD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③列出详细的设备、物件移交清单，标明名称、数量、外观、状态等基本资料</w:t>
      </w:r>
    </w:p>
    <w:p w14:paraId="005EB74E">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5.12.4按国家、省市和建设主管部门的相关规定应当移交的其他资料。</w:t>
      </w:r>
    </w:p>
    <w:p w14:paraId="4CAADA1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5.13在质量缺陷保修期内，承包人必须在接到保修通知之日起7天内无条件派人先行保修，发生涉及结构安全、严重影响使用功能的质量缺陷或给排水、供电、燃气、通信及路灯等特殊工程的紧急抢修事故的，承包人接到保修通知后，必须立即到达现场实施保修。质量保修完成后，由发包人组织承包人和监理人，配合项目使用（管养）单位验收。涉及结构安全的，发包人将报当地相关行政主管部门备案，同时承包人应将其产生的原因、补救措施、完成保修情况以书面形式提交发包人。</w:t>
      </w:r>
    </w:p>
    <w:p w14:paraId="517D8B6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5.14在工程质量缺陷保修期内，承包人的违约责任。</w:t>
      </w:r>
    </w:p>
    <w:p w14:paraId="58590D7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5.14.1在保修期内发生质量缺陷或紧急抢修事故的时，如发包人无法联系到承包人，或联系到承包人但承包人不能及时履行保修义务时，无论缺陷责任是否属于承包人，承包人必须承担由此产生的一切保修费用、相关损失及违约责任。</w:t>
      </w:r>
    </w:p>
    <w:p w14:paraId="6B66400E">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5.14.2若承包人未及时到达现场实施保修，发包人有权直接委托其他单位或管养单位代承包人组织实施保修，承包人必须承担由此发生的一切保修费用及相关损失。发包人将在缺陷质量保修金中扣除保修费，并处承包人保修费用30%的违约金，如缺陷质量保修金余额不足，发包人将向承包人索赔。发包人还将承包人不履行保修义务的不良行为报送相关行政主管部门。</w:t>
      </w:r>
    </w:p>
    <w:p w14:paraId="4CB45145">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5.14.3若承包人及时到达现场，但认为自行无法按时完成保修义务，可与发包人协商，直接委托管养单位或发包人确认的其他单位实施保修。若承包人未及时与发包人完成协商事宜，又未能在规定时限内完成保修的，发包人有权通知管养单位或其他单位进行保修，承包人必须承担由此发生的一切保修费用及相关损失。发包人将在缺陷质量保修金中扣除保修费，并处承包人保修费用30%的违约金，如缺陷质量保修金余额不足，发包人将向承包人索赔。发包人还将承包人不履行保修义务的不良行为报送相关行政主管部门。</w:t>
      </w:r>
    </w:p>
    <w:p w14:paraId="3C9EAB65">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5.14.4若承包人及时到达现场，并与发包人完成协商，同意直接委托管养单位或发包人确认的其他单位实施保修。承包人在收到支付工程保修费用的通知7天内，应将保修费用支付给代其实施保修的单位。如在规定时间内未支付有关费用的，发包人可直接从工程质量缺陷保修金中扣除该保修费用，并支付给保修单位，并处承包人保修费用30%的违约金，如缺陷质量保修金余额不足，发包人将向承包人索赔。发包人还将承包人不履行保修义务的不良行为报送相关行政主管部门。</w:t>
      </w:r>
    </w:p>
    <w:p w14:paraId="2E2207A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5.14.5若承包人按照发包人的要求及时履行了保修义务，并能提供证据说明质量缺陷非承包人的责任，保修费用及相关损失由缺陷责任方承担。</w:t>
      </w:r>
    </w:p>
    <w:p w14:paraId="6A8D4459">
      <w:pPr>
        <w:pStyle w:val="55"/>
        <w:adjustRightInd w:val="0"/>
        <w:snapToGrid w:val="0"/>
        <w:ind w:firstLine="48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5.14.6对于涉及结构安全的工程质量问题，无论何时，在所有人、使用人或者第三方向当地建设行政主管部门报告并通知承包人后，承包人应立即采取安全防范措施，同时发包人将委托原设计单位或者具有相应资质等级的设计单位提出保修方案后，承包人应立即实施保修。承包人立即实施了有效的防范措施和保修的，保修费用、人身和财产损害赔偿，由经过法定程序确认的缺陷责任方承担。承包人拖延安全防范措施或者拖延保修，所造成的一切人身、财产损害责任和赔偿均由承包人承担，同时发包人将提请相关行政主管部门按相关法律、法规对承包人予以处罚。</w:t>
      </w:r>
    </w:p>
    <w:p w14:paraId="4883F5A1">
      <w:pPr>
        <w:spacing w:line="360" w:lineRule="auto"/>
        <w:ind w:firstLine="482" w:firstLineChars="200"/>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5.15发包人有权根据有关管理制度对承包人的履约情况纳入履约信用评价和</w:t>
      </w:r>
      <w:r>
        <w:rPr>
          <w:rFonts w:asciiTheme="minorEastAsia" w:hAnsiTheme="minorEastAsia" w:eastAsiaTheme="minorEastAsia" w:cstheme="minorEastAsia"/>
          <w:b/>
          <w:color w:val="000000" w:themeColor="text1"/>
          <w:szCs w:val="24"/>
          <w14:textFill>
            <w14:solidFill>
              <w14:schemeClr w14:val="tx1"/>
            </w14:solidFill>
          </w14:textFill>
        </w:rPr>
        <w:t>第三方质量安全评估</w:t>
      </w:r>
      <w:r>
        <w:rPr>
          <w:rFonts w:asciiTheme="minorEastAsia" w:hAnsiTheme="minorEastAsia" w:eastAsiaTheme="minorEastAsia" w:cstheme="minorEastAsia"/>
          <w:b/>
          <w:bCs/>
          <w:color w:val="000000" w:themeColor="text1"/>
          <w:szCs w:val="24"/>
          <w14:textFill>
            <w14:solidFill>
              <w14:schemeClr w14:val="tx1"/>
            </w14:solidFill>
          </w14:textFill>
        </w:rPr>
        <w:t>体系进行履约信用评价和</w:t>
      </w:r>
      <w:r>
        <w:rPr>
          <w:rFonts w:asciiTheme="minorEastAsia" w:hAnsiTheme="minorEastAsia" w:eastAsiaTheme="minorEastAsia" w:cstheme="minorEastAsia"/>
          <w:b/>
          <w:color w:val="000000" w:themeColor="text1"/>
          <w:szCs w:val="24"/>
          <w14:textFill>
            <w14:solidFill>
              <w14:schemeClr w14:val="tx1"/>
            </w14:solidFill>
          </w14:textFill>
        </w:rPr>
        <w:t>质量安全</w:t>
      </w:r>
      <w:r>
        <w:rPr>
          <w:rFonts w:asciiTheme="minorEastAsia" w:hAnsiTheme="minorEastAsia" w:eastAsiaTheme="minorEastAsia" w:cstheme="minorEastAsia"/>
          <w:b/>
          <w:bCs/>
          <w:color w:val="000000" w:themeColor="text1"/>
          <w:szCs w:val="24"/>
          <w14:textFill>
            <w14:solidFill>
              <w14:schemeClr w14:val="tx1"/>
            </w14:solidFill>
          </w14:textFill>
        </w:rPr>
        <w:t>评估，并将评价结果和评估结果报送给有关监管部门。</w:t>
      </w:r>
    </w:p>
    <w:p w14:paraId="0972FF87">
      <w:pPr>
        <w:spacing w:line="360" w:lineRule="auto"/>
        <w:ind w:firstLine="480" w:firstLineChars="200"/>
        <w:rPr>
          <w:rFonts w:asciiTheme="minorEastAsia" w:hAnsiTheme="minorEastAsia" w:eastAsiaTheme="minorEastAsia" w:cstheme="minorEastAsia"/>
          <w:color w:val="000000" w:themeColor="text1"/>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履约信用评价</w:t>
      </w:r>
      <w:r>
        <w:rPr>
          <w:rFonts w:asciiTheme="minorEastAsia" w:hAnsiTheme="minorEastAsia" w:eastAsiaTheme="minorEastAsia" w:cstheme="minorEastAsia"/>
          <w:bCs/>
          <w:color w:val="000000" w:themeColor="text1"/>
          <w:szCs w:val="24"/>
          <w14:textFill>
            <w14:solidFill>
              <w14:schemeClr w14:val="tx1"/>
            </w14:solidFill>
          </w14:textFill>
        </w:rPr>
        <w:t>和</w:t>
      </w:r>
      <w:r>
        <w:rPr>
          <w:rFonts w:asciiTheme="minorEastAsia" w:hAnsiTheme="minorEastAsia" w:eastAsiaTheme="minorEastAsia" w:cstheme="minorEastAsia"/>
          <w:color w:val="000000" w:themeColor="text1"/>
          <w:szCs w:val="24"/>
          <w14:textFill>
            <w14:solidFill>
              <w14:schemeClr w14:val="tx1"/>
            </w14:solidFill>
          </w14:textFill>
        </w:rPr>
        <w:t>第三方质量安全评估按发包人履约信用评价</w:t>
      </w:r>
      <w:r>
        <w:rPr>
          <w:rFonts w:asciiTheme="minorEastAsia" w:hAnsiTheme="minorEastAsia" w:eastAsiaTheme="minorEastAsia" w:cstheme="minorEastAsia"/>
          <w:bCs/>
          <w:color w:val="000000" w:themeColor="text1"/>
          <w:szCs w:val="24"/>
          <w14:textFill>
            <w14:solidFill>
              <w14:schemeClr w14:val="tx1"/>
            </w14:solidFill>
          </w14:textFill>
        </w:rPr>
        <w:t>、</w:t>
      </w:r>
      <w:r>
        <w:rPr>
          <w:rFonts w:asciiTheme="minorEastAsia" w:hAnsiTheme="minorEastAsia" w:eastAsiaTheme="minorEastAsia" w:cstheme="minorEastAsia"/>
          <w:color w:val="000000" w:themeColor="text1"/>
          <w:szCs w:val="24"/>
          <w14:textFill>
            <w14:solidFill>
              <w14:schemeClr w14:val="tx1"/>
            </w14:solidFill>
          </w14:textFill>
        </w:rPr>
        <w:t>质量安全</w:t>
      </w:r>
      <w:r>
        <w:rPr>
          <w:rFonts w:asciiTheme="minorEastAsia" w:hAnsiTheme="minorEastAsia" w:eastAsiaTheme="minorEastAsia" w:cstheme="minorEastAsia"/>
          <w:bCs/>
          <w:color w:val="000000" w:themeColor="text1"/>
          <w:szCs w:val="24"/>
          <w14:textFill>
            <w14:solidFill>
              <w14:schemeClr w14:val="tx1"/>
            </w14:solidFill>
          </w14:textFill>
        </w:rPr>
        <w:t>评估</w:t>
      </w:r>
      <w:r>
        <w:rPr>
          <w:rFonts w:asciiTheme="minorEastAsia" w:hAnsiTheme="minorEastAsia" w:eastAsiaTheme="minorEastAsia" w:cstheme="minorEastAsia"/>
          <w:color w:val="000000" w:themeColor="text1"/>
          <w:szCs w:val="24"/>
          <w14:textFill>
            <w14:solidFill>
              <w14:schemeClr w14:val="tx1"/>
            </w14:solidFill>
          </w14:textFill>
        </w:rPr>
        <w:t>管理规定执行，评价内容包含人员到位情况、服务配合程度、工程质量、安全、项目后期服务及信用评价结果、评估结果的运用等。</w:t>
      </w:r>
    </w:p>
    <w:p w14:paraId="1BC18FF3">
      <w:pPr>
        <w:tabs>
          <w:tab w:val="left" w:pos="1260"/>
        </w:tabs>
        <w:snapToGrid w:val="0"/>
        <w:spacing w:line="360" w:lineRule="auto"/>
        <w:ind w:firstLine="442" w:firstLineChars="200"/>
        <w:rPr>
          <w:rFonts w:asciiTheme="minorEastAsia" w:hAnsiTheme="minorEastAsia" w:eastAsiaTheme="minorEastAsia" w:cstheme="minorEastAsia"/>
          <w:b/>
          <w:bCs/>
          <w:color w:val="000000" w:themeColor="text1"/>
          <w:spacing w:val="-10"/>
          <w:szCs w:val="24"/>
          <w14:textFill>
            <w14:solidFill>
              <w14:schemeClr w14:val="tx1"/>
            </w14:solidFill>
          </w14:textFill>
        </w:rPr>
      </w:pPr>
      <w:r>
        <w:rPr>
          <w:rFonts w:asciiTheme="minorEastAsia" w:hAnsiTheme="minorEastAsia" w:eastAsiaTheme="minorEastAsia" w:cstheme="minorEastAsia"/>
          <w:b/>
          <w:bCs/>
          <w:color w:val="000000" w:themeColor="text1"/>
          <w:spacing w:val="-10"/>
          <w:szCs w:val="24"/>
          <w14:textFill>
            <w14:solidFill>
              <w14:schemeClr w14:val="tx1"/>
            </w14:solidFill>
          </w14:textFill>
        </w:rPr>
        <w:t>6.设计部分：</w:t>
      </w:r>
    </w:p>
    <w:p w14:paraId="6BBC0FB4">
      <w:pPr>
        <w:tabs>
          <w:tab w:val="left" w:pos="1260"/>
        </w:tabs>
        <w:snapToGrid w:val="0"/>
        <w:spacing w:line="360" w:lineRule="auto"/>
        <w:ind w:firstLine="440" w:firstLineChars="200"/>
        <w:rPr>
          <w:rFonts w:asciiTheme="minorEastAsia" w:hAnsiTheme="minorEastAsia" w:eastAsiaTheme="minorEastAsia" w:cstheme="minorEastAsia"/>
          <w:color w:val="000000" w:themeColor="text1"/>
          <w:spacing w:val="-10"/>
          <w:szCs w:val="24"/>
          <w14:textFill>
            <w14:solidFill>
              <w14:schemeClr w14:val="tx1"/>
            </w14:solidFill>
          </w14:textFill>
        </w:rPr>
      </w:pPr>
      <w:r>
        <w:rPr>
          <w:rFonts w:asciiTheme="minorEastAsia" w:hAnsiTheme="minorEastAsia" w:eastAsiaTheme="minorEastAsia" w:cstheme="minorEastAsia"/>
          <w:color w:val="000000" w:themeColor="text1"/>
          <w:spacing w:val="-10"/>
          <w:szCs w:val="24"/>
          <w14:textFill>
            <w14:solidFill>
              <w14:schemeClr w14:val="tx1"/>
            </w14:solidFill>
          </w14:textFill>
        </w:rPr>
        <w:t>6.1 本合同设计总价包括所有设计事务工作收费、技术工作收费、税金和完成合同约定的所有与工程设计有关的全部费用。</w:t>
      </w:r>
    </w:p>
    <w:p w14:paraId="28B34F99">
      <w:pPr>
        <w:tabs>
          <w:tab w:val="left" w:pos="1260"/>
        </w:tabs>
        <w:snapToGrid w:val="0"/>
        <w:spacing w:line="360" w:lineRule="auto"/>
        <w:ind w:firstLine="44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pacing w:val="-10"/>
          <w:szCs w:val="24"/>
          <w14:textFill>
            <w14:solidFill>
              <w14:schemeClr w14:val="tx1"/>
            </w14:solidFill>
          </w14:textFill>
        </w:rPr>
        <w:t>6.2 承包人必须严格按有关设计规范设</w:t>
      </w:r>
      <w:r>
        <w:rPr>
          <w:rFonts w:asciiTheme="minorEastAsia" w:hAnsiTheme="minorEastAsia" w:eastAsiaTheme="minorEastAsia" w:cstheme="minorEastAsia"/>
          <w:color w:val="000000" w:themeColor="text1"/>
          <w:szCs w:val="24"/>
          <w14:textFill>
            <w14:solidFill>
              <w14:schemeClr w14:val="tx1"/>
            </w14:solidFill>
          </w14:textFill>
        </w:rPr>
        <w:t>计图纸，承包人必须秉承合理、经济、环保、适用等原则进行施工图设计，发包人有权委托第三方对承包人每阶段的设计成果（含节能、结构计算模型等）进行精细化审图、各专业优化工作，承包人需无条件根据经发包人确认的精细化审图、结构优化报告进行设计文件修改，费用不另计。</w:t>
      </w:r>
    </w:p>
    <w:p w14:paraId="020166F2">
      <w:pPr>
        <w:tabs>
          <w:tab w:val="left" w:pos="1260"/>
        </w:tabs>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kern w:val="0"/>
          <w:szCs w:val="24"/>
          <w14:textFill>
            <w14:solidFill>
              <w14:schemeClr w14:val="tx1"/>
            </w14:solidFill>
          </w14:textFill>
        </w:rPr>
        <w:t xml:space="preserve">6.3 </w:t>
      </w:r>
      <w:r>
        <w:rPr>
          <w:rFonts w:asciiTheme="minorEastAsia" w:hAnsiTheme="minorEastAsia" w:eastAsiaTheme="minorEastAsia" w:cstheme="minorEastAsia"/>
          <w:color w:val="000000" w:themeColor="text1"/>
          <w:szCs w:val="24"/>
          <w14:textFill>
            <w14:solidFill>
              <w14:schemeClr w14:val="tx1"/>
            </w14:solidFill>
          </w14:textFill>
        </w:rPr>
        <w:t>承包人未经发包人同意擅自对工程设计进行分包的，发包人有权收回未经发包人同意的设计分包内容，已支付该部分分包内容设计费用的在下次支付设计费时扣除，未支付的将不予支付该部分分包内容设计费 。如需其他专业分包，需提前向发包人报备，并提供相应专业资质文件，发包人同意后方可进行分包。</w:t>
      </w:r>
    </w:p>
    <w:p w14:paraId="0AD6F489">
      <w:pPr>
        <w:tabs>
          <w:tab w:val="left" w:pos="1260"/>
        </w:tabs>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bookmarkStart w:id="369" w:name="_Toc390613831"/>
      <w:r>
        <w:rPr>
          <w:rFonts w:asciiTheme="minorEastAsia" w:hAnsiTheme="minorEastAsia" w:eastAsiaTheme="minorEastAsia" w:cstheme="minorEastAsia"/>
          <w:color w:val="000000" w:themeColor="text1"/>
          <w:szCs w:val="24"/>
          <w14:textFill>
            <w14:solidFill>
              <w14:schemeClr w14:val="tx1"/>
            </w14:solidFill>
          </w14:textFill>
        </w:rPr>
        <w:t>6.4.知识产权和专利权</w:t>
      </w:r>
      <w:bookmarkEnd w:id="369"/>
    </w:p>
    <w:p w14:paraId="736FDC19">
      <w:pPr>
        <w:tabs>
          <w:tab w:val="left" w:pos="1260"/>
        </w:tabs>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6.4.1承包人保证投标文件及资料均未侵犯他人的知识产权，否则必须承担全部责任。若承包人使用了他人的专利、专有技术，涉及的费用由承包人负责。合同价包括所有应支付的对专利权和版权、设计和其他知识产权而需要向其他方支付的版税。</w:t>
      </w:r>
    </w:p>
    <w:p w14:paraId="255BA1F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6.4.2承包人应保护发包人的知识产权，不得向第三人泄露、转让发包人提交的产品图纸等技术经济资料。未经发包人同意，承包人不得将设计成果转让给第三方。如发生以上情况并给发包人造成经济损失，发包人有权向承包人索赔。</w:t>
      </w:r>
    </w:p>
    <w:p w14:paraId="4762154A">
      <w:pPr>
        <w:spacing w:before="120" w:beforeLines="50" w:line="360" w:lineRule="auto"/>
        <w:ind w:firstLine="472" w:firstLineChars="19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6.4.3承包人应保证发包人在本项目建设过程中使用其设计文件和设计文件的任何一部分时，发包人免受第三方提出侵犯其专利权、商标权或其他知识产权的起诉。</w:t>
      </w:r>
    </w:p>
    <w:p w14:paraId="18D7A26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承包人保证发包人使用承包人设计成果将不会对任何第三方构成侵权，如因此引起任何第三方向发包人提出侵权之诉讼或索赔，均由承包人承担处理、应诉和赔偿责任。</w:t>
      </w:r>
    </w:p>
    <w:p w14:paraId="237F3B0B">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6.4.4承包人提交给发包人的设计文件，其著作权、版权、专利权和使用权归发包人所有（署名权除外）。   </w:t>
      </w:r>
    </w:p>
    <w:p w14:paraId="6308C9BE">
      <w:pPr>
        <w:spacing w:line="360" w:lineRule="auto"/>
        <w:ind w:firstLine="482"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6.5.</w:t>
      </w:r>
      <w:r>
        <w:rPr>
          <w:rFonts w:asciiTheme="minorEastAsia" w:hAnsiTheme="minorEastAsia" w:eastAsiaTheme="minorEastAsia" w:cstheme="minorEastAsia"/>
          <w:color w:val="000000" w:themeColor="text1"/>
          <w:szCs w:val="24"/>
          <w14:textFill>
            <w14:solidFill>
              <w14:schemeClr w14:val="tx1"/>
            </w14:solidFill>
          </w14:textFill>
        </w:rPr>
        <w:t xml:space="preserve"> 承包人在合同有效期内，应当履行合同约定的义务，如因承包人的原因产生设计质量事故、工期延误或设计缺陷，造成损失的应承担赔偿责任。</w:t>
      </w:r>
    </w:p>
    <w:p w14:paraId="6330796E">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（1）因设计错误而造成一般质量事故的，承包人除应免收受损失部分的设计费外，还应无偿修改和完善设计，并承担给发包人造成的直接损失。</w:t>
      </w:r>
    </w:p>
    <w:p w14:paraId="55AF5105">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（2）因设计错误而造成重大质量事故的，承包人承担给发包人造成的直接损失，发包人有权解除设计合同，并报请有关主管部门视事故造成的损失情况给予其他处罚。</w:t>
      </w:r>
    </w:p>
    <w:p w14:paraId="41C40169">
      <w:pPr>
        <w:spacing w:line="360" w:lineRule="auto"/>
        <w:ind w:firstLine="482"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6.6.</w:t>
      </w:r>
      <w:r>
        <w:rPr>
          <w:rFonts w:asciiTheme="minorEastAsia" w:hAnsiTheme="minorEastAsia" w:eastAsiaTheme="minorEastAsia" w:cstheme="minorEastAsia"/>
          <w:color w:val="000000" w:themeColor="text1"/>
          <w:szCs w:val="24"/>
          <w14:textFill>
            <w14:solidFill>
              <w14:schemeClr w14:val="tx1"/>
            </w14:solidFill>
          </w14:textFill>
        </w:rPr>
        <w:t xml:space="preserve"> 若因承包人原因导致提交的设计成果文件无法通过发包人组织的设计审查，发包人有权发出如下任何指令，承包人必须遵照执行。</w:t>
      </w:r>
    </w:p>
    <w:p w14:paraId="1776F5C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对不合格部分进行重新设计或修改，由此引起的费用增加和工期延误由承包人负全部责任，发包人还可视造成的时间延误和费用损失，承包人按合同价的5%～10%向甲方支付违约金；同时发包人有权解除设计合同。</w:t>
      </w:r>
    </w:p>
    <w:p w14:paraId="49BEDA6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如果重新设计或修改后的设计成果仍不能通过设计审查，或承包人没有能力完成该部分设计，发包人解除该不合格部分的合同，发包人将该不合格部分指定分包给其他设计单位，并扣除设计单位合同总价中此部分的设计费用；</w:t>
      </w:r>
    </w:p>
    <w:p w14:paraId="39CEAEB0">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（3）承包人须在发包人书面同意后，将该部分内容另行委托给其他具有相应资质等级的单位设计，直至通过设计审查，该部分设计费用已包含在合同价中，不另行计算，造成损失的依法承担赔偿责任。</w:t>
      </w:r>
    </w:p>
    <w:p w14:paraId="49107206">
      <w:pPr>
        <w:spacing w:line="360" w:lineRule="auto"/>
        <w:ind w:firstLine="482"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 xml:space="preserve">6.7. </w:t>
      </w:r>
      <w:r>
        <w:rPr>
          <w:rFonts w:asciiTheme="minorEastAsia" w:hAnsiTheme="minorEastAsia" w:eastAsiaTheme="minorEastAsia" w:cstheme="minorEastAsia"/>
          <w:color w:val="000000" w:themeColor="text1"/>
          <w:szCs w:val="24"/>
          <w14:textFill>
            <w14:solidFill>
              <w14:schemeClr w14:val="tx1"/>
            </w14:solidFill>
          </w14:textFill>
        </w:rPr>
        <w:t>承包人应赔偿因设计质量或设计图纸不完善带来的设计变更所引发的工程费增加、施工返工费、误工费等，处理原则如下：</w:t>
      </w:r>
    </w:p>
    <w:p w14:paraId="16F3331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（1）由于设计质量或设计图纸不完善引起的施工返工，承包人应及时处理，并每次扣减设计合同价的2%作为违约金。</w:t>
      </w:r>
    </w:p>
    <w:p w14:paraId="0AFBA3D8">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由于设计质量或设计图纸不完善引起的施工返工、停工，承包人未能及时处理，每次扣减设计合同价的2%作为违约金，对施工工期造成较大影响，还须按设计合同价的15%赔偿，经监理单位和发包人确认后，承包人在申请当期设计费之前支付给发包人。</w:t>
      </w:r>
    </w:p>
    <w:p w14:paraId="72C94891">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由于设计质量或设计图纸不完善导致的设计变更引起工程造价增加，以至超出审批的概算投资额，如设计变更未对施工工期造成影响，承包人按超额部分的5%赔偿发包人；如设计变更对施工工期造成影响，承包人按超额部分的10%赔偿发包人。承包人还应对设计进行修改或调整，以保证工程总费用控制在总投资计划内或限额设计指标内。</w:t>
      </w:r>
    </w:p>
    <w:p w14:paraId="2EF1DE3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4）由于设计质量设计图纸不完善所引起的工程费增加，超出审批的概算投资额，承包人无法调整到限额内，发包人有权不支付设计费，已支付的设计费承包人应返还发包人，发包人有权拒绝承包人参加发包人的任何设计项目的投标，并将承包人的不良行为上报行业主管部门。</w:t>
      </w:r>
    </w:p>
    <w:p w14:paraId="0FE76B82">
      <w:pPr>
        <w:pStyle w:val="68"/>
        <w:ind w:firstLine="602" w:firstLineChars="250"/>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4"/>
          <w14:textFill>
            <w14:solidFill>
              <w14:schemeClr w14:val="tx1"/>
            </w14:solidFill>
          </w14:textFill>
        </w:rPr>
        <w:t>6.7.1</w:t>
      </w:r>
      <w:r>
        <w:rPr>
          <w:rFonts w:hint="eastAsia" w:asciiTheme="minorEastAsia" w:hAnsiTheme="minorEastAsia" w:eastAsiaTheme="minorEastAsia" w:cstheme="minorEastAsia"/>
          <w:color w:val="000000" w:themeColor="text1"/>
          <w:szCs w:val="24"/>
          <w14:textFill>
            <w14:solidFill>
              <w14:schemeClr w14:val="tx1"/>
            </w14:solidFill>
          </w14:textFill>
        </w:rPr>
        <w:t>工程变更的程序和管理按《关于加强市本级政府投资项目财政投资评审监督管理的实施意见》（雄府办函﹝2023﹞5号）执行，凡不符合该实施意见要求的变更均为无效变更。如因设计人的责任引起变更造成投资规模增加，按如下规定追究设计人的违约责任：</w:t>
      </w:r>
    </w:p>
    <w:p w14:paraId="3C14072F">
      <w:pPr>
        <w:pStyle w:val="68"/>
        <w:ind w:firstLine="600" w:firstLineChars="250"/>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（1）因设计人责任引起变更造成投资规模增加10%以上的，扣减设计人设计合同价20%的违约金；</w:t>
      </w:r>
    </w:p>
    <w:p w14:paraId="67646F50">
      <w:pPr>
        <w:pStyle w:val="68"/>
        <w:ind w:firstLine="600" w:firstLineChars="250"/>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（2）因设计人责任引起变更造成投资规模增加15%以上的，扣减设计人设计合同价30%的违约金；</w:t>
      </w:r>
    </w:p>
    <w:p w14:paraId="130F36B8">
      <w:pPr>
        <w:spacing w:line="360" w:lineRule="auto"/>
        <w:ind w:firstLine="480" w:firstLineChars="200"/>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（3）因设计人责任引起变更造成投资规模增加20%以上的，扣减设计人设计合同价40%的违约金。</w:t>
      </w:r>
    </w:p>
    <w:p w14:paraId="49B2DE7A">
      <w:pPr>
        <w:spacing w:line="360" w:lineRule="auto"/>
        <w:ind w:firstLine="482"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6.8</w:t>
      </w:r>
      <w:r>
        <w:rPr>
          <w:rFonts w:asciiTheme="minorEastAsia" w:hAnsiTheme="minorEastAsia" w:eastAsiaTheme="minorEastAsia" w:cstheme="minorEastAsia"/>
          <w:color w:val="000000" w:themeColor="text1"/>
          <w:szCs w:val="24"/>
          <w14:textFill>
            <w14:solidFill>
              <w14:schemeClr w14:val="tx1"/>
            </w14:solidFill>
          </w14:textFill>
        </w:rPr>
        <w:t xml:space="preserve"> 承包人未按照国家及建设部现行的强制性技术标准、规范和规程进行设计，或承包人在设计成果中未经发包人认可擅自指定或变相指定材料或设备生产厂商、供应商的，承包人按合同价的5%～10%向发包人支付违约金。</w:t>
      </w:r>
    </w:p>
    <w:p w14:paraId="6E0DB98C">
      <w:pPr>
        <w:spacing w:line="360" w:lineRule="auto"/>
        <w:ind w:firstLine="482"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6.9</w:t>
      </w:r>
      <w:r>
        <w:rPr>
          <w:rFonts w:asciiTheme="minorEastAsia" w:hAnsiTheme="minorEastAsia" w:eastAsiaTheme="minorEastAsia" w:cstheme="minorEastAsia"/>
          <w:color w:val="000000" w:themeColor="text1"/>
          <w:szCs w:val="24"/>
          <w14:textFill>
            <w14:solidFill>
              <w14:schemeClr w14:val="tx1"/>
            </w14:solidFill>
          </w14:textFill>
        </w:rPr>
        <w:t xml:space="preserve"> 承包人保证，未经发包人书面同意，不得将本合同项下的任何工作任务委托第三人履行，对于工程设计内容中超出承包人资质条件的分部、分项工程，承包人不得超越自身资质条件进行设计或自行将设计任务转包、分包，否则，发包人可以立即解除本合同，并且不需要向承包人支付任何费用。发包人将有权终止合同，承包人按合同价的5%～10%向发包人支付违约金。</w:t>
      </w:r>
    </w:p>
    <w:p w14:paraId="1F9417CA">
      <w:pPr>
        <w:pStyle w:val="8"/>
        <w:snapToGrid w:val="0"/>
        <w:spacing w:line="360" w:lineRule="auto"/>
        <w:ind w:left="63" w:right="63" w:firstLine="482" w:firstLineChars="200"/>
        <w:jc w:val="left"/>
        <w:rPr>
          <w:rFonts w:asciiTheme="minorEastAsia" w:hAnsiTheme="minorEastAsia" w:eastAsiaTheme="minorEastAsia" w:cstheme="minorEastAsia"/>
          <w:b/>
          <w:color w:val="000000" w:themeColor="text1"/>
          <w:kern w:val="0"/>
          <w:szCs w:val="24"/>
          <w14:textFill>
            <w14:solidFill>
              <w14:schemeClr w14:val="tx1"/>
            </w14:solidFill>
          </w14:textFill>
        </w:rPr>
      </w:pPr>
      <w:r>
        <w:rPr>
          <w:rFonts w:asciiTheme="minorEastAsia" w:hAnsiTheme="minorEastAsia" w:eastAsiaTheme="minorEastAsia" w:cstheme="minorEastAsia"/>
          <w:b/>
          <w:color w:val="000000" w:themeColor="text1"/>
          <w:kern w:val="0"/>
          <w:szCs w:val="24"/>
          <w14:textFill>
            <w14:solidFill>
              <w14:schemeClr w14:val="tx1"/>
            </w14:solidFill>
          </w14:textFill>
        </w:rPr>
        <w:t>6.10 除招标文件规定的服务内容外，承包人还须完成以下各阶段服务内容：</w:t>
      </w:r>
    </w:p>
    <w:p w14:paraId="0F615177">
      <w:pPr>
        <w:spacing w:line="360" w:lineRule="auto"/>
        <w:ind w:firstLine="482" w:firstLineChars="200"/>
        <w:rPr>
          <w:rFonts w:asciiTheme="minorEastAsia" w:hAnsiTheme="minorEastAsia" w:eastAsiaTheme="minorEastAsia" w:cstheme="minorEastAsia"/>
          <w:b/>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6.10.1 施工图设计阶段</w:t>
      </w:r>
    </w:p>
    <w:p w14:paraId="237EF4BC">
      <w:pPr>
        <w:pStyle w:val="34"/>
        <w:ind w:firstLine="240" w:firstLineChars="100"/>
        <w:jc w:val="left"/>
        <w:rPr>
          <w:rFonts w:hint="eastAsia" w:asciiTheme="minorEastAsia" w:hAnsiTheme="minorEastAsia" w:eastAsiaTheme="minorEastAsia" w:cstheme="minorEastAsia"/>
          <w:snapToGrid w:val="0"/>
          <w:color w:val="000000" w:themeColor="text1"/>
          <w:kern w:val="0"/>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（1）负责完成并制作总图、建筑、结构、</w:t>
      </w:r>
      <w:r>
        <w:rPr>
          <w:rFonts w:hint="eastAsia" w:asciiTheme="minorEastAsia" w:hAnsiTheme="minorEastAsia" w:eastAsiaTheme="minorEastAsia" w:cstheme="minorEastAsia"/>
          <w:snapToGrid w:val="0"/>
          <w:color w:val="000000" w:themeColor="text1"/>
          <w:kern w:val="0"/>
          <w14:textFill>
            <w14:solidFill>
              <w14:schemeClr w14:val="tx1"/>
            </w14:solidFill>
          </w14:textFill>
        </w:rPr>
        <w:t>建筑装饰装修、给排水、电气、照明、消防、节能、无障碍设计、安防及智能系统、充电桩、海绵城市、雨污分流、道路、综合管网等所有专项设计及红线范围内的所有工程及相关配套工程、设施等本项目涉及的全部专业的施工图设计文件；</w:t>
      </w:r>
    </w:p>
    <w:p w14:paraId="587F941B">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（2）对发包人的审核修改意见进行修改、完善，保证其设计意图的最终实现； </w:t>
      </w:r>
    </w:p>
    <w:p w14:paraId="3161B869">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（3）根据项目开发进度要求及时提供各阶段报审图纸，协助发包人进行报审工作，根据审查结果在本合同约定的范围内进行修改调整，直至审查通过，并最终向发包人提交正式的施工图设计文件； </w:t>
      </w:r>
    </w:p>
    <w:p w14:paraId="0CEC5D81">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（4）协助发包人进行工程招标答疑。</w:t>
      </w:r>
    </w:p>
    <w:p w14:paraId="62CBCAAB">
      <w:pPr>
        <w:spacing w:line="360" w:lineRule="auto"/>
        <w:ind w:firstLine="482" w:firstLineChars="200"/>
        <w:rPr>
          <w:rFonts w:asciiTheme="minorEastAsia" w:hAnsiTheme="minorEastAsia" w:eastAsiaTheme="minorEastAsia" w:cstheme="minorEastAsia"/>
          <w:b/>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6.10.2 施工配合阶段</w:t>
      </w:r>
    </w:p>
    <w:p w14:paraId="3F2AF3CA">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（1）负责工程设计交底，解答施工过程中施工承包人有关施工图的问题，项目负责人及各专业设计负责人，及时对施工中与设计有关的问题做出回应，保证设计满足施工要求； </w:t>
      </w:r>
    </w:p>
    <w:p w14:paraId="6DD754E9">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（2）根据发包人要求，及时参加与设计有关的专题会，现场解决技术问题； </w:t>
      </w:r>
    </w:p>
    <w:p w14:paraId="78E16840">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（3）协助发包人处理工程洽商和设计变更，负责有关设计修改，及时办理相关手续； </w:t>
      </w:r>
    </w:p>
    <w:p w14:paraId="7A6957F5">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（4）参与与承包人相关的必要的验收以及项目竣工验收工作，并及时办理相关手续； </w:t>
      </w:r>
    </w:p>
    <w:p w14:paraId="366043D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（5）提供产品选型、设备加工订货、建筑材料选择以及分包商考察等技术咨询工作； </w:t>
      </w:r>
    </w:p>
    <w:p w14:paraId="2616A5D5">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（6）应发包人要求协助审核各分包商的设计文件是否满足接口条件并签署意见，以保证其与总体设计协调一致，并满足工程要求。</w:t>
      </w:r>
    </w:p>
    <w:p w14:paraId="4DE4AE5A">
      <w:pPr>
        <w:spacing w:line="360" w:lineRule="auto"/>
        <w:ind w:firstLine="482" w:firstLineChars="200"/>
        <w:rPr>
          <w:rFonts w:asciiTheme="minorEastAsia" w:hAnsiTheme="minorEastAsia" w:eastAsiaTheme="minorEastAsia" w:cstheme="minorEastAsia"/>
          <w:b/>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 xml:space="preserve">6.11 </w:t>
      </w:r>
      <w:r>
        <w:rPr>
          <w:rFonts w:asciiTheme="minorEastAsia" w:hAnsiTheme="minorEastAsia" w:eastAsiaTheme="minorEastAsia" w:cstheme="minorEastAsia"/>
          <w:b/>
          <w:color w:val="000000" w:themeColor="text1"/>
          <w:szCs w:val="24"/>
          <w14:textFill>
            <w14:solidFill>
              <w14:schemeClr w14:val="tx1"/>
            </w14:solidFill>
          </w14:textFill>
        </w:rPr>
        <w:t>承包人义务及违约责任</w:t>
      </w:r>
    </w:p>
    <w:p w14:paraId="59018198">
      <w:pPr>
        <w:spacing w:line="360" w:lineRule="auto"/>
        <w:ind w:firstLine="482" w:firstLineChars="200"/>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6.11.1 承包人义务</w:t>
      </w:r>
    </w:p>
    <w:p w14:paraId="29D58853">
      <w:pPr>
        <w:adjustRightInd w:val="0"/>
        <w:snapToGrid w:val="0"/>
        <w:spacing w:line="360" w:lineRule="auto"/>
        <w:ind w:firstLine="360" w:firstLineChars="150"/>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（1）中标通知书发出后30天内第一中标候选人不按招标文件约定条款签订设计合同的，视为自动放弃中标资格，没收投标保证金，并确定第二中标候选人为承包人，以此类推。并上报建设行政主管部门。</w:t>
      </w:r>
    </w:p>
    <w:p w14:paraId="7FDBA566">
      <w:pPr>
        <w:adjustRightInd w:val="0"/>
        <w:snapToGrid w:val="0"/>
        <w:spacing w:line="360" w:lineRule="auto"/>
        <w:ind w:firstLine="360" w:firstLineChars="150"/>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（2）合同生效后，承包人要求终止或解除合同视为承包人违约，扣除履约保证金。</w:t>
      </w:r>
    </w:p>
    <w:p w14:paraId="286544AC">
      <w:pPr>
        <w:adjustRightInd w:val="0"/>
        <w:snapToGrid w:val="0"/>
        <w:spacing w:line="360" w:lineRule="auto"/>
        <w:ind w:firstLine="360" w:firstLineChars="150"/>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3）承包人负责按照合同规定承包范围、内容和方式，在规定时间内提交满足规定质量要求的设计成果，并完成约定的服务内容。承包人交付设计文件后，按规定参加有关的设计审查，并根据审查结论负责不超出原定范围的内容做必要调整补充。承包人按合同规定时限交付设计文件，负责向发包人及施工单位进行设计交底、处理有关设计问题和参加竣工验收。施工过程中负责有关工程变更的变更设计和变更预算编制。</w:t>
      </w:r>
    </w:p>
    <w:p w14:paraId="500855D2">
      <w:pPr>
        <w:adjustRightInd w:val="0"/>
        <w:snapToGrid w:val="0"/>
        <w:spacing w:line="360" w:lineRule="auto"/>
        <w:ind w:firstLine="360" w:firstLineChars="15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（4）承包人应对发包人提供的文件、资料进行认真研究，对本项目的特点和不确定因素进行认真考虑，并提出合理建议和评价，对影响设计稳定的重大问题要进行多方案比较选择。</w:t>
      </w:r>
    </w:p>
    <w:p w14:paraId="6AD1433C">
      <w:pPr>
        <w:adjustRightInd w:val="0"/>
        <w:snapToGrid w:val="0"/>
        <w:spacing w:line="360" w:lineRule="auto"/>
        <w:ind w:firstLine="360" w:firstLineChars="15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（5）设计应尽可能减少施工难度，为施工创造方便合理的施工条件；应尽量减少施工对城市交通、市民生活以及水利、通航的干扰，并尽可能减少对施工期的影响。</w:t>
      </w:r>
    </w:p>
    <w:p w14:paraId="790D4EDA">
      <w:pPr>
        <w:adjustRightInd w:val="0"/>
        <w:snapToGrid w:val="0"/>
        <w:spacing w:line="360" w:lineRule="auto"/>
        <w:ind w:firstLine="240" w:firstLineChars="1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（6）未经发包人书面同意，承包人不得对已批准的设计和勘探点布置方案作重大修改、增减或删除。</w:t>
      </w:r>
    </w:p>
    <w:p w14:paraId="0E96FD5B">
      <w:pPr>
        <w:adjustRightInd w:val="0"/>
        <w:snapToGrid w:val="0"/>
        <w:spacing w:line="360" w:lineRule="auto"/>
        <w:ind w:firstLine="240" w:firstLineChars="1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（7）承包人提交的全部设计文件应考虑地质因素、正常施工中可能出现的各种因素，对设计文件出现的遗漏或错误负责修改或补充。</w:t>
      </w:r>
    </w:p>
    <w:p w14:paraId="51823EC9">
      <w:pPr>
        <w:adjustRightInd w:val="0"/>
        <w:snapToGrid w:val="0"/>
        <w:spacing w:line="360" w:lineRule="auto"/>
        <w:ind w:firstLine="240" w:firstLineChars="1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（8）承包人承诺在交付项目的部分或全部设计文件后，如有更好的新工艺、新技术、新材料、新设备等适用于本项目，应及时向发包人推荐并提供科学的评估和来源证明。</w:t>
      </w:r>
    </w:p>
    <w:p w14:paraId="0CAF7DBD">
      <w:pPr>
        <w:adjustRightInd w:val="0"/>
        <w:snapToGrid w:val="0"/>
        <w:spacing w:line="360" w:lineRule="auto"/>
        <w:ind w:firstLine="240" w:firstLineChars="1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（9）承包人驻新丰县办公的项目负责人（即投标文件所拟派的项目负责人）必须负责本项目设计全过程（包括施工图设计审查、施工图设计修编、图纸会审和技术交底）。</w:t>
      </w:r>
    </w:p>
    <w:p w14:paraId="43777189">
      <w:pPr>
        <w:adjustRightInd w:val="0"/>
        <w:snapToGrid w:val="0"/>
        <w:spacing w:line="360" w:lineRule="auto"/>
        <w:ind w:firstLine="240" w:firstLineChars="1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10）承包人应委派1名参与并熟悉本项目设计任务，有现场处理经验的设计代表常驻项目现场。承包人应为派驻现场的设计工作人员提供工作、生活及交通等方面的便利条件及准备必要的劳动保护装备。在正常施工阶段，每月应保证最少20天在现场。</w:t>
      </w:r>
    </w:p>
    <w:p w14:paraId="584B5F3F">
      <w:pPr>
        <w:adjustRightInd w:val="0"/>
        <w:snapToGrid w:val="0"/>
        <w:spacing w:line="360" w:lineRule="auto"/>
        <w:ind w:firstLine="240" w:firstLineChars="1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（11）承包人要按照批准的设计任务书、按照批准的总概算控制施工图设计，即限额设计。承包人要无条件对设计文件出现的遗漏或错误负责修改或补充，直到满足要求。</w:t>
      </w:r>
    </w:p>
    <w:p w14:paraId="5E91E2DB">
      <w:pPr>
        <w:adjustRightInd w:val="0"/>
        <w:snapToGrid w:val="0"/>
        <w:spacing w:line="360" w:lineRule="auto"/>
        <w:ind w:firstLine="244" w:firstLineChars="1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pacing w:val="2"/>
          <w:szCs w:val="24"/>
          <w14:textFill>
            <w14:solidFill>
              <w14:schemeClr w14:val="tx1"/>
            </w14:solidFill>
          </w14:textFill>
        </w:rPr>
        <w:t xml:space="preserve"> （12）发包人及咨询</w:t>
      </w:r>
      <w:r>
        <w:rPr>
          <w:rFonts w:asciiTheme="minorEastAsia" w:hAnsiTheme="minorEastAsia" w:eastAsiaTheme="minorEastAsia" w:cstheme="minorEastAsia"/>
          <w:color w:val="000000" w:themeColor="text1"/>
          <w:spacing w:val="1"/>
          <w:szCs w:val="24"/>
          <w14:textFill>
            <w14:solidFill>
              <w14:schemeClr w14:val="tx1"/>
            </w14:solidFill>
          </w14:textFill>
        </w:rPr>
        <w:t>单</w:t>
      </w:r>
      <w:r>
        <w:rPr>
          <w:rFonts w:asciiTheme="minorEastAsia" w:hAnsiTheme="minorEastAsia" w:eastAsiaTheme="minorEastAsia" w:cstheme="minorEastAsia"/>
          <w:color w:val="000000" w:themeColor="text1"/>
          <w:spacing w:val="2"/>
          <w:szCs w:val="24"/>
          <w14:textFill>
            <w14:solidFill>
              <w14:schemeClr w14:val="tx1"/>
            </w14:solidFill>
          </w14:textFill>
        </w:rPr>
        <w:t>位、上级</w:t>
      </w:r>
      <w:r>
        <w:rPr>
          <w:rFonts w:asciiTheme="minorEastAsia" w:hAnsiTheme="minorEastAsia" w:eastAsiaTheme="minorEastAsia" w:cstheme="minorEastAsia"/>
          <w:color w:val="000000" w:themeColor="text1"/>
          <w:spacing w:val="1"/>
          <w:szCs w:val="24"/>
          <w14:textFill>
            <w14:solidFill>
              <w14:schemeClr w14:val="tx1"/>
            </w14:solidFill>
          </w14:textFill>
        </w:rPr>
        <w:t>主</w:t>
      </w:r>
      <w:r>
        <w:rPr>
          <w:rFonts w:asciiTheme="minorEastAsia" w:hAnsiTheme="minorEastAsia" w:eastAsiaTheme="minorEastAsia" w:cstheme="minorEastAsia"/>
          <w:color w:val="000000" w:themeColor="text1"/>
          <w:spacing w:val="2"/>
          <w:szCs w:val="24"/>
          <w14:textFill>
            <w14:solidFill>
              <w14:schemeClr w14:val="tx1"/>
            </w14:solidFill>
          </w14:textFill>
        </w:rPr>
        <w:t>管部门对设计</w:t>
      </w:r>
      <w:r>
        <w:rPr>
          <w:rFonts w:asciiTheme="minorEastAsia" w:hAnsiTheme="minorEastAsia" w:eastAsiaTheme="minorEastAsia" w:cstheme="minorEastAsia"/>
          <w:color w:val="000000" w:themeColor="text1"/>
          <w:szCs w:val="24"/>
          <w14:textFill>
            <w14:solidFill>
              <w14:schemeClr w14:val="tx1"/>
            </w14:solidFill>
          </w14:textFill>
        </w:rPr>
        <w:t>文件的审查并不免除承包人的责任。</w:t>
      </w:r>
    </w:p>
    <w:p w14:paraId="1DB8C5C6">
      <w:pPr>
        <w:adjustRightInd w:val="0"/>
        <w:snapToGrid w:val="0"/>
        <w:spacing w:line="360" w:lineRule="auto"/>
        <w:ind w:firstLine="360" w:firstLineChars="15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（13）中标通知书发出后三天内，中标单位法定代表人及主要负责人、项目经理、设计负责人应积极主动与发包人接洽工作，迅速有效推动工程前期工作顺利开展，逾期未履行，作违约处理。</w:t>
      </w:r>
    </w:p>
    <w:p w14:paraId="54880B14">
      <w:pPr>
        <w:adjustRightInd w:val="0"/>
        <w:snapToGrid w:val="0"/>
        <w:spacing w:line="360" w:lineRule="auto"/>
        <w:ind w:firstLine="120" w:firstLineChars="50"/>
        <w:rPr>
          <w:rFonts w:asciiTheme="minorEastAsia" w:hAnsiTheme="minorEastAsia" w:eastAsiaTheme="minorEastAsia" w:cstheme="minorEastAsia"/>
          <w:b/>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 xml:space="preserve">   6.11.2 </w:t>
      </w:r>
      <w:r>
        <w:rPr>
          <w:rFonts w:asciiTheme="minorEastAsia" w:hAnsiTheme="minorEastAsia" w:eastAsiaTheme="minorEastAsia" w:cstheme="minorEastAsia"/>
          <w:b/>
          <w:snapToGrid w:val="0"/>
          <w:color w:val="000000" w:themeColor="text1"/>
          <w:kern w:val="0"/>
          <w:szCs w:val="24"/>
          <w14:textFill>
            <w14:solidFill>
              <w14:schemeClr w14:val="tx1"/>
            </w14:solidFill>
          </w14:textFill>
        </w:rPr>
        <w:t>承包人违约的处理</w:t>
      </w:r>
    </w:p>
    <w:p w14:paraId="021DE96B">
      <w:pPr>
        <w:spacing w:line="360" w:lineRule="auto"/>
        <w:ind w:firstLine="360" w:firstLineChars="15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（1）承包人发生合同约定的违约情况时，无论发包人是否解除合同，发包人均有权按相关规定</w:t>
      </w:r>
      <w:r>
        <w:rPr>
          <w:rFonts w:asciiTheme="minorEastAsia" w:hAnsiTheme="minorEastAsia" w:eastAsiaTheme="minorEastAsia" w:cstheme="minorEastAsia"/>
          <w:color w:val="000000" w:themeColor="text1"/>
          <w14:textFill>
            <w14:solidFill>
              <w14:schemeClr w14:val="tx1"/>
            </w14:solidFill>
          </w14:textFill>
        </w:rPr>
        <w:t>扣除</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承包人</w:t>
      </w:r>
      <w:r>
        <w:rPr>
          <w:rFonts w:asciiTheme="minorEastAsia" w:hAnsiTheme="minorEastAsia" w:eastAsiaTheme="minorEastAsia" w:cstheme="minorEastAsia"/>
          <w:color w:val="000000" w:themeColor="text1"/>
          <w:szCs w:val="24"/>
          <w14:textFill>
            <w14:solidFill>
              <w14:schemeClr w14:val="tx1"/>
            </w14:solidFill>
          </w14:textFill>
        </w:rPr>
        <w:t>违约金，并由发包人将其违约行为记录在合同履约评价报告中，作为合同履约综合评价的依据。同时，发包人将</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承包人</w:t>
      </w:r>
      <w:r>
        <w:rPr>
          <w:rFonts w:asciiTheme="minorEastAsia" w:hAnsiTheme="minorEastAsia" w:eastAsiaTheme="minorEastAsia" w:cstheme="minorEastAsia"/>
          <w:color w:val="000000" w:themeColor="text1"/>
          <w:szCs w:val="24"/>
          <w14:textFill>
            <w14:solidFill>
              <w14:schemeClr w14:val="tx1"/>
            </w14:solidFill>
          </w14:textFill>
        </w:rPr>
        <w:t>的违约行为</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上报建设行政主管部门。</w:t>
      </w:r>
    </w:p>
    <w:p w14:paraId="5090579B">
      <w:pPr>
        <w:spacing w:line="360" w:lineRule="auto"/>
        <w:ind w:firstLine="360" w:firstLineChars="15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（2）发包人按合同规定向</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承包人</w:t>
      </w:r>
      <w:r>
        <w:rPr>
          <w:rFonts w:asciiTheme="minorEastAsia" w:hAnsiTheme="minorEastAsia" w:eastAsiaTheme="minorEastAsia" w:cstheme="minorEastAsia"/>
          <w:color w:val="000000" w:themeColor="text1"/>
          <w:szCs w:val="24"/>
          <w14:textFill>
            <w14:solidFill>
              <w14:schemeClr w14:val="tx1"/>
            </w14:solidFill>
          </w14:textFill>
        </w:rPr>
        <w:t>开出的任何违约金，除合同另有规定外，均从发包人应向</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承包人</w:t>
      </w:r>
      <w:r>
        <w:rPr>
          <w:rFonts w:asciiTheme="minorEastAsia" w:hAnsiTheme="minorEastAsia" w:eastAsiaTheme="minorEastAsia" w:cstheme="minorEastAsia"/>
          <w:color w:val="000000" w:themeColor="text1"/>
          <w:szCs w:val="24"/>
          <w14:textFill>
            <w14:solidFill>
              <w14:schemeClr w14:val="tx1"/>
            </w14:solidFill>
          </w14:textFill>
        </w:rPr>
        <w:t>支付的</w:t>
      </w:r>
      <w:r>
        <w:rPr>
          <w:rFonts w:asciiTheme="minorEastAsia" w:hAnsiTheme="minorEastAsia" w:eastAsiaTheme="minorEastAsia" w:cstheme="minorEastAsia"/>
          <w:color w:val="000000" w:themeColor="text1"/>
          <w14:textFill>
            <w14:solidFill>
              <w14:schemeClr w14:val="tx1"/>
            </w14:solidFill>
          </w14:textFill>
        </w:rPr>
        <w:t>服务费</w:t>
      </w:r>
      <w:r>
        <w:rPr>
          <w:rFonts w:asciiTheme="minorEastAsia" w:hAnsiTheme="minorEastAsia" w:eastAsiaTheme="minorEastAsia" w:cstheme="minorEastAsia"/>
          <w:color w:val="000000" w:themeColor="text1"/>
          <w:szCs w:val="24"/>
          <w14:textFill>
            <w14:solidFill>
              <w14:schemeClr w14:val="tx1"/>
            </w14:solidFill>
          </w14:textFill>
        </w:rPr>
        <w:t>中直接扣除。除非合同另有规定，发包人向</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承包人</w:t>
      </w:r>
      <w:r>
        <w:rPr>
          <w:rFonts w:asciiTheme="minorEastAsia" w:hAnsiTheme="minorEastAsia" w:eastAsiaTheme="minorEastAsia" w:cstheme="minorEastAsia"/>
          <w:color w:val="000000" w:themeColor="text1"/>
          <w:szCs w:val="24"/>
          <w14:textFill>
            <w14:solidFill>
              <w14:schemeClr w14:val="tx1"/>
            </w14:solidFill>
          </w14:textFill>
        </w:rPr>
        <w:t>开出的任何违约金将导致承包人最终的应得结算价款相应地减少。</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承包人</w:t>
      </w:r>
      <w:r>
        <w:rPr>
          <w:rFonts w:asciiTheme="minorEastAsia" w:hAnsiTheme="minorEastAsia" w:eastAsiaTheme="minorEastAsia" w:cstheme="minorEastAsia"/>
          <w:color w:val="000000" w:themeColor="text1"/>
          <w:szCs w:val="24"/>
          <w14:textFill>
            <w14:solidFill>
              <w14:schemeClr w14:val="tx1"/>
            </w14:solidFill>
          </w14:textFill>
        </w:rPr>
        <w:t>必须完全接受上述条款。</w:t>
      </w:r>
    </w:p>
    <w:p w14:paraId="4C7DB5D1">
      <w:pPr>
        <w:spacing w:line="360" w:lineRule="auto"/>
        <w:ind w:firstLine="360" w:firstLineChars="15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（3）发包人按合同规定向</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承包人</w:t>
      </w:r>
      <w:r>
        <w:rPr>
          <w:rFonts w:asciiTheme="minorEastAsia" w:hAnsiTheme="minorEastAsia" w:eastAsiaTheme="minorEastAsia" w:cstheme="minorEastAsia"/>
          <w:color w:val="000000" w:themeColor="text1"/>
          <w:szCs w:val="24"/>
          <w14:textFill>
            <w14:solidFill>
              <w14:schemeClr w14:val="tx1"/>
            </w14:solidFill>
          </w14:textFill>
        </w:rPr>
        <w:t>开出的任何违约金的扣除时间，可以在发包人认为合适的任何一个期中支付月份中扣除。发包人扣除违约金时间的延迟或滞后并不代表对</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承包人</w:t>
      </w:r>
      <w:r>
        <w:rPr>
          <w:rFonts w:asciiTheme="minorEastAsia" w:hAnsiTheme="minorEastAsia" w:eastAsiaTheme="minorEastAsia" w:cstheme="minorEastAsia"/>
          <w:color w:val="000000" w:themeColor="text1"/>
          <w:szCs w:val="24"/>
          <w14:textFill>
            <w14:solidFill>
              <w14:schemeClr w14:val="tx1"/>
            </w14:solidFill>
          </w14:textFill>
        </w:rPr>
        <w:t>当时各种行为的认可或默认。</w:t>
      </w:r>
    </w:p>
    <w:p w14:paraId="0DB501F9">
      <w:pPr>
        <w:spacing w:line="360" w:lineRule="auto"/>
        <w:ind w:firstLine="360" w:firstLineChars="150"/>
        <w:rPr>
          <w:rFonts w:asciiTheme="minorEastAsia" w:hAnsiTheme="minorEastAsia" w:eastAsiaTheme="minorEastAsia" w:cstheme="minorEastAsia"/>
          <w:color w:val="000000" w:themeColor="text1"/>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（4）</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承包人</w:t>
      </w:r>
      <w:r>
        <w:rPr>
          <w:rFonts w:asciiTheme="minorEastAsia" w:hAnsiTheme="minorEastAsia" w:eastAsiaTheme="minorEastAsia" w:cstheme="minorEastAsia"/>
          <w:color w:val="000000" w:themeColor="text1"/>
          <w:szCs w:val="24"/>
          <w14:textFill>
            <w14:solidFill>
              <w14:schemeClr w14:val="tx1"/>
            </w14:solidFill>
          </w14:textFill>
        </w:rPr>
        <w:t>的违约金由发包人掌握使用。</w:t>
      </w:r>
    </w:p>
    <w:p w14:paraId="74196846">
      <w:pPr>
        <w:spacing w:line="360" w:lineRule="auto"/>
        <w:ind w:firstLine="480" w:firstLineChars="200"/>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6.12</w:t>
      </w:r>
      <w:r>
        <w:rPr>
          <w:rFonts w:asciiTheme="minorEastAsia" w:hAnsiTheme="minorEastAsia" w:eastAsiaTheme="minorEastAsia" w:cstheme="minorEastAsia"/>
          <w:b/>
          <w:bCs/>
          <w:color w:val="000000" w:themeColor="text1"/>
          <w:szCs w:val="24"/>
          <w14:textFill>
            <w14:solidFill>
              <w14:schemeClr w14:val="tx1"/>
            </w14:solidFill>
          </w14:textFill>
        </w:rPr>
        <w:t>发包人有权根据有关管理制度对承包人的履约情况纳入履约信用评价体系进行履约信用评价，并将评价结果报送给有关监管部门。</w:t>
      </w:r>
    </w:p>
    <w:p w14:paraId="0DC235D3">
      <w:pPr>
        <w:pStyle w:val="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履约信用评价按发包人履约信用评价管理规定执行，评价内容包含人员到位情况、服务配合程度、服务成果质量、项目后期服务及履约信用评价结果的运用等。</w:t>
      </w:r>
    </w:p>
    <w:p w14:paraId="6E97A4CF">
      <w:pPr>
        <w:pStyle w:val="35"/>
        <w:keepNext/>
        <w:keepLines/>
        <w:tabs>
          <w:tab w:val="left" w:pos="885"/>
        </w:tabs>
        <w:spacing w:line="400" w:lineRule="exact"/>
        <w:jc w:val="center"/>
        <w:rPr>
          <w:rFonts w:hint="eastAsia" w:asciiTheme="minorEastAsia" w:hAnsiTheme="minorEastAsia" w:eastAsiaTheme="minorEastAsia" w:cstheme="minorEastAsia"/>
          <w:b/>
          <w:color w:val="000000" w:themeColor="text1"/>
          <w:kern w:val="44"/>
          <w:sz w:val="24"/>
          <w14:textFill>
            <w14:solidFill>
              <w14:schemeClr w14:val="tx1"/>
            </w14:solidFill>
          </w14:textFill>
        </w:rPr>
      </w:pPr>
      <w:bookmarkStart w:id="370" w:name="_Toc11306"/>
      <w:r>
        <w:rPr>
          <w:rFonts w:hint="eastAsia" w:asciiTheme="minorEastAsia" w:hAnsiTheme="minorEastAsia" w:eastAsiaTheme="minorEastAsia" w:cstheme="minorEastAsia"/>
          <w:b/>
          <w:color w:val="000000" w:themeColor="text1"/>
          <w:kern w:val="44"/>
          <w:sz w:val="24"/>
          <w14:textFill>
            <w14:solidFill>
              <w14:schemeClr w14:val="tx1"/>
            </w14:solidFill>
          </w14:textFill>
        </w:rPr>
        <w:br w:type="page"/>
      </w:r>
      <w:bookmarkStart w:id="371" w:name="_Toc28950"/>
      <w:bookmarkStart w:id="372" w:name="_Toc10003"/>
      <w:bookmarkStart w:id="373" w:name="_Toc31414"/>
      <w:bookmarkStart w:id="374" w:name="_Toc15865"/>
      <w:bookmarkStart w:id="375" w:name="_Toc18208"/>
      <w:bookmarkStart w:id="376" w:name="_Toc5081"/>
      <w:bookmarkStart w:id="377" w:name="_Toc21559"/>
      <w:bookmarkStart w:id="378" w:name="_Toc31905"/>
      <w:bookmarkStart w:id="379" w:name="_Toc16036"/>
      <w: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t>第三</w:t>
      </w:r>
      <w:bookmarkStart w:id="380" w:name="_Hlt69669171"/>
      <w:bookmarkEnd w:id="380"/>
      <w: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t>章</w:t>
      </w:r>
      <w:bookmarkStart w:id="381" w:name="_Hlt87793839"/>
      <w:bookmarkEnd w:id="381"/>
      <w: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t xml:space="preserve"> 中标人须知</w:t>
      </w:r>
      <w:bookmarkEnd w:id="370"/>
      <w:bookmarkEnd w:id="371"/>
      <w:bookmarkEnd w:id="372"/>
      <w:bookmarkEnd w:id="373"/>
      <w:bookmarkEnd w:id="374"/>
      <w:bookmarkEnd w:id="375"/>
      <w:bookmarkEnd w:id="376"/>
      <w:bookmarkEnd w:id="377"/>
      <w:bookmarkEnd w:id="378"/>
      <w:bookmarkEnd w:id="379"/>
    </w:p>
    <w:p w14:paraId="4A9A8C24">
      <w:pPr>
        <w:pStyle w:val="34"/>
        <w:rPr>
          <w:rFonts w:hint="eastAsia" w:asciiTheme="minorEastAsia" w:hAnsiTheme="minorEastAsia" w:eastAsiaTheme="minorEastAsia" w:cstheme="minorEastAsia"/>
          <w:color w:val="000000" w:themeColor="text1"/>
          <w14:textFill>
            <w14:solidFill>
              <w14:schemeClr w14:val="tx1"/>
            </w14:solidFill>
          </w14:textFill>
        </w:rPr>
      </w:pPr>
    </w:p>
    <w:bookmarkEnd w:id="315"/>
    <w:bookmarkEnd w:id="316"/>
    <w:bookmarkEnd w:id="317"/>
    <w:p w14:paraId="25FF0D22">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  </w:t>
      </w:r>
      <w:r>
        <w:rPr>
          <w:rFonts w:asciiTheme="minorEastAsia" w:hAnsiTheme="minorEastAsia" w:eastAsiaTheme="minorEastAsia" w:cstheme="minorEastAsia"/>
          <w:color w:val="000000" w:themeColor="text1"/>
          <w:szCs w:val="24"/>
          <w14:textFill>
            <w14:solidFill>
              <w14:schemeClr w14:val="tx1"/>
            </w14:solidFill>
          </w14:textFill>
        </w:rPr>
        <w:t>招标人向中标人发出的《中标通知书》对招标人和中标人均具有法律约束力。中标通知书发出后，招标人改变中标结果和中标人放弃中标的，应当承担法律责任。</w:t>
      </w:r>
    </w:p>
    <w:p w14:paraId="44A792D7">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3.2  </w:t>
      </w:r>
      <w:r>
        <w:rPr>
          <w:rFonts w:asciiTheme="minorEastAsia" w:hAnsiTheme="minorEastAsia" w:eastAsiaTheme="minorEastAsia" w:cstheme="minorEastAsia"/>
          <w:color w:val="000000" w:themeColor="text1"/>
          <w:szCs w:val="24"/>
          <w14:textFill>
            <w14:solidFill>
              <w14:schemeClr w14:val="tx1"/>
            </w14:solidFill>
          </w14:textFill>
        </w:rPr>
        <w:t>中标人不与招标人签订合同，招标人可以取消其中标人资格。给招标人造成经济损失的，招标人可以向中标人索赔。</w:t>
      </w:r>
    </w:p>
    <w:p w14:paraId="6BB91280">
      <w:pPr>
        <w:spacing w:line="360" w:lineRule="auto"/>
        <w:ind w:firstLine="48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3.3  </w:t>
      </w:r>
      <w:r>
        <w:rPr>
          <w:rFonts w:asciiTheme="minorEastAsia" w:hAnsiTheme="minorEastAsia" w:eastAsiaTheme="minorEastAsia" w:cstheme="minorEastAsia"/>
          <w:color w:val="000000" w:themeColor="text1"/>
          <w:szCs w:val="24"/>
          <w14:textFill>
            <w14:solidFill>
              <w14:schemeClr w14:val="tx1"/>
            </w14:solidFill>
          </w14:textFill>
        </w:rPr>
        <w:t>中标人在施工期间应严格遵守国家、省、市有关防火、爆破和施工安全以及文明施工、深夜施工、环卫城管等规定，建立规章制度和防护措施。否则，由此造成的经济损失和法律责任，均由中标人负责。</w:t>
      </w:r>
    </w:p>
    <w:p w14:paraId="3607B4E2">
      <w:pPr>
        <w:spacing w:line="360" w:lineRule="auto"/>
        <w:ind w:firstLine="48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中标人必须做好施工场地地下地上管线和邻近建筑物、构筑物（包括文物保护建筑）、名树名木（如有）的保护工作。</w:t>
      </w:r>
    </w:p>
    <w:p w14:paraId="60B309A8">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3.4  </w:t>
      </w:r>
      <w:r>
        <w:rPr>
          <w:rFonts w:asciiTheme="minorEastAsia" w:hAnsiTheme="minorEastAsia" w:eastAsiaTheme="minorEastAsia" w:cstheme="minorEastAsia"/>
          <w:color w:val="000000" w:themeColor="text1"/>
          <w:szCs w:val="24"/>
          <w14:textFill>
            <w14:solidFill>
              <w14:schemeClr w14:val="tx1"/>
            </w14:solidFill>
          </w14:textFill>
        </w:rPr>
        <w:t>中标人应按安全施工的要求，采取严格科学的安全措施，确保施工安全和第三者的安全，承担由于自身安全措施不力所造成的事故责任和发生的费用。</w:t>
      </w:r>
    </w:p>
    <w:p w14:paraId="4F865DC7">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bookmarkStart w:id="382" w:name="_Hlt93117969"/>
      <w:r>
        <w:rPr>
          <w:rFonts w:asciiTheme="minorEastAsia" w:hAnsiTheme="minorEastAsia" w:eastAsiaTheme="minorEastAsia" w:cstheme="minorEastAsia"/>
          <w:b/>
          <w:color w:val="000000" w:themeColor="text1"/>
          <w:szCs w:val="24"/>
          <w14:textFill>
            <w14:solidFill>
              <w14:schemeClr w14:val="tx1"/>
            </w14:solidFill>
          </w14:textFill>
        </w:rPr>
        <w:t xml:space="preserve">    3.5  </w:t>
      </w:r>
      <w:r>
        <w:rPr>
          <w:rFonts w:asciiTheme="minorEastAsia" w:hAnsiTheme="minorEastAsia" w:eastAsiaTheme="minorEastAsia" w:cstheme="minorEastAsia"/>
          <w:color w:val="000000" w:themeColor="text1"/>
          <w:szCs w:val="24"/>
          <w14:textFill>
            <w14:solidFill>
              <w14:schemeClr w14:val="tx1"/>
            </w14:solidFill>
          </w14:textFill>
        </w:rPr>
        <w:t>为保证施工现场的环境卫生，中标人在本项目施工过程中，所有的车辆必须按招标人规定的行车路线行驶。</w:t>
      </w:r>
    </w:p>
    <w:bookmarkEnd w:id="382"/>
    <w:p w14:paraId="70C87CC6">
      <w:pPr>
        <w:spacing w:line="360" w:lineRule="auto"/>
        <w:ind w:firstLine="48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3.6  </w:t>
      </w:r>
      <w:r>
        <w:rPr>
          <w:rFonts w:asciiTheme="minorEastAsia" w:hAnsiTheme="minorEastAsia" w:eastAsiaTheme="minorEastAsia" w:cstheme="minorEastAsia"/>
          <w:color w:val="000000" w:themeColor="text1"/>
          <w:szCs w:val="24"/>
          <w14:textFill>
            <w14:solidFill>
              <w14:schemeClr w14:val="tx1"/>
            </w14:solidFill>
          </w14:textFill>
        </w:rPr>
        <w:t>中标人的投标书所报的项目管理班子人员（项目经理、技术负责人、施工员、质量员、安全员等）必须是</w:t>
      </w:r>
      <w:bookmarkStart w:id="383" w:name="_Hlt66261069"/>
      <w:bookmarkEnd w:id="383"/>
      <w:r>
        <w:rPr>
          <w:rFonts w:asciiTheme="minorEastAsia" w:hAnsiTheme="minorEastAsia" w:eastAsiaTheme="minorEastAsia" w:cstheme="minorEastAsia"/>
          <w:color w:val="000000" w:themeColor="text1"/>
          <w:szCs w:val="24"/>
          <w14:textFill>
            <w14:solidFill>
              <w14:schemeClr w14:val="tx1"/>
            </w14:solidFill>
          </w14:textFill>
        </w:rPr>
        <w:t>中标后实际的项目管理班子人员，否则招标人有权终止合同。</w:t>
      </w:r>
    </w:p>
    <w:p w14:paraId="56679DD5">
      <w:pPr>
        <w:pStyle w:val="7"/>
        <w:spacing w:line="360" w:lineRule="auto"/>
        <w:ind w:firstLine="48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snapToGrid w:val="0"/>
          <w:color w:val="000000" w:themeColor="text1"/>
          <w:kern w:val="0"/>
          <w:sz w:val="24"/>
          <w:szCs w:val="24"/>
          <w14:textFill>
            <w14:solidFill>
              <w14:schemeClr w14:val="tx1"/>
            </w14:solidFill>
          </w14:textFill>
        </w:rPr>
        <w:t>根据项目实施进度情况，招标人有权要求中标人增派项目管理人员，以满足项目的现场管理工作要求。</w:t>
      </w:r>
    </w:p>
    <w:p w14:paraId="601ECF6A">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3.7  </w:t>
      </w:r>
      <w:r>
        <w:rPr>
          <w:rFonts w:asciiTheme="minorEastAsia" w:hAnsiTheme="minorEastAsia" w:eastAsiaTheme="minorEastAsia" w:cstheme="minorEastAsia"/>
          <w:color w:val="000000" w:themeColor="text1"/>
          <w:szCs w:val="24"/>
          <w14:textFill>
            <w14:solidFill>
              <w14:schemeClr w14:val="tx1"/>
            </w14:solidFill>
          </w14:textFill>
        </w:rPr>
        <w:t>项目竣工验收合格后三十个工作日内必须向招标人提供一式八份符合韶关市及新丰县城市建设档案馆要求的工程竣工档案（含纸质、声像及电子等形式的档案），声像及电子档案的制作费用由中标人承担。</w:t>
      </w:r>
    </w:p>
    <w:p w14:paraId="190809F3">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3.8  </w:t>
      </w:r>
      <w:r>
        <w:rPr>
          <w:rFonts w:asciiTheme="minorEastAsia" w:hAnsiTheme="minorEastAsia" w:eastAsiaTheme="minorEastAsia" w:cstheme="minorEastAsia"/>
          <w:color w:val="000000" w:themeColor="text1"/>
          <w:szCs w:val="24"/>
          <w14:textFill>
            <w14:solidFill>
              <w14:schemeClr w14:val="tx1"/>
            </w14:solidFill>
          </w14:textFill>
        </w:rPr>
        <w:t>合同范围内的工程项目未经招标人同意一律不得分包，一经发现，取消中标人的承包资格，中标人承担由此引起的一切责任和经济损失。</w:t>
      </w:r>
    </w:p>
    <w:p w14:paraId="64726D17">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3.9  </w:t>
      </w:r>
      <w:r>
        <w:rPr>
          <w:rFonts w:asciiTheme="minorEastAsia" w:hAnsiTheme="minorEastAsia" w:eastAsiaTheme="minorEastAsia" w:cstheme="minorEastAsia"/>
          <w:color w:val="000000" w:themeColor="text1"/>
          <w:szCs w:val="24"/>
          <w14:textFill>
            <w14:solidFill>
              <w14:schemeClr w14:val="tx1"/>
            </w14:solidFill>
          </w14:textFill>
        </w:rPr>
        <w:t>现场应自设检验实验室，用于对建筑材料、构件和建筑物进行一般性鉴定、检查等。</w:t>
      </w:r>
    </w:p>
    <w:p w14:paraId="14D005F1">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3.10  </w:t>
      </w:r>
      <w:r>
        <w:rPr>
          <w:rFonts w:asciiTheme="minorEastAsia" w:hAnsiTheme="minorEastAsia" w:eastAsiaTheme="minorEastAsia" w:cstheme="minorEastAsia"/>
          <w:color w:val="000000" w:themeColor="text1"/>
          <w:szCs w:val="24"/>
          <w14:textFill>
            <w14:solidFill>
              <w14:schemeClr w14:val="tx1"/>
            </w14:solidFill>
          </w14:textFill>
        </w:rPr>
        <w:t>中标人须服从工程监理单位对工程质量全方位的监理，施工中的年度计划、季度计划、月度计划、施工方案等应报送监理单位审批和招标人备案。施工中的质量保证等资料均应及时报送监理单位和招标人备案。</w:t>
      </w:r>
    </w:p>
    <w:p w14:paraId="0B80A853">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3.11  </w:t>
      </w:r>
      <w:r>
        <w:rPr>
          <w:rFonts w:asciiTheme="minorEastAsia" w:hAnsiTheme="minorEastAsia" w:eastAsiaTheme="minorEastAsia" w:cstheme="minorEastAsia"/>
          <w:color w:val="000000" w:themeColor="text1"/>
          <w:szCs w:val="24"/>
          <w14:textFill>
            <w14:solidFill>
              <w14:schemeClr w14:val="tx1"/>
            </w14:solidFill>
          </w14:textFill>
        </w:rPr>
        <w:t>招标文件、招标答疑书、投标文件和中标通知书是招标人与中标人双方签订的施工合同的主要组成部分，并与合同一样，具有相同的法律效力。</w:t>
      </w:r>
      <w:bookmarkStart w:id="384" w:name="_Hlt66508904"/>
      <w:bookmarkEnd w:id="384"/>
      <w:r>
        <w:rPr>
          <w:rFonts w:asciiTheme="minorEastAsia" w:hAnsiTheme="minorEastAsia" w:eastAsiaTheme="minorEastAsia" w:cstheme="minorEastAsia"/>
          <w:color w:val="000000" w:themeColor="text1"/>
          <w:szCs w:val="24"/>
          <w14:textFill>
            <w14:solidFill>
              <w14:schemeClr w14:val="tx1"/>
            </w14:solidFill>
          </w14:textFill>
        </w:rPr>
        <w:t>如中标通知书发出后，发现中标人的投标文件中有与招标文件所述内容及要求不符的，按招标文件执行。</w:t>
      </w:r>
    </w:p>
    <w:p w14:paraId="61C62D5A">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3.12  </w:t>
      </w:r>
      <w:r>
        <w:rPr>
          <w:rFonts w:asciiTheme="minorEastAsia" w:hAnsiTheme="minorEastAsia" w:eastAsiaTheme="minorEastAsia" w:cstheme="minorEastAsia"/>
          <w:color w:val="000000" w:themeColor="text1"/>
          <w:szCs w:val="24"/>
          <w14:textFill>
            <w14:solidFill>
              <w14:schemeClr w14:val="tx1"/>
            </w14:solidFill>
          </w14:textFill>
        </w:rPr>
        <w:t>中标人中标之后，若招标范围内有专业工程必须分包的，招标人不另行支付总包服务费；其分包合同由中标人与分包人双方签订，招标人不参与中标人与分包人之间的结算，该部分工程的造价仍按中标人与招标人签订的合同的有关结算条款进行结算。</w:t>
      </w:r>
    </w:p>
    <w:p w14:paraId="0AC6AE30">
      <w:pPr>
        <w:spacing w:line="360" w:lineRule="auto"/>
        <w:ind w:firstLine="354"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3.13  </w:t>
      </w:r>
      <w:r>
        <w:rPr>
          <w:rFonts w:asciiTheme="minorEastAsia" w:hAnsiTheme="minorEastAsia" w:eastAsiaTheme="minorEastAsia" w:cstheme="minorEastAsia"/>
          <w:color w:val="000000" w:themeColor="text1"/>
          <w:szCs w:val="24"/>
          <w14:textFill>
            <w14:solidFill>
              <w14:schemeClr w14:val="tx1"/>
            </w14:solidFill>
          </w14:textFill>
        </w:rPr>
        <w:t>若设计超过了限额标准，中标人必须无条件优化，直至达到限额要求为止，设计及施工工期不予以顺延，招标人不再支付由此而增加的设计费。</w:t>
      </w:r>
    </w:p>
    <w:p w14:paraId="03152EC6">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3.14  </w:t>
      </w:r>
      <w:r>
        <w:rPr>
          <w:rFonts w:asciiTheme="minorEastAsia" w:hAnsiTheme="minorEastAsia" w:eastAsiaTheme="minorEastAsia" w:cstheme="minorEastAsia"/>
          <w:color w:val="000000" w:themeColor="text1"/>
          <w:szCs w:val="24"/>
          <w14:textFill>
            <w14:solidFill>
              <w14:schemeClr w14:val="tx1"/>
            </w14:solidFill>
          </w14:textFill>
        </w:rPr>
        <w:t>中标人提交的施工图阶段的设计成果必须经招标人组织的专家委员会评审确认后，再送有资质的审图单位的进行审查，若由于专家委员会和审图单位在审查过程中提出的设计修改或变更，中标人必须无条件进行修改或优化设计，招标人不再支付由此而增加的设计费用。</w:t>
      </w:r>
    </w:p>
    <w:p w14:paraId="5EB01268">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3.15 </w:t>
      </w:r>
      <w:r>
        <w:rPr>
          <w:rFonts w:asciiTheme="minorEastAsia" w:hAnsiTheme="minorEastAsia" w:eastAsiaTheme="minorEastAsia" w:cstheme="minorEastAsia"/>
          <w:color w:val="000000" w:themeColor="text1"/>
          <w:szCs w:val="24"/>
          <w14:textFill>
            <w14:solidFill>
              <w14:schemeClr w14:val="tx1"/>
            </w14:solidFill>
          </w14:textFill>
        </w:rPr>
        <w:t>增加工程造价在施工14天前中标人必须提供详细的报价书（含工程项目名称、变更部位、理由、预计造价等）给监理单位核实并报招标人或有关审核部门核定后，方可施工。</w:t>
      </w:r>
    </w:p>
    <w:p w14:paraId="23BF0DA1">
      <w:pPr>
        <w:spacing w:line="360" w:lineRule="auto"/>
        <w:ind w:firstLine="354"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3.16 </w:t>
      </w:r>
      <w:r>
        <w:rPr>
          <w:rFonts w:asciiTheme="minorEastAsia" w:hAnsiTheme="minorEastAsia" w:eastAsiaTheme="minorEastAsia" w:cstheme="minorEastAsia"/>
          <w:color w:val="000000" w:themeColor="text1"/>
          <w:szCs w:val="24"/>
          <w14:textFill>
            <w14:solidFill>
              <w14:schemeClr w14:val="tx1"/>
            </w14:solidFill>
          </w14:textFill>
        </w:rPr>
        <w:t xml:space="preserve"> 中标人中标后，必须按规定到韶关市公共资源交易中心办理相关手续方可领取中标通知书。</w:t>
      </w:r>
    </w:p>
    <w:p w14:paraId="737AAEE7">
      <w:pPr>
        <w:spacing w:line="360" w:lineRule="auto"/>
        <w:ind w:firstLine="354"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3.17 </w:t>
      </w:r>
      <w:r>
        <w:rPr>
          <w:rFonts w:asciiTheme="minorEastAsia" w:hAnsiTheme="minorEastAsia" w:eastAsiaTheme="minorEastAsia" w:cstheme="minorEastAsia"/>
          <w:color w:val="000000" w:themeColor="text1"/>
          <w:szCs w:val="24"/>
          <w14:textFill>
            <w14:solidFill>
              <w14:schemeClr w14:val="tx1"/>
            </w14:solidFill>
          </w14:textFill>
        </w:rPr>
        <w:t>中标人中标后必须按招标人的要求采购材料及设备。</w:t>
      </w:r>
    </w:p>
    <w:p w14:paraId="4494D6D1">
      <w:pPr>
        <w:spacing w:line="360" w:lineRule="auto"/>
        <w:ind w:firstLine="354" w:firstLineChars="147"/>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 xml:space="preserve"> 3.18 </w:t>
      </w:r>
      <w:r>
        <w:rPr>
          <w:rFonts w:asciiTheme="minorEastAsia" w:hAnsiTheme="minorEastAsia" w:eastAsiaTheme="minorEastAsia" w:cstheme="minorEastAsia"/>
          <w:b/>
          <w:bCs/>
          <w:color w:val="000000" w:themeColor="text1"/>
          <w:szCs w:val="24"/>
          <w14:textFill>
            <w14:solidFill>
              <w14:schemeClr w14:val="tx1"/>
            </w14:solidFill>
          </w14:textFill>
        </w:rPr>
        <w:t>中标通知书发出后，中标方应在30个日历天内缴工人工资保证金、意外伤害险等。</w:t>
      </w:r>
    </w:p>
    <w:p w14:paraId="1D01F65B">
      <w:pPr>
        <w:wordWrap w:val="0"/>
        <w:adjustRightInd w:val="0"/>
        <w:snapToGrid w:val="0"/>
        <w:spacing w:line="360" w:lineRule="auto"/>
        <w:ind w:firstLine="482" w:firstLineChars="200"/>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中标人必须在项目开工前，在项目所在地银行</w:t>
      </w:r>
      <w:r>
        <w:rPr>
          <w:rFonts w:asciiTheme="minorEastAsia" w:hAnsiTheme="minorEastAsia" w:eastAsiaTheme="minorEastAsia" w:cstheme="minorEastAsia"/>
          <w:b/>
          <w:bCs/>
          <w:color w:val="000000" w:themeColor="text1"/>
          <w:szCs w:val="24"/>
          <w14:textFill>
            <w14:solidFill>
              <w14:schemeClr w14:val="tx1"/>
            </w14:solidFill>
          </w14:textFill>
        </w:rPr>
        <w:t>设立工人工资支付专用账户和安全文明施工措施费专用帐户</w:t>
      </w:r>
      <w:r>
        <w:rPr>
          <w:rFonts w:asciiTheme="minorEastAsia" w:hAnsiTheme="minorEastAsia" w:eastAsiaTheme="minorEastAsia" w:cstheme="minorEastAsia"/>
          <w:b/>
          <w:bCs/>
          <w:snapToGrid w:val="0"/>
          <w:color w:val="000000" w:themeColor="text1"/>
          <w:kern w:val="0"/>
          <w14:textFill>
            <w14:solidFill>
              <w14:schemeClr w14:val="tx1"/>
            </w14:solidFill>
          </w14:textFill>
        </w:rPr>
        <w:t>，</w:t>
      </w: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中标人应在工资专户开立后2个工作日内，将开户银行及其账号、开户协议等资料提交给招标人。</w:t>
      </w:r>
    </w:p>
    <w:p w14:paraId="6F54C025">
      <w:pPr>
        <w:spacing w:line="360" w:lineRule="auto"/>
        <w:ind w:firstLine="354" w:firstLineChars="147"/>
        <w:rPr>
          <w:rFonts w:asciiTheme="minorEastAsia" w:hAnsiTheme="minorEastAsia" w:eastAsiaTheme="minorEastAsia" w:cstheme="minorEastAsia"/>
          <w:b/>
          <w:bCs/>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中标人应建立劳动用工管理台账，并按月将工人工资支付明细表报招标人备案。若中标人拖延按工期延误处理，拖延一天，则计算工期延误一天。</w:t>
      </w:r>
    </w:p>
    <w:p w14:paraId="215C4966">
      <w:pPr>
        <w:wordWrap w:val="0"/>
        <w:adjustRightInd w:val="0"/>
        <w:snapToGrid w:val="0"/>
        <w:spacing w:line="360" w:lineRule="auto"/>
        <w:ind w:firstLine="482" w:firstLineChars="200"/>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中标人必须按相关规定做好用工实名制管理，建立考勤机制，并实施实名信息化管理。</w:t>
      </w:r>
    </w:p>
    <w:p w14:paraId="6C788E91">
      <w:pPr>
        <w:spacing w:line="360" w:lineRule="auto"/>
        <w:ind w:firstLine="354"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3.19</w:t>
      </w:r>
      <w:r>
        <w:rPr>
          <w:rFonts w:asciiTheme="minorEastAsia" w:hAnsiTheme="minorEastAsia" w:eastAsiaTheme="minorEastAsia" w:cstheme="minorEastAsia"/>
          <w:color w:val="000000" w:themeColor="text1"/>
          <w:szCs w:val="24"/>
          <w14:textFill>
            <w14:solidFill>
              <w14:schemeClr w14:val="tx1"/>
            </w14:solidFill>
          </w14:textFill>
        </w:rPr>
        <w:t xml:space="preserve"> 本项目各个阶段的设计成果必须经招标人及有关审批部门同意后方可进行下一工序的设计工作，若招标人或有关审批部门在审批过程中提出的设计修改或变更，中标人必须无条件进行修改或变更，招标人不再支付由此而增加的设计费用。</w:t>
      </w:r>
    </w:p>
    <w:p w14:paraId="68023993">
      <w:pPr>
        <w:spacing w:line="360" w:lineRule="auto"/>
        <w:ind w:firstLine="482" w:firstLineChars="200"/>
        <w:rPr>
          <w:rFonts w:asciiTheme="minorEastAsia" w:hAnsiTheme="minorEastAsia" w:eastAsiaTheme="minorEastAsia" w:cstheme="minorEastAsia"/>
          <w:b/>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 xml:space="preserve">3.20 </w:t>
      </w:r>
      <w:r>
        <w:rPr>
          <w:rFonts w:asciiTheme="minorEastAsia" w:hAnsiTheme="minorEastAsia" w:eastAsiaTheme="minorEastAsia" w:cstheme="minorEastAsia"/>
          <w:b/>
          <w:color w:val="000000" w:themeColor="text1"/>
          <w:szCs w:val="24"/>
          <w14:textFill>
            <w14:solidFill>
              <w14:schemeClr w14:val="tx1"/>
            </w14:solidFill>
          </w14:textFill>
        </w:rPr>
        <w:t>若中标人自中标通知书发出之日起20个工作日内仍未提供履约担保的，视同中标单位自动放弃中标资格，招标人通报建设行政主管部门后有权另行选择中标人。</w:t>
      </w:r>
    </w:p>
    <w:p w14:paraId="3867A1A2">
      <w:pPr>
        <w:spacing w:line="360" w:lineRule="auto"/>
        <w:ind w:firstLine="482" w:firstLineChars="200"/>
        <w:rPr>
          <w:rFonts w:asciiTheme="minorEastAsia" w:hAnsiTheme="minorEastAsia" w:eastAsiaTheme="minorEastAsia" w:cstheme="minorEastAsia"/>
          <w:b/>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 xml:space="preserve">3.21 </w:t>
      </w:r>
      <w:r>
        <w:rPr>
          <w:rFonts w:asciiTheme="minorEastAsia" w:hAnsiTheme="minorEastAsia" w:eastAsiaTheme="minorEastAsia" w:cstheme="minorEastAsia"/>
          <w:b/>
          <w:color w:val="000000" w:themeColor="text1"/>
          <w:szCs w:val="24"/>
          <w14:textFill>
            <w14:solidFill>
              <w14:schemeClr w14:val="tx1"/>
            </w14:solidFill>
          </w14:textFill>
        </w:rPr>
        <w:t>若中标人自中标通知书发出之日起30天内仍未签订合同，视同中标人自动放弃中标权利，招标人通报建设行政主管部门后有权另行选择中标人。</w:t>
      </w:r>
    </w:p>
    <w:p w14:paraId="7AB08689">
      <w:pPr>
        <w:pStyle w:val="34"/>
        <w:ind w:firstLine="482" w:firstLineChars="200"/>
        <w:rPr>
          <w:rFonts w:hint="eastAsia" w:asciiTheme="minorEastAsia" w:hAnsiTheme="minorEastAsia" w:eastAsiaTheme="minorEastAsia" w:cstheme="minorEastAsia"/>
          <w:b/>
          <w:color w:val="000000" w:themeColor="text1"/>
          <w14:textFill>
            <w14:solidFill>
              <w14:schemeClr w14:val="tx1"/>
            </w14:solidFill>
          </w14:textFill>
        </w:rPr>
      </w:pPr>
      <w:r>
        <w:rPr>
          <w:rFonts w:hint="eastAsia" w:asciiTheme="minorEastAsia" w:hAnsiTheme="minorEastAsia" w:eastAsiaTheme="minorEastAsia" w:cstheme="minorEastAsia"/>
          <w:b/>
          <w:color w:val="000000" w:themeColor="text1"/>
          <w14:textFill>
            <w14:solidFill>
              <w14:schemeClr w14:val="tx1"/>
            </w14:solidFill>
          </w14:textFill>
        </w:rPr>
        <w:t>3.22 中标人应按招标人确认后的主要材料的规格、颜色要求采购。如变更规格或颜色，必须经招标人、业主同意，并报有关审核部门重新核定单价后方可采购，并相应调整工程造价。主要材料必须先提供样板或有关资料给招标人、业主确定其规格、颜色、等级等，然后方可使用。</w:t>
      </w:r>
    </w:p>
    <w:p w14:paraId="612628EF">
      <w:pPr>
        <w:snapToGrid w:val="0"/>
        <w:spacing w:line="360" w:lineRule="auto"/>
        <w:ind w:firstLine="472" w:firstLineChars="196"/>
        <w:rPr>
          <w:rFonts w:asciiTheme="minorEastAsia" w:hAnsiTheme="minorEastAsia" w:eastAsiaTheme="minorEastAsia" w:cstheme="minorEastAsia"/>
          <w:b/>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14:textFill>
            <w14:solidFill>
              <w14:schemeClr w14:val="tx1"/>
            </w14:solidFill>
          </w14:textFill>
        </w:rPr>
        <w:t xml:space="preserve"> 3.23 </w:t>
      </w:r>
      <w:r>
        <w:rPr>
          <w:rFonts w:asciiTheme="minorEastAsia" w:hAnsiTheme="minorEastAsia" w:eastAsiaTheme="minorEastAsia" w:cstheme="minorEastAsia"/>
          <w:b/>
          <w:color w:val="000000" w:themeColor="text1"/>
          <w:szCs w:val="24"/>
          <w14:textFill>
            <w14:solidFill>
              <w14:schemeClr w14:val="tx1"/>
            </w14:solidFill>
          </w14:textFill>
        </w:rPr>
        <w:t>根据《</w:t>
      </w:r>
      <w:r>
        <w:rPr>
          <w:rFonts w:asciiTheme="minorEastAsia" w:hAnsiTheme="minorEastAsia" w:eastAsiaTheme="minorEastAsia" w:cstheme="minorEastAsia"/>
          <w:b/>
          <w:bCs/>
          <w:color w:val="000000" w:themeColor="text1"/>
          <w:szCs w:val="24"/>
          <w14:textFill>
            <w14:solidFill>
              <w14:schemeClr w14:val="tx1"/>
            </w14:solidFill>
          </w14:textFill>
        </w:rPr>
        <w:t>印发〈广东省住房和城乡建设厅 广东省发展改革委关于房屋建筑和市政基础设施工程建设项目招标投标全过程信息公开的管理规定〉的通知</w:t>
      </w:r>
      <w:r>
        <w:rPr>
          <w:rFonts w:asciiTheme="minorEastAsia" w:hAnsiTheme="minorEastAsia" w:eastAsiaTheme="minorEastAsia" w:cstheme="minorEastAsia"/>
          <w:b/>
          <w:color w:val="000000" w:themeColor="text1"/>
          <w:szCs w:val="24"/>
          <w14:textFill>
            <w14:solidFill>
              <w14:schemeClr w14:val="tx1"/>
            </w14:solidFill>
          </w14:textFill>
        </w:rPr>
        <w:t>》（粤建规范〔2018〕6号）文件精神，产生中标候选人后，招标人应将中标候选人投标文件商务部分除涉及商业秘密的其他资料在广东省招标投标监管网</w:t>
      </w:r>
      <w:r>
        <w:rPr>
          <w:rFonts w:asciiTheme="minorEastAsia" w:hAnsiTheme="minorEastAsia" w:eastAsiaTheme="minorEastAsia" w:cstheme="minorEastAsia"/>
          <w:b/>
          <w:bCs/>
          <w:color w:val="000000" w:themeColor="text1"/>
          <w:kern w:val="0"/>
          <w:szCs w:val="24"/>
          <w14:textFill>
            <w14:solidFill>
              <w14:schemeClr w14:val="tx1"/>
            </w14:solidFill>
          </w14:textFill>
        </w:rPr>
        <w:t>、广东省公共资源交易平台（韶关市）</w:t>
      </w:r>
      <w:r>
        <w:rPr>
          <w:rFonts w:asciiTheme="minorEastAsia" w:hAnsiTheme="minorEastAsia" w:eastAsiaTheme="minorEastAsia" w:cstheme="minorEastAsia"/>
          <w:b/>
          <w:color w:val="000000" w:themeColor="text1"/>
          <w:szCs w:val="24"/>
          <w14:textFill>
            <w14:solidFill>
              <w14:schemeClr w14:val="tx1"/>
            </w14:solidFill>
          </w14:textFill>
        </w:rPr>
        <w:t>公示，公示期不得少于3日。</w:t>
      </w:r>
    </w:p>
    <w:p w14:paraId="0FFD39B6">
      <w:pPr>
        <w:snapToGrid w:val="0"/>
        <w:spacing w:line="360" w:lineRule="auto"/>
        <w:ind w:firstLine="560"/>
        <w:rPr>
          <w:rFonts w:asciiTheme="minorEastAsia" w:hAnsiTheme="minorEastAsia" w:eastAsiaTheme="minorEastAsia" w:cstheme="minorEastAsia"/>
          <w:b/>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招标人应当在发出中标通知书15日内，将中标结果依法在广东省招标投标监管网、</w:t>
      </w:r>
      <w:r>
        <w:rPr>
          <w:rFonts w:asciiTheme="minorEastAsia" w:hAnsiTheme="minorEastAsia" w:eastAsiaTheme="minorEastAsia" w:cstheme="minorEastAsia"/>
          <w:b/>
          <w:bCs/>
          <w:color w:val="000000" w:themeColor="text1"/>
          <w:kern w:val="0"/>
          <w:szCs w:val="24"/>
          <w14:textFill>
            <w14:solidFill>
              <w14:schemeClr w14:val="tx1"/>
            </w14:solidFill>
          </w14:textFill>
        </w:rPr>
        <w:t>广东省公共资源交易平台（韶关市）</w:t>
      </w:r>
      <w:r>
        <w:rPr>
          <w:rFonts w:asciiTheme="minorEastAsia" w:hAnsiTheme="minorEastAsia" w:eastAsiaTheme="minorEastAsia" w:cstheme="minorEastAsia"/>
          <w:b/>
          <w:color w:val="000000" w:themeColor="text1"/>
          <w:szCs w:val="24"/>
          <w14:textFill>
            <w14:solidFill>
              <w14:schemeClr w14:val="tx1"/>
            </w14:solidFill>
          </w14:textFill>
        </w:rPr>
        <w:t>公示。</w:t>
      </w:r>
    </w:p>
    <w:p w14:paraId="009BA947">
      <w:pPr>
        <w:pStyle w:val="34"/>
        <w:ind w:firstLine="590" w:firstLineChars="245"/>
        <w:rPr>
          <w:rFonts w:hint="eastAsia" w:asciiTheme="minorEastAsia" w:hAnsiTheme="minorEastAsia" w:eastAsiaTheme="minorEastAsia" w:cstheme="minorEastAsia"/>
          <w:b/>
          <w:color w:val="000000" w:themeColor="text1"/>
          <w14:textFill>
            <w14:solidFill>
              <w14:schemeClr w14:val="tx1"/>
            </w14:solidFill>
          </w14:textFill>
        </w:rPr>
      </w:pPr>
      <w:r>
        <w:rPr>
          <w:rFonts w:hint="eastAsia" w:asciiTheme="minorEastAsia" w:hAnsiTheme="minorEastAsia" w:eastAsiaTheme="minorEastAsia" w:cstheme="minorEastAsia"/>
          <w:b/>
          <w:color w:val="000000" w:themeColor="text1"/>
          <w:szCs w:val="24"/>
          <w14:textFill>
            <w14:solidFill>
              <w14:schemeClr w14:val="tx1"/>
            </w14:solidFill>
          </w14:textFill>
        </w:rPr>
        <w:t xml:space="preserve">如果其他投标人或其他利害关系人对公示内容有异议，一经查实有虚假内容等违法违规情况的，将取消其中标候选人资格，并由招投标监管部门按有关规定处理。 </w:t>
      </w:r>
    </w:p>
    <w:p w14:paraId="6EB9B812">
      <w:pPr>
        <w:spacing w:line="360" w:lineRule="auto"/>
        <w:ind w:firstLine="352"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3.24中标人须按韶关市、新丰县关于建筑垃圾运输、建筑渣土管理和扬尘治理等有关规定执行。</w:t>
      </w:r>
    </w:p>
    <w:p w14:paraId="65D77BFB">
      <w:pPr>
        <w:spacing w:line="360" w:lineRule="auto"/>
        <w:ind w:firstLine="352"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3.25中标人须按相关规定要求，设置本工程符合相关要求的永久性标牌及规划公示牌，投标人在投标报价时综合考虑在报价内，招标人不另行支付该部分费用。</w:t>
      </w:r>
    </w:p>
    <w:p w14:paraId="16BC31B7">
      <w:pPr>
        <w:spacing w:line="360" w:lineRule="auto"/>
        <w:ind w:firstLine="352"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3.26中标人须服从招标人的项目管理方式；中标人须无条件组织施工班组按招标人提供的管理软件（如有）及管理流程进行施工管理。</w:t>
      </w:r>
    </w:p>
    <w:p w14:paraId="4CCBF1AD">
      <w:pPr>
        <w:pStyle w:val="7"/>
        <w:spacing w:line="360" w:lineRule="auto"/>
        <w:ind w:firstLine="482" w:firstLineChars="200"/>
        <w:rPr>
          <w:rFonts w:hint="eastAsia" w:asciiTheme="minorEastAsia" w:hAnsiTheme="minorEastAsia" w:eastAsiaTheme="minorEastAsia" w:cstheme="minorEastAsia"/>
          <w:b/>
          <w:color w:val="000000" w:themeColor="text1"/>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中标</w:t>
      </w:r>
      <w:r>
        <w:rPr>
          <w:rFonts w:hint="eastAsia" w:asciiTheme="minorEastAsia" w:hAnsiTheme="minorEastAsia" w:eastAsiaTheme="minorEastAsia" w:cstheme="minorEastAsia"/>
          <w:b/>
          <w:snapToGrid w:val="0"/>
          <w:color w:val="000000" w:themeColor="text1"/>
          <w:sz w:val="24"/>
          <w:szCs w:val="24"/>
          <w14:textFill>
            <w14:solidFill>
              <w14:schemeClr w14:val="tx1"/>
            </w14:solidFill>
          </w14:textFill>
        </w:rPr>
        <w:t>人应根据施工任务做好工期分析工作，按工期节点要求进行人料机的安排，及时根据计划的实施情况调整人料机的投入。</w:t>
      </w:r>
      <w:r>
        <w:rPr>
          <w:rFonts w:hint="eastAsia" w:asciiTheme="minorEastAsia" w:hAnsiTheme="minorEastAsia" w:eastAsiaTheme="minorEastAsia" w:cstheme="minorEastAsia"/>
          <w:b/>
          <w:color w:val="000000" w:themeColor="text1"/>
          <w:sz w:val="24"/>
          <w:szCs w:val="24"/>
          <w14:textFill>
            <w14:solidFill>
              <w14:schemeClr w14:val="tx1"/>
            </w14:solidFill>
          </w14:textFill>
        </w:rPr>
        <w:t>中标</w:t>
      </w:r>
      <w:r>
        <w:rPr>
          <w:rFonts w:hint="eastAsia" w:asciiTheme="minorEastAsia" w:hAnsiTheme="minorEastAsia" w:eastAsiaTheme="minorEastAsia" w:cstheme="minorEastAsia"/>
          <w:b/>
          <w:snapToGrid w:val="0"/>
          <w:color w:val="000000" w:themeColor="text1"/>
          <w:sz w:val="24"/>
          <w:szCs w:val="24"/>
          <w14:textFill>
            <w14:solidFill>
              <w14:schemeClr w14:val="tx1"/>
            </w14:solidFill>
          </w14:textFill>
        </w:rPr>
        <w:t>人作为总承包单位，应合理安排施工工作，统筹各专业单位（如有）的工作界面，不得影响施工进度。</w:t>
      </w:r>
      <w:r>
        <w:rPr>
          <w:rFonts w:hint="eastAsia" w:asciiTheme="minorEastAsia" w:hAnsiTheme="minorEastAsia" w:eastAsiaTheme="minorEastAsia" w:cstheme="minorEastAsia"/>
          <w:b/>
          <w:color w:val="000000" w:themeColor="text1"/>
          <w:sz w:val="24"/>
          <w:szCs w:val="24"/>
          <w14:textFill>
            <w14:solidFill>
              <w14:schemeClr w14:val="tx1"/>
            </w14:solidFill>
          </w14:textFill>
        </w:rPr>
        <w:t>中标</w:t>
      </w:r>
      <w:r>
        <w:rPr>
          <w:rFonts w:hint="eastAsia" w:asciiTheme="minorEastAsia" w:hAnsiTheme="minorEastAsia" w:eastAsiaTheme="minorEastAsia" w:cstheme="minorEastAsia"/>
          <w:b/>
          <w:snapToGrid w:val="0"/>
          <w:color w:val="000000" w:themeColor="text1"/>
          <w:sz w:val="24"/>
          <w:szCs w:val="24"/>
          <w14:textFill>
            <w14:solidFill>
              <w14:schemeClr w14:val="tx1"/>
            </w14:solidFill>
          </w14:textFill>
        </w:rPr>
        <w:t>人应根据工作面的变化情况及工程进度要求，合理增配人员及施工机械设备。</w:t>
      </w:r>
    </w:p>
    <w:p w14:paraId="47035C87">
      <w:pPr>
        <w:spacing w:line="360" w:lineRule="auto"/>
        <w:ind w:firstLine="352"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3.27施工视频监控系统必须符合韶市建字〔2014〕163号文件规定，并在投标报价中综合考虑，招标人及项目业主不再另行支付该部分费用。</w:t>
      </w:r>
    </w:p>
    <w:p w14:paraId="67018959">
      <w:pPr>
        <w:spacing w:line="360" w:lineRule="auto"/>
        <w:ind w:firstLine="420" w:firstLineChars="175"/>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开工一个月内必须按相关规定和要求安装视频监控系统，并接入相关部门监控系统，如未按时安装视频监控系统，发包人有权在措施费中扣除相关费用。</w:t>
      </w:r>
    </w:p>
    <w:p w14:paraId="40FF0129">
      <w:pPr>
        <w:spacing w:line="360" w:lineRule="auto"/>
        <w:ind w:firstLine="354"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14:textFill>
            <w14:solidFill>
              <w14:schemeClr w14:val="tx1"/>
            </w14:solidFill>
          </w14:textFill>
        </w:rPr>
        <w:t>3.28</w:t>
      </w:r>
      <w:r>
        <w:rPr>
          <w:rFonts w:asciiTheme="minorEastAsia" w:hAnsiTheme="minorEastAsia" w:eastAsiaTheme="minorEastAsia" w:cstheme="minorEastAsia"/>
          <w:color w:val="000000" w:themeColor="text1"/>
          <w:szCs w:val="24"/>
          <w14:textFill>
            <w14:solidFill>
              <w14:schemeClr w14:val="tx1"/>
            </w14:solidFill>
          </w14:textFill>
        </w:rPr>
        <w:t>中标人应已详细了解本项目的前期工作（包括征地拆迁），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包括征地拆迁）及现场情况为理由，提出因外界因素造成停工或工期延误的额外付款要求；对此类要求，招标人不作任何考虑及答复。</w:t>
      </w:r>
    </w:p>
    <w:p w14:paraId="11DC55F8">
      <w:pPr>
        <w:spacing w:line="360" w:lineRule="auto"/>
        <w:ind w:firstLine="352" w:firstLineChars="147"/>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如因招标人原因（自然灾害等不可抗力因素除外），工程不能按期开工，或开工后全部停滞，工期按相关规定予以顺延。停工发生后，若可复工时，中标人应在收到招标人发出的复工通知书后3日内开始复工。</w:t>
      </w:r>
    </w:p>
    <w:p w14:paraId="4CDAB6ED">
      <w:pPr>
        <w:spacing w:line="360" w:lineRule="auto"/>
        <w:ind w:firstLine="560"/>
        <w:rPr>
          <w:rFonts w:asciiTheme="minorEastAsia" w:hAnsiTheme="minorEastAsia" w:eastAsiaTheme="minorEastAsia" w:cstheme="minorEastAsia"/>
          <w:b/>
          <w:color w:val="000000" w:themeColor="text1"/>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3.29</w:t>
      </w:r>
      <w:r>
        <w:rPr>
          <w:rFonts w:asciiTheme="minorEastAsia" w:hAnsiTheme="minorEastAsia" w:eastAsiaTheme="minorEastAsia" w:cstheme="minorEastAsia"/>
          <w:b/>
          <w:color w:val="000000" w:themeColor="text1"/>
          <w14:textFill>
            <w14:solidFill>
              <w14:schemeClr w14:val="tx1"/>
            </w14:solidFill>
          </w14:textFill>
        </w:rPr>
        <w:t>中标人必须严格按有关设计规范设计图纸，中标人须秉承合理、经济、环保、适用等原则进行施工图设计，招标人有权委托第三方对中标人每阶段的设计成果文件（含节能、结构计算模型等）进行精细化审图、各专业优化工作，招标人将根据第三方出具的有关报告及优化金额对中标人进行考核。若中标人成果的建安投资与优化金额（各分项工程进行对比）误差率在3%范围内则不作违约处理（含3%），否则以优化金额的10%从设计费用中扣取违约金（违约金总额以设计费为限，扣取的违约金作为第三方的咨询费），中标人需无条件根据经招标人确认的精细化审图、结构优化报告进行设计文件修改，费用不另计。</w:t>
      </w:r>
    </w:p>
    <w:p w14:paraId="7DA885E6">
      <w:pPr>
        <w:spacing w:line="360" w:lineRule="auto"/>
        <w:rPr>
          <w:rFonts w:asciiTheme="minorEastAsia" w:hAnsiTheme="minorEastAsia" w:eastAsiaTheme="minorEastAsia" w:cstheme="minorEastAsia"/>
          <w:color w:val="000000" w:themeColor="text1"/>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 xml:space="preserve">    3.30</w:t>
      </w:r>
      <w:r>
        <w:rPr>
          <w:rFonts w:asciiTheme="minorEastAsia" w:hAnsiTheme="minorEastAsia" w:eastAsiaTheme="minorEastAsia" w:cstheme="minorEastAsia"/>
          <w:b/>
          <w:color w:val="000000" w:themeColor="text1"/>
          <w14:textFill>
            <w14:solidFill>
              <w14:schemeClr w14:val="tx1"/>
            </w14:solidFill>
          </w14:textFill>
        </w:rPr>
        <w:t>中标人须在收到初步设计文件之日起三天内无条件对初步设计文件进行审核，如发现遗漏或错误，须向招标人提出书面报告。</w:t>
      </w:r>
    </w:p>
    <w:p w14:paraId="4525C6A9">
      <w:pPr>
        <w:spacing w:line="360" w:lineRule="auto"/>
        <w:rPr>
          <w:rFonts w:asciiTheme="minorEastAsia" w:hAnsiTheme="minorEastAsia" w:eastAsiaTheme="minorEastAsia" w:cstheme="minorEastAsia"/>
          <w:b/>
          <w:color w:val="000000" w:themeColor="text1"/>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 xml:space="preserve">    3.31</w:t>
      </w:r>
      <w:r>
        <w:rPr>
          <w:rFonts w:asciiTheme="minorEastAsia" w:hAnsiTheme="minorEastAsia" w:eastAsiaTheme="minorEastAsia" w:cstheme="minorEastAsia"/>
          <w:b/>
          <w:color w:val="000000" w:themeColor="text1"/>
          <w14:textFill>
            <w14:solidFill>
              <w14:schemeClr w14:val="tx1"/>
            </w14:solidFill>
          </w14:textFill>
        </w:rPr>
        <w:t>中标人须在收到中标通知书之日十天内向招标人提交各阶段详细的工期计划承诺书。</w:t>
      </w:r>
    </w:p>
    <w:p w14:paraId="55430FD8">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3.32按照《广东省住房和城乡建设厅关于建设工程项目招标中标后监督检查的办法》（粤建市〔2009〕8号）和《韶关市住房和城乡建设局关于加强房屋建筑和市政基础设施工程项目招标中标后监督检查的通知》（韶市建字〔2014〕145号）等相关法律法规。中标人中标之后，工程施工项目负责人和项目管理班子其他成员必须是该工程中标时所承诺的项目管理班子成员。</w:t>
      </w:r>
    </w:p>
    <w:p w14:paraId="08C3B221">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项目管理班子成员不得擅自变更，项目管理班子成员因有粤建市〔2009〕8号第九条所述情形之一确属不能履行职责需要变更的，中标单位应向建设行政主管部门填报《建设工程项目管理班子变更情况报告表》并附上有关证明文件，经建设行政主管部门审核同意方可变更。更换后的项目经理与中标单位的投标文件所确定的项目负责人或总监理工程师的主要条件一致。</w:t>
      </w:r>
    </w:p>
    <w:p w14:paraId="56955B9A">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若中标单位有下列行为之一的，除依照有关法律、法规进行处罚外，将通过市建设与房地产信息网站予以及时曝光，并作为今后该单位参与投标的评分扣分依据直至取消投标资格。</w:t>
      </w:r>
    </w:p>
    <w:p w14:paraId="3AE804F4">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1.建设单位违反规定指定分包单位的；</w:t>
      </w:r>
    </w:p>
    <w:p w14:paraId="7212CE98">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2.施工单位转包、违法分包或违反投标承诺分包工程的；   </w:t>
      </w:r>
    </w:p>
    <w:p w14:paraId="568C81C5">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3.非原参加投标中标的项目经理负责组织施工或在实施过程违反粤建市〔2009〕8号第九条规定更换项目经理的、项目的其他主要管理人员与中标文件确定的人员不相符的；</w:t>
      </w:r>
    </w:p>
    <w:p w14:paraId="675B59C6">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4.投标文件确定的大型机械设备没有进入施工现场的；</w:t>
      </w:r>
    </w:p>
    <w:p w14:paraId="369000C2">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5.建设、监理、施工等单位串通，签认虚假工程量或工程造价的；</w:t>
      </w:r>
    </w:p>
    <w:p w14:paraId="4D79E7AB">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6.施工现场管理不到位的；</w:t>
      </w:r>
    </w:p>
    <w:p w14:paraId="58B9791D">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7.非本人资格证书登记所在的单位从事工程项目施工管理的；</w:t>
      </w:r>
    </w:p>
    <w:p w14:paraId="5E684040">
      <w:pPr>
        <w:pStyle w:val="53"/>
        <w:widowControl/>
        <w:spacing w:line="360" w:lineRule="auto"/>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    8.项目经理同时承担超过一项工程项目的；</w:t>
      </w:r>
    </w:p>
    <w:p w14:paraId="6075B49C">
      <w:pPr>
        <w:pStyle w:val="53"/>
        <w:widowControl/>
        <w:spacing w:line="360" w:lineRule="auto"/>
        <w:ind w:firstLine="480"/>
        <w:jc w:val="lef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9.违反有关法律、法规、规章规定的其它行为。</w:t>
      </w:r>
    </w:p>
    <w:p w14:paraId="1E9EAAF4">
      <w:pPr>
        <w:pStyle w:val="53"/>
        <w:widowControl/>
        <w:spacing w:line="360" w:lineRule="auto"/>
        <w:ind w:firstLine="480"/>
        <w:jc w:val="left"/>
        <w:rPr>
          <w:rFonts w:hint="eastAsia" w:asciiTheme="minorEastAsia" w:hAnsiTheme="minorEastAsia" w:eastAsiaTheme="minorEastAsia" w:cstheme="minorEastAsia"/>
          <w:b/>
          <w:color w:val="000000" w:themeColor="text1"/>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8"/>
          <w14:textFill>
            <w14:solidFill>
              <w14:schemeClr w14:val="tx1"/>
            </w14:solidFill>
          </w14:textFill>
        </w:rPr>
        <w:t>3.33依据《关于印发&lt;广东省建筑工程领域工人工资支付专用账户管理办法&gt;的通知》（粤人社规[2018]14号）文件精神，中标人必须设立工人工资支付专用账户，专门用于发放作业工人工资。</w:t>
      </w:r>
      <w:bookmarkStart w:id="385" w:name="_Hlt69698776"/>
    </w:p>
    <w:p w14:paraId="481103CB">
      <w:pPr>
        <w:pStyle w:val="34"/>
        <w:ind w:firstLine="480" w:firstLineChars="200"/>
        <w:rPr>
          <w:rFonts w:hint="eastAsia" w:asciiTheme="minorEastAsia" w:hAnsiTheme="minorEastAsia" w:eastAsiaTheme="minorEastAsia" w:cstheme="minorEastAsia"/>
          <w:bCs/>
          <w:color w:val="000000" w:themeColor="text1"/>
          <w14:textFill>
            <w14:solidFill>
              <w14:schemeClr w14:val="tx1"/>
            </w14:solidFill>
          </w14:textFill>
        </w:rPr>
      </w:pPr>
      <w:r>
        <w:rPr>
          <w:rFonts w:hint="eastAsia" w:asciiTheme="minorEastAsia" w:hAnsiTheme="minorEastAsia" w:eastAsiaTheme="minorEastAsia" w:cstheme="minorEastAsia"/>
          <w:bCs/>
          <w:color w:val="000000" w:themeColor="text1"/>
          <w14:textFill>
            <w14:solidFill>
              <w14:schemeClr w14:val="tx1"/>
            </w14:solidFill>
          </w14:textFill>
        </w:rPr>
        <w:t>根据《韶关市建设领域施工企业工人工资支付保证金管理办法》（韶人社〔2017〕133号）文件规定，中标人中标后，应在30个日历天内按承包合同工程造价5%的比例（不超过300万元）一次性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4FCB6294">
      <w:pPr>
        <w:pStyle w:val="34"/>
        <w:ind w:firstLine="482" w:firstLineChars="200"/>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b/>
          <w:color w:val="000000" w:themeColor="text1"/>
          <w:szCs w:val="24"/>
          <w14:textFill>
            <w14:solidFill>
              <w14:schemeClr w14:val="tx1"/>
            </w14:solidFill>
          </w14:textFill>
        </w:rPr>
        <w:t>3.34</w:t>
      </w:r>
      <w:r>
        <w:rPr>
          <w:rFonts w:hint="eastAsia" w:asciiTheme="minorEastAsia" w:hAnsiTheme="minorEastAsia" w:eastAsiaTheme="minorEastAsia" w:cstheme="minorEastAsia"/>
          <w:color w:val="000000" w:themeColor="text1"/>
          <w:szCs w:val="24"/>
          <w14:textFill>
            <w14:solidFill>
              <w14:schemeClr w14:val="tx1"/>
            </w14:solidFill>
          </w14:textFill>
        </w:rPr>
        <w:t>中标人在施工图设计前，要充分进行市场调查，主要材料、设备在满足设计规范及建设标准的情况下，尽量采用造价管理机构发布的信息价中有相应型号、规格的标准材料，若必须采用非标准材料的</w:t>
      </w:r>
      <w:r>
        <w:rPr>
          <w:rFonts w:hint="eastAsia" w:asciiTheme="minorEastAsia" w:hAnsiTheme="minorEastAsia" w:eastAsiaTheme="minorEastAsia" w:cstheme="minorEastAsia"/>
          <w:color w:val="000000" w:themeColor="text1"/>
          <w:sz w:val="28"/>
          <w:szCs w:val="28"/>
          <w14:textFill>
            <w14:solidFill>
              <w14:schemeClr w14:val="tx1"/>
            </w14:solidFill>
          </w14:textFill>
        </w:rPr>
        <w:t>，</w:t>
      </w:r>
      <w:r>
        <w:rPr>
          <w:rFonts w:hint="eastAsia" w:asciiTheme="minorEastAsia" w:hAnsiTheme="minorEastAsia" w:eastAsiaTheme="minorEastAsia" w:cstheme="minorEastAsia"/>
          <w:color w:val="000000" w:themeColor="text1"/>
          <w:szCs w:val="24"/>
          <w14:textFill>
            <w14:solidFill>
              <w14:schemeClr w14:val="tx1"/>
            </w14:solidFill>
          </w14:textFill>
        </w:rPr>
        <w:t>必须经招标人同意，否则参照信息价中相近且低于其标准的材料信息价作为该项材料的结算价。</w:t>
      </w:r>
    </w:p>
    <w:p w14:paraId="4891ADD1">
      <w:pPr>
        <w:pStyle w:val="34"/>
        <w:ind w:firstLine="482" w:firstLineChars="200"/>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4"/>
          <w14:textFill>
            <w14:solidFill>
              <w14:schemeClr w14:val="tx1"/>
            </w14:solidFill>
          </w14:textFill>
        </w:rPr>
        <w:t>3.35</w:t>
      </w:r>
      <w:r>
        <w:rPr>
          <w:rFonts w:hint="eastAsia" w:asciiTheme="minorEastAsia" w:hAnsiTheme="minorEastAsia" w:eastAsiaTheme="minorEastAsia" w:cstheme="minorEastAsia"/>
          <w:color w:val="000000" w:themeColor="text1"/>
          <w:szCs w:val="24"/>
          <w14:textFill>
            <w14:solidFill>
              <w14:schemeClr w14:val="tx1"/>
            </w14:solidFill>
          </w14:textFill>
        </w:rPr>
        <w:t>中标人应按招标人提供的场地出平图先行进行场地平整。</w:t>
      </w:r>
    </w:p>
    <w:p w14:paraId="17C613E7">
      <w:pPr>
        <w:pStyle w:val="34"/>
        <w:ind w:firstLine="482" w:firstLineChars="200"/>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4"/>
          <w14:textFill>
            <w14:solidFill>
              <w14:schemeClr w14:val="tx1"/>
            </w14:solidFill>
          </w14:textFill>
        </w:rPr>
        <w:t>3.36</w:t>
      </w:r>
      <w:r>
        <w:rPr>
          <w:rFonts w:hint="eastAsia" w:asciiTheme="minorEastAsia" w:hAnsiTheme="minorEastAsia" w:eastAsiaTheme="minorEastAsia" w:cstheme="minorEastAsia"/>
          <w:color w:val="000000" w:themeColor="text1"/>
          <w:szCs w:val="24"/>
          <w14:textFill>
            <w14:solidFill>
              <w14:schemeClr w14:val="tx1"/>
            </w14:solidFill>
          </w14:textFill>
        </w:rPr>
        <w:t>中标人必须根据设计施工图及现场编制施工组织设计及专项施工方案报有关部门审批。</w:t>
      </w:r>
    </w:p>
    <w:p w14:paraId="24F64AC1">
      <w:pPr>
        <w:pStyle w:val="55"/>
        <w:snapToGrid w:val="0"/>
        <w:ind w:firstLine="482" w:firstLineChars="200"/>
        <w:rPr>
          <w:rFonts w:hint="eastAsia" w:asciiTheme="minorEastAsia" w:hAnsiTheme="minorEastAsia" w:eastAsiaTheme="minorEastAsia" w:cstheme="minorEastAsia"/>
          <w:b/>
          <w:color w:val="000000" w:themeColor="text1"/>
          <w:shd w:val="clear" w:color="auto" w:fill="FFFFFF"/>
          <w14:textFill>
            <w14:solidFill>
              <w14:schemeClr w14:val="tx1"/>
            </w14:solidFill>
          </w14:textFill>
        </w:rPr>
      </w:pPr>
      <w:r>
        <w:rPr>
          <w:rFonts w:hint="eastAsia" w:asciiTheme="minorEastAsia" w:hAnsiTheme="minorEastAsia" w:eastAsiaTheme="minorEastAsia" w:cstheme="minorEastAsia"/>
          <w:b/>
          <w:color w:val="000000" w:themeColor="text1"/>
          <w:shd w:val="clear" w:color="auto" w:fill="FFFFFF"/>
          <w14:textFill>
            <w14:solidFill>
              <w14:schemeClr w14:val="tx1"/>
            </w14:solidFill>
          </w14:textFill>
        </w:rPr>
        <w:t>3.37危险性较大的分部分项工程安全管理约定</w:t>
      </w:r>
    </w:p>
    <w:p w14:paraId="179E8CAE">
      <w:pPr>
        <w:pStyle w:val="55"/>
        <w:wordWrap w:val="0"/>
        <w:adjustRightInd w:val="0"/>
        <w:snapToGrid w:val="0"/>
        <w:ind w:firstLine="482" w:firstLineChars="200"/>
        <w:rPr>
          <w:rFonts w:hint="eastAsia" w:asciiTheme="minorEastAsia" w:hAnsiTheme="minorEastAsia" w:eastAsiaTheme="minorEastAsia" w:cstheme="minorEastAsia"/>
          <w:b/>
          <w:color w:val="000000" w:themeColor="text1"/>
          <w:shd w:val="clear" w:color="auto" w:fill="FFFFFF"/>
          <w14:textFill>
            <w14:solidFill>
              <w14:schemeClr w14:val="tx1"/>
            </w14:solidFill>
          </w14:textFill>
        </w:rPr>
      </w:pPr>
      <w:r>
        <w:rPr>
          <w:rFonts w:hint="eastAsia" w:asciiTheme="minorEastAsia" w:hAnsiTheme="minorEastAsia" w:eastAsiaTheme="minorEastAsia" w:cstheme="minorEastAsia"/>
          <w:b/>
          <w:color w:val="000000" w:themeColor="text1"/>
          <w:shd w:val="clear" w:color="auto" w:fill="FFFFFF"/>
          <w14:textFill>
            <w14:solidFill>
              <w14:schemeClr w14:val="tx1"/>
            </w14:solidFill>
          </w14:textFill>
        </w:rPr>
        <w:t>中标人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3887BC63">
      <w:pPr>
        <w:pStyle w:val="34"/>
        <w:ind w:firstLine="482" w:firstLineChars="200"/>
        <w:rPr>
          <w:rFonts w:hint="eastAsia" w:asciiTheme="minorEastAsia" w:hAnsiTheme="minorEastAsia" w:eastAsiaTheme="minorEastAsia" w:cstheme="minorEastAsia"/>
          <w:b/>
          <w:color w:val="000000" w:themeColor="text1"/>
          <w:shd w:val="clear" w:color="auto" w:fill="FFFFFF"/>
          <w14:textFill>
            <w14:solidFill>
              <w14:schemeClr w14:val="tx1"/>
            </w14:solidFill>
          </w14:textFill>
        </w:rPr>
      </w:pPr>
      <w:r>
        <w:rPr>
          <w:rFonts w:hint="eastAsia" w:asciiTheme="minorEastAsia" w:hAnsiTheme="minorEastAsia" w:eastAsiaTheme="minorEastAsia" w:cstheme="minorEastAsia"/>
          <w:b/>
          <w:color w:val="000000" w:themeColor="text1"/>
          <w:shd w:val="clear" w:color="auto" w:fill="FFFFFF"/>
          <w14:textFill>
            <w14:solidFill>
              <w14:schemeClr w14:val="tx1"/>
            </w14:solidFill>
          </w14:textFill>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4A52FF40">
      <w:pPr>
        <w:pStyle w:val="34"/>
        <w:ind w:firstLine="482" w:firstLineChars="200"/>
        <w:rPr>
          <w:rFonts w:hint="eastAsia" w:asciiTheme="minorEastAsia" w:hAnsiTheme="minorEastAsia" w:eastAsiaTheme="minorEastAsia" w:cstheme="minorEastAsia"/>
          <w:b/>
          <w:bCs/>
          <w:color w:val="000000" w:themeColor="text1"/>
          <w:szCs w:val="24"/>
          <w14:textFill>
            <w14:solidFill>
              <w14:schemeClr w14:val="tx1"/>
            </w14:solidFill>
          </w14:textFill>
        </w:rPr>
      </w:pPr>
      <w:r>
        <w:rPr>
          <w:rFonts w:hint="eastAsia" w:asciiTheme="minorEastAsia" w:hAnsiTheme="minorEastAsia" w:eastAsiaTheme="minorEastAsia" w:cstheme="minorEastAsia"/>
          <w:b/>
          <w:color w:val="000000" w:themeColor="text1"/>
          <w:shd w:val="clear" w:color="auto" w:fill="FFFFFF"/>
          <w14:textFill>
            <w14:solidFill>
              <w14:schemeClr w14:val="tx1"/>
            </w14:solidFill>
          </w14:textFill>
        </w:rPr>
        <w:t>3.38</w:t>
      </w:r>
      <w:r>
        <w:rPr>
          <w:rFonts w:hint="eastAsia" w:asciiTheme="minorEastAsia" w:hAnsiTheme="minorEastAsia" w:eastAsiaTheme="minorEastAsia" w:cstheme="minorEastAsia"/>
          <w:color w:val="000000" w:themeColor="text1"/>
          <w:szCs w:val="24"/>
          <w14:textFill>
            <w14:solidFill>
              <w14:schemeClr w14:val="tx1"/>
            </w14:solidFill>
          </w14:textFill>
        </w:rPr>
        <w:t>中标人项目经理和主要管理人员的考勤实行实名制打卡，中标人项目经理和主要管理人员的考勤若发现有弄虚作假行为，发现一次，中标人应承担一般违约责任1次。</w:t>
      </w:r>
    </w:p>
    <w:p w14:paraId="6D17198E">
      <w:pPr>
        <w:pStyle w:val="34"/>
        <w:ind w:firstLine="482" w:firstLineChars="200"/>
        <w:rPr>
          <w:rFonts w:hint="eastAsia" w:asciiTheme="minorEastAsia" w:hAnsiTheme="minorEastAsia" w:eastAsiaTheme="minorEastAsia" w:cstheme="minorEastAsia"/>
          <w:b/>
          <w:bCs/>
          <w:color w:val="000000" w:themeColor="text1"/>
          <w:szCs w:val="24"/>
          <w14:textFill>
            <w14:solidFill>
              <w14:schemeClr w14:val="tx1"/>
            </w14:solidFill>
          </w14:textFill>
        </w:rPr>
      </w:pPr>
      <w:r>
        <w:rPr>
          <w:rFonts w:hint="eastAsia" w:asciiTheme="minorEastAsia" w:hAnsiTheme="minorEastAsia" w:eastAsiaTheme="minorEastAsia" w:cstheme="minorEastAsia"/>
          <w:b/>
          <w:color w:val="000000" w:themeColor="text1"/>
          <w:shd w:val="clear" w:color="auto" w:fill="FFFFFF"/>
          <w14:textFill>
            <w14:solidFill>
              <w14:schemeClr w14:val="tx1"/>
            </w14:solidFill>
          </w14:textFill>
        </w:rPr>
        <w:t xml:space="preserve">3.39 </w:t>
      </w:r>
      <w:r>
        <w:rPr>
          <w:rFonts w:hint="eastAsia" w:asciiTheme="minorEastAsia" w:hAnsiTheme="minorEastAsia" w:eastAsiaTheme="minorEastAsia" w:cstheme="minorEastAsia"/>
          <w:b/>
          <w:bCs/>
          <w:color w:val="000000" w:themeColor="text1"/>
          <w:szCs w:val="24"/>
          <w14:textFill>
            <w14:solidFill>
              <w14:schemeClr w14:val="tx1"/>
            </w14:solidFill>
          </w14:textFill>
        </w:rPr>
        <w:t>本项目在建设过程中，中标人的设计及施工的质量安全等相关实施内容要按照业主单位、发包单位的相关管理规定和质量安全考核要求，随时接受业主单位、发包单位自行或委托的第三方的监督检查及考核，中标人必须无条件配合，如中标人不配合或未通过相关的监督检查及考核，中标人须接受业主单位、发包单位的相关管理规定和处罚，并承担相应的责任。</w:t>
      </w:r>
    </w:p>
    <w:p w14:paraId="2A3C5E97">
      <w:pPr>
        <w:pStyle w:val="34"/>
        <w:ind w:firstLine="482" w:firstLineChars="200"/>
        <w:rPr>
          <w:rFonts w:hint="eastAsia" w:asciiTheme="minorEastAsia" w:hAnsiTheme="minorEastAsia" w:eastAsiaTheme="minorEastAsia" w:cstheme="minorEastAsia"/>
          <w:b/>
          <w:bCs/>
          <w:color w:val="000000" w:themeColor="text1"/>
          <w:szCs w:val="24"/>
          <w14:textFill>
            <w14:solidFill>
              <w14:schemeClr w14:val="tx1"/>
            </w14:solidFill>
          </w14:textFill>
        </w:rPr>
      </w:pPr>
      <w:r>
        <w:rPr>
          <w:rFonts w:hint="eastAsia" w:asciiTheme="minorEastAsia" w:hAnsiTheme="minorEastAsia" w:eastAsiaTheme="minorEastAsia" w:cstheme="minorEastAsia"/>
          <w:b/>
          <w:color w:val="000000" w:themeColor="text1"/>
          <w:shd w:val="clear" w:color="auto" w:fill="FFFFFF"/>
          <w14:textFill>
            <w14:solidFill>
              <w14:schemeClr w14:val="tx1"/>
            </w14:solidFill>
          </w14:textFill>
        </w:rPr>
        <w:t>3.40</w:t>
      </w:r>
      <w:r>
        <w:rPr>
          <w:rFonts w:hint="eastAsia" w:asciiTheme="minorEastAsia" w:hAnsiTheme="minorEastAsia" w:eastAsiaTheme="minorEastAsia" w:cstheme="minorEastAsia"/>
          <w:b/>
          <w:bCs/>
          <w:color w:val="000000" w:themeColor="text1"/>
          <w:szCs w:val="24"/>
          <w14:textFill>
            <w14:solidFill>
              <w14:schemeClr w14:val="tx1"/>
            </w14:solidFill>
          </w14:textFill>
        </w:rPr>
        <w:t>其他事项</w:t>
      </w:r>
    </w:p>
    <w:p w14:paraId="69058006">
      <w:pPr>
        <w:spacing w:line="360" w:lineRule="auto"/>
        <w:ind w:firstLine="542" w:firstLineChars="225"/>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color w:val="000000" w:themeColor="text1"/>
          <w:shd w:val="clear" w:color="auto" w:fill="FFFFFF"/>
          <w14:textFill>
            <w14:solidFill>
              <w14:schemeClr w14:val="tx1"/>
            </w14:solidFill>
          </w14:textFill>
        </w:rPr>
        <w:t xml:space="preserve">3.40.1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招标文件中涉及的合同实质性内容以及拟签合同的主要条款内容、中标须知、相关附件、格式内容等为中标后拟签合同实质性内容，在订立合同时不得擅自进行更改。</w:t>
      </w:r>
    </w:p>
    <w:p w14:paraId="130D56BA">
      <w:pPr>
        <w:pStyle w:val="30"/>
        <w:spacing w:line="360" w:lineRule="auto"/>
        <w:ind w:firstLine="480"/>
        <w:jc w:val="left"/>
        <w:rPr>
          <w:rFonts w:hint="eastAsia" w:asciiTheme="minorEastAsia" w:hAnsiTheme="minorEastAsia" w:eastAsiaTheme="minorEastAsia" w:cstheme="minorEastAsia"/>
          <w:b w:val="0"/>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3.40.2</w:t>
      </w:r>
      <w:r>
        <w:rPr>
          <w:rFonts w:hint="eastAsia" w:asciiTheme="minorEastAsia" w:hAnsiTheme="minorEastAsia" w:eastAsiaTheme="minorEastAsia" w:cstheme="minorEastAsia"/>
          <w:b w:val="0"/>
          <w:snapToGrid w:val="0"/>
          <w:color w:val="000000" w:themeColor="text1"/>
          <w:kern w:val="0"/>
          <w:sz w:val="24"/>
          <w14:textFill>
            <w14:solidFill>
              <w14:schemeClr w14:val="tx1"/>
            </w14:solidFill>
          </w14:textFill>
        </w:rPr>
        <w:t>中标人应按《关于印发&lt;新丰县安全生产责任保险实施方案（2020-2021）年&gt;的通知》文件办理安全生产责任保险。</w:t>
      </w:r>
    </w:p>
    <w:p w14:paraId="01C4CA4E">
      <w:pPr>
        <w:pStyle w:val="34"/>
        <w:ind w:firstLine="480" w:firstLineChars="200"/>
        <w:rPr>
          <w:rFonts w:hint="eastAsia" w:asciiTheme="minorEastAsia" w:hAnsiTheme="minorEastAsia" w:eastAsiaTheme="minorEastAsia" w:cstheme="minorEastAsia"/>
          <w:color w:val="000000" w:themeColor="text1"/>
          <w:szCs w:val="24"/>
          <w14:textFill>
            <w14:solidFill>
              <w14:schemeClr w14:val="tx1"/>
            </w14:solidFill>
          </w14:textFill>
        </w:rPr>
      </w:pPr>
    </w:p>
    <w:p w14:paraId="7591D6AB">
      <w:pPr>
        <w:pStyle w:val="35"/>
        <w:keepNext/>
        <w:keepLines/>
        <w:tabs>
          <w:tab w:val="left" w:pos="885"/>
        </w:tabs>
        <w:jc w:val="cente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pPr>
      <w:r>
        <w:rPr>
          <w:rFonts w:hint="eastAsia" w:asciiTheme="minorEastAsia" w:hAnsiTheme="minorEastAsia" w:eastAsiaTheme="minorEastAsia" w:cstheme="minorEastAsia"/>
          <w:b/>
          <w:color w:val="000000" w:themeColor="text1"/>
          <w:kern w:val="44"/>
          <w:sz w:val="24"/>
          <w14:textFill>
            <w14:solidFill>
              <w14:schemeClr w14:val="tx1"/>
            </w14:solidFill>
          </w14:textFill>
        </w:rPr>
        <w:br w:type="page"/>
      </w:r>
      <w:bookmarkStart w:id="386" w:name="_Toc21424"/>
      <w:bookmarkStart w:id="387" w:name="_Toc28402"/>
      <w:bookmarkStart w:id="388" w:name="_Toc27728"/>
      <w:bookmarkStart w:id="389" w:name="_Toc28287"/>
      <w:bookmarkStart w:id="390" w:name="_Toc20219"/>
      <w:bookmarkStart w:id="391" w:name="_Toc29158"/>
      <w:bookmarkStart w:id="392" w:name="_Toc18638"/>
      <w:bookmarkStart w:id="393" w:name="_Toc24187"/>
      <w:bookmarkStart w:id="394" w:name="_Toc25756"/>
      <w:bookmarkStart w:id="395" w:name="_Toc29153"/>
      <w: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t>第四</w:t>
      </w:r>
      <w:bookmarkStart w:id="396" w:name="_Hlt69669176"/>
      <w:bookmarkEnd w:id="396"/>
      <w: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t>章</w:t>
      </w:r>
      <w:bookmarkStart w:id="397" w:name="_Hlt87793847"/>
      <w:bookmarkEnd w:id="397"/>
      <w: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t xml:space="preserve"> 投标人提交的其他材料</w:t>
      </w:r>
      <w:bookmarkEnd w:id="386"/>
      <w:bookmarkEnd w:id="387"/>
      <w:bookmarkEnd w:id="388"/>
      <w:bookmarkEnd w:id="389"/>
      <w:bookmarkEnd w:id="390"/>
      <w:bookmarkEnd w:id="391"/>
      <w:bookmarkEnd w:id="392"/>
      <w:bookmarkEnd w:id="393"/>
      <w:bookmarkEnd w:id="394"/>
      <w:bookmarkEnd w:id="395"/>
    </w:p>
    <w:p w14:paraId="76E55123">
      <w:pPr>
        <w:pStyle w:val="34"/>
        <w:rPr>
          <w:rFonts w:hint="eastAsia" w:asciiTheme="minorEastAsia" w:hAnsiTheme="minorEastAsia" w:eastAsiaTheme="minorEastAsia" w:cstheme="minorEastAsia"/>
          <w:color w:val="000000" w:themeColor="text1"/>
          <w14:textFill>
            <w14:solidFill>
              <w14:schemeClr w14:val="tx1"/>
            </w14:solidFill>
          </w14:textFill>
        </w:rPr>
      </w:pPr>
    </w:p>
    <w:bookmarkEnd w:id="385"/>
    <w:p w14:paraId="56669596">
      <w:pPr>
        <w:pStyle w:val="45"/>
        <w:spacing w:line="400" w:lineRule="exact"/>
        <w:ind w:firstLine="0"/>
        <w:jc w:val="both"/>
        <w:outlineLvl w:val="1"/>
        <w:rPr>
          <w:rFonts w:hint="eastAsia" w:asciiTheme="minorEastAsia" w:hAnsiTheme="minorEastAsia" w:eastAsiaTheme="minorEastAsia" w:cstheme="minorEastAsia"/>
          <w:b/>
          <w:color w:val="000000" w:themeColor="text1"/>
          <w:kern w:val="2"/>
          <w14:textFill>
            <w14:solidFill>
              <w14:schemeClr w14:val="tx1"/>
            </w14:solidFill>
          </w14:textFill>
        </w:rPr>
      </w:pPr>
      <w:bookmarkStart w:id="398" w:name="_Hlt66531751"/>
      <w:bookmarkEnd w:id="398"/>
      <w:bookmarkStart w:id="399" w:name="_Hlt66104911"/>
      <w:bookmarkEnd w:id="399"/>
      <w:bookmarkStart w:id="400" w:name="_Toc21505"/>
      <w:bookmarkStart w:id="401" w:name="_Toc18673"/>
      <w:bookmarkStart w:id="402" w:name="_Toc28975"/>
      <w:bookmarkStart w:id="403" w:name="_Toc19932"/>
      <w:bookmarkStart w:id="404" w:name="_Toc31172"/>
      <w:bookmarkStart w:id="405" w:name="_Toc14471"/>
      <w:bookmarkStart w:id="406" w:name="_Toc1109"/>
      <w:bookmarkStart w:id="407" w:name="_Toc5733"/>
      <w:bookmarkStart w:id="408" w:name="_Toc5994"/>
      <w:bookmarkStart w:id="409" w:name="_Toc9020"/>
      <w:r>
        <w:rPr>
          <w:rFonts w:hint="eastAsia" w:asciiTheme="minorEastAsia" w:hAnsiTheme="minorEastAsia" w:eastAsiaTheme="minorEastAsia" w:cstheme="minorEastAsia"/>
          <w:b/>
          <w:color w:val="000000" w:themeColor="text1"/>
          <w:kern w:val="2"/>
          <w14:textFill>
            <w14:solidFill>
              <w14:schemeClr w14:val="tx1"/>
            </w14:solidFill>
          </w14:textFill>
        </w:rPr>
        <w:t>1</w:t>
      </w:r>
      <w:bookmarkStart w:id="410" w:name="_Hlt69356768"/>
      <w:bookmarkEnd w:id="410"/>
      <w:bookmarkStart w:id="411" w:name="_Hlt66677316"/>
      <w:r>
        <w:rPr>
          <w:rFonts w:hint="eastAsia" w:asciiTheme="minorEastAsia" w:hAnsiTheme="minorEastAsia" w:eastAsiaTheme="minorEastAsia" w:cstheme="minorEastAsia"/>
          <w:b/>
          <w:color w:val="000000" w:themeColor="text1"/>
          <w:kern w:val="2"/>
          <w14:textFill>
            <w14:solidFill>
              <w14:schemeClr w14:val="tx1"/>
            </w14:solidFill>
          </w14:textFill>
        </w:rPr>
        <w:t xml:space="preserve"> 投标保证</w:t>
      </w:r>
      <w:bookmarkEnd w:id="400"/>
      <w:bookmarkEnd w:id="401"/>
      <w:bookmarkEnd w:id="402"/>
      <w:bookmarkEnd w:id="403"/>
      <w:bookmarkEnd w:id="404"/>
      <w:bookmarkEnd w:id="405"/>
      <w:bookmarkEnd w:id="406"/>
      <w:bookmarkEnd w:id="407"/>
      <w:bookmarkEnd w:id="408"/>
      <w:bookmarkEnd w:id="409"/>
      <w:bookmarkEnd w:id="411"/>
    </w:p>
    <w:p w14:paraId="38858EA8">
      <w:pPr>
        <w:snapToGrid w:val="0"/>
        <w:spacing w:before="120" w:beforeLines="50" w:line="360" w:lineRule="auto"/>
        <w:ind w:firstLine="482"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1.1</w:t>
      </w:r>
      <w:r>
        <w:rPr>
          <w:rFonts w:asciiTheme="minorEastAsia" w:hAnsiTheme="minorEastAsia" w:eastAsiaTheme="minorEastAsia" w:cstheme="minorEastAsia"/>
          <w:color w:val="000000" w:themeColor="text1"/>
          <w:szCs w:val="24"/>
          <w14:textFill>
            <w14:solidFill>
              <w14:schemeClr w14:val="tx1"/>
            </w14:solidFill>
          </w14:textFill>
        </w:rPr>
        <w:t xml:space="preserve"> 投标保证的形式包括投标保证金、投标保证担保、投标保证保险三种，由投标人自主选择。</w:t>
      </w:r>
    </w:p>
    <w:p w14:paraId="76BEA3D6">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采用投标保证金的，投标人在建设工程交易系统获取招标文件完毕后，即可在系统申请缴纳投标保证金，获取本次招标投标保证金缴纳账号。投标人必须于投标保证金到账截止时间（见招标文件“重要事项时间地点一览表”）前，从其基本账户将投标保证金转账到指定的缴纳账号。逾期到账的、从非投标人基本账户转出的，其投标无效。</w:t>
      </w:r>
    </w:p>
    <w:p w14:paraId="0AA03CA9">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采用投标保证担保的，投标人应提交有效的银行保函，银行保函的有效期不得短于投标有效期。投标人必须在投标保证担保截止时间（见本招标文件“重要事项时间地点一览表”）前，使用工程建设交易系统完成网上办理电子保函。</w:t>
      </w:r>
    </w:p>
    <w:p w14:paraId="4043D2DF">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采用投标保证保险的，投标人须在投标保证保险投保截止时间（见本招标文件“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04FD86B0">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0D24C0F8">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1.2</w:t>
      </w:r>
      <w:r>
        <w:rPr>
          <w:rFonts w:hint="eastAsia" w:asciiTheme="minorEastAsia" w:hAnsiTheme="minorEastAsia" w:eastAsiaTheme="minorEastAsia" w:cstheme="minorEastAsia"/>
          <w:color w:val="000000" w:themeColor="text1"/>
          <w14:textFill>
            <w14:solidFill>
              <w14:schemeClr w14:val="tx1"/>
            </w14:solidFill>
          </w14:textFill>
        </w:rPr>
        <w:t>投标人撤回已提交的投标文件，应当在投标截止时间前书面通知招标人。投标截止后投标人撤销投标文件的，招标人可以不退还投标保证。</w:t>
      </w:r>
    </w:p>
    <w:p w14:paraId="560B91F4">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1.3</w:t>
      </w:r>
      <w:r>
        <w:rPr>
          <w:rFonts w:hint="eastAsia" w:asciiTheme="minorEastAsia" w:hAnsiTheme="minorEastAsia" w:eastAsiaTheme="minorEastAsia" w:cstheme="minorEastAsia"/>
          <w:color w:val="000000" w:themeColor="text1"/>
          <w14:textFill>
            <w14:solidFill>
              <w14:schemeClr w14:val="tx1"/>
            </w14:solidFill>
          </w14:textFill>
        </w:rPr>
        <w:t>投标保证的退还方式：</w:t>
      </w:r>
    </w:p>
    <w:p w14:paraId="14EB2FC2">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中标候选人公示期满无异议（投诉）后，招标人确定第一中标候选人为中标人，并在中标人确定之日起7个工作日内向中标人发出中标通知书。在中标通知书发出后5个工作日内，韶关市公共资源交易中心将投标保证金（或银行保函）退还给中标候选人以外的投标人。</w:t>
      </w:r>
    </w:p>
    <w:p w14:paraId="1D93F175">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4FA2D006">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1.4</w:t>
      </w:r>
      <w:r>
        <w:rPr>
          <w:rFonts w:hint="eastAsia" w:asciiTheme="minorEastAsia" w:hAnsiTheme="minorEastAsia" w:eastAsiaTheme="minorEastAsia" w:cstheme="minorEastAsia"/>
          <w:color w:val="000000" w:themeColor="text1"/>
          <w14:textFill>
            <w14:solidFill>
              <w14:schemeClr w14:val="tx1"/>
            </w14:solidFill>
          </w14:textFill>
        </w:rPr>
        <w:t xml:space="preserve"> 投标人中标后不与招标人依据招标文件要求签订工程合同的，由建设行政主管部门按规定处理其投标保证。</w:t>
      </w:r>
    </w:p>
    <w:p w14:paraId="34134AB3">
      <w:pPr>
        <w:pStyle w:val="56"/>
        <w:snapToGrid w:val="0"/>
        <w:ind w:firstLine="57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1.5</w:t>
      </w:r>
      <w:r>
        <w:rPr>
          <w:rFonts w:hint="eastAsia" w:asciiTheme="minorEastAsia" w:hAnsiTheme="minorEastAsia" w:eastAsiaTheme="minorEastAsia" w:cstheme="minorEastAsia"/>
          <w:color w:val="000000" w:themeColor="text1"/>
          <w14:textFill>
            <w14:solidFill>
              <w14:schemeClr w14:val="tx1"/>
            </w14:solidFill>
          </w14:textFill>
        </w:rPr>
        <w:t xml:space="preserve"> 组成联合体时由联合体牵头人缴纳投标保证。</w:t>
      </w:r>
    </w:p>
    <w:p w14:paraId="63258AAB">
      <w:pPr>
        <w:pStyle w:val="45"/>
        <w:spacing w:line="360" w:lineRule="auto"/>
        <w:ind w:firstLine="0"/>
        <w:jc w:val="both"/>
        <w:outlineLvl w:val="1"/>
        <w:rPr>
          <w:rFonts w:hint="eastAsia" w:asciiTheme="minorEastAsia" w:hAnsiTheme="minorEastAsia" w:eastAsiaTheme="minorEastAsia" w:cstheme="minorEastAsia"/>
          <w:b/>
          <w:color w:val="000000" w:themeColor="text1"/>
          <w:kern w:val="2"/>
          <w14:textFill>
            <w14:solidFill>
              <w14:schemeClr w14:val="tx1"/>
            </w14:solidFill>
          </w14:textFill>
        </w:rPr>
      </w:pPr>
      <w:bookmarkStart w:id="412" w:name="_Hlt87792499"/>
      <w:bookmarkEnd w:id="412"/>
      <w:bookmarkStart w:id="413" w:name="_Hlt87793359"/>
      <w:bookmarkEnd w:id="413"/>
      <w:bookmarkStart w:id="414" w:name="_Toc13572"/>
      <w:bookmarkStart w:id="415" w:name="_Toc21471"/>
      <w:bookmarkStart w:id="416" w:name="_Toc20998"/>
      <w:bookmarkStart w:id="417" w:name="_Toc22441"/>
      <w:bookmarkStart w:id="418" w:name="_Toc10164"/>
      <w:bookmarkStart w:id="419" w:name="_Toc3054"/>
      <w:bookmarkStart w:id="420" w:name="_Toc985"/>
      <w:bookmarkStart w:id="421" w:name="_Toc3284"/>
      <w:bookmarkStart w:id="422" w:name="_Toc23304"/>
      <w:bookmarkStart w:id="423" w:name="_Toc19536"/>
      <w:r>
        <w:rPr>
          <w:rFonts w:hint="eastAsia" w:asciiTheme="minorEastAsia" w:hAnsiTheme="minorEastAsia" w:eastAsiaTheme="minorEastAsia" w:cstheme="minorEastAsia"/>
          <w:b/>
          <w:color w:val="000000" w:themeColor="text1"/>
          <w:kern w:val="2"/>
          <w14:textFill>
            <w14:solidFill>
              <w14:schemeClr w14:val="tx1"/>
            </w14:solidFill>
          </w14:textFill>
        </w:rPr>
        <w:t>2 履约保证金</w:t>
      </w:r>
      <w:bookmarkEnd w:id="414"/>
      <w:bookmarkEnd w:id="415"/>
      <w:bookmarkEnd w:id="416"/>
      <w:bookmarkEnd w:id="417"/>
      <w:bookmarkEnd w:id="418"/>
      <w:bookmarkEnd w:id="419"/>
      <w:bookmarkEnd w:id="420"/>
      <w:bookmarkEnd w:id="421"/>
      <w:bookmarkEnd w:id="422"/>
      <w:bookmarkEnd w:id="423"/>
    </w:p>
    <w:bookmarkEnd w:id="2"/>
    <w:p w14:paraId="3245B390">
      <w:pPr>
        <w:widowControl/>
        <w:spacing w:line="360" w:lineRule="auto"/>
        <w:ind w:firstLine="482" w:firstLineChars="200"/>
        <w:jc w:val="left"/>
        <w:rPr>
          <w:rFonts w:asciiTheme="minorEastAsia" w:hAnsiTheme="minorEastAsia" w:eastAsiaTheme="minorEastAsia" w:cstheme="minorEastAsia"/>
          <w:snapToGrid w:val="0"/>
          <w:color w:val="000000" w:themeColor="text1"/>
          <w:kern w:val="0"/>
          <w:szCs w:val="24"/>
          <w14:textFill>
            <w14:solidFill>
              <w14:schemeClr w14:val="tx1"/>
            </w14:solidFill>
          </w14:textFill>
        </w:rPr>
      </w:pPr>
      <w:bookmarkStart w:id="424" w:name="_Toc466640610"/>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2.1</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中标人须在领取中标通知书之日起</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5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个工作日内、签订合同前向招标人提交金额为中标价</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5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 的履约保证。联合体中标的，由联合体牵头人提交。同时招标人向中标人提供合同价5%的支付担保，并将工程款支付担保文书作为建设工程合同的组成部分(担保期限届至招标人支付除工程质量保修金以外的全部工程结算款项之日后30天)。</w:t>
      </w:r>
    </w:p>
    <w:p w14:paraId="3706754D">
      <w:pPr>
        <w:widowControl/>
        <w:spacing w:line="360" w:lineRule="auto"/>
        <w:ind w:firstLine="480" w:firstLineChars="200"/>
        <w:jc w:val="lef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t>注：根据《保障农民工工资支付条例》，发包人必须落实工程款支付担保制度， 需有项目预付款。 2017 年 2 月，国务院出台《关于促进建筑业持续健康发展的意见》， 要求“严格执行工程预付款制度，及时按合同约定足额向承包单位支付预付款。通过工 程款支付担保等经济、法律手段约束建设单位履约行为，预防拖欠工程款。”</w:t>
      </w:r>
    </w:p>
    <w:p w14:paraId="0DCEEA96">
      <w:pPr>
        <w:wordWrap w:val="0"/>
        <w:adjustRightInd w:val="0"/>
        <w:snapToGrid w:val="0"/>
        <w:spacing w:line="360" w:lineRule="auto"/>
        <w:ind w:firstLine="562"/>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2.2</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lang w:bidi="ar"/>
          <w14:textFill>
            <w14:solidFill>
              <w14:schemeClr w14:val="tx1"/>
            </w14:solidFill>
          </w14:textFill>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28天止。</w:t>
      </w:r>
    </w:p>
    <w:p w14:paraId="560A2746">
      <w:pPr>
        <w:wordWrap w:val="0"/>
        <w:adjustRightInd w:val="0"/>
        <w:snapToGrid w:val="0"/>
        <w:spacing w:line="360" w:lineRule="auto"/>
        <w:ind w:firstLine="482"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2.3</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p>
    <w:p w14:paraId="5E919DC4">
      <w:pPr>
        <w:wordWrap w:val="0"/>
        <w:adjustRightInd w:val="0"/>
        <w:snapToGrid w:val="0"/>
        <w:spacing w:line="360" w:lineRule="auto"/>
        <w:ind w:firstLine="482"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2.4</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在工程实施过程中，如果中标人（即招标阶段的中标人，下同）由于自身的资金、技术、质量、非不可抗力等原因给招标人（即招标阶段的招标人，下同）造成经济损失，扣除相应履约保证。</w:t>
      </w:r>
    </w:p>
    <w:p w14:paraId="135E5347">
      <w:pPr>
        <w:wordWrap w:val="0"/>
        <w:adjustRightInd w:val="0"/>
        <w:snapToGrid w:val="0"/>
        <w:spacing w:line="360" w:lineRule="auto"/>
        <w:ind w:firstLine="482"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2.5</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项目通过竣工验收之日后28天内，招标人将履约保证</w:t>
      </w:r>
      <w:r>
        <w:rPr>
          <w:rFonts w:asciiTheme="minorEastAsia" w:hAnsiTheme="minorEastAsia" w:eastAsiaTheme="minorEastAsia" w:cstheme="minorEastAsia"/>
          <w:color w:val="000000" w:themeColor="text1"/>
          <w:szCs w:val="24"/>
          <w14:textFill>
            <w14:solidFill>
              <w14:schemeClr w14:val="tx1"/>
            </w14:solidFill>
          </w14:textFill>
        </w:rPr>
        <w:t>或全部履约保证金（不计算利息）</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退还给中标人。</w:t>
      </w:r>
    </w:p>
    <w:p w14:paraId="24AD93ED">
      <w:pPr>
        <w:pStyle w:val="34"/>
        <w:ind w:firstLine="480"/>
        <w:outlineLvl w:val="1"/>
        <w:rPr>
          <w:rFonts w:hint="eastAsia" w:asciiTheme="minorEastAsia" w:hAnsiTheme="minorEastAsia" w:eastAsiaTheme="minorEastAsia" w:cstheme="minorEastAsia"/>
          <w:snapToGrid w:val="0"/>
          <w:color w:val="000000" w:themeColor="text1"/>
          <w:kern w:val="0"/>
          <w14:textFill>
            <w14:solidFill>
              <w14:schemeClr w14:val="tx1"/>
            </w14:solidFill>
          </w14:textFill>
        </w:rPr>
      </w:pPr>
      <w:r>
        <w:rPr>
          <w:rFonts w:hint="eastAsia" w:asciiTheme="minorEastAsia" w:hAnsiTheme="minorEastAsia" w:eastAsiaTheme="minorEastAsia" w:cstheme="minorEastAsia"/>
          <w:b/>
          <w:color w:val="000000" w:themeColor="text1"/>
          <w:szCs w:val="24"/>
          <w14:textFill>
            <w14:solidFill>
              <w14:schemeClr w14:val="tx1"/>
            </w14:solidFill>
          </w14:textFill>
        </w:rPr>
        <w:t>3</w:t>
      </w:r>
      <w:r>
        <w:rPr>
          <w:rFonts w:hint="eastAsia" w:asciiTheme="minorEastAsia" w:hAnsiTheme="minorEastAsia" w:eastAsiaTheme="minorEastAsia" w:cstheme="minorEastAsia"/>
          <w:b/>
          <w:snapToGrid w:val="0"/>
          <w:color w:val="000000" w:themeColor="text1"/>
          <w:szCs w:val="24"/>
          <w14:textFill>
            <w14:solidFill>
              <w14:schemeClr w14:val="tx1"/>
            </w14:solidFill>
          </w14:textFill>
        </w:rPr>
        <w:t>质量保证</w:t>
      </w:r>
    </w:p>
    <w:p w14:paraId="3210A95D">
      <w:pPr>
        <w:wordWrap w:val="0"/>
        <w:adjustRightInd w:val="0"/>
        <w:snapToGrid w:val="0"/>
        <w:spacing w:line="360" w:lineRule="auto"/>
        <w:ind w:firstLine="56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3.1</w:t>
      </w: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 xml:space="preserve"> 本工程缺陷责任期为</w:t>
      </w:r>
      <w:r>
        <w:rPr>
          <w:rFonts w:asciiTheme="minorEastAsia" w:hAnsiTheme="minorEastAsia" w:eastAsiaTheme="minorEastAsia" w:cstheme="minorEastAsia"/>
          <w:bCs/>
          <w:snapToGrid w:val="0"/>
          <w:color w:val="000000" w:themeColor="text1"/>
          <w:kern w:val="0"/>
          <w:szCs w:val="24"/>
          <w:u w:val="single"/>
          <w14:textFill>
            <w14:solidFill>
              <w14:schemeClr w14:val="tx1"/>
            </w14:solidFill>
          </w14:textFill>
        </w:rPr>
        <w:t>1</w:t>
      </w: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年（自通过竣工验收之日起计），在此期间预留金额为结算价</w:t>
      </w:r>
      <w:r>
        <w:rPr>
          <w:rFonts w:asciiTheme="minorEastAsia" w:hAnsiTheme="minorEastAsia" w:eastAsiaTheme="minorEastAsia" w:cstheme="minorEastAsia"/>
          <w:bCs/>
          <w:snapToGrid w:val="0"/>
          <w:color w:val="000000" w:themeColor="text1"/>
          <w:kern w:val="0"/>
          <w:szCs w:val="24"/>
          <w:u w:val="single"/>
          <w14:textFill>
            <w14:solidFill>
              <w14:schemeClr w14:val="tx1"/>
            </w14:solidFill>
          </w14:textFill>
        </w:rPr>
        <w:t xml:space="preserve">3% </w:t>
      </w: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的质量保证。</w:t>
      </w:r>
    </w:p>
    <w:p w14:paraId="443E2C74">
      <w:pPr>
        <w:wordWrap w:val="0"/>
        <w:adjustRightInd w:val="0"/>
        <w:snapToGrid w:val="0"/>
        <w:spacing w:line="360" w:lineRule="auto"/>
        <w:ind w:firstLine="56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3.2</w:t>
      </w: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 xml:space="preserve"> 质量保证的形式包括质量保证金、质量保证担保、质量保证保险三种，由中标人自主选择。</w:t>
      </w:r>
    </w:p>
    <w:p w14:paraId="203C258D">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（1）采用质量保证金形式的，在结清审定总造价时一次性扣留相应金额作为质量保证金。</w:t>
      </w:r>
    </w:p>
    <w:p w14:paraId="3E7949AC">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（2）采用质量保证担保或质量保证保险的，中标人应在竣工验收时向招标人提交有效的银行保函原件或保险合同原件（或保险单），银行保函或保险合同原件（或保险单）的有效期不得短于缺陷责任期。</w:t>
      </w:r>
    </w:p>
    <w:p w14:paraId="4E0C0ED8">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3.3</w:t>
      </w: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 xml:space="preserve"> 缺陷责任期内，由中标人原因造成的缺陷，中标人应负责维修，并承担鉴定及维修费用。如果中标人不维修也不承担费用，招标人可按合同约定从质量保证中扣除，维修费用超出保证金额的，招标人可按合同约定向中标人进行索赔。中标人维修并承担相应费用后，不免除对工程的损失赔偿责任。</w:t>
      </w:r>
    </w:p>
    <w:p w14:paraId="3FA2599F">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由他人原因造成的缺陷，招标人负责组织维修，中标人不承担费用，且招标人不得从质量保证中扣除费用。</w:t>
      </w:r>
    </w:p>
    <w:p w14:paraId="52550AD8">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t>3.4</w:t>
      </w: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 xml:space="preserve"> 缺陷责任期内，中标人应认真履行合同约定的责任。缺陷责任期到期后，中标人向招标人申请退还质量保证，招标人应按照《建设工程质量保证金管理办法》有关规定将质量保证退还给中标人（不计息）。</w:t>
      </w:r>
    </w:p>
    <w:p w14:paraId="238DD165">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12A6C9C4">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23970EEA">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7523EF03">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7E953548">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3D29FA47">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0E7337A9">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752AF4E8">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0C02500F">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4FC618F4">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7DB829BF">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1D266DD0">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664F8DEA">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1504438B">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5F9FF6CC">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16CBDF02">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2636FC9C">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2685BEF2">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73FB0E52">
      <w:pPr>
        <w:wordWrap w:val="0"/>
        <w:adjustRightInd w:val="0"/>
        <w:snapToGrid w:val="0"/>
        <w:spacing w:line="360" w:lineRule="auto"/>
        <w:ind w:firstLine="561"/>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p>
    <w:p w14:paraId="016159C7">
      <w:pPr>
        <w:pStyle w:val="35"/>
        <w:keepNext/>
        <w:keepLines/>
        <w:tabs>
          <w:tab w:val="left" w:pos="885"/>
        </w:tabs>
        <w:spacing w:line="240" w:lineRule="auto"/>
        <w:jc w:val="cente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pPr>
      <w:bookmarkStart w:id="425" w:name="_Toc22105"/>
      <w:bookmarkStart w:id="426" w:name="_Toc4002"/>
      <w:bookmarkStart w:id="427" w:name="_Toc2209"/>
      <w:bookmarkStart w:id="428" w:name="_Toc12936"/>
      <w:bookmarkStart w:id="429" w:name="_Toc29236"/>
      <w:bookmarkStart w:id="430" w:name="_Toc16873"/>
      <w:bookmarkStart w:id="431" w:name="_Toc25046"/>
      <w:bookmarkStart w:id="432" w:name="_Toc26916"/>
      <w:bookmarkStart w:id="433" w:name="_Toc4262"/>
      <w:bookmarkStart w:id="434" w:name="_Toc17661"/>
      <w:r>
        <w:rPr>
          <w:rFonts w:hint="eastAsia" w:asciiTheme="minorEastAsia" w:hAnsiTheme="minorEastAsia" w:eastAsiaTheme="minorEastAsia" w:cstheme="minorEastAsia"/>
          <w:b/>
          <w:color w:val="000000" w:themeColor="text1"/>
          <w:kern w:val="44"/>
          <w:sz w:val="36"/>
          <w:szCs w:val="36"/>
          <w14:textFill>
            <w14:solidFill>
              <w14:schemeClr w14:val="tx1"/>
            </w14:solidFill>
          </w14:textFill>
        </w:rPr>
        <w:t>第五章 招标工程的技术要求和前期文件</w:t>
      </w:r>
      <w:bookmarkEnd w:id="424"/>
      <w:bookmarkEnd w:id="425"/>
      <w:bookmarkEnd w:id="426"/>
      <w:bookmarkEnd w:id="427"/>
      <w:bookmarkEnd w:id="428"/>
      <w:bookmarkEnd w:id="429"/>
      <w:bookmarkEnd w:id="430"/>
      <w:bookmarkEnd w:id="431"/>
      <w:bookmarkEnd w:id="432"/>
      <w:bookmarkEnd w:id="433"/>
      <w:bookmarkEnd w:id="434"/>
    </w:p>
    <w:p w14:paraId="0EBDCFAF">
      <w:pPr>
        <w:pStyle w:val="3"/>
        <w:spacing w:line="360" w:lineRule="auto"/>
        <w:ind w:firstLine="241" w:firstLineChars="100"/>
        <w:rPr>
          <w:rFonts w:asciiTheme="minorEastAsia" w:hAnsiTheme="minorEastAsia" w:eastAsiaTheme="minorEastAsia" w:cstheme="minorEastAsia"/>
          <w:color w:val="000000" w:themeColor="text1"/>
          <w:szCs w:val="24"/>
          <w14:textFill>
            <w14:solidFill>
              <w14:schemeClr w14:val="tx1"/>
            </w14:solidFill>
          </w14:textFill>
        </w:rPr>
      </w:pPr>
      <w:bookmarkStart w:id="435" w:name="_Hlt69116854"/>
      <w:bookmarkEnd w:id="435"/>
      <w:bookmarkStart w:id="436" w:name="_Hlt69357851"/>
      <w:bookmarkEnd w:id="436"/>
      <w:bookmarkStart w:id="437" w:name="_Hlt87793346"/>
      <w:bookmarkEnd w:id="437"/>
      <w:bookmarkStart w:id="438" w:name="_Hlt69265216"/>
      <w:bookmarkEnd w:id="438"/>
      <w:bookmarkStart w:id="439" w:name="_Hlt69358207"/>
      <w:bookmarkEnd w:id="439"/>
      <w:bookmarkStart w:id="440" w:name="_Hlt87793370"/>
      <w:bookmarkEnd w:id="440"/>
      <w:bookmarkStart w:id="441" w:name="_Hlt80411122"/>
      <w:bookmarkEnd w:id="441"/>
      <w:bookmarkStart w:id="442" w:name="_Hlt75685840"/>
      <w:bookmarkEnd w:id="442"/>
      <w:bookmarkStart w:id="443" w:name="_Hlt68774758"/>
      <w:bookmarkEnd w:id="443"/>
      <w:bookmarkStart w:id="444" w:name="_Hlt69359335"/>
      <w:bookmarkEnd w:id="444"/>
      <w:bookmarkStart w:id="445" w:name="_Hlt66104926"/>
      <w:bookmarkEnd w:id="445"/>
      <w:bookmarkStart w:id="446" w:name="_Toc1173"/>
      <w:bookmarkStart w:id="447" w:name="_Toc5215"/>
      <w:bookmarkStart w:id="448" w:name="_Toc21545"/>
      <w:bookmarkStart w:id="449" w:name="_Toc25463"/>
      <w:bookmarkStart w:id="450" w:name="_Toc18637"/>
      <w:bookmarkStart w:id="451" w:name="_Toc3067"/>
      <w:bookmarkStart w:id="452" w:name="_Toc31511"/>
      <w:bookmarkStart w:id="453" w:name="_Toc466640611"/>
      <w:bookmarkStart w:id="454" w:name="_Toc1436"/>
      <w:bookmarkStart w:id="455" w:name="_Toc7837"/>
      <w:bookmarkStart w:id="456" w:name="_Toc8935"/>
      <w:r>
        <w:rPr>
          <w:rFonts w:asciiTheme="minorEastAsia" w:hAnsiTheme="minorEastAsia" w:eastAsiaTheme="minorEastAsia" w:cstheme="minorEastAsia"/>
          <w:b/>
          <w:bCs/>
          <w:color w:val="000000" w:themeColor="text1"/>
          <w:szCs w:val="22"/>
          <w14:textFill>
            <w14:solidFill>
              <w14:schemeClr w14:val="tx1"/>
            </w14:solidFill>
          </w14:textFill>
        </w:rPr>
        <w:t>1、</w:t>
      </w:r>
      <w:r>
        <w:rPr>
          <w:rFonts w:asciiTheme="minorEastAsia" w:hAnsiTheme="minorEastAsia" w:eastAsiaTheme="minorEastAsia" w:cstheme="minorEastAsia"/>
          <w:b/>
          <w:bCs/>
          <w:color w:val="000000" w:themeColor="text1"/>
          <w:szCs w:val="24"/>
          <w14:textFill>
            <w14:solidFill>
              <w14:schemeClr w14:val="tx1"/>
            </w14:solidFill>
          </w14:textFill>
        </w:rPr>
        <w:t>工程的技术要求</w:t>
      </w:r>
      <w:bookmarkEnd w:id="446"/>
      <w:bookmarkEnd w:id="447"/>
      <w:bookmarkEnd w:id="448"/>
      <w:bookmarkEnd w:id="449"/>
      <w:bookmarkEnd w:id="450"/>
      <w:bookmarkEnd w:id="451"/>
      <w:bookmarkEnd w:id="452"/>
      <w:bookmarkEnd w:id="453"/>
      <w:bookmarkEnd w:id="454"/>
      <w:bookmarkEnd w:id="455"/>
      <w:bookmarkEnd w:id="456"/>
    </w:p>
    <w:p w14:paraId="22D51C62">
      <w:pPr>
        <w:widowControl/>
        <w:spacing w:line="360" w:lineRule="auto"/>
        <w:ind w:firstLine="241" w:firstLineChars="100"/>
        <w:jc w:val="left"/>
        <w:rPr>
          <w:rFonts w:asciiTheme="minorEastAsia" w:hAnsiTheme="minorEastAsia" w:eastAsiaTheme="minorEastAsia" w:cstheme="minorEastAsia"/>
          <w:b/>
          <w:bCs/>
          <w:color w:val="000000" w:themeColor="text1"/>
          <w14:textFill>
            <w14:solidFill>
              <w14:schemeClr w14:val="tx1"/>
            </w14:solidFill>
          </w14:textFill>
        </w:rPr>
      </w:pPr>
      <w:r>
        <w:rPr>
          <w:rFonts w:asciiTheme="minorEastAsia" w:hAnsiTheme="minorEastAsia" w:eastAsiaTheme="minorEastAsia" w:cstheme="minorEastAsia"/>
          <w:b/>
          <w:bCs/>
          <w:color w:val="000000" w:themeColor="text1"/>
          <w14:textFill>
            <w14:solidFill>
              <w14:schemeClr w14:val="tx1"/>
            </w14:solidFill>
          </w14:textFill>
        </w:rPr>
        <w:t>1.1.本工程必须达到且不限于以下规范的要求：</w:t>
      </w:r>
    </w:p>
    <w:p w14:paraId="64AE963B">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bookmarkStart w:id="457" w:name="_Hlt78709799"/>
      <w:bookmarkEnd w:id="457"/>
      <w:bookmarkStart w:id="458" w:name="_Hlt69358458"/>
      <w:bookmarkEnd w:id="458"/>
      <w:bookmarkStart w:id="459" w:name="_Hlt69359086"/>
      <w:bookmarkEnd w:id="459"/>
      <w:bookmarkStart w:id="460" w:name="_Hlt69116858"/>
      <w:bookmarkEnd w:id="460"/>
      <w:bookmarkStart w:id="461" w:name="_Hlt69359243"/>
      <w:bookmarkEnd w:id="461"/>
      <w:bookmarkStart w:id="462" w:name="_Hlt69359245"/>
      <w:bookmarkEnd w:id="462"/>
      <w:bookmarkStart w:id="463" w:name="_Hlt69635252"/>
      <w:bookmarkEnd w:id="463"/>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1）《建筑工程施工质量验收统一标准》（GB50300-2013）；</w:t>
      </w:r>
    </w:p>
    <w:p w14:paraId="18C64797">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2）《建筑装饰装修工程质量验收规范》（GB50210-2018）；</w:t>
      </w:r>
    </w:p>
    <w:p w14:paraId="09B5281A">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3）《建筑照明设计标准》（GB50034-2013）；</w:t>
      </w:r>
    </w:p>
    <w:p w14:paraId="05D0226C">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4）《建筑设计防火规范》（GB50016-2014）；</w:t>
      </w:r>
    </w:p>
    <w:p w14:paraId="1CC54CD2">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5）《屋面工程技术规范》（GB50345-2012）；</w:t>
      </w:r>
    </w:p>
    <w:p w14:paraId="5820E7FC">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6）《建筑地面设计规范》（GB50037-2013）；</w:t>
      </w:r>
    </w:p>
    <w:p w14:paraId="01708445">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7）《公共建筑节能设计标准》（GB50189-2015）；</w:t>
      </w:r>
    </w:p>
    <w:p w14:paraId="548EF6C0">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8）《无障碍设计规范》（GB50763-2012）；</w:t>
      </w:r>
    </w:p>
    <w:p w14:paraId="0B9CF99F">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9）《屋面工程质量验收规范》（GB50207-2012）；</w:t>
      </w:r>
    </w:p>
    <w:p w14:paraId="20210DD9">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10）《城市绿化工程施工及验收规范》；</w:t>
      </w:r>
    </w:p>
    <w:p w14:paraId="2F1D0371">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11）《给水排水构筑物施 工及验收规范》GB 50141-2008</w:t>
      </w:r>
    </w:p>
    <w:p w14:paraId="0719D614">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12）《建筑给水排水设计规范》（GB50015-2019）；</w:t>
      </w:r>
    </w:p>
    <w:p w14:paraId="05367072">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13）《室外给水设计规范》（GB50013-2018）；</w:t>
      </w:r>
    </w:p>
    <w:p w14:paraId="14847B37">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14）《低压配电设计规范》（GB50054-2011）；</w:t>
      </w:r>
    </w:p>
    <w:p w14:paraId="3977B07E">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15）《建筑采光设计标准》（GB50033-2013）；</w:t>
      </w:r>
    </w:p>
    <w:p w14:paraId="3FBA9E80">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16）《建筑工程设计文件编制深度规定》（建设部2016年版）；</w:t>
      </w:r>
    </w:p>
    <w:p w14:paraId="755F6E56">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17）《公共文化体育设施条例》；</w:t>
      </w:r>
    </w:p>
    <w:p w14:paraId="6918D146">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18）《建筑地面设计规范》；</w:t>
      </w:r>
    </w:p>
    <w:p w14:paraId="78216A54">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19）《市政道路工程质量检验评定标准》；</w:t>
      </w:r>
    </w:p>
    <w:p w14:paraId="34F91B0B">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20）《城市工程管线综合规划规范》；</w:t>
      </w:r>
    </w:p>
    <w:p w14:paraId="538F38A8">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21）《建筑抗震设计规范》（GB50011-2010）（2016 年修订版）；</w:t>
      </w:r>
    </w:p>
    <w:p w14:paraId="387D5FB2">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22）《城市道路路基工程施工及验收规范》；</w:t>
      </w:r>
    </w:p>
    <w:p w14:paraId="3CCD0143">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23）《韶关市城市规划管理技术规定（2015 年版）》；</w:t>
      </w:r>
    </w:p>
    <w:p w14:paraId="1FB639C3">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24）《室外排水设计标准》GB 50014-2021；</w:t>
      </w:r>
    </w:p>
    <w:p w14:paraId="2CD2C030">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25）《室外给水设计标准》GB 50013-2018；</w:t>
      </w:r>
    </w:p>
    <w:p w14:paraId="2C23BCD1">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26）《建筑给水排水设计标准》GB 50015-2019；</w:t>
      </w:r>
    </w:p>
    <w:p w14:paraId="720F6D6C">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27）《城市排水工程规划规范》GB 50318-2017；</w:t>
      </w:r>
    </w:p>
    <w:p w14:paraId="54E5BDB9">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28）《城市给水工程规划规范》GB 50282-2016；</w:t>
      </w:r>
    </w:p>
    <w:p w14:paraId="0CAC34DB">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29）《城镇给水排水技术规范》GB 50788-2012；</w:t>
      </w:r>
    </w:p>
    <w:p w14:paraId="45747672">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30）《镇（乡）村排水工程技术规程》CJJ 124-2008；</w:t>
      </w:r>
    </w:p>
    <w:p w14:paraId="1FF0D8CB">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31）《混凝土和钢筋混凝土排水管》GB/T 11836-2009；</w:t>
      </w:r>
    </w:p>
    <w:p w14:paraId="75B9B45E">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32）《给水排水工程构筑物结构设计规范》GB 50069-2002；</w:t>
      </w:r>
    </w:p>
    <w:p w14:paraId="70496512">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33）《给水排水 管道工程施工及验收规范》GB 50268-2008；</w:t>
      </w:r>
    </w:p>
    <w:p w14:paraId="4AB7452C">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34）其他现行国家、广东省关于房建、市政工程的施工及验收规范、规程、标准。</w:t>
      </w:r>
    </w:p>
    <w:p w14:paraId="73E57688">
      <w:pPr>
        <w:wordWrap w:val="0"/>
        <w:adjustRightInd w:val="0"/>
        <w:snapToGrid w:val="0"/>
        <w:spacing w:line="440" w:lineRule="exact"/>
        <w:ind w:left="420"/>
        <w:rPr>
          <w:rFonts w:asciiTheme="minorEastAsia" w:hAnsiTheme="minorEastAsia" w:eastAsiaTheme="minorEastAsia" w:cstheme="minorEastAsia"/>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Cs/>
          <w:snapToGrid w:val="0"/>
          <w:color w:val="000000" w:themeColor="text1"/>
          <w:kern w:val="0"/>
          <w:szCs w:val="24"/>
          <w14:textFill>
            <w14:solidFill>
              <w14:schemeClr w14:val="tx1"/>
            </w14:solidFill>
          </w14:textFill>
        </w:rPr>
        <w:t>35）符合国家及地方现行的设计标准及规范，符合本项目的可研研究报告的要求。</w:t>
      </w:r>
    </w:p>
    <w:p w14:paraId="45013F89">
      <w:pPr>
        <w:spacing w:line="360" w:lineRule="auto"/>
        <w:ind w:firstLine="482" w:firstLineChars="200"/>
        <w:rPr>
          <w:rFonts w:asciiTheme="minorEastAsia" w:hAnsiTheme="minorEastAsia" w:eastAsiaTheme="minorEastAsia" w:cstheme="minorEastAsia"/>
          <w:b/>
          <w:color w:val="000000" w:themeColor="text1"/>
          <w14:textFill>
            <w14:solidFill>
              <w14:schemeClr w14:val="tx1"/>
            </w14:solidFill>
          </w14:textFill>
        </w:rPr>
      </w:pPr>
      <w:r>
        <w:rPr>
          <w:rFonts w:asciiTheme="minorEastAsia" w:hAnsiTheme="minorEastAsia" w:eastAsiaTheme="minorEastAsia" w:cstheme="minorEastAsia"/>
          <w:b/>
          <w:color w:val="000000" w:themeColor="text1"/>
          <w14:textFill>
            <w14:solidFill>
              <w14:schemeClr w14:val="tx1"/>
            </w14:solidFill>
          </w14:textFill>
        </w:rPr>
        <w:t>注：以上规范或规定如有更新，则以更新后的规范及规定为准。</w:t>
      </w:r>
    </w:p>
    <w:p w14:paraId="5BEF359F">
      <w:pPr>
        <w:spacing w:line="360" w:lineRule="auto"/>
        <w:rPr>
          <w:rFonts w:asciiTheme="minorEastAsia" w:hAnsiTheme="minorEastAsia" w:eastAsiaTheme="minorEastAsia" w:cstheme="minorEastAsia"/>
          <w:b/>
          <w:color w:val="000000" w:themeColor="text1"/>
          <w:szCs w:val="22"/>
          <w14:textFill>
            <w14:solidFill>
              <w14:schemeClr w14:val="tx1"/>
            </w14:solidFill>
          </w14:textFill>
        </w:rPr>
      </w:pPr>
      <w:r>
        <w:rPr>
          <w:rFonts w:asciiTheme="minorEastAsia" w:hAnsiTheme="minorEastAsia" w:eastAsiaTheme="minorEastAsia" w:cstheme="minorEastAsia"/>
          <w:b/>
          <w:bCs/>
          <w:color w:val="000000" w:themeColor="text1"/>
          <w:szCs w:val="24"/>
          <w14:textFill>
            <w14:solidFill>
              <w14:schemeClr w14:val="tx1"/>
            </w14:solidFill>
          </w14:textFill>
        </w:rPr>
        <w:t xml:space="preserve">    1.2、中标人必须在施工现场准备至少一套上述规范，招标人和监理单位可随时检查中标人的上述规范，并监督中标人按规范要求执行。</w:t>
      </w:r>
      <w:bookmarkStart w:id="464" w:name="_Toc466640612"/>
    </w:p>
    <w:p w14:paraId="02E90037">
      <w:pPr>
        <w:pStyle w:val="3"/>
        <w:spacing w:line="360" w:lineRule="auto"/>
        <w:rPr>
          <w:rFonts w:asciiTheme="minorEastAsia" w:hAnsiTheme="minorEastAsia" w:eastAsiaTheme="minorEastAsia" w:cstheme="minorEastAsia"/>
          <w:b/>
          <w:bCs/>
          <w:color w:val="000000" w:themeColor="text1"/>
          <w:szCs w:val="22"/>
          <w14:textFill>
            <w14:solidFill>
              <w14:schemeClr w14:val="tx1"/>
            </w14:solidFill>
          </w14:textFill>
        </w:rPr>
      </w:pPr>
      <w:bookmarkStart w:id="465" w:name="_Toc5538"/>
      <w:bookmarkStart w:id="466" w:name="_Toc15621"/>
      <w:r>
        <w:rPr>
          <w:rFonts w:asciiTheme="minorEastAsia" w:hAnsiTheme="minorEastAsia" w:eastAsiaTheme="minorEastAsia" w:cstheme="minorEastAsia"/>
          <w:b/>
          <w:bCs/>
          <w:color w:val="000000" w:themeColor="text1"/>
          <w:szCs w:val="22"/>
          <w14:textFill>
            <w14:solidFill>
              <w14:schemeClr w14:val="tx1"/>
            </w14:solidFill>
          </w14:textFill>
        </w:rPr>
        <w:t>2</w:t>
      </w:r>
      <w:bookmarkStart w:id="467" w:name="_Hlt69670335"/>
      <w:bookmarkEnd w:id="467"/>
      <w:r>
        <w:rPr>
          <w:rFonts w:asciiTheme="minorEastAsia" w:hAnsiTheme="minorEastAsia" w:eastAsiaTheme="minorEastAsia" w:cstheme="minorEastAsia"/>
          <w:b/>
          <w:bCs/>
          <w:color w:val="000000" w:themeColor="text1"/>
          <w:szCs w:val="22"/>
          <w14:textFill>
            <w14:solidFill>
              <w14:schemeClr w14:val="tx1"/>
            </w14:solidFill>
          </w14:textFill>
        </w:rPr>
        <w:t>、招标工程的项目前期资料</w:t>
      </w:r>
      <w:bookmarkEnd w:id="464"/>
      <w:r>
        <w:rPr>
          <w:rFonts w:asciiTheme="minorEastAsia" w:hAnsiTheme="minorEastAsia" w:eastAsiaTheme="minorEastAsia" w:cstheme="minorEastAsia"/>
          <w:b/>
          <w:bCs/>
          <w:color w:val="000000" w:themeColor="text1"/>
          <w:szCs w:val="22"/>
          <w14:textFill>
            <w14:solidFill>
              <w14:schemeClr w14:val="tx1"/>
            </w14:solidFill>
          </w14:textFill>
        </w:rPr>
        <w:t>（另附）</w:t>
      </w:r>
      <w:bookmarkEnd w:id="465"/>
      <w:bookmarkEnd w:id="466"/>
    </w:p>
    <w:p w14:paraId="3FB9DD3A">
      <w:pPr>
        <w:spacing w:line="440" w:lineRule="exact"/>
        <w:rPr>
          <w:rFonts w:asciiTheme="minorEastAsia" w:hAnsiTheme="minorEastAsia" w:eastAsiaTheme="minorEastAsia" w:cstheme="minorEastAsia"/>
          <w:b/>
          <w:color w:val="000000" w:themeColor="text1"/>
          <w:kern w:val="0"/>
          <w14:textFill>
            <w14:solidFill>
              <w14:schemeClr w14:val="tx1"/>
            </w14:solidFill>
          </w14:textFill>
        </w:rPr>
      </w:pPr>
      <w:r>
        <w:rPr>
          <w:rFonts w:asciiTheme="minorEastAsia" w:hAnsiTheme="minorEastAsia" w:eastAsiaTheme="minorEastAsia" w:cstheme="minorEastAsia"/>
          <w:b/>
          <w:snapToGrid w:val="0"/>
          <w:color w:val="000000" w:themeColor="text1"/>
          <w:kern w:val="0"/>
          <w:szCs w:val="24"/>
          <w14:textFill>
            <w14:solidFill>
              <w14:schemeClr w14:val="tx1"/>
            </w14:solidFill>
          </w14:textFill>
        </w:rPr>
        <w:t>《初步设计文件》、《工程概算文件》各一份。</w:t>
      </w:r>
    </w:p>
    <w:p w14:paraId="5868CA18">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bookmarkStart w:id="468" w:name="_Toc19719"/>
    </w:p>
    <w:p w14:paraId="471DEB43">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61D73C6F">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19365906">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550207D5">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49F34940">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154DF20C">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6A4B6902">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6A0869D6">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5FD11719">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73700A8C">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2C518F5A">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4FF53826">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0D77FC73">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4F1C77CE">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122D043D">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640848F0">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2CE3028B">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1BE562CB">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4A0BC67C">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40CA5A7D">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2DFE4647">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0EDAD59B">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7C415D8B">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72AE8D36">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2D6C4A3A">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p>
    <w:p w14:paraId="2E68656B">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r>
        <w:rPr>
          <w:rFonts w:asciiTheme="minorEastAsia" w:hAnsiTheme="minorEastAsia" w:eastAsiaTheme="minorEastAsia" w:cstheme="minorEastAsia"/>
          <w:b/>
          <w:color w:val="000000" w:themeColor="text1"/>
          <w:kern w:val="44"/>
          <w:sz w:val="36"/>
          <w:szCs w:val="36"/>
          <w14:textFill>
            <w14:solidFill>
              <w14:schemeClr w14:val="tx1"/>
            </w14:solidFill>
          </w14:textFill>
        </w:rPr>
        <w:t>第六章  设计任务书</w:t>
      </w:r>
      <w:bookmarkEnd w:id="468"/>
    </w:p>
    <w:p w14:paraId="7607853F">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198FB7C0">
      <w:pPr>
        <w:pStyle w:val="5"/>
        <w:jc w:val="center"/>
        <w:rPr>
          <w:rFonts w:hint="default"/>
        </w:rPr>
      </w:pPr>
      <w:bookmarkStart w:id="469" w:name="_Toc15192"/>
      <w:r>
        <w:rPr>
          <w:rFonts w:asciiTheme="minorEastAsia" w:hAnsiTheme="minorEastAsia" w:eastAsiaTheme="minorEastAsia" w:cstheme="minorEastAsia"/>
          <w:color w:val="000000" w:themeColor="text1"/>
          <w:sz w:val="48"/>
          <w:szCs w:val="48"/>
          <w14:textFill>
            <w14:solidFill>
              <w14:schemeClr w14:val="tx1"/>
            </w14:solidFill>
          </w14:textFill>
        </w:rPr>
        <w:t>新丰县丰城街道105 国道龙江横江路段沿线整治和基础设施完善项目设计任务书</w:t>
      </w:r>
      <w:bookmarkEnd w:id="469"/>
    </w:p>
    <w:p w14:paraId="39890FF3">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5A35B6E4">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59B62BF5">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3CC13BC2">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5C1E4E94">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11B95A16">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0EC1BB10">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393209B6">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4FAB6E19">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7EAB8CE5">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164928E7">
      <w:pPr>
        <w:pStyle w:val="6"/>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p>
    <w:p w14:paraId="0FB2D533">
      <w:pPr>
        <w:sectPr>
          <w:endnotePr>
            <w:numFmt w:val="decimal"/>
          </w:endnotePr>
          <w:pgSz w:w="11906" w:h="16838"/>
          <w:pgMar w:top="850" w:right="850" w:bottom="850" w:left="850" w:header="850" w:footer="992" w:gutter="0"/>
          <w:cols w:space="720" w:num="1"/>
          <w:docGrid w:linePitch="327" w:charSpace="0"/>
        </w:sectPr>
      </w:pPr>
      <w:bookmarkStart w:id="470" w:name="_Toc466640614"/>
      <w:bookmarkStart w:id="471" w:name="_Toc6133"/>
      <w:bookmarkStart w:id="472" w:name="_Toc5639"/>
      <w:bookmarkStart w:id="473" w:name="_Toc27843"/>
      <w:bookmarkStart w:id="474" w:name="_Toc12955"/>
      <w:bookmarkStart w:id="475" w:name="_Toc16295"/>
      <w:bookmarkStart w:id="476" w:name="_Toc23899"/>
      <w:bookmarkStart w:id="477" w:name="_Toc5422"/>
      <w:bookmarkStart w:id="478" w:name="_Toc1911"/>
      <w:bookmarkStart w:id="479" w:name="_Hlt69698785"/>
    </w:p>
    <w:p w14:paraId="5AA9D09B">
      <w:pPr>
        <w:widowControl/>
        <w:numPr>
          <w:ilvl w:val="255"/>
          <w:numId w:val="0"/>
        </w:numPr>
        <w:jc w:val="left"/>
        <w:rPr>
          <w:rFonts w:ascii="仿宋" w:hAnsi="仿宋" w:eastAsia="仿宋" w:cs="仿宋"/>
          <w:color w:val="C00000"/>
          <w:kern w:val="0"/>
          <w:sz w:val="30"/>
          <w:szCs w:val="30"/>
          <w:lang w:bidi="ar"/>
        </w:rPr>
      </w:pPr>
    </w:p>
    <w:p w14:paraId="3FB4A44C">
      <w:pPr>
        <w:widowControl/>
        <w:numPr>
          <w:ilvl w:val="255"/>
          <w:numId w:val="0"/>
        </w:numPr>
        <w:jc w:val="left"/>
        <w:rPr>
          <w:rFonts w:asciiTheme="minorEastAsia" w:hAnsiTheme="minorEastAsia" w:eastAsiaTheme="minorEastAsia" w:cstheme="minorEastAsia"/>
          <w:szCs w:val="24"/>
        </w:rPr>
      </w:pPr>
      <w:r>
        <w:rPr>
          <w:rFonts w:ascii="仿宋" w:hAnsi="仿宋" w:eastAsia="仿宋" w:cs="仿宋"/>
          <w:b/>
          <w:bCs/>
          <w:kern w:val="0"/>
          <w:sz w:val="30"/>
          <w:szCs w:val="30"/>
          <w:lang w:bidi="ar"/>
        </w:rPr>
        <w:t>一、项目概况</w:t>
      </w:r>
    </w:p>
    <w:p w14:paraId="100FD739">
      <w:pPr>
        <w:widowControl/>
        <w:spacing w:line="360" w:lineRule="auto"/>
        <w:ind w:firstLine="480" w:firstLineChars="200"/>
        <w:jc w:val="left"/>
        <w:rPr>
          <w:rFonts w:asciiTheme="minorEastAsia" w:hAnsiTheme="minorEastAsia" w:eastAsiaTheme="minorEastAsia" w:cstheme="minorEastAsia"/>
          <w:kern w:val="0"/>
          <w:szCs w:val="24"/>
          <w:lang w:bidi="ar"/>
        </w:rPr>
      </w:pPr>
      <w:r>
        <w:rPr>
          <w:rFonts w:asciiTheme="minorEastAsia" w:hAnsiTheme="minorEastAsia" w:eastAsiaTheme="minorEastAsia" w:cstheme="minorEastAsia"/>
          <w:bCs/>
          <w:snapToGrid w:val="0"/>
          <w:kern w:val="0"/>
          <w:szCs w:val="24"/>
        </w:rPr>
        <w:t>1.</w:t>
      </w:r>
      <w:r>
        <w:rPr>
          <w:rFonts w:asciiTheme="minorEastAsia" w:hAnsiTheme="minorEastAsia" w:eastAsiaTheme="minorEastAsia" w:cstheme="minorEastAsia"/>
          <w:kern w:val="0"/>
          <w:szCs w:val="24"/>
          <w:lang w:bidi="ar"/>
        </w:rPr>
        <w:t>本项目建设的主要内容：本次改造是针对道路沿线风貌、广告牌以及环境的提升和道路基础设施的完善建设，主要包括非机动车道改铺彩色沥青和人行道建设（长度约为 4213.06 米，非机动车道宽度 2 米，人行道宽度 3.4 米）、地面翻新（道路红线到路边建筑的空间，面积约为 10507.44 平方米）、栏杆翻新（956.71米）、垃圾桶（100 个）、坐凳（25 个）、波形护栏板和混凝土栏板涂漆（956.71 平方米）、排水沟、道路绿化和商铺广告牌整治（990 平方米）等。项目规模整治道路全长约 2.8 公里，起点新丰金三角加油站，终点中国石油进丰加油站，整治的道路宽度为 18m-20m 左右，整治范围约为 4.07 万平方米。</w:t>
      </w:r>
    </w:p>
    <w:p w14:paraId="4AC0507E">
      <w:pPr>
        <w:widowControl/>
        <w:spacing w:line="360" w:lineRule="auto"/>
        <w:ind w:firstLine="480" w:firstLineChars="200"/>
        <w:jc w:val="left"/>
        <w:rPr>
          <w:rFonts w:asciiTheme="minorEastAsia" w:hAnsiTheme="minorEastAsia" w:eastAsiaTheme="minorEastAsia" w:cstheme="minorEastAsia"/>
          <w:kern w:val="0"/>
          <w:szCs w:val="24"/>
          <w:lang w:bidi="ar"/>
        </w:rPr>
      </w:pPr>
      <w:r>
        <w:rPr>
          <w:rFonts w:asciiTheme="minorEastAsia" w:hAnsiTheme="minorEastAsia" w:eastAsiaTheme="minorEastAsia" w:cstheme="minorEastAsia"/>
          <w:kern w:val="0"/>
          <w:szCs w:val="24"/>
          <w:lang w:bidi="ar"/>
        </w:rPr>
        <w:t>2、项目名称：新丰县丰城街道105 国道龙江横江路段沿线整治和基础设施完善项目</w:t>
      </w:r>
    </w:p>
    <w:p w14:paraId="4EDCC0BF">
      <w:pPr>
        <w:widowControl/>
        <w:spacing w:line="360" w:lineRule="auto"/>
        <w:ind w:firstLine="480" w:firstLineChars="200"/>
        <w:jc w:val="left"/>
        <w:rPr>
          <w:rFonts w:asciiTheme="minorEastAsia" w:hAnsiTheme="minorEastAsia" w:eastAsiaTheme="minorEastAsia" w:cstheme="minorEastAsia"/>
          <w:kern w:val="0"/>
          <w:szCs w:val="24"/>
          <w:lang w:bidi="ar"/>
        </w:rPr>
      </w:pPr>
      <w:r>
        <w:rPr>
          <w:rFonts w:asciiTheme="minorEastAsia" w:hAnsiTheme="minorEastAsia" w:eastAsiaTheme="minorEastAsia" w:cstheme="minorEastAsia"/>
          <w:kern w:val="0"/>
          <w:szCs w:val="24"/>
          <w:lang w:bidi="ar"/>
        </w:rPr>
        <w:t>3、项目建设单位：广东省韶关市新丰县人民政府丰城街道办事处</w:t>
      </w:r>
    </w:p>
    <w:p w14:paraId="05DB4A77">
      <w:pPr>
        <w:widowControl/>
        <w:spacing w:line="360" w:lineRule="auto"/>
        <w:ind w:firstLine="480" w:firstLineChars="200"/>
        <w:jc w:val="left"/>
        <w:rPr>
          <w:rFonts w:asciiTheme="minorEastAsia" w:hAnsiTheme="minorEastAsia" w:eastAsiaTheme="minorEastAsia" w:cstheme="minorEastAsia"/>
          <w:kern w:val="0"/>
          <w:szCs w:val="24"/>
          <w:lang w:bidi="ar"/>
        </w:rPr>
      </w:pPr>
      <w:r>
        <w:rPr>
          <w:rFonts w:asciiTheme="minorEastAsia" w:hAnsiTheme="minorEastAsia" w:eastAsiaTheme="minorEastAsia" w:cstheme="minorEastAsia"/>
          <w:kern w:val="0"/>
          <w:szCs w:val="24"/>
          <w:lang w:bidi="ar"/>
        </w:rPr>
        <w:t>4、项目性质：新建项目</w:t>
      </w:r>
    </w:p>
    <w:p w14:paraId="48C459FF">
      <w:pPr>
        <w:widowControl/>
        <w:spacing w:line="360" w:lineRule="auto"/>
        <w:ind w:firstLine="480" w:firstLineChars="200"/>
        <w:jc w:val="left"/>
        <w:rPr>
          <w:rFonts w:asciiTheme="minorEastAsia" w:hAnsiTheme="minorEastAsia" w:eastAsiaTheme="minorEastAsia" w:cstheme="minorEastAsia"/>
          <w:kern w:val="0"/>
          <w:szCs w:val="24"/>
          <w:lang w:bidi="ar"/>
        </w:rPr>
      </w:pPr>
      <w:r>
        <w:rPr>
          <w:rFonts w:asciiTheme="minorEastAsia" w:hAnsiTheme="minorEastAsia" w:eastAsiaTheme="minorEastAsia" w:cstheme="minorEastAsia"/>
          <w:kern w:val="0"/>
          <w:szCs w:val="24"/>
          <w:lang w:bidi="ar"/>
        </w:rPr>
        <w:t>5、拟建地点：韶关市新丰县丰城街道105国道龙江村~横江村段。</w:t>
      </w:r>
    </w:p>
    <w:p w14:paraId="2FBD7044">
      <w:pPr>
        <w:widowControl/>
        <w:spacing w:line="360" w:lineRule="auto"/>
        <w:ind w:firstLine="480" w:firstLineChars="200"/>
        <w:jc w:val="left"/>
        <w:rPr>
          <w:rFonts w:asciiTheme="minorEastAsia" w:hAnsiTheme="minorEastAsia" w:eastAsiaTheme="minorEastAsia" w:cstheme="minorEastAsia"/>
          <w:color w:val="C00000"/>
          <w:kern w:val="0"/>
          <w:szCs w:val="24"/>
          <w:lang w:bidi="ar"/>
        </w:rPr>
      </w:pPr>
      <w:r>
        <w:drawing>
          <wp:inline distT="0" distB="0" distL="114300" distR="114300">
            <wp:extent cx="5989955" cy="2726690"/>
            <wp:effectExtent l="0" t="0" r="1079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989955" cy="2726690"/>
                    </a:xfrm>
                    <a:prstGeom prst="rect">
                      <a:avLst/>
                    </a:prstGeom>
                    <a:noFill/>
                    <a:ln>
                      <a:noFill/>
                    </a:ln>
                  </pic:spPr>
                </pic:pic>
              </a:graphicData>
            </a:graphic>
          </wp:inline>
        </w:drawing>
      </w:r>
    </w:p>
    <w:p w14:paraId="1188B85F">
      <w:pPr>
        <w:pStyle w:val="5"/>
        <w:jc w:val="left"/>
        <w:rPr>
          <w:rFonts w:hint="default"/>
        </w:rPr>
      </w:pPr>
      <w:r>
        <w:t xml:space="preserve">   </w:t>
      </w:r>
      <w:r>
        <w:drawing>
          <wp:inline distT="0" distB="0" distL="114300" distR="114300">
            <wp:extent cx="6100445" cy="2402205"/>
            <wp:effectExtent l="0" t="0" r="14605"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6100445" cy="2402205"/>
                    </a:xfrm>
                    <a:prstGeom prst="rect">
                      <a:avLst/>
                    </a:prstGeom>
                    <a:noFill/>
                    <a:ln>
                      <a:noFill/>
                    </a:ln>
                  </pic:spPr>
                </pic:pic>
              </a:graphicData>
            </a:graphic>
          </wp:inline>
        </w:drawing>
      </w:r>
    </w:p>
    <w:p w14:paraId="4515DBEB">
      <w:pPr>
        <w:numPr>
          <w:ilvl w:val="255"/>
          <w:numId w:val="0"/>
        </w:numPr>
        <w:rPr>
          <w:rFonts w:asciiTheme="minorEastAsia" w:hAnsiTheme="minorEastAsia" w:eastAsiaTheme="minorEastAsia" w:cstheme="minorEastAsia"/>
          <w:b/>
          <w:bCs/>
          <w:color w:val="auto"/>
          <w:sz w:val="28"/>
          <w:szCs w:val="28"/>
        </w:rPr>
      </w:pPr>
      <w:r>
        <w:rPr>
          <w:rFonts w:asciiTheme="minorEastAsia" w:hAnsiTheme="minorEastAsia" w:eastAsiaTheme="minorEastAsia" w:cstheme="minorEastAsia"/>
          <w:b/>
          <w:bCs/>
          <w:sz w:val="28"/>
          <w:szCs w:val="28"/>
        </w:rPr>
        <w:t>二、功能需求及规模</w:t>
      </w:r>
    </w:p>
    <w:p w14:paraId="72A2A42E">
      <w:pPr>
        <w:widowControl/>
        <w:spacing w:line="360" w:lineRule="auto"/>
        <w:ind w:firstLine="480" w:firstLineChars="200"/>
        <w:jc w:val="left"/>
        <w:rPr>
          <w:rFonts w:asciiTheme="minorEastAsia" w:hAnsiTheme="minorEastAsia" w:eastAsiaTheme="minorEastAsia" w:cstheme="minorEastAsia"/>
          <w:color w:val="auto"/>
          <w:szCs w:val="24"/>
        </w:rPr>
      </w:pPr>
      <w:r>
        <w:rPr>
          <w:rFonts w:asciiTheme="minorEastAsia" w:hAnsiTheme="minorEastAsia" w:eastAsiaTheme="minorEastAsia" w:cstheme="minorEastAsia"/>
          <w:color w:val="auto"/>
          <w:kern w:val="0"/>
          <w:szCs w:val="24"/>
          <w:lang w:bidi="ar"/>
        </w:rPr>
        <w:t xml:space="preserve">1.现状道路路面比较破旧，个别地方有坑，道路沿线建筑商铺广告牌不统一，排水设施比较差，道路人行道设施比较差，机动车道和非机动车道混行，现状道路路面为沥青。 </w:t>
      </w:r>
    </w:p>
    <w:p w14:paraId="6481626F">
      <w:pPr>
        <w:widowControl/>
        <w:spacing w:line="360" w:lineRule="auto"/>
        <w:ind w:firstLine="480" w:firstLineChars="200"/>
        <w:jc w:val="left"/>
        <w:rPr>
          <w:rFonts w:asciiTheme="minorEastAsia" w:hAnsiTheme="minorEastAsia" w:eastAsiaTheme="minorEastAsia" w:cstheme="minorEastAsia"/>
          <w:color w:val="auto"/>
          <w:kern w:val="0"/>
          <w:szCs w:val="24"/>
          <w:lang w:bidi="ar"/>
        </w:rPr>
      </w:pPr>
      <w:r>
        <w:rPr>
          <w:rFonts w:asciiTheme="minorEastAsia" w:hAnsiTheme="minorEastAsia" w:eastAsiaTheme="minorEastAsia" w:cstheme="minorEastAsia"/>
          <w:color w:val="auto"/>
          <w:kern w:val="0"/>
          <w:szCs w:val="24"/>
          <w:lang w:bidi="ar"/>
        </w:rPr>
        <w:t>2.随着社会的发展、百千万工程的推进和新丰县城道路需求的增加，有需求对这段道路进行整治，提升进新丰县城道路的风貌。</w:t>
      </w:r>
    </w:p>
    <w:p w14:paraId="52AA218D">
      <w:pPr>
        <w:widowControl/>
        <w:spacing w:line="360" w:lineRule="auto"/>
        <w:ind w:firstLine="480" w:firstLineChars="200"/>
        <w:jc w:val="left"/>
        <w:rPr>
          <w:rFonts w:asciiTheme="minorEastAsia" w:hAnsiTheme="minorEastAsia" w:eastAsiaTheme="minorEastAsia" w:cstheme="minorEastAsia"/>
          <w:szCs w:val="24"/>
        </w:rPr>
      </w:pPr>
      <w:r>
        <w:rPr>
          <w:rFonts w:asciiTheme="minorEastAsia" w:hAnsiTheme="minorEastAsia" w:eastAsiaTheme="minorEastAsia" w:cstheme="minorEastAsia"/>
          <w:color w:val="000000"/>
          <w:kern w:val="0"/>
          <w:szCs w:val="24"/>
          <w:lang w:bidi="ar"/>
        </w:rPr>
        <w:t>3.为深入推进省委“百县千镇万村高质量发展工程”，贯彻落实省、市、县关于城乡建筑风貌管控提升工作的决策部署，规范10丰城街道辖区内道路路域环境管理，实现进城见景、进城见美、进城有序，展现新丰入城第一面美好形象。</w:t>
      </w:r>
    </w:p>
    <w:p w14:paraId="63D60745">
      <w:pPr>
        <w:pStyle w:val="5"/>
        <w:rPr>
          <w:rFonts w:hint="default"/>
        </w:rPr>
        <w:sectPr>
          <w:endnotePr>
            <w:numFmt w:val="decimal"/>
          </w:endnotePr>
          <w:pgSz w:w="11906" w:h="16838"/>
          <w:pgMar w:top="850" w:right="850" w:bottom="850" w:left="850" w:header="850" w:footer="992" w:gutter="0"/>
          <w:cols w:space="720" w:num="1"/>
          <w:docGrid w:linePitch="327" w:charSpace="0"/>
        </w:sectPr>
      </w:pPr>
    </w:p>
    <w:p w14:paraId="24E1D53C">
      <w:pPr>
        <w:pStyle w:val="5"/>
        <w:rPr>
          <w:rFonts w:hint="default"/>
        </w:rPr>
      </w:pPr>
    </w:p>
    <w:p w14:paraId="06BE193F"/>
    <w:bookmarkEnd w:id="470"/>
    <w:bookmarkEnd w:id="471"/>
    <w:bookmarkEnd w:id="472"/>
    <w:bookmarkEnd w:id="473"/>
    <w:bookmarkEnd w:id="474"/>
    <w:bookmarkEnd w:id="475"/>
    <w:bookmarkEnd w:id="476"/>
    <w:bookmarkEnd w:id="477"/>
    <w:bookmarkEnd w:id="478"/>
    <w:p w14:paraId="45DB2D13">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bookmarkStart w:id="480" w:name="_Toc10329"/>
      <w:bookmarkStart w:id="481" w:name="_Toc24349"/>
      <w:r>
        <w:rPr>
          <w:rFonts w:asciiTheme="minorEastAsia" w:hAnsiTheme="minorEastAsia" w:eastAsiaTheme="minorEastAsia" w:cstheme="minorEastAsia"/>
          <w:b/>
          <w:color w:val="000000" w:themeColor="text1"/>
          <w:kern w:val="44"/>
          <w:sz w:val="36"/>
          <w:szCs w:val="36"/>
          <w14:textFill>
            <w14:solidFill>
              <w14:schemeClr w14:val="tx1"/>
            </w14:solidFill>
          </w14:textFill>
        </w:rPr>
        <w:t>第七章  招标文件</w:t>
      </w:r>
      <w:bookmarkStart w:id="482" w:name="_Hlt75747044"/>
      <w:bookmarkEnd w:id="482"/>
      <w:r>
        <w:rPr>
          <w:rFonts w:asciiTheme="minorEastAsia" w:hAnsiTheme="minorEastAsia" w:eastAsiaTheme="minorEastAsia" w:cstheme="minorEastAsia"/>
          <w:b/>
          <w:color w:val="000000" w:themeColor="text1"/>
          <w:kern w:val="44"/>
          <w:sz w:val="36"/>
          <w:szCs w:val="36"/>
          <w14:textFill>
            <w14:solidFill>
              <w14:schemeClr w14:val="tx1"/>
            </w14:solidFill>
          </w14:textFill>
        </w:rPr>
        <w:t>的附件</w:t>
      </w:r>
      <w:bookmarkEnd w:id="480"/>
      <w:bookmarkEnd w:id="481"/>
    </w:p>
    <w:p w14:paraId="045D0BAC">
      <w:pPr>
        <w:rPr>
          <w:rFonts w:asciiTheme="minorEastAsia" w:hAnsiTheme="minorEastAsia" w:eastAsiaTheme="minorEastAsia" w:cstheme="minorEastAsia"/>
          <w:color w:val="000000" w:themeColor="text1"/>
          <w14:textFill>
            <w14:solidFill>
              <w14:schemeClr w14:val="tx1"/>
            </w14:solidFill>
          </w14:textFill>
        </w:rPr>
      </w:pPr>
    </w:p>
    <w:bookmarkEnd w:id="479"/>
    <w:p w14:paraId="009569D4">
      <w:pPr>
        <w:pStyle w:val="3"/>
        <w:spacing w:before="120"/>
        <w:jc w:val="center"/>
        <w:rPr>
          <w:rFonts w:asciiTheme="minorEastAsia" w:hAnsiTheme="minorEastAsia" w:eastAsiaTheme="minorEastAsia" w:cstheme="minorEastAsia"/>
          <w:b/>
          <w:snapToGrid w:val="0"/>
          <w:color w:val="000000" w:themeColor="text1"/>
          <w:szCs w:val="24"/>
          <w14:textFill>
            <w14:solidFill>
              <w14:schemeClr w14:val="tx1"/>
            </w14:solidFill>
          </w14:textFill>
        </w:rPr>
      </w:pPr>
      <w:bookmarkStart w:id="483" w:name="_附件四：工期承诺书"/>
      <w:bookmarkEnd w:id="483"/>
      <w:bookmarkStart w:id="484" w:name="_附件五：综合评审合理低价法"/>
      <w:bookmarkEnd w:id="484"/>
      <w:bookmarkStart w:id="485" w:name="_附件二：近三年度主要施工项目（竣工及在建）一览表"/>
      <w:bookmarkEnd w:id="485"/>
      <w:bookmarkStart w:id="486" w:name="_附件一：对招标文件条款自愿接受承诺书"/>
      <w:bookmarkEnd w:id="486"/>
      <w:bookmarkStart w:id="487" w:name="_附件一：投标函"/>
      <w:bookmarkEnd w:id="487"/>
      <w:bookmarkStart w:id="488" w:name="_附件二：工期承诺书"/>
      <w:bookmarkEnd w:id="488"/>
      <w:bookmarkStart w:id="489" w:name="_Toc12527"/>
      <w:bookmarkStart w:id="490" w:name="_Toc12406"/>
      <w:bookmarkStart w:id="491" w:name="_Toc25175"/>
      <w:bookmarkStart w:id="492" w:name="_Toc39136360"/>
      <w:bookmarkStart w:id="493" w:name="_Toc3855"/>
      <w:bookmarkStart w:id="494" w:name="_Toc2902"/>
      <w:bookmarkStart w:id="495" w:name="_Toc6443"/>
      <w:bookmarkStart w:id="496" w:name="_Toc142468134"/>
      <w:bookmarkStart w:id="497" w:name="_Toc133160683"/>
      <w:bookmarkStart w:id="498" w:name="_Toc137444778"/>
      <w:bookmarkStart w:id="499" w:name="_Toc132687128"/>
      <w:bookmarkStart w:id="500" w:name="_Toc78794873"/>
      <w:bookmarkStart w:id="501" w:name="_Toc133815902"/>
      <w:r>
        <w:rPr>
          <w:rFonts w:asciiTheme="minorEastAsia" w:hAnsiTheme="minorEastAsia" w:eastAsiaTheme="minorEastAsia" w:cstheme="minorEastAsia"/>
          <w:b/>
          <w:snapToGrid w:val="0"/>
          <w:color w:val="000000" w:themeColor="text1"/>
          <w:szCs w:val="24"/>
          <w14:textFill>
            <w14:solidFill>
              <w14:schemeClr w14:val="tx1"/>
            </w14:solidFill>
          </w14:textFill>
        </w:rPr>
        <w:t>格式一 封面</w:t>
      </w:r>
      <w:bookmarkEnd w:id="489"/>
      <w:bookmarkEnd w:id="490"/>
      <w:bookmarkEnd w:id="491"/>
      <w:bookmarkEnd w:id="492"/>
      <w:bookmarkEnd w:id="493"/>
      <w:bookmarkEnd w:id="494"/>
      <w:bookmarkEnd w:id="495"/>
    </w:p>
    <w:p w14:paraId="7F09A129">
      <w:pPr>
        <w:pStyle w:val="46"/>
        <w:widowControl w:val="0"/>
        <w:wordWrap w:val="0"/>
        <w:adjustRightInd w:val="0"/>
        <w:snapToGrid w:val="0"/>
        <w:rPr>
          <w:rFonts w:hint="eastAsia" w:asciiTheme="minorEastAsia" w:hAnsiTheme="minorEastAsia" w:eastAsiaTheme="minorEastAsia" w:cstheme="minorEastAsia"/>
          <w:b/>
          <w:snapToGrid w:val="0"/>
          <w:color w:val="000000" w:themeColor="text1"/>
          <w:sz w:val="24"/>
          <w:szCs w:val="24"/>
          <w14:textFill>
            <w14:solidFill>
              <w14:schemeClr w14:val="tx1"/>
            </w14:solidFill>
          </w14:textFill>
        </w:rPr>
      </w:pPr>
    </w:p>
    <w:p w14:paraId="2F78961C">
      <w:pPr>
        <w:pStyle w:val="46"/>
        <w:widowControl w:val="0"/>
        <w:wordWrap w:val="0"/>
        <w:adjustRightInd w:val="0"/>
        <w:snapToGrid w:val="0"/>
        <w:jc w:val="right"/>
        <w:rPr>
          <w:rFonts w:hint="eastAsia" w:asciiTheme="minorEastAsia" w:hAnsiTheme="minorEastAsia" w:eastAsiaTheme="minorEastAsia" w:cstheme="minorEastAsia"/>
          <w:b/>
          <w:snapToGrid w:val="0"/>
          <w:color w:val="000000" w:themeColor="text1"/>
          <w:sz w:val="24"/>
          <w:szCs w:val="24"/>
          <w14:textFill>
            <w14:solidFill>
              <w14:schemeClr w14:val="tx1"/>
            </w14:solidFill>
          </w14:textFill>
        </w:rPr>
      </w:pPr>
    </w:p>
    <w:p w14:paraId="40238B0F">
      <w:pPr>
        <w:pStyle w:val="46"/>
        <w:widowControl w:val="0"/>
        <w:wordWrap w:val="0"/>
        <w:adjustRightInd w:val="0"/>
        <w:snapToGrid w:val="0"/>
        <w:rPr>
          <w:rFonts w:hint="eastAsia" w:asciiTheme="minorEastAsia" w:hAnsiTheme="minorEastAsia" w:eastAsiaTheme="minorEastAsia" w:cstheme="minorEastAsia"/>
          <w:b/>
          <w:snapToGrid w:val="0"/>
          <w:color w:val="000000" w:themeColor="text1"/>
          <w:sz w:val="24"/>
          <w:szCs w:val="24"/>
          <w14:textFill>
            <w14:solidFill>
              <w14:schemeClr w14:val="tx1"/>
            </w14:solidFill>
          </w14:textFill>
        </w:rPr>
      </w:pPr>
    </w:p>
    <w:p w14:paraId="2E9AA4F4">
      <w:pPr>
        <w:pStyle w:val="46"/>
        <w:widowControl w:val="0"/>
        <w:wordWrap w:val="0"/>
        <w:adjustRightInd w:val="0"/>
        <w:snapToGrid w:val="0"/>
        <w:ind w:firstLine="0"/>
        <w:rPr>
          <w:rFonts w:hint="eastAsia" w:asciiTheme="minorEastAsia" w:hAnsiTheme="minorEastAsia" w:eastAsiaTheme="minorEastAsia" w:cstheme="minorEastAsia"/>
          <w:b/>
          <w:snapToGrid w:val="0"/>
          <w:color w:val="000000" w:themeColor="text1"/>
          <w:sz w:val="24"/>
          <w14:textFill>
            <w14:solidFill>
              <w14:schemeClr w14:val="tx1"/>
            </w14:solidFill>
          </w14:textFill>
        </w:rPr>
      </w:pPr>
      <w:bookmarkStart w:id="502" w:name="_附件二十四：技术标提问单"/>
      <w:bookmarkEnd w:id="502"/>
      <w:bookmarkStart w:id="503" w:name="_Hlt68774664"/>
      <w:bookmarkEnd w:id="503"/>
      <w:bookmarkStart w:id="504" w:name="_附件二十五：综合评审合理低价法"/>
      <w:bookmarkEnd w:id="504"/>
      <w:bookmarkStart w:id="505" w:name="_Hlt69116778"/>
      <w:bookmarkEnd w:id="505"/>
      <w:bookmarkStart w:id="506" w:name="_附件十：单项工程费汇总表"/>
      <w:bookmarkEnd w:id="506"/>
      <w:bookmarkStart w:id="507" w:name="_Toc15791"/>
      <w:bookmarkStart w:id="508" w:name="_Toc26795"/>
      <w:bookmarkStart w:id="509" w:name="_Toc39136361"/>
      <w:bookmarkStart w:id="510" w:name="_Toc28483"/>
      <w:bookmarkStart w:id="511" w:name="_Toc5872"/>
      <w:bookmarkStart w:id="512" w:name="_Toc106418843"/>
      <w:bookmarkStart w:id="513" w:name="_Hlt66847557"/>
      <w:bookmarkStart w:id="514" w:name="_Toc66849200"/>
      <w:bookmarkStart w:id="515" w:name="_Toc466640620"/>
      <w:bookmarkStart w:id="516" w:name="_Toc104711098"/>
    </w:p>
    <w:p w14:paraId="7DB6EAB2">
      <w:pPr>
        <w:pStyle w:val="46"/>
        <w:widowControl w:val="0"/>
        <w:wordWrap w:val="0"/>
        <w:adjustRightInd w:val="0"/>
        <w:snapToGrid w:val="0"/>
        <w:rPr>
          <w:rFonts w:hint="eastAsia" w:asciiTheme="minorEastAsia" w:hAnsiTheme="minorEastAsia" w:eastAsiaTheme="minorEastAsia" w:cstheme="minorEastAsia"/>
          <w:b/>
          <w:snapToGrid w:val="0"/>
          <w:color w:val="000000" w:themeColor="text1"/>
          <w:sz w:val="24"/>
          <w14:textFill>
            <w14:solidFill>
              <w14:schemeClr w14:val="tx1"/>
            </w14:solidFill>
          </w14:textFill>
        </w:rPr>
      </w:pPr>
    </w:p>
    <w:p w14:paraId="6D56A87F">
      <w:pPr>
        <w:pStyle w:val="46"/>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48"/>
          <w:szCs w:val="48"/>
          <w14:textFill>
            <w14:solidFill>
              <w14:schemeClr w14:val="tx1"/>
            </w14:solidFill>
          </w14:textFill>
        </w:rPr>
      </w:pPr>
      <w:r>
        <w:rPr>
          <w:rFonts w:hint="eastAsia" w:asciiTheme="minorEastAsia" w:hAnsiTheme="minorEastAsia" w:eastAsiaTheme="minorEastAsia" w:cstheme="minorEastAsia"/>
          <w:b/>
          <w:snapToGrid w:val="0"/>
          <w:color w:val="000000" w:themeColor="text1"/>
          <w:sz w:val="48"/>
          <w:szCs w:val="48"/>
          <w:u w:val="single"/>
          <w14:textFill>
            <w14:solidFill>
              <w14:schemeClr w14:val="tx1"/>
            </w14:solidFill>
          </w14:textFill>
        </w:rPr>
        <w:t xml:space="preserve">（项目名称）   </w:t>
      </w:r>
      <w:r>
        <w:rPr>
          <w:rFonts w:hint="eastAsia" w:asciiTheme="minorEastAsia" w:hAnsiTheme="minorEastAsia" w:eastAsiaTheme="minorEastAsia" w:cstheme="minorEastAsia"/>
          <w:b/>
          <w:snapToGrid w:val="0"/>
          <w:color w:val="000000" w:themeColor="text1"/>
          <w:sz w:val="48"/>
          <w:szCs w:val="48"/>
          <w14:textFill>
            <w14:solidFill>
              <w14:schemeClr w14:val="tx1"/>
            </w14:solidFill>
          </w14:textFill>
        </w:rPr>
        <w:t>招标</w:t>
      </w:r>
    </w:p>
    <w:p w14:paraId="308AF777">
      <w:pPr>
        <w:pStyle w:val="46"/>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14:textFill>
            <w14:solidFill>
              <w14:schemeClr w14:val="tx1"/>
            </w14:solidFill>
          </w14:textFill>
        </w:rPr>
      </w:pPr>
    </w:p>
    <w:p w14:paraId="5E445649">
      <w:pPr>
        <w:pStyle w:val="46"/>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14:textFill>
            <w14:solidFill>
              <w14:schemeClr w14:val="tx1"/>
            </w14:solidFill>
          </w14:textFill>
        </w:rPr>
      </w:pPr>
    </w:p>
    <w:p w14:paraId="7EAF2859">
      <w:pPr>
        <w:pStyle w:val="46"/>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14:textFill>
            <w14:solidFill>
              <w14:schemeClr w14:val="tx1"/>
            </w14:solidFill>
          </w14:textFill>
        </w:rPr>
      </w:pPr>
    </w:p>
    <w:p w14:paraId="20ABEBE0">
      <w:pPr>
        <w:pStyle w:val="46"/>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14:textFill>
            <w14:solidFill>
              <w14:schemeClr w14:val="tx1"/>
            </w14:solidFill>
          </w14:textFill>
        </w:rPr>
      </w:pPr>
    </w:p>
    <w:p w14:paraId="7E84A87E">
      <w:pPr>
        <w:pStyle w:val="46"/>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72"/>
          <w14:textFill>
            <w14:solidFill>
              <w14:schemeClr w14:val="tx1"/>
            </w14:solidFill>
          </w14:textFill>
        </w:rPr>
      </w:pPr>
      <w:r>
        <w:rPr>
          <w:rFonts w:hint="eastAsia" w:asciiTheme="minorEastAsia" w:hAnsiTheme="minorEastAsia" w:eastAsiaTheme="minorEastAsia" w:cstheme="minorEastAsia"/>
          <w:b/>
          <w:snapToGrid w:val="0"/>
          <w:color w:val="000000" w:themeColor="text1"/>
          <w:sz w:val="72"/>
          <w14:textFill>
            <w14:solidFill>
              <w14:schemeClr w14:val="tx1"/>
            </w14:solidFill>
          </w14:textFill>
        </w:rPr>
        <w:t>投  标  文  件</w:t>
      </w:r>
    </w:p>
    <w:p w14:paraId="4240EBD9">
      <w:pPr>
        <w:pStyle w:val="46"/>
        <w:widowControl w:val="0"/>
        <w:wordWrap w:val="0"/>
        <w:adjustRightInd w:val="0"/>
        <w:snapToGrid w:val="0"/>
        <w:ind w:firstLine="0"/>
        <w:jc w:val="center"/>
        <w:rPr>
          <w:rFonts w:hint="eastAsia" w:asciiTheme="minorEastAsia" w:hAnsiTheme="minorEastAsia" w:eastAsiaTheme="minorEastAsia" w:cstheme="minorEastAsia"/>
          <w:b/>
          <w:snapToGrid w:val="0"/>
          <w:color w:val="000000" w:themeColor="text1"/>
          <w:sz w:val="32"/>
          <w14:textFill>
            <w14:solidFill>
              <w14:schemeClr w14:val="tx1"/>
            </w14:solidFill>
          </w14:textFill>
        </w:rPr>
      </w:pPr>
    </w:p>
    <w:p w14:paraId="4FA4CA42">
      <w:pPr>
        <w:pStyle w:val="46"/>
        <w:widowControl w:val="0"/>
        <w:wordWrap w:val="0"/>
        <w:adjustRightInd w:val="0"/>
        <w:snapToGrid w:val="0"/>
        <w:ind w:firstLine="0"/>
        <w:rPr>
          <w:rFonts w:hint="eastAsia" w:asciiTheme="minorEastAsia" w:hAnsiTheme="minorEastAsia" w:eastAsiaTheme="minorEastAsia" w:cstheme="minorEastAsia"/>
          <w:b/>
          <w:snapToGrid w:val="0"/>
          <w:color w:val="000000" w:themeColor="text1"/>
          <w:sz w:val="32"/>
          <w14:textFill>
            <w14:solidFill>
              <w14:schemeClr w14:val="tx1"/>
            </w14:solidFill>
          </w14:textFill>
        </w:rPr>
      </w:pPr>
    </w:p>
    <w:p w14:paraId="7FF02B6D">
      <w:pPr>
        <w:pStyle w:val="46"/>
        <w:widowControl w:val="0"/>
        <w:wordWrap w:val="0"/>
        <w:adjustRightInd w:val="0"/>
        <w:snapToGrid w:val="0"/>
        <w:ind w:firstLine="0"/>
        <w:rPr>
          <w:rFonts w:hint="eastAsia" w:asciiTheme="minorEastAsia" w:hAnsiTheme="minorEastAsia" w:eastAsiaTheme="minorEastAsia" w:cstheme="minorEastAsia"/>
          <w:b/>
          <w:snapToGrid w:val="0"/>
          <w:color w:val="000000" w:themeColor="text1"/>
          <w:sz w:val="32"/>
          <w14:textFill>
            <w14:solidFill>
              <w14:schemeClr w14:val="tx1"/>
            </w14:solidFill>
          </w14:textFill>
        </w:rPr>
      </w:pPr>
    </w:p>
    <w:p w14:paraId="3BBEF28D">
      <w:pPr>
        <w:pStyle w:val="46"/>
        <w:widowControl w:val="0"/>
        <w:wordWrap w:val="0"/>
        <w:adjustRightInd w:val="0"/>
        <w:snapToGrid w:val="0"/>
        <w:rPr>
          <w:rFonts w:hint="eastAsia" w:asciiTheme="minorEastAsia" w:hAnsiTheme="minorEastAsia" w:eastAsiaTheme="minorEastAsia" w:cstheme="minorEastAsia"/>
          <w:b/>
          <w:snapToGrid w:val="0"/>
          <w:color w:val="000000" w:themeColor="text1"/>
          <w:sz w:val="32"/>
          <w14:textFill>
            <w14:solidFill>
              <w14:schemeClr w14:val="tx1"/>
            </w14:solidFill>
          </w14:textFill>
        </w:rPr>
      </w:pPr>
    </w:p>
    <w:p w14:paraId="276BF21A">
      <w:pPr>
        <w:pStyle w:val="46"/>
        <w:widowControl w:val="0"/>
        <w:wordWrap w:val="0"/>
        <w:adjustRightInd w:val="0"/>
        <w:snapToGrid w:val="0"/>
        <w:rPr>
          <w:rFonts w:hint="eastAsia" w:asciiTheme="minorEastAsia" w:hAnsiTheme="minorEastAsia" w:eastAsiaTheme="minorEastAsia" w:cstheme="minorEastAsia"/>
          <w:b/>
          <w:snapToGrid w:val="0"/>
          <w:color w:val="000000" w:themeColor="text1"/>
          <w:sz w:val="32"/>
          <w14:textFill>
            <w14:solidFill>
              <w14:schemeClr w14:val="tx1"/>
            </w14:solidFill>
          </w14:textFill>
        </w:rPr>
      </w:pPr>
    </w:p>
    <w:p w14:paraId="733391FB">
      <w:pPr>
        <w:pStyle w:val="46"/>
        <w:widowControl w:val="0"/>
        <w:wordWrap w:val="0"/>
        <w:adjustRightInd w:val="0"/>
        <w:snapToGrid w:val="0"/>
        <w:ind w:firstLine="0"/>
        <w:jc w:val="center"/>
        <w:rPr>
          <w:rFonts w:hint="eastAsia" w:hAnsi="宋体" w:eastAsia="宋体" w:cs="宋体"/>
          <w:bCs/>
          <w:snapToGrid w:val="0"/>
          <w:color w:val="000000" w:themeColor="text1"/>
          <w:sz w:val="32"/>
          <w14:textFill>
            <w14:solidFill>
              <w14:schemeClr w14:val="tx1"/>
            </w14:solidFill>
          </w14:textFill>
        </w:rPr>
      </w:pPr>
      <w:r>
        <w:rPr>
          <w:rFonts w:hint="eastAsia" w:hAnsi="宋体" w:eastAsia="宋体" w:cs="宋体"/>
          <w:bCs/>
          <w:snapToGrid w:val="0"/>
          <w:color w:val="000000" w:themeColor="text1"/>
          <w:sz w:val="32"/>
          <w14:textFill>
            <w14:solidFill>
              <w14:schemeClr w14:val="tx1"/>
            </w14:solidFill>
          </w14:textFill>
        </w:rPr>
        <w:t>投标人：</w:t>
      </w:r>
      <w:r>
        <w:rPr>
          <w:rFonts w:hint="eastAsia" w:hAnsi="宋体" w:eastAsia="宋体" w:cs="宋体"/>
          <w:bCs/>
          <w:snapToGrid w:val="0"/>
          <w:color w:val="000000" w:themeColor="text1"/>
          <w:sz w:val="32"/>
          <w:u w:val="single"/>
          <w14:textFill>
            <w14:solidFill>
              <w14:schemeClr w14:val="tx1"/>
            </w14:solidFill>
          </w14:textFill>
        </w:rPr>
        <w:t xml:space="preserve">                                    </w:t>
      </w:r>
      <w:r>
        <w:rPr>
          <w:rFonts w:hint="eastAsia" w:hAnsi="宋体" w:eastAsia="宋体" w:cs="宋体"/>
          <w:bCs/>
          <w:snapToGrid w:val="0"/>
          <w:color w:val="000000" w:themeColor="text1"/>
          <w:sz w:val="32"/>
          <w14:textFill>
            <w14:solidFill>
              <w14:schemeClr w14:val="tx1"/>
            </w14:solidFill>
          </w14:textFill>
        </w:rPr>
        <w:t>（盖单位章）</w:t>
      </w:r>
    </w:p>
    <w:p w14:paraId="1C742F6A">
      <w:pPr>
        <w:pStyle w:val="46"/>
        <w:widowControl w:val="0"/>
        <w:wordWrap w:val="0"/>
        <w:adjustRightInd w:val="0"/>
        <w:snapToGrid w:val="0"/>
        <w:ind w:firstLine="0"/>
        <w:jc w:val="center"/>
        <w:rPr>
          <w:rFonts w:hint="eastAsia" w:hAnsi="宋体" w:eastAsia="宋体" w:cs="宋体"/>
          <w:bCs/>
          <w:snapToGrid w:val="0"/>
          <w:color w:val="000000" w:themeColor="text1"/>
          <w:sz w:val="32"/>
          <w14:textFill>
            <w14:solidFill>
              <w14:schemeClr w14:val="tx1"/>
            </w14:solidFill>
          </w14:textFill>
        </w:rPr>
      </w:pPr>
    </w:p>
    <w:p w14:paraId="304BB845">
      <w:pPr>
        <w:pStyle w:val="46"/>
        <w:widowControl w:val="0"/>
        <w:wordWrap w:val="0"/>
        <w:adjustRightInd w:val="0"/>
        <w:snapToGrid w:val="0"/>
        <w:ind w:firstLine="0"/>
        <w:jc w:val="center"/>
        <w:rPr>
          <w:rFonts w:hint="eastAsia" w:hAnsi="宋体" w:eastAsia="宋体" w:cs="宋体"/>
          <w:bCs/>
          <w:snapToGrid w:val="0"/>
          <w:color w:val="000000" w:themeColor="text1"/>
          <w:sz w:val="32"/>
          <w14:textFill>
            <w14:solidFill>
              <w14:schemeClr w14:val="tx1"/>
            </w14:solidFill>
          </w14:textFill>
        </w:rPr>
      </w:pPr>
    </w:p>
    <w:p w14:paraId="63E902D6">
      <w:pPr>
        <w:pStyle w:val="46"/>
        <w:widowControl w:val="0"/>
        <w:wordWrap w:val="0"/>
        <w:adjustRightInd w:val="0"/>
        <w:snapToGrid w:val="0"/>
        <w:ind w:firstLine="0"/>
        <w:jc w:val="center"/>
        <w:rPr>
          <w:rFonts w:hint="eastAsia" w:hAnsi="宋体" w:eastAsia="宋体" w:cs="宋体"/>
          <w:bCs/>
          <w:snapToGrid w:val="0"/>
          <w:color w:val="000000" w:themeColor="text1"/>
          <w:sz w:val="32"/>
          <w14:textFill>
            <w14:solidFill>
              <w14:schemeClr w14:val="tx1"/>
            </w14:solidFill>
          </w14:textFill>
        </w:rPr>
      </w:pPr>
    </w:p>
    <w:p w14:paraId="7D1EA86D">
      <w:pPr>
        <w:pStyle w:val="46"/>
        <w:widowControl w:val="0"/>
        <w:wordWrap w:val="0"/>
        <w:adjustRightInd w:val="0"/>
        <w:snapToGrid w:val="0"/>
        <w:ind w:firstLine="0"/>
        <w:jc w:val="center"/>
        <w:rPr>
          <w:rFonts w:hint="eastAsia" w:hAnsi="宋体" w:eastAsia="宋体" w:cs="宋体"/>
          <w:bCs/>
          <w:snapToGrid w:val="0"/>
          <w:color w:val="000000" w:themeColor="text1"/>
          <w:sz w:val="32"/>
          <w14:textFill>
            <w14:solidFill>
              <w14:schemeClr w14:val="tx1"/>
            </w14:solidFill>
          </w14:textFill>
        </w:rPr>
      </w:pPr>
      <w:r>
        <w:rPr>
          <w:rFonts w:hint="eastAsia" w:hAnsi="宋体" w:eastAsia="宋体" w:cs="宋体"/>
          <w:bCs/>
          <w:snapToGrid w:val="0"/>
          <w:color w:val="000000" w:themeColor="text1"/>
          <w:sz w:val="32"/>
          <w14:textFill>
            <w14:solidFill>
              <w14:schemeClr w14:val="tx1"/>
            </w14:solidFill>
          </w14:textFill>
        </w:rPr>
        <w:t>法定代表人或其委托代理人：</w:t>
      </w:r>
      <w:r>
        <w:rPr>
          <w:rFonts w:hint="eastAsia" w:hAnsi="宋体" w:eastAsia="宋体" w:cs="宋体"/>
          <w:bCs/>
          <w:snapToGrid w:val="0"/>
          <w:color w:val="000000" w:themeColor="text1"/>
          <w:sz w:val="32"/>
          <w:u w:val="single"/>
          <w14:textFill>
            <w14:solidFill>
              <w14:schemeClr w14:val="tx1"/>
            </w14:solidFill>
          </w14:textFill>
        </w:rPr>
        <w:t xml:space="preserve">                 </w:t>
      </w:r>
      <w:r>
        <w:rPr>
          <w:rFonts w:hint="eastAsia" w:hAnsi="宋体" w:eastAsia="宋体" w:cs="宋体"/>
          <w:bCs/>
          <w:snapToGrid w:val="0"/>
          <w:color w:val="000000" w:themeColor="text1"/>
          <w:sz w:val="32"/>
          <w14:textFill>
            <w14:solidFill>
              <w14:schemeClr w14:val="tx1"/>
            </w14:solidFill>
          </w14:textFill>
        </w:rPr>
        <w:t>（签字或盖章）</w:t>
      </w:r>
    </w:p>
    <w:p w14:paraId="1C3051E4">
      <w:pPr>
        <w:pStyle w:val="46"/>
        <w:widowControl w:val="0"/>
        <w:wordWrap w:val="0"/>
        <w:adjustRightInd w:val="0"/>
        <w:snapToGrid w:val="0"/>
        <w:ind w:firstLine="0"/>
        <w:jc w:val="center"/>
        <w:rPr>
          <w:rFonts w:hint="eastAsia" w:hAnsi="宋体" w:eastAsia="宋体" w:cs="宋体"/>
          <w:bCs/>
          <w:snapToGrid w:val="0"/>
          <w:color w:val="000000" w:themeColor="text1"/>
          <w:sz w:val="32"/>
          <w14:textFill>
            <w14:solidFill>
              <w14:schemeClr w14:val="tx1"/>
            </w14:solidFill>
          </w14:textFill>
        </w:rPr>
      </w:pPr>
    </w:p>
    <w:p w14:paraId="04C247B6">
      <w:pPr>
        <w:pStyle w:val="46"/>
        <w:widowControl w:val="0"/>
        <w:wordWrap w:val="0"/>
        <w:adjustRightInd w:val="0"/>
        <w:snapToGrid w:val="0"/>
        <w:ind w:firstLine="0"/>
        <w:jc w:val="center"/>
        <w:rPr>
          <w:rFonts w:hint="eastAsia" w:hAnsi="宋体" w:eastAsia="宋体" w:cs="宋体"/>
          <w:bCs/>
          <w:snapToGrid w:val="0"/>
          <w:color w:val="000000" w:themeColor="text1"/>
          <w:sz w:val="32"/>
          <w:u w:val="single"/>
          <w14:textFill>
            <w14:solidFill>
              <w14:schemeClr w14:val="tx1"/>
            </w14:solidFill>
          </w14:textFill>
        </w:rPr>
      </w:pPr>
    </w:p>
    <w:p w14:paraId="2C45C738">
      <w:pPr>
        <w:pStyle w:val="46"/>
        <w:widowControl w:val="0"/>
        <w:wordWrap w:val="0"/>
        <w:adjustRightInd w:val="0"/>
        <w:snapToGrid w:val="0"/>
        <w:ind w:firstLine="0"/>
        <w:jc w:val="center"/>
        <w:rPr>
          <w:rFonts w:hint="eastAsia" w:hAnsi="宋体" w:eastAsia="宋体" w:cs="宋体"/>
          <w:b/>
          <w:snapToGrid w:val="0"/>
          <w:color w:val="000000" w:themeColor="text1"/>
          <w14:textFill>
            <w14:solidFill>
              <w14:schemeClr w14:val="tx1"/>
            </w14:solidFill>
          </w14:textFill>
        </w:rPr>
      </w:pPr>
      <w:r>
        <w:rPr>
          <w:rFonts w:hint="eastAsia" w:hAnsi="宋体" w:eastAsia="宋体" w:cs="宋体"/>
          <w:bCs/>
          <w:snapToGrid w:val="0"/>
          <w:color w:val="000000" w:themeColor="text1"/>
          <w:sz w:val="32"/>
          <w:u w:val="single"/>
          <w14:textFill>
            <w14:solidFill>
              <w14:schemeClr w14:val="tx1"/>
            </w14:solidFill>
          </w14:textFill>
        </w:rPr>
        <w:t xml:space="preserve">         </w:t>
      </w:r>
      <w:r>
        <w:rPr>
          <w:rFonts w:hint="eastAsia" w:hAnsi="宋体" w:eastAsia="宋体" w:cs="宋体"/>
          <w:bCs/>
          <w:snapToGrid w:val="0"/>
          <w:color w:val="000000" w:themeColor="text1"/>
          <w:sz w:val="32"/>
          <w14:textFill>
            <w14:solidFill>
              <w14:schemeClr w14:val="tx1"/>
            </w14:solidFill>
          </w14:textFill>
        </w:rPr>
        <w:t>年</w:t>
      </w:r>
      <w:r>
        <w:rPr>
          <w:rFonts w:hint="eastAsia" w:hAnsi="宋体" w:eastAsia="宋体" w:cs="宋体"/>
          <w:bCs/>
          <w:snapToGrid w:val="0"/>
          <w:color w:val="000000" w:themeColor="text1"/>
          <w:sz w:val="32"/>
          <w:u w:val="single"/>
          <w14:textFill>
            <w14:solidFill>
              <w14:schemeClr w14:val="tx1"/>
            </w14:solidFill>
          </w14:textFill>
        </w:rPr>
        <w:t xml:space="preserve">      </w:t>
      </w:r>
      <w:r>
        <w:rPr>
          <w:rFonts w:hint="eastAsia" w:hAnsi="宋体" w:eastAsia="宋体" w:cs="宋体"/>
          <w:bCs/>
          <w:snapToGrid w:val="0"/>
          <w:color w:val="000000" w:themeColor="text1"/>
          <w:sz w:val="32"/>
          <w14:textFill>
            <w14:solidFill>
              <w14:schemeClr w14:val="tx1"/>
            </w14:solidFill>
          </w14:textFill>
        </w:rPr>
        <w:t>月</w:t>
      </w:r>
      <w:r>
        <w:rPr>
          <w:rFonts w:hint="eastAsia" w:hAnsi="宋体" w:eastAsia="宋体" w:cs="宋体"/>
          <w:bCs/>
          <w:snapToGrid w:val="0"/>
          <w:color w:val="000000" w:themeColor="text1"/>
          <w:sz w:val="32"/>
          <w:u w:val="single"/>
          <w14:textFill>
            <w14:solidFill>
              <w14:schemeClr w14:val="tx1"/>
            </w14:solidFill>
          </w14:textFill>
        </w:rPr>
        <w:t xml:space="preserve">      </w:t>
      </w:r>
      <w:r>
        <w:rPr>
          <w:rFonts w:hint="eastAsia" w:hAnsi="宋体" w:eastAsia="宋体" w:cs="宋体"/>
          <w:bCs/>
          <w:snapToGrid w:val="0"/>
          <w:color w:val="000000" w:themeColor="text1"/>
          <w:sz w:val="32"/>
          <w14:textFill>
            <w14:solidFill>
              <w14:schemeClr w14:val="tx1"/>
            </w14:solidFill>
          </w14:textFill>
        </w:rPr>
        <w:t>日</w:t>
      </w:r>
    </w:p>
    <w:p w14:paraId="0BF8685E">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53C89A64">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51D7C9AA">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5E6068B4">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339DBB73">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452D007F">
      <w:pPr>
        <w:pStyle w:val="3"/>
        <w:spacing w:before="120"/>
        <w:rPr>
          <w:rFonts w:asciiTheme="minorEastAsia" w:hAnsiTheme="minorEastAsia" w:eastAsiaTheme="minorEastAsia" w:cstheme="minorEastAsia"/>
          <w:b/>
          <w:bCs/>
          <w:color w:val="000000" w:themeColor="text1"/>
          <w:szCs w:val="24"/>
          <w14:textFill>
            <w14:solidFill>
              <w14:schemeClr w14:val="tx1"/>
            </w14:solidFill>
          </w14:textFill>
        </w:rPr>
      </w:pPr>
      <w:bookmarkStart w:id="517" w:name="_Toc27844"/>
      <w:bookmarkStart w:id="518" w:name="_Toc16426"/>
      <w:r>
        <w:rPr>
          <w:rFonts w:asciiTheme="minorEastAsia" w:hAnsiTheme="minorEastAsia" w:eastAsiaTheme="minorEastAsia" w:cstheme="minorEastAsia"/>
          <w:b/>
          <w:bCs/>
          <w:color w:val="000000" w:themeColor="text1"/>
          <w:szCs w:val="24"/>
          <w14:textFill>
            <w14:solidFill>
              <w14:schemeClr w14:val="tx1"/>
            </w14:solidFill>
          </w14:textFill>
        </w:rPr>
        <w:t xml:space="preserve">格式二 </w:t>
      </w:r>
      <w:bookmarkEnd w:id="507"/>
      <w:bookmarkEnd w:id="508"/>
      <w:bookmarkEnd w:id="509"/>
      <w:r>
        <w:rPr>
          <w:rFonts w:asciiTheme="minorEastAsia" w:hAnsiTheme="minorEastAsia" w:eastAsiaTheme="minorEastAsia" w:cstheme="minorEastAsia"/>
          <w:b/>
          <w:bCs/>
          <w:color w:val="000000" w:themeColor="text1"/>
          <w:szCs w:val="24"/>
          <w14:textFill>
            <w14:solidFill>
              <w14:schemeClr w14:val="tx1"/>
            </w14:solidFill>
          </w14:textFill>
        </w:rPr>
        <w:t>《投标函》及《工程项目总价表》</w:t>
      </w:r>
      <w:bookmarkEnd w:id="510"/>
      <w:bookmarkEnd w:id="511"/>
      <w:bookmarkEnd w:id="517"/>
      <w:bookmarkEnd w:id="518"/>
    </w:p>
    <w:p w14:paraId="6A78DA2E">
      <w:pPr>
        <w:pStyle w:val="4"/>
        <w:keepNext w:val="0"/>
        <w:keepLines w:val="0"/>
        <w:wordWrap w:val="0"/>
        <w:adjustRightInd w:val="0"/>
        <w:snapToGrid w:val="0"/>
        <w:spacing w:before="260" w:after="260" w:line="440" w:lineRule="exact"/>
        <w:jc w:val="center"/>
        <w:rPr>
          <w:rFonts w:hint="eastAsia" w:asciiTheme="minorEastAsia" w:hAnsiTheme="minorEastAsia" w:eastAsiaTheme="minorEastAsia" w:cstheme="minorEastAsia"/>
          <w:snapToGrid w:val="0"/>
          <w:color w:val="000000" w:themeColor="text1"/>
          <w:szCs w:val="24"/>
          <w14:textFill>
            <w14:solidFill>
              <w14:schemeClr w14:val="tx1"/>
            </w14:solidFill>
          </w14:textFill>
        </w:rPr>
      </w:pPr>
      <w:bookmarkStart w:id="519" w:name="_Toc39136362"/>
      <w:bookmarkStart w:id="520" w:name="_Toc21577"/>
      <w:bookmarkStart w:id="521" w:name="_Toc15354"/>
      <w:bookmarkStart w:id="522" w:name="_Toc8657"/>
      <w:bookmarkStart w:id="523" w:name="_Toc29375"/>
      <w:bookmarkStart w:id="524" w:name="_Toc28636"/>
      <w:bookmarkStart w:id="525" w:name="_Toc27681"/>
      <w:bookmarkStart w:id="526" w:name="_Toc10604"/>
      <w:bookmarkStart w:id="527" w:name="_Toc9280"/>
      <w:bookmarkStart w:id="528" w:name="_Toc27121"/>
      <w:bookmarkStart w:id="529" w:name="_Toc18294"/>
      <w:r>
        <w:rPr>
          <w:rFonts w:hint="eastAsia" w:asciiTheme="minorEastAsia" w:hAnsiTheme="minorEastAsia" w:eastAsiaTheme="minorEastAsia" w:cstheme="minorEastAsia"/>
          <w:snapToGrid w:val="0"/>
          <w:color w:val="000000" w:themeColor="text1"/>
          <w:szCs w:val="24"/>
          <w14:textFill>
            <w14:solidFill>
              <w14:schemeClr w14:val="tx1"/>
            </w14:solidFill>
          </w14:textFill>
        </w:rPr>
        <w:t>投  标  函</w:t>
      </w:r>
      <w:bookmarkEnd w:id="519"/>
      <w:bookmarkEnd w:id="520"/>
      <w:bookmarkEnd w:id="521"/>
      <w:bookmarkEnd w:id="522"/>
      <w:bookmarkEnd w:id="523"/>
      <w:bookmarkEnd w:id="524"/>
      <w:bookmarkEnd w:id="525"/>
      <w:bookmarkEnd w:id="526"/>
      <w:bookmarkEnd w:id="527"/>
      <w:bookmarkEnd w:id="528"/>
      <w:bookmarkEnd w:id="529"/>
    </w:p>
    <w:p w14:paraId="395712F1">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5C7E8788">
      <w:pPr>
        <w:wordWrap w:val="0"/>
        <w:adjustRightInd w:val="0"/>
        <w:snapToGrid w:val="0"/>
        <w:spacing w:line="440" w:lineRule="exact"/>
        <w:rPr>
          <w:color w:val="000000" w:themeColor="text1"/>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致：</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（招标人名称）</w:t>
      </w:r>
    </w:p>
    <w:p w14:paraId="7D226064">
      <w:pPr>
        <w:wordWrap w:val="0"/>
        <w:adjustRightInd w:val="0"/>
        <w:snapToGrid w:val="0"/>
        <w:spacing w:line="440" w:lineRule="exact"/>
        <w:ind w:firstLine="570"/>
        <w:rPr>
          <w:rFonts w:asciiTheme="minorEastAsia" w:hAnsiTheme="minorEastAsia" w:eastAsiaTheme="minorEastAsia" w:cstheme="minorEastAsia"/>
          <w:color w:val="000000" w:themeColor="text1"/>
          <w:szCs w:val="22"/>
          <w14:textFill>
            <w14:solidFill>
              <w14:schemeClr w14:val="tx1"/>
            </w14:solidFill>
          </w14:textFill>
        </w:rPr>
      </w:pPr>
      <w:r>
        <w:rPr>
          <w:rFonts w:asciiTheme="minorEastAsia" w:hAnsiTheme="minorEastAsia" w:eastAsiaTheme="minorEastAsia" w:cstheme="minorEastAsia"/>
          <w:color w:val="000000" w:themeColor="text1"/>
          <w:szCs w:val="22"/>
          <w14:textFill>
            <w14:solidFill>
              <w14:schemeClr w14:val="tx1"/>
            </w14:solidFill>
          </w14:textFill>
        </w:rPr>
        <w:t>1.在研</w:t>
      </w:r>
      <w:r>
        <w:rPr>
          <w:rFonts w:asciiTheme="minorEastAsia" w:hAnsiTheme="minorEastAsia" w:eastAsiaTheme="minorEastAsia" w:cstheme="minorEastAsia"/>
          <w:color w:val="000000" w:themeColor="text1"/>
          <w:szCs w:val="22"/>
          <w:u w:val="single"/>
          <w14:textFill>
            <w14:solidFill>
              <w14:schemeClr w14:val="tx1"/>
            </w14:solidFill>
          </w14:textFill>
        </w:rPr>
        <w:t xml:space="preserve">究        （项目名称）        </w:t>
      </w:r>
      <w:r>
        <w:rPr>
          <w:rFonts w:asciiTheme="minorEastAsia" w:hAnsiTheme="minorEastAsia" w:eastAsiaTheme="minorEastAsia" w:cstheme="minorEastAsia"/>
          <w:color w:val="000000" w:themeColor="text1"/>
          <w:szCs w:val="22"/>
          <w14:textFill>
            <w14:solidFill>
              <w14:schemeClr w14:val="tx1"/>
            </w14:solidFill>
          </w14:textFill>
        </w:rPr>
        <w:t>招标文件和其它相关文件，并对现场进行深入了解后，我方（即文末签名人），考虑了本企业的实力和特点，愿意接受招标文件的全部内容和条件，兹以人民币（大写）：</w:t>
      </w:r>
      <w:r>
        <w:rPr>
          <w:rFonts w:asciiTheme="minorEastAsia" w:hAnsiTheme="minorEastAsia" w:eastAsiaTheme="minorEastAsia" w:cstheme="minorEastAsia"/>
          <w:color w:val="000000" w:themeColor="text1"/>
          <w:szCs w:val="22"/>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2"/>
          <w14:textFill>
            <w14:solidFill>
              <w14:schemeClr w14:val="tx1"/>
            </w14:solidFill>
          </w14:textFill>
        </w:rPr>
        <w:t>小写：（¥</w:t>
      </w:r>
      <w:r>
        <w:rPr>
          <w:rFonts w:asciiTheme="minorEastAsia" w:hAnsiTheme="minorEastAsia" w:eastAsiaTheme="minorEastAsia" w:cstheme="minorEastAsia"/>
          <w:color w:val="000000" w:themeColor="text1"/>
          <w:szCs w:val="22"/>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2"/>
          <w14:textFill>
            <w14:solidFill>
              <w14:schemeClr w14:val="tx1"/>
            </w14:solidFill>
          </w14:textFill>
        </w:rPr>
        <w:t>）的投标总价竞投本项目。</w:t>
      </w:r>
    </w:p>
    <w:p w14:paraId="2AD8E36D">
      <w:pPr>
        <w:wordWrap w:val="0"/>
        <w:adjustRightInd w:val="0"/>
        <w:snapToGrid w:val="0"/>
        <w:spacing w:line="44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2. </w:t>
      </w:r>
      <w:r>
        <w:rPr>
          <w:rFonts w:asciiTheme="minorEastAsia" w:hAnsiTheme="minorEastAsia" w:eastAsiaTheme="minorEastAsia" w:cstheme="minorEastAsia"/>
          <w:color w:val="000000" w:themeColor="text1"/>
          <w:szCs w:val="22"/>
          <w14:textFill>
            <w14:solidFill>
              <w14:schemeClr w14:val="tx1"/>
            </w14:solidFill>
          </w14:textFill>
        </w:rPr>
        <w:t>如果我方中标，我方保证按照合同约定的开工日期开始本项目的设计、施工，本工程设计、施工招标工期为</w:t>
      </w:r>
      <w:r>
        <w:rPr>
          <w:rFonts w:asciiTheme="minorEastAsia" w:hAnsiTheme="minorEastAsia" w:eastAsiaTheme="minorEastAsia" w:cstheme="minorEastAsia"/>
          <w:color w:val="000000" w:themeColor="text1"/>
          <w:szCs w:val="22"/>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2"/>
          <w14:textFill>
            <w14:solidFill>
              <w14:schemeClr w14:val="tx1"/>
            </w14:solidFill>
          </w14:textFill>
        </w:rPr>
        <w:t>个日历天（其中：设计工期为</w:t>
      </w:r>
      <w:r>
        <w:rPr>
          <w:rFonts w:asciiTheme="minorEastAsia" w:hAnsiTheme="minorEastAsia" w:eastAsiaTheme="minorEastAsia" w:cstheme="minorEastAsia"/>
          <w:color w:val="000000" w:themeColor="text1"/>
          <w:szCs w:val="22"/>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2"/>
          <w14:textFill>
            <w14:solidFill>
              <w14:schemeClr w14:val="tx1"/>
            </w14:solidFill>
          </w14:textFill>
        </w:rPr>
        <w:t>日历天，施工工期为</w:t>
      </w:r>
      <w:r>
        <w:rPr>
          <w:rFonts w:asciiTheme="minorEastAsia" w:hAnsiTheme="minorEastAsia" w:eastAsiaTheme="minorEastAsia" w:cstheme="minorEastAsia"/>
          <w:color w:val="000000" w:themeColor="text1"/>
          <w:szCs w:val="22"/>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2"/>
          <w14:textFill>
            <w14:solidFill>
              <w14:schemeClr w14:val="tx1"/>
            </w14:solidFill>
          </w14:textFill>
        </w:rPr>
        <w:t>日历天）内竣工，并确保工程质量达到</w:t>
      </w:r>
      <w:r>
        <w:rPr>
          <w:rFonts w:asciiTheme="minorEastAsia" w:hAnsiTheme="minorEastAsia" w:eastAsiaTheme="minorEastAsia" w:cstheme="minorEastAsia"/>
          <w:color w:val="000000" w:themeColor="text1"/>
          <w:szCs w:val="22"/>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2"/>
          <w14:textFill>
            <w14:solidFill>
              <w14:schemeClr w14:val="tx1"/>
            </w14:solidFill>
          </w14:textFill>
        </w:rPr>
        <w:t>标准和维修其中的任何缺陷</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w:t>
      </w:r>
    </w:p>
    <w:p w14:paraId="5D999341">
      <w:pPr>
        <w:wordWrap w:val="0"/>
        <w:adjustRightInd w:val="0"/>
        <w:snapToGrid w:val="0"/>
        <w:spacing w:line="44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3. 本投标函在你方接收我方递交的投标文件之日起、到招标文件规定的投标有效期期满前对我方具有约束力。我方随时准备接受你方发出的中标通知书。</w:t>
      </w:r>
    </w:p>
    <w:p w14:paraId="67B30977">
      <w:pPr>
        <w:wordWrap w:val="0"/>
        <w:adjustRightInd w:val="0"/>
        <w:snapToGrid w:val="0"/>
        <w:spacing w:line="44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4．我方在此声明，我方不存在本工程招标文件所列示的“禁止投标条款”所列出的任何一种情形，并愿意承担因我方就此弄虚作假所引起的一切法律后果。</w:t>
      </w:r>
    </w:p>
    <w:p w14:paraId="5A7F06CD">
      <w:pPr>
        <w:wordWrap w:val="0"/>
        <w:adjustRightInd w:val="0"/>
        <w:snapToGrid w:val="0"/>
        <w:spacing w:line="44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5．我方在此承诺，所递交投标文件的全部内容均为真实、有效、准确的，并愿意承担因我方就此弄虚作假所引起的一切法律后果，同时理解和同意有可能被要求提供更多的资料。</w:t>
      </w:r>
    </w:p>
    <w:p w14:paraId="5634C7E1">
      <w:pPr>
        <w:wordWrap w:val="0"/>
        <w:adjustRightInd w:val="0"/>
        <w:snapToGrid w:val="0"/>
        <w:spacing w:line="44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6. 我方理解你方不一定要接纳收到的最低投标总价或任何投标总价的投标人中标，也不要求你方解释我方是否中标的原因。</w:t>
      </w:r>
    </w:p>
    <w:p w14:paraId="41E4E1AC">
      <w:pPr>
        <w:wordWrap w:val="0"/>
        <w:adjustRightInd w:val="0"/>
        <w:snapToGrid w:val="0"/>
        <w:spacing w:line="44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w:t>
      </w:r>
    </w:p>
    <w:p w14:paraId="04B262A6">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投标人：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（盖单位章）</w:t>
      </w:r>
    </w:p>
    <w:p w14:paraId="4A7F21A4">
      <w:pPr>
        <w:wordWrap w:val="0"/>
        <w:adjustRightInd w:val="0"/>
        <w:snapToGrid w:val="0"/>
        <w:spacing w:line="440" w:lineRule="exact"/>
        <w:ind w:firstLine="480" w:firstLineChars="200"/>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法定代表人或其委托代理人：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（签字或盖章）</w:t>
      </w:r>
    </w:p>
    <w:p w14:paraId="0A3A7848">
      <w:pPr>
        <w:wordWrap w:val="0"/>
        <w:adjustRightInd w:val="0"/>
        <w:snapToGrid w:val="0"/>
        <w:spacing w:line="440" w:lineRule="exact"/>
        <w:ind w:firstLine="4080" w:firstLineChars="1700"/>
        <w:jc w:val="lef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年</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日</w:t>
      </w:r>
    </w:p>
    <w:p w14:paraId="0025249F">
      <w:pPr>
        <w:jc w:val="lef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br w:type="page"/>
      </w:r>
    </w:p>
    <w:p w14:paraId="2BFA9FA9">
      <w:pPr>
        <w:jc w:val="lef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48CBDD34">
      <w:pPr>
        <w:pStyle w:val="4"/>
        <w:spacing w:before="260" w:after="260"/>
        <w:jc w:val="center"/>
        <w:rPr>
          <w:rFonts w:hint="eastAsia" w:asciiTheme="minorEastAsia" w:hAnsiTheme="minorEastAsia" w:eastAsiaTheme="minorEastAsia" w:cstheme="minorEastAsia"/>
          <w:bCs/>
          <w:color w:val="000000" w:themeColor="text1"/>
          <w:szCs w:val="24"/>
          <w14:textFill>
            <w14:solidFill>
              <w14:schemeClr w14:val="tx1"/>
            </w14:solidFill>
          </w14:textFill>
        </w:rPr>
      </w:pPr>
      <w:bookmarkStart w:id="530" w:name="_Toc16723"/>
      <w:bookmarkStart w:id="531" w:name="_Toc5052"/>
      <w:bookmarkStart w:id="532" w:name="_Toc453"/>
      <w:bookmarkStart w:id="533" w:name="_Toc25829"/>
      <w:bookmarkStart w:id="534" w:name="_Toc20338"/>
      <w:bookmarkStart w:id="535" w:name="_Toc25629"/>
      <w:bookmarkStart w:id="536" w:name="_Toc7821"/>
      <w:bookmarkStart w:id="537" w:name="_Toc39136364"/>
      <w:bookmarkStart w:id="538" w:name="_Toc7915"/>
      <w:r>
        <w:rPr>
          <w:rFonts w:hint="eastAsia" w:asciiTheme="minorEastAsia" w:hAnsiTheme="minorEastAsia" w:eastAsiaTheme="minorEastAsia" w:cstheme="minorEastAsia"/>
          <w:bCs/>
          <w:color w:val="000000" w:themeColor="text1"/>
          <w:szCs w:val="24"/>
          <w14:textFill>
            <w14:solidFill>
              <w14:schemeClr w14:val="tx1"/>
            </w14:solidFill>
          </w14:textFill>
        </w:rPr>
        <w:t>工程项目总价表</w:t>
      </w:r>
      <w:bookmarkEnd w:id="530"/>
      <w:bookmarkEnd w:id="531"/>
      <w:bookmarkEnd w:id="532"/>
      <w:bookmarkEnd w:id="533"/>
      <w:bookmarkEnd w:id="534"/>
      <w:bookmarkEnd w:id="535"/>
      <w:bookmarkEnd w:id="536"/>
    </w:p>
    <w:tbl>
      <w:tblPr>
        <w:tblStyle w:val="21"/>
        <w:tblW w:w="94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0"/>
        <w:gridCol w:w="1440"/>
        <w:gridCol w:w="1508"/>
        <w:gridCol w:w="975"/>
        <w:gridCol w:w="1450"/>
        <w:gridCol w:w="3283"/>
      </w:tblGrid>
      <w:tr w14:paraId="51CFF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770" w:type="dxa"/>
            <w:noWrap/>
            <w:vAlign w:val="center"/>
          </w:tcPr>
          <w:p w14:paraId="4FF1EEB4">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序号</w:t>
            </w:r>
          </w:p>
        </w:tc>
        <w:tc>
          <w:tcPr>
            <w:tcW w:w="1440" w:type="dxa"/>
            <w:noWrap/>
            <w:vAlign w:val="center"/>
          </w:tcPr>
          <w:p w14:paraId="0F5F4EED">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项目名称</w:t>
            </w:r>
          </w:p>
        </w:tc>
        <w:tc>
          <w:tcPr>
            <w:tcW w:w="1508" w:type="dxa"/>
            <w:noWrap/>
            <w:vAlign w:val="center"/>
          </w:tcPr>
          <w:p w14:paraId="5663A447">
            <w:pPr>
              <w:spacing w:line="360" w:lineRule="auto"/>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计算基数（元）</w:t>
            </w:r>
          </w:p>
        </w:tc>
        <w:tc>
          <w:tcPr>
            <w:tcW w:w="975" w:type="dxa"/>
            <w:noWrap/>
            <w:vAlign w:val="center"/>
          </w:tcPr>
          <w:p w14:paraId="47A20AE3">
            <w:pPr>
              <w:spacing w:line="360" w:lineRule="auto"/>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投标</w:t>
            </w:r>
            <w:r>
              <w:rPr>
                <w:rFonts w:asciiTheme="minorEastAsia" w:hAnsiTheme="minorEastAsia" w:eastAsiaTheme="minorEastAsia" w:cstheme="minorEastAsia"/>
                <w:color w:val="000000" w:themeColor="text1"/>
                <w:sz w:val="21"/>
                <w:szCs w:val="21"/>
                <w:lang w:val="zh-CN"/>
                <w14:textFill>
                  <w14:solidFill>
                    <w14:schemeClr w14:val="tx1"/>
                  </w14:solidFill>
                </w14:textFill>
              </w:rPr>
              <w:t>下</w:t>
            </w:r>
            <w:r>
              <w:rPr>
                <w:rFonts w:asciiTheme="minorEastAsia" w:hAnsiTheme="minorEastAsia" w:eastAsiaTheme="minorEastAsia" w:cstheme="minorEastAsia"/>
                <w:color w:val="000000" w:themeColor="text1"/>
                <w:sz w:val="21"/>
                <w:szCs w:val="21"/>
                <w14:textFill>
                  <w14:solidFill>
                    <w14:schemeClr w14:val="tx1"/>
                  </w14:solidFill>
                </w14:textFill>
              </w:rPr>
              <w:t>浮率</w:t>
            </w:r>
          </w:p>
        </w:tc>
        <w:tc>
          <w:tcPr>
            <w:tcW w:w="1450" w:type="dxa"/>
            <w:noWrap/>
            <w:vAlign w:val="center"/>
          </w:tcPr>
          <w:p w14:paraId="2E88912A">
            <w:pPr>
              <w:spacing w:line="360" w:lineRule="auto"/>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投标报价（元）</w:t>
            </w:r>
          </w:p>
        </w:tc>
        <w:tc>
          <w:tcPr>
            <w:tcW w:w="3283" w:type="dxa"/>
            <w:noWrap/>
            <w:vAlign w:val="center"/>
          </w:tcPr>
          <w:p w14:paraId="4835C4E9">
            <w:pPr>
              <w:spacing w:line="360" w:lineRule="auto"/>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报价要求</w:t>
            </w:r>
          </w:p>
        </w:tc>
      </w:tr>
      <w:tr w14:paraId="12FC0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1" w:hRule="atLeast"/>
          <w:jc w:val="center"/>
        </w:trPr>
        <w:tc>
          <w:tcPr>
            <w:tcW w:w="770" w:type="dxa"/>
            <w:noWrap/>
            <w:vAlign w:val="center"/>
          </w:tcPr>
          <w:p w14:paraId="31712ABF">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1</w:t>
            </w:r>
          </w:p>
        </w:tc>
        <w:tc>
          <w:tcPr>
            <w:tcW w:w="1440" w:type="dxa"/>
            <w:noWrap/>
            <w:vAlign w:val="center"/>
          </w:tcPr>
          <w:p w14:paraId="5D81BA66">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设计费</w:t>
            </w:r>
          </w:p>
        </w:tc>
        <w:tc>
          <w:tcPr>
            <w:tcW w:w="1508" w:type="dxa"/>
            <w:noWrap/>
            <w:vAlign w:val="center"/>
          </w:tcPr>
          <w:p w14:paraId="54D8D32A">
            <w:pPr>
              <w:widowControl/>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593400.00</w:t>
            </w:r>
          </w:p>
        </w:tc>
        <w:tc>
          <w:tcPr>
            <w:tcW w:w="975" w:type="dxa"/>
            <w:noWrap/>
            <w:vAlign w:val="center"/>
          </w:tcPr>
          <w:p w14:paraId="1D29D29E">
            <w:pPr>
              <w:spacing w:line="360" w:lineRule="auto"/>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w:t>
            </w:r>
          </w:p>
        </w:tc>
        <w:tc>
          <w:tcPr>
            <w:tcW w:w="1450" w:type="dxa"/>
            <w:noWrap/>
            <w:vAlign w:val="center"/>
          </w:tcPr>
          <w:p w14:paraId="6881C180">
            <w:pPr>
              <w:spacing w:line="360" w:lineRule="auto"/>
              <w:jc w:val="center"/>
              <w:rPr>
                <w:rFonts w:asciiTheme="minorEastAsia" w:hAnsiTheme="minorEastAsia" w:eastAsiaTheme="minorEastAsia" w:cstheme="minorEastAsia"/>
                <w:color w:val="000000" w:themeColor="text1"/>
                <w:sz w:val="21"/>
                <w:szCs w:val="21"/>
                <w14:textFill>
                  <w14:solidFill>
                    <w14:schemeClr w14:val="tx1"/>
                  </w14:solidFill>
                </w14:textFill>
              </w:rPr>
            </w:pPr>
          </w:p>
        </w:tc>
        <w:tc>
          <w:tcPr>
            <w:tcW w:w="3283" w:type="dxa"/>
            <w:noWrap/>
            <w:vAlign w:val="center"/>
          </w:tcPr>
          <w:p w14:paraId="54E93DFD">
            <w:pPr>
              <w:wordWrap w:val="0"/>
              <w:adjustRightInd w:val="0"/>
              <w:snapToGrid w:val="0"/>
              <w:spacing w:line="360" w:lineRule="auto"/>
              <w:ind w:firstLine="420" w:firstLineChars="200"/>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设计费自行报价，结算按设计费的中标价包干不作任何调整。设计费的报价应包含各个不同专业的设计费用、进行优化设计或修改设计所增加的设计费用、各项专家评审的专家费用。</w:t>
            </w:r>
          </w:p>
        </w:tc>
      </w:tr>
      <w:tr w14:paraId="5FCEF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jc w:val="center"/>
        </w:trPr>
        <w:tc>
          <w:tcPr>
            <w:tcW w:w="770" w:type="dxa"/>
            <w:noWrap/>
            <w:vAlign w:val="center"/>
          </w:tcPr>
          <w:p w14:paraId="68DB2F35">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2</w:t>
            </w:r>
          </w:p>
        </w:tc>
        <w:tc>
          <w:tcPr>
            <w:tcW w:w="1440" w:type="dxa"/>
            <w:noWrap/>
            <w:vAlign w:val="center"/>
          </w:tcPr>
          <w:p w14:paraId="3BAF0103">
            <w:pPr>
              <w:spacing w:line="360" w:lineRule="auto"/>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建安工程费</w:t>
            </w:r>
          </w:p>
        </w:tc>
        <w:tc>
          <w:tcPr>
            <w:tcW w:w="1508" w:type="dxa"/>
            <w:noWrap/>
            <w:vAlign w:val="center"/>
          </w:tcPr>
          <w:p w14:paraId="43C69420">
            <w:pPr>
              <w:spacing w:line="360" w:lineRule="auto"/>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13431400.00</w:t>
            </w:r>
          </w:p>
        </w:tc>
        <w:tc>
          <w:tcPr>
            <w:tcW w:w="975" w:type="dxa"/>
            <w:noWrap/>
            <w:vAlign w:val="center"/>
          </w:tcPr>
          <w:p w14:paraId="342D66C5">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asciiTheme="minorEastAsia" w:hAnsiTheme="minorEastAsia" w:eastAsiaTheme="minorEastAsia" w:cstheme="minorEastAsia"/>
                <w:color w:val="000000" w:themeColor="text1"/>
                <w:sz w:val="21"/>
                <w:szCs w:val="21"/>
                <w14:textFill>
                  <w14:solidFill>
                    <w14:schemeClr w14:val="tx1"/>
                  </w14:solidFill>
                </w14:textFill>
              </w:rPr>
              <w:t>%</w:t>
            </w:r>
          </w:p>
        </w:tc>
        <w:tc>
          <w:tcPr>
            <w:tcW w:w="1450" w:type="dxa"/>
            <w:noWrap/>
            <w:vAlign w:val="center"/>
          </w:tcPr>
          <w:p w14:paraId="4CCC508F">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p>
        </w:tc>
        <w:tc>
          <w:tcPr>
            <w:tcW w:w="3283" w:type="dxa"/>
            <w:noWrap/>
            <w:vAlign w:val="center"/>
          </w:tcPr>
          <w:p w14:paraId="553B523E">
            <w:pPr>
              <w:spacing w:line="360" w:lineRule="auto"/>
              <w:jc w:val="center"/>
              <w:rPr>
                <w:rFonts w:asciiTheme="minorEastAsia" w:hAnsiTheme="minorEastAsia" w:eastAsiaTheme="minorEastAsia" w:cstheme="minorEastAsia"/>
                <w:color w:val="000000" w:themeColor="text1"/>
                <w:kern w:val="1"/>
                <w:sz w:val="21"/>
                <w:szCs w:val="21"/>
                <w:lang w:val="zh-CN"/>
                <w14:textFill>
                  <w14:solidFill>
                    <w14:schemeClr w14:val="tx1"/>
                  </w14:solidFill>
                </w14:textFill>
              </w:rPr>
            </w:pPr>
          </w:p>
        </w:tc>
      </w:tr>
      <w:tr w14:paraId="345DB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2210" w:type="dxa"/>
            <w:gridSpan w:val="2"/>
            <w:noWrap/>
            <w:vAlign w:val="center"/>
          </w:tcPr>
          <w:p w14:paraId="22980092">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合计</w:t>
            </w:r>
          </w:p>
        </w:tc>
        <w:tc>
          <w:tcPr>
            <w:tcW w:w="1508" w:type="dxa"/>
            <w:noWrap/>
            <w:vAlign w:val="center"/>
          </w:tcPr>
          <w:p w14:paraId="3C5A938B">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14024800.00</w:t>
            </w:r>
          </w:p>
        </w:tc>
        <w:tc>
          <w:tcPr>
            <w:tcW w:w="975" w:type="dxa"/>
            <w:noWrap/>
            <w:vAlign w:val="center"/>
          </w:tcPr>
          <w:p w14:paraId="79DAFF4E">
            <w:pPr>
              <w:spacing w:line="360" w:lineRule="auto"/>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w:t>
            </w:r>
          </w:p>
        </w:tc>
        <w:tc>
          <w:tcPr>
            <w:tcW w:w="1450" w:type="dxa"/>
            <w:noWrap/>
            <w:vAlign w:val="center"/>
          </w:tcPr>
          <w:p w14:paraId="61813BEF">
            <w:pPr>
              <w:spacing w:line="360" w:lineRule="auto"/>
              <w:jc w:val="right"/>
              <w:rPr>
                <w:rFonts w:asciiTheme="minorEastAsia" w:hAnsiTheme="minorEastAsia" w:eastAsiaTheme="minorEastAsia" w:cstheme="minorEastAsia"/>
                <w:color w:val="000000" w:themeColor="text1"/>
                <w:sz w:val="21"/>
                <w:szCs w:val="21"/>
                <w14:textFill>
                  <w14:solidFill>
                    <w14:schemeClr w14:val="tx1"/>
                  </w14:solidFill>
                </w14:textFill>
              </w:rPr>
            </w:pPr>
          </w:p>
        </w:tc>
        <w:tc>
          <w:tcPr>
            <w:tcW w:w="3283" w:type="dxa"/>
            <w:noWrap/>
            <w:vAlign w:val="center"/>
          </w:tcPr>
          <w:p w14:paraId="35E52F8B">
            <w:pPr>
              <w:spacing w:line="360" w:lineRule="auto"/>
              <w:jc w:val="center"/>
              <w:rPr>
                <w:rFonts w:asciiTheme="minorEastAsia" w:hAnsiTheme="minorEastAsia" w:eastAsiaTheme="minorEastAsia" w:cstheme="minorEastAsia"/>
                <w:color w:val="000000" w:themeColor="text1"/>
                <w:kern w:val="1"/>
                <w:sz w:val="21"/>
                <w:szCs w:val="21"/>
                <w14:textFill>
                  <w14:solidFill>
                    <w14:schemeClr w14:val="tx1"/>
                  </w14:solidFill>
                </w14:textFill>
              </w:rPr>
            </w:pPr>
            <w:r>
              <w:rPr>
                <w:rFonts w:asciiTheme="minorEastAsia" w:hAnsiTheme="minorEastAsia" w:eastAsiaTheme="minorEastAsia" w:cstheme="minorEastAsia"/>
                <w:color w:val="000000" w:themeColor="text1"/>
                <w:kern w:val="1"/>
                <w:sz w:val="21"/>
                <w:szCs w:val="21"/>
                <w14:textFill>
                  <w14:solidFill>
                    <w14:schemeClr w14:val="tx1"/>
                  </w14:solidFill>
                </w14:textFill>
              </w:rPr>
              <w:t>/</w:t>
            </w:r>
          </w:p>
        </w:tc>
      </w:tr>
    </w:tbl>
    <w:p w14:paraId="0ACEFD6D">
      <w:pPr>
        <w:rPr>
          <w:rFonts w:asciiTheme="minorEastAsia" w:hAnsiTheme="minorEastAsia" w:eastAsiaTheme="minorEastAsia" w:cstheme="minorEastAsia"/>
          <w:color w:val="000000" w:themeColor="text1"/>
          <w:szCs w:val="24"/>
          <w14:textFill>
            <w14:solidFill>
              <w14:schemeClr w14:val="tx1"/>
            </w14:solidFill>
          </w14:textFill>
        </w:rPr>
      </w:pPr>
    </w:p>
    <w:p w14:paraId="41DD0721">
      <w:pPr>
        <w:wordWrap w:val="0"/>
        <w:adjustRightInd w:val="0"/>
        <w:snapToGrid w:val="0"/>
        <w:spacing w:line="440" w:lineRule="exact"/>
        <w:rPr>
          <w:rFonts w:asciiTheme="minorEastAsia" w:hAnsiTheme="minorEastAsia" w:eastAsiaTheme="minorEastAsia" w:cstheme="minorEastAsia"/>
          <w:snapToGrid w:val="0"/>
          <w:color w:val="000000" w:themeColor="text1"/>
          <w:szCs w:val="24"/>
          <w14:textFill>
            <w14:solidFill>
              <w14:schemeClr w14:val="tx1"/>
            </w14:solidFill>
          </w14:textFill>
        </w:rPr>
      </w:pPr>
      <w:r>
        <w:rPr>
          <w:rFonts w:asciiTheme="minorEastAsia" w:hAnsiTheme="minorEastAsia" w:eastAsiaTheme="minorEastAsia" w:cstheme="minorEastAsia"/>
          <w:snapToGrid w:val="0"/>
          <w:color w:val="000000" w:themeColor="text1"/>
          <w:szCs w:val="24"/>
          <w14:textFill>
            <w14:solidFill>
              <w14:schemeClr w14:val="tx1"/>
            </w14:solidFill>
          </w14:textFill>
        </w:rPr>
        <w:t>注：投标报价及投标费率均按“四舍五入”原则精确到两位小数，建安工程费投标报价=计算基数×（1-下浮率）。</w:t>
      </w:r>
    </w:p>
    <w:p w14:paraId="5767503C">
      <w:pPr>
        <w:pStyle w:val="6"/>
        <w:ind w:firstLine="0"/>
        <w:rPr>
          <w:rFonts w:asciiTheme="minorEastAsia" w:hAnsiTheme="minorEastAsia" w:eastAsiaTheme="minorEastAsia" w:cstheme="minorEastAsia"/>
          <w:snapToGrid w:val="0"/>
          <w:color w:val="000000" w:themeColor="text1"/>
          <w:sz w:val="24"/>
          <w:szCs w:val="24"/>
          <w14:textFill>
            <w14:solidFill>
              <w14:schemeClr w14:val="tx1"/>
            </w14:solidFill>
          </w14:textFill>
        </w:rPr>
      </w:pPr>
    </w:p>
    <w:p w14:paraId="317DE012">
      <w:pPr>
        <w:wordWrap w:val="0"/>
        <w:adjustRightInd w:val="0"/>
        <w:snapToGrid w:val="0"/>
        <w:spacing w:line="276" w:lineRule="auto"/>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4509D6F3">
      <w:pPr>
        <w:rPr>
          <w:rFonts w:asciiTheme="minorEastAsia" w:hAnsiTheme="minorEastAsia" w:eastAsiaTheme="minorEastAsia" w:cstheme="minorEastAsia"/>
          <w:color w:val="000000" w:themeColor="text1"/>
          <w14:textFill>
            <w14:solidFill>
              <w14:schemeClr w14:val="tx1"/>
            </w14:solidFill>
          </w14:textFill>
        </w:rPr>
      </w:pPr>
    </w:p>
    <w:p w14:paraId="2587FBE6">
      <w:pPr>
        <w:wordWrap w:val="0"/>
        <w:adjustRightInd w:val="0"/>
        <w:snapToGrid w:val="0"/>
        <w:spacing w:line="276" w:lineRule="auto"/>
        <w:jc w:val="right"/>
        <w:rPr>
          <w:rFonts w:hAnsi="宋体" w:eastAsia="宋体" w:cs="宋体"/>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投标人：</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（盖单位章）</w:t>
      </w:r>
    </w:p>
    <w:p w14:paraId="6CD7754D">
      <w:pPr>
        <w:wordWrap w:val="0"/>
        <w:adjustRightInd w:val="0"/>
        <w:snapToGrid w:val="0"/>
        <w:spacing w:line="276" w:lineRule="auto"/>
        <w:jc w:val="right"/>
        <w:rPr>
          <w:rFonts w:hAnsi="宋体" w:eastAsia="宋体" w:cs="宋体"/>
          <w:snapToGrid w:val="0"/>
          <w:color w:val="000000" w:themeColor="text1"/>
          <w:kern w:val="0"/>
          <w:szCs w:val="24"/>
          <w14:textFill>
            <w14:solidFill>
              <w14:schemeClr w14:val="tx1"/>
            </w14:solidFill>
          </w14:textFill>
        </w:rPr>
      </w:pPr>
    </w:p>
    <w:p w14:paraId="20BC0781">
      <w:pPr>
        <w:wordWrap w:val="0"/>
        <w:adjustRightInd w:val="0"/>
        <w:snapToGrid w:val="0"/>
        <w:spacing w:line="276" w:lineRule="auto"/>
        <w:ind w:firstLine="480" w:firstLineChars="200"/>
        <w:jc w:val="right"/>
        <w:rPr>
          <w:rFonts w:hAnsi="宋体" w:eastAsia="宋体" w:cs="宋体"/>
          <w:snapToGrid w:val="0"/>
          <w:color w:val="000000" w:themeColor="text1"/>
          <w:kern w:val="0"/>
          <w:szCs w:val="24"/>
          <w14:textFill>
            <w14:solidFill>
              <w14:schemeClr w14:val="tx1"/>
            </w14:solidFill>
          </w14:textFill>
        </w:rPr>
      </w:pPr>
      <w:r>
        <w:rPr>
          <w:rFonts w:hAnsi="宋体" w:eastAsia="宋体" w:cs="宋体"/>
          <w:snapToGrid w:val="0"/>
          <w:color w:val="000000" w:themeColor="text1"/>
          <w:kern w:val="0"/>
          <w:szCs w:val="24"/>
          <w14:textFill>
            <w14:solidFill>
              <w14:schemeClr w14:val="tx1"/>
            </w14:solidFill>
          </w14:textFill>
        </w:rPr>
        <w:t>法定代表人或其委托代理人：</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（签字或盖章）</w:t>
      </w:r>
    </w:p>
    <w:p w14:paraId="6878B581">
      <w:pPr>
        <w:wordWrap w:val="0"/>
        <w:adjustRightInd w:val="0"/>
        <w:snapToGrid w:val="0"/>
        <w:spacing w:line="276" w:lineRule="auto"/>
        <w:ind w:firstLine="480" w:firstLineChars="200"/>
        <w:jc w:val="right"/>
        <w:rPr>
          <w:rFonts w:hAnsi="宋体" w:eastAsia="宋体" w:cs="宋体"/>
          <w:snapToGrid w:val="0"/>
          <w:color w:val="000000" w:themeColor="text1"/>
          <w:kern w:val="0"/>
          <w:szCs w:val="24"/>
          <w14:textFill>
            <w14:solidFill>
              <w14:schemeClr w14:val="tx1"/>
            </w14:solidFill>
          </w14:textFill>
        </w:rPr>
      </w:pPr>
    </w:p>
    <w:p w14:paraId="79D8074D">
      <w:pPr>
        <w:spacing w:line="276" w:lineRule="auto"/>
        <w:rPr>
          <w:rFonts w:asciiTheme="minorEastAsia" w:hAnsiTheme="minorEastAsia" w:eastAsiaTheme="minorEastAsia" w:cstheme="minorEastAsia"/>
          <w:color w:val="000000" w:themeColor="text1"/>
          <w:szCs w:val="24"/>
          <w14:textFill>
            <w14:solidFill>
              <w14:schemeClr w14:val="tx1"/>
            </w14:solidFill>
          </w14:textFill>
        </w:rPr>
        <w:sectPr>
          <w:endnotePr>
            <w:numFmt w:val="decimal"/>
          </w:endnotePr>
          <w:pgSz w:w="11906" w:h="16838"/>
          <w:pgMar w:top="850" w:right="850" w:bottom="850" w:left="850" w:header="850" w:footer="992" w:gutter="0"/>
          <w:cols w:space="720" w:num="1"/>
          <w:docGrid w:linePitch="327" w:charSpace="0"/>
        </w:sectPr>
      </w:pPr>
      <w:r>
        <w:rPr>
          <w:rFonts w:hAnsi="宋体" w:eastAsia="宋体" w:cs="宋体"/>
          <w:snapToGrid w:val="0"/>
          <w:color w:val="000000" w:themeColor="text1"/>
          <w:kern w:val="0"/>
          <w:szCs w:val="24"/>
          <w14:textFill>
            <w14:solidFill>
              <w14:schemeClr w14:val="tx1"/>
            </w14:solidFill>
          </w14:textFill>
        </w:rPr>
        <w:t xml:space="preserve">                                       </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年</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月</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日</w:t>
      </w:r>
    </w:p>
    <w:p w14:paraId="6F9D1552">
      <w:pPr>
        <w:pStyle w:val="3"/>
        <w:spacing w:before="120"/>
        <w:rPr>
          <w:rStyle w:val="58"/>
          <w:rFonts w:asciiTheme="minorEastAsia" w:hAnsiTheme="minorEastAsia" w:eastAsiaTheme="minorEastAsia" w:cstheme="minorEastAsia"/>
          <w:color w:val="000000" w:themeColor="text1"/>
          <w:sz w:val="24"/>
          <w:szCs w:val="24"/>
          <w14:textFill>
            <w14:solidFill>
              <w14:schemeClr w14:val="tx1"/>
            </w14:solidFill>
          </w14:textFill>
        </w:rPr>
      </w:pPr>
      <w:bookmarkStart w:id="539" w:name="_Toc31311"/>
      <w:bookmarkStart w:id="540" w:name="_Toc919"/>
      <w:bookmarkStart w:id="541" w:name="_Toc15232"/>
      <w:bookmarkStart w:id="542" w:name="_Toc28529"/>
      <w:bookmarkStart w:id="543" w:name="_Toc20987"/>
      <w:bookmarkStart w:id="544" w:name="_Toc21928"/>
      <w:bookmarkStart w:id="545" w:name="_Toc1017"/>
      <w:bookmarkStart w:id="546" w:name="_Toc32555"/>
      <w:r>
        <w:rPr>
          <w:rStyle w:val="58"/>
          <w:rFonts w:asciiTheme="minorEastAsia" w:hAnsiTheme="minorEastAsia" w:eastAsiaTheme="minorEastAsia" w:cstheme="minorEastAsia"/>
          <w:color w:val="000000" w:themeColor="text1"/>
          <w:sz w:val="24"/>
          <w:szCs w:val="24"/>
          <w14:textFill>
            <w14:solidFill>
              <w14:schemeClr w14:val="tx1"/>
            </w14:solidFill>
          </w14:textFill>
        </w:rPr>
        <w:t>格式三 各项</w:t>
      </w:r>
      <w:r>
        <w:rPr>
          <w:rFonts w:asciiTheme="minorEastAsia" w:hAnsiTheme="minorEastAsia" w:eastAsiaTheme="minorEastAsia" w:cstheme="minorEastAsia"/>
          <w:b/>
          <w:bCs/>
          <w:color w:val="000000" w:themeColor="text1"/>
          <w:szCs w:val="24"/>
          <w14:textFill>
            <w14:solidFill>
              <w14:schemeClr w14:val="tx1"/>
            </w14:solidFill>
          </w14:textFill>
        </w:rPr>
        <w:t>承诺</w:t>
      </w:r>
      <w:r>
        <w:rPr>
          <w:rStyle w:val="58"/>
          <w:rFonts w:asciiTheme="minorEastAsia" w:hAnsiTheme="minorEastAsia" w:eastAsiaTheme="minorEastAsia" w:cstheme="minorEastAsia"/>
          <w:color w:val="000000" w:themeColor="text1"/>
          <w:sz w:val="24"/>
          <w:szCs w:val="24"/>
          <w14:textFill>
            <w14:solidFill>
              <w14:schemeClr w14:val="tx1"/>
            </w14:solidFill>
          </w14:textFill>
        </w:rPr>
        <w:t>一览表</w:t>
      </w:r>
      <w:bookmarkEnd w:id="537"/>
      <w:bookmarkEnd w:id="538"/>
      <w:bookmarkEnd w:id="539"/>
      <w:bookmarkEnd w:id="540"/>
      <w:bookmarkEnd w:id="541"/>
      <w:bookmarkEnd w:id="542"/>
      <w:bookmarkEnd w:id="543"/>
    </w:p>
    <w:bookmarkEnd w:id="544"/>
    <w:bookmarkEnd w:id="545"/>
    <w:bookmarkEnd w:id="546"/>
    <w:p w14:paraId="7847F0D5">
      <w:pPr>
        <w:spacing w:line="480" w:lineRule="auto"/>
        <w:jc w:val="center"/>
        <w:rPr>
          <w:rFonts w:asciiTheme="minorEastAsia" w:hAnsiTheme="minorEastAsia" w:eastAsiaTheme="minorEastAsia" w:cstheme="minorEastAsia"/>
          <w:b/>
          <w:bCs/>
          <w:color w:val="000000" w:themeColor="text1"/>
          <w:szCs w:val="24"/>
          <w14:textFill>
            <w14:solidFill>
              <w14:schemeClr w14:val="tx1"/>
            </w14:solidFill>
          </w14:textFill>
        </w:rPr>
      </w:pPr>
      <w:bookmarkStart w:id="547" w:name="_Toc20729"/>
      <w:bookmarkStart w:id="548" w:name="_Toc39136365"/>
      <w:bookmarkStart w:id="549" w:name="_Toc21521"/>
      <w:bookmarkStart w:id="550" w:name="_Toc30877"/>
      <w:bookmarkStart w:id="551" w:name="_Toc16438"/>
      <w:bookmarkStart w:id="552" w:name="_Toc15279"/>
      <w:bookmarkStart w:id="553" w:name="_Toc31113"/>
      <w:bookmarkStart w:id="554" w:name="_Toc18136"/>
      <w:r>
        <w:rPr>
          <w:rFonts w:asciiTheme="minorEastAsia" w:hAnsiTheme="minorEastAsia" w:eastAsiaTheme="minorEastAsia" w:cstheme="minorEastAsia"/>
          <w:b/>
          <w:bCs/>
          <w:color w:val="000000" w:themeColor="text1"/>
          <w:szCs w:val="24"/>
          <w14:textFill>
            <w14:solidFill>
              <w14:schemeClr w14:val="tx1"/>
            </w14:solidFill>
          </w14:textFill>
        </w:rPr>
        <w:t>各项承诺一览表</w:t>
      </w:r>
      <w:bookmarkEnd w:id="547"/>
      <w:bookmarkEnd w:id="548"/>
      <w:bookmarkEnd w:id="549"/>
      <w:bookmarkEnd w:id="550"/>
    </w:p>
    <w:bookmarkEnd w:id="551"/>
    <w:bookmarkEnd w:id="552"/>
    <w:bookmarkEnd w:id="553"/>
    <w:bookmarkEnd w:id="554"/>
    <w:tbl>
      <w:tblPr>
        <w:tblStyle w:val="21"/>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7"/>
        <w:gridCol w:w="1133"/>
        <w:gridCol w:w="3166"/>
        <w:gridCol w:w="5022"/>
      </w:tblGrid>
      <w:tr w14:paraId="4682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tcPr>
          <w:p w14:paraId="7AEF19EE">
            <w:pPr>
              <w:pStyle w:val="34"/>
              <w:spacing w:line="380" w:lineRule="exact"/>
              <w:jc w:val="center"/>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序号</w:t>
            </w:r>
          </w:p>
        </w:tc>
        <w:tc>
          <w:tcPr>
            <w:tcW w:w="1133" w:type="dxa"/>
          </w:tcPr>
          <w:p w14:paraId="41C2B7B9">
            <w:pPr>
              <w:pStyle w:val="34"/>
              <w:spacing w:line="380" w:lineRule="exact"/>
              <w:jc w:val="center"/>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承诺标题</w:t>
            </w:r>
          </w:p>
        </w:tc>
        <w:tc>
          <w:tcPr>
            <w:tcW w:w="3166" w:type="dxa"/>
          </w:tcPr>
          <w:p w14:paraId="660EFC36">
            <w:pPr>
              <w:pStyle w:val="34"/>
              <w:spacing w:line="380" w:lineRule="exact"/>
              <w:jc w:val="center"/>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承诺内容</w:t>
            </w:r>
          </w:p>
        </w:tc>
        <w:tc>
          <w:tcPr>
            <w:tcW w:w="5022" w:type="dxa"/>
            <w:tcBorders>
              <w:bottom w:val="single" w:color="auto" w:sz="4" w:space="0"/>
            </w:tcBorders>
          </w:tcPr>
          <w:p w14:paraId="67EE92CF">
            <w:pPr>
              <w:pStyle w:val="34"/>
              <w:spacing w:line="380" w:lineRule="exact"/>
              <w:jc w:val="center"/>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违约承诺</w:t>
            </w:r>
          </w:p>
        </w:tc>
      </w:tr>
      <w:tr w14:paraId="07EF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vAlign w:val="center"/>
          </w:tcPr>
          <w:p w14:paraId="2A635194">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p>
        </w:tc>
        <w:tc>
          <w:tcPr>
            <w:tcW w:w="1133" w:type="dxa"/>
            <w:vAlign w:val="center"/>
          </w:tcPr>
          <w:p w14:paraId="3F3D60AD">
            <w:pPr>
              <w:pStyle w:val="60"/>
              <w:spacing w:line="38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对招标文件条款自愿接受承诺书</w:t>
            </w:r>
          </w:p>
        </w:tc>
        <w:tc>
          <w:tcPr>
            <w:tcW w:w="3166" w:type="dxa"/>
            <w:vAlign w:val="center"/>
          </w:tcPr>
          <w:p w14:paraId="30B29262">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我方保证接受招标文件的所有条款，响应招标文件的</w:t>
            </w:r>
            <w:bookmarkStart w:id="555" w:name="_Hlt66510765"/>
            <w:bookmarkEnd w:id="555"/>
            <w:r>
              <w:rPr>
                <w:rFonts w:hint="eastAsia" w:asciiTheme="minorEastAsia" w:hAnsiTheme="minorEastAsia" w:eastAsiaTheme="minorEastAsia" w:cstheme="minorEastAsia"/>
                <w:color w:val="000000" w:themeColor="text1"/>
                <w:sz w:val="21"/>
                <w:szCs w:val="21"/>
                <w14:textFill>
                  <w14:solidFill>
                    <w14:schemeClr w14:val="tx1"/>
                  </w14:solidFill>
                </w14:textFill>
              </w:rPr>
              <w:t>所有要求，并同意招标文件为施工承包合同的组成部分</w:t>
            </w:r>
          </w:p>
        </w:tc>
        <w:tc>
          <w:tcPr>
            <w:tcW w:w="5022" w:type="dxa"/>
            <w:tcBorders>
              <w:tr2bl w:val="single" w:color="auto" w:sz="4" w:space="0"/>
            </w:tcBorders>
            <w:vAlign w:val="center"/>
          </w:tcPr>
          <w:p w14:paraId="4DA682A8">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p>
        </w:tc>
      </w:tr>
      <w:tr w14:paraId="0E2D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vAlign w:val="center"/>
          </w:tcPr>
          <w:p w14:paraId="012B1618">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w:t>
            </w:r>
          </w:p>
        </w:tc>
        <w:tc>
          <w:tcPr>
            <w:tcW w:w="1133" w:type="dxa"/>
            <w:vAlign w:val="center"/>
          </w:tcPr>
          <w:p w14:paraId="6CFB3763">
            <w:pPr>
              <w:pStyle w:val="60"/>
              <w:spacing w:line="38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履约保证金承诺书</w:t>
            </w:r>
          </w:p>
        </w:tc>
        <w:tc>
          <w:tcPr>
            <w:tcW w:w="3166" w:type="dxa"/>
            <w:vAlign w:val="center"/>
          </w:tcPr>
          <w:p w14:paraId="7C88B24B">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我方保证按时缴纳全部履约保证金</w:t>
            </w:r>
            <w:bookmarkStart w:id="556" w:name="_Hlt104711307"/>
            <w:bookmarkEnd w:id="556"/>
          </w:p>
        </w:tc>
        <w:tc>
          <w:tcPr>
            <w:tcW w:w="5022" w:type="dxa"/>
            <w:vAlign w:val="center"/>
          </w:tcPr>
          <w:p w14:paraId="232CF131">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在施工过程中，如由于我方自身的资金、技术、质量、非不可抗力等原因给招标人造成损失时，或未能按招标文件所承诺的各项承诺完成时，我方同意扣除全部履约保证金，并承担由此引起的所有责任。</w:t>
            </w:r>
          </w:p>
        </w:tc>
      </w:tr>
      <w:tr w14:paraId="7EC8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0" w:hRule="atLeast"/>
          <w:jc w:val="center"/>
        </w:trPr>
        <w:tc>
          <w:tcPr>
            <w:tcW w:w="617" w:type="dxa"/>
            <w:vAlign w:val="center"/>
          </w:tcPr>
          <w:p w14:paraId="0887D2D4">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w:t>
            </w:r>
          </w:p>
        </w:tc>
        <w:tc>
          <w:tcPr>
            <w:tcW w:w="1133" w:type="dxa"/>
            <w:vAlign w:val="center"/>
          </w:tcPr>
          <w:p w14:paraId="5DAFBD18">
            <w:pPr>
              <w:pStyle w:val="60"/>
              <w:spacing w:line="38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工期、进度承诺书</w:t>
            </w:r>
          </w:p>
        </w:tc>
        <w:tc>
          <w:tcPr>
            <w:tcW w:w="3166" w:type="dxa"/>
            <w:vAlign w:val="center"/>
          </w:tcPr>
          <w:p w14:paraId="39F636C2">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我方保证在</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日历天内（其中：设计工期为：</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日历天；施工工期为：</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日历天内）完成工程设计、施工并通过竣工验收。</w:t>
            </w:r>
          </w:p>
          <w:p w14:paraId="359F7FAD">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我方保证各分部、分项工程的施工进度按我方投标文件中的施工进度计划完成施工任务。</w:t>
            </w:r>
          </w:p>
        </w:tc>
        <w:tc>
          <w:tcPr>
            <w:tcW w:w="5022" w:type="dxa"/>
            <w:vAlign w:val="center"/>
          </w:tcPr>
          <w:p w14:paraId="42F1E976">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若因我方原因，没有按期完成设计任务、工程没有按期竣工时，我方在逾期第壹天起每天分别按设计、施工合同价款的1.5‰向招标人缴纳逾期违约金，分别累计最高不超过设计、施工合同价款的10%向招标人缴纳逾期违约金。</w:t>
            </w:r>
          </w:p>
          <w:p w14:paraId="559636FF">
            <w:pPr>
              <w:pStyle w:val="60"/>
              <w:spacing w:line="380" w:lineRule="exact"/>
              <w:ind w:firstLine="42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若因我方原因，各分部、分项工程的施工进度未能按我方投标文件中的施工进度计划完成施工任务，延期达到30日历天，招标人有权终止合同。我方愿意承担所有由此引起的责任及经济损失。</w:t>
            </w:r>
          </w:p>
        </w:tc>
      </w:tr>
      <w:tr w14:paraId="7461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0" w:hRule="atLeast"/>
          <w:jc w:val="center"/>
        </w:trPr>
        <w:tc>
          <w:tcPr>
            <w:tcW w:w="617" w:type="dxa"/>
            <w:vAlign w:val="center"/>
          </w:tcPr>
          <w:p w14:paraId="75A35B6D">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c>
          <w:tcPr>
            <w:tcW w:w="1133" w:type="dxa"/>
            <w:vAlign w:val="center"/>
          </w:tcPr>
          <w:p w14:paraId="16F7615B">
            <w:pPr>
              <w:pStyle w:val="60"/>
              <w:spacing w:line="380" w:lineRule="exact"/>
              <w:ind w:firstLine="0" w:firstLineChars="0"/>
              <w:rPr>
                <w:rFonts w:hint="eastAsia" w:asciiTheme="minorEastAsia" w:hAnsiTheme="minorEastAsia" w:eastAsiaTheme="minorEastAsia" w:cstheme="minorEastAsia"/>
                <w:color w:val="000000" w:themeColor="text1"/>
                <w:sz w:val="21"/>
                <w:szCs w:val="21"/>
                <w14:textFill>
                  <w14:solidFill>
                    <w14:schemeClr w14:val="tx1"/>
                  </w14:solidFill>
                </w14:textFill>
              </w:rPr>
            </w:pPr>
            <w:bookmarkStart w:id="557" w:name="_Hlt98038044"/>
            <w:r>
              <w:rPr>
                <w:rFonts w:hint="eastAsia" w:asciiTheme="minorEastAsia" w:hAnsiTheme="minorEastAsia" w:eastAsiaTheme="minorEastAsia" w:cstheme="minorEastAsia"/>
                <w:color w:val="000000" w:themeColor="text1"/>
                <w:sz w:val="21"/>
                <w:szCs w:val="21"/>
                <w14:textFill>
                  <w14:solidFill>
                    <w14:schemeClr w14:val="tx1"/>
                  </w14:solidFill>
                </w14:textFill>
              </w:rPr>
              <w:t>安全、文明施工承诺</w:t>
            </w:r>
            <w:bookmarkEnd w:id="557"/>
            <w:r>
              <w:rPr>
                <w:rFonts w:hint="eastAsia" w:asciiTheme="minorEastAsia" w:hAnsiTheme="minorEastAsia" w:eastAsiaTheme="minorEastAsia" w:cstheme="minorEastAsia"/>
                <w:color w:val="000000" w:themeColor="text1"/>
                <w:sz w:val="21"/>
                <w:szCs w:val="21"/>
                <w14:textFill>
                  <w14:solidFill>
                    <w14:schemeClr w14:val="tx1"/>
                  </w14:solidFill>
                </w14:textFill>
              </w:rPr>
              <w:t>书</w:t>
            </w:r>
          </w:p>
        </w:tc>
        <w:tc>
          <w:tcPr>
            <w:tcW w:w="3166" w:type="dxa"/>
            <w:vAlign w:val="center"/>
          </w:tcPr>
          <w:p w14:paraId="2B5EA42C">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我方保证在施工期间严格遵守国家、省、市有关安全、文明施工规定，确保施工安全和第三者的安全，根据施工现场情况保证绿色施工安全防护措施费投入。</w:t>
            </w:r>
          </w:p>
        </w:tc>
        <w:tc>
          <w:tcPr>
            <w:tcW w:w="5022" w:type="dxa"/>
            <w:vAlign w:val="center"/>
          </w:tcPr>
          <w:p w14:paraId="68CCE3BB">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若因我方原因，在施工期间发生安全事故，造成施工人员或第三者的伤亡，我方愿意承担由此造成的一切经济损失和法律责任。</w:t>
            </w:r>
          </w:p>
          <w:p w14:paraId="17495C2C">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若我方在施工中发生一般事故及以上等级生产安全事故，可扣除相当于所有“绿色施工安全防护措施费”的管理费。</w:t>
            </w:r>
          </w:p>
        </w:tc>
      </w:tr>
      <w:tr w14:paraId="20C4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0" w:hRule="atLeast"/>
          <w:jc w:val="center"/>
        </w:trPr>
        <w:tc>
          <w:tcPr>
            <w:tcW w:w="617" w:type="dxa"/>
            <w:vAlign w:val="center"/>
          </w:tcPr>
          <w:p w14:paraId="6301A476">
            <w:pPr>
              <w:pStyle w:val="47"/>
              <w:wordWrap w:val="0"/>
              <w:adjustRightInd w:val="0"/>
              <w:snapToGrid w:val="0"/>
              <w:spacing w:line="380" w:lineRule="exact"/>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1"/>
                <w14:textFill>
                  <w14:solidFill>
                    <w14:schemeClr w14:val="tx1"/>
                  </w14:solidFill>
                </w14:textFill>
              </w:rPr>
              <w:t>5</w:t>
            </w:r>
          </w:p>
        </w:tc>
        <w:tc>
          <w:tcPr>
            <w:tcW w:w="1133" w:type="dxa"/>
            <w:vAlign w:val="center"/>
          </w:tcPr>
          <w:p w14:paraId="510F2C24">
            <w:pPr>
              <w:pStyle w:val="60"/>
              <w:wordWrap w:val="0"/>
              <w:adjustRightInd w:val="0"/>
              <w:snapToGrid w:val="0"/>
              <w:spacing w:line="380" w:lineRule="exact"/>
              <w:ind w:firstLine="0" w:firstLineChars="0"/>
              <w:jc w:val="center"/>
              <w:rPr>
                <w:rFonts w:hint="eastAsia" w:asciiTheme="minorEastAsia" w:hAnsiTheme="minorEastAsia" w:eastAsiaTheme="minorEastAsia" w:cstheme="minorEastAsia"/>
                <w:snapToGrid w:val="0"/>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1"/>
                <w14:textFill>
                  <w14:solidFill>
                    <w14:schemeClr w14:val="tx1"/>
                  </w14:solidFill>
                </w14:textFill>
              </w:rPr>
              <w:t>项目经理</w:t>
            </w:r>
          </w:p>
          <w:p w14:paraId="4E1D42C9">
            <w:pPr>
              <w:pStyle w:val="60"/>
              <w:wordWrap w:val="0"/>
              <w:adjustRightInd w:val="0"/>
              <w:snapToGrid w:val="0"/>
              <w:spacing w:line="38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1"/>
                <w14:textFill>
                  <w14:solidFill>
                    <w14:schemeClr w14:val="tx1"/>
                  </w14:solidFill>
                </w14:textFill>
              </w:rPr>
              <w:t>任职承诺</w:t>
            </w:r>
          </w:p>
        </w:tc>
        <w:tc>
          <w:tcPr>
            <w:tcW w:w="3166" w:type="dxa"/>
            <w:vAlign w:val="center"/>
          </w:tcPr>
          <w:p w14:paraId="5397ED76">
            <w:pPr>
              <w:pStyle w:val="60"/>
              <w:wordWrap w:val="0"/>
              <w:adjustRightInd w:val="0"/>
              <w:snapToGrid w:val="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1"/>
                <w14:textFill>
                  <w14:solidFill>
                    <w14:schemeClr w14:val="tx1"/>
                  </w14:solidFill>
                </w14:textFill>
              </w:rPr>
              <w:t>我方拟派项目经理现阶段没有担任任何在施（包括已中标或已签订合同未开工、已开工未竣工、已建成未竣工）建设工程项目的项目经理。</w:t>
            </w:r>
          </w:p>
        </w:tc>
        <w:tc>
          <w:tcPr>
            <w:tcW w:w="5022" w:type="dxa"/>
            <w:vAlign w:val="center"/>
          </w:tcPr>
          <w:p w14:paraId="067DBCE9">
            <w:pPr>
              <w:pStyle w:val="60"/>
              <w:wordWrap w:val="0"/>
              <w:adjustRightInd w:val="0"/>
              <w:snapToGrid w:val="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1"/>
                <w14:textFill>
                  <w14:solidFill>
                    <w14:schemeClr w14:val="tx1"/>
                  </w14:solidFill>
                </w14:textFill>
              </w:rPr>
              <w:t>如果我方拟派项目经理在本工程招标投标活动期间有担任其他任何在施（包括已中标或已签订合同未开工、已开工未竣工、已建成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31EF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vAlign w:val="center"/>
          </w:tcPr>
          <w:p w14:paraId="3BBE4B4C">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w:t>
            </w:r>
          </w:p>
        </w:tc>
        <w:tc>
          <w:tcPr>
            <w:tcW w:w="1133" w:type="dxa"/>
            <w:vAlign w:val="center"/>
          </w:tcPr>
          <w:p w14:paraId="0E5B85BE">
            <w:pPr>
              <w:pStyle w:val="60"/>
              <w:spacing w:line="380" w:lineRule="exact"/>
              <w:ind w:firstLine="0" w:firstLineChars="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质量承诺书</w:t>
            </w:r>
          </w:p>
        </w:tc>
        <w:tc>
          <w:tcPr>
            <w:tcW w:w="3166" w:type="dxa"/>
            <w:vAlign w:val="center"/>
          </w:tcPr>
          <w:p w14:paraId="68268969">
            <w:pPr>
              <w:pStyle w:val="34"/>
              <w:spacing w:line="380" w:lineRule="exact"/>
              <w:ind w:firstLine="56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我方保证按照现行的国家和广东省的有关施工技术规范及现行标准，达</w:t>
            </w:r>
            <w:bookmarkStart w:id="558" w:name="_Hlt112573700"/>
            <w:bookmarkEnd w:id="558"/>
            <w:r>
              <w:rPr>
                <w:rFonts w:hint="eastAsia" w:asciiTheme="minorEastAsia" w:hAnsiTheme="minorEastAsia" w:eastAsiaTheme="minorEastAsia" w:cstheme="minorEastAsia"/>
                <w:color w:val="000000" w:themeColor="text1"/>
                <w:sz w:val="21"/>
                <w:szCs w:val="21"/>
                <w14:textFill>
                  <w14:solidFill>
                    <w14:schemeClr w14:val="tx1"/>
                  </w14:solidFill>
                </w14:textFill>
              </w:rPr>
              <w:t>到合格标准。</w:t>
            </w:r>
          </w:p>
          <w:p w14:paraId="2972749C">
            <w:pPr>
              <w:pStyle w:val="34"/>
              <w:spacing w:line="380" w:lineRule="exact"/>
              <w:ind w:firstLine="560"/>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5022" w:type="dxa"/>
            <w:vAlign w:val="center"/>
          </w:tcPr>
          <w:p w14:paraId="26F05AFE">
            <w:pPr>
              <w:pStyle w:val="60"/>
              <w:spacing w:line="380" w:lineRule="exact"/>
              <w:ind w:firstLine="412"/>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若因我方原因，工程在竣工验收或分部分项工程验收时没有达到合格标准</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我方每次（每分部每分项次）验收检查时按</w:t>
            </w:r>
            <w:r>
              <w:rPr>
                <w:rFonts w:hint="eastAsia" w:asciiTheme="minorEastAsia" w:hAnsiTheme="minorEastAsia" w:eastAsiaTheme="minorEastAsia" w:cstheme="minorEastAsia"/>
                <w:color w:val="000000" w:themeColor="text1"/>
                <w:sz w:val="21"/>
                <w:szCs w:val="21"/>
                <w14:textFill>
                  <w14:solidFill>
                    <w14:schemeClr w14:val="tx1"/>
                  </w14:solidFill>
                </w14:textFill>
              </w:rPr>
              <w:t>合同价款的</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1％</w:t>
            </w:r>
            <w:r>
              <w:rPr>
                <w:rFonts w:hint="eastAsia" w:asciiTheme="minorEastAsia" w:hAnsiTheme="minorEastAsia" w:eastAsiaTheme="minorEastAsia" w:cstheme="minorEastAsia"/>
                <w:color w:val="000000" w:themeColor="text1"/>
                <w:sz w:val="21"/>
                <w:szCs w:val="21"/>
                <w14:textFill>
                  <w14:solidFill>
                    <w14:schemeClr w14:val="tx1"/>
                  </w14:solidFill>
                </w14:textFill>
              </w:rPr>
              <w:t>向招标人缴纳质量违约金。并达到合格标准为止，同时承担所有的责任及经济损失。</w:t>
            </w:r>
          </w:p>
          <w:p w14:paraId="6DDF7F56">
            <w:pPr>
              <w:pStyle w:val="60"/>
              <w:spacing w:line="380" w:lineRule="exact"/>
              <w:ind w:firstLine="420"/>
              <w:rPr>
                <w:rFonts w:hint="eastAsia" w:asciiTheme="minorEastAsia" w:hAnsiTheme="minorEastAsia" w:eastAsiaTheme="minorEastAsia" w:cstheme="minorEastAsia"/>
                <w:color w:val="000000" w:themeColor="text1"/>
                <w:sz w:val="21"/>
                <w:szCs w:val="24"/>
                <w14:textFill>
                  <w14:solidFill>
                    <w14:schemeClr w14:val="tx1"/>
                  </w14:solidFill>
                </w14:textFill>
              </w:rPr>
            </w:pPr>
            <w:r>
              <w:rPr>
                <w:rFonts w:hint="eastAsia" w:asciiTheme="minorEastAsia" w:hAnsiTheme="minorEastAsia" w:eastAsiaTheme="minorEastAsia" w:cstheme="minorEastAsia"/>
                <w:color w:val="000000" w:themeColor="text1"/>
                <w:sz w:val="21"/>
                <w:szCs w:val="24"/>
                <w14:textFill>
                  <w14:solidFill>
                    <w14:schemeClr w14:val="tx1"/>
                  </w14:solidFill>
                </w14:textFill>
              </w:rPr>
              <w:t>在建设或监理单位组织的质量检查中，一次一个分项工程实测或其他项、程序不合格不符合要求的，一次向建设单位交纳质量违约金¥1000元/次项，分部工程不合格的一次、一个分部向建设（委托）单位交纳违约金¥2000元/次、项；</w:t>
            </w:r>
          </w:p>
          <w:p w14:paraId="322507DF">
            <w:pPr>
              <w:pStyle w:val="60"/>
              <w:spacing w:line="380" w:lineRule="exact"/>
              <w:ind w:firstLine="420"/>
              <w:rPr>
                <w:rFonts w:hint="eastAsia" w:asciiTheme="minorEastAsia" w:hAnsiTheme="minorEastAsia" w:eastAsiaTheme="minorEastAsia" w:cstheme="minorEastAsia"/>
                <w:color w:val="000000" w:themeColor="text1"/>
                <w:sz w:val="21"/>
                <w:szCs w:val="24"/>
                <w14:textFill>
                  <w14:solidFill>
                    <w14:schemeClr w14:val="tx1"/>
                  </w14:solidFill>
                </w14:textFill>
              </w:rPr>
            </w:pPr>
            <w:r>
              <w:rPr>
                <w:rFonts w:hint="eastAsia" w:asciiTheme="minorEastAsia" w:hAnsiTheme="minorEastAsia" w:eastAsiaTheme="minorEastAsia" w:cstheme="minorEastAsia"/>
                <w:color w:val="000000" w:themeColor="text1"/>
                <w:sz w:val="21"/>
                <w:szCs w:val="24"/>
                <w14:textFill>
                  <w14:solidFill>
                    <w14:schemeClr w14:val="tx1"/>
                  </w14:solidFill>
                </w14:textFill>
              </w:rPr>
              <w:t>在省、市监管部门抽查、巡查、专项、随机检查中，一次一个分项工程实测或其他项、程序不合格不符合要求的，一次向建设（委托）单位交纳质量违约金¥2000元/次项，分部工程不合格的一次、一个分部向建设（委托）单位交纳违约金¥5000元/次、项；</w:t>
            </w:r>
          </w:p>
          <w:p w14:paraId="51ABB2C7">
            <w:pPr>
              <w:pStyle w:val="62"/>
              <w:spacing w:line="400" w:lineRule="exact"/>
              <w:ind w:firstLine="420"/>
              <w:rPr>
                <w:rFonts w:hint="eastAsia" w:asciiTheme="minorEastAsia" w:hAnsiTheme="minorEastAsia" w:eastAsiaTheme="minorEastAsia" w:cstheme="minorEastAsia"/>
                <w:color w:val="000000" w:themeColor="text1"/>
                <w:sz w:val="21"/>
                <w:szCs w:val="24"/>
                <w14:textFill>
                  <w14:solidFill>
                    <w14:schemeClr w14:val="tx1"/>
                  </w14:solidFill>
                </w14:textFill>
              </w:rPr>
            </w:pPr>
            <w:r>
              <w:rPr>
                <w:rFonts w:hint="eastAsia" w:asciiTheme="minorEastAsia" w:hAnsiTheme="minorEastAsia" w:eastAsiaTheme="minorEastAsia" w:cstheme="minorEastAsia"/>
                <w:color w:val="000000" w:themeColor="text1"/>
                <w:sz w:val="21"/>
                <w:szCs w:val="24"/>
                <w14:textFill>
                  <w14:solidFill>
                    <w14:schemeClr w14:val="tx1"/>
                  </w14:solidFill>
                </w14:textFill>
              </w:rPr>
              <w:t>未能在限期内完成质量安全隐患整改的，每逾期一天，向建设单位交纳罚金¥1000元；</w:t>
            </w:r>
          </w:p>
          <w:p w14:paraId="42F6620C">
            <w:pPr>
              <w:pStyle w:val="62"/>
              <w:spacing w:line="400" w:lineRule="exact"/>
              <w:ind w:firstLine="420"/>
              <w:rPr>
                <w:rFonts w:hint="eastAsia" w:asciiTheme="minorEastAsia" w:hAnsiTheme="minorEastAsia" w:eastAsiaTheme="minorEastAsia" w:cstheme="minorEastAsia"/>
                <w:color w:val="000000" w:themeColor="text1"/>
                <w:sz w:val="21"/>
                <w:szCs w:val="24"/>
                <w14:textFill>
                  <w14:solidFill>
                    <w14:schemeClr w14:val="tx1"/>
                  </w14:solidFill>
                </w14:textFill>
              </w:rPr>
            </w:pPr>
            <w:r>
              <w:rPr>
                <w:rFonts w:hint="eastAsia" w:asciiTheme="minorEastAsia" w:hAnsiTheme="minorEastAsia" w:eastAsiaTheme="minorEastAsia" w:cstheme="minorEastAsia"/>
                <w:color w:val="000000" w:themeColor="text1"/>
                <w:sz w:val="21"/>
                <w:szCs w:val="24"/>
                <w14:textFill>
                  <w14:solidFill>
                    <w14:schemeClr w14:val="tx1"/>
                  </w14:solidFill>
                </w14:textFill>
              </w:rPr>
              <w:t>未按规定委派专业人员参加检验批、分部分项工程验收，不及时签署验收记录的，一次向建设（委托）单位交纳违约金¥2000元/次、项；</w:t>
            </w:r>
          </w:p>
          <w:p w14:paraId="011C3377">
            <w:pPr>
              <w:pStyle w:val="60"/>
              <w:spacing w:line="380" w:lineRule="exact"/>
              <w:ind w:firstLine="420"/>
              <w:rPr>
                <w:rFonts w:hint="eastAsia" w:asciiTheme="minorEastAsia" w:hAnsiTheme="minorEastAsia" w:eastAsiaTheme="minorEastAsia" w:cstheme="minorEastAsia"/>
                <w:color w:val="000000" w:themeColor="text1"/>
                <w:sz w:val="21"/>
                <w:szCs w:val="24"/>
                <w14:textFill>
                  <w14:solidFill>
                    <w14:schemeClr w14:val="tx1"/>
                  </w14:solidFill>
                </w14:textFill>
              </w:rPr>
            </w:pPr>
            <w:r>
              <w:rPr>
                <w:rFonts w:hint="eastAsia" w:asciiTheme="minorEastAsia" w:hAnsiTheme="minorEastAsia" w:eastAsiaTheme="minorEastAsia" w:cstheme="minorEastAsia"/>
                <w:color w:val="000000" w:themeColor="text1"/>
                <w:sz w:val="21"/>
                <w:szCs w:val="24"/>
                <w14:textFill>
                  <w14:solidFill>
                    <w14:schemeClr w14:val="tx1"/>
                  </w14:solidFill>
                </w14:textFill>
              </w:rPr>
              <w:t>不按规定委派相关人员参加项目竣工验收的，一次向建设单位交纳违约金¥50000元/项，不签署意见的交纳违约金¥50000元。</w:t>
            </w:r>
          </w:p>
        </w:tc>
      </w:tr>
      <w:tr w14:paraId="0195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0" w:hRule="atLeast"/>
          <w:jc w:val="center"/>
        </w:trPr>
        <w:tc>
          <w:tcPr>
            <w:tcW w:w="617" w:type="dxa"/>
            <w:vAlign w:val="center"/>
          </w:tcPr>
          <w:p w14:paraId="3AB34A82">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7</w:t>
            </w:r>
          </w:p>
        </w:tc>
        <w:tc>
          <w:tcPr>
            <w:tcW w:w="1133" w:type="dxa"/>
            <w:vAlign w:val="center"/>
          </w:tcPr>
          <w:p w14:paraId="0B3E1DA2">
            <w:pPr>
              <w:pStyle w:val="60"/>
              <w:spacing w:line="38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账户承诺</w:t>
            </w:r>
          </w:p>
        </w:tc>
        <w:tc>
          <w:tcPr>
            <w:tcW w:w="3166" w:type="dxa"/>
            <w:vAlign w:val="center"/>
          </w:tcPr>
          <w:p w14:paraId="690374B7">
            <w:pPr>
              <w:pStyle w:val="34"/>
              <w:spacing w:line="380" w:lineRule="exact"/>
              <w:ind w:firstLine="56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我方保证招标人的资金随时可划入合同中规</w:t>
            </w:r>
            <w:bookmarkStart w:id="559" w:name="_Hlt127094672"/>
            <w:bookmarkEnd w:id="559"/>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定的我方</w:t>
            </w:r>
            <w:r>
              <w:rPr>
                <w:rFonts w:hint="eastAsia" w:asciiTheme="minorEastAsia" w:hAnsiTheme="minorEastAsia" w:eastAsiaTheme="minorEastAsia" w:cstheme="minorEastAsia"/>
                <w:color w:val="000000" w:themeColor="text1"/>
                <w:sz w:val="21"/>
                <w:szCs w:val="21"/>
                <w14:textFill>
                  <w14:solidFill>
                    <w14:schemeClr w14:val="tx1"/>
                  </w14:solidFill>
                </w14:textFill>
              </w:rPr>
              <w:t>账</w:t>
            </w: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户。</w:t>
            </w:r>
          </w:p>
        </w:tc>
        <w:tc>
          <w:tcPr>
            <w:tcW w:w="5022" w:type="dxa"/>
            <w:vAlign w:val="center"/>
          </w:tcPr>
          <w:p w14:paraId="44A17868">
            <w:pPr>
              <w:pStyle w:val="60"/>
              <w:spacing w:line="380" w:lineRule="exact"/>
              <w:ind w:firstLine="412"/>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若因我方原因造成招标人的资金无法划入合同中规定的我方</w:t>
            </w:r>
            <w:r>
              <w:rPr>
                <w:rFonts w:hint="eastAsia" w:asciiTheme="minorEastAsia" w:hAnsiTheme="minorEastAsia" w:eastAsiaTheme="minorEastAsia" w:cstheme="minorEastAsia"/>
                <w:color w:val="000000" w:themeColor="text1"/>
                <w:sz w:val="21"/>
                <w:szCs w:val="21"/>
                <w14:textFill>
                  <w14:solidFill>
                    <w14:schemeClr w14:val="tx1"/>
                  </w14:solidFill>
                </w14:textFill>
              </w:rPr>
              <w:t>账</w:t>
            </w: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户，如时间达到30日历天，招标人有权终止合同。我方承担由此造成的所有责任及经济损失。</w:t>
            </w:r>
          </w:p>
        </w:tc>
      </w:tr>
      <w:tr w14:paraId="65E5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vAlign w:val="center"/>
          </w:tcPr>
          <w:p w14:paraId="4CF354B3">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w:t>
            </w:r>
          </w:p>
        </w:tc>
        <w:tc>
          <w:tcPr>
            <w:tcW w:w="1133" w:type="dxa"/>
            <w:vAlign w:val="center"/>
          </w:tcPr>
          <w:p w14:paraId="2E054553">
            <w:pPr>
              <w:pStyle w:val="60"/>
              <w:spacing w:line="38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工程的配合服务承诺</w:t>
            </w:r>
          </w:p>
        </w:tc>
        <w:tc>
          <w:tcPr>
            <w:tcW w:w="3166" w:type="dxa"/>
            <w:vAlign w:val="center"/>
          </w:tcPr>
          <w:p w14:paraId="1B414E7B">
            <w:pPr>
              <w:pStyle w:val="34"/>
              <w:spacing w:line="380" w:lineRule="exact"/>
              <w:ind w:firstLine="560"/>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我方服从业主管理，保证配合与工程承包范围内相关的其他标段（工种、分项）工程施工单位的工程施工，不提出额外增加费用的要求。</w:t>
            </w:r>
          </w:p>
        </w:tc>
        <w:tc>
          <w:tcPr>
            <w:tcW w:w="5022" w:type="dxa"/>
            <w:vAlign w:val="center"/>
          </w:tcPr>
          <w:p w14:paraId="336C898B">
            <w:pPr>
              <w:pStyle w:val="60"/>
              <w:spacing w:line="380" w:lineRule="exact"/>
              <w:ind w:firstLine="412"/>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若因我方未及时配合与工程承包范围内相关的其他标段（工种、分项）工程施工单位的工程施工，给招标人或其他施工单位造成损失的，我方承担所有的责任及经济损失。</w:t>
            </w:r>
          </w:p>
        </w:tc>
      </w:tr>
      <w:tr w14:paraId="1C16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9" w:hRule="atLeast"/>
          <w:jc w:val="center"/>
        </w:trPr>
        <w:tc>
          <w:tcPr>
            <w:tcW w:w="617" w:type="dxa"/>
            <w:vAlign w:val="center"/>
          </w:tcPr>
          <w:p w14:paraId="2E1C20B3">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9</w:t>
            </w:r>
          </w:p>
        </w:tc>
        <w:tc>
          <w:tcPr>
            <w:tcW w:w="1133" w:type="dxa"/>
            <w:vAlign w:val="center"/>
          </w:tcPr>
          <w:p w14:paraId="081F4B72">
            <w:pPr>
              <w:pStyle w:val="64"/>
              <w:spacing w:line="30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中标人员承诺</w:t>
            </w:r>
          </w:p>
        </w:tc>
        <w:tc>
          <w:tcPr>
            <w:tcW w:w="3166" w:type="dxa"/>
            <w:vAlign w:val="center"/>
          </w:tcPr>
          <w:p w14:paraId="339E14C7">
            <w:pPr>
              <w:pStyle w:val="64"/>
              <w:spacing w:line="300" w:lineRule="exact"/>
              <w:ind w:firstLine="412" w:firstLineChars="200"/>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我方保证投标文件中所拟派的中标人员全部配合施工现场管理施工。</w:t>
            </w:r>
          </w:p>
        </w:tc>
        <w:tc>
          <w:tcPr>
            <w:tcW w:w="5022" w:type="dxa"/>
            <w:vAlign w:val="center"/>
          </w:tcPr>
          <w:p w14:paraId="528FF141">
            <w:pPr>
              <w:pStyle w:val="65"/>
              <w:spacing w:line="300" w:lineRule="exact"/>
              <w:ind w:left="0" w:leftChars="0" w:firstLine="420" w:firstLineChars="200"/>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设计单位未能在招标人通知的时间内（提前一天通知，紧急情况随时通知）参加设计交底、处理有关设计问题、参加必要部位隐蔽验收和竣工验收等工作，每人次交纳违约金</w:t>
            </w:r>
            <w:r>
              <w:rPr>
                <w:rFonts w:hint="eastAsia" w:asciiTheme="minorEastAsia" w:hAnsiTheme="minorEastAsia" w:eastAsiaTheme="minorEastAsia" w:cstheme="minorEastAsia"/>
                <w:color w:val="000000" w:themeColor="text1"/>
                <w:sz w:val="21"/>
                <w14:textFill>
                  <w14:solidFill>
                    <w14:schemeClr w14:val="tx1"/>
                  </w14:solidFill>
                </w14:textFill>
              </w:rPr>
              <w:t>¥</w:t>
            </w: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1000元。</w:t>
            </w:r>
          </w:p>
          <w:p w14:paraId="77273815">
            <w:pPr>
              <w:pStyle w:val="65"/>
              <w:spacing w:line="300" w:lineRule="exact"/>
              <w:ind w:left="0" w:leftChars="0" w:firstLine="420" w:firstLineChars="200"/>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设计单位驻韶办公的项目负责人（即投标文件所拟派的项目负责人）必须负责本项目设计全过程（包括施工图设计审查、施工图设计修编、预算跟踪服务、图纸会审和技术交底）。项目负责人未准时参加上述环节工作的，每缺席一次交纳违约金</w:t>
            </w:r>
            <w:r>
              <w:rPr>
                <w:rFonts w:hint="eastAsia" w:asciiTheme="minorEastAsia" w:hAnsiTheme="minorEastAsia" w:eastAsiaTheme="minorEastAsia" w:cstheme="minorEastAsia"/>
                <w:color w:val="000000" w:themeColor="text1"/>
                <w:sz w:val="21"/>
                <w14:textFill>
                  <w14:solidFill>
                    <w14:schemeClr w14:val="tx1"/>
                  </w14:solidFill>
                </w14:textFill>
              </w:rPr>
              <w:t>¥</w:t>
            </w: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5000元（以招标人发出的违约通知为准）。</w:t>
            </w:r>
          </w:p>
          <w:p w14:paraId="369F65EE">
            <w:pPr>
              <w:pStyle w:val="65"/>
              <w:spacing w:line="300" w:lineRule="exact"/>
              <w:ind w:left="0" w:leftChars="0"/>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设计单位应委派1名参与并熟悉本项目设计任务，有现场处理经验的设计代表常驻项目现场。中标人应为派驻现场的设计工作人员提供工作、生活及交通等方面的便利条件及准备必要的劳动保护装备。在正常施工阶段，每月应保证最少20天在现场。未经招标人书面许可，缺少1天向建设单位每人每天支付违约金¥2000元/天。</w:t>
            </w:r>
          </w:p>
        </w:tc>
      </w:tr>
      <w:tr w14:paraId="0BD1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9" w:hRule="atLeast"/>
          <w:jc w:val="center"/>
        </w:trPr>
        <w:tc>
          <w:tcPr>
            <w:tcW w:w="617" w:type="dxa"/>
            <w:vAlign w:val="center"/>
          </w:tcPr>
          <w:p w14:paraId="1A21A6FE">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w:t>
            </w:r>
          </w:p>
        </w:tc>
        <w:tc>
          <w:tcPr>
            <w:tcW w:w="1133" w:type="dxa"/>
            <w:vAlign w:val="center"/>
          </w:tcPr>
          <w:p w14:paraId="18102815">
            <w:pPr>
              <w:pStyle w:val="60"/>
              <w:spacing w:line="380" w:lineRule="exact"/>
              <w:ind w:firstLine="210" w:firstLineChars="10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项目管理班子人员承诺</w:t>
            </w:r>
          </w:p>
        </w:tc>
        <w:tc>
          <w:tcPr>
            <w:tcW w:w="3166" w:type="dxa"/>
            <w:vAlign w:val="center"/>
          </w:tcPr>
          <w:p w14:paraId="3EDE5DE2">
            <w:pPr>
              <w:pStyle w:val="34"/>
              <w:spacing w:line="380" w:lineRule="exact"/>
              <w:ind w:firstLine="560"/>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我方保证投标文件中所拟派的项目经理、技术负责人、施工员、质量员、安全员等工程管理人员全部在施工现场管理施工</w:t>
            </w:r>
          </w:p>
        </w:tc>
        <w:tc>
          <w:tcPr>
            <w:tcW w:w="5022" w:type="dxa"/>
            <w:vAlign w:val="center"/>
          </w:tcPr>
          <w:p w14:paraId="73C4800A">
            <w:pPr>
              <w:pStyle w:val="60"/>
              <w:spacing w:line="380" w:lineRule="exact"/>
              <w:ind w:firstLine="412"/>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承诺施工期间如左所叙施工现场管理人员按要求每日办理签到手续，如未经招标人同意未办理签到，向建设单位每人每天支付违约金</w:t>
            </w:r>
            <w:r>
              <w:rPr>
                <w:rFonts w:hint="eastAsia" w:asciiTheme="minorEastAsia" w:hAnsiTheme="minorEastAsia" w:eastAsiaTheme="minorEastAsia" w:cstheme="minorEastAsia"/>
                <w:color w:val="000000" w:themeColor="text1"/>
                <w:sz w:val="21"/>
                <w:szCs w:val="24"/>
                <w14:textFill>
                  <w14:solidFill>
                    <w14:schemeClr w14:val="tx1"/>
                  </w14:solidFill>
                </w14:textFill>
              </w:rPr>
              <w:t>¥</w:t>
            </w: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3000元（项目经理未签到每天支付违约金</w:t>
            </w:r>
            <w:r>
              <w:rPr>
                <w:rFonts w:hint="eastAsia" w:asciiTheme="minorEastAsia" w:hAnsiTheme="minorEastAsia" w:eastAsiaTheme="minorEastAsia" w:cstheme="minorEastAsia"/>
                <w:color w:val="000000" w:themeColor="text1"/>
                <w:sz w:val="21"/>
                <w:szCs w:val="24"/>
                <w14:textFill>
                  <w14:solidFill>
                    <w14:schemeClr w14:val="tx1"/>
                  </w14:solidFill>
                </w14:textFill>
              </w:rPr>
              <w:t>¥</w:t>
            </w: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3000元）；</w:t>
            </w:r>
          </w:p>
          <w:p w14:paraId="5470F0C6">
            <w:pPr>
              <w:pStyle w:val="60"/>
              <w:spacing w:line="380" w:lineRule="exact"/>
              <w:ind w:firstLine="412"/>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若我方的投标文件中所拟派的如左所述任何一个管理人员未经招标人或招标人同意擅自离岗，在一个月内达到10次/人，或项目经理、技术负责人在施工过程中每月驻场少于22天的，招标人有权终止合同。我方承担由此造成的所有责任及经济损失。</w:t>
            </w:r>
          </w:p>
        </w:tc>
      </w:tr>
      <w:tr w14:paraId="1A69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0" w:hRule="atLeast"/>
          <w:jc w:val="center"/>
        </w:trPr>
        <w:tc>
          <w:tcPr>
            <w:tcW w:w="617" w:type="dxa"/>
            <w:vAlign w:val="center"/>
          </w:tcPr>
          <w:p w14:paraId="08D5059E">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11</w:t>
            </w:r>
          </w:p>
        </w:tc>
        <w:tc>
          <w:tcPr>
            <w:tcW w:w="1133" w:type="dxa"/>
            <w:vAlign w:val="center"/>
          </w:tcPr>
          <w:p w14:paraId="6F4545CD">
            <w:pPr>
              <w:pStyle w:val="60"/>
              <w:spacing w:line="380" w:lineRule="exact"/>
              <w:ind w:firstLine="210" w:firstLineChars="10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对支付农民工工资的承诺</w:t>
            </w:r>
          </w:p>
        </w:tc>
        <w:tc>
          <w:tcPr>
            <w:tcW w:w="3166" w:type="dxa"/>
            <w:vAlign w:val="center"/>
          </w:tcPr>
          <w:p w14:paraId="4F93CDA5">
            <w:pPr>
              <w:pStyle w:val="60"/>
              <w:spacing w:line="380" w:lineRule="exact"/>
              <w:ind w:firstLine="206" w:firstLineChars="1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如我方中标，我方无条件同意按照用工合同支付</w:t>
            </w:r>
            <w:r>
              <w:rPr>
                <w:rFonts w:hint="eastAsia" w:asciiTheme="minorEastAsia" w:hAnsiTheme="minorEastAsia" w:eastAsiaTheme="minorEastAsia" w:cstheme="minorEastAsia"/>
                <w:color w:val="000000" w:themeColor="text1"/>
                <w:sz w:val="21"/>
                <w:szCs w:val="21"/>
                <w14:textFill>
                  <w14:solidFill>
                    <w14:schemeClr w14:val="tx1"/>
                  </w14:solidFill>
                </w14:textFill>
              </w:rPr>
              <w:t>农民工工资。</w:t>
            </w:r>
          </w:p>
        </w:tc>
        <w:tc>
          <w:tcPr>
            <w:tcW w:w="5022" w:type="dxa"/>
            <w:vAlign w:val="center"/>
          </w:tcPr>
          <w:p w14:paraId="74451CAA">
            <w:pPr>
              <w:pStyle w:val="60"/>
              <w:spacing w:line="380" w:lineRule="exact"/>
              <w:ind w:firstLine="412"/>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如我方中标，我方无条件同意按照用工合同支付</w:t>
            </w:r>
            <w:r>
              <w:rPr>
                <w:rFonts w:hint="eastAsia" w:asciiTheme="minorEastAsia" w:hAnsiTheme="minorEastAsia" w:eastAsiaTheme="minorEastAsia" w:cstheme="minorEastAsia"/>
                <w:color w:val="000000" w:themeColor="text1"/>
                <w:sz w:val="21"/>
                <w:szCs w:val="21"/>
                <w14:textFill>
                  <w14:solidFill>
                    <w14:schemeClr w14:val="tx1"/>
                  </w14:solidFill>
                </w14:textFill>
              </w:rPr>
              <w:t>农民工工资。否则，招标人有权终止合同，扣除履约保证金，并由招标人先行垫付农民工被拖欠的工资，数额以未结清的工程数为限。</w:t>
            </w:r>
          </w:p>
        </w:tc>
      </w:tr>
      <w:tr w14:paraId="1F4C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617" w:type="dxa"/>
            <w:vAlign w:val="center"/>
          </w:tcPr>
          <w:p w14:paraId="5E02EEE0">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12</w:t>
            </w:r>
          </w:p>
        </w:tc>
        <w:tc>
          <w:tcPr>
            <w:tcW w:w="1133" w:type="dxa"/>
            <w:vAlign w:val="center"/>
          </w:tcPr>
          <w:p w14:paraId="3192E63C">
            <w:pPr>
              <w:pStyle w:val="60"/>
              <w:spacing w:line="380" w:lineRule="exact"/>
              <w:ind w:firstLine="210" w:firstLineChars="10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施工组织设计承诺</w:t>
            </w:r>
          </w:p>
        </w:tc>
        <w:tc>
          <w:tcPr>
            <w:tcW w:w="3166" w:type="dxa"/>
            <w:vAlign w:val="center"/>
          </w:tcPr>
          <w:p w14:paraId="6B9763FC">
            <w:pPr>
              <w:pStyle w:val="60"/>
              <w:spacing w:line="380" w:lineRule="exact"/>
              <w:ind w:firstLine="210" w:firstLineChars="1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我方保证施工组织设计按照国家省市有关规定进行编写。</w:t>
            </w:r>
          </w:p>
        </w:tc>
        <w:tc>
          <w:tcPr>
            <w:tcW w:w="5022" w:type="dxa"/>
            <w:vAlign w:val="center"/>
          </w:tcPr>
          <w:p w14:paraId="29E3B2BC">
            <w:pPr>
              <w:pStyle w:val="60"/>
              <w:spacing w:line="380" w:lineRule="exact"/>
              <w:ind w:firstLine="210" w:firstLineChars="1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如我方的施工组织设计未根据招标项目情况按照国家省市有关规定进行编写的，扣除全部履约保证金。</w:t>
            </w:r>
          </w:p>
        </w:tc>
      </w:tr>
      <w:tr w14:paraId="3294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5" w:hRule="atLeast"/>
          <w:jc w:val="center"/>
        </w:trPr>
        <w:tc>
          <w:tcPr>
            <w:tcW w:w="617" w:type="dxa"/>
            <w:vAlign w:val="center"/>
          </w:tcPr>
          <w:p w14:paraId="5853AB52">
            <w:pPr>
              <w:pStyle w:val="66"/>
              <w:spacing w:line="30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13</w:t>
            </w:r>
          </w:p>
        </w:tc>
        <w:tc>
          <w:tcPr>
            <w:tcW w:w="1133" w:type="dxa"/>
            <w:vAlign w:val="center"/>
          </w:tcPr>
          <w:p w14:paraId="1CE05BA8">
            <w:pPr>
              <w:pStyle w:val="66"/>
              <w:spacing w:line="30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设计承诺</w:t>
            </w:r>
          </w:p>
        </w:tc>
        <w:tc>
          <w:tcPr>
            <w:tcW w:w="3166" w:type="dxa"/>
            <w:vAlign w:val="center"/>
          </w:tcPr>
          <w:p w14:paraId="662900F7">
            <w:pPr>
              <w:pStyle w:val="67"/>
              <w:spacing w:line="300" w:lineRule="exact"/>
              <w:ind w:left="0" w:leftChars="0" w:firstLine="412"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如我方中标，我方保证按设计规范及有关法律法规进行设计，并准时提供设计文件和施工图预算，相应设计文件经审图机构审查通过</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5022" w:type="dxa"/>
            <w:vAlign w:val="center"/>
          </w:tcPr>
          <w:p w14:paraId="4E16E1C4">
            <w:pPr>
              <w:pStyle w:val="67"/>
              <w:spacing w:line="300" w:lineRule="exact"/>
              <w:ind w:left="0" w:leftChars="0" w:firstLine="412"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 w:val="21"/>
                <w:szCs w:val="21"/>
                <w14:textFill>
                  <w14:solidFill>
                    <w14:schemeClr w14:val="tx1"/>
                  </w14:solidFill>
                </w14:textFill>
              </w:rPr>
              <w:t>如我方中标，未能按招标文件要求提供设计文件和施工图预算</w:t>
            </w:r>
            <w:r>
              <w:rPr>
                <w:rFonts w:hint="eastAsia" w:asciiTheme="minorEastAsia" w:hAnsiTheme="minorEastAsia" w:eastAsiaTheme="minorEastAsia" w:cstheme="minorEastAsia"/>
                <w:color w:val="000000" w:themeColor="text1"/>
                <w:sz w:val="21"/>
                <w:szCs w:val="21"/>
                <w14:textFill>
                  <w14:solidFill>
                    <w14:schemeClr w14:val="tx1"/>
                  </w14:solidFill>
                </w14:textFill>
              </w:rPr>
              <w:t>，招标人有权终止合同，扣除设计费的10%作为违约罚款，并由招标人另行委托相应资质的单位进行设计，其费用由中标人支付，施工工期不予顺延且不另外计取赶工措施费。</w:t>
            </w:r>
          </w:p>
          <w:p w14:paraId="5EDFF478">
            <w:pPr>
              <w:pStyle w:val="67"/>
              <w:spacing w:line="300" w:lineRule="exact"/>
              <w:ind w:left="0" w:leftChars="0" w:firstLine="420" w:firstLineChars="200"/>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由于设计单位设计工作错误造成工程设计质量事故，根据责任情况，按招标文件及合同相应违约条款的约定处理。负责采取补救措施。</w:t>
            </w:r>
          </w:p>
          <w:p w14:paraId="50B27862">
            <w:pPr>
              <w:pStyle w:val="67"/>
              <w:spacing w:line="300" w:lineRule="exact"/>
              <w:ind w:left="0" w:leftChars="0" w:firstLine="420" w:firstLineChars="200"/>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施工期间</w:t>
            </w:r>
            <w:r>
              <w:rPr>
                <w:rFonts w:hint="eastAsia" w:asciiTheme="minorEastAsia" w:hAnsiTheme="minorEastAsia" w:eastAsiaTheme="minorEastAsia" w:cstheme="minorEastAsia"/>
                <w:bCs/>
                <w:snapToGrid w:val="0"/>
                <w:color w:val="000000" w:themeColor="text1"/>
                <w:sz w:val="21"/>
                <w:szCs w:val="21"/>
                <w14:textFill>
                  <w14:solidFill>
                    <w14:schemeClr w14:val="tx1"/>
                  </w14:solidFill>
                </w14:textFill>
              </w:rPr>
              <w:t>除招标人要求或特殊地质原因外，</w:t>
            </w: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因设计质量和深度不够的原因引起的工程返工或需要设计变更引起工程造价增加的，每次扣减设计合同价款中设计费的2％，扣完为止。</w:t>
            </w:r>
          </w:p>
          <w:p w14:paraId="69C12ACE">
            <w:pPr>
              <w:pStyle w:val="67"/>
              <w:spacing w:line="300" w:lineRule="exact"/>
              <w:ind w:left="0"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因设计单位自身原因造成工程结算超施工招标中标价的，扣除应付设计合同价款中的余款。</w:t>
            </w:r>
          </w:p>
        </w:tc>
      </w:tr>
      <w:tr w14:paraId="5DF8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vAlign w:val="center"/>
          </w:tcPr>
          <w:p w14:paraId="74D8EFED">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14</w:t>
            </w:r>
          </w:p>
        </w:tc>
        <w:tc>
          <w:tcPr>
            <w:tcW w:w="1133" w:type="dxa"/>
            <w:vAlign w:val="center"/>
          </w:tcPr>
          <w:p w14:paraId="41795427">
            <w:pPr>
              <w:pStyle w:val="60"/>
              <w:spacing w:line="38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综合服务能力承诺</w:t>
            </w:r>
          </w:p>
        </w:tc>
        <w:tc>
          <w:tcPr>
            <w:tcW w:w="3166" w:type="dxa"/>
            <w:vAlign w:val="center"/>
          </w:tcPr>
          <w:p w14:paraId="669E3C26">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我方保证中标后，自行解决施工中遇到的各种外部问题，协调周边企业、村民关系，并承担由此产生的所有责任及损失。</w:t>
            </w:r>
          </w:p>
        </w:tc>
        <w:tc>
          <w:tcPr>
            <w:tcW w:w="5022" w:type="dxa"/>
            <w:vAlign w:val="center"/>
          </w:tcPr>
          <w:p w14:paraId="5F7671CB">
            <w:pPr>
              <w:pStyle w:val="60"/>
              <w:spacing w:line="380" w:lineRule="exact"/>
              <w:ind w:firstLine="42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若我方未能按招标文件所承诺的各项承诺完成时，我方同意按比例扣除相应履约保证金，并承担由此引起的所有责任。</w:t>
            </w:r>
          </w:p>
        </w:tc>
      </w:tr>
      <w:tr w14:paraId="759A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vAlign w:val="center"/>
          </w:tcPr>
          <w:p w14:paraId="1B8D8A45">
            <w:pPr>
              <w:pStyle w:val="34"/>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w:t>
            </w:r>
          </w:p>
        </w:tc>
        <w:tc>
          <w:tcPr>
            <w:tcW w:w="1133" w:type="dxa"/>
            <w:vAlign w:val="center"/>
          </w:tcPr>
          <w:p w14:paraId="1FFE3097">
            <w:pPr>
              <w:pStyle w:val="60"/>
              <w:spacing w:line="380" w:lineRule="exact"/>
              <w:ind w:firstLine="210" w:firstLineChars="1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廉政承诺</w:t>
            </w:r>
          </w:p>
        </w:tc>
        <w:tc>
          <w:tcPr>
            <w:tcW w:w="3166" w:type="dxa"/>
            <w:vAlign w:val="center"/>
          </w:tcPr>
          <w:p w14:paraId="759ADB2E">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如我方中标，我方将严格执行国家、广东省、韶关市有关工程建设廉政的有关法律法规及双方签订的廉政合同。</w:t>
            </w:r>
          </w:p>
        </w:tc>
        <w:tc>
          <w:tcPr>
            <w:tcW w:w="5022" w:type="dxa"/>
            <w:vAlign w:val="center"/>
          </w:tcPr>
          <w:p w14:paraId="50D77B1B">
            <w:pPr>
              <w:pStyle w:val="60"/>
              <w:spacing w:line="38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如我方违反国家、广东省、韶关市有关工程建设廉政的有关法律法规及双方签订的廉政合同，受到相关主管部门的通报或查处，招标人可按规定对我方进行处罚，情节严重时招标人可终止合同，我方承担由此造成的所有责任和经济损失。</w:t>
            </w:r>
          </w:p>
        </w:tc>
      </w:tr>
      <w:tr w14:paraId="3064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4" w:hRule="atLeast"/>
          <w:jc w:val="center"/>
        </w:trPr>
        <w:tc>
          <w:tcPr>
            <w:tcW w:w="617" w:type="dxa"/>
            <w:vAlign w:val="center"/>
          </w:tcPr>
          <w:p w14:paraId="4792E6F9">
            <w:pPr>
              <w:pStyle w:val="7"/>
              <w:spacing w:line="380" w:lineRule="exact"/>
              <w:jc w:val="center"/>
              <w:rPr>
                <w:rFonts w:hint="eastAsia" w:asciiTheme="minorEastAsia" w:hAnsiTheme="minorEastAsia" w:eastAsiaTheme="minorEastAsia" w:cstheme="minorEastAsia"/>
                <w:color w:val="000000" w:themeColor="text1"/>
                <w:sz w:val="24"/>
                <w:szCs w:val="21"/>
                <w14:textFill>
                  <w14:solidFill>
                    <w14:schemeClr w14:val="tx1"/>
                  </w14:solidFill>
                </w14:textFill>
              </w:rPr>
            </w:pPr>
            <w:r>
              <w:rPr>
                <w:rFonts w:hint="eastAsia" w:asciiTheme="minorEastAsia" w:hAnsiTheme="minorEastAsia" w:eastAsiaTheme="minorEastAsia" w:cstheme="minorEastAsia"/>
                <w:color w:val="000000" w:themeColor="text1"/>
                <w:sz w:val="24"/>
                <w:szCs w:val="21"/>
                <w14:textFill>
                  <w14:solidFill>
                    <w14:schemeClr w14:val="tx1"/>
                  </w14:solidFill>
                </w14:textFill>
              </w:rPr>
              <w:t>16</w:t>
            </w:r>
          </w:p>
        </w:tc>
        <w:tc>
          <w:tcPr>
            <w:tcW w:w="1133" w:type="dxa"/>
            <w:vAlign w:val="center"/>
          </w:tcPr>
          <w:p w14:paraId="69B3CCAD">
            <w:pPr>
              <w:pStyle w:val="60"/>
              <w:snapToGrid w:val="0"/>
              <w:spacing w:line="40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投标文件</w:t>
            </w:r>
          </w:p>
          <w:p w14:paraId="31BFEA1B">
            <w:pPr>
              <w:pStyle w:val="60"/>
              <w:snapToGrid w:val="0"/>
              <w:spacing w:line="40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信息公开承诺</w:t>
            </w:r>
          </w:p>
        </w:tc>
        <w:tc>
          <w:tcPr>
            <w:tcW w:w="3166" w:type="dxa"/>
            <w:vAlign w:val="center"/>
          </w:tcPr>
          <w:p w14:paraId="2A84DECF">
            <w:pPr>
              <w:pStyle w:val="60"/>
              <w:snapToGrid w:val="0"/>
              <w:spacing w:line="40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我方提供完整的电子文件。如果我方成为本项目中标候选人，我方同意并授权招标人在评标结果公示期内公开我方商务部分的全部内容。</w:t>
            </w:r>
          </w:p>
        </w:tc>
        <w:tc>
          <w:tcPr>
            <w:tcW w:w="5022" w:type="dxa"/>
            <w:vAlign w:val="center"/>
          </w:tcPr>
          <w:p w14:paraId="46646C3D">
            <w:pPr>
              <w:pStyle w:val="60"/>
              <w:snapToGrid w:val="0"/>
              <w:spacing w:line="240" w:lineRule="auto"/>
              <w:ind w:firstLine="0" w:firstLineChars="0"/>
              <w:rPr>
                <w:rFonts w:hint="eastAsia" w:asciiTheme="minorEastAsia" w:hAnsiTheme="minorEastAsia" w:eastAsiaTheme="minorEastAsia" w:cstheme="minorEastAsia"/>
                <w:color w:val="000000" w:themeColor="text1"/>
                <w:sz w:val="21"/>
                <w:szCs w:val="21"/>
                <w14:textFill>
                  <w14:solidFill>
                    <w14:schemeClr w14:val="tx1"/>
                  </w14:solidFill>
                </w14:textFill>
              </w:rPr>
            </w:pPr>
          </w:p>
          <w:p w14:paraId="15992D1D">
            <w:pPr>
              <w:pStyle w:val="60"/>
              <w:snapToGrid w:val="0"/>
              <w:spacing w:line="400" w:lineRule="exact"/>
              <w:ind w:firstLine="0" w:firstLineChars="0"/>
              <w:rPr>
                <w:rFonts w:hint="eastAsia" w:asciiTheme="minorEastAsia" w:hAnsiTheme="minorEastAsia" w:eastAsiaTheme="minorEastAsia" w:cstheme="minorEastAsia"/>
                <w:color w:val="000000" w:themeColor="text1"/>
                <w:sz w:val="21"/>
                <w:szCs w:val="21"/>
                <w14:textFill>
                  <w14:solidFill>
                    <w14:schemeClr w14:val="tx1"/>
                  </w14:solidFill>
                </w14:textFill>
              </w:rPr>
            </w:pPr>
          </w:p>
        </w:tc>
      </w:tr>
      <w:tr w14:paraId="36F8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1" w:hRule="atLeast"/>
          <w:jc w:val="center"/>
        </w:trPr>
        <w:tc>
          <w:tcPr>
            <w:tcW w:w="617" w:type="dxa"/>
            <w:vAlign w:val="center"/>
          </w:tcPr>
          <w:p w14:paraId="19A5F1AF">
            <w:pPr>
              <w:pStyle w:val="7"/>
              <w:spacing w:line="380" w:lineRule="exact"/>
              <w:jc w:val="center"/>
              <w:rPr>
                <w:rFonts w:hint="eastAsia" w:asciiTheme="minorEastAsia" w:hAnsiTheme="minorEastAsia" w:eastAsiaTheme="minorEastAsia" w:cstheme="minorEastAsia"/>
                <w:color w:val="000000" w:themeColor="text1"/>
                <w:sz w:val="24"/>
                <w:szCs w:val="21"/>
                <w14:textFill>
                  <w14:solidFill>
                    <w14:schemeClr w14:val="tx1"/>
                  </w14:solidFill>
                </w14:textFill>
              </w:rPr>
            </w:pPr>
            <w:r>
              <w:rPr>
                <w:rFonts w:hint="eastAsia" w:asciiTheme="minorEastAsia" w:hAnsiTheme="minorEastAsia" w:eastAsiaTheme="minorEastAsia" w:cstheme="minorEastAsia"/>
                <w:color w:val="000000" w:themeColor="text1"/>
                <w:sz w:val="24"/>
                <w:szCs w:val="21"/>
                <w14:textFill>
                  <w14:solidFill>
                    <w14:schemeClr w14:val="tx1"/>
                  </w14:solidFill>
                </w14:textFill>
              </w:rPr>
              <w:t>17</w:t>
            </w:r>
          </w:p>
        </w:tc>
        <w:tc>
          <w:tcPr>
            <w:tcW w:w="1133" w:type="dxa"/>
            <w:vAlign w:val="center"/>
          </w:tcPr>
          <w:p w14:paraId="0E357ABA">
            <w:pPr>
              <w:pStyle w:val="60"/>
              <w:snapToGrid w:val="0"/>
              <w:spacing w:line="40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质量安全受检承诺</w:t>
            </w:r>
          </w:p>
        </w:tc>
        <w:tc>
          <w:tcPr>
            <w:tcW w:w="3166" w:type="dxa"/>
            <w:vAlign w:val="center"/>
          </w:tcPr>
          <w:p w14:paraId="34B1F53B">
            <w:pPr>
              <w:pStyle w:val="60"/>
              <w:snapToGrid w:val="0"/>
              <w:spacing w:line="40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若我方中标，我方承诺本项目在建设过程中，设计及施工的质量安全等相关实施内容按照业主单位、发包单位的相关管理规定和质量安全考核要求，随时接受业主单位、发包单位自行或委托的第三方的监督检查及考核，我方保证无条件配合。</w:t>
            </w:r>
          </w:p>
        </w:tc>
        <w:tc>
          <w:tcPr>
            <w:tcW w:w="5022" w:type="dxa"/>
            <w:vAlign w:val="center"/>
          </w:tcPr>
          <w:p w14:paraId="2A19B319">
            <w:pPr>
              <w:pStyle w:val="60"/>
              <w:snapToGrid w:val="0"/>
              <w:spacing w:line="40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如我方不配合或未通过相关的监督检查及考核，我方承诺接受业主单位、发包单位的相关管理规定和处罚，并承担相应的责任。</w:t>
            </w:r>
          </w:p>
        </w:tc>
      </w:tr>
      <w:tr w14:paraId="47B6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6" w:hRule="atLeast"/>
          <w:jc w:val="center"/>
        </w:trPr>
        <w:tc>
          <w:tcPr>
            <w:tcW w:w="617" w:type="dxa"/>
            <w:vAlign w:val="center"/>
          </w:tcPr>
          <w:p w14:paraId="79DFC0A1">
            <w:pPr>
              <w:pStyle w:val="7"/>
              <w:spacing w:line="380" w:lineRule="exact"/>
              <w:jc w:val="center"/>
              <w:rPr>
                <w:rFonts w:hint="eastAsia" w:asciiTheme="minorEastAsia" w:hAnsiTheme="minorEastAsia" w:eastAsiaTheme="minorEastAsia" w:cstheme="minorEastAsia"/>
                <w:color w:val="000000" w:themeColor="text1"/>
                <w:sz w:val="24"/>
                <w:szCs w:val="21"/>
                <w14:textFill>
                  <w14:solidFill>
                    <w14:schemeClr w14:val="tx1"/>
                  </w14:solidFill>
                </w14:textFill>
              </w:rPr>
            </w:pPr>
            <w:r>
              <w:rPr>
                <w:rFonts w:hint="eastAsia" w:asciiTheme="minorEastAsia" w:hAnsiTheme="minorEastAsia" w:eastAsiaTheme="minorEastAsia" w:cstheme="minorEastAsia"/>
                <w:color w:val="000000" w:themeColor="text1"/>
                <w:sz w:val="24"/>
                <w:szCs w:val="21"/>
                <w14:textFill>
                  <w14:solidFill>
                    <w14:schemeClr w14:val="tx1"/>
                  </w14:solidFill>
                </w14:textFill>
              </w:rPr>
              <w:t>18</w:t>
            </w:r>
          </w:p>
        </w:tc>
        <w:tc>
          <w:tcPr>
            <w:tcW w:w="1133" w:type="dxa"/>
            <w:vAlign w:val="center"/>
          </w:tcPr>
          <w:p w14:paraId="17EDD933">
            <w:pPr>
              <w:pStyle w:val="60"/>
              <w:snapToGrid w:val="0"/>
              <w:spacing w:line="400" w:lineRule="exact"/>
              <w:ind w:firstLine="0" w:firstLineChars="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对工程预付款的使用承诺</w:t>
            </w:r>
          </w:p>
        </w:tc>
        <w:tc>
          <w:tcPr>
            <w:tcW w:w="3166" w:type="dxa"/>
            <w:vAlign w:val="center"/>
          </w:tcPr>
          <w:p w14:paraId="1AB244FC">
            <w:pPr>
              <w:pStyle w:val="60"/>
              <w:snapToGrid w:val="0"/>
              <w:spacing w:line="400" w:lineRule="exact"/>
              <w:ind w:firstLine="42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我方保证工程预付款用于主要建筑材料的备料及支付工人工资。</w:t>
            </w:r>
          </w:p>
        </w:tc>
        <w:tc>
          <w:tcPr>
            <w:tcW w:w="5022" w:type="dxa"/>
            <w:vAlign w:val="center"/>
          </w:tcPr>
          <w:p w14:paraId="440D27A7">
            <w:pPr>
              <w:pStyle w:val="60"/>
              <w:snapToGrid w:val="0"/>
              <w:spacing w:line="400" w:lineRule="exact"/>
              <w:ind w:firstLine="42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50165</wp:posOffset>
                      </wp:positionV>
                      <wp:extent cx="3055620" cy="815975"/>
                      <wp:effectExtent l="1270" t="4445" r="10160" b="17780"/>
                      <wp:wrapNone/>
                      <wp:docPr id="1" name="直线 18"/>
                      <wp:cNvGraphicFramePr/>
                      <a:graphic xmlns:a="http://schemas.openxmlformats.org/drawingml/2006/main">
                        <a:graphicData uri="http://schemas.microsoft.com/office/word/2010/wordprocessingShape">
                          <wps:wsp>
                            <wps:cNvCnPr/>
                            <wps:spPr>
                              <a:xfrm flipV="1">
                                <a:off x="0" y="0"/>
                                <a:ext cx="3055620" cy="81597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8" o:spid="_x0000_s1026" o:spt="20" style="position:absolute;left:0pt;flip:y;margin-left:1.2pt;margin-top:3.95pt;height:64.25pt;width:240.6pt;z-index:251664384;mso-width-relative:page;mso-height-relative:page;" filled="f" stroked="t" coordsize="21600,21600" o:gfxdata="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PDfB1QAAAAcBAAAPAAAAAAAAAAEAIAAAACIAAABkcnMvZG93bnJldi54bWxQSwECFAAUAAAACACH&#10;TuJA2ICyMu4BAADtAwAADgAAAAAAAAABACAAAAAkAQAAZHJzL2Uyb0RvYy54bWxQSwUGAAAAAAYA&#10;BgBZAQAAhAUAAAAA&#10;">
                      <v:fill on="f" focussize="0,0"/>
                      <v:stroke color="#000000" joinstyle="round"/>
                      <v:imagedata o:title=""/>
                      <o:lock v:ext="edit" aspectratio="f"/>
                    </v:line>
                  </w:pict>
                </mc:Fallback>
              </mc:AlternateContent>
            </w:r>
          </w:p>
        </w:tc>
      </w:tr>
    </w:tbl>
    <w:p w14:paraId="52082581">
      <w:pPr>
        <w:pStyle w:val="68"/>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注：所有违约金均从中标人的进度款中扣除，最终结算以扣除违约金总数后的金额为准。</w:t>
      </w:r>
    </w:p>
    <w:p w14:paraId="1D93A998">
      <w:pPr>
        <w:pStyle w:val="34"/>
        <w:spacing w:line="400" w:lineRule="exact"/>
        <w:jc w:val="left"/>
        <w:rPr>
          <w:rFonts w:hint="eastAsia" w:asciiTheme="minorEastAsia" w:hAnsiTheme="minorEastAsia" w:eastAsiaTheme="minorEastAsia" w:cstheme="minorEastAsia"/>
          <w:color w:val="000000" w:themeColor="text1"/>
          <w:szCs w:val="24"/>
          <w14:textFill>
            <w14:solidFill>
              <w14:schemeClr w14:val="tx1"/>
            </w14:solidFill>
          </w14:textFill>
        </w:rPr>
      </w:pPr>
    </w:p>
    <w:p w14:paraId="44DDFCFE">
      <w:pPr>
        <w:pStyle w:val="11"/>
        <w:wordWrap w:val="0"/>
        <w:adjustRightInd w:val="0"/>
        <w:snapToGrid w:val="0"/>
        <w:spacing w:line="420" w:lineRule="exact"/>
        <w:ind w:firstLine="480" w:firstLineChars="200"/>
        <w:jc w:val="right"/>
        <w:rPr>
          <w:rFonts w:hAnsi="宋体" w:eastAsia="宋体" w:cs="宋体"/>
          <w:snapToGrid w:val="0"/>
          <w:color w:val="000000" w:themeColor="text1"/>
          <w:kern w:val="0"/>
          <w:szCs w:val="24"/>
          <w14:textFill>
            <w14:solidFill>
              <w14:schemeClr w14:val="tx1"/>
            </w14:solidFill>
          </w14:textFill>
        </w:rPr>
      </w:pPr>
      <w:r>
        <w:rPr>
          <w:rFonts w:hAnsi="宋体" w:eastAsia="宋体" w:cs="宋体"/>
          <w:snapToGrid w:val="0"/>
          <w:color w:val="000000" w:themeColor="text1"/>
          <w:kern w:val="0"/>
          <w:szCs w:val="24"/>
          <w14:textFill>
            <w14:solidFill>
              <w14:schemeClr w14:val="tx1"/>
            </w14:solidFill>
          </w14:textFill>
        </w:rPr>
        <w:t>投标人：</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（盖单位章）</w:t>
      </w:r>
    </w:p>
    <w:p w14:paraId="133F6EC6">
      <w:pPr>
        <w:pStyle w:val="11"/>
        <w:wordWrap w:val="0"/>
        <w:adjustRightInd w:val="0"/>
        <w:snapToGrid w:val="0"/>
        <w:spacing w:line="420" w:lineRule="exact"/>
        <w:ind w:firstLine="480" w:firstLineChars="200"/>
        <w:jc w:val="right"/>
        <w:rPr>
          <w:rFonts w:hAnsi="宋体" w:eastAsia="宋体" w:cs="宋体"/>
          <w:snapToGrid w:val="0"/>
          <w:color w:val="000000" w:themeColor="text1"/>
          <w:kern w:val="0"/>
          <w:szCs w:val="24"/>
          <w14:textFill>
            <w14:solidFill>
              <w14:schemeClr w14:val="tx1"/>
            </w14:solidFill>
          </w14:textFill>
        </w:rPr>
      </w:pPr>
    </w:p>
    <w:p w14:paraId="038954E3">
      <w:pPr>
        <w:pStyle w:val="11"/>
        <w:wordWrap w:val="0"/>
        <w:adjustRightInd w:val="0"/>
        <w:snapToGrid w:val="0"/>
        <w:spacing w:line="420" w:lineRule="exact"/>
        <w:ind w:firstLine="480" w:firstLineChars="200"/>
        <w:jc w:val="right"/>
        <w:rPr>
          <w:rFonts w:hAnsi="宋体" w:eastAsia="宋体" w:cs="宋体"/>
          <w:snapToGrid w:val="0"/>
          <w:color w:val="000000" w:themeColor="text1"/>
          <w:kern w:val="0"/>
          <w:szCs w:val="24"/>
          <w14:textFill>
            <w14:solidFill>
              <w14:schemeClr w14:val="tx1"/>
            </w14:solidFill>
          </w14:textFill>
        </w:rPr>
      </w:pPr>
      <w:r>
        <w:rPr>
          <w:rFonts w:hAnsi="宋体" w:eastAsia="宋体" w:cs="宋体"/>
          <w:snapToGrid w:val="0"/>
          <w:color w:val="000000" w:themeColor="text1"/>
          <w:kern w:val="0"/>
          <w:szCs w:val="24"/>
          <w14:textFill>
            <w14:solidFill>
              <w14:schemeClr w14:val="tx1"/>
            </w14:solidFill>
          </w14:textFill>
        </w:rPr>
        <w:t>法定代表人或其委托代理人：</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（签字或盖章）</w:t>
      </w:r>
    </w:p>
    <w:p w14:paraId="468A295C">
      <w:pPr>
        <w:pStyle w:val="11"/>
        <w:wordWrap w:val="0"/>
        <w:adjustRightInd w:val="0"/>
        <w:snapToGrid w:val="0"/>
        <w:spacing w:line="420" w:lineRule="exact"/>
        <w:ind w:firstLine="480" w:firstLineChars="200"/>
        <w:jc w:val="right"/>
        <w:rPr>
          <w:rFonts w:hAnsi="宋体" w:eastAsia="宋体" w:cs="宋体"/>
          <w:snapToGrid w:val="0"/>
          <w:color w:val="000000" w:themeColor="text1"/>
          <w:kern w:val="0"/>
          <w:szCs w:val="24"/>
          <w14:textFill>
            <w14:solidFill>
              <w14:schemeClr w14:val="tx1"/>
            </w14:solidFill>
          </w14:textFill>
        </w:rPr>
      </w:pPr>
      <w:r>
        <w:rPr>
          <w:rFonts w:hAnsi="宋体" w:eastAsia="宋体" w:cs="宋体"/>
          <w:snapToGrid w:val="0"/>
          <w:color w:val="000000" w:themeColor="text1"/>
          <w:kern w:val="0"/>
          <w:szCs w:val="24"/>
          <w14:textFill>
            <w14:solidFill>
              <w14:schemeClr w14:val="tx1"/>
            </w14:solidFill>
          </w14:textFill>
        </w:rPr>
        <w:t xml:space="preserve">                     </w:t>
      </w:r>
    </w:p>
    <w:p w14:paraId="3D617E4C">
      <w:pPr>
        <w:widowControl/>
        <w:jc w:val="right"/>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r>
        <w:rPr>
          <w:rFonts w:hAnsi="宋体" w:eastAsia="宋体" w:cs="宋体"/>
          <w:snapToGrid w:val="0"/>
          <w:color w:val="000000" w:themeColor="text1"/>
          <w:kern w:val="0"/>
          <w:szCs w:val="24"/>
          <w14:textFill>
            <w14:solidFill>
              <w14:schemeClr w14:val="tx1"/>
            </w14:solidFill>
          </w14:textFill>
        </w:rPr>
        <w:t xml:space="preserve">        </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年</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月</w:t>
      </w:r>
      <w:r>
        <w:rPr>
          <w:rFonts w:hAnsi="宋体" w:eastAsia="宋体" w:cs="宋体"/>
          <w:snapToGrid w:val="0"/>
          <w:color w:val="000000" w:themeColor="text1"/>
          <w:kern w:val="0"/>
          <w:szCs w:val="24"/>
          <w:u w:val="single"/>
          <w14:textFill>
            <w14:solidFill>
              <w14:schemeClr w14:val="tx1"/>
            </w14:solidFill>
          </w14:textFill>
        </w:rPr>
        <w:t xml:space="preserve">    </w:t>
      </w:r>
      <w:r>
        <w:rPr>
          <w:rFonts w:hAnsi="宋体" w:eastAsia="宋体" w:cs="宋体"/>
          <w:snapToGrid w:val="0"/>
          <w:color w:val="000000" w:themeColor="text1"/>
          <w:kern w:val="0"/>
          <w:szCs w:val="24"/>
          <w14:textFill>
            <w14:solidFill>
              <w14:schemeClr w14:val="tx1"/>
            </w14:solidFill>
          </w14:textFill>
        </w:rPr>
        <w:t>日</w:t>
      </w:r>
      <w: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br w:type="page"/>
      </w:r>
    </w:p>
    <w:p w14:paraId="6036F536">
      <w:pPr>
        <w:pStyle w:val="3"/>
        <w:spacing w:before="120"/>
        <w:rPr>
          <w:rFonts w:asciiTheme="minorEastAsia" w:hAnsiTheme="minorEastAsia" w:eastAsiaTheme="minorEastAsia" w:cstheme="minorEastAsia"/>
          <w:b/>
          <w:bCs/>
          <w:color w:val="000000" w:themeColor="text1"/>
          <w:szCs w:val="24"/>
          <w14:textFill>
            <w14:solidFill>
              <w14:schemeClr w14:val="tx1"/>
            </w14:solidFill>
          </w14:textFill>
        </w:rPr>
      </w:pPr>
      <w:bookmarkStart w:id="560" w:name="_Toc30463"/>
      <w:bookmarkStart w:id="561" w:name="_Toc663"/>
      <w:bookmarkStart w:id="562" w:name="_Toc30764"/>
      <w:bookmarkStart w:id="563" w:name="_Toc10981"/>
      <w:bookmarkStart w:id="564" w:name="_Toc6896"/>
      <w:bookmarkStart w:id="565" w:name="_Toc20053"/>
      <w:r>
        <w:rPr>
          <w:rFonts w:asciiTheme="minorEastAsia" w:hAnsiTheme="minorEastAsia" w:eastAsiaTheme="minorEastAsia" w:cstheme="minorEastAsia"/>
          <w:b/>
          <w:bCs/>
          <w:color w:val="000000" w:themeColor="text1"/>
          <w:szCs w:val="24"/>
          <w14:textFill>
            <w14:solidFill>
              <w14:schemeClr w14:val="tx1"/>
            </w14:solidFill>
          </w14:textFill>
        </w:rPr>
        <w:t>格式四 授权委托书</w:t>
      </w:r>
      <w:bookmarkEnd w:id="560"/>
      <w:bookmarkEnd w:id="561"/>
      <w:bookmarkEnd w:id="562"/>
      <w:bookmarkEnd w:id="563"/>
      <w:bookmarkEnd w:id="564"/>
      <w:bookmarkEnd w:id="565"/>
    </w:p>
    <w:p w14:paraId="3769FD06">
      <w:pPr>
        <w:wordWrap w:val="0"/>
        <w:adjustRightInd w:val="0"/>
        <w:snapToGrid w:val="0"/>
        <w:spacing w:line="440" w:lineRule="exact"/>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p>
    <w:p w14:paraId="781C91F0">
      <w:pPr>
        <w:wordWrap w:val="0"/>
        <w:adjustRightInd w:val="0"/>
        <w:snapToGrid w:val="0"/>
        <w:spacing w:before="260" w:after="260" w:line="440" w:lineRule="exact"/>
        <w:jc w:val="center"/>
        <w:rPr>
          <w:rFonts w:asciiTheme="minorEastAsia" w:hAnsiTheme="minorEastAsia" w:eastAsiaTheme="minorEastAsia" w:cstheme="minorEastAsia"/>
          <w:b/>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snapToGrid w:val="0"/>
          <w:color w:val="000000" w:themeColor="text1"/>
          <w:kern w:val="0"/>
          <w:szCs w:val="24"/>
          <w14:textFill>
            <w14:solidFill>
              <w14:schemeClr w14:val="tx1"/>
            </w14:solidFill>
          </w14:textFill>
        </w:rPr>
        <w:t>授权委托书</w:t>
      </w:r>
    </w:p>
    <w:p w14:paraId="7B179E51">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54218CA0">
      <w:pPr>
        <w:wordWrap w:val="0"/>
        <w:adjustRightInd w:val="0"/>
        <w:snapToGrid w:val="0"/>
        <w:spacing w:line="44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本人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（姓名）系</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（投标人名称）的法定代表人，现委托</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（姓名）为我方代理人。代理人根据授权，以我方名义签署、澄清、说明、补正、递交、撤回、修改</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（项目名称）投标文件、签订合同和处理有关事宜，其法律后果由我方承担。</w:t>
      </w:r>
    </w:p>
    <w:p w14:paraId="261CB210">
      <w:pPr>
        <w:wordWrap w:val="0"/>
        <w:adjustRightInd w:val="0"/>
        <w:snapToGrid w:val="0"/>
        <w:spacing w:line="44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委托期限：至</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年   月   日</w:t>
      </w:r>
      <w:r>
        <w:rPr>
          <w:rFonts w:asciiTheme="minorEastAsia" w:hAnsiTheme="minorEastAsia" w:eastAsiaTheme="minorEastAsia" w:cstheme="minorEastAsia"/>
          <w:i/>
          <w:iCs/>
          <w:snapToGrid w:val="0"/>
          <w:color w:val="000000" w:themeColor="text1"/>
          <w:kern w:val="0"/>
          <w:szCs w:val="24"/>
          <w:u w:val="single"/>
          <w14:textFill>
            <w14:solidFill>
              <w14:schemeClr w14:val="tx1"/>
            </w14:solidFill>
          </w14:textFill>
        </w:rPr>
        <w:t>（不得短于招标文件规定的投标有效期）</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w:t>
      </w:r>
    </w:p>
    <w:p w14:paraId="35E7E4C8">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代理人无转委托权。</w:t>
      </w:r>
    </w:p>
    <w:p w14:paraId="1C40A5C0">
      <w:pPr>
        <w:wordWrap w:val="0"/>
        <w:adjustRightInd w:val="0"/>
        <w:snapToGrid w:val="0"/>
        <w:spacing w:line="44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77236919">
      <w:pPr>
        <w:wordWrap w:val="0"/>
        <w:adjustRightInd w:val="0"/>
        <w:snapToGrid w:val="0"/>
        <w:spacing w:line="44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2483E6AF">
      <w:pPr>
        <w:wordWrap w:val="0"/>
        <w:adjustRightInd w:val="0"/>
        <w:snapToGrid w:val="0"/>
        <w:spacing w:line="440" w:lineRule="exact"/>
        <w:ind w:firstLine="480" w:firstLineChars="200"/>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投  标  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（盖单位章）</w:t>
      </w:r>
    </w:p>
    <w:p w14:paraId="73359220">
      <w:pPr>
        <w:wordWrap w:val="0"/>
        <w:adjustRightInd w:val="0"/>
        <w:snapToGrid w:val="0"/>
        <w:spacing w:line="440" w:lineRule="exact"/>
        <w:ind w:firstLine="480" w:firstLineChars="200"/>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6933CB8F">
      <w:pPr>
        <w:wordWrap w:val="0"/>
        <w:adjustRightInd w:val="0"/>
        <w:snapToGrid w:val="0"/>
        <w:spacing w:line="440" w:lineRule="exact"/>
        <w:ind w:firstLine="480" w:firstLineChars="200"/>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法定代表人：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（签字或盖章）</w:t>
      </w:r>
    </w:p>
    <w:p w14:paraId="0315298F">
      <w:pPr>
        <w:wordWrap w:val="0"/>
        <w:adjustRightInd w:val="0"/>
        <w:snapToGrid w:val="0"/>
        <w:spacing w:line="440" w:lineRule="exact"/>
        <w:ind w:firstLine="480" w:firstLineChars="200"/>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5DE8090C">
      <w:pPr>
        <w:wordWrap w:val="0"/>
        <w:adjustRightInd w:val="0"/>
        <w:snapToGrid w:val="0"/>
        <w:spacing w:line="440" w:lineRule="exact"/>
        <w:ind w:firstLine="480" w:firstLineChars="200"/>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委托代理人：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（签字或盖章）</w:t>
      </w:r>
    </w:p>
    <w:p w14:paraId="29AFF0BF">
      <w:pPr>
        <w:wordWrap w:val="0"/>
        <w:adjustRightInd w:val="0"/>
        <w:snapToGrid w:val="0"/>
        <w:spacing w:line="440" w:lineRule="exact"/>
        <w:ind w:firstLine="480" w:firstLineChars="200"/>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年</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日</w:t>
      </w:r>
    </w:p>
    <w:p w14:paraId="5DB3A2A1">
      <w:pPr>
        <w:wordWrap w:val="0"/>
        <w:adjustRightInd w:val="0"/>
        <w:snapToGrid w:val="0"/>
        <w:spacing w:line="44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4F72F31F">
      <w:pPr>
        <w:wordWrap w:val="0"/>
        <w:adjustRightInd w:val="0"/>
        <w:snapToGrid w:val="0"/>
        <w:spacing w:line="44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07E5D70A">
      <w:pPr>
        <w:wordWrap w:val="0"/>
        <w:adjustRightInd w:val="0"/>
        <w:snapToGrid w:val="0"/>
        <w:spacing w:line="44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177747E4">
      <w:pPr>
        <w:wordWrap w:val="0"/>
        <w:adjustRightInd w:val="0"/>
        <w:snapToGrid w:val="0"/>
        <w:ind w:firstLine="5520" w:firstLineChars="23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10" name="流程图: 可选过程 10"/>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B4C6077">
                            <w:pPr>
                              <w:jc w:val="center"/>
                              <w:rPr>
                                <w:szCs w:val="21"/>
                              </w:rPr>
                            </w:pPr>
                          </w:p>
                          <w:p w14:paraId="1C1D9571">
                            <w:pPr>
                              <w:jc w:val="center"/>
                              <w:rPr>
                                <w:szCs w:val="21"/>
                              </w:rPr>
                            </w:pPr>
                          </w:p>
                          <w:p w14:paraId="35FACC38">
                            <w:pPr>
                              <w:jc w:val="center"/>
                              <w:rPr>
                                <w:szCs w:val="21"/>
                              </w:rPr>
                            </w:pPr>
                          </w:p>
                          <w:p w14:paraId="717954B6">
                            <w:pPr>
                              <w:jc w:val="center"/>
                              <w:rPr>
                                <w:rFonts w:hAnsi="宋体" w:eastAsia="宋体" w:cs="宋体"/>
                                <w:szCs w:val="21"/>
                              </w:rPr>
                            </w:pPr>
                            <w:r>
                              <w:rPr>
                                <w:rFonts w:hAnsi="宋体" w:eastAsia="宋体" w:cs="宋体"/>
                                <w:szCs w:val="21"/>
                              </w:rPr>
                              <w:t>委托代理人身份证彩色扫描件正、反面</w:t>
                            </w:r>
                          </w:p>
                        </w:txbxContent>
                      </wps:txbx>
                      <wps:bodyPr wrap="square" upright="1"/>
                    </wps:wsp>
                  </a:graphicData>
                </a:graphic>
              </wp:anchor>
            </w:drawing>
          </mc:Choice>
          <mc:Fallback>
            <w:pict>
              <v:shape id="_x0000_s1026" o:spid="_x0000_s1026" o:spt="176" type="#_x0000_t176" style="position:absolute;left:0pt;margin-left:115.5pt;margin-top:2.6pt;height:124.75pt;width:251.25pt;z-index:251663360;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J9Os2AAAAAkBAAAPAAAAAAAAAAEAIAAAACIAAABkcnMvZG93&#10;bnJldi54bWxQSwECFAAUAAAACACHTuJAsfZZWzkCAABuBAAADgAAAAAAAAABACAAAAAnAQAAZHJz&#10;L2Uyb0RvYy54bWxQSwUGAAAAAAYABgBZAQAA0gUAAAAA&#10;">
                <v:fill on="t" focussize="0,0"/>
                <v:stroke color="#000000" joinstyle="miter"/>
                <v:imagedata o:title=""/>
                <o:lock v:ext="edit" aspectratio="f"/>
                <v:textbox>
                  <w:txbxContent>
                    <w:p w14:paraId="5B4C6077">
                      <w:pPr>
                        <w:jc w:val="center"/>
                        <w:rPr>
                          <w:szCs w:val="21"/>
                        </w:rPr>
                      </w:pPr>
                    </w:p>
                    <w:p w14:paraId="1C1D9571">
                      <w:pPr>
                        <w:jc w:val="center"/>
                        <w:rPr>
                          <w:szCs w:val="21"/>
                        </w:rPr>
                      </w:pPr>
                    </w:p>
                    <w:p w14:paraId="35FACC38">
                      <w:pPr>
                        <w:jc w:val="center"/>
                        <w:rPr>
                          <w:szCs w:val="21"/>
                        </w:rPr>
                      </w:pPr>
                    </w:p>
                    <w:p w14:paraId="717954B6">
                      <w:pPr>
                        <w:jc w:val="center"/>
                        <w:rPr>
                          <w:rFonts w:hAnsi="宋体" w:eastAsia="宋体" w:cs="宋体"/>
                          <w:szCs w:val="21"/>
                        </w:rPr>
                      </w:pPr>
                      <w:r>
                        <w:rPr>
                          <w:rFonts w:hAnsi="宋体" w:eastAsia="宋体" w:cs="宋体"/>
                          <w:szCs w:val="21"/>
                        </w:rPr>
                        <w:t>委托代理人身份证彩色扫描件正、反面</w:t>
                      </w:r>
                    </w:p>
                  </w:txbxContent>
                </v:textbox>
              </v:shape>
            </w:pict>
          </mc:Fallback>
        </mc:AlternateContent>
      </w:r>
    </w:p>
    <w:p w14:paraId="560DC494">
      <w:pPr>
        <w:pStyle w:val="8"/>
        <w:wordWrap w:val="0"/>
        <w:adjustRightInd w:val="0"/>
        <w:snapToGrid w:val="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693B37EE">
      <w:pPr>
        <w:rPr>
          <w:rFonts w:asciiTheme="minorEastAsia" w:hAnsiTheme="minorEastAsia" w:eastAsiaTheme="minorEastAsia" w:cstheme="minorEastAsia"/>
          <w:color w:val="000000" w:themeColor="text1"/>
          <w:szCs w:val="24"/>
          <w14:textFill>
            <w14:solidFill>
              <w14:schemeClr w14:val="tx1"/>
            </w14:solidFill>
          </w14:textFill>
        </w:rPr>
      </w:pPr>
    </w:p>
    <w:p w14:paraId="1FDDA152">
      <w:pPr>
        <w:wordWrap w:val="0"/>
        <w:adjustRightInd w:val="0"/>
        <w:snapToGrid w:val="0"/>
        <w:rPr>
          <w:rFonts w:asciiTheme="minorEastAsia" w:hAnsiTheme="minorEastAsia" w:eastAsiaTheme="minorEastAsia" w:cstheme="minorEastAsia"/>
          <w:snapToGrid w:val="0"/>
          <w:color w:val="000000" w:themeColor="text1"/>
          <w:kern w:val="0"/>
          <w:szCs w:val="24"/>
          <w14:textFill>
            <w14:solidFill>
              <w14:schemeClr w14:val="tx1"/>
            </w14:solidFill>
          </w14:textFill>
        </w:rPr>
        <w:sectPr>
          <w:headerReference r:id="rId6" w:type="default"/>
          <w:footerReference r:id="rId7" w:type="default"/>
          <w:endnotePr>
            <w:numFmt w:val="decimal"/>
          </w:endnotePr>
          <w:pgSz w:w="11906" w:h="16838"/>
          <w:pgMar w:top="1701" w:right="1531" w:bottom="1417" w:left="1531" w:header="850" w:footer="737" w:gutter="0"/>
          <w:cols w:space="720" w:num="1"/>
          <w:docGrid w:linePitch="327" w:charSpace="0"/>
        </w:sectPr>
      </w:pPr>
    </w:p>
    <w:p w14:paraId="148283EF">
      <w:pPr>
        <w:pStyle w:val="3"/>
        <w:spacing w:before="120"/>
        <w:rPr>
          <w:rFonts w:asciiTheme="minorEastAsia" w:hAnsiTheme="minorEastAsia" w:eastAsiaTheme="minorEastAsia" w:cstheme="minorEastAsia"/>
          <w:b/>
          <w:bCs/>
          <w:color w:val="000000" w:themeColor="text1"/>
          <w:szCs w:val="24"/>
          <w14:textFill>
            <w14:solidFill>
              <w14:schemeClr w14:val="tx1"/>
            </w14:solidFill>
          </w14:textFill>
        </w:rPr>
      </w:pPr>
      <w:bookmarkStart w:id="566" w:name="_Toc6984"/>
      <w:bookmarkStart w:id="567" w:name="_Toc12031"/>
      <w:bookmarkStart w:id="568" w:name="_Toc20397"/>
      <w:r>
        <w:rPr>
          <w:rFonts w:asciiTheme="minorEastAsia" w:hAnsiTheme="minorEastAsia" w:eastAsiaTheme="minorEastAsia" w:cstheme="minorEastAsia"/>
          <w:b/>
          <w:bCs/>
          <w:color w:val="000000" w:themeColor="text1"/>
          <w:szCs w:val="24"/>
          <w14:textFill>
            <w14:solidFill>
              <w14:schemeClr w14:val="tx1"/>
            </w14:solidFill>
          </w14:textFill>
        </w:rPr>
        <w:t>格式五 法定代表人身份证明</w:t>
      </w:r>
      <w:bookmarkEnd w:id="566"/>
      <w:bookmarkEnd w:id="567"/>
      <w:bookmarkEnd w:id="568"/>
    </w:p>
    <w:p w14:paraId="6E0C23B0">
      <w:pPr>
        <w:wordWrap w:val="0"/>
        <w:adjustRightInd w:val="0"/>
        <w:snapToGrid w:val="0"/>
        <w:spacing w:line="440" w:lineRule="exact"/>
        <w:rPr>
          <w:rFonts w:asciiTheme="minorEastAsia" w:hAnsiTheme="minorEastAsia" w:eastAsiaTheme="minorEastAsia" w:cstheme="minorEastAsia"/>
          <w:b/>
          <w:snapToGrid w:val="0"/>
          <w:color w:val="000000" w:themeColor="text1"/>
          <w:kern w:val="0"/>
          <w:szCs w:val="24"/>
          <w14:textFill>
            <w14:solidFill>
              <w14:schemeClr w14:val="tx1"/>
            </w14:solidFill>
          </w14:textFill>
        </w:rPr>
      </w:pPr>
    </w:p>
    <w:p w14:paraId="62C21C29">
      <w:pPr>
        <w:wordWrap w:val="0"/>
        <w:adjustRightInd w:val="0"/>
        <w:snapToGrid w:val="0"/>
        <w:spacing w:before="260" w:after="260" w:line="440" w:lineRule="exact"/>
        <w:jc w:val="center"/>
        <w:rPr>
          <w:rFonts w:asciiTheme="minorEastAsia" w:hAnsiTheme="minorEastAsia" w:eastAsiaTheme="minorEastAsia" w:cstheme="minorEastAsia"/>
          <w:b/>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snapToGrid w:val="0"/>
          <w:color w:val="000000" w:themeColor="text1"/>
          <w:kern w:val="0"/>
          <w:szCs w:val="24"/>
          <w14:textFill>
            <w14:solidFill>
              <w14:schemeClr w14:val="tx1"/>
            </w14:solidFill>
          </w14:textFill>
        </w:rPr>
        <w:t>法定代表人身份证明</w:t>
      </w:r>
    </w:p>
    <w:p w14:paraId="4BBF293C">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7F9DC28D">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投标人名称：</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p>
    <w:p w14:paraId="623DA0AB">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姓名：</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性别：</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年龄：</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职务：</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p>
    <w:p w14:paraId="7149AD4A">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系</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（投标人名称）的法定代表人。</w:t>
      </w:r>
    </w:p>
    <w:p w14:paraId="3289E2AD">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特此证明。</w:t>
      </w:r>
    </w:p>
    <w:p w14:paraId="6EC9C4D0">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4D9041B8">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323607E3">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投标人：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（盖单位章）</w:t>
      </w:r>
    </w:p>
    <w:p w14:paraId="5DD95359">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755F6CE6">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68E19F26">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法定代表人：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（签字或盖章）</w:t>
      </w:r>
    </w:p>
    <w:p w14:paraId="32A36EB7">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42DB2A43">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年</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日       </w:t>
      </w:r>
    </w:p>
    <w:p w14:paraId="6CF126A0">
      <w:pPr>
        <w:wordWrap w:val="0"/>
        <w:adjustRightInd w:val="0"/>
        <w:snapToGrid w:val="0"/>
        <w:spacing w:line="440" w:lineRule="exact"/>
        <w:ind w:firstLine="720" w:firstLineChars="300"/>
        <w:rPr>
          <w:rFonts w:asciiTheme="minorEastAsia" w:hAnsiTheme="minorEastAsia" w:eastAsiaTheme="minorEastAsia" w:cstheme="minorEastAsia"/>
          <w:i/>
          <w:iCs/>
          <w:snapToGrid w:val="0"/>
          <w:color w:val="000000" w:themeColor="text1"/>
          <w:kern w:val="0"/>
          <w:szCs w:val="24"/>
          <w14:textFill>
            <w14:solidFill>
              <w14:schemeClr w14:val="tx1"/>
            </w14:solidFill>
          </w14:textFill>
        </w:rPr>
      </w:pPr>
    </w:p>
    <w:p w14:paraId="7A63C39B">
      <w:pPr>
        <w:wordWrap w:val="0"/>
        <w:adjustRightInd w:val="0"/>
        <w:snapToGrid w:val="0"/>
        <w:spacing w:line="440" w:lineRule="exact"/>
        <w:ind w:firstLine="720" w:firstLineChars="300"/>
        <w:rPr>
          <w:rFonts w:asciiTheme="minorEastAsia" w:hAnsiTheme="minorEastAsia" w:eastAsiaTheme="minorEastAsia" w:cstheme="minorEastAsia"/>
          <w:i/>
          <w:iCs/>
          <w:snapToGrid w:val="0"/>
          <w:color w:val="000000" w:themeColor="text1"/>
          <w:kern w:val="0"/>
          <w:szCs w:val="24"/>
          <w14:textFill>
            <w14:solidFill>
              <w14:schemeClr w14:val="tx1"/>
            </w14:solidFill>
          </w14:textFill>
        </w:rPr>
      </w:pPr>
    </w:p>
    <w:p w14:paraId="6053F855">
      <w:pPr>
        <w:wordWrap w:val="0"/>
        <w:adjustRightInd w:val="0"/>
        <w:snapToGrid w:val="0"/>
        <w:rPr>
          <w:rFonts w:asciiTheme="minorEastAsia" w:hAnsiTheme="minorEastAsia" w:eastAsiaTheme="minorEastAsia" w:cstheme="minorEastAsia"/>
          <w:b/>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snapToGrid w:val="0"/>
          <w:color w:val="000000" w:themeColor="text1"/>
          <w:kern w:val="0"/>
          <w:szCs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9" name="流程图: 可选过程 9"/>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7ADDCD5">
                            <w:pPr>
                              <w:jc w:val="center"/>
                              <w:rPr>
                                <w:szCs w:val="21"/>
                              </w:rPr>
                            </w:pPr>
                          </w:p>
                          <w:p w14:paraId="73FDB796">
                            <w:pPr>
                              <w:jc w:val="center"/>
                              <w:rPr>
                                <w:szCs w:val="21"/>
                              </w:rPr>
                            </w:pPr>
                          </w:p>
                          <w:p w14:paraId="6778D805">
                            <w:pPr>
                              <w:jc w:val="center"/>
                              <w:rPr>
                                <w:szCs w:val="21"/>
                              </w:rPr>
                            </w:pPr>
                          </w:p>
                          <w:p w14:paraId="220432A0">
                            <w:pPr>
                              <w:jc w:val="center"/>
                              <w:rPr>
                                <w:rFonts w:hAnsi="宋体" w:eastAsia="宋体" w:cs="宋体"/>
                                <w:szCs w:val="21"/>
                              </w:rPr>
                            </w:pPr>
                            <w:r>
                              <w:rPr>
                                <w:rFonts w:hAnsi="宋体" w:eastAsia="宋体" w:cs="宋体"/>
                                <w:szCs w:val="21"/>
                              </w:rPr>
                              <w:t>法定代表人身份证彩色扫描件正、反面</w:t>
                            </w:r>
                          </w:p>
                        </w:txbxContent>
                      </wps:txbx>
                      <wps:bodyPr wrap="square" upright="1"/>
                    </wps:wsp>
                  </a:graphicData>
                </a:graphic>
              </wp:anchor>
            </w:drawing>
          </mc:Choice>
          <mc:Fallback>
            <w:pict>
              <v:shape id="_x0000_s1026" o:spid="_x0000_s1026" o:spt="176" type="#_x0000_t176" style="position:absolute;left:0pt;margin-left:127.5pt;margin-top:1.6pt;height:124.75pt;width:222.45pt;z-index:251662336;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hXUptgAAAAJAQAADwAAAAAAAAABACAAAAAiAAAAZHJzL2Rvd25y&#10;ZXYueG1sUEsBAhQAFAAAAAgAh07iQEz7asY3AgAAbAQAAA4AAAAAAAAAAQAgAAAAJwEAAGRycy9l&#10;Mm9Eb2MueG1sUEsFBgAAAAAGAAYAWQEAANAFAAAAAA==&#10;">
                <v:fill on="t" focussize="0,0"/>
                <v:stroke color="#000000" joinstyle="miter"/>
                <v:imagedata o:title=""/>
                <o:lock v:ext="edit" aspectratio="f"/>
                <v:textbox>
                  <w:txbxContent>
                    <w:p w14:paraId="47ADDCD5">
                      <w:pPr>
                        <w:jc w:val="center"/>
                        <w:rPr>
                          <w:szCs w:val="21"/>
                        </w:rPr>
                      </w:pPr>
                    </w:p>
                    <w:p w14:paraId="73FDB796">
                      <w:pPr>
                        <w:jc w:val="center"/>
                        <w:rPr>
                          <w:szCs w:val="21"/>
                        </w:rPr>
                      </w:pPr>
                    </w:p>
                    <w:p w14:paraId="6778D805">
                      <w:pPr>
                        <w:jc w:val="center"/>
                        <w:rPr>
                          <w:szCs w:val="21"/>
                        </w:rPr>
                      </w:pPr>
                    </w:p>
                    <w:p w14:paraId="220432A0">
                      <w:pPr>
                        <w:jc w:val="center"/>
                        <w:rPr>
                          <w:rFonts w:hAnsi="宋体" w:eastAsia="宋体" w:cs="宋体"/>
                          <w:szCs w:val="21"/>
                        </w:rPr>
                      </w:pPr>
                      <w:r>
                        <w:rPr>
                          <w:rFonts w:hAnsi="宋体" w:eastAsia="宋体" w:cs="宋体"/>
                          <w:szCs w:val="21"/>
                        </w:rPr>
                        <w:t>法定代表人身份证彩色扫描件正、反面</w:t>
                      </w:r>
                    </w:p>
                  </w:txbxContent>
                </v:textbox>
              </v:shape>
            </w:pict>
          </mc:Fallback>
        </mc:AlternateContent>
      </w:r>
    </w:p>
    <w:p w14:paraId="106ACBCB">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6C18E856">
      <w:pPr>
        <w:wordWrap w:val="0"/>
        <w:adjustRightInd w:val="0"/>
        <w:snapToGrid w:val="0"/>
        <w:spacing w:line="480" w:lineRule="exact"/>
        <w:jc w:val="center"/>
        <w:rPr>
          <w:rFonts w:asciiTheme="minorEastAsia" w:hAnsiTheme="minorEastAsia" w:eastAsiaTheme="minorEastAsia" w:cstheme="minorEastAsia"/>
          <w:b/>
          <w:snapToGrid w:val="0"/>
          <w:color w:val="000000" w:themeColor="text1"/>
          <w:kern w:val="0"/>
          <w:szCs w:val="24"/>
          <w14:textFill>
            <w14:solidFill>
              <w14:schemeClr w14:val="tx1"/>
            </w14:solidFill>
          </w14:textFill>
        </w:rPr>
      </w:pPr>
    </w:p>
    <w:p w14:paraId="129610EC">
      <w:pPr>
        <w:wordWrap w:val="0"/>
        <w:adjustRightInd w:val="0"/>
        <w:snapToGrid w:val="0"/>
        <w:spacing w:line="480" w:lineRule="exact"/>
        <w:jc w:val="center"/>
        <w:rPr>
          <w:rFonts w:asciiTheme="minorEastAsia" w:hAnsiTheme="minorEastAsia" w:eastAsiaTheme="minorEastAsia" w:cstheme="minorEastAsia"/>
          <w:b/>
          <w:snapToGrid w:val="0"/>
          <w:color w:val="000000" w:themeColor="text1"/>
          <w:kern w:val="0"/>
          <w:szCs w:val="24"/>
          <w14:textFill>
            <w14:solidFill>
              <w14:schemeClr w14:val="tx1"/>
            </w14:solidFill>
          </w14:textFill>
        </w:rPr>
      </w:pPr>
    </w:p>
    <w:p w14:paraId="2213F3F2">
      <w:pPr>
        <w:wordWrap w:val="0"/>
        <w:adjustRightInd w:val="0"/>
        <w:snapToGrid w:val="0"/>
        <w:spacing w:line="480" w:lineRule="exact"/>
        <w:jc w:val="center"/>
        <w:rPr>
          <w:rFonts w:asciiTheme="minorEastAsia" w:hAnsiTheme="minorEastAsia" w:eastAsiaTheme="minorEastAsia" w:cstheme="minorEastAsia"/>
          <w:b/>
          <w:snapToGrid w:val="0"/>
          <w:color w:val="000000" w:themeColor="text1"/>
          <w:kern w:val="0"/>
          <w:szCs w:val="24"/>
          <w14:textFill>
            <w14:solidFill>
              <w14:schemeClr w14:val="tx1"/>
            </w14:solidFill>
          </w14:textFill>
        </w:rPr>
        <w:sectPr>
          <w:endnotePr>
            <w:numFmt w:val="decimal"/>
          </w:endnotePr>
          <w:pgSz w:w="11906" w:h="16838"/>
          <w:pgMar w:top="1701" w:right="1531" w:bottom="1417" w:left="1531" w:header="850" w:footer="992" w:gutter="0"/>
          <w:cols w:space="720" w:num="1"/>
          <w:docGrid w:linePitch="327" w:charSpace="0"/>
        </w:sectPr>
      </w:pPr>
    </w:p>
    <w:p w14:paraId="728245F4">
      <w:pPr>
        <w:pStyle w:val="3"/>
        <w:spacing w:before="120"/>
        <w:rPr>
          <w:rFonts w:asciiTheme="minorEastAsia" w:hAnsiTheme="minorEastAsia" w:eastAsiaTheme="minorEastAsia" w:cstheme="minorEastAsia"/>
          <w:b/>
          <w:bCs/>
          <w:color w:val="000000" w:themeColor="text1"/>
          <w:szCs w:val="24"/>
          <w14:textFill>
            <w14:solidFill>
              <w14:schemeClr w14:val="tx1"/>
            </w14:solidFill>
          </w14:textFill>
        </w:rPr>
      </w:pPr>
      <w:bookmarkStart w:id="569" w:name="_Toc19655"/>
      <w:bookmarkStart w:id="570" w:name="_Toc18316"/>
      <w:bookmarkStart w:id="571" w:name="_Toc16430"/>
      <w:bookmarkStart w:id="572" w:name="_Toc26395"/>
      <w:bookmarkStart w:id="573" w:name="_Toc30665"/>
      <w:bookmarkStart w:id="574" w:name="_Toc26875"/>
      <w:r>
        <w:rPr>
          <w:rFonts w:asciiTheme="minorEastAsia" w:hAnsiTheme="minorEastAsia" w:eastAsiaTheme="minorEastAsia" w:cstheme="minorEastAsia"/>
          <w:b/>
          <w:bCs/>
          <w:color w:val="000000" w:themeColor="text1"/>
          <w:szCs w:val="24"/>
          <w14:textFill>
            <w14:solidFill>
              <w14:schemeClr w14:val="tx1"/>
            </w14:solidFill>
          </w14:textFill>
        </w:rPr>
        <w:t>格式六 联合体协议书</w:t>
      </w:r>
      <w:bookmarkEnd w:id="569"/>
      <w:bookmarkEnd w:id="570"/>
      <w:bookmarkEnd w:id="571"/>
      <w:bookmarkEnd w:id="572"/>
      <w:bookmarkEnd w:id="573"/>
      <w:bookmarkEnd w:id="574"/>
    </w:p>
    <w:p w14:paraId="0AC2A6F1">
      <w:pPr>
        <w:pStyle w:val="46"/>
        <w:widowControl w:val="0"/>
        <w:wordWrap w:val="0"/>
        <w:adjustRightInd w:val="0"/>
        <w:snapToGrid w:val="0"/>
        <w:spacing w:before="240" w:after="240" w:line="440" w:lineRule="exact"/>
        <w:ind w:firstLine="0"/>
        <w:jc w:val="cente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snapToGrid w:val="0"/>
          <w:color w:val="000000" w:themeColor="text1"/>
          <w:sz w:val="24"/>
          <w:szCs w:val="24"/>
          <w14:textFill>
            <w14:solidFill>
              <w14:schemeClr w14:val="tx1"/>
            </w14:solidFill>
          </w14:textFill>
        </w:rPr>
        <w:t>联合体协议书</w:t>
      </w:r>
    </w:p>
    <w:p w14:paraId="688B246B">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3D0117E7">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6DFEDC7F">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牵头人名称：</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p>
    <w:p w14:paraId="655DDD56">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法定代表人：</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p>
    <w:p w14:paraId="5D0106FB">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法定住所：</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p>
    <w:p w14:paraId="0B75A3C1">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3B17CB0D">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成员二名称：</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p>
    <w:p w14:paraId="1AD58472">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法定代表人：</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p>
    <w:p w14:paraId="0C46D146">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法定住所：</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p>
    <w:p w14:paraId="13D72554">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3FBFB226">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38224335">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w:t>
      </w:r>
    </w:p>
    <w:p w14:paraId="15791535">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上述各成员单位经过友好协商，自愿组成联合体，共同参加</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（项目名称）（以下简称“本项目”）的投标并争取赢得本项目EPC总承包合同（以下简称合同）。现就联合体投标事宜订立如下协议：</w:t>
      </w:r>
    </w:p>
    <w:p w14:paraId="612F5AA2">
      <w:pPr>
        <w:pStyle w:val="46"/>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xml:space="preserve">    1．</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（某成员单位名称）为联合体牵头人。</w:t>
      </w:r>
    </w:p>
    <w:p w14:paraId="70B4E485">
      <w:pPr>
        <w:pStyle w:val="46"/>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66AFC331">
      <w:pPr>
        <w:pStyle w:val="46"/>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相关责任。</w:t>
      </w:r>
    </w:p>
    <w:p w14:paraId="7FE018D2">
      <w:pPr>
        <w:pStyle w:val="46"/>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xml:space="preserve">    4．联合体各成员单位内部的职责分工如下：</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w:t>
      </w:r>
    </w:p>
    <w:p w14:paraId="53253151">
      <w:pPr>
        <w:pStyle w:val="46"/>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xml:space="preserve">    5．投标工作和联合体在中标后工程实施过程中的有关费用按各自承担的工作量分摊。</w:t>
      </w:r>
    </w:p>
    <w:p w14:paraId="54E1C22C">
      <w:pPr>
        <w:pStyle w:val="46"/>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xml:space="preserve">    6．联合体中标后，本联合体协议是合同的附件，对联合体各成员单位有合同约束力。</w:t>
      </w:r>
    </w:p>
    <w:p w14:paraId="73E2F257">
      <w:pPr>
        <w:pStyle w:val="46"/>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xml:space="preserve">    7．本协议书自签署之日起生效，联合体未中标或者中标时合同履行完毕后自动失效。</w:t>
      </w:r>
    </w:p>
    <w:p w14:paraId="6477E412">
      <w:pPr>
        <w:pStyle w:val="46"/>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xml:space="preserve">    8．本协议书一式</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份，联合体成员和招标人各执一份。</w:t>
      </w:r>
    </w:p>
    <w:p w14:paraId="6675791A">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43B3D03C">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644855F3">
      <w:pPr>
        <w:pStyle w:val="46"/>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牵头人名称：</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（盖单位章）</w:t>
      </w:r>
    </w:p>
    <w:p w14:paraId="46164868">
      <w:pPr>
        <w:pStyle w:val="46"/>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w:t>
      </w:r>
    </w:p>
    <w:p w14:paraId="5FE4A4A8">
      <w:pPr>
        <w:pStyle w:val="46"/>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法定代表人或其委托代理人：</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（签字或盖章）</w:t>
      </w:r>
    </w:p>
    <w:p w14:paraId="618DA9EE">
      <w:pPr>
        <w:pStyle w:val="46"/>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12BCF4B1">
      <w:pPr>
        <w:pStyle w:val="46"/>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成员二名称：</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（盖单位章）</w:t>
      </w:r>
    </w:p>
    <w:p w14:paraId="7603ECFC">
      <w:pPr>
        <w:pStyle w:val="46"/>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0FA772B7">
      <w:pPr>
        <w:pStyle w:val="46"/>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法定代表人或其委托代理人：</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（签字或盖章）</w:t>
      </w:r>
    </w:p>
    <w:p w14:paraId="25E89100">
      <w:pPr>
        <w:pStyle w:val="46"/>
        <w:widowControl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660F8184">
      <w:pPr>
        <w:pStyle w:val="46"/>
        <w:widowControl w:val="0"/>
        <w:wordWrap w:val="0"/>
        <w:adjustRightInd w:val="0"/>
        <w:snapToGrid w:val="0"/>
        <w:spacing w:line="440" w:lineRule="exact"/>
        <w:ind w:firstLine="3840" w:firstLineChars="1600"/>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 xml:space="preserve"> ……</w:t>
      </w:r>
    </w:p>
    <w:p w14:paraId="7BE8A0F5">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2673C872">
      <w:pPr>
        <w:pStyle w:val="46"/>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snapToGrid w:val="0"/>
          <w:color w:val="000000" w:themeColor="text1"/>
          <w:sz w:val="24"/>
          <w:szCs w:val="24"/>
          <w:u w:val="single"/>
          <w14:textFill>
            <w14:solidFill>
              <w14:schemeClr w14:val="tx1"/>
            </w14:solidFill>
          </w14:textFill>
        </w:rPr>
        <w:t xml:space="preserve">    日</w:t>
      </w:r>
    </w:p>
    <w:p w14:paraId="42DD978E">
      <w:pPr>
        <w:pStyle w:val="46"/>
        <w:widowControl w:val="0"/>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4A0BE9C4">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4613F379">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067038AF">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p>
    <w:p w14:paraId="1A3B4F3E">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t>说明：《联合体协议书》由委托代理人签字或盖章的，应附法定代表人签字或盖章的授权委托书。</w:t>
      </w:r>
    </w:p>
    <w:p w14:paraId="705BC3CE">
      <w:pPr>
        <w:pStyle w:val="46"/>
        <w:widowControl w:val="0"/>
        <w:wordWrap w:val="0"/>
        <w:adjustRightInd w:val="0"/>
        <w:snapToGrid w:val="0"/>
        <w:spacing w:line="440" w:lineRule="exact"/>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sectPr>
          <w:endnotePr>
            <w:numFmt w:val="decimal"/>
          </w:endnotePr>
          <w:pgSz w:w="11906" w:h="16838"/>
          <w:pgMar w:top="1701" w:right="1531" w:bottom="1417" w:left="1531" w:header="850" w:footer="992" w:gutter="0"/>
          <w:cols w:space="720" w:num="1"/>
          <w:docGrid w:linePitch="327" w:charSpace="0"/>
        </w:sectPr>
      </w:pPr>
    </w:p>
    <w:p w14:paraId="0B739E37">
      <w:pPr>
        <w:pStyle w:val="3"/>
        <w:spacing w:before="120"/>
        <w:rPr>
          <w:rFonts w:asciiTheme="minorEastAsia" w:hAnsiTheme="minorEastAsia" w:eastAsiaTheme="minorEastAsia" w:cstheme="minorEastAsia"/>
          <w:b/>
          <w:bCs/>
          <w:color w:val="000000" w:themeColor="text1"/>
          <w:szCs w:val="24"/>
          <w14:textFill>
            <w14:solidFill>
              <w14:schemeClr w14:val="tx1"/>
            </w14:solidFill>
          </w14:textFill>
        </w:rPr>
      </w:pPr>
      <w:bookmarkStart w:id="575" w:name="_Toc32469"/>
      <w:bookmarkStart w:id="576" w:name="_Toc31264"/>
      <w:bookmarkStart w:id="577" w:name="_Toc1560"/>
      <w:r>
        <w:rPr>
          <w:rFonts w:asciiTheme="minorEastAsia" w:hAnsiTheme="minorEastAsia" w:eastAsiaTheme="minorEastAsia" w:cstheme="minorEastAsia"/>
          <w:b/>
          <w:bCs/>
          <w:color w:val="000000" w:themeColor="text1"/>
          <w:szCs w:val="24"/>
          <w14:textFill>
            <w14:solidFill>
              <w14:schemeClr w14:val="tx1"/>
            </w14:solidFill>
          </w14:textFill>
        </w:rPr>
        <w:t>格式七 投标人基本情况表</w:t>
      </w:r>
      <w:bookmarkEnd w:id="575"/>
      <w:bookmarkEnd w:id="576"/>
      <w:bookmarkEnd w:id="577"/>
    </w:p>
    <w:p w14:paraId="6D895881">
      <w:pPr>
        <w:pStyle w:val="46"/>
        <w:widowControl w:val="0"/>
        <w:wordWrap w:val="0"/>
        <w:adjustRightInd w:val="0"/>
        <w:snapToGrid w:val="0"/>
        <w:spacing w:before="260" w:after="260" w:line="400" w:lineRule="exact"/>
        <w:ind w:firstLine="0"/>
        <w:jc w:val="center"/>
        <w:rPr>
          <w:rFonts w:hint="eastAsia" w:asciiTheme="minorEastAsia" w:hAnsiTheme="minorEastAsia" w:eastAsiaTheme="minorEastAsia" w:cstheme="minorEastAsia"/>
          <w:snapToGrid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snapToGrid w:val="0"/>
          <w:color w:val="000000" w:themeColor="text1"/>
          <w:sz w:val="24"/>
          <w:szCs w:val="24"/>
          <w14:textFill>
            <w14:solidFill>
              <w14:schemeClr w14:val="tx1"/>
            </w14:solidFill>
          </w14:textFill>
        </w:rPr>
        <w:t>投标人基本情况表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1"/>
        <w:gridCol w:w="1140"/>
        <w:gridCol w:w="833"/>
        <w:gridCol w:w="460"/>
        <w:gridCol w:w="832"/>
        <w:gridCol w:w="269"/>
        <w:gridCol w:w="735"/>
        <w:gridCol w:w="1470"/>
      </w:tblGrid>
      <w:tr w14:paraId="05CA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4915335D">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投标人名称</w:t>
            </w:r>
          </w:p>
        </w:tc>
        <w:tc>
          <w:tcPr>
            <w:tcW w:w="7280" w:type="dxa"/>
            <w:gridSpan w:val="8"/>
            <w:noWrap/>
            <w:vAlign w:val="center"/>
          </w:tcPr>
          <w:p w14:paraId="4D606335">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1AF7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4D908F62">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注册地址</w:t>
            </w:r>
          </w:p>
        </w:tc>
        <w:tc>
          <w:tcPr>
            <w:tcW w:w="3514" w:type="dxa"/>
            <w:gridSpan w:val="3"/>
            <w:noWrap/>
            <w:vAlign w:val="center"/>
          </w:tcPr>
          <w:p w14:paraId="3DD98103">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292" w:type="dxa"/>
            <w:gridSpan w:val="2"/>
            <w:noWrap/>
            <w:vAlign w:val="center"/>
          </w:tcPr>
          <w:p w14:paraId="5C3724D5">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邮政编码</w:t>
            </w:r>
          </w:p>
        </w:tc>
        <w:tc>
          <w:tcPr>
            <w:tcW w:w="2474" w:type="dxa"/>
            <w:gridSpan w:val="3"/>
            <w:noWrap/>
            <w:vAlign w:val="center"/>
          </w:tcPr>
          <w:p w14:paraId="4A8CE9ED">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6530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restart"/>
            <w:noWrap/>
            <w:vAlign w:val="center"/>
          </w:tcPr>
          <w:p w14:paraId="12E7AF77">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联系方式</w:t>
            </w:r>
          </w:p>
        </w:tc>
        <w:tc>
          <w:tcPr>
            <w:tcW w:w="1541" w:type="dxa"/>
            <w:noWrap/>
            <w:vAlign w:val="center"/>
          </w:tcPr>
          <w:p w14:paraId="5D4316E9">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联系人</w:t>
            </w:r>
          </w:p>
        </w:tc>
        <w:tc>
          <w:tcPr>
            <w:tcW w:w="1973" w:type="dxa"/>
            <w:gridSpan w:val="2"/>
            <w:noWrap/>
            <w:vAlign w:val="center"/>
          </w:tcPr>
          <w:p w14:paraId="71D2C8B3">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292" w:type="dxa"/>
            <w:gridSpan w:val="2"/>
            <w:noWrap/>
            <w:vAlign w:val="center"/>
          </w:tcPr>
          <w:p w14:paraId="3E6A75FC">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电  话</w:t>
            </w:r>
          </w:p>
        </w:tc>
        <w:tc>
          <w:tcPr>
            <w:tcW w:w="2474" w:type="dxa"/>
            <w:gridSpan w:val="3"/>
            <w:noWrap/>
            <w:vAlign w:val="center"/>
          </w:tcPr>
          <w:p w14:paraId="153D213C">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2527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continue"/>
            <w:noWrap/>
            <w:vAlign w:val="center"/>
          </w:tcPr>
          <w:p w14:paraId="1B913774">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541" w:type="dxa"/>
            <w:noWrap/>
            <w:vAlign w:val="center"/>
          </w:tcPr>
          <w:p w14:paraId="2D09133E">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传  真</w:t>
            </w:r>
          </w:p>
        </w:tc>
        <w:tc>
          <w:tcPr>
            <w:tcW w:w="1973" w:type="dxa"/>
            <w:gridSpan w:val="2"/>
            <w:noWrap/>
            <w:vAlign w:val="center"/>
          </w:tcPr>
          <w:p w14:paraId="5033EA8B">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292" w:type="dxa"/>
            <w:gridSpan w:val="2"/>
            <w:noWrap/>
            <w:vAlign w:val="center"/>
          </w:tcPr>
          <w:p w14:paraId="72B9B919">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电子邮箱</w:t>
            </w:r>
          </w:p>
        </w:tc>
        <w:tc>
          <w:tcPr>
            <w:tcW w:w="2474" w:type="dxa"/>
            <w:gridSpan w:val="3"/>
            <w:noWrap/>
            <w:vAlign w:val="center"/>
          </w:tcPr>
          <w:p w14:paraId="59FEF5C8">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3B40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065664E1">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单位性质</w:t>
            </w:r>
          </w:p>
        </w:tc>
        <w:tc>
          <w:tcPr>
            <w:tcW w:w="7280" w:type="dxa"/>
            <w:gridSpan w:val="8"/>
            <w:noWrap/>
            <w:vAlign w:val="center"/>
          </w:tcPr>
          <w:p w14:paraId="3B68B6F9">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58F7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2B05CA16">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法定代表人</w:t>
            </w:r>
          </w:p>
        </w:tc>
        <w:tc>
          <w:tcPr>
            <w:tcW w:w="1541" w:type="dxa"/>
            <w:noWrap/>
            <w:vAlign w:val="center"/>
          </w:tcPr>
          <w:p w14:paraId="1826795F">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姓名</w:t>
            </w:r>
          </w:p>
        </w:tc>
        <w:tc>
          <w:tcPr>
            <w:tcW w:w="1140" w:type="dxa"/>
            <w:noWrap/>
            <w:vAlign w:val="center"/>
          </w:tcPr>
          <w:p w14:paraId="170B0103">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293" w:type="dxa"/>
            <w:gridSpan w:val="2"/>
            <w:noWrap/>
            <w:vAlign w:val="center"/>
          </w:tcPr>
          <w:p w14:paraId="1C329F37">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技术职称</w:t>
            </w:r>
          </w:p>
        </w:tc>
        <w:tc>
          <w:tcPr>
            <w:tcW w:w="1101" w:type="dxa"/>
            <w:gridSpan w:val="2"/>
            <w:noWrap/>
            <w:vAlign w:val="center"/>
          </w:tcPr>
          <w:p w14:paraId="5D12D3A0">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735" w:type="dxa"/>
            <w:noWrap/>
            <w:vAlign w:val="center"/>
          </w:tcPr>
          <w:p w14:paraId="364D8861">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电话</w:t>
            </w:r>
          </w:p>
        </w:tc>
        <w:tc>
          <w:tcPr>
            <w:tcW w:w="1470" w:type="dxa"/>
            <w:noWrap/>
            <w:vAlign w:val="center"/>
          </w:tcPr>
          <w:p w14:paraId="5775B040">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3322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29B2AEB9">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成立时间</w:t>
            </w:r>
          </w:p>
        </w:tc>
        <w:tc>
          <w:tcPr>
            <w:tcW w:w="2681" w:type="dxa"/>
            <w:gridSpan w:val="2"/>
            <w:noWrap/>
            <w:vAlign w:val="center"/>
          </w:tcPr>
          <w:p w14:paraId="46E5AA66">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4599" w:type="dxa"/>
            <w:gridSpan w:val="6"/>
            <w:noWrap/>
            <w:vAlign w:val="center"/>
          </w:tcPr>
          <w:p w14:paraId="73C6F7EC">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员工总人数（个）：</w:t>
            </w:r>
          </w:p>
        </w:tc>
      </w:tr>
      <w:tr w14:paraId="0A0A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jc w:val="center"/>
        </w:trPr>
        <w:tc>
          <w:tcPr>
            <w:tcW w:w="1540" w:type="dxa"/>
            <w:noWrap/>
            <w:vAlign w:val="center"/>
          </w:tcPr>
          <w:p w14:paraId="3DB365E7">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企业资质</w:t>
            </w:r>
          </w:p>
          <w:p w14:paraId="26592F94">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类型和等级</w:t>
            </w:r>
          </w:p>
        </w:tc>
        <w:tc>
          <w:tcPr>
            <w:tcW w:w="2681" w:type="dxa"/>
            <w:gridSpan w:val="2"/>
            <w:noWrap/>
            <w:vAlign w:val="center"/>
          </w:tcPr>
          <w:p w14:paraId="46830061">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293" w:type="dxa"/>
            <w:gridSpan w:val="2"/>
            <w:vMerge w:val="restart"/>
            <w:noWrap/>
            <w:vAlign w:val="center"/>
          </w:tcPr>
          <w:p w14:paraId="2AB26B3F">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其中</w:t>
            </w:r>
          </w:p>
        </w:tc>
        <w:tc>
          <w:tcPr>
            <w:tcW w:w="1836" w:type="dxa"/>
            <w:gridSpan w:val="3"/>
            <w:noWrap/>
            <w:vAlign w:val="center"/>
          </w:tcPr>
          <w:p w14:paraId="19C919D8">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项目经理</w:t>
            </w:r>
          </w:p>
        </w:tc>
        <w:tc>
          <w:tcPr>
            <w:tcW w:w="1470" w:type="dxa"/>
            <w:noWrap/>
            <w:vAlign w:val="center"/>
          </w:tcPr>
          <w:p w14:paraId="52F131A9">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3B7E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60CFF13F">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营业执照号</w:t>
            </w:r>
          </w:p>
        </w:tc>
        <w:tc>
          <w:tcPr>
            <w:tcW w:w="2681" w:type="dxa"/>
            <w:gridSpan w:val="2"/>
            <w:noWrap/>
            <w:vAlign w:val="center"/>
          </w:tcPr>
          <w:p w14:paraId="2466DB53">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293" w:type="dxa"/>
            <w:gridSpan w:val="2"/>
            <w:vMerge w:val="continue"/>
            <w:noWrap/>
            <w:vAlign w:val="center"/>
          </w:tcPr>
          <w:p w14:paraId="18F8C60A">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836" w:type="dxa"/>
            <w:gridSpan w:val="3"/>
            <w:noWrap/>
            <w:vAlign w:val="center"/>
          </w:tcPr>
          <w:p w14:paraId="1AD21AAB">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高级职称人员</w:t>
            </w:r>
          </w:p>
        </w:tc>
        <w:tc>
          <w:tcPr>
            <w:tcW w:w="1470" w:type="dxa"/>
            <w:noWrap/>
            <w:vAlign w:val="center"/>
          </w:tcPr>
          <w:p w14:paraId="0955CBF8">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4FA8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0496CFB7">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注册资金</w:t>
            </w:r>
          </w:p>
        </w:tc>
        <w:tc>
          <w:tcPr>
            <w:tcW w:w="2681" w:type="dxa"/>
            <w:gridSpan w:val="2"/>
            <w:noWrap/>
            <w:vAlign w:val="center"/>
          </w:tcPr>
          <w:p w14:paraId="28AB40D3">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293" w:type="dxa"/>
            <w:gridSpan w:val="2"/>
            <w:vMerge w:val="continue"/>
            <w:noWrap/>
            <w:vAlign w:val="center"/>
          </w:tcPr>
          <w:p w14:paraId="4CE2B1F9">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836" w:type="dxa"/>
            <w:gridSpan w:val="3"/>
            <w:noWrap/>
            <w:vAlign w:val="center"/>
          </w:tcPr>
          <w:p w14:paraId="2FD276B3">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中级职称人员</w:t>
            </w:r>
          </w:p>
        </w:tc>
        <w:tc>
          <w:tcPr>
            <w:tcW w:w="1470" w:type="dxa"/>
            <w:noWrap/>
            <w:vAlign w:val="center"/>
          </w:tcPr>
          <w:p w14:paraId="38207151">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6BBE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40" w:type="dxa"/>
            <w:noWrap/>
            <w:vAlign w:val="center"/>
          </w:tcPr>
          <w:p w14:paraId="7BBE6E76">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基本账户</w:t>
            </w:r>
          </w:p>
          <w:p w14:paraId="53A08CCB">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开户银行</w:t>
            </w:r>
          </w:p>
        </w:tc>
        <w:tc>
          <w:tcPr>
            <w:tcW w:w="2681" w:type="dxa"/>
            <w:gridSpan w:val="2"/>
            <w:noWrap/>
            <w:vAlign w:val="center"/>
          </w:tcPr>
          <w:p w14:paraId="51461F30">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293" w:type="dxa"/>
            <w:gridSpan w:val="2"/>
            <w:vMerge w:val="continue"/>
            <w:noWrap/>
            <w:vAlign w:val="center"/>
          </w:tcPr>
          <w:p w14:paraId="0A274D4E">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836" w:type="dxa"/>
            <w:gridSpan w:val="3"/>
            <w:noWrap/>
            <w:vAlign w:val="center"/>
          </w:tcPr>
          <w:p w14:paraId="20CD6D26">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初级职称人员</w:t>
            </w:r>
          </w:p>
        </w:tc>
        <w:tc>
          <w:tcPr>
            <w:tcW w:w="1470" w:type="dxa"/>
            <w:noWrap/>
            <w:vAlign w:val="center"/>
          </w:tcPr>
          <w:p w14:paraId="03E10D0C">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2B09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540" w:type="dxa"/>
            <w:noWrap/>
            <w:vAlign w:val="center"/>
          </w:tcPr>
          <w:p w14:paraId="791ED7DD">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基本账户</w:t>
            </w:r>
          </w:p>
          <w:p w14:paraId="2F4C2B1A">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银行账号</w:t>
            </w:r>
          </w:p>
        </w:tc>
        <w:tc>
          <w:tcPr>
            <w:tcW w:w="2681" w:type="dxa"/>
            <w:gridSpan w:val="2"/>
            <w:noWrap/>
            <w:vAlign w:val="center"/>
          </w:tcPr>
          <w:p w14:paraId="181E5AFE">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293" w:type="dxa"/>
            <w:gridSpan w:val="2"/>
            <w:vMerge w:val="continue"/>
            <w:noWrap/>
            <w:vAlign w:val="center"/>
          </w:tcPr>
          <w:p w14:paraId="5F956DE1">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c>
          <w:tcPr>
            <w:tcW w:w="1836" w:type="dxa"/>
            <w:gridSpan w:val="3"/>
            <w:noWrap/>
            <w:vAlign w:val="center"/>
          </w:tcPr>
          <w:p w14:paraId="02A54601">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技术员</w:t>
            </w:r>
          </w:p>
        </w:tc>
        <w:tc>
          <w:tcPr>
            <w:tcW w:w="1470" w:type="dxa"/>
            <w:noWrap/>
            <w:vAlign w:val="center"/>
          </w:tcPr>
          <w:p w14:paraId="197B521B">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60C5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1540" w:type="dxa"/>
            <w:noWrap/>
            <w:vAlign w:val="center"/>
          </w:tcPr>
          <w:p w14:paraId="2BC171B5">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经营范围</w:t>
            </w:r>
          </w:p>
        </w:tc>
        <w:tc>
          <w:tcPr>
            <w:tcW w:w="7280" w:type="dxa"/>
            <w:gridSpan w:val="8"/>
            <w:noWrap/>
            <w:vAlign w:val="center"/>
          </w:tcPr>
          <w:p w14:paraId="3733FEE0">
            <w:pPr>
              <w:pStyle w:val="42"/>
              <w:wordWrap w:val="0"/>
              <w:adjustRightInd w:val="0"/>
              <w:snapToGrid w:val="0"/>
              <w:jc w:val="left"/>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r w14:paraId="5FEF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540" w:type="dxa"/>
            <w:noWrap/>
            <w:vAlign w:val="center"/>
          </w:tcPr>
          <w:p w14:paraId="1B9F577B">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关联企业情况</w:t>
            </w:r>
          </w:p>
        </w:tc>
        <w:tc>
          <w:tcPr>
            <w:tcW w:w="7280" w:type="dxa"/>
            <w:gridSpan w:val="8"/>
            <w:noWrap/>
            <w:vAlign w:val="center"/>
          </w:tcPr>
          <w:p w14:paraId="4AEBD7AF">
            <w:pPr>
              <w:pStyle w:val="42"/>
              <w:wordWrap w:val="0"/>
              <w:adjustRightInd w:val="0"/>
              <w:snapToGrid w:val="0"/>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包括但不限于与投标人存在以下关系的不同单位：</w:t>
            </w:r>
          </w:p>
          <w:p w14:paraId="54BE31C9">
            <w:pPr>
              <w:pStyle w:val="42"/>
              <w:wordWrap w:val="0"/>
              <w:adjustRightInd w:val="0"/>
              <w:snapToGrid w:val="0"/>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1．法定代表人为同一人的。</w:t>
            </w:r>
          </w:p>
          <w:p w14:paraId="1F88C45D">
            <w:pPr>
              <w:pStyle w:val="42"/>
              <w:wordWrap w:val="0"/>
              <w:adjustRightInd w:val="0"/>
              <w:snapToGrid w:val="0"/>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2．存在控股、管理关系的。</w:t>
            </w:r>
          </w:p>
          <w:p w14:paraId="5CE1DD2E">
            <w:pPr>
              <w:pStyle w:val="42"/>
              <w:wordWrap w:val="0"/>
              <w:adjustRightInd w:val="0"/>
              <w:snapToGrid w:val="0"/>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3．主要人员相互任职的。</w:t>
            </w:r>
          </w:p>
        </w:tc>
      </w:tr>
      <w:tr w14:paraId="2FD3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40" w:type="dxa"/>
            <w:noWrap/>
            <w:vAlign w:val="center"/>
          </w:tcPr>
          <w:p w14:paraId="70CAB4D7">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备注</w:t>
            </w:r>
          </w:p>
        </w:tc>
        <w:tc>
          <w:tcPr>
            <w:tcW w:w="7280" w:type="dxa"/>
            <w:gridSpan w:val="8"/>
            <w:noWrap/>
            <w:vAlign w:val="center"/>
          </w:tcPr>
          <w:p w14:paraId="2B8887EE">
            <w:pPr>
              <w:pStyle w:val="42"/>
              <w:wordWrap w:val="0"/>
              <w:adjustRightInd w:val="0"/>
              <w:snapToGrid w:val="0"/>
              <w:jc w:val="cente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p>
        </w:tc>
      </w:tr>
    </w:tbl>
    <w:p w14:paraId="5EA0F783">
      <w:pPr>
        <w:pStyle w:val="42"/>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说明：</w:t>
      </w:r>
    </w:p>
    <w:bookmarkEnd w:id="512"/>
    <w:bookmarkEnd w:id="513"/>
    <w:bookmarkEnd w:id="514"/>
    <w:bookmarkEnd w:id="515"/>
    <w:bookmarkEnd w:id="516"/>
    <w:p w14:paraId="604433E1">
      <w:pPr>
        <w:pStyle w:val="46"/>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pPr>
      <w:bookmarkStart w:id="578" w:name="_Toc1659"/>
      <w:bookmarkStart w:id="579" w:name="_Toc535300004"/>
      <w:bookmarkStart w:id="580" w:name="_Toc48547015"/>
      <w:bookmarkStart w:id="581" w:name="_Toc210101349"/>
      <w:bookmarkStart w:id="582" w:name="_Toc118541763"/>
      <w:bookmarkStart w:id="583" w:name="_Toc534641863"/>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1．《投标人基本情况表》后应附以下资料：</w:t>
      </w:r>
    </w:p>
    <w:p w14:paraId="33873008">
      <w:pPr>
        <w:pStyle w:val="46"/>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（1）企业营业执照、资质证书、安全生产许可证（施工企业提供）的扫描件（因推行电子证照，企业的营业执照、资质证书等可以提供电子证照。为实时掌握项目</w:t>
      </w:r>
      <w:r>
        <w:rPr>
          <w:rFonts w:hint="eastAsia" w:asciiTheme="minorEastAsia" w:hAnsiTheme="minorEastAsia" w:eastAsiaTheme="minorEastAsia" w:cstheme="minorEastAsia"/>
          <w:b/>
          <w:bCs/>
          <w:snapToGrid w:val="0"/>
          <w:color w:val="000000" w:themeColor="text1"/>
          <w:sz w:val="21"/>
          <w:szCs w:val="21"/>
          <w14:textFill>
            <w14:solidFill>
              <w14:schemeClr w14:val="tx1"/>
            </w14:solidFill>
          </w14:textFill>
        </w:rPr>
        <w:t>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644A6EF5">
      <w:pPr>
        <w:pStyle w:val="46"/>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（2）外省建筑企业须提供“进粤企业和人员诚信信息登记平台”企业信息情况打印页。</w:t>
      </w:r>
    </w:p>
    <w:p w14:paraId="168F94DB">
      <w:pPr>
        <w:pStyle w:val="46"/>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2．联合体投标的，联合体成员单位均应填写《投标人基本情况表》并提供以上所需资料。</w:t>
      </w:r>
    </w:p>
    <w:p w14:paraId="1D4E65F6">
      <w:pPr>
        <w:pStyle w:val="46"/>
        <w:widowControl w:val="0"/>
        <w:wordWrap w:val="0"/>
        <w:adjustRightInd w:val="0"/>
        <w:snapToGrid w:val="0"/>
        <w:spacing w:line="400" w:lineRule="exact"/>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sectPr>
          <w:endnotePr>
            <w:numFmt w:val="decimal"/>
          </w:endnotePr>
          <w:pgSz w:w="11906" w:h="16838"/>
          <w:pgMar w:top="1221" w:right="1531" w:bottom="1417" w:left="1531" w:header="850" w:footer="992" w:gutter="0"/>
          <w:cols w:space="720" w:num="1"/>
          <w:docGrid w:linePitch="327" w:charSpace="0"/>
        </w:sectPr>
      </w:pPr>
      <w:r>
        <w:rPr>
          <w:rFonts w:hint="eastAsia" w:asciiTheme="minorEastAsia" w:hAnsiTheme="minorEastAsia" w:eastAsiaTheme="minorEastAsia" w:cstheme="minorEastAsia"/>
          <w:snapToGrid w:val="0"/>
          <w:color w:val="000000" w:themeColor="text1"/>
          <w:sz w:val="21"/>
          <w:szCs w:val="21"/>
          <w14:textFill>
            <w14:solidFill>
              <w14:schemeClr w14:val="tx1"/>
            </w14:solidFill>
          </w14:textFill>
        </w:rPr>
        <w:t>3.《法人和非法人组织公共信用信息报告》打印件（在“信用中国”网站企业查询界面中下载）。</w:t>
      </w:r>
    </w:p>
    <w:p w14:paraId="63AA3E05">
      <w:pPr>
        <w:pStyle w:val="3"/>
        <w:spacing w:before="120"/>
        <w:rPr>
          <w:rFonts w:asciiTheme="minorEastAsia" w:hAnsiTheme="minorEastAsia" w:eastAsiaTheme="minorEastAsia" w:cstheme="minorEastAsia"/>
          <w:b/>
          <w:bCs/>
          <w:color w:val="000000" w:themeColor="text1"/>
          <w:szCs w:val="24"/>
          <w14:textFill>
            <w14:solidFill>
              <w14:schemeClr w14:val="tx1"/>
            </w14:solidFill>
          </w14:textFill>
        </w:rPr>
      </w:pPr>
      <w:bookmarkStart w:id="584" w:name="_Toc28477"/>
      <w:bookmarkStart w:id="585" w:name="_Toc1134"/>
      <w:r>
        <w:rPr>
          <w:rFonts w:asciiTheme="minorEastAsia" w:hAnsiTheme="minorEastAsia" w:eastAsiaTheme="minorEastAsia" w:cstheme="minorEastAsia"/>
          <w:b/>
          <w:bCs/>
          <w:color w:val="000000" w:themeColor="text1"/>
          <w:szCs w:val="24"/>
          <w14:textFill>
            <w14:solidFill>
              <w14:schemeClr w14:val="tx1"/>
            </w14:solidFill>
          </w14:textFill>
        </w:rPr>
        <w:t>格式八 项目经理简历表</w:t>
      </w:r>
      <w:bookmarkEnd w:id="578"/>
      <w:bookmarkEnd w:id="584"/>
      <w:bookmarkEnd w:id="585"/>
    </w:p>
    <w:p w14:paraId="151A33BD">
      <w:pPr>
        <w:wordWrap w:val="0"/>
        <w:adjustRightInd w:val="0"/>
        <w:snapToGrid w:val="0"/>
        <w:spacing w:line="440" w:lineRule="exact"/>
        <w:jc w:val="left"/>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p>
    <w:tbl>
      <w:tblPr>
        <w:tblStyle w:val="2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7542A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293F9F0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08C54A7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13C7103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56C635B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0D08AE7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2119C90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1A8B8F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8D6FEE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0AFD993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3DEACC4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73AAE98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7ECE9D7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577ABC0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0FD04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706C4A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59B463B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78630E5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0B2B1BA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2F5F8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444893E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以项目经理身份参与过的主要业绩（已完工项目）</w:t>
            </w:r>
          </w:p>
        </w:tc>
      </w:tr>
      <w:tr w14:paraId="78C838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7F901EE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56FDD43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2C21AA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B85D4C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6841D60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40BB9EC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质量等级</w:t>
            </w:r>
          </w:p>
        </w:tc>
      </w:tr>
      <w:tr w14:paraId="296DA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435F78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15654DC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A66C348">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35E8D2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D58FB0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9A27BA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4C15E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6F5EE92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724567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814E08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3F66CB8">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FB581D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144163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3A3B02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054F5F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3</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566DA56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4770417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88CEFB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1D505C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44AF23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3122E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4E70549">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DC2655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5B6675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1A738F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740423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573897C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bl>
    <w:p w14:paraId="2369C4DE">
      <w:pPr>
        <w:wordWrap w:val="0"/>
        <w:adjustRightInd w:val="0"/>
        <w:snapToGrid w:val="0"/>
        <w:spacing w:line="440" w:lineRule="exact"/>
        <w:jc w:val="cente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snapToGrid w:val="0"/>
          <w:color w:val="000000" w:themeColor="text1"/>
          <w:kern w:val="0"/>
          <w:szCs w:val="24"/>
          <w14:textFill>
            <w14:solidFill>
              <w14:schemeClr w14:val="tx1"/>
            </w14:solidFill>
          </w14:textFill>
        </w:rPr>
        <w:t>项目经理简历表</w:t>
      </w:r>
    </w:p>
    <w:p w14:paraId="2BB24A66">
      <w:pPr>
        <w:wordWrap w:val="0"/>
        <w:adjustRightInd w:val="0"/>
        <w:snapToGrid w:val="0"/>
        <w:spacing w:line="44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71DCE50C">
      <w:pPr>
        <w:pStyle w:val="47"/>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p>
    <w:p w14:paraId="424BEDD4">
      <w:pPr>
        <w:pStyle w:val="47"/>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项目经理：</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（签字）</w:t>
      </w:r>
    </w:p>
    <w:p w14:paraId="75EFAA37">
      <w:pPr>
        <w:pStyle w:val="47"/>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p>
    <w:p w14:paraId="0661F5C6">
      <w:pPr>
        <w:wordWrap w:val="0"/>
        <w:adjustRightInd w:val="0"/>
        <w:snapToGrid w:val="0"/>
        <w:spacing w:line="40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年</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日</w:t>
      </w:r>
    </w:p>
    <w:p w14:paraId="771E4EB8">
      <w:pPr>
        <w:rPr>
          <w:color w:val="000000" w:themeColor="text1"/>
          <w14:textFill>
            <w14:solidFill>
              <w14:schemeClr w14:val="tx1"/>
            </w14:solidFill>
          </w14:textFill>
        </w:rPr>
      </w:pPr>
    </w:p>
    <w:p w14:paraId="60BEE5F9">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说明：《项目经理简历表》后应附拟派项目经理以下资料：</w:t>
      </w:r>
    </w:p>
    <w:p w14:paraId="1689687C">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1．身份证彩色扫描件；</w:t>
      </w:r>
    </w:p>
    <w:p w14:paraId="307A2D85">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2．建造师电子注册证书（在使用有效期内的有效电子证书）彩色扫描件；</w:t>
      </w:r>
    </w:p>
    <w:p w14:paraId="5A31244D">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3．B类安全生产考核合格证书彩色扫描件或广东省建筑施工企业管理人员安全生产考核系统考核合格信息彩色扫描件；</w:t>
      </w:r>
    </w:p>
    <w:p w14:paraId="2A4A87C6">
      <w:pPr>
        <w:wordWrap w:val="0"/>
        <w:adjustRightInd w:val="0"/>
        <w:snapToGrid w:val="0"/>
        <w:spacing w:line="40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4．在本单位缴纳社保的证明（至少3个月，其中必须中2025年</w:t>
      </w:r>
      <w:r>
        <w:rPr>
          <w:rFonts w:hint="eastAsia" w:asciiTheme="minorEastAsia" w:hAnsiTheme="minorEastAsia" w:eastAsiaTheme="minorEastAsia" w:cstheme="minorEastAsia"/>
          <w:snapToGrid w:val="0"/>
          <w:color w:val="000000" w:themeColor="text1"/>
          <w:kern w:val="0"/>
          <w:szCs w:val="24"/>
          <w:lang w:val="en-US" w:eastAsia="zh-CN"/>
          <w14:textFill>
            <w14:solidFill>
              <w14:schemeClr w14:val="tx1"/>
            </w14:solidFill>
          </w14:textFill>
        </w:rPr>
        <w:t>3</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月）彩色扫描件；拟派项目经理为退休返聘人员无法提供社保证明的，提供退休证和劳动合同彩色扫描件。</w:t>
      </w:r>
    </w:p>
    <w:p w14:paraId="08477CB1">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sectPr>
          <w:endnotePr>
            <w:numFmt w:val="decimal"/>
          </w:endnotePr>
          <w:pgSz w:w="11906" w:h="16838"/>
          <w:pgMar w:top="1701" w:right="1531" w:bottom="1417" w:left="1531" w:header="850" w:footer="992" w:gutter="0"/>
          <w:cols w:space="720" w:num="1"/>
          <w:docGrid w:linePitch="327" w:charSpace="0"/>
        </w:sectPr>
      </w:pPr>
    </w:p>
    <w:p w14:paraId="398749E6">
      <w:pPr>
        <w:pStyle w:val="3"/>
        <w:spacing w:before="120"/>
        <w:rPr>
          <w:rFonts w:asciiTheme="minorEastAsia" w:hAnsiTheme="minorEastAsia" w:eastAsiaTheme="minorEastAsia" w:cstheme="minorEastAsia"/>
          <w:b/>
          <w:bCs/>
          <w:color w:val="000000" w:themeColor="text1"/>
          <w:szCs w:val="24"/>
          <w14:textFill>
            <w14:solidFill>
              <w14:schemeClr w14:val="tx1"/>
            </w14:solidFill>
          </w14:textFill>
        </w:rPr>
      </w:pPr>
      <w:bookmarkStart w:id="586" w:name="_Toc16308"/>
      <w:bookmarkStart w:id="587" w:name="_Toc4665"/>
      <w:r>
        <w:rPr>
          <w:rFonts w:asciiTheme="minorEastAsia" w:hAnsiTheme="minorEastAsia" w:eastAsiaTheme="minorEastAsia" w:cstheme="minorEastAsia"/>
          <w:b/>
          <w:bCs/>
          <w:color w:val="000000" w:themeColor="text1"/>
          <w:szCs w:val="24"/>
          <w14:textFill>
            <w14:solidFill>
              <w14:schemeClr w14:val="tx1"/>
            </w14:solidFill>
          </w14:textFill>
        </w:rPr>
        <w:t>格式九 项目经理任职声明</w:t>
      </w:r>
      <w:bookmarkEnd w:id="586"/>
      <w:bookmarkEnd w:id="587"/>
    </w:p>
    <w:p w14:paraId="162ACDDB">
      <w:pPr>
        <w:wordWrap w:val="0"/>
        <w:adjustRightInd w:val="0"/>
        <w:snapToGrid w:val="0"/>
        <w:spacing w:line="440" w:lineRule="exact"/>
        <w:jc w:val="left"/>
        <w:rPr>
          <w:rFonts w:asciiTheme="minorEastAsia" w:hAnsiTheme="minorEastAsia" w:eastAsiaTheme="minorEastAsia" w:cstheme="minorEastAsia"/>
          <w:b/>
          <w:snapToGrid w:val="0"/>
          <w:color w:val="000000" w:themeColor="text1"/>
          <w:kern w:val="0"/>
          <w:szCs w:val="24"/>
          <w14:textFill>
            <w14:solidFill>
              <w14:schemeClr w14:val="tx1"/>
            </w14:solidFill>
          </w14:textFill>
        </w:rPr>
      </w:pPr>
    </w:p>
    <w:p w14:paraId="0328011C">
      <w:pPr>
        <w:wordWrap w:val="0"/>
        <w:adjustRightInd w:val="0"/>
        <w:snapToGrid w:val="0"/>
        <w:spacing w:before="260" w:after="260" w:line="440" w:lineRule="exact"/>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snapToGrid w:val="0"/>
          <w:color w:val="000000" w:themeColor="text1"/>
          <w:kern w:val="0"/>
          <w:szCs w:val="24"/>
          <w14:textFill>
            <w14:solidFill>
              <w14:schemeClr w14:val="tx1"/>
            </w14:solidFill>
          </w14:textFill>
        </w:rPr>
        <w:t>项目经理任职声明</w:t>
      </w:r>
    </w:p>
    <w:p w14:paraId="30BF4BA4">
      <w:pPr>
        <w:wordWrap w:val="0"/>
        <w:adjustRightInd w:val="0"/>
        <w:snapToGrid w:val="0"/>
        <w:spacing w:line="440" w:lineRule="exact"/>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35C59C76">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bookmarkStart w:id="588" w:name="_Toc21599"/>
      <w:r>
        <w:rPr>
          <w:rFonts w:asciiTheme="minorEastAsia" w:hAnsiTheme="minorEastAsia" w:eastAsiaTheme="minorEastAsia" w:cstheme="minorEastAsia"/>
          <w:snapToGrid w:val="0"/>
          <w:color w:val="000000" w:themeColor="text1"/>
          <w:kern w:val="0"/>
          <w:szCs w:val="24"/>
          <w14:textFill>
            <w14:solidFill>
              <w14:schemeClr w14:val="tx1"/>
            </w14:solidFill>
          </w14:textFill>
        </w:rPr>
        <w:t>致：</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（招标人名称）：</w:t>
      </w:r>
    </w:p>
    <w:p w14:paraId="79102917">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我方在此声明，我方拟派往</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（项目名称）的项目经理</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（项目经理姓名）现阶段没有担任任何在施（包括已中标未开工、已开工未竣工）建设工程项目的项目经理。</w:t>
      </w:r>
    </w:p>
    <w:p w14:paraId="7C054978">
      <w:pPr>
        <w:wordWrap w:val="0"/>
        <w:adjustRightInd w:val="0"/>
        <w:snapToGrid w:val="0"/>
        <w:spacing w:line="440" w:lineRule="exact"/>
        <w:ind w:firstLine="48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我方保证上述信息的真实和准确，并愿意承担因我方就此弄虚作假所引起的一切法律后果。</w:t>
      </w:r>
    </w:p>
    <w:p w14:paraId="71E07302">
      <w:pPr>
        <w:wordWrap w:val="0"/>
        <w:adjustRightInd w:val="0"/>
        <w:snapToGrid w:val="0"/>
        <w:spacing w:line="440" w:lineRule="exact"/>
        <w:ind w:firstLine="48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w:t>
      </w:r>
    </w:p>
    <w:p w14:paraId="4AA8FBA7">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特此承诺　　</w:t>
      </w:r>
    </w:p>
    <w:p w14:paraId="4FCB0D1C">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w:t>
      </w:r>
    </w:p>
    <w:p w14:paraId="3BC2C40A">
      <w:pPr>
        <w:wordWrap w:val="0"/>
        <w:adjustRightInd w:val="0"/>
        <w:snapToGrid w:val="0"/>
        <w:spacing w:line="44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w:t>
      </w:r>
    </w:p>
    <w:p w14:paraId="39E77772">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投标人：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（盖单位章）</w:t>
      </w:r>
    </w:p>
    <w:p w14:paraId="7FDE12A6">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057E5A07">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5B506B6C">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法定代表人或其委托代理人：</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（签字或盖章）</w:t>
      </w:r>
    </w:p>
    <w:p w14:paraId="373606DF">
      <w:pPr>
        <w:wordWrap w:val="0"/>
        <w:adjustRightInd w:val="0"/>
        <w:snapToGrid w:val="0"/>
        <w:spacing w:line="440" w:lineRule="exact"/>
        <w:jc w:val="right"/>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2EB25D6C">
      <w:pPr>
        <w:wordWrap w:val="0"/>
        <w:adjustRightInd w:val="0"/>
        <w:snapToGrid w:val="0"/>
        <w:spacing w:line="440" w:lineRule="exact"/>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年</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w:t>
      </w:r>
      <w:r>
        <w:rPr>
          <w:rFonts w:asciiTheme="minorEastAsia" w:hAnsiTheme="minorEastAsia" w:eastAsiaTheme="minorEastAsia" w:cstheme="minorEastAsia"/>
          <w:snapToGrid w:val="0"/>
          <w:color w:val="000000" w:themeColor="text1"/>
          <w:kern w:val="0"/>
          <w:szCs w:val="24"/>
          <w:u w:val="single"/>
          <w14:textFill>
            <w14:solidFill>
              <w14:schemeClr w14:val="tx1"/>
            </w14:solidFill>
          </w14:textFill>
        </w:rPr>
        <w:t xml:space="preserve">        </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日</w:t>
      </w:r>
    </w:p>
    <w:p w14:paraId="0BB6CBDC">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7EB75F4E">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5BD02FDE">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5CC92D4A">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2CDB6153">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77318723">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421A4FB0">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066FE417">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0D8DEEF8">
      <w:pPr>
        <w:spacing w:before="120"/>
        <w:rPr>
          <w:rFonts w:asciiTheme="minorEastAsia" w:hAnsiTheme="minorEastAsia" w:eastAsiaTheme="minorEastAsia" w:cstheme="minorEastAsia"/>
          <w:b/>
          <w:bCs/>
          <w:color w:val="000000" w:themeColor="text1"/>
          <w:szCs w:val="24"/>
          <w14:textFill>
            <w14:solidFill>
              <w14:schemeClr w14:val="tx1"/>
            </w14:solidFill>
          </w14:textFill>
        </w:rPr>
      </w:pPr>
    </w:p>
    <w:p w14:paraId="191564CE">
      <w:pPr>
        <w:pStyle w:val="3"/>
        <w:spacing w:before="120"/>
        <w:rPr>
          <w:rFonts w:asciiTheme="minorEastAsia" w:hAnsiTheme="minorEastAsia" w:eastAsiaTheme="minorEastAsia" w:cstheme="minorEastAsia"/>
          <w:b/>
          <w:bCs/>
          <w:color w:val="000000" w:themeColor="text1"/>
          <w:szCs w:val="24"/>
          <w14:textFill>
            <w14:solidFill>
              <w14:schemeClr w14:val="tx1"/>
            </w14:solidFill>
          </w14:textFill>
        </w:rPr>
      </w:pPr>
      <w:bookmarkStart w:id="589" w:name="_Toc27206"/>
      <w:bookmarkStart w:id="590" w:name="_Toc2320"/>
      <w:r>
        <w:rPr>
          <w:rFonts w:asciiTheme="minorEastAsia" w:hAnsiTheme="minorEastAsia" w:eastAsiaTheme="minorEastAsia" w:cstheme="minorEastAsia"/>
          <w:b/>
          <w:bCs/>
          <w:color w:val="000000" w:themeColor="text1"/>
          <w:szCs w:val="24"/>
          <w14:textFill>
            <w14:solidFill>
              <w14:schemeClr w14:val="tx1"/>
            </w14:solidFill>
          </w14:textFill>
        </w:rPr>
        <w:t>格式十 项目技术负责人简历表</w:t>
      </w:r>
      <w:bookmarkEnd w:id="588"/>
      <w:bookmarkEnd w:id="589"/>
      <w:bookmarkEnd w:id="590"/>
    </w:p>
    <w:p w14:paraId="64C8FBF7">
      <w:pPr>
        <w:wordWrap w:val="0"/>
        <w:adjustRightInd w:val="0"/>
        <w:snapToGrid w:val="0"/>
        <w:spacing w:line="440" w:lineRule="exact"/>
        <w:jc w:val="left"/>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p>
    <w:tbl>
      <w:tblPr>
        <w:tblStyle w:val="2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22FF8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0D77175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2CC7FC1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0F1EC5C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2A95A7A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4A4D750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188F72B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0D5304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566885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19881F2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161F2C6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44F8199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7CFB182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47D9E5D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7EBD34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44E47B2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0C56A1D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728BF19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7DC1614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59C4A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3BA5915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以项目技术负责人身份参与过的主要业绩（已完工项目）</w:t>
            </w:r>
          </w:p>
        </w:tc>
      </w:tr>
      <w:tr w14:paraId="47BC4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67B0D0C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0546BAC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5779B7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5893E8C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3D566EF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37EADA0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质量等级</w:t>
            </w:r>
          </w:p>
        </w:tc>
      </w:tr>
      <w:tr w14:paraId="6A872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D310C9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DBD2A3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5D0A4C2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6F17BCC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CB2AF0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DF1A65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45901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E334329">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FA46DE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21A553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743443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0A9DD9A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4B3174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3DFFC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50370D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00DAAE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762008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5BA7BF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E321BB9">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35E9179">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5700C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862391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0B34D63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509B71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60C0F9E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63F7D3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CB280B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719A1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36BED78">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E81FAA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B7974E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D87214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4148CB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3662B5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bl>
    <w:p w14:paraId="40BFB1A2">
      <w:pPr>
        <w:wordWrap w:val="0"/>
        <w:adjustRightInd w:val="0"/>
        <w:snapToGrid w:val="0"/>
        <w:spacing w:line="440" w:lineRule="exact"/>
        <w:jc w:val="cente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snapToGrid w:val="0"/>
          <w:color w:val="000000" w:themeColor="text1"/>
          <w:kern w:val="0"/>
          <w:szCs w:val="24"/>
          <w14:textFill>
            <w14:solidFill>
              <w14:schemeClr w14:val="tx1"/>
            </w14:solidFill>
          </w14:textFill>
        </w:rPr>
        <w:t>项目技术负责人简历表</w:t>
      </w:r>
    </w:p>
    <w:p w14:paraId="150E5AF6">
      <w:pPr>
        <w:pStyle w:val="47"/>
        <w:wordWrap w:val="0"/>
        <w:adjustRightInd w:val="0"/>
        <w:snapToGrid w:val="0"/>
        <w:spacing w:line="440" w:lineRule="exac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p>
    <w:p w14:paraId="62C4514D">
      <w:pPr>
        <w:pStyle w:val="47"/>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p>
    <w:p w14:paraId="206FF12F">
      <w:pPr>
        <w:pStyle w:val="47"/>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项目技术负责人：</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（签字）</w:t>
      </w:r>
    </w:p>
    <w:p w14:paraId="0184555F">
      <w:pPr>
        <w:pStyle w:val="47"/>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p>
    <w:p w14:paraId="4CCBC0F4">
      <w:pPr>
        <w:pStyle w:val="47"/>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日</w:t>
      </w:r>
    </w:p>
    <w:p w14:paraId="3FB62742">
      <w:pPr>
        <w:wordWrap w:val="0"/>
        <w:adjustRightInd w:val="0"/>
        <w:snapToGrid w:val="0"/>
        <w:spacing w:line="40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4A0CF361">
      <w:pPr>
        <w:pStyle w:val="47"/>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p>
    <w:p w14:paraId="6DE1B95C">
      <w:pPr>
        <w:wordWrap w:val="0"/>
        <w:adjustRightInd w:val="0"/>
        <w:snapToGrid w:val="0"/>
        <w:spacing w:line="40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0790F88F">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说明：《项目技术负责人简历表》后应附拟派项目技术负责人以下资料：</w:t>
      </w:r>
    </w:p>
    <w:p w14:paraId="5F9C3C6C">
      <w:pPr>
        <w:wordWrap w:val="0"/>
        <w:adjustRightInd w:val="0"/>
        <w:snapToGrid w:val="0"/>
        <w:spacing w:line="40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1．身份证彩色扫描件；</w:t>
      </w:r>
    </w:p>
    <w:p w14:paraId="07C6D71A">
      <w:pPr>
        <w:wordWrap w:val="0"/>
        <w:adjustRightInd w:val="0"/>
        <w:snapToGrid w:val="0"/>
        <w:spacing w:line="40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2．职称证彩色扫描件；</w:t>
      </w:r>
    </w:p>
    <w:p w14:paraId="7236A814">
      <w:pPr>
        <w:wordWrap w:val="0"/>
        <w:adjustRightInd w:val="0"/>
        <w:snapToGrid w:val="0"/>
        <w:spacing w:line="400" w:lineRule="exact"/>
        <w:ind w:firstLine="480" w:firstLineChars="200"/>
        <w:rPr>
          <w:rFonts w:asciiTheme="minorEastAsia" w:hAnsiTheme="minorEastAsia" w:eastAsiaTheme="minorEastAsia" w:cstheme="minorEastAsia"/>
          <w:snapToGrid w:val="0"/>
          <w:color w:val="000000" w:themeColor="text1"/>
          <w:szCs w:val="24"/>
          <w14:textFill>
            <w14:solidFill>
              <w14:schemeClr w14:val="tx1"/>
            </w14:solidFill>
          </w14:textFill>
        </w:rPr>
        <w:sectPr>
          <w:endnotePr>
            <w:numFmt w:val="decimal"/>
          </w:endnotePr>
          <w:pgSz w:w="11906" w:h="16838"/>
          <w:pgMar w:top="1701" w:right="1531" w:bottom="1417" w:left="1531" w:header="850" w:footer="992" w:gutter="0"/>
          <w:cols w:space="720" w:num="1"/>
          <w:docGrid w:linePitch="327" w:charSpace="0"/>
        </w:sect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3．在本单位缴纳社保的证明（至少3个月，其中必须中2025年</w:t>
      </w:r>
      <w:r>
        <w:rPr>
          <w:rFonts w:hint="eastAsia" w:asciiTheme="minorEastAsia" w:hAnsiTheme="minorEastAsia" w:eastAsiaTheme="minorEastAsia" w:cstheme="minorEastAsia"/>
          <w:snapToGrid w:val="0"/>
          <w:color w:val="000000" w:themeColor="text1"/>
          <w:kern w:val="0"/>
          <w:szCs w:val="24"/>
          <w:lang w:val="en-US" w:eastAsia="zh-CN"/>
          <w14:textFill>
            <w14:solidFill>
              <w14:schemeClr w14:val="tx1"/>
            </w14:solidFill>
          </w14:textFill>
        </w:rPr>
        <w:t>3</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月）彩色扫描件；拟派技术负责人为退休返聘人员无法提供社保证明的，提供退休证和劳动合同彩色扫描件。</w:t>
      </w:r>
    </w:p>
    <w:p w14:paraId="35DB0AD7">
      <w:pPr>
        <w:pStyle w:val="3"/>
        <w:spacing w:before="120"/>
        <w:rPr>
          <w:rFonts w:asciiTheme="minorEastAsia" w:hAnsiTheme="minorEastAsia" w:eastAsiaTheme="minorEastAsia" w:cstheme="minorEastAsia"/>
          <w:b/>
          <w:bCs/>
          <w:color w:val="000000" w:themeColor="text1"/>
          <w:szCs w:val="24"/>
          <w14:textFill>
            <w14:solidFill>
              <w14:schemeClr w14:val="tx1"/>
            </w14:solidFill>
          </w14:textFill>
        </w:rPr>
      </w:pPr>
      <w:bookmarkStart w:id="591" w:name="_Toc31518"/>
      <w:bookmarkStart w:id="592" w:name="_Toc1601"/>
      <w:bookmarkStart w:id="593" w:name="_Toc8551"/>
      <w:r>
        <w:rPr>
          <w:rFonts w:asciiTheme="minorEastAsia" w:hAnsiTheme="minorEastAsia" w:eastAsiaTheme="minorEastAsia" w:cstheme="minorEastAsia"/>
          <w:b/>
          <w:bCs/>
          <w:color w:val="000000" w:themeColor="text1"/>
          <w:szCs w:val="24"/>
          <w14:textFill>
            <w14:solidFill>
              <w14:schemeClr w14:val="tx1"/>
            </w14:solidFill>
          </w14:textFill>
        </w:rPr>
        <w:t>格式十一 项目设计负责人简历表</w:t>
      </w:r>
      <w:bookmarkEnd w:id="591"/>
      <w:bookmarkEnd w:id="592"/>
      <w:bookmarkEnd w:id="593"/>
    </w:p>
    <w:p w14:paraId="2F3BB273">
      <w:pPr>
        <w:wordWrap w:val="0"/>
        <w:adjustRightInd w:val="0"/>
        <w:snapToGrid w:val="0"/>
        <w:spacing w:line="440" w:lineRule="exact"/>
        <w:jc w:val="left"/>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p>
    <w:tbl>
      <w:tblPr>
        <w:tblStyle w:val="2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4241B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20399F2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5D9C3A1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4D6C8B4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5827C1E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084609E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01F737C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4BCD6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84B2BA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76D6FF5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310DF75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7FD64C2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5B351B1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1F5CF27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4EE7DB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21AFCC9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7049654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4ABEF7C9">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1B34AD4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76D10D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2FEECA3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以项目设计负责人身份参与过的主要业绩（已完工项目）</w:t>
            </w:r>
          </w:p>
        </w:tc>
      </w:tr>
      <w:tr w14:paraId="6FF32E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CEEA0D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99D07F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8482B0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3A6CB4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50D0938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6CB82869">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质量等级</w:t>
            </w:r>
          </w:p>
        </w:tc>
      </w:tr>
      <w:tr w14:paraId="30EE0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F58E11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FC1353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2230F0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603E17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0DEEA53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174443E9">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388DCC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6627B18">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B1922D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E5A1A6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1B4815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4D3CEB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CADF49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5BC27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2DAF92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1595178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3B3442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5F4B081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C81B4A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6FCCFF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4218D0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D58178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478C0B5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29C966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C438A7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36230FC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A203ED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44F020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CF415E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4AF8984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DF5D9F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BB6D4B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00AFBA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5064C54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bl>
    <w:p w14:paraId="4B0ACA4C">
      <w:pPr>
        <w:wordWrap w:val="0"/>
        <w:adjustRightInd w:val="0"/>
        <w:snapToGrid w:val="0"/>
        <w:spacing w:line="440" w:lineRule="exact"/>
        <w:jc w:val="center"/>
        <w:rPr>
          <w:rFonts w:asciiTheme="minorEastAsia" w:hAnsiTheme="minorEastAsia" w:eastAsiaTheme="minorEastAsia" w:cstheme="minorEastAsia"/>
          <w:b/>
          <w:bCs/>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snapToGrid w:val="0"/>
          <w:color w:val="000000" w:themeColor="text1"/>
          <w:kern w:val="0"/>
          <w:szCs w:val="24"/>
          <w14:textFill>
            <w14:solidFill>
              <w14:schemeClr w14:val="tx1"/>
            </w14:solidFill>
          </w14:textFill>
        </w:rPr>
        <w:t>项目设计负责人简历表</w:t>
      </w:r>
    </w:p>
    <w:p w14:paraId="77FFA032">
      <w:pPr>
        <w:wordWrap w:val="0"/>
        <w:adjustRightInd w:val="0"/>
        <w:snapToGrid w:val="0"/>
        <w:spacing w:line="44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24B18F28">
      <w:pPr>
        <w:pStyle w:val="47"/>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p>
    <w:p w14:paraId="4ACDC813">
      <w:pPr>
        <w:pStyle w:val="47"/>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项目技术负责人：</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（签字）</w:t>
      </w:r>
    </w:p>
    <w:p w14:paraId="538152DF">
      <w:pPr>
        <w:pStyle w:val="47"/>
        <w:wordWrap w:val="0"/>
        <w:adjustRightInd w:val="0"/>
        <w:snapToGrid w:val="0"/>
        <w:spacing w:line="440" w:lineRule="exact"/>
        <w:jc w:val="right"/>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p>
    <w:p w14:paraId="23552A47">
      <w:pPr>
        <w:pStyle w:val="47"/>
        <w:wordWrap w:val="0"/>
        <w:adjustRightInd w:val="0"/>
        <w:snapToGrid w:val="0"/>
        <w:spacing w:line="440" w:lineRule="exact"/>
        <w:jc w:val="cente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日</w:t>
      </w:r>
    </w:p>
    <w:p w14:paraId="1543A389">
      <w:pPr>
        <w:wordWrap w:val="0"/>
        <w:adjustRightInd w:val="0"/>
        <w:snapToGrid w:val="0"/>
        <w:spacing w:line="40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5EE58C05">
      <w:pPr>
        <w:wordWrap w:val="0"/>
        <w:adjustRightInd w:val="0"/>
        <w:snapToGrid w:val="0"/>
        <w:spacing w:line="400" w:lineRule="exact"/>
        <w:ind w:firstLine="570"/>
        <w:rPr>
          <w:rFonts w:asciiTheme="minorEastAsia" w:hAnsiTheme="minorEastAsia" w:eastAsiaTheme="minorEastAsia" w:cstheme="minorEastAsia"/>
          <w:snapToGrid w:val="0"/>
          <w:color w:val="000000" w:themeColor="text1"/>
          <w:kern w:val="0"/>
          <w:szCs w:val="24"/>
          <w14:textFill>
            <w14:solidFill>
              <w14:schemeClr w14:val="tx1"/>
            </w14:solidFill>
          </w14:textFill>
        </w:rPr>
      </w:pPr>
    </w:p>
    <w:p w14:paraId="27398013">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说明：《项目设计负责人简历表》后应附拟派项目设计负责人以下资料：</w:t>
      </w:r>
    </w:p>
    <w:p w14:paraId="63F30DBA">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1．身份证彩色扫描件；</w:t>
      </w:r>
    </w:p>
    <w:p w14:paraId="7E627494">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2．职称证彩色扫描件；</w:t>
      </w:r>
    </w:p>
    <w:p w14:paraId="221F5411">
      <w:pPr>
        <w:wordWrap w:val="0"/>
        <w:adjustRightInd w:val="0"/>
        <w:snapToGrid w:val="0"/>
        <w:spacing w:line="400" w:lineRule="exact"/>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3．在本单位缴纳社保的证明（至少3个月，其中必须中2025年</w:t>
      </w:r>
      <w:r>
        <w:rPr>
          <w:rFonts w:hint="eastAsia" w:asciiTheme="minorEastAsia" w:hAnsiTheme="minorEastAsia" w:eastAsiaTheme="minorEastAsia" w:cstheme="minorEastAsia"/>
          <w:snapToGrid w:val="0"/>
          <w:color w:val="000000" w:themeColor="text1"/>
          <w:kern w:val="0"/>
          <w:szCs w:val="24"/>
          <w:lang w:val="en-US" w:eastAsia="zh-CN"/>
          <w14:textFill>
            <w14:solidFill>
              <w14:schemeClr w14:val="tx1"/>
            </w14:solidFill>
          </w14:textFill>
        </w:rPr>
        <w:t>3</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月）彩色扫描件；拟派设计负责人为退休返聘人员无法提供社保证明的，提供退休证和劳动合同彩色扫描件。</w:t>
      </w:r>
      <w:bookmarkEnd w:id="579"/>
      <w:bookmarkEnd w:id="580"/>
      <w:bookmarkEnd w:id="581"/>
      <w:bookmarkEnd w:id="582"/>
      <w:bookmarkEnd w:id="583"/>
    </w:p>
    <w:p w14:paraId="26E8E539">
      <w:pPr>
        <w:wordWrap w:val="0"/>
        <w:adjustRightInd w:val="0"/>
        <w:snapToGrid w:val="0"/>
        <w:spacing w:line="40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4．“进粤企业和人员诚信信息登记平台”个人信息情况截图。（适用于省外建筑企业）。</w:t>
      </w:r>
    </w:p>
    <w:p w14:paraId="4FAE7567">
      <w:pPr>
        <w:pStyle w:val="3"/>
        <w:spacing w:before="120"/>
        <w:rPr>
          <w:rFonts w:asciiTheme="minorEastAsia" w:hAnsiTheme="minorEastAsia" w:eastAsiaTheme="minorEastAsia" w:cstheme="minorEastAsia"/>
          <w:bCs/>
          <w:snapToGrid w:val="0"/>
          <w:color w:val="000000" w:themeColor="text1"/>
          <w:szCs w:val="24"/>
          <w14:textFill>
            <w14:solidFill>
              <w14:schemeClr w14:val="tx1"/>
            </w14:solidFill>
          </w14:textFill>
        </w:rPr>
      </w:pPr>
      <w:r>
        <w:rPr>
          <w:rFonts w:asciiTheme="minorEastAsia" w:hAnsiTheme="minorEastAsia" w:eastAsiaTheme="minorEastAsia" w:cstheme="minorEastAsia"/>
          <w:bCs/>
          <w:color w:val="000000" w:themeColor="text1"/>
          <w:szCs w:val="24"/>
          <w14:textFill>
            <w14:solidFill>
              <w14:schemeClr w14:val="tx1"/>
            </w14:solidFill>
          </w14:textFill>
        </w:rPr>
        <w:br w:type="page"/>
      </w:r>
      <w:bookmarkStart w:id="594" w:name="_Toc19727"/>
      <w:bookmarkStart w:id="595" w:name="_Toc3226"/>
      <w:bookmarkStart w:id="596" w:name="_Toc10080"/>
      <w:bookmarkStart w:id="597" w:name="_Toc8264"/>
      <w:r>
        <w:rPr>
          <w:rFonts w:asciiTheme="minorEastAsia" w:hAnsiTheme="minorEastAsia" w:eastAsiaTheme="minorEastAsia" w:cstheme="minorEastAsia"/>
          <w:b/>
          <w:snapToGrid w:val="0"/>
          <w:color w:val="000000" w:themeColor="text1"/>
          <w:szCs w:val="24"/>
          <w14:textFill>
            <w14:solidFill>
              <w14:schemeClr w14:val="tx1"/>
            </w14:solidFill>
          </w14:textFill>
        </w:rPr>
        <w:t>格式十二 项目管理机构组成表</w:t>
      </w:r>
      <w:bookmarkEnd w:id="594"/>
      <w:bookmarkEnd w:id="595"/>
      <w:bookmarkEnd w:id="596"/>
    </w:p>
    <w:p w14:paraId="72DAC502">
      <w:pPr>
        <w:wordWrap w:val="0"/>
        <w:adjustRightInd w:val="0"/>
        <w:snapToGrid w:val="0"/>
        <w:spacing w:before="260" w:after="260" w:line="440" w:lineRule="exact"/>
        <w:jc w:val="center"/>
        <w:rPr>
          <w:rFonts w:asciiTheme="minorEastAsia" w:hAnsiTheme="minorEastAsia" w:eastAsiaTheme="minorEastAsia" w:cstheme="minorEastAsia"/>
          <w:b/>
          <w:snapToGrid w:val="0"/>
          <w:color w:val="000000" w:themeColor="text1"/>
          <w:kern w:val="0"/>
          <w:szCs w:val="24"/>
          <w14:textFill>
            <w14:solidFill>
              <w14:schemeClr w14:val="tx1"/>
            </w14:solidFill>
          </w14:textFill>
        </w:rPr>
      </w:pPr>
      <w:r>
        <w:rPr>
          <w:rFonts w:asciiTheme="minorEastAsia" w:hAnsiTheme="minorEastAsia" w:eastAsiaTheme="minorEastAsia" w:cstheme="minorEastAsia"/>
          <w:b/>
          <w:snapToGrid w:val="0"/>
          <w:color w:val="000000" w:themeColor="text1"/>
          <w:kern w:val="0"/>
          <w:szCs w:val="24"/>
          <w14:textFill>
            <w14:solidFill>
              <w14:schemeClr w14:val="tx1"/>
            </w14:solidFill>
          </w14:textFill>
        </w:rPr>
        <w:t>项目管理机构组成表</w:t>
      </w:r>
    </w:p>
    <w:tbl>
      <w:tblPr>
        <w:tblStyle w:val="21"/>
        <w:tblW w:w="89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4"/>
        <w:gridCol w:w="1424"/>
        <w:gridCol w:w="1358"/>
        <w:gridCol w:w="902"/>
        <w:gridCol w:w="819"/>
        <w:gridCol w:w="1541"/>
        <w:gridCol w:w="2169"/>
      </w:tblGrid>
      <w:tr w14:paraId="69D6D2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0" w:hRule="atLeast"/>
        </w:trPr>
        <w:tc>
          <w:tcPr>
            <w:tcW w:w="744" w:type="dxa"/>
            <w:tcBorders>
              <w:top w:val="single" w:color="auto" w:sz="6" w:space="0"/>
              <w:left w:val="single" w:color="auto" w:sz="6" w:space="0"/>
              <w:bottom w:val="single" w:color="auto" w:sz="6" w:space="0"/>
              <w:right w:val="single" w:color="auto" w:sz="6" w:space="0"/>
            </w:tcBorders>
            <w:noWrap/>
            <w:vAlign w:val="center"/>
          </w:tcPr>
          <w:p w14:paraId="4DC4E0B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序号</w:t>
            </w:r>
          </w:p>
        </w:tc>
        <w:tc>
          <w:tcPr>
            <w:tcW w:w="1424" w:type="dxa"/>
            <w:tcBorders>
              <w:top w:val="single" w:color="auto" w:sz="6" w:space="0"/>
              <w:left w:val="single" w:color="auto" w:sz="6" w:space="0"/>
              <w:bottom w:val="single" w:color="auto" w:sz="6" w:space="0"/>
              <w:right w:val="single" w:color="auto" w:sz="6" w:space="0"/>
            </w:tcBorders>
            <w:noWrap/>
            <w:vAlign w:val="center"/>
          </w:tcPr>
          <w:p w14:paraId="14ED205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职务</w:t>
            </w:r>
          </w:p>
        </w:tc>
        <w:tc>
          <w:tcPr>
            <w:tcW w:w="1358" w:type="dxa"/>
            <w:tcBorders>
              <w:top w:val="single" w:color="auto" w:sz="6" w:space="0"/>
              <w:left w:val="single" w:color="auto" w:sz="6" w:space="0"/>
              <w:bottom w:val="single" w:color="auto" w:sz="6" w:space="0"/>
              <w:right w:val="single" w:color="auto" w:sz="6" w:space="0"/>
            </w:tcBorders>
            <w:noWrap/>
            <w:vAlign w:val="center"/>
          </w:tcPr>
          <w:p w14:paraId="67FED0B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姓名</w:t>
            </w:r>
          </w:p>
        </w:tc>
        <w:tc>
          <w:tcPr>
            <w:tcW w:w="902" w:type="dxa"/>
            <w:tcBorders>
              <w:top w:val="single" w:color="auto" w:sz="6" w:space="0"/>
              <w:left w:val="single" w:color="auto" w:sz="6" w:space="0"/>
              <w:bottom w:val="single" w:color="auto" w:sz="6" w:space="0"/>
              <w:right w:val="single" w:color="auto" w:sz="6" w:space="0"/>
            </w:tcBorders>
            <w:noWrap/>
            <w:vAlign w:val="center"/>
          </w:tcPr>
          <w:p w14:paraId="359918C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性别</w:t>
            </w:r>
          </w:p>
        </w:tc>
        <w:tc>
          <w:tcPr>
            <w:tcW w:w="819" w:type="dxa"/>
            <w:tcBorders>
              <w:top w:val="single" w:color="auto" w:sz="6" w:space="0"/>
              <w:left w:val="single" w:color="auto" w:sz="6" w:space="0"/>
              <w:bottom w:val="single" w:color="auto" w:sz="6" w:space="0"/>
              <w:right w:val="single" w:color="auto" w:sz="6" w:space="0"/>
            </w:tcBorders>
            <w:noWrap/>
            <w:vAlign w:val="center"/>
          </w:tcPr>
          <w:p w14:paraId="4D5760A8">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年龄</w:t>
            </w:r>
          </w:p>
        </w:tc>
        <w:tc>
          <w:tcPr>
            <w:tcW w:w="1541" w:type="dxa"/>
            <w:tcBorders>
              <w:top w:val="single" w:color="auto" w:sz="6" w:space="0"/>
              <w:left w:val="single" w:color="auto" w:sz="6" w:space="0"/>
              <w:bottom w:val="single" w:color="auto" w:sz="6" w:space="0"/>
              <w:right w:val="single" w:color="auto" w:sz="6" w:space="0"/>
            </w:tcBorders>
            <w:noWrap/>
            <w:vAlign w:val="center"/>
          </w:tcPr>
          <w:p w14:paraId="2C23DDE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职称</w:t>
            </w:r>
          </w:p>
        </w:tc>
        <w:tc>
          <w:tcPr>
            <w:tcW w:w="2169" w:type="dxa"/>
            <w:tcBorders>
              <w:top w:val="single" w:color="auto" w:sz="6" w:space="0"/>
              <w:left w:val="single" w:color="auto" w:sz="6" w:space="0"/>
              <w:bottom w:val="single" w:color="auto" w:sz="6" w:space="0"/>
              <w:right w:val="single" w:color="auto" w:sz="6" w:space="0"/>
            </w:tcBorders>
            <w:noWrap/>
            <w:vAlign w:val="center"/>
          </w:tcPr>
          <w:p w14:paraId="7703DA3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备注</w:t>
            </w:r>
          </w:p>
        </w:tc>
      </w:tr>
      <w:tr w14:paraId="73E89D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2" w:hRule="exact"/>
        </w:trPr>
        <w:tc>
          <w:tcPr>
            <w:tcW w:w="744" w:type="dxa"/>
            <w:tcBorders>
              <w:top w:val="single" w:color="auto" w:sz="6" w:space="0"/>
              <w:left w:val="single" w:color="auto" w:sz="6" w:space="0"/>
              <w:right w:val="single" w:color="auto" w:sz="6" w:space="0"/>
            </w:tcBorders>
            <w:noWrap/>
            <w:vAlign w:val="center"/>
          </w:tcPr>
          <w:p w14:paraId="71465DB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1</w:t>
            </w:r>
          </w:p>
        </w:tc>
        <w:tc>
          <w:tcPr>
            <w:tcW w:w="1424" w:type="dxa"/>
            <w:tcBorders>
              <w:top w:val="single" w:color="auto" w:sz="6" w:space="0"/>
              <w:left w:val="single" w:color="auto" w:sz="6" w:space="0"/>
              <w:right w:val="single" w:color="auto" w:sz="6" w:space="0"/>
            </w:tcBorders>
            <w:noWrap/>
            <w:vAlign w:val="center"/>
          </w:tcPr>
          <w:p w14:paraId="33856F59">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项目经理</w:t>
            </w:r>
          </w:p>
        </w:tc>
        <w:tc>
          <w:tcPr>
            <w:tcW w:w="1358" w:type="dxa"/>
            <w:tcBorders>
              <w:top w:val="single" w:color="auto" w:sz="6" w:space="0"/>
              <w:left w:val="single" w:color="auto" w:sz="6" w:space="0"/>
              <w:bottom w:val="single" w:color="auto" w:sz="6" w:space="0"/>
              <w:right w:val="single" w:color="auto" w:sz="6" w:space="0"/>
            </w:tcBorders>
            <w:noWrap/>
            <w:vAlign w:val="center"/>
          </w:tcPr>
          <w:p w14:paraId="210D829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1E5701B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0AE8B74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CCCA9D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729C5EA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4E7B0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3DEE967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2</w:t>
            </w:r>
          </w:p>
        </w:tc>
        <w:tc>
          <w:tcPr>
            <w:tcW w:w="1424" w:type="dxa"/>
            <w:tcBorders>
              <w:top w:val="single" w:color="auto" w:sz="6" w:space="0"/>
              <w:left w:val="single" w:color="auto" w:sz="6" w:space="0"/>
              <w:right w:val="single" w:color="auto" w:sz="6" w:space="0"/>
            </w:tcBorders>
            <w:noWrap/>
            <w:vAlign w:val="center"/>
          </w:tcPr>
          <w:p w14:paraId="050EDC7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项目技术</w:t>
            </w:r>
          </w:p>
          <w:p w14:paraId="262BE85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7D7E27A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6BC412C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5C111F5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7ECAF6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6E1248A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2413F4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60B5BE8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3</w:t>
            </w:r>
          </w:p>
        </w:tc>
        <w:tc>
          <w:tcPr>
            <w:tcW w:w="1424" w:type="dxa"/>
            <w:tcBorders>
              <w:top w:val="single" w:color="auto" w:sz="6" w:space="0"/>
              <w:left w:val="single" w:color="auto" w:sz="6" w:space="0"/>
              <w:right w:val="single" w:color="auto" w:sz="6" w:space="0"/>
            </w:tcBorders>
            <w:noWrap/>
            <w:vAlign w:val="center"/>
          </w:tcPr>
          <w:p w14:paraId="375C4E2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项目设计</w:t>
            </w:r>
          </w:p>
          <w:p w14:paraId="6B2F6F68">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15D1D3E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2DBC21B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25660B3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56C8735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62FD222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60CE5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2C91234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4</w:t>
            </w:r>
          </w:p>
        </w:tc>
        <w:tc>
          <w:tcPr>
            <w:tcW w:w="1424" w:type="dxa"/>
            <w:tcBorders>
              <w:top w:val="single" w:color="auto" w:sz="6" w:space="0"/>
              <w:left w:val="single" w:color="auto" w:sz="6" w:space="0"/>
              <w:bottom w:val="single" w:color="auto" w:sz="6" w:space="0"/>
              <w:right w:val="single" w:color="auto" w:sz="6" w:space="0"/>
            </w:tcBorders>
            <w:noWrap/>
            <w:vAlign w:val="center"/>
          </w:tcPr>
          <w:p w14:paraId="5702BEFE">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专职安全员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1F66079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283D11B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49DDF46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62F6A3A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AF053D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2A67D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674EFB6C">
            <w:pPr>
              <w:wordWrap w:val="0"/>
              <w:adjustRightInd w:val="0"/>
              <w:snapToGrid w:val="0"/>
              <w:ind w:firstLine="360" w:firstLineChars="15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5</w:t>
            </w:r>
          </w:p>
        </w:tc>
        <w:tc>
          <w:tcPr>
            <w:tcW w:w="1424" w:type="dxa"/>
            <w:tcBorders>
              <w:top w:val="single" w:color="auto" w:sz="6" w:space="0"/>
              <w:left w:val="single" w:color="auto" w:sz="6" w:space="0"/>
              <w:bottom w:val="single" w:color="auto" w:sz="6" w:space="0"/>
              <w:right w:val="single" w:color="auto" w:sz="6" w:space="0"/>
            </w:tcBorders>
            <w:noWrap/>
            <w:vAlign w:val="center"/>
          </w:tcPr>
          <w:p w14:paraId="5C103FB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施工员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7669356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3D31CBA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A5E20B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481A6AB8">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387CE4F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07CA8F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6BF2617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6</w:t>
            </w:r>
          </w:p>
        </w:tc>
        <w:tc>
          <w:tcPr>
            <w:tcW w:w="1424" w:type="dxa"/>
            <w:tcBorders>
              <w:top w:val="single" w:color="auto" w:sz="6" w:space="0"/>
              <w:left w:val="single" w:color="auto" w:sz="6" w:space="0"/>
              <w:bottom w:val="single" w:color="auto" w:sz="6" w:space="0"/>
              <w:right w:val="single" w:color="auto" w:sz="6" w:space="0"/>
            </w:tcBorders>
            <w:noWrap/>
            <w:vAlign w:val="center"/>
          </w:tcPr>
          <w:p w14:paraId="4C92E2A8">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质量员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3A0E36C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4E5736E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02E2C70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50FA932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37EC858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55C841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00E2136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7</w:t>
            </w:r>
          </w:p>
        </w:tc>
        <w:tc>
          <w:tcPr>
            <w:tcW w:w="1424" w:type="dxa"/>
            <w:tcBorders>
              <w:top w:val="single" w:color="auto" w:sz="6" w:space="0"/>
              <w:left w:val="single" w:color="auto" w:sz="6" w:space="0"/>
              <w:bottom w:val="single" w:color="auto" w:sz="6" w:space="0"/>
              <w:right w:val="single" w:color="auto" w:sz="6" w:space="0"/>
            </w:tcBorders>
            <w:noWrap/>
            <w:vAlign w:val="center"/>
          </w:tcPr>
          <w:p w14:paraId="7C0FEAA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材料员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09AAE3E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7BF5563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0DF8E176">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FEE13F5">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B80584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09D0B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E88F97F">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8</w:t>
            </w:r>
          </w:p>
        </w:tc>
        <w:tc>
          <w:tcPr>
            <w:tcW w:w="1424" w:type="dxa"/>
            <w:tcBorders>
              <w:top w:val="single" w:color="auto" w:sz="6" w:space="0"/>
              <w:left w:val="single" w:color="auto" w:sz="6" w:space="0"/>
              <w:bottom w:val="single" w:color="auto" w:sz="6" w:space="0"/>
              <w:right w:val="single" w:color="auto" w:sz="6" w:space="0"/>
            </w:tcBorders>
            <w:noWrap/>
            <w:vAlign w:val="center"/>
          </w:tcPr>
          <w:p w14:paraId="67D86D7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资料员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74EBDFC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17F4603C">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151CA55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07005972">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33742589">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00EFC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273B89B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9</w:t>
            </w:r>
          </w:p>
        </w:tc>
        <w:tc>
          <w:tcPr>
            <w:tcW w:w="1424" w:type="dxa"/>
            <w:tcBorders>
              <w:top w:val="single" w:color="auto" w:sz="6" w:space="0"/>
              <w:left w:val="single" w:color="auto" w:sz="6" w:space="0"/>
              <w:bottom w:val="single" w:color="auto" w:sz="6" w:space="0"/>
              <w:right w:val="single" w:color="auto" w:sz="6" w:space="0"/>
            </w:tcBorders>
            <w:noWrap/>
            <w:vAlign w:val="center"/>
          </w:tcPr>
          <w:p w14:paraId="321FE5B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FF0000"/>
                <w:kern w:val="0"/>
                <w:szCs w:val="24"/>
              </w:rPr>
              <w:t>造价人员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0CBD417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5385B98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4C2BC34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45EEE344">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78918031">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tr w14:paraId="0C1C1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6"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09786FFB">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424" w:type="dxa"/>
            <w:tcBorders>
              <w:top w:val="single" w:color="auto" w:sz="6" w:space="0"/>
              <w:left w:val="single" w:color="auto" w:sz="6" w:space="0"/>
              <w:bottom w:val="single" w:color="auto" w:sz="6" w:space="0"/>
              <w:right w:val="single" w:color="auto" w:sz="6" w:space="0"/>
            </w:tcBorders>
            <w:noWrap/>
            <w:vAlign w:val="center"/>
          </w:tcPr>
          <w:p w14:paraId="6C6CB7A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w:t>
            </w:r>
          </w:p>
        </w:tc>
        <w:tc>
          <w:tcPr>
            <w:tcW w:w="1358" w:type="dxa"/>
            <w:tcBorders>
              <w:top w:val="single" w:color="auto" w:sz="6" w:space="0"/>
              <w:left w:val="single" w:color="auto" w:sz="6" w:space="0"/>
              <w:bottom w:val="single" w:color="auto" w:sz="6" w:space="0"/>
              <w:right w:val="single" w:color="auto" w:sz="6" w:space="0"/>
            </w:tcBorders>
            <w:noWrap/>
            <w:vAlign w:val="center"/>
          </w:tcPr>
          <w:p w14:paraId="21CEE50A">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19357EA3">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447EA10">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45EB4027">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6D08F7ED">
            <w:pPr>
              <w:wordWrap w:val="0"/>
              <w:adjustRightInd w:val="0"/>
              <w:snapToGrid w:val="0"/>
              <w:jc w:val="center"/>
              <w:rPr>
                <w:rFonts w:asciiTheme="minorEastAsia" w:hAnsiTheme="minorEastAsia" w:eastAsiaTheme="minorEastAsia" w:cstheme="minorEastAsia"/>
                <w:snapToGrid w:val="0"/>
                <w:color w:val="000000" w:themeColor="text1"/>
                <w:kern w:val="0"/>
                <w:szCs w:val="24"/>
                <w14:textFill>
                  <w14:solidFill>
                    <w14:schemeClr w14:val="tx1"/>
                  </w14:solidFill>
                </w14:textFill>
              </w:rPr>
            </w:pPr>
          </w:p>
        </w:tc>
      </w:tr>
      <w:bookmarkEnd w:id="597"/>
    </w:tbl>
    <w:p w14:paraId="2DBEB7E2">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bookmarkStart w:id="598" w:name="_Toc8648"/>
      <w:bookmarkStart w:id="599" w:name="_Toc25577"/>
      <w:bookmarkStart w:id="600" w:name="_Toc36804690"/>
    </w:p>
    <w:p w14:paraId="08A12588">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说明：</w:t>
      </w:r>
    </w:p>
    <w:p w14:paraId="29299060">
      <w:pPr>
        <w:wordWrap w:val="0"/>
        <w:adjustRightInd w:val="0"/>
        <w:snapToGrid w:val="0"/>
        <w:spacing w:line="400" w:lineRule="exact"/>
        <w:ind w:firstLine="480" w:firstLineChars="200"/>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1．《项目管理机构组成表》后应附表中拟派人员（项目经理、项目技术负责人、项目设计负责人除外）以下资料：</w:t>
      </w:r>
    </w:p>
    <w:p w14:paraId="3A946EAB">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（1）身份证证彩色扫描件；</w:t>
      </w:r>
    </w:p>
    <w:p w14:paraId="6B666E02">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（2）职称证或岗位证或培训证或执业证书彩色扫描件；</w:t>
      </w:r>
    </w:p>
    <w:p w14:paraId="53974567">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（3）专职安全员须提供C类安全生产考核合格证书证彩色扫描件或“广东省建筑施工企业管理人员安全生产考核系统”考核合格信息打印页；</w:t>
      </w:r>
    </w:p>
    <w:p w14:paraId="6D4E51DD">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（4）在本单位缴纳社保的证明（至少3个月，其中必须中2025年</w:t>
      </w:r>
      <w:r>
        <w:rPr>
          <w:rFonts w:hint="eastAsia" w:asciiTheme="minorEastAsia" w:hAnsiTheme="minorEastAsia" w:eastAsiaTheme="minorEastAsia" w:cstheme="minorEastAsia"/>
          <w:snapToGrid w:val="0"/>
          <w:color w:val="000000" w:themeColor="text1"/>
          <w:kern w:val="0"/>
          <w:szCs w:val="24"/>
          <w:lang w:val="en-US" w:eastAsia="zh-CN"/>
          <w14:textFill>
            <w14:solidFill>
              <w14:schemeClr w14:val="tx1"/>
            </w14:solidFill>
          </w14:textFill>
        </w:rPr>
        <w:t>3</w:t>
      </w:r>
      <w:r>
        <w:rPr>
          <w:rFonts w:asciiTheme="minorEastAsia" w:hAnsiTheme="minorEastAsia" w:eastAsiaTheme="minorEastAsia" w:cstheme="minorEastAsia"/>
          <w:snapToGrid w:val="0"/>
          <w:color w:val="000000" w:themeColor="text1"/>
          <w:kern w:val="0"/>
          <w:szCs w:val="24"/>
          <w14:textFill>
            <w14:solidFill>
              <w14:schemeClr w14:val="tx1"/>
            </w14:solidFill>
          </w14:textFill>
        </w:rPr>
        <w:t>月）彩色扫描件；拟派人员为退休返聘人员无法提供社保证明的，提供退休证和劳动合同彩色扫描件；</w:t>
      </w:r>
    </w:p>
    <w:p w14:paraId="70A77621">
      <w:pPr>
        <w:wordWrap w:val="0"/>
        <w:adjustRightInd w:val="0"/>
        <w:snapToGrid w:val="0"/>
        <w:spacing w:line="400" w:lineRule="exact"/>
        <w:rPr>
          <w:rFonts w:asciiTheme="minorEastAsia" w:hAnsiTheme="minorEastAsia" w:eastAsiaTheme="minorEastAsia" w:cstheme="minorEastAsia"/>
          <w:snapToGrid w:val="0"/>
          <w:color w:val="000000" w:themeColor="text1"/>
          <w:kern w:val="0"/>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（5）“进粤企业和人员诚信信息登记平台”个人信息情况截图。（适用于省外建筑企业）。</w:t>
      </w:r>
    </w:p>
    <w:p w14:paraId="636BD117">
      <w:pPr>
        <w:wordWrap w:val="0"/>
        <w:adjustRightInd w:val="0"/>
        <w:snapToGrid w:val="0"/>
        <w:spacing w:line="400" w:lineRule="exact"/>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snapToGrid w:val="0"/>
          <w:color w:val="000000" w:themeColor="text1"/>
          <w:kern w:val="0"/>
          <w:szCs w:val="24"/>
          <w14:textFill>
            <w14:solidFill>
              <w14:schemeClr w14:val="tx1"/>
            </w14:solidFill>
          </w14:textFill>
        </w:rPr>
        <w:t xml:space="preserve">    2．联合体投标的，《项目管理机构组成表》应包括联合体成员单位参与项目管理机构的人员，并提供以上所需资料。</w:t>
      </w:r>
    </w:p>
    <w:p w14:paraId="3A4137FF">
      <w:pPr>
        <w:spacing w:before="136"/>
        <w:rPr>
          <w:rFonts w:asciiTheme="minorEastAsia" w:hAnsiTheme="minorEastAsia" w:eastAsiaTheme="minorEastAsia" w:cstheme="minorEastAsia"/>
          <w:b/>
          <w:bCs/>
          <w:color w:val="000000" w:themeColor="text1"/>
          <w:szCs w:val="24"/>
          <w14:textFill>
            <w14:solidFill>
              <w14:schemeClr w14:val="tx1"/>
            </w14:solidFill>
          </w14:textFill>
        </w:rPr>
      </w:pPr>
    </w:p>
    <w:p w14:paraId="730E06E7">
      <w:pPr>
        <w:spacing w:before="136"/>
        <w:rPr>
          <w:rFonts w:asciiTheme="minorEastAsia" w:hAnsiTheme="minorEastAsia" w:eastAsiaTheme="minorEastAsia" w:cstheme="minorEastAsia"/>
          <w:b/>
          <w:bCs/>
          <w:color w:val="000000" w:themeColor="text1"/>
          <w:szCs w:val="24"/>
          <w14:textFill>
            <w14:solidFill>
              <w14:schemeClr w14:val="tx1"/>
            </w14:solidFill>
          </w14:textFill>
        </w:rPr>
      </w:pPr>
    </w:p>
    <w:p w14:paraId="7C2BC0E1">
      <w:pPr>
        <w:pStyle w:val="3"/>
        <w:spacing w:before="136"/>
        <w:rPr>
          <w:rFonts w:asciiTheme="minorEastAsia" w:hAnsiTheme="minorEastAsia" w:eastAsiaTheme="minorEastAsia" w:cstheme="minorEastAsia"/>
          <w:b/>
          <w:bCs/>
          <w:color w:val="000000" w:themeColor="text1"/>
          <w:szCs w:val="24"/>
          <w14:textFill>
            <w14:solidFill>
              <w14:schemeClr w14:val="tx1"/>
            </w14:solidFill>
          </w14:textFill>
        </w:rPr>
      </w:pPr>
      <w:bookmarkStart w:id="601" w:name="_Toc22177"/>
      <w:bookmarkStart w:id="602" w:name="_Toc13888"/>
      <w:r>
        <w:rPr>
          <w:rFonts w:asciiTheme="minorEastAsia" w:hAnsiTheme="minorEastAsia" w:eastAsiaTheme="minorEastAsia" w:cstheme="minorEastAsia"/>
          <w:b/>
          <w:bCs/>
          <w:color w:val="000000" w:themeColor="text1"/>
          <w:szCs w:val="24"/>
          <w14:textFill>
            <w14:solidFill>
              <w14:schemeClr w14:val="tx1"/>
            </w14:solidFill>
          </w14:textFill>
        </w:rPr>
        <w:t>格式十三 原件一览表</w:t>
      </w:r>
      <w:bookmarkEnd w:id="598"/>
      <w:bookmarkEnd w:id="599"/>
      <w:bookmarkEnd w:id="600"/>
      <w:bookmarkEnd w:id="601"/>
      <w:bookmarkEnd w:id="602"/>
    </w:p>
    <w:p w14:paraId="35936669">
      <w:pPr>
        <w:spacing w:line="336" w:lineRule="auto"/>
        <w:contextualSpacing/>
        <w:jc w:val="left"/>
        <w:rPr>
          <w:rFonts w:asciiTheme="minorEastAsia" w:hAnsiTheme="minorEastAsia" w:eastAsiaTheme="minorEastAsia" w:cstheme="minorEastAsia"/>
          <w:color w:val="000000" w:themeColor="text1"/>
          <w:szCs w:val="24"/>
          <w14:textFill>
            <w14:solidFill>
              <w14:schemeClr w14:val="tx1"/>
            </w14:solidFill>
          </w14:textFill>
        </w:rPr>
      </w:pPr>
    </w:p>
    <w:tbl>
      <w:tblPr>
        <w:tblStyle w:val="21"/>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0"/>
        <w:gridCol w:w="1505"/>
        <w:gridCol w:w="623"/>
        <w:gridCol w:w="1369"/>
        <w:gridCol w:w="1623"/>
        <w:gridCol w:w="753"/>
        <w:gridCol w:w="957"/>
        <w:gridCol w:w="1570"/>
      </w:tblGrid>
      <w:tr w14:paraId="2B9F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trPr>
        <w:tc>
          <w:tcPr>
            <w:tcW w:w="9100" w:type="dxa"/>
            <w:gridSpan w:val="8"/>
            <w:noWrap/>
            <w:tcMar>
              <w:left w:w="108" w:type="dxa"/>
              <w:right w:w="108" w:type="dxa"/>
            </w:tcMar>
            <w:vAlign w:val="center"/>
          </w:tcPr>
          <w:p w14:paraId="72CC888F">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color w:val="000000" w:themeColor="text1"/>
                <w:szCs w:val="24"/>
                <w14:textFill>
                  <w14:solidFill>
                    <w14:schemeClr w14:val="tx1"/>
                  </w14:solidFill>
                </w14:textFill>
              </w:rPr>
              <w:t>原件一览表</w:t>
            </w:r>
          </w:p>
        </w:tc>
      </w:tr>
      <w:tr w14:paraId="52EC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29EAF5C1">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工程名称</w:t>
            </w:r>
          </w:p>
        </w:tc>
        <w:tc>
          <w:tcPr>
            <w:tcW w:w="6272" w:type="dxa"/>
            <w:gridSpan w:val="5"/>
            <w:noWrap/>
            <w:tcMar>
              <w:left w:w="108" w:type="dxa"/>
              <w:right w:w="108" w:type="dxa"/>
            </w:tcMar>
            <w:vAlign w:val="center"/>
          </w:tcPr>
          <w:p w14:paraId="35E2A54F">
            <w:pPr>
              <w:jc w:val="center"/>
              <w:rPr>
                <w:rFonts w:asciiTheme="minorEastAsia" w:hAnsiTheme="minorEastAsia" w:eastAsiaTheme="minorEastAsia" w:cstheme="minorEastAsia"/>
                <w:color w:val="000000" w:themeColor="text1"/>
                <w:szCs w:val="24"/>
                <w14:textFill>
                  <w14:solidFill>
                    <w14:schemeClr w14:val="tx1"/>
                  </w14:solidFill>
                </w14:textFill>
              </w:rPr>
            </w:pPr>
          </w:p>
        </w:tc>
      </w:tr>
      <w:tr w14:paraId="74EB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5C512D8B">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投标人名称                （请务必填写单位全称）</w:t>
            </w:r>
          </w:p>
        </w:tc>
        <w:tc>
          <w:tcPr>
            <w:tcW w:w="6272" w:type="dxa"/>
            <w:gridSpan w:val="5"/>
            <w:noWrap/>
            <w:tcMar>
              <w:left w:w="108" w:type="dxa"/>
              <w:right w:w="108" w:type="dxa"/>
            </w:tcMar>
            <w:vAlign w:val="center"/>
          </w:tcPr>
          <w:p w14:paraId="314D1353">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w:t>
            </w:r>
          </w:p>
        </w:tc>
      </w:tr>
      <w:tr w14:paraId="0F3E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7CE5FBE6">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投标人法定代表人或其</w:t>
            </w:r>
          </w:p>
          <w:p w14:paraId="1DFDB0CD">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委托代理人签名</w:t>
            </w:r>
          </w:p>
        </w:tc>
        <w:tc>
          <w:tcPr>
            <w:tcW w:w="2992" w:type="dxa"/>
            <w:gridSpan w:val="2"/>
            <w:noWrap/>
            <w:tcMar>
              <w:left w:w="108" w:type="dxa"/>
              <w:right w:w="108" w:type="dxa"/>
            </w:tcMar>
            <w:vAlign w:val="center"/>
          </w:tcPr>
          <w:p w14:paraId="287460E5">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w:t>
            </w:r>
          </w:p>
        </w:tc>
        <w:tc>
          <w:tcPr>
            <w:tcW w:w="753" w:type="dxa"/>
            <w:noWrap/>
            <w:tcMar>
              <w:left w:w="108" w:type="dxa"/>
              <w:right w:w="108" w:type="dxa"/>
            </w:tcMar>
            <w:vAlign w:val="center"/>
          </w:tcPr>
          <w:p w14:paraId="13B6026B">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手机号码</w:t>
            </w:r>
          </w:p>
        </w:tc>
        <w:tc>
          <w:tcPr>
            <w:tcW w:w="2527" w:type="dxa"/>
            <w:gridSpan w:val="2"/>
            <w:noWrap/>
            <w:tcMar>
              <w:left w:w="108" w:type="dxa"/>
              <w:right w:w="108" w:type="dxa"/>
            </w:tcMar>
            <w:vAlign w:val="center"/>
          </w:tcPr>
          <w:p w14:paraId="48877273">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w:t>
            </w:r>
          </w:p>
        </w:tc>
      </w:tr>
      <w:tr w14:paraId="2122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9100" w:type="dxa"/>
            <w:gridSpan w:val="8"/>
            <w:noWrap/>
            <w:tcMar>
              <w:left w:w="108" w:type="dxa"/>
              <w:right w:w="108" w:type="dxa"/>
            </w:tcMar>
            <w:vAlign w:val="center"/>
          </w:tcPr>
          <w:p w14:paraId="6DA9AB70">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递交的证明材料原件如下：</w:t>
            </w:r>
          </w:p>
        </w:tc>
      </w:tr>
      <w:tr w14:paraId="5029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4E7DFD2B">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序号</w:t>
            </w:r>
          </w:p>
        </w:tc>
        <w:tc>
          <w:tcPr>
            <w:tcW w:w="5120" w:type="dxa"/>
            <w:gridSpan w:val="4"/>
            <w:noWrap/>
            <w:tcMar>
              <w:left w:w="108" w:type="dxa"/>
              <w:right w:w="108" w:type="dxa"/>
            </w:tcMar>
            <w:vAlign w:val="center"/>
          </w:tcPr>
          <w:p w14:paraId="52664A43">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证明材料原件名称</w:t>
            </w:r>
          </w:p>
        </w:tc>
        <w:tc>
          <w:tcPr>
            <w:tcW w:w="1710" w:type="dxa"/>
            <w:gridSpan w:val="2"/>
            <w:noWrap/>
            <w:tcMar>
              <w:left w:w="108" w:type="dxa"/>
              <w:right w:w="108" w:type="dxa"/>
            </w:tcMar>
            <w:vAlign w:val="center"/>
          </w:tcPr>
          <w:p w14:paraId="393BDEE8">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单位</w:t>
            </w:r>
          </w:p>
        </w:tc>
        <w:tc>
          <w:tcPr>
            <w:tcW w:w="1570" w:type="dxa"/>
            <w:noWrap/>
            <w:tcMar>
              <w:left w:w="108" w:type="dxa"/>
              <w:right w:w="108" w:type="dxa"/>
            </w:tcMar>
            <w:vAlign w:val="center"/>
          </w:tcPr>
          <w:p w14:paraId="48E339B4">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数量</w:t>
            </w:r>
          </w:p>
        </w:tc>
      </w:tr>
      <w:tr w14:paraId="3534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67756D69">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w:t>
            </w:r>
          </w:p>
        </w:tc>
        <w:tc>
          <w:tcPr>
            <w:tcW w:w="5120" w:type="dxa"/>
            <w:gridSpan w:val="4"/>
            <w:noWrap/>
            <w:tcMar>
              <w:left w:w="108" w:type="dxa"/>
              <w:right w:w="108" w:type="dxa"/>
            </w:tcMar>
            <w:vAlign w:val="center"/>
          </w:tcPr>
          <w:p w14:paraId="1EF33C06">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710" w:type="dxa"/>
            <w:gridSpan w:val="2"/>
            <w:noWrap/>
            <w:tcMar>
              <w:left w:w="108" w:type="dxa"/>
              <w:right w:w="108" w:type="dxa"/>
            </w:tcMar>
            <w:vAlign w:val="center"/>
          </w:tcPr>
          <w:p w14:paraId="745274B7">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570" w:type="dxa"/>
            <w:noWrap/>
            <w:tcMar>
              <w:left w:w="108" w:type="dxa"/>
              <w:right w:w="108" w:type="dxa"/>
            </w:tcMar>
            <w:vAlign w:val="center"/>
          </w:tcPr>
          <w:p w14:paraId="1A5475B6">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w:t>
            </w:r>
          </w:p>
        </w:tc>
      </w:tr>
      <w:tr w14:paraId="45C6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3B9A5082">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w:t>
            </w:r>
          </w:p>
        </w:tc>
        <w:tc>
          <w:tcPr>
            <w:tcW w:w="5120" w:type="dxa"/>
            <w:gridSpan w:val="4"/>
            <w:noWrap/>
            <w:tcMar>
              <w:left w:w="108" w:type="dxa"/>
              <w:right w:w="108" w:type="dxa"/>
            </w:tcMar>
            <w:vAlign w:val="center"/>
          </w:tcPr>
          <w:p w14:paraId="2A0F67EA">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710" w:type="dxa"/>
            <w:gridSpan w:val="2"/>
            <w:noWrap/>
            <w:tcMar>
              <w:left w:w="108" w:type="dxa"/>
              <w:right w:w="108" w:type="dxa"/>
            </w:tcMar>
            <w:vAlign w:val="center"/>
          </w:tcPr>
          <w:p w14:paraId="2C1249EF">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570" w:type="dxa"/>
            <w:noWrap/>
            <w:tcMar>
              <w:left w:w="108" w:type="dxa"/>
              <w:right w:w="108" w:type="dxa"/>
            </w:tcMar>
            <w:vAlign w:val="center"/>
          </w:tcPr>
          <w:p w14:paraId="54AB2C11">
            <w:pPr>
              <w:jc w:val="center"/>
              <w:rPr>
                <w:rFonts w:asciiTheme="minorEastAsia" w:hAnsiTheme="minorEastAsia" w:eastAsiaTheme="minorEastAsia" w:cstheme="minorEastAsia"/>
                <w:color w:val="000000" w:themeColor="text1"/>
                <w:szCs w:val="24"/>
                <w14:textFill>
                  <w14:solidFill>
                    <w14:schemeClr w14:val="tx1"/>
                  </w14:solidFill>
                </w14:textFill>
              </w:rPr>
            </w:pPr>
          </w:p>
        </w:tc>
      </w:tr>
      <w:tr w14:paraId="2EB2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670FA099">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w:t>
            </w:r>
          </w:p>
        </w:tc>
        <w:tc>
          <w:tcPr>
            <w:tcW w:w="5120" w:type="dxa"/>
            <w:gridSpan w:val="4"/>
            <w:noWrap/>
            <w:tcMar>
              <w:left w:w="108" w:type="dxa"/>
              <w:right w:w="108" w:type="dxa"/>
            </w:tcMar>
            <w:vAlign w:val="center"/>
          </w:tcPr>
          <w:p w14:paraId="5D90F030">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710" w:type="dxa"/>
            <w:gridSpan w:val="2"/>
            <w:noWrap/>
            <w:tcMar>
              <w:left w:w="108" w:type="dxa"/>
              <w:right w:w="108" w:type="dxa"/>
            </w:tcMar>
            <w:vAlign w:val="center"/>
          </w:tcPr>
          <w:p w14:paraId="1C5B3CC7">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570" w:type="dxa"/>
            <w:noWrap/>
            <w:tcMar>
              <w:left w:w="108" w:type="dxa"/>
              <w:right w:w="108" w:type="dxa"/>
            </w:tcMar>
            <w:vAlign w:val="center"/>
          </w:tcPr>
          <w:p w14:paraId="733761E0">
            <w:pPr>
              <w:jc w:val="center"/>
              <w:rPr>
                <w:rFonts w:asciiTheme="minorEastAsia" w:hAnsiTheme="minorEastAsia" w:eastAsiaTheme="minorEastAsia" w:cstheme="minorEastAsia"/>
                <w:color w:val="000000" w:themeColor="text1"/>
                <w:szCs w:val="24"/>
                <w14:textFill>
                  <w14:solidFill>
                    <w14:schemeClr w14:val="tx1"/>
                  </w14:solidFill>
                </w14:textFill>
              </w:rPr>
            </w:pPr>
          </w:p>
        </w:tc>
      </w:tr>
      <w:tr w14:paraId="3B11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1BC0201F">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w:t>
            </w:r>
          </w:p>
        </w:tc>
        <w:tc>
          <w:tcPr>
            <w:tcW w:w="5120" w:type="dxa"/>
            <w:gridSpan w:val="4"/>
            <w:noWrap/>
            <w:tcMar>
              <w:left w:w="108" w:type="dxa"/>
              <w:right w:w="108" w:type="dxa"/>
            </w:tcMar>
            <w:vAlign w:val="center"/>
          </w:tcPr>
          <w:p w14:paraId="349CF7EA">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710" w:type="dxa"/>
            <w:gridSpan w:val="2"/>
            <w:noWrap/>
            <w:tcMar>
              <w:left w:w="108" w:type="dxa"/>
              <w:right w:w="108" w:type="dxa"/>
            </w:tcMar>
            <w:vAlign w:val="center"/>
          </w:tcPr>
          <w:p w14:paraId="04DF9DC2">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570" w:type="dxa"/>
            <w:noWrap/>
            <w:tcMar>
              <w:left w:w="108" w:type="dxa"/>
              <w:right w:w="108" w:type="dxa"/>
            </w:tcMar>
            <w:vAlign w:val="center"/>
          </w:tcPr>
          <w:p w14:paraId="11B3D579">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w:t>
            </w:r>
          </w:p>
        </w:tc>
      </w:tr>
      <w:tr w14:paraId="658D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28" w:hRule="atLeast"/>
        </w:trPr>
        <w:tc>
          <w:tcPr>
            <w:tcW w:w="700" w:type="dxa"/>
            <w:noWrap/>
            <w:tcMar>
              <w:left w:w="108" w:type="dxa"/>
              <w:right w:w="108" w:type="dxa"/>
            </w:tcMar>
            <w:vAlign w:val="center"/>
          </w:tcPr>
          <w:p w14:paraId="21C62AF1">
            <w:pPr>
              <w:ind w:left="8" w:hanging="94"/>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注意：</w:t>
            </w:r>
          </w:p>
        </w:tc>
        <w:tc>
          <w:tcPr>
            <w:tcW w:w="8400" w:type="dxa"/>
            <w:gridSpan w:val="7"/>
            <w:noWrap/>
            <w:tcMar>
              <w:left w:w="108" w:type="dxa"/>
              <w:right w:w="108" w:type="dxa"/>
            </w:tcMar>
            <w:vAlign w:val="center"/>
          </w:tcPr>
          <w:p w14:paraId="4A6A2802">
            <w:pPr>
              <w:ind w:firstLine="48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4F9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5" w:hRule="atLeast"/>
        </w:trPr>
        <w:tc>
          <w:tcPr>
            <w:tcW w:w="2205" w:type="dxa"/>
            <w:gridSpan w:val="2"/>
            <w:noWrap/>
            <w:tcMar>
              <w:left w:w="108" w:type="dxa"/>
              <w:right w:w="108" w:type="dxa"/>
            </w:tcMar>
            <w:vAlign w:val="center"/>
          </w:tcPr>
          <w:p w14:paraId="056679C2">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接收原件经办人（招标代理）：</w:t>
            </w:r>
          </w:p>
        </w:tc>
        <w:tc>
          <w:tcPr>
            <w:tcW w:w="1992" w:type="dxa"/>
            <w:gridSpan w:val="2"/>
            <w:noWrap/>
            <w:tcMar>
              <w:left w:w="108" w:type="dxa"/>
              <w:right w:w="108" w:type="dxa"/>
            </w:tcMar>
            <w:vAlign w:val="center"/>
          </w:tcPr>
          <w:p w14:paraId="4759CB83">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623" w:type="dxa"/>
            <w:noWrap/>
            <w:tcMar>
              <w:left w:w="108" w:type="dxa"/>
              <w:right w:w="108" w:type="dxa"/>
            </w:tcMar>
            <w:vAlign w:val="center"/>
          </w:tcPr>
          <w:p w14:paraId="5AE137BB">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接收时间：</w:t>
            </w:r>
          </w:p>
        </w:tc>
        <w:tc>
          <w:tcPr>
            <w:tcW w:w="3280" w:type="dxa"/>
            <w:gridSpan w:val="3"/>
            <w:noWrap/>
            <w:tcMar>
              <w:left w:w="108" w:type="dxa"/>
              <w:right w:w="108" w:type="dxa"/>
            </w:tcMar>
            <w:vAlign w:val="center"/>
          </w:tcPr>
          <w:p w14:paraId="0D23E44B">
            <w:pPr>
              <w:ind w:firstLine="720" w:firstLineChars="300"/>
              <w:jc w:val="left"/>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年   月   日   时  分</w:t>
            </w:r>
          </w:p>
        </w:tc>
      </w:tr>
      <w:tr w14:paraId="0484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9" w:hRule="atLeast"/>
        </w:trPr>
        <w:tc>
          <w:tcPr>
            <w:tcW w:w="2205" w:type="dxa"/>
            <w:gridSpan w:val="2"/>
            <w:noWrap/>
            <w:tcMar>
              <w:left w:w="108" w:type="dxa"/>
              <w:right w:w="108" w:type="dxa"/>
            </w:tcMar>
            <w:vAlign w:val="center"/>
          </w:tcPr>
          <w:p w14:paraId="6C280872">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退还原件接收人（投标人）：</w:t>
            </w:r>
          </w:p>
        </w:tc>
        <w:tc>
          <w:tcPr>
            <w:tcW w:w="1992" w:type="dxa"/>
            <w:gridSpan w:val="2"/>
            <w:noWrap/>
            <w:tcMar>
              <w:left w:w="108" w:type="dxa"/>
              <w:right w:w="108" w:type="dxa"/>
            </w:tcMar>
            <w:vAlign w:val="center"/>
          </w:tcPr>
          <w:p w14:paraId="56D8FB38">
            <w:pPr>
              <w:jc w:val="center"/>
              <w:rPr>
                <w:rFonts w:asciiTheme="minorEastAsia" w:hAnsiTheme="minorEastAsia" w:eastAsiaTheme="minorEastAsia" w:cstheme="minorEastAsia"/>
                <w:color w:val="000000" w:themeColor="text1"/>
                <w:szCs w:val="24"/>
                <w14:textFill>
                  <w14:solidFill>
                    <w14:schemeClr w14:val="tx1"/>
                  </w14:solidFill>
                </w14:textFill>
              </w:rPr>
            </w:pPr>
          </w:p>
        </w:tc>
        <w:tc>
          <w:tcPr>
            <w:tcW w:w="1623" w:type="dxa"/>
            <w:noWrap/>
            <w:tcMar>
              <w:left w:w="108" w:type="dxa"/>
              <w:right w:w="108" w:type="dxa"/>
            </w:tcMar>
            <w:vAlign w:val="center"/>
          </w:tcPr>
          <w:p w14:paraId="5D2A6C48">
            <w:pPr>
              <w:jc w:val="center"/>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退还时间：</w:t>
            </w:r>
          </w:p>
        </w:tc>
        <w:tc>
          <w:tcPr>
            <w:tcW w:w="3280" w:type="dxa"/>
            <w:gridSpan w:val="3"/>
            <w:noWrap/>
            <w:tcMar>
              <w:left w:w="108" w:type="dxa"/>
              <w:right w:w="108" w:type="dxa"/>
            </w:tcMar>
            <w:vAlign w:val="center"/>
          </w:tcPr>
          <w:p w14:paraId="3F88F74C">
            <w:pPr>
              <w:ind w:firstLine="720" w:firstLineChars="300"/>
              <w:jc w:val="left"/>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年   月   日   时   分</w:t>
            </w:r>
          </w:p>
        </w:tc>
      </w:tr>
    </w:tbl>
    <w:p w14:paraId="57775315">
      <w:pPr>
        <w:snapToGrid w:val="0"/>
        <w:spacing w:line="440" w:lineRule="exact"/>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b/>
          <w:snapToGrid w:val="0"/>
          <w:color w:val="000000" w:themeColor="text1"/>
          <w14:textFill>
            <w14:solidFill>
              <w14:schemeClr w14:val="tx1"/>
            </w14:solidFill>
          </w14:textFill>
        </w:rPr>
        <w:br w:type="page"/>
      </w:r>
    </w:p>
    <w:p w14:paraId="17BB42A5">
      <w:pPr>
        <w:pStyle w:val="2"/>
        <w:jc w:val="center"/>
        <w:rPr>
          <w:rFonts w:asciiTheme="minorEastAsia" w:hAnsiTheme="minorEastAsia" w:eastAsiaTheme="minorEastAsia" w:cstheme="minorEastAsia"/>
          <w:b/>
          <w:color w:val="000000" w:themeColor="text1"/>
          <w:kern w:val="44"/>
          <w:szCs w:val="30"/>
          <w14:textFill>
            <w14:solidFill>
              <w14:schemeClr w14:val="tx1"/>
            </w14:solidFill>
          </w14:textFill>
        </w:rPr>
      </w:pPr>
      <w:bookmarkStart w:id="603" w:name="_Toc6918"/>
      <w:bookmarkStart w:id="604" w:name="_Toc23943"/>
      <w:bookmarkStart w:id="605" w:name="_Toc8121"/>
      <w:bookmarkStart w:id="606" w:name="_Toc8821"/>
      <w:bookmarkStart w:id="607" w:name="_Toc26638"/>
      <w:bookmarkStart w:id="608" w:name="_Toc26622"/>
      <w:bookmarkStart w:id="609" w:name="_Toc9816"/>
      <w:bookmarkStart w:id="610" w:name="_Toc23446"/>
      <w:bookmarkStart w:id="611" w:name="_Toc22541"/>
      <w:bookmarkStart w:id="612" w:name="_Toc6049"/>
      <w:r>
        <w:rPr>
          <w:rFonts w:asciiTheme="minorEastAsia" w:hAnsiTheme="minorEastAsia" w:eastAsiaTheme="minorEastAsia" w:cstheme="minorEastAsia"/>
          <w:b/>
          <w:color w:val="000000" w:themeColor="text1"/>
          <w:kern w:val="44"/>
          <w:szCs w:val="30"/>
          <w14:textFill>
            <w14:solidFill>
              <w14:schemeClr w14:val="tx1"/>
            </w14:solidFill>
          </w14:textFill>
        </w:rPr>
        <w:t>第八章  廉政合同、履约保函、预付款保函、支付保函</w:t>
      </w:r>
      <w:bookmarkEnd w:id="603"/>
      <w:bookmarkEnd w:id="604"/>
      <w:bookmarkEnd w:id="605"/>
      <w:bookmarkEnd w:id="606"/>
      <w:bookmarkEnd w:id="607"/>
      <w:bookmarkEnd w:id="608"/>
      <w:bookmarkEnd w:id="609"/>
      <w:bookmarkEnd w:id="610"/>
      <w:bookmarkEnd w:id="611"/>
      <w:bookmarkEnd w:id="612"/>
    </w:p>
    <w:p w14:paraId="05F86AA5">
      <w:pPr>
        <w:rPr>
          <w:rFonts w:asciiTheme="minorEastAsia" w:hAnsiTheme="minorEastAsia" w:eastAsiaTheme="minorEastAsia" w:cstheme="minorEastAsia"/>
          <w:color w:val="000000" w:themeColor="text1"/>
          <w14:textFill>
            <w14:solidFill>
              <w14:schemeClr w14:val="tx1"/>
            </w14:solidFill>
          </w14:textFill>
        </w:rPr>
      </w:pPr>
    </w:p>
    <w:p w14:paraId="261FDFFC">
      <w:pPr>
        <w:pStyle w:val="4"/>
        <w:ind w:left="4511" w:leftChars="174" w:hanging="4093" w:hangingChars="1274"/>
        <w:jc w:val="center"/>
        <w:rPr>
          <w:rFonts w:hint="eastAsia" w:asciiTheme="minorEastAsia" w:hAnsiTheme="minorEastAsia" w:eastAsiaTheme="minorEastAsia" w:cstheme="minorEastAsia"/>
          <w:bCs/>
          <w:color w:val="000000" w:themeColor="text1"/>
          <w:sz w:val="32"/>
          <w:szCs w:val="32"/>
          <w14:textFill>
            <w14:solidFill>
              <w14:schemeClr w14:val="tx1"/>
            </w14:solidFill>
          </w14:textFill>
        </w:rPr>
      </w:pPr>
      <w:bookmarkStart w:id="613" w:name="_Toc25938"/>
      <w:bookmarkStart w:id="614" w:name="_Toc2994"/>
      <w:bookmarkStart w:id="615" w:name="_Toc30503"/>
      <w:bookmarkStart w:id="616" w:name="_Toc10603"/>
      <w:bookmarkStart w:id="617" w:name="_Toc20232"/>
      <w:bookmarkStart w:id="618" w:name="_Toc32046"/>
      <w:bookmarkStart w:id="619" w:name="_Toc5870"/>
      <w:bookmarkStart w:id="620" w:name="_Toc10193"/>
      <w:bookmarkStart w:id="621" w:name="_Toc16029"/>
      <w:bookmarkStart w:id="622" w:name="_Toc5845"/>
      <w:bookmarkStart w:id="623" w:name="_Toc14418"/>
      <w:bookmarkStart w:id="624" w:name="_Toc29713"/>
      <w:r>
        <w:rPr>
          <w:rFonts w:hint="eastAsia" w:asciiTheme="minorEastAsia" w:hAnsiTheme="minorEastAsia" w:eastAsiaTheme="minorEastAsia" w:cstheme="minorEastAsia"/>
          <w:bCs/>
          <w:color w:val="000000" w:themeColor="text1"/>
          <w:sz w:val="32"/>
          <w:szCs w:val="32"/>
          <w14:textFill>
            <w14:solidFill>
              <w14:schemeClr w14:val="tx1"/>
            </w14:solidFill>
          </w14:textFill>
        </w:rPr>
        <w:t>廉政合同</w:t>
      </w:r>
      <w:bookmarkEnd w:id="613"/>
      <w:bookmarkEnd w:id="614"/>
      <w:bookmarkEnd w:id="615"/>
      <w:bookmarkEnd w:id="616"/>
      <w:bookmarkEnd w:id="617"/>
      <w:bookmarkEnd w:id="618"/>
      <w:bookmarkEnd w:id="619"/>
      <w:bookmarkEnd w:id="620"/>
      <w:bookmarkEnd w:id="621"/>
      <w:bookmarkEnd w:id="622"/>
      <w:bookmarkEnd w:id="623"/>
      <w:bookmarkEnd w:id="624"/>
    </w:p>
    <w:p w14:paraId="2FE0882F">
      <w:pPr>
        <w:tabs>
          <w:tab w:val="left" w:pos="9100"/>
        </w:tabs>
        <w:autoSpaceDE w:val="0"/>
        <w:autoSpaceDN w:val="0"/>
        <w:adjustRightInd w:val="0"/>
        <w:spacing w:line="460" w:lineRule="atLeast"/>
        <w:ind w:left="101" w:right="101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招标人：（全称）</w:t>
      </w:r>
      <w:r>
        <w:rPr>
          <w:rFonts w:asciiTheme="minorEastAsia" w:hAnsiTheme="minorEastAsia" w:eastAsiaTheme="minorEastAsia" w:cstheme="minorEastAsia"/>
          <w:color w:val="000000" w:themeColor="text1"/>
          <w:kern w:val="0"/>
          <w:u w:val="single"/>
          <w14:textFill>
            <w14:solidFill>
              <w14:schemeClr w14:val="tx1"/>
            </w14:solidFill>
          </w14:textFill>
        </w:rPr>
        <w:tab/>
      </w:r>
    </w:p>
    <w:p w14:paraId="53D55168">
      <w:pPr>
        <w:tabs>
          <w:tab w:val="left" w:pos="9100"/>
        </w:tabs>
        <w:autoSpaceDE w:val="0"/>
        <w:autoSpaceDN w:val="0"/>
        <w:adjustRightInd w:val="0"/>
        <w:spacing w:line="460" w:lineRule="atLeast"/>
        <w:ind w:left="101" w:right="101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中标人：（全称）</w:t>
      </w:r>
      <w:r>
        <w:rPr>
          <w:rFonts w:asciiTheme="minorEastAsia" w:hAnsiTheme="minorEastAsia" w:eastAsiaTheme="minorEastAsia" w:cstheme="minorEastAsia"/>
          <w:color w:val="000000" w:themeColor="text1"/>
          <w:kern w:val="0"/>
          <w:u w:val="single"/>
          <w14:textFill>
            <w14:solidFill>
              <w14:schemeClr w14:val="tx1"/>
            </w14:solidFill>
          </w14:textFill>
        </w:rPr>
        <w:tab/>
      </w:r>
    </w:p>
    <w:p w14:paraId="39A0F6EC">
      <w:pPr>
        <w:autoSpaceDE w:val="0"/>
        <w:autoSpaceDN w:val="0"/>
        <w:adjustRightInd w:val="0"/>
        <w:spacing w:before="6" w:line="150" w:lineRule="exact"/>
        <w:jc w:val="left"/>
        <w:rPr>
          <w:rFonts w:asciiTheme="minorEastAsia" w:hAnsiTheme="minorEastAsia" w:eastAsiaTheme="minorEastAsia" w:cstheme="minorEastAsia"/>
          <w:color w:val="000000" w:themeColor="text1"/>
          <w:kern w:val="0"/>
          <w:szCs w:val="15"/>
          <w14:textFill>
            <w14:solidFill>
              <w14:schemeClr w14:val="tx1"/>
            </w14:solidFill>
          </w14:textFill>
        </w:rPr>
      </w:pPr>
    </w:p>
    <w:p w14:paraId="6F2D840A">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402F5856">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735CB9E0">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position w:val="-3"/>
          <w14:textFill>
            <w14:solidFill>
              <w14:schemeClr w14:val="tx1"/>
            </w14:solidFill>
          </w14:textFill>
        </w:rPr>
        <w:t>根据国家、省有关廉政建设的规定，为做好合同工程的廉政建设，保证工程质量与施工安</w:t>
      </w:r>
      <w:r>
        <w:rPr>
          <w:rFonts w:asciiTheme="minorEastAsia" w:hAnsiTheme="minorEastAsia" w:eastAsiaTheme="minorEastAsia" w:cstheme="minorEastAsia"/>
          <w:color w:val="000000" w:themeColor="text1"/>
          <w:kern w:val="0"/>
          <w14:textFill>
            <w14:solidFill>
              <w14:schemeClr w14:val="tx1"/>
            </w14:solidFill>
          </w14:textFill>
        </w:rPr>
        <w:t>全，提高建设资金的有效使用和投资效益，合同双方当事人就加强合同工程的廉政建设，订立本合同。</w:t>
      </w:r>
    </w:p>
    <w:p w14:paraId="4753B006">
      <w:pPr>
        <w:autoSpaceDE w:val="0"/>
        <w:autoSpaceDN w:val="0"/>
        <w:adjustRightInd w:val="0"/>
        <w:spacing w:line="360" w:lineRule="auto"/>
        <w:ind w:firstLine="482" w:firstLineChars="200"/>
        <w:jc w:val="left"/>
        <w:rPr>
          <w:rFonts w:asciiTheme="minorEastAsia" w:hAnsiTheme="minorEastAsia" w:eastAsiaTheme="minorEastAsia" w:cstheme="minorEastAsia"/>
          <w:b/>
          <w:bCs/>
          <w:color w:val="000000" w:themeColor="text1"/>
          <w:spacing w:val="1"/>
          <w:kern w:val="0"/>
          <w:szCs w:val="28"/>
          <w14:textFill>
            <w14:solidFill>
              <w14:schemeClr w14:val="tx1"/>
            </w14:solidFill>
          </w14:textFill>
        </w:rPr>
      </w:pPr>
      <w:r>
        <w:rPr>
          <w:rFonts w:asciiTheme="minorEastAsia" w:hAnsiTheme="minorEastAsia" w:eastAsiaTheme="minorEastAsia" w:cstheme="minorEastAsia"/>
          <w:b/>
          <w:bCs/>
          <w:color w:val="000000" w:themeColor="text1"/>
          <w:kern w:val="0"/>
          <w:szCs w:val="28"/>
          <w14:textFill>
            <w14:solidFill>
              <w14:schemeClr w14:val="tx1"/>
            </w14:solidFill>
          </w14:textFill>
        </w:rPr>
        <w:t>1</w:t>
      </w:r>
      <w:r>
        <w:rPr>
          <w:rFonts w:asciiTheme="minorEastAsia" w:hAnsiTheme="minorEastAsia" w:eastAsiaTheme="minorEastAsia" w:cstheme="minorEastAsia"/>
          <w:b/>
          <w:bCs/>
          <w:color w:val="000000" w:themeColor="text1"/>
          <w:kern w:val="0"/>
          <w:szCs w:val="28"/>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14:textFill>
            <w14:solidFill>
              <w14:schemeClr w14:val="tx1"/>
            </w14:solidFill>
          </w14:textFill>
        </w:rPr>
        <w:t>双方权利和义务</w:t>
      </w:r>
    </w:p>
    <w:p w14:paraId="7094B483">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1.1</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严格遵守国家、省有关法律法规的规定。</w:t>
      </w:r>
    </w:p>
    <w:p w14:paraId="13DDF9BB">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1.2</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严格执行合同工程一切合同文件，自觉按合同办事。</w:t>
      </w:r>
    </w:p>
    <w:p w14:paraId="45C24364">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1.3</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合同双方当事人的业务活动应坚持公平</w:t>
      </w:r>
      <w:r>
        <w:rPr>
          <w:rFonts w:asciiTheme="minorEastAsia" w:hAnsiTheme="minorEastAsia" w:eastAsiaTheme="minorEastAsia" w:cstheme="minorEastAsia"/>
          <w:color w:val="000000" w:themeColor="text1"/>
          <w:spacing w:val="-12"/>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公开</w:t>
      </w:r>
      <w:r>
        <w:rPr>
          <w:rFonts w:asciiTheme="minorEastAsia" w:hAnsiTheme="minorEastAsia" w:eastAsiaTheme="minorEastAsia" w:cstheme="minorEastAsia"/>
          <w:color w:val="000000" w:themeColor="text1"/>
          <w:spacing w:val="-12"/>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公正和诚信的原</w:t>
      </w:r>
      <w:r>
        <w:rPr>
          <w:rFonts w:asciiTheme="minorEastAsia" w:hAnsiTheme="minorEastAsia" w:eastAsiaTheme="minorEastAsia" w:cstheme="minorEastAsia"/>
          <w:color w:val="000000" w:themeColor="text1"/>
          <w:spacing w:val="-12"/>
          <w:kern w:val="0"/>
          <w14:textFill>
            <w14:solidFill>
              <w14:schemeClr w14:val="tx1"/>
            </w14:solidFill>
          </w14:textFill>
        </w:rPr>
        <w:t>则</w:t>
      </w:r>
      <w:r>
        <w:rPr>
          <w:rFonts w:asciiTheme="minorEastAsia" w:hAnsiTheme="minorEastAsia" w:eastAsiaTheme="minorEastAsia" w:cstheme="minorEastAsia"/>
          <w:color w:val="000000" w:themeColor="text1"/>
          <w:kern w:val="0"/>
          <w14:textFill>
            <w14:solidFill>
              <w14:schemeClr w14:val="tx1"/>
            </w14:solidFill>
          </w14:textFill>
        </w:rPr>
        <w:t>（法律认定的商业 秘密和合同文件另有规定除外</w:t>
      </w:r>
      <w:r>
        <w:rPr>
          <w:rFonts w:asciiTheme="minorEastAsia" w:hAnsiTheme="minorEastAsia" w:eastAsiaTheme="minorEastAsia" w:cstheme="minorEastAsia"/>
          <w:color w:val="000000" w:themeColor="text1"/>
          <w:spacing w:val="-120"/>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，不得损害国家和集体利益，不得违反工程建设管理规章制度。</w:t>
      </w:r>
    </w:p>
    <w:p w14:paraId="48A01F9B">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1.4</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建立健全廉政制度</w:t>
      </w:r>
      <w:r>
        <w:rPr>
          <w:rFonts w:asciiTheme="minorEastAsia" w:hAnsiTheme="minorEastAsia" w:eastAsiaTheme="minorEastAsia" w:cstheme="minorEastAsia"/>
          <w:color w:val="000000" w:themeColor="text1"/>
          <w:spacing w:val="-10"/>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开展廉政教育</w:t>
      </w:r>
      <w:r>
        <w:rPr>
          <w:rFonts w:asciiTheme="minorEastAsia" w:hAnsiTheme="minorEastAsia" w:eastAsiaTheme="minorEastAsia" w:cstheme="minorEastAsia"/>
          <w:color w:val="000000" w:themeColor="text1"/>
          <w:spacing w:val="-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设立廉政告示牌</w:t>
      </w:r>
      <w:r>
        <w:rPr>
          <w:rFonts w:asciiTheme="minorEastAsia" w:hAnsiTheme="minorEastAsia" w:eastAsiaTheme="minorEastAsia" w:cstheme="minorEastAsia"/>
          <w:color w:val="000000" w:themeColor="text1"/>
          <w:spacing w:val="-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公布举报电话</w:t>
      </w:r>
      <w:r>
        <w:rPr>
          <w:rFonts w:asciiTheme="minorEastAsia" w:hAnsiTheme="minorEastAsia" w:eastAsiaTheme="minorEastAsia" w:cstheme="minorEastAsia"/>
          <w:color w:val="000000" w:themeColor="text1"/>
          <w:spacing w:val="-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监督并认真查 处违法违纪行为。</w:t>
      </w:r>
    </w:p>
    <w:p w14:paraId="41E953B3">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1.5</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发现对方在业务活动中有违反廉政建设规定的行为，应及时给予提醒和纠正。</w:t>
      </w:r>
    </w:p>
    <w:p w14:paraId="2F3CE46D">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1.6</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发现对方严重违反合同的行为</w:t>
      </w:r>
      <w:r>
        <w:rPr>
          <w:rFonts w:asciiTheme="minorEastAsia" w:hAnsiTheme="minorEastAsia" w:eastAsiaTheme="minorEastAsia" w:cstheme="minorEastAsia"/>
          <w:color w:val="000000" w:themeColor="text1"/>
          <w:spacing w:val="-1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有向其上级部门举报</w:t>
      </w:r>
      <w:r>
        <w:rPr>
          <w:rFonts w:asciiTheme="minorEastAsia" w:hAnsiTheme="minorEastAsia" w:eastAsiaTheme="minorEastAsia" w:cstheme="minorEastAsia"/>
          <w:color w:val="000000" w:themeColor="text1"/>
          <w:spacing w:val="-1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建议给予处理并要求告知处理 结果的权利。没有上级部门的，可按本合同第二部分《通用条款》第87 条规定处理。</w:t>
      </w:r>
    </w:p>
    <w:p w14:paraId="4E1400BD">
      <w:pPr>
        <w:autoSpaceDE w:val="0"/>
        <w:autoSpaceDN w:val="0"/>
        <w:adjustRightInd w:val="0"/>
        <w:spacing w:line="360" w:lineRule="auto"/>
        <w:ind w:firstLine="482" w:firstLineChars="200"/>
        <w:jc w:val="left"/>
        <w:rPr>
          <w:rFonts w:asciiTheme="minorEastAsia" w:hAnsiTheme="minorEastAsia" w:eastAsiaTheme="minorEastAsia" w:cstheme="minorEastAsia"/>
          <w:b/>
          <w:bCs/>
          <w:color w:val="000000" w:themeColor="text1"/>
          <w:spacing w:val="1"/>
          <w:kern w:val="0"/>
          <w:szCs w:val="28"/>
          <w14:textFill>
            <w14:solidFill>
              <w14:schemeClr w14:val="tx1"/>
            </w14:solidFill>
          </w14:textFill>
        </w:rPr>
      </w:pPr>
      <w:r>
        <w:rPr>
          <w:rFonts w:asciiTheme="minorEastAsia" w:hAnsiTheme="minorEastAsia" w:eastAsiaTheme="minorEastAsia" w:cstheme="minorEastAsia"/>
          <w:b/>
          <w:bCs/>
          <w:color w:val="000000" w:themeColor="text1"/>
          <w:kern w:val="0"/>
          <w:szCs w:val="28"/>
          <w14:textFill>
            <w14:solidFill>
              <w14:schemeClr w14:val="tx1"/>
            </w14:solidFill>
          </w14:textFill>
        </w:rPr>
        <w:t>2</w:t>
      </w:r>
      <w:r>
        <w:rPr>
          <w:rFonts w:asciiTheme="minorEastAsia" w:hAnsiTheme="minorEastAsia" w:eastAsiaTheme="minorEastAsia" w:cstheme="minorEastAsia"/>
          <w:b/>
          <w:bCs/>
          <w:color w:val="000000" w:themeColor="text1"/>
          <w:kern w:val="0"/>
          <w:szCs w:val="28"/>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14:textFill>
            <w14:solidFill>
              <w14:schemeClr w14:val="tx1"/>
            </w14:solidFill>
          </w14:textFill>
        </w:rPr>
        <w:t>招标人义务</w:t>
      </w:r>
    </w:p>
    <w:p w14:paraId="706D3603">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2.1</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招标人及其工作人员不得索取或接受中标人的礼金</w:t>
      </w:r>
      <w:r>
        <w:rPr>
          <w:rFonts w:asciiTheme="minorEastAsia" w:hAnsiTheme="minorEastAsia" w:eastAsiaTheme="minorEastAsia" w:cstheme="minorEastAsia"/>
          <w:color w:val="000000" w:themeColor="text1"/>
          <w:spacing w:val="-1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有价证券和贵重物品</w:t>
      </w:r>
      <w:r>
        <w:rPr>
          <w:rFonts w:asciiTheme="minorEastAsia" w:hAnsiTheme="minorEastAsia" w:eastAsiaTheme="minorEastAsia" w:cstheme="minorEastAsia"/>
          <w:color w:val="000000" w:themeColor="text1"/>
          <w:spacing w:val="-1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不得在承 包人报销任何应由招标人或其工作人员个人支付的费用。</w:t>
      </w:r>
    </w:p>
    <w:p w14:paraId="28BE0BC0">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2.2</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招标人及其工作人员不得参加中标人安排的宴</w:t>
      </w:r>
      <w:r>
        <w:rPr>
          <w:rFonts w:asciiTheme="minorEastAsia" w:hAnsiTheme="minorEastAsia" w:eastAsiaTheme="minorEastAsia" w:cstheme="minorEastAsia"/>
          <w:color w:val="000000" w:themeColor="text1"/>
          <w:spacing w:val="-12"/>
          <w:kern w:val="0"/>
          <w14:textFill>
            <w14:solidFill>
              <w14:schemeClr w14:val="tx1"/>
            </w14:solidFill>
          </w14:textFill>
        </w:rPr>
        <w:t>请</w:t>
      </w:r>
      <w:r>
        <w:rPr>
          <w:rFonts w:asciiTheme="minorEastAsia" w:hAnsiTheme="minorEastAsia" w:eastAsiaTheme="minorEastAsia" w:cstheme="minorEastAsia"/>
          <w:color w:val="000000" w:themeColor="text1"/>
          <w:kern w:val="0"/>
          <w14:textFill>
            <w14:solidFill>
              <w14:schemeClr w14:val="tx1"/>
            </w14:solidFill>
          </w14:textFill>
        </w:rPr>
        <w:t>（工作餐除外</w:t>
      </w:r>
      <w:r>
        <w:rPr>
          <w:rFonts w:asciiTheme="minorEastAsia" w:hAnsiTheme="minorEastAsia" w:eastAsiaTheme="minorEastAsia" w:cstheme="minorEastAsia"/>
          <w:color w:val="000000" w:themeColor="text1"/>
          <w:spacing w:val="-12"/>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和娱乐活动</w:t>
      </w:r>
      <w:r>
        <w:rPr>
          <w:rFonts w:asciiTheme="minorEastAsia" w:hAnsiTheme="minorEastAsia" w:eastAsiaTheme="minorEastAsia" w:cstheme="minorEastAsia"/>
          <w:color w:val="000000" w:themeColor="text1"/>
          <w:spacing w:val="-12"/>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不得接受中标人提供的通讯、交通工具和高档办公用品等物品。</w:t>
      </w:r>
    </w:p>
    <w:p w14:paraId="1DD58591">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position w:val="-2"/>
          <w14:textFill>
            <w14:solidFill>
              <w14:schemeClr w14:val="tx1"/>
            </w14:solidFill>
          </w14:textFill>
        </w:rPr>
        <w:t>2.3</w:t>
      </w:r>
      <w:r>
        <w:rPr>
          <w:rFonts w:asciiTheme="minorEastAsia" w:hAnsiTheme="minorEastAsia" w:eastAsiaTheme="minorEastAsia" w:cstheme="minorEastAsia"/>
          <w:color w:val="000000" w:themeColor="text1"/>
          <w:kern w:val="0"/>
          <w:position w:val="-2"/>
          <w14:textFill>
            <w14:solidFill>
              <w14:schemeClr w14:val="tx1"/>
            </w14:solidFill>
          </w14:textFill>
        </w:rPr>
        <w:tab/>
      </w:r>
      <w:r>
        <w:rPr>
          <w:rFonts w:asciiTheme="minorEastAsia" w:hAnsiTheme="minorEastAsia" w:eastAsiaTheme="minorEastAsia" w:cstheme="minorEastAsia"/>
          <w:color w:val="000000" w:themeColor="text1"/>
          <w:kern w:val="0"/>
          <w:position w:val="-2"/>
          <w14:textFill>
            <w14:solidFill>
              <w14:schemeClr w14:val="tx1"/>
            </w14:solidFill>
          </w14:textFill>
        </w:rPr>
        <w:t>招标人及其工作人员不得要求或者接受中标人为其住房装修</w:t>
      </w:r>
      <w:r>
        <w:rPr>
          <w:rFonts w:asciiTheme="minorEastAsia" w:hAnsiTheme="minorEastAsia" w:eastAsiaTheme="minorEastAsia" w:cstheme="minorEastAsia"/>
          <w:color w:val="000000" w:themeColor="text1"/>
          <w:spacing w:val="-18"/>
          <w:kern w:val="0"/>
          <w:position w:val="-2"/>
          <w14:textFill>
            <w14:solidFill>
              <w14:schemeClr w14:val="tx1"/>
            </w14:solidFill>
          </w14:textFill>
        </w:rPr>
        <w:t>、</w:t>
      </w:r>
      <w:r>
        <w:rPr>
          <w:rFonts w:asciiTheme="minorEastAsia" w:hAnsiTheme="minorEastAsia" w:eastAsiaTheme="minorEastAsia" w:cstheme="minorEastAsia"/>
          <w:color w:val="000000" w:themeColor="text1"/>
          <w:kern w:val="0"/>
          <w:position w:val="-2"/>
          <w14:textFill>
            <w14:solidFill>
              <w14:schemeClr w14:val="tx1"/>
            </w14:solidFill>
          </w14:textFill>
        </w:rPr>
        <w:t>婚丧嫁娶活动</w:t>
      </w:r>
      <w:r>
        <w:rPr>
          <w:rFonts w:asciiTheme="minorEastAsia" w:hAnsiTheme="minorEastAsia" w:eastAsiaTheme="minorEastAsia" w:cstheme="minorEastAsia"/>
          <w:color w:val="000000" w:themeColor="text1"/>
          <w:spacing w:val="-18"/>
          <w:kern w:val="0"/>
          <w:position w:val="-2"/>
          <w14:textFill>
            <w14:solidFill>
              <w14:schemeClr w14:val="tx1"/>
            </w14:solidFill>
          </w14:textFill>
        </w:rPr>
        <w:t>、</w:t>
      </w:r>
      <w:r>
        <w:rPr>
          <w:rFonts w:asciiTheme="minorEastAsia" w:hAnsiTheme="minorEastAsia" w:eastAsiaTheme="minorEastAsia" w:cstheme="minorEastAsia"/>
          <w:color w:val="000000" w:themeColor="text1"/>
          <w:kern w:val="0"/>
          <w:position w:val="-2"/>
          <w14:textFill>
            <w14:solidFill>
              <w14:schemeClr w14:val="tx1"/>
            </w14:solidFill>
          </w14:textFill>
        </w:rPr>
        <w:t>配偶子</w:t>
      </w:r>
      <w:r>
        <w:rPr>
          <w:rFonts w:asciiTheme="minorEastAsia" w:hAnsiTheme="minorEastAsia" w:eastAsiaTheme="minorEastAsia" w:cstheme="minorEastAsia"/>
          <w:color w:val="000000" w:themeColor="text1"/>
          <w:kern w:val="0"/>
          <w14:textFill>
            <w14:solidFill>
              <w14:schemeClr w14:val="tx1"/>
            </w14:solidFill>
          </w14:textFill>
        </w:rPr>
        <w:t>女工作安排以及出国出境、旅游等提供方便。</w:t>
      </w:r>
    </w:p>
    <w:p w14:paraId="2371C3B9">
      <w:pPr>
        <w:autoSpaceDE w:val="0"/>
        <w:autoSpaceDN w:val="0"/>
        <w:adjustRightInd w:val="0"/>
        <w:spacing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 xml:space="preserve">2.4 </w:t>
      </w:r>
      <w:r>
        <w:rPr>
          <w:rFonts w:asciiTheme="minorEastAsia" w:hAnsiTheme="minorEastAsia" w:eastAsiaTheme="minorEastAsia" w:cstheme="minorEastAsia"/>
          <w:color w:val="000000" w:themeColor="text1"/>
          <w:spacing w:val="2"/>
          <w:kern w:val="0"/>
          <w14:textFill>
            <w14:solidFill>
              <w14:schemeClr w14:val="tx1"/>
            </w14:solidFill>
          </w14:textFill>
        </w:rPr>
        <w:t>招标人及其工作人员不得以任何理由向中标人推荐</w:t>
      </w:r>
      <w:r>
        <w:rPr>
          <w:rFonts w:asciiTheme="minorEastAsia" w:hAnsiTheme="minorEastAsia" w:eastAsiaTheme="minorEastAsia" w:cstheme="minorEastAsia"/>
          <w:color w:val="000000" w:themeColor="text1"/>
          <w:spacing w:val="1"/>
          <w:kern w:val="0"/>
          <w14:textFill>
            <w14:solidFill>
              <w14:schemeClr w14:val="tx1"/>
            </w14:solidFill>
          </w14:textFill>
        </w:rPr>
        <w:t>分</w:t>
      </w:r>
      <w:r>
        <w:rPr>
          <w:rFonts w:asciiTheme="minorEastAsia" w:hAnsiTheme="minorEastAsia" w:eastAsiaTheme="minorEastAsia" w:cstheme="minorEastAsia"/>
          <w:color w:val="000000" w:themeColor="text1"/>
          <w:spacing w:val="2"/>
          <w:kern w:val="0"/>
          <w14:textFill>
            <w14:solidFill>
              <w14:schemeClr w14:val="tx1"/>
            </w14:solidFill>
          </w14:textFill>
        </w:rPr>
        <w:t xml:space="preserve">包人、推销材料和工程设备，不 </w:t>
      </w:r>
      <w:r>
        <w:rPr>
          <w:rFonts w:asciiTheme="minorEastAsia" w:hAnsiTheme="minorEastAsia" w:eastAsiaTheme="minorEastAsia" w:cstheme="minorEastAsia"/>
          <w:color w:val="000000" w:themeColor="text1"/>
          <w:kern w:val="0"/>
          <w14:textFill>
            <w14:solidFill>
              <w14:schemeClr w14:val="tx1"/>
            </w14:solidFill>
          </w14:textFill>
        </w:rPr>
        <w:t>得要求中标人购买合同以外的材料和工程设备。</w:t>
      </w:r>
    </w:p>
    <w:p w14:paraId="5E6E64F3">
      <w:pPr>
        <w:autoSpaceDE w:val="0"/>
        <w:autoSpaceDN w:val="0"/>
        <w:adjustRightInd w:val="0"/>
        <w:spacing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2.5</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招标人及其工作人员要秉公办事</w:t>
      </w:r>
      <w:r>
        <w:rPr>
          <w:rFonts w:asciiTheme="minorEastAsia" w:hAnsiTheme="minorEastAsia" w:eastAsiaTheme="minorEastAsia" w:cstheme="minorEastAsia"/>
          <w:color w:val="000000" w:themeColor="text1"/>
          <w:spacing w:val="-1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不准营私舞弊</w:t>
      </w:r>
      <w:r>
        <w:rPr>
          <w:rFonts w:asciiTheme="minorEastAsia" w:hAnsiTheme="minorEastAsia" w:eastAsiaTheme="minorEastAsia" w:cstheme="minorEastAsia"/>
          <w:color w:val="000000" w:themeColor="text1"/>
          <w:spacing w:val="-1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不准利用职权私自为合同工程安排 施工队伍，也不得从事与合同工程有关的各种有偿中介活动。</w:t>
      </w:r>
    </w:p>
    <w:p w14:paraId="4C23A8D3">
      <w:pPr>
        <w:autoSpaceDE w:val="0"/>
        <w:autoSpaceDN w:val="0"/>
        <w:adjustRightInd w:val="0"/>
        <w:spacing w:before="72"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 xml:space="preserve">2.6 </w:t>
      </w:r>
      <w:r>
        <w:rPr>
          <w:rFonts w:asciiTheme="minorEastAsia" w:hAnsiTheme="minorEastAsia" w:eastAsiaTheme="minorEastAsia" w:cstheme="minorEastAsia"/>
          <w:color w:val="000000" w:themeColor="text1"/>
          <w:spacing w:val="2"/>
          <w:kern w:val="0"/>
          <w14:textFill>
            <w14:solidFill>
              <w14:schemeClr w14:val="tx1"/>
            </w14:solidFill>
          </w14:textFill>
        </w:rPr>
        <w:t>招标人及其工作人员（含其配偶、子女）不得从事</w:t>
      </w:r>
      <w:r>
        <w:rPr>
          <w:rFonts w:asciiTheme="minorEastAsia" w:hAnsiTheme="minorEastAsia" w:eastAsiaTheme="minorEastAsia" w:cstheme="minorEastAsia"/>
          <w:color w:val="000000" w:themeColor="text1"/>
          <w:spacing w:val="1"/>
          <w:kern w:val="0"/>
          <w14:textFill>
            <w14:solidFill>
              <w14:schemeClr w14:val="tx1"/>
            </w14:solidFill>
          </w14:textFill>
        </w:rPr>
        <w:t>与</w:t>
      </w:r>
      <w:r>
        <w:rPr>
          <w:rFonts w:asciiTheme="minorEastAsia" w:hAnsiTheme="minorEastAsia" w:eastAsiaTheme="minorEastAsia" w:cstheme="minorEastAsia"/>
          <w:color w:val="000000" w:themeColor="text1"/>
          <w:spacing w:val="2"/>
          <w:kern w:val="0"/>
          <w14:textFill>
            <w14:solidFill>
              <w14:schemeClr w14:val="tx1"/>
            </w14:solidFill>
          </w14:textFill>
        </w:rPr>
        <w:t xml:space="preserve">合同工程有关的材料和工程设备 </w:t>
      </w:r>
      <w:r>
        <w:rPr>
          <w:rFonts w:asciiTheme="minorEastAsia" w:hAnsiTheme="minorEastAsia" w:eastAsiaTheme="minorEastAsia" w:cstheme="minorEastAsia"/>
          <w:color w:val="000000" w:themeColor="text1"/>
          <w:kern w:val="0"/>
          <w14:textFill>
            <w14:solidFill>
              <w14:schemeClr w14:val="tx1"/>
            </w14:solidFill>
          </w14:textFill>
        </w:rPr>
        <w:t>供应、工程分包、劳务等经济活动。</w:t>
      </w:r>
    </w:p>
    <w:p w14:paraId="0F108BBC">
      <w:pPr>
        <w:autoSpaceDE w:val="0"/>
        <w:autoSpaceDN w:val="0"/>
        <w:adjustRightInd w:val="0"/>
        <w:spacing w:before="72" w:line="360" w:lineRule="auto"/>
        <w:ind w:right="185" w:firstLine="482" w:firstLineChars="200"/>
        <w:jc w:val="left"/>
        <w:rPr>
          <w:rFonts w:asciiTheme="minorEastAsia" w:hAnsiTheme="minorEastAsia" w:eastAsiaTheme="minorEastAsia" w:cstheme="minorEastAsia"/>
          <w:b/>
          <w:bCs/>
          <w:color w:val="000000" w:themeColor="text1"/>
          <w:spacing w:val="1"/>
          <w:kern w:val="0"/>
          <w:szCs w:val="28"/>
          <w14:textFill>
            <w14:solidFill>
              <w14:schemeClr w14:val="tx1"/>
            </w14:solidFill>
          </w14:textFill>
        </w:rPr>
      </w:pPr>
      <w:r>
        <w:rPr>
          <w:rFonts w:asciiTheme="minorEastAsia" w:hAnsiTheme="minorEastAsia" w:eastAsiaTheme="minorEastAsia" w:cstheme="minorEastAsia"/>
          <w:b/>
          <w:bCs/>
          <w:color w:val="000000" w:themeColor="text1"/>
          <w:kern w:val="0"/>
          <w:szCs w:val="28"/>
          <w14:textFill>
            <w14:solidFill>
              <w14:schemeClr w14:val="tx1"/>
            </w14:solidFill>
          </w14:textFill>
        </w:rPr>
        <w:t>3</w:t>
      </w:r>
      <w:r>
        <w:rPr>
          <w:rFonts w:asciiTheme="minorEastAsia" w:hAnsiTheme="minorEastAsia" w:eastAsiaTheme="minorEastAsia" w:cstheme="minorEastAsia"/>
          <w:b/>
          <w:bCs/>
          <w:color w:val="000000" w:themeColor="text1"/>
          <w:kern w:val="0"/>
          <w:szCs w:val="28"/>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14:textFill>
            <w14:solidFill>
              <w14:schemeClr w14:val="tx1"/>
            </w14:solidFill>
          </w14:textFill>
        </w:rPr>
        <w:t>中标人义务</w:t>
      </w:r>
    </w:p>
    <w:p w14:paraId="08CD600D">
      <w:pPr>
        <w:autoSpaceDE w:val="0"/>
        <w:autoSpaceDN w:val="0"/>
        <w:adjustRightInd w:val="0"/>
        <w:spacing w:before="72"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3.1</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中标人不得以任何理由向招标人及其工作人员行贿或馈赠礼金</w:t>
      </w:r>
      <w:r>
        <w:rPr>
          <w:rFonts w:asciiTheme="minorEastAsia" w:hAnsiTheme="minorEastAsia" w:eastAsiaTheme="minorEastAsia" w:cstheme="minorEastAsia"/>
          <w:color w:val="000000" w:themeColor="text1"/>
          <w:spacing w:val="-7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有价证券</w:t>
      </w:r>
      <w:r>
        <w:rPr>
          <w:rFonts w:asciiTheme="minorEastAsia" w:hAnsiTheme="minorEastAsia" w:eastAsiaTheme="minorEastAsia" w:cstheme="minorEastAsia"/>
          <w:color w:val="000000" w:themeColor="text1"/>
          <w:spacing w:val="-7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贵重礼品。</w:t>
      </w:r>
    </w:p>
    <w:p w14:paraId="49EA8167">
      <w:pPr>
        <w:autoSpaceDE w:val="0"/>
        <w:autoSpaceDN w:val="0"/>
        <w:adjustRightInd w:val="0"/>
        <w:spacing w:before="72"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3.2</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spacing w:val="5"/>
          <w:kern w:val="0"/>
          <w14:textFill>
            <w14:solidFill>
              <w14:schemeClr w14:val="tx1"/>
            </w14:solidFill>
          </w14:textFill>
        </w:rPr>
        <w:t>中标人不得以任何名义为招标人及其</w:t>
      </w:r>
      <w:r>
        <w:rPr>
          <w:rFonts w:asciiTheme="minorEastAsia" w:hAnsiTheme="minorEastAsia" w:eastAsiaTheme="minorEastAsia" w:cstheme="minorEastAsia"/>
          <w:color w:val="000000" w:themeColor="text1"/>
          <w:spacing w:val="4"/>
          <w:kern w:val="0"/>
          <w14:textFill>
            <w14:solidFill>
              <w14:schemeClr w14:val="tx1"/>
            </w14:solidFill>
          </w14:textFill>
        </w:rPr>
        <w:t>工</w:t>
      </w:r>
      <w:r>
        <w:rPr>
          <w:rFonts w:asciiTheme="minorEastAsia" w:hAnsiTheme="minorEastAsia" w:eastAsiaTheme="minorEastAsia" w:cstheme="minorEastAsia"/>
          <w:color w:val="000000" w:themeColor="text1"/>
          <w:spacing w:val="6"/>
          <w:kern w:val="0"/>
          <w14:textFill>
            <w14:solidFill>
              <w14:schemeClr w14:val="tx1"/>
            </w14:solidFill>
          </w14:textFill>
        </w:rPr>
        <w:t xml:space="preserve">作人员报销应由招标人或其工作人员个人支 </w:t>
      </w:r>
      <w:r>
        <w:rPr>
          <w:rFonts w:asciiTheme="minorEastAsia" w:hAnsiTheme="minorEastAsia" w:eastAsiaTheme="minorEastAsia" w:cstheme="minorEastAsia"/>
          <w:color w:val="000000" w:themeColor="text1"/>
          <w:kern w:val="0"/>
          <w14:textFill>
            <w14:solidFill>
              <w14:schemeClr w14:val="tx1"/>
            </w14:solidFill>
          </w14:textFill>
        </w:rPr>
        <w:t>付的任何费用。</w:t>
      </w:r>
    </w:p>
    <w:p w14:paraId="44732C7A">
      <w:pPr>
        <w:autoSpaceDE w:val="0"/>
        <w:autoSpaceDN w:val="0"/>
        <w:adjustRightInd w:val="0"/>
        <w:spacing w:before="72"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3.3</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中标人不得以任何理由安排招标人及其工作人员参加宴</w:t>
      </w:r>
      <w:r>
        <w:rPr>
          <w:rFonts w:asciiTheme="minorEastAsia" w:hAnsiTheme="minorEastAsia" w:eastAsiaTheme="minorEastAsia" w:cstheme="minorEastAsia"/>
          <w:color w:val="000000" w:themeColor="text1"/>
          <w:spacing w:val="-78"/>
          <w:kern w:val="0"/>
          <w14:textFill>
            <w14:solidFill>
              <w14:schemeClr w14:val="tx1"/>
            </w14:solidFill>
          </w14:textFill>
        </w:rPr>
        <w:t>请</w:t>
      </w:r>
      <w:r>
        <w:rPr>
          <w:rFonts w:asciiTheme="minorEastAsia" w:hAnsiTheme="minorEastAsia" w:eastAsiaTheme="minorEastAsia" w:cstheme="minorEastAsia"/>
          <w:color w:val="000000" w:themeColor="text1"/>
          <w:kern w:val="0"/>
          <w14:textFill>
            <w14:solidFill>
              <w14:schemeClr w14:val="tx1"/>
            </w14:solidFill>
          </w14:textFill>
        </w:rPr>
        <w:t>（工作餐除外</w:t>
      </w:r>
      <w:r>
        <w:rPr>
          <w:rFonts w:asciiTheme="minorEastAsia" w:hAnsiTheme="minorEastAsia" w:eastAsiaTheme="minorEastAsia" w:cstheme="minorEastAsia"/>
          <w:color w:val="000000" w:themeColor="text1"/>
          <w:spacing w:val="-7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及娱乐活动。</w:t>
      </w:r>
    </w:p>
    <w:p w14:paraId="117E18EB">
      <w:pPr>
        <w:autoSpaceDE w:val="0"/>
        <w:autoSpaceDN w:val="0"/>
        <w:adjustRightInd w:val="0"/>
        <w:spacing w:before="72"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3.4</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中标人不得为招标人和个人购置或提供通讯、交通工具和高档办公用品等物品。</w:t>
      </w:r>
    </w:p>
    <w:p w14:paraId="2D8EA59F">
      <w:pPr>
        <w:autoSpaceDE w:val="0"/>
        <w:autoSpaceDN w:val="0"/>
        <w:adjustRightInd w:val="0"/>
        <w:spacing w:before="72"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3.5</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中标人不得为招标人及其工作人员的住房装修</w:t>
      </w:r>
      <w:r>
        <w:rPr>
          <w:rFonts w:asciiTheme="minorEastAsia" w:hAnsiTheme="minorEastAsia" w:eastAsiaTheme="minorEastAsia" w:cstheme="minorEastAsia"/>
          <w:color w:val="000000" w:themeColor="text1"/>
          <w:spacing w:val="-1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婚丧嫁娶活动</w:t>
      </w:r>
      <w:r>
        <w:rPr>
          <w:rFonts w:asciiTheme="minorEastAsia" w:hAnsiTheme="minorEastAsia" w:eastAsiaTheme="minorEastAsia" w:cstheme="minorEastAsia"/>
          <w:color w:val="000000" w:themeColor="text1"/>
          <w:spacing w:val="-18"/>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配偶子女工作安排以 及出国出境、旅游等提供方便。</w:t>
      </w:r>
    </w:p>
    <w:p w14:paraId="54748BB8">
      <w:pPr>
        <w:autoSpaceDE w:val="0"/>
        <w:autoSpaceDN w:val="0"/>
        <w:adjustRightInd w:val="0"/>
        <w:spacing w:before="72" w:line="360" w:lineRule="auto"/>
        <w:ind w:right="185" w:firstLine="482" w:firstLineChars="200"/>
        <w:jc w:val="left"/>
        <w:rPr>
          <w:rFonts w:asciiTheme="minorEastAsia" w:hAnsiTheme="minorEastAsia" w:eastAsiaTheme="minorEastAsia" w:cstheme="minorEastAsia"/>
          <w:b/>
          <w:bCs/>
          <w:color w:val="000000" w:themeColor="text1"/>
          <w:spacing w:val="1"/>
          <w:kern w:val="0"/>
          <w:szCs w:val="28"/>
          <w14:textFill>
            <w14:solidFill>
              <w14:schemeClr w14:val="tx1"/>
            </w14:solidFill>
          </w14:textFill>
        </w:rPr>
      </w:pPr>
      <w:r>
        <w:rPr>
          <w:rFonts w:asciiTheme="minorEastAsia" w:hAnsiTheme="minorEastAsia" w:eastAsiaTheme="minorEastAsia" w:cstheme="minorEastAsia"/>
          <w:b/>
          <w:bCs/>
          <w:color w:val="000000" w:themeColor="text1"/>
          <w:kern w:val="0"/>
          <w:szCs w:val="28"/>
          <w14:textFill>
            <w14:solidFill>
              <w14:schemeClr w14:val="tx1"/>
            </w14:solidFill>
          </w14:textFill>
        </w:rPr>
        <w:t>4</w:t>
      </w:r>
      <w:r>
        <w:rPr>
          <w:rFonts w:asciiTheme="minorEastAsia" w:hAnsiTheme="minorEastAsia" w:eastAsiaTheme="minorEastAsia" w:cstheme="minorEastAsia"/>
          <w:b/>
          <w:bCs/>
          <w:color w:val="000000" w:themeColor="text1"/>
          <w:kern w:val="0"/>
          <w:szCs w:val="28"/>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14:textFill>
            <w14:solidFill>
              <w14:schemeClr w14:val="tx1"/>
            </w14:solidFill>
          </w14:textFill>
        </w:rPr>
        <w:t>违约责任</w:t>
      </w:r>
    </w:p>
    <w:p w14:paraId="1620EC36">
      <w:pPr>
        <w:autoSpaceDE w:val="0"/>
        <w:autoSpaceDN w:val="0"/>
        <w:adjustRightInd w:val="0"/>
        <w:spacing w:before="72"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4.1</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招标人及其工作人员违反本合同第1 条和第2 条规定</w:t>
      </w:r>
      <w:r>
        <w:rPr>
          <w:rFonts w:asciiTheme="minorEastAsia" w:hAnsiTheme="minorEastAsia" w:eastAsiaTheme="minorEastAsia" w:cstheme="minorEastAsia"/>
          <w:color w:val="000000" w:themeColor="text1"/>
          <w:spacing w:val="-36"/>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应按照廉政建设的有关规定给 予处分；涉嫌犯罪的，移交司法机关追究刑事责任；给中标人造成损失的，应予赔偿。</w:t>
      </w:r>
    </w:p>
    <w:p w14:paraId="08128958">
      <w:pPr>
        <w:autoSpaceDE w:val="0"/>
        <w:autoSpaceDN w:val="0"/>
        <w:adjustRightInd w:val="0"/>
        <w:spacing w:before="72" w:line="360" w:lineRule="auto"/>
        <w:ind w:right="185"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4.2</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中标人及其工作人员违反本合同第1 条和第3 条规定</w:t>
      </w:r>
      <w:r>
        <w:rPr>
          <w:rFonts w:asciiTheme="minorEastAsia" w:hAnsiTheme="minorEastAsia" w:eastAsiaTheme="minorEastAsia" w:cstheme="minorEastAsia"/>
          <w:color w:val="000000" w:themeColor="text1"/>
          <w:spacing w:val="-36"/>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应按照廉政建设的有关规定给 予处分</w:t>
      </w:r>
      <w:r>
        <w:rPr>
          <w:rFonts w:asciiTheme="minorEastAsia" w:hAnsiTheme="minorEastAsia" w:eastAsiaTheme="minorEastAsia" w:cstheme="minorEastAsia"/>
          <w:color w:val="000000" w:themeColor="text1"/>
          <w:spacing w:val="-24"/>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情节严重的</w:t>
      </w:r>
      <w:r>
        <w:rPr>
          <w:rFonts w:asciiTheme="minorEastAsia" w:hAnsiTheme="minorEastAsia" w:eastAsiaTheme="minorEastAsia" w:cstheme="minorEastAsia"/>
          <w:color w:val="000000" w:themeColor="text1"/>
          <w:spacing w:val="-24"/>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给予中标人1～3 年内不得进入工程建设市场的处罚</w:t>
      </w:r>
      <w:r>
        <w:rPr>
          <w:rFonts w:asciiTheme="minorEastAsia" w:hAnsiTheme="minorEastAsia" w:eastAsiaTheme="minorEastAsia" w:cstheme="minorEastAsia"/>
          <w:color w:val="000000" w:themeColor="text1"/>
          <w:spacing w:val="-24"/>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涉嫌犯罪的</w:t>
      </w:r>
      <w:r>
        <w:rPr>
          <w:rFonts w:asciiTheme="minorEastAsia" w:hAnsiTheme="minorEastAsia" w:eastAsiaTheme="minorEastAsia" w:cstheme="minorEastAsia"/>
          <w:color w:val="000000" w:themeColor="text1"/>
          <w:spacing w:val="-24"/>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移交 司法机关追究刑事责任；给招标人造成损失的，应予赔偿；</w:t>
      </w:r>
    </w:p>
    <w:p w14:paraId="4A2BB183">
      <w:pPr>
        <w:autoSpaceDE w:val="0"/>
        <w:autoSpaceDN w:val="0"/>
        <w:adjustRightInd w:val="0"/>
        <w:spacing w:before="16" w:line="360" w:lineRule="auto"/>
        <w:jc w:val="left"/>
        <w:rPr>
          <w:rFonts w:asciiTheme="minorEastAsia" w:hAnsiTheme="minorEastAsia" w:eastAsiaTheme="minorEastAsia" w:cstheme="minorEastAsia"/>
          <w:color w:val="000000" w:themeColor="text1"/>
          <w:kern w:val="0"/>
          <w:szCs w:val="28"/>
          <w14:textFill>
            <w14:solidFill>
              <w14:schemeClr w14:val="tx1"/>
            </w14:solidFill>
          </w14:textFill>
        </w:rPr>
      </w:pPr>
      <w:r>
        <w:rPr>
          <w:rFonts w:asciiTheme="minorEastAsia" w:hAnsiTheme="minorEastAsia" w:eastAsiaTheme="minorEastAsia" w:cstheme="minorEastAsia"/>
          <w:b/>
          <w:bCs/>
          <w:color w:val="000000" w:themeColor="text1"/>
          <w:kern w:val="0"/>
          <w:szCs w:val="28"/>
          <w14:textFill>
            <w14:solidFill>
              <w14:schemeClr w14:val="tx1"/>
            </w14:solidFill>
          </w14:textFill>
        </w:rPr>
        <w:t xml:space="preserve">    5</w:t>
      </w:r>
      <w:r>
        <w:rPr>
          <w:rFonts w:asciiTheme="minorEastAsia" w:hAnsiTheme="minorEastAsia" w:eastAsiaTheme="minorEastAsia" w:cstheme="minorEastAsia"/>
          <w:b/>
          <w:bCs/>
          <w:color w:val="000000" w:themeColor="text1"/>
          <w:spacing w:val="1"/>
          <w:kern w:val="0"/>
          <w:szCs w:val="28"/>
          <w14:textFill>
            <w14:solidFill>
              <w14:schemeClr w14:val="tx1"/>
            </w14:solidFill>
          </w14:textFill>
        </w:rPr>
        <w:t>双方约定</w:t>
      </w:r>
    </w:p>
    <w:p w14:paraId="0945BF71">
      <w:pPr>
        <w:autoSpaceDE w:val="0"/>
        <w:autoSpaceDN w:val="0"/>
        <w:adjustRightInd w:val="0"/>
        <w:spacing w:line="360" w:lineRule="auto"/>
        <w:ind w:right="184" w:firstLine="484"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spacing w:val="1"/>
          <w:kern w:val="0"/>
          <w14:textFill>
            <w14:solidFill>
              <w14:schemeClr w14:val="tx1"/>
            </w14:solidFill>
          </w14:textFill>
        </w:rPr>
        <w:t>本合同由合同双方当事人或其上</w:t>
      </w:r>
      <w:r>
        <w:rPr>
          <w:rFonts w:asciiTheme="minorEastAsia" w:hAnsiTheme="minorEastAsia" w:eastAsiaTheme="minorEastAsia" w:cstheme="minorEastAsia"/>
          <w:color w:val="000000" w:themeColor="text1"/>
          <w:kern w:val="0"/>
          <w14:textFill>
            <w14:solidFill>
              <w14:schemeClr w14:val="tx1"/>
            </w14:solidFill>
          </w14:textFill>
        </w:rPr>
        <w:t>级</w:t>
      </w:r>
      <w:r>
        <w:rPr>
          <w:rFonts w:asciiTheme="minorEastAsia" w:hAnsiTheme="minorEastAsia" w:eastAsiaTheme="minorEastAsia" w:cstheme="minorEastAsia"/>
          <w:color w:val="000000" w:themeColor="text1"/>
          <w:spacing w:val="1"/>
          <w:kern w:val="0"/>
          <w14:textFill>
            <w14:solidFill>
              <w14:schemeClr w14:val="tx1"/>
            </w14:solidFill>
          </w14:textFill>
        </w:rPr>
        <w:t>部门负责监督执行，并由合</w:t>
      </w:r>
      <w:r>
        <w:rPr>
          <w:rFonts w:asciiTheme="minorEastAsia" w:hAnsiTheme="minorEastAsia" w:eastAsiaTheme="minorEastAsia" w:cstheme="minorEastAsia"/>
          <w:color w:val="000000" w:themeColor="text1"/>
          <w:kern w:val="0"/>
          <w14:textFill>
            <w14:solidFill>
              <w14:schemeClr w14:val="tx1"/>
            </w14:solidFill>
          </w14:textFill>
        </w:rPr>
        <w:t>同</w:t>
      </w:r>
      <w:r>
        <w:rPr>
          <w:rFonts w:asciiTheme="minorEastAsia" w:hAnsiTheme="minorEastAsia" w:eastAsiaTheme="minorEastAsia" w:cstheme="minorEastAsia"/>
          <w:color w:val="000000" w:themeColor="text1"/>
          <w:spacing w:val="1"/>
          <w:kern w:val="0"/>
          <w14:textFill>
            <w14:solidFill>
              <w14:schemeClr w14:val="tx1"/>
            </w14:solidFill>
          </w14:textFill>
        </w:rPr>
        <w:t xml:space="preserve">双方当事人或其上级部门 </w:t>
      </w:r>
      <w:r>
        <w:rPr>
          <w:rFonts w:asciiTheme="minorEastAsia" w:hAnsiTheme="minorEastAsia" w:eastAsiaTheme="minorEastAsia" w:cstheme="minorEastAsia"/>
          <w:color w:val="000000" w:themeColor="text1"/>
          <w:kern w:val="0"/>
          <w14:textFill>
            <w14:solidFill>
              <w14:schemeClr w14:val="tx1"/>
            </w14:solidFill>
          </w14:textFill>
        </w:rPr>
        <w:t>相互约请对本合同执行情况进行检查。</w:t>
      </w:r>
    </w:p>
    <w:p w14:paraId="53CE0527">
      <w:pPr>
        <w:autoSpaceDE w:val="0"/>
        <w:autoSpaceDN w:val="0"/>
        <w:adjustRightInd w:val="0"/>
        <w:spacing w:line="360" w:lineRule="auto"/>
        <w:ind w:right="184" w:firstLine="482" w:firstLineChars="200"/>
        <w:jc w:val="left"/>
        <w:rPr>
          <w:rFonts w:asciiTheme="minorEastAsia" w:hAnsiTheme="minorEastAsia" w:eastAsiaTheme="minorEastAsia" w:cstheme="minorEastAsia"/>
          <w:b/>
          <w:bCs/>
          <w:color w:val="000000" w:themeColor="text1"/>
          <w:kern w:val="0"/>
          <w:szCs w:val="28"/>
          <w14:textFill>
            <w14:solidFill>
              <w14:schemeClr w14:val="tx1"/>
            </w14:solidFill>
          </w14:textFill>
        </w:rPr>
      </w:pPr>
      <w:r>
        <w:rPr>
          <w:rFonts w:asciiTheme="minorEastAsia" w:hAnsiTheme="minorEastAsia" w:eastAsiaTheme="minorEastAsia" w:cstheme="minorEastAsia"/>
          <w:b/>
          <w:bCs/>
          <w:color w:val="000000" w:themeColor="text1"/>
          <w:kern w:val="0"/>
          <w:szCs w:val="28"/>
          <w14:textFill>
            <w14:solidFill>
              <w14:schemeClr w14:val="tx1"/>
            </w14:solidFill>
          </w14:textFill>
        </w:rPr>
        <w:t>6</w:t>
      </w:r>
      <w:r>
        <w:rPr>
          <w:rFonts w:asciiTheme="minorEastAsia" w:hAnsiTheme="minorEastAsia" w:eastAsiaTheme="minorEastAsia" w:cstheme="minorEastAsia"/>
          <w:b/>
          <w:bCs/>
          <w:color w:val="000000" w:themeColor="text1"/>
          <w:kern w:val="0"/>
          <w:szCs w:val="28"/>
          <w14:textFill>
            <w14:solidFill>
              <w14:schemeClr w14:val="tx1"/>
            </w14:solidFill>
          </w14:textFill>
        </w:rPr>
        <w:tab/>
      </w:r>
      <w:r>
        <w:rPr>
          <w:rFonts w:asciiTheme="minorEastAsia" w:hAnsiTheme="minorEastAsia" w:eastAsiaTheme="minorEastAsia" w:cstheme="minorEastAsia"/>
          <w:b/>
          <w:bCs/>
          <w:color w:val="000000" w:themeColor="text1"/>
          <w:kern w:val="0"/>
          <w:szCs w:val="28"/>
          <w14:textFill>
            <w14:solidFill>
              <w14:schemeClr w14:val="tx1"/>
            </w14:solidFill>
          </w14:textFill>
        </w:rPr>
        <w:t xml:space="preserve"> 合同法律效力</w:t>
      </w:r>
    </w:p>
    <w:p w14:paraId="21A87E5D">
      <w:pPr>
        <w:autoSpaceDE w:val="0"/>
        <w:autoSpaceDN w:val="0"/>
        <w:adjustRightInd w:val="0"/>
        <w:spacing w:line="360" w:lineRule="auto"/>
        <w:ind w:right="184"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本合同作为</w:t>
      </w:r>
      <w:r>
        <w:rPr>
          <w:rFonts w:asciiTheme="minorEastAsia" w:hAnsiTheme="minorEastAsia" w:eastAsiaTheme="minorEastAsia" w:cstheme="minorEastAsia"/>
          <w:color w:val="000000" w:themeColor="text1"/>
          <w:kern w:val="0"/>
          <w:u w:val="single"/>
          <w14:textFill>
            <w14:solidFill>
              <w14:schemeClr w14:val="tx1"/>
            </w14:solidFill>
          </w14:textFill>
        </w:rPr>
        <w:t xml:space="preserve"> </w:t>
      </w:r>
      <w:r>
        <w:rPr>
          <w:rFonts w:asciiTheme="minorEastAsia" w:hAnsiTheme="minorEastAsia" w:eastAsiaTheme="minorEastAsia" w:cstheme="minorEastAsia"/>
          <w:bCs/>
          <w:color w:val="000000" w:themeColor="text1"/>
          <w:szCs w:val="28"/>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14:textFill>
            <w14:solidFill>
              <w14:schemeClr w14:val="tx1"/>
            </w14:solidFill>
          </w14:textFill>
        </w:rPr>
        <w:t>（工程名称） 工程施工合同的附件，与施工合同具有同等的法律效力。</w:t>
      </w:r>
    </w:p>
    <w:p w14:paraId="58047D6A">
      <w:pPr>
        <w:autoSpaceDE w:val="0"/>
        <w:autoSpaceDN w:val="0"/>
        <w:adjustRightInd w:val="0"/>
        <w:spacing w:line="360" w:lineRule="auto"/>
        <w:ind w:right="184" w:firstLine="482" w:firstLineChars="200"/>
        <w:jc w:val="left"/>
        <w:rPr>
          <w:rFonts w:asciiTheme="minorEastAsia" w:hAnsiTheme="minorEastAsia" w:eastAsiaTheme="minorEastAsia" w:cstheme="minorEastAsia"/>
          <w:color w:val="000000" w:themeColor="text1"/>
          <w:kern w:val="0"/>
          <w:szCs w:val="28"/>
          <w14:textFill>
            <w14:solidFill>
              <w14:schemeClr w14:val="tx1"/>
            </w14:solidFill>
          </w14:textFill>
        </w:rPr>
      </w:pPr>
      <w:r>
        <w:rPr>
          <w:rFonts w:asciiTheme="minorEastAsia" w:hAnsiTheme="minorEastAsia" w:eastAsiaTheme="minorEastAsia" w:cstheme="minorEastAsia"/>
          <w:b/>
          <w:bCs/>
          <w:color w:val="000000" w:themeColor="text1"/>
          <w:kern w:val="0"/>
          <w:szCs w:val="28"/>
          <w14:textFill>
            <w14:solidFill>
              <w14:schemeClr w14:val="tx1"/>
            </w14:solidFill>
          </w14:textFill>
        </w:rPr>
        <w:t>7</w:t>
      </w:r>
      <w:r>
        <w:rPr>
          <w:rFonts w:asciiTheme="minorEastAsia" w:hAnsiTheme="minorEastAsia" w:eastAsiaTheme="minorEastAsia" w:cstheme="minorEastAsia"/>
          <w:b/>
          <w:bCs/>
          <w:color w:val="000000" w:themeColor="text1"/>
          <w:kern w:val="0"/>
          <w:szCs w:val="28"/>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14:textFill>
            <w14:solidFill>
              <w14:schemeClr w14:val="tx1"/>
            </w14:solidFill>
          </w14:textFill>
        </w:rPr>
        <w:t>合同生效</w:t>
      </w:r>
    </w:p>
    <w:p w14:paraId="3F4C3E39">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本合同自合同双方当事人签署之日起生效，至合同工程竣工验收合格之日后失效。</w:t>
      </w:r>
    </w:p>
    <w:p w14:paraId="6AFBEE11">
      <w:pPr>
        <w:autoSpaceDE w:val="0"/>
        <w:autoSpaceDN w:val="0"/>
        <w:adjustRightInd w:val="0"/>
        <w:spacing w:line="360" w:lineRule="auto"/>
        <w:ind w:firstLine="482" w:firstLineChars="200"/>
        <w:jc w:val="left"/>
        <w:rPr>
          <w:rFonts w:asciiTheme="minorEastAsia" w:hAnsiTheme="minorEastAsia" w:eastAsiaTheme="minorEastAsia" w:cstheme="minorEastAsia"/>
          <w:b/>
          <w:bCs/>
          <w:color w:val="000000" w:themeColor="text1"/>
          <w:spacing w:val="1"/>
          <w:kern w:val="0"/>
          <w:szCs w:val="28"/>
          <w14:textFill>
            <w14:solidFill>
              <w14:schemeClr w14:val="tx1"/>
            </w14:solidFill>
          </w14:textFill>
        </w:rPr>
      </w:pPr>
      <w:r>
        <w:rPr>
          <w:rFonts w:asciiTheme="minorEastAsia" w:hAnsiTheme="minorEastAsia" w:eastAsiaTheme="minorEastAsia" w:cstheme="minorEastAsia"/>
          <w:b/>
          <w:bCs/>
          <w:color w:val="000000" w:themeColor="text1"/>
          <w:kern w:val="0"/>
          <w:szCs w:val="28"/>
          <w14:textFill>
            <w14:solidFill>
              <w14:schemeClr w14:val="tx1"/>
            </w14:solidFill>
          </w14:textFill>
        </w:rPr>
        <w:t>8</w:t>
      </w:r>
      <w:r>
        <w:rPr>
          <w:rFonts w:asciiTheme="minorEastAsia" w:hAnsiTheme="minorEastAsia" w:eastAsiaTheme="minorEastAsia" w:cstheme="minorEastAsia"/>
          <w:b/>
          <w:bCs/>
          <w:color w:val="000000" w:themeColor="text1"/>
          <w:kern w:val="0"/>
          <w:szCs w:val="28"/>
          <w14:textFill>
            <w14:solidFill>
              <w14:schemeClr w14:val="tx1"/>
            </w14:solidFill>
          </w14:textFill>
        </w:rPr>
        <w:tab/>
      </w:r>
      <w:r>
        <w:rPr>
          <w:rFonts w:asciiTheme="minorEastAsia" w:hAnsiTheme="minorEastAsia" w:eastAsiaTheme="minorEastAsia" w:cstheme="minorEastAsia"/>
          <w:b/>
          <w:bCs/>
          <w:color w:val="000000" w:themeColor="text1"/>
          <w:spacing w:val="1"/>
          <w:kern w:val="0"/>
          <w:szCs w:val="28"/>
          <w14:textFill>
            <w14:solidFill>
              <w14:schemeClr w14:val="tx1"/>
            </w14:solidFill>
          </w14:textFill>
        </w:rPr>
        <w:t>合同份数</w:t>
      </w:r>
    </w:p>
    <w:p w14:paraId="5DE8E874">
      <w:pPr>
        <w:autoSpaceDE w:val="0"/>
        <w:autoSpaceDN w:val="0"/>
        <w:adjustRightInd w:val="0"/>
        <w:spacing w:line="360" w:lineRule="auto"/>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本合同一</w:t>
      </w:r>
      <w:r>
        <w:rPr>
          <w:rFonts w:asciiTheme="minorEastAsia" w:hAnsiTheme="minorEastAsia" w:eastAsiaTheme="minorEastAsia" w:cstheme="minorEastAsia"/>
          <w:color w:val="000000" w:themeColor="text1"/>
          <w:spacing w:val="1"/>
          <w:kern w:val="0"/>
          <w14:textFill>
            <w14:solidFill>
              <w14:schemeClr w14:val="tx1"/>
            </w14:solidFill>
          </w14:textFill>
        </w:rPr>
        <w:t>式</w:t>
      </w:r>
      <w:r>
        <w:rPr>
          <w:rFonts w:asciiTheme="minorEastAsia" w:hAnsiTheme="minorEastAsia" w:eastAsiaTheme="minorEastAsia" w:cstheme="minorEastAsia"/>
          <w:color w:val="000000" w:themeColor="text1"/>
          <w:kern w:val="0"/>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14:textFill>
            <w14:solidFill>
              <w14:schemeClr w14:val="tx1"/>
            </w14:solidFill>
          </w14:textFill>
        </w:rPr>
        <w:t>份，合同双方当事人各</w:t>
      </w:r>
      <w:r>
        <w:rPr>
          <w:rFonts w:asciiTheme="minorEastAsia" w:hAnsiTheme="minorEastAsia" w:eastAsiaTheme="minorEastAsia" w:cstheme="minorEastAsia"/>
          <w:color w:val="000000" w:themeColor="text1"/>
          <w:spacing w:val="2"/>
          <w:kern w:val="0"/>
          <w14:textFill>
            <w14:solidFill>
              <w14:schemeClr w14:val="tx1"/>
            </w14:solidFill>
          </w14:textFill>
        </w:rPr>
        <w:t>执</w:t>
      </w:r>
      <w:r>
        <w:rPr>
          <w:rFonts w:asciiTheme="minorEastAsia" w:hAnsiTheme="minorEastAsia" w:eastAsiaTheme="minorEastAsia" w:cstheme="minorEastAsia"/>
          <w:color w:val="000000" w:themeColor="text1"/>
          <w:kern w:val="0"/>
          <w:u w:val="single"/>
          <w14:textFill>
            <w14:solidFill>
              <w14:schemeClr w14:val="tx1"/>
            </w14:solidFill>
          </w14:textFill>
        </w:rPr>
        <w:t xml:space="preserve">    </w:t>
      </w:r>
      <w:r>
        <w:rPr>
          <w:rFonts w:asciiTheme="minorEastAsia" w:hAnsiTheme="minorEastAsia" w:eastAsiaTheme="minorEastAsia" w:cstheme="minorEastAsia"/>
          <w:color w:val="000000" w:themeColor="text1"/>
          <w:spacing w:val="1"/>
          <w:kern w:val="0"/>
          <w14:textFill>
            <w14:solidFill>
              <w14:schemeClr w14:val="tx1"/>
            </w14:solidFill>
          </w14:textFill>
        </w:rPr>
        <w:t>份。有上级部门的，合同双方当事人应各送</w:t>
      </w:r>
      <w:r>
        <w:rPr>
          <w:rFonts w:asciiTheme="minorEastAsia" w:hAnsiTheme="minorEastAsia" w:eastAsiaTheme="minorEastAsia" w:cstheme="minorEastAsia"/>
          <w:color w:val="000000" w:themeColor="text1"/>
          <w:kern w:val="0"/>
          <w14:textFill>
            <w14:solidFill>
              <w14:schemeClr w14:val="tx1"/>
            </w14:solidFill>
          </w14:textFill>
        </w:rPr>
        <w:t>交其上级部门一份。</w:t>
      </w:r>
    </w:p>
    <w:p w14:paraId="4B2A81BB">
      <w:pPr>
        <w:autoSpaceDE w:val="0"/>
        <w:autoSpaceDN w:val="0"/>
        <w:adjustRightInd w:val="0"/>
        <w:spacing w:before="3" w:line="130" w:lineRule="exact"/>
        <w:jc w:val="left"/>
        <w:rPr>
          <w:rFonts w:asciiTheme="minorEastAsia" w:hAnsiTheme="minorEastAsia" w:eastAsiaTheme="minorEastAsia" w:cstheme="minorEastAsia"/>
          <w:color w:val="000000" w:themeColor="text1"/>
          <w:kern w:val="0"/>
          <w:szCs w:val="13"/>
          <w14:textFill>
            <w14:solidFill>
              <w14:schemeClr w14:val="tx1"/>
            </w14:solidFill>
          </w14:textFill>
        </w:rPr>
      </w:pPr>
    </w:p>
    <w:p w14:paraId="38BFC9BC">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30AB133B">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2E0D816C">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572ACE8B">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2042A12F">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372E5720">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07D1324E">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7F839F57">
      <w:pPr>
        <w:autoSpaceDE w:val="0"/>
        <w:autoSpaceDN w:val="0"/>
        <w:adjustRightInd w:val="0"/>
        <w:spacing w:line="200" w:lineRule="exact"/>
        <w:jc w:val="left"/>
        <w:rPr>
          <w:rFonts w:asciiTheme="minorEastAsia" w:hAnsiTheme="minorEastAsia" w:eastAsiaTheme="minorEastAsia" w:cstheme="minorEastAsia"/>
          <w:color w:val="000000" w:themeColor="text1"/>
          <w:kern w:val="0"/>
          <w14:textFill>
            <w14:solidFill>
              <w14:schemeClr w14:val="tx1"/>
            </w14:solidFill>
          </w14:textFill>
        </w:rPr>
      </w:pPr>
    </w:p>
    <w:p w14:paraId="7784D7F8">
      <w:pPr>
        <w:autoSpaceDE w:val="0"/>
        <w:autoSpaceDN w:val="0"/>
        <w:adjustRightInd w:val="0"/>
        <w:spacing w:line="400" w:lineRule="exact"/>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 xml:space="preserve">     发 包 人</w:t>
      </w:r>
      <w:r>
        <w:rPr>
          <w:rFonts w:asciiTheme="minorEastAsia" w:hAnsiTheme="minorEastAsia" w:eastAsiaTheme="minorEastAsia" w:cstheme="minorEastAsia"/>
          <w:color w:val="000000" w:themeColor="text1"/>
          <w:spacing w:val="-120"/>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（公章）</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 xml:space="preserve">                    承 包 人 </w:t>
      </w:r>
      <w:r>
        <w:rPr>
          <w:rFonts w:asciiTheme="minorEastAsia" w:hAnsiTheme="minorEastAsia" w:eastAsiaTheme="minorEastAsia" w:cstheme="minorEastAsia"/>
          <w:color w:val="000000" w:themeColor="text1"/>
          <w:spacing w:val="-120"/>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 xml:space="preserve">（公章） </w:t>
      </w:r>
    </w:p>
    <w:p w14:paraId="3E5E3F9A">
      <w:pPr>
        <w:autoSpaceDE w:val="0"/>
        <w:autoSpaceDN w:val="0"/>
        <w:adjustRightInd w:val="0"/>
        <w:spacing w:line="400" w:lineRule="exact"/>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 xml:space="preserve">     法定代表人</w:t>
      </w:r>
      <w:r>
        <w:rPr>
          <w:rFonts w:asciiTheme="minorEastAsia" w:hAnsiTheme="minorEastAsia" w:eastAsiaTheme="minorEastAsia" w:cstheme="minorEastAsia"/>
          <w:color w:val="000000" w:themeColor="text1"/>
          <w:spacing w:val="-120"/>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（签字）</w:t>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 xml:space="preserve">                 法定代表人</w:t>
      </w:r>
      <w:r>
        <w:rPr>
          <w:rFonts w:asciiTheme="minorEastAsia" w:hAnsiTheme="minorEastAsia" w:eastAsiaTheme="minorEastAsia" w:cstheme="minorEastAsia"/>
          <w:color w:val="000000" w:themeColor="text1"/>
          <w:spacing w:val="-120"/>
          <w:kern w:val="0"/>
          <w14:textFill>
            <w14:solidFill>
              <w14:schemeClr w14:val="tx1"/>
            </w14:solidFill>
          </w14:textFill>
        </w:rPr>
        <w:t>：</w:t>
      </w:r>
      <w:r>
        <w:rPr>
          <w:rFonts w:asciiTheme="minorEastAsia" w:hAnsiTheme="minorEastAsia" w:eastAsiaTheme="minorEastAsia" w:cstheme="minorEastAsia"/>
          <w:color w:val="000000" w:themeColor="text1"/>
          <w:kern w:val="0"/>
          <w14:textFill>
            <w14:solidFill>
              <w14:schemeClr w14:val="tx1"/>
            </w14:solidFill>
          </w14:textFill>
        </w:rPr>
        <w:t xml:space="preserve">（签字） </w:t>
      </w:r>
    </w:p>
    <w:p w14:paraId="40BAD02F">
      <w:pPr>
        <w:autoSpaceDE w:val="0"/>
        <w:autoSpaceDN w:val="0"/>
        <w:adjustRightInd w:val="0"/>
        <w:spacing w:line="400" w:lineRule="exact"/>
        <w:ind w:firstLine="480" w:firstLineChars="200"/>
        <w:jc w:val="left"/>
        <w:rPr>
          <w:rFonts w:asciiTheme="minorEastAsia" w:hAnsiTheme="minorEastAsia" w:eastAsiaTheme="minorEastAsia" w:cstheme="minorEastAsia"/>
          <w:color w:val="000000" w:themeColor="text1"/>
          <w:kern w:val="0"/>
          <w:u w:val="single"/>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 xml:space="preserve">     联系电话：</w:t>
      </w:r>
      <w:r>
        <w:rPr>
          <w:rFonts w:asciiTheme="minorEastAsia" w:hAnsiTheme="minorEastAsia" w:eastAsiaTheme="minorEastAsia" w:cstheme="minorEastAsia"/>
          <w:color w:val="000000" w:themeColor="text1"/>
          <w:kern w:val="0"/>
          <w:u w:val="single"/>
          <w14:textFill>
            <w14:solidFill>
              <w14:schemeClr w14:val="tx1"/>
            </w14:solidFill>
          </w14:textFill>
        </w:rPr>
        <w:tab/>
      </w:r>
      <w:r>
        <w:rPr>
          <w:rFonts w:asciiTheme="minorEastAsia" w:hAnsiTheme="minorEastAsia" w:eastAsiaTheme="minorEastAsia" w:cstheme="minorEastAsia"/>
          <w:color w:val="000000" w:themeColor="text1"/>
          <w:kern w:val="0"/>
          <w:u w:val="single"/>
          <w14:textFill>
            <w14:solidFill>
              <w14:schemeClr w14:val="tx1"/>
            </w14:solidFill>
          </w14:textFill>
        </w:rPr>
        <w:tab/>
      </w:r>
      <w:r>
        <w:rPr>
          <w:rFonts w:asciiTheme="minorEastAsia" w:hAnsiTheme="minorEastAsia" w:eastAsiaTheme="minorEastAsia" w:cstheme="minorEastAsia"/>
          <w:color w:val="000000" w:themeColor="text1"/>
          <w:kern w:val="0"/>
          <w14:textFill>
            <w14:solidFill>
              <w14:schemeClr w14:val="tx1"/>
            </w14:solidFill>
          </w14:textFill>
        </w:rPr>
        <w:t xml:space="preserve">                     联系电话：</w:t>
      </w:r>
    </w:p>
    <w:p w14:paraId="59D181BA">
      <w:pPr>
        <w:autoSpaceDE w:val="0"/>
        <w:autoSpaceDN w:val="0"/>
        <w:adjustRightInd w:val="0"/>
        <w:spacing w:line="400" w:lineRule="exact"/>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 xml:space="preserve">     上级部门：（公章）                     上级部门：（公章）</w:t>
      </w:r>
    </w:p>
    <w:p w14:paraId="556A9090">
      <w:pPr>
        <w:autoSpaceDE w:val="0"/>
        <w:autoSpaceDN w:val="0"/>
        <w:adjustRightInd w:val="0"/>
        <w:spacing w:line="400" w:lineRule="exact"/>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p>
    <w:p w14:paraId="7438D5E7">
      <w:pPr>
        <w:autoSpaceDE w:val="0"/>
        <w:autoSpaceDN w:val="0"/>
        <w:adjustRightInd w:val="0"/>
        <w:spacing w:line="400" w:lineRule="exact"/>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p>
    <w:p w14:paraId="4372E6D8">
      <w:pPr>
        <w:autoSpaceDE w:val="0"/>
        <w:autoSpaceDN w:val="0"/>
        <w:adjustRightInd w:val="0"/>
        <w:spacing w:line="400" w:lineRule="exact"/>
        <w:ind w:firstLine="480" w:firstLineChars="200"/>
        <w:jc w:val="left"/>
        <w:rPr>
          <w:rFonts w:asciiTheme="minorEastAsia" w:hAnsiTheme="minorEastAsia" w:eastAsiaTheme="minorEastAsia" w:cstheme="minorEastAsia"/>
          <w:color w:val="000000" w:themeColor="text1"/>
          <w:kern w:val="0"/>
          <w14:textFill>
            <w14:solidFill>
              <w14:schemeClr w14:val="tx1"/>
            </w14:solidFill>
          </w14:textFill>
        </w:rPr>
      </w:pPr>
      <w:r>
        <w:rPr>
          <w:rFonts w:asciiTheme="minorEastAsia" w:hAnsiTheme="minorEastAsia" w:eastAsiaTheme="minorEastAsia" w:cstheme="minorEastAsia"/>
          <w:color w:val="000000" w:themeColor="text1"/>
          <w:kern w:val="0"/>
          <w14:textFill>
            <w14:solidFill>
              <w14:schemeClr w14:val="tx1"/>
            </w14:solidFill>
          </w14:textFill>
        </w:rPr>
        <w:t xml:space="preserve">          年   月    日                                年   月   日</w:t>
      </w:r>
    </w:p>
    <w:p w14:paraId="2A0EC3E9">
      <w:pPr>
        <w:spacing w:line="360" w:lineRule="auto"/>
        <w:rPr>
          <w:rFonts w:asciiTheme="minorEastAsia" w:hAnsiTheme="minorEastAsia" w:eastAsiaTheme="minorEastAsia" w:cstheme="minorEastAsia"/>
          <w:b/>
          <w:bCs/>
          <w:color w:val="000000" w:themeColor="text1"/>
          <w:sz w:val="32"/>
          <w:szCs w:val="32"/>
          <w14:textFill>
            <w14:solidFill>
              <w14:schemeClr w14:val="tx1"/>
            </w14:solidFill>
          </w14:textFill>
        </w:rPr>
      </w:pPr>
    </w:p>
    <w:p w14:paraId="137E9A83">
      <w:pPr>
        <w:pStyle w:val="4"/>
        <w:ind w:left="4511" w:leftChars="174" w:hanging="4093" w:hangingChars="1274"/>
        <w:jc w:val="center"/>
        <w:rPr>
          <w:rFonts w:hint="eastAsia" w:asciiTheme="minorEastAsia" w:hAnsiTheme="minorEastAsia" w:eastAsiaTheme="minorEastAsia" w:cstheme="minorEastAsia"/>
          <w:bCs/>
          <w:color w:val="000000" w:themeColor="text1"/>
          <w:sz w:val="32"/>
          <w:szCs w:val="32"/>
          <w14:textFill>
            <w14:solidFill>
              <w14:schemeClr w14:val="tx1"/>
            </w14:solidFill>
          </w14:textFill>
        </w:rPr>
      </w:pPr>
      <w:bookmarkStart w:id="625" w:name="_Toc24859"/>
      <w:bookmarkStart w:id="626" w:name="_Toc126"/>
      <w:bookmarkStart w:id="627" w:name="_Toc6897"/>
      <w:bookmarkStart w:id="628" w:name="_Toc20715"/>
      <w:bookmarkStart w:id="629" w:name="_Toc18530"/>
      <w:bookmarkStart w:id="630" w:name="_Toc29017"/>
      <w:bookmarkStart w:id="631" w:name="_Toc28513"/>
      <w:bookmarkStart w:id="632" w:name="_Toc11559"/>
      <w:r>
        <w:rPr>
          <w:rFonts w:hint="eastAsia" w:asciiTheme="minorEastAsia" w:hAnsiTheme="minorEastAsia" w:eastAsiaTheme="minorEastAsia" w:cstheme="minorEastAsia"/>
          <w:bCs/>
          <w:color w:val="000000" w:themeColor="text1"/>
          <w:sz w:val="32"/>
          <w:szCs w:val="32"/>
          <w14:textFill>
            <w14:solidFill>
              <w14:schemeClr w14:val="tx1"/>
            </w14:solidFill>
          </w14:textFill>
        </w:rPr>
        <w:br w:type="page"/>
      </w:r>
      <w:bookmarkStart w:id="633" w:name="_Toc30796"/>
      <w:bookmarkStart w:id="634" w:name="_Toc29869"/>
      <w:bookmarkStart w:id="635" w:name="_Toc10245"/>
      <w:bookmarkStart w:id="636" w:name="_Toc22063"/>
      <w:r>
        <w:rPr>
          <w:rFonts w:hint="eastAsia" w:asciiTheme="minorEastAsia" w:hAnsiTheme="minorEastAsia" w:eastAsiaTheme="minorEastAsia" w:cstheme="minorEastAsia"/>
          <w:bCs/>
          <w:color w:val="000000" w:themeColor="text1"/>
          <w:sz w:val="32"/>
          <w:szCs w:val="32"/>
          <w14:textFill>
            <w14:solidFill>
              <w14:schemeClr w14:val="tx1"/>
            </w14:solidFill>
          </w14:textFill>
        </w:rPr>
        <w:t>履约保函</w:t>
      </w:r>
      <w:bookmarkEnd w:id="625"/>
      <w:bookmarkEnd w:id="626"/>
      <w:bookmarkEnd w:id="627"/>
      <w:bookmarkEnd w:id="628"/>
      <w:bookmarkEnd w:id="629"/>
      <w:bookmarkEnd w:id="630"/>
      <w:bookmarkEnd w:id="631"/>
      <w:bookmarkEnd w:id="632"/>
      <w:bookmarkEnd w:id="633"/>
      <w:bookmarkEnd w:id="634"/>
      <w:bookmarkEnd w:id="635"/>
      <w:bookmarkEnd w:id="636"/>
    </w:p>
    <w:p w14:paraId="7AFA5766">
      <w:pPr>
        <w:spacing w:line="360" w:lineRule="auto"/>
        <w:jc w:val="center"/>
        <w:rPr>
          <w:rFonts w:asciiTheme="minorEastAsia" w:hAnsiTheme="minorEastAsia" w:eastAsiaTheme="minorEastAsia" w:cstheme="minorEastAsia"/>
          <w:b/>
          <w:bCs/>
          <w:color w:val="000000" w:themeColor="text1"/>
          <w:sz w:val="32"/>
          <w:szCs w:val="32"/>
          <w14:textFill>
            <w14:solidFill>
              <w14:schemeClr w14:val="tx1"/>
            </w14:solidFill>
          </w14:textFill>
        </w:rPr>
      </w:pPr>
    </w:p>
    <w:p w14:paraId="70F7CCA7">
      <w:pPr>
        <w:wordWrap w:val="0"/>
        <w:spacing w:line="360" w:lineRule="auto"/>
        <w:jc w:val="right"/>
        <w:rPr>
          <w:rFonts w:asciiTheme="minorEastAsia" w:hAnsiTheme="minorEastAsia" w:eastAsiaTheme="minorEastAsia" w:cstheme="minorEastAsia"/>
          <w:color w:val="000000" w:themeColor="text1"/>
          <w:szCs w:val="21"/>
          <w14:textFill>
            <w14:solidFill>
              <w14:schemeClr w14:val="tx1"/>
            </w14:solidFill>
          </w14:textFill>
        </w:rPr>
      </w:pPr>
      <w:r>
        <w:rPr>
          <w:rFonts w:asciiTheme="minorEastAsia" w:hAnsiTheme="minorEastAsia" w:eastAsiaTheme="minorEastAsia" w:cstheme="minorEastAsia"/>
          <w:color w:val="000000" w:themeColor="text1"/>
          <w:szCs w:val="21"/>
          <w14:textFill>
            <w14:solidFill>
              <w14:schemeClr w14:val="tx1"/>
            </w14:solidFill>
          </w14:textFill>
        </w:rPr>
        <w:t xml:space="preserve">编号：           </w:t>
      </w:r>
    </w:p>
    <w:p w14:paraId="6D731262">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申请人：</w:t>
      </w:r>
    </w:p>
    <w:p w14:paraId="72953335">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地址：</w:t>
      </w:r>
    </w:p>
    <w:p w14:paraId="60DA70F6">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受益人：</w:t>
      </w:r>
    </w:p>
    <w:p w14:paraId="372C7F2F">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地址：</w:t>
      </w:r>
    </w:p>
    <w:p w14:paraId="4118048B">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开立人：</w:t>
      </w:r>
    </w:p>
    <w:p w14:paraId="51731380">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地址：</w:t>
      </w:r>
    </w:p>
    <w:p w14:paraId="46BFE885">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p>
    <w:p w14:paraId="4B481A0C">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（受益人名称）： </w:t>
      </w:r>
    </w:p>
    <w:p w14:paraId="281C0F2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鉴于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（以下简称“受益人”）与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（以下简称“申请人”）于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年</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月</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日就</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工程（以下简称“本工程”）施工和有关事项协商一致共同签订</w:t>
      </w:r>
      <w:r>
        <w:rPr>
          <w:rFonts w:asciiTheme="minorEastAsia" w:hAnsiTheme="minorEastAsia" w:eastAsiaTheme="minorEastAsia" w:cstheme="minorEastAsia"/>
          <w:color w:val="000000" w:themeColor="text1"/>
          <w:szCs w:val="24"/>
          <w:u w:val="single"/>
          <w14:textFill>
            <w14:solidFill>
              <w14:schemeClr w14:val="tx1"/>
            </w14:solidFill>
          </w14:textFill>
        </w:rPr>
        <w:t>《        》</w:t>
      </w:r>
      <w:r>
        <w:rPr>
          <w:rFonts w:asciiTheme="minorEastAsia" w:hAnsiTheme="minorEastAsia" w:eastAsiaTheme="minorEastAsia" w:cstheme="minorEastAsia"/>
          <w:color w:val="000000" w:themeColor="text1"/>
          <w:szCs w:val="24"/>
          <w14:textFill>
            <w14:solidFill>
              <w14:schemeClr w14:val="tx1"/>
            </w14:solidFill>
          </w14:textFill>
        </w:rPr>
        <w:t xml:space="preserve">（以下简称“基础合同”），我方（即“开立人”）根据基础合同了解到申请人为基础合同项下之中标人，受益人为基础合同项下之招标人，基于申请人的请求，我方同意就申请人履行与贵方签订的基础合同项下的义务，向贵方提供不可撤销、不可转让的见索即付独立保函（以下简称“本保函”）。 </w:t>
      </w:r>
    </w:p>
    <w:p w14:paraId="577D5DD9">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一、本保函担保范围：中标人未按照基础合同的约定履行义务，应当向贵方承担的违约责任和赔偿因此造成的损失、利息、律师费、诉讼费用等实现债权的费用。</w:t>
      </w:r>
    </w:p>
    <w:p w14:paraId="7F862725">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二、本保函担保金额最高不超过人民币（大写）</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元（¥</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 </w:t>
      </w:r>
    </w:p>
    <w:p w14:paraId="5898A40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三、本保函有效期自开立之日起至基础合同约定的缺陷责任期后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日止，最迟不超过</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年</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月</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日。 </w:t>
      </w:r>
    </w:p>
    <w:p w14:paraId="72DAC9C2">
      <w:pPr>
        <w:spacing w:line="360" w:lineRule="auto"/>
        <w:ind w:firstLine="48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四、我方承诺，在收到受益人发来的书面付款通知后的</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日内无条件支付，前述书面付款通知即为付款要求之单据，且应满足以下要求：</w:t>
      </w:r>
    </w:p>
    <w:p w14:paraId="4E7B1069">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（1）付款通知到达的日期在本保函的有效期内；</w:t>
      </w:r>
    </w:p>
    <w:p w14:paraId="62316C93">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（2）载明要求支付的金额；</w:t>
      </w:r>
    </w:p>
    <w:p w14:paraId="1D1F3AD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（3）载明申请人违反合同义务的条款和内容；</w:t>
      </w:r>
    </w:p>
    <w:p w14:paraId="5221121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（4）声明不存在合同文件约定或我国法律规定免除申请人或开立人支付责任的情形；</w:t>
      </w:r>
    </w:p>
    <w:p w14:paraId="59C0AB5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（5）付款通知应在本保函有效期内到达的地址是：</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w:t>
      </w:r>
    </w:p>
    <w:p w14:paraId="4F7AFDE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受益人发出的书面付款通知应由其为鉴明受益人法定代表人（负责人）或授权代理人签字并加盖公章。</w:t>
      </w:r>
    </w:p>
    <w:p w14:paraId="3C6B6F1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五、本保函项下的权利不得转让，不得设定担保。贵方未经我方书面同意转 让本保函或其项下任何权利，对我方不发生法律效力。 </w:t>
      </w:r>
    </w:p>
    <w:p w14:paraId="0090CB74">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六、与本保函有关的基础合同不成立、不生效、无效、被撤销、被解除，不影响本保函的独立有效。 </w:t>
      </w:r>
    </w:p>
    <w:p w14:paraId="4DD9C04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七、贵方应在本保函到期后的七日内将本保函正本退回我方注销，但是不论贵方是否按此要求将本保函正本退回我方，我方在本保函项下的义务和责任均在保函有效期到期后自动消灭。 </w:t>
      </w:r>
    </w:p>
    <w:p w14:paraId="35B3861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八、本保函适用的法律为中华人民共和国法律，争议裁判管辖地为中华人民共和国</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 </w:t>
      </w:r>
    </w:p>
    <w:p w14:paraId="432D160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九、本保函自我方法定代表人或授权代表签字并加盖公章之日起生效。 </w:t>
      </w:r>
    </w:p>
    <w:p w14:paraId="33B2B7F3">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开 立 人：                              （公章） </w:t>
      </w:r>
    </w:p>
    <w:p w14:paraId="6A47C1F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法定代表人（或授权代表）：               （签字） </w:t>
      </w:r>
    </w:p>
    <w:p w14:paraId="5DE8EEA8">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地    址：                                       </w:t>
      </w:r>
    </w:p>
    <w:p w14:paraId="4C18794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邮政编码：                 </w:t>
      </w:r>
    </w:p>
    <w:p w14:paraId="61F14EE4">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电    话：                 </w:t>
      </w:r>
    </w:p>
    <w:p w14:paraId="016C603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传    真：                 </w:t>
      </w:r>
    </w:p>
    <w:p w14:paraId="35B3DA39">
      <w:pPr>
        <w:spacing w:line="360" w:lineRule="auto"/>
        <w:ind w:firstLine="480" w:firstLineChars="200"/>
        <w:rPr>
          <w:rFonts w:asciiTheme="minorEastAsia" w:hAnsiTheme="minorEastAsia" w:eastAsiaTheme="minorEastAsia" w:cstheme="minorEastAsia"/>
          <w:color w:val="000000" w:themeColor="text1"/>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开立时间：      年      月    </w:t>
      </w:r>
    </w:p>
    <w:p w14:paraId="4FC7980C">
      <w:pPr>
        <w:spacing w:line="374" w:lineRule="auto"/>
        <w:ind w:left="698" w:right="524"/>
        <w:jc w:val="left"/>
        <w:rPr>
          <w:rFonts w:asciiTheme="minorEastAsia" w:hAnsiTheme="minorEastAsia" w:eastAsiaTheme="minorEastAsia" w:cstheme="minorEastAsia"/>
          <w:strike/>
          <w:color w:val="000000" w:themeColor="text1"/>
          <w:szCs w:val="24"/>
          <w14:textFill>
            <w14:solidFill>
              <w14:schemeClr w14:val="tx1"/>
            </w14:solidFill>
          </w14:textFill>
        </w:rPr>
        <w:sectPr>
          <w:headerReference r:id="rId8" w:type="default"/>
          <w:footerReference r:id="rId9" w:type="default"/>
          <w:pgSz w:w="11907" w:h="16840"/>
          <w:pgMar w:top="1247" w:right="1474" w:bottom="1247" w:left="1361" w:header="680" w:footer="680" w:gutter="0"/>
          <w:cols w:space="720" w:num="1"/>
        </w:sectPr>
      </w:pPr>
    </w:p>
    <w:p w14:paraId="3720D369">
      <w:pPr>
        <w:pStyle w:val="60"/>
        <w:spacing w:line="440" w:lineRule="exact"/>
        <w:ind w:firstLine="0" w:firstLineChars="0"/>
        <w:rPr>
          <w:rFonts w:hint="eastAsia" w:asciiTheme="minorEastAsia" w:hAnsiTheme="minorEastAsia" w:eastAsiaTheme="minorEastAsia" w:cstheme="minorEastAsia"/>
          <w:dstrike/>
          <w:color w:val="000000" w:themeColor="text1"/>
          <w:kern w:val="0"/>
          <w14:textFill>
            <w14:solidFill>
              <w14:schemeClr w14:val="tx1"/>
            </w14:solidFill>
          </w14:textFill>
        </w:rPr>
      </w:pPr>
    </w:p>
    <w:p w14:paraId="015B2ED4">
      <w:pPr>
        <w:pStyle w:val="4"/>
        <w:ind w:left="4511" w:leftChars="174" w:hanging="4093" w:hangingChars="1274"/>
        <w:jc w:val="center"/>
        <w:rPr>
          <w:rFonts w:hint="eastAsia" w:asciiTheme="minorEastAsia" w:hAnsiTheme="minorEastAsia" w:eastAsiaTheme="minorEastAsia" w:cstheme="minorEastAsia"/>
          <w:bCs/>
          <w:color w:val="000000" w:themeColor="text1"/>
          <w:sz w:val="32"/>
          <w:szCs w:val="32"/>
          <w14:textFill>
            <w14:solidFill>
              <w14:schemeClr w14:val="tx1"/>
            </w14:solidFill>
          </w14:textFill>
        </w:rPr>
      </w:pPr>
      <w:bookmarkStart w:id="637" w:name="_Toc31569"/>
      <w:bookmarkStart w:id="638" w:name="_Toc24975"/>
      <w:bookmarkStart w:id="639" w:name="_Toc4560"/>
      <w:bookmarkStart w:id="640" w:name="_Toc26369"/>
      <w:bookmarkStart w:id="641" w:name="_Toc3541"/>
      <w:bookmarkStart w:id="642" w:name="_Toc19146"/>
      <w:bookmarkStart w:id="643" w:name="_Toc15298"/>
      <w:bookmarkStart w:id="644" w:name="_Toc2375"/>
      <w:bookmarkStart w:id="645" w:name="_Toc23944"/>
      <w:bookmarkStart w:id="646" w:name="_Toc20309"/>
      <w:bookmarkStart w:id="647" w:name="_Toc4768"/>
      <w:bookmarkStart w:id="648" w:name="_Toc3712"/>
      <w:r>
        <w:rPr>
          <w:rFonts w:hint="eastAsia" w:asciiTheme="minorEastAsia" w:hAnsiTheme="minorEastAsia" w:eastAsiaTheme="minorEastAsia" w:cstheme="minorEastAsia"/>
          <w:bCs/>
          <w:color w:val="000000" w:themeColor="text1"/>
          <w:sz w:val="32"/>
          <w:szCs w:val="32"/>
          <w14:textFill>
            <w14:solidFill>
              <w14:schemeClr w14:val="tx1"/>
            </w14:solidFill>
          </w14:textFill>
        </w:rPr>
        <w:t>预付款保函</w:t>
      </w:r>
      <w:bookmarkEnd w:id="637"/>
      <w:bookmarkEnd w:id="638"/>
      <w:bookmarkEnd w:id="639"/>
      <w:bookmarkEnd w:id="640"/>
      <w:bookmarkEnd w:id="641"/>
      <w:bookmarkEnd w:id="642"/>
      <w:bookmarkEnd w:id="643"/>
      <w:bookmarkEnd w:id="644"/>
      <w:bookmarkEnd w:id="645"/>
      <w:bookmarkEnd w:id="646"/>
      <w:bookmarkEnd w:id="647"/>
      <w:bookmarkEnd w:id="648"/>
    </w:p>
    <w:p w14:paraId="222019AA">
      <w:pPr>
        <w:wordWrap w:val="0"/>
        <w:spacing w:line="360" w:lineRule="auto"/>
        <w:jc w:val="right"/>
        <w:rPr>
          <w:rFonts w:asciiTheme="minorEastAsia" w:hAnsiTheme="minorEastAsia" w:eastAsiaTheme="minorEastAsia" w:cstheme="minorEastAsia"/>
          <w:color w:val="000000" w:themeColor="text1"/>
          <w:szCs w:val="21"/>
          <w14:textFill>
            <w14:solidFill>
              <w14:schemeClr w14:val="tx1"/>
            </w14:solidFill>
          </w14:textFill>
        </w:rPr>
      </w:pPr>
      <w:r>
        <w:rPr>
          <w:rFonts w:asciiTheme="minorEastAsia" w:hAnsiTheme="minorEastAsia" w:eastAsiaTheme="minorEastAsia" w:cstheme="minorEastAsia"/>
          <w:color w:val="000000" w:themeColor="text1"/>
          <w:szCs w:val="21"/>
          <w14:textFill>
            <w14:solidFill>
              <w14:schemeClr w14:val="tx1"/>
            </w14:solidFill>
          </w14:textFill>
        </w:rPr>
        <w:t xml:space="preserve">编号：           </w:t>
      </w:r>
    </w:p>
    <w:p w14:paraId="44854D66">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p>
    <w:p w14:paraId="48F721B3">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申请人：</w:t>
      </w:r>
    </w:p>
    <w:p w14:paraId="4BD4B7E1">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地址：</w:t>
      </w:r>
    </w:p>
    <w:p w14:paraId="3A9F0323">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受益人：</w:t>
      </w:r>
    </w:p>
    <w:p w14:paraId="01482BBD">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地址：</w:t>
      </w:r>
    </w:p>
    <w:p w14:paraId="48C292DA">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开立人：</w:t>
      </w:r>
    </w:p>
    <w:p w14:paraId="6B88A0F1">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地址：</w:t>
      </w:r>
    </w:p>
    <w:p w14:paraId="73932A7E">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p>
    <w:p w14:paraId="6FD2282B">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（受益人名称）： </w:t>
      </w:r>
    </w:p>
    <w:p w14:paraId="6C5BF853">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鉴于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（以下简称“受益人”）与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（以下简称“申请人”）于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年</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月</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日就</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工程（以下简称“本工程”）施工和有关事项协商一致共同签订</w:t>
      </w:r>
      <w:r>
        <w:rPr>
          <w:rFonts w:asciiTheme="minorEastAsia" w:hAnsiTheme="minorEastAsia" w:eastAsiaTheme="minorEastAsia" w:cstheme="minorEastAsia"/>
          <w:color w:val="000000" w:themeColor="text1"/>
          <w:szCs w:val="24"/>
          <w:u w:val="single"/>
          <w14:textFill>
            <w14:solidFill>
              <w14:schemeClr w14:val="tx1"/>
            </w14:solidFill>
          </w14:textFill>
        </w:rPr>
        <w:t>《        》</w:t>
      </w:r>
      <w:r>
        <w:rPr>
          <w:rFonts w:asciiTheme="minorEastAsia" w:hAnsiTheme="minorEastAsia" w:eastAsiaTheme="minorEastAsia" w:cstheme="minorEastAsia"/>
          <w:color w:val="000000" w:themeColor="text1"/>
          <w:szCs w:val="24"/>
          <w14:textFill>
            <w14:solidFill>
              <w14:schemeClr w14:val="tx1"/>
            </w14:solidFill>
          </w14:textFill>
        </w:rPr>
        <w:t xml:space="preserve">（以下简称“基础合同”），我方（即“开立人”）根据主合同了解到申请人为主合同项下之中标人，受益人为主合同项下之招标人，基于申请人的请求，我方同意就申请人按照合同约定正确和合理地为合同目的使用预付款，向贵方提供不可撤销、不可转让的见索即付独立保函（以下简称“本保函”）。 </w:t>
      </w:r>
    </w:p>
    <w:p w14:paraId="1F5267F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一、本保函担保范围：申请人未按照合同约定正确和合理地为合同目的使用预付款，应当向贵方承担的违约责任和赔偿因此造成的损失、利息、律师费、诉讼费用等实现债权的费用。</w:t>
      </w:r>
    </w:p>
    <w:p w14:paraId="376C14A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二、本保函担保金额最高不超过人民币（大写）</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元（¥</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 </w:t>
      </w:r>
    </w:p>
    <w:p w14:paraId="4861FA6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三、本保函有效期自开立之日起至招标人全额扣回预付款后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日止，最迟不超过</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年</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月</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w:t>
      </w:r>
    </w:p>
    <w:p w14:paraId="71D10FA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四、我方承诺，在收到受益人发来的书面付款通知后的</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日内无条件支付，前述书面付款通知即为付款要求之单据，且应满足以下要求：</w:t>
      </w:r>
    </w:p>
    <w:p w14:paraId="7C531EC9">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（1）付款通知到达的日期在本保函的有效期内；</w:t>
      </w:r>
    </w:p>
    <w:p w14:paraId="1BD0F50A">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（2）载明要求支付的金额；</w:t>
      </w:r>
    </w:p>
    <w:p w14:paraId="3A554964">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（3）载明申请人违反合同义务的条款和内容；</w:t>
      </w:r>
    </w:p>
    <w:p w14:paraId="74ED431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（4）声明不存在合同文件约定或我国法律规定免除申请人或开立人支付责任的情形；</w:t>
      </w:r>
    </w:p>
    <w:p w14:paraId="4D349BCE">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（5）付款通知应在本保函有效期内到达的地址是：</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w:t>
      </w:r>
    </w:p>
    <w:p w14:paraId="764A19CE">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受益人发出的书面付款通知应由其为鉴明受益人法定代表人（负责人）或授权代理人签字并加盖公章。</w:t>
      </w:r>
    </w:p>
    <w:p w14:paraId="13CCEA3A">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五、本保函项下的权利不得转让，不得设定担保。贵方未经我方书面同意转 让本保函或其项下任何权利，对我方不发生法律效力。 </w:t>
      </w:r>
    </w:p>
    <w:p w14:paraId="3742663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六、与本保函有关的基础合同不成立、不生效、无效、被撤销、被解除，不影响本保函的独立有效。 </w:t>
      </w:r>
    </w:p>
    <w:p w14:paraId="09595B0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七、贵方应在本保函到期后的七日内将本保函正本退回我方注销，但是不论贵方是否按此要求将本保函正本退回我方，我方在本保函项下的义务和责任均在保函有效期到期后自动消灭。 </w:t>
      </w:r>
    </w:p>
    <w:p w14:paraId="4406C53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八、本保函适用的法律为中华人民共和国法律，争议裁判管辖地为中华人民共和国</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 </w:t>
      </w:r>
    </w:p>
    <w:p w14:paraId="52C95B8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九、本保函自我方法定代表人或授权代表签字并加盖公章之日起生效。 </w:t>
      </w:r>
    </w:p>
    <w:p w14:paraId="11C8FD86">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p>
    <w:p w14:paraId="66B2A8F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p>
    <w:p w14:paraId="6F09CB4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开 立 人：                              （公章） </w:t>
      </w:r>
    </w:p>
    <w:p w14:paraId="65C9173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法定代表人（或授权代表）：               （签字） </w:t>
      </w:r>
    </w:p>
    <w:p w14:paraId="6E8BCB4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地    址：                                       </w:t>
      </w:r>
    </w:p>
    <w:p w14:paraId="04025523">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邮政编码：                 </w:t>
      </w:r>
    </w:p>
    <w:p w14:paraId="6888DA6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电    话：                 </w:t>
      </w:r>
    </w:p>
    <w:p w14:paraId="652EC40E">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传    真：                 </w:t>
      </w:r>
    </w:p>
    <w:p w14:paraId="4E2440D9">
      <w:pPr>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开立时间：      年      月        日</w:t>
      </w:r>
    </w:p>
    <w:p w14:paraId="5FD8B705">
      <w:pPr>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p>
    <w:p w14:paraId="17F23421">
      <w:pPr>
        <w:rPr>
          <w:rFonts w:asciiTheme="minorEastAsia" w:hAnsiTheme="minorEastAsia" w:eastAsiaTheme="minorEastAsia" w:cstheme="minorEastAsia"/>
          <w:color w:val="000000" w:themeColor="text1"/>
          <w14:textFill>
            <w14:solidFill>
              <w14:schemeClr w14:val="tx1"/>
            </w14:solidFill>
          </w14:textFill>
        </w:rPr>
      </w:pPr>
    </w:p>
    <w:p w14:paraId="41C68C63">
      <w:pPr>
        <w:rPr>
          <w:rFonts w:asciiTheme="minorEastAsia" w:hAnsiTheme="minorEastAsia" w:eastAsiaTheme="minorEastAsia" w:cstheme="minorEastAsia"/>
          <w:color w:val="000000" w:themeColor="text1"/>
          <w14:textFill>
            <w14:solidFill>
              <w14:schemeClr w14:val="tx1"/>
            </w14:solidFill>
          </w14:textFill>
        </w:rPr>
      </w:pPr>
    </w:p>
    <w:p w14:paraId="790486DB">
      <w:pPr>
        <w:rPr>
          <w:rFonts w:asciiTheme="minorEastAsia" w:hAnsiTheme="minorEastAsia" w:eastAsiaTheme="minorEastAsia" w:cstheme="minorEastAsia"/>
          <w:color w:val="000000" w:themeColor="text1"/>
          <w14:textFill>
            <w14:solidFill>
              <w14:schemeClr w14:val="tx1"/>
            </w14:solidFill>
          </w14:textFill>
        </w:rPr>
      </w:pPr>
      <w:bookmarkStart w:id="649" w:name="_Toc6524"/>
    </w:p>
    <w:p w14:paraId="3DB6780B">
      <w:pPr>
        <w:rPr>
          <w:rFonts w:asciiTheme="minorEastAsia" w:hAnsiTheme="minorEastAsia" w:eastAsiaTheme="minorEastAsia" w:cstheme="minorEastAsia"/>
          <w:color w:val="000000" w:themeColor="text1"/>
          <w14:textFill>
            <w14:solidFill>
              <w14:schemeClr w14:val="tx1"/>
            </w14:solidFill>
          </w14:textFill>
        </w:rPr>
      </w:pPr>
    </w:p>
    <w:p w14:paraId="1C281AD6">
      <w:pPr>
        <w:pStyle w:val="4"/>
        <w:ind w:left="3488" w:leftChars="174" w:hanging="3070" w:hangingChars="1274"/>
        <w:jc w:val="center"/>
        <w:rPr>
          <w:rFonts w:hint="eastAsia" w:asciiTheme="minorEastAsia" w:hAnsiTheme="minorEastAsia" w:eastAsiaTheme="minorEastAsia" w:cstheme="minorEastAsia"/>
          <w:bCs/>
          <w:color w:val="000000" w:themeColor="text1"/>
          <w:szCs w:val="32"/>
          <w14:textFill>
            <w14:solidFill>
              <w14:schemeClr w14:val="tx1"/>
            </w14:solidFill>
          </w14:textFill>
        </w:rPr>
      </w:pPr>
      <w:bookmarkStart w:id="650" w:name="_Toc27131"/>
      <w:bookmarkStart w:id="651" w:name="_Toc25691"/>
      <w:bookmarkStart w:id="652" w:name="_Toc1401"/>
      <w:bookmarkStart w:id="653" w:name="_Toc1606"/>
      <w:bookmarkStart w:id="654" w:name="_Toc7920"/>
      <w:bookmarkStart w:id="655" w:name="_Toc12376"/>
      <w:bookmarkStart w:id="656" w:name="_Toc3493"/>
      <w:bookmarkStart w:id="657" w:name="_Toc18000"/>
      <w:r>
        <w:rPr>
          <w:rFonts w:hint="eastAsia" w:asciiTheme="minorEastAsia" w:hAnsiTheme="minorEastAsia" w:eastAsiaTheme="minorEastAsia" w:cstheme="minorEastAsia"/>
          <w:color w:val="000000" w:themeColor="text1"/>
          <w14:textFill>
            <w14:solidFill>
              <w14:schemeClr w14:val="tx1"/>
            </w14:solidFill>
          </w14:textFill>
        </w:rPr>
        <w:br w:type="page"/>
      </w:r>
      <w:bookmarkStart w:id="658" w:name="_Toc14563"/>
      <w:bookmarkStart w:id="659" w:name="_Toc7591"/>
      <w:bookmarkStart w:id="660" w:name="_Toc9772"/>
      <w:bookmarkStart w:id="661" w:name="_Toc32625"/>
      <w:r>
        <w:rPr>
          <w:rFonts w:hint="eastAsia" w:asciiTheme="minorEastAsia" w:hAnsiTheme="minorEastAsia" w:eastAsiaTheme="minorEastAsia" w:cstheme="minorEastAsia"/>
          <w:bCs/>
          <w:color w:val="000000" w:themeColor="text1"/>
          <w:sz w:val="32"/>
          <w:szCs w:val="32"/>
          <w14:textFill>
            <w14:solidFill>
              <w14:schemeClr w14:val="tx1"/>
            </w14:solidFill>
          </w14:textFill>
        </w:rPr>
        <w:t>支付保函</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499A393E">
      <w:pPr>
        <w:wordWrap w:val="0"/>
        <w:spacing w:line="360" w:lineRule="auto"/>
        <w:jc w:val="right"/>
        <w:rPr>
          <w:rFonts w:asciiTheme="minorEastAsia" w:hAnsiTheme="minorEastAsia" w:eastAsiaTheme="minorEastAsia" w:cstheme="minorEastAsia"/>
          <w:color w:val="000000" w:themeColor="text1"/>
          <w:szCs w:val="21"/>
          <w14:textFill>
            <w14:solidFill>
              <w14:schemeClr w14:val="tx1"/>
            </w14:solidFill>
          </w14:textFill>
        </w:rPr>
      </w:pPr>
      <w:r>
        <w:rPr>
          <w:rFonts w:asciiTheme="minorEastAsia" w:hAnsiTheme="minorEastAsia" w:eastAsiaTheme="minorEastAsia" w:cstheme="minorEastAsia"/>
          <w:color w:val="000000" w:themeColor="text1"/>
          <w:szCs w:val="21"/>
          <w14:textFill>
            <w14:solidFill>
              <w14:schemeClr w14:val="tx1"/>
            </w14:solidFill>
          </w14:textFill>
        </w:rPr>
        <w:t xml:space="preserve">编号：           </w:t>
      </w:r>
    </w:p>
    <w:p w14:paraId="3C92CD86">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申请人：</w:t>
      </w:r>
    </w:p>
    <w:p w14:paraId="66E36AE3">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地址：</w:t>
      </w:r>
    </w:p>
    <w:p w14:paraId="3D88852B">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受益人：</w:t>
      </w:r>
    </w:p>
    <w:p w14:paraId="3969A261">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地址：</w:t>
      </w:r>
    </w:p>
    <w:p w14:paraId="24874253">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开立人：</w:t>
      </w:r>
    </w:p>
    <w:p w14:paraId="740830E2">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地址：</w:t>
      </w:r>
    </w:p>
    <w:p w14:paraId="794839EC">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p>
    <w:p w14:paraId="62E2FB42">
      <w:pPr>
        <w:spacing w:line="360" w:lineRule="auto"/>
        <w:rPr>
          <w:rFonts w:asciiTheme="minorEastAsia" w:hAnsiTheme="minorEastAsia" w:eastAsiaTheme="minorEastAsia" w:cstheme="minorEastAsia"/>
          <w:color w:val="000000" w:themeColor="text1"/>
          <w:szCs w:val="24"/>
          <w14:textFill>
            <w14:solidFill>
              <w14:schemeClr w14:val="tx1"/>
            </w14:solidFill>
          </w14:textFill>
        </w:rPr>
      </w:pPr>
      <w:bookmarkStart w:id="662" w:name="_Hlk40355074"/>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（受益人名称）： </w:t>
      </w:r>
    </w:p>
    <w:bookmarkEnd w:id="662"/>
    <w:p w14:paraId="38CDFBC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鉴于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（以下简称“受益人”）与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（以下简称“申请人”）于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年</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月</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日就</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工程（以下简称“本工程”）施工和有关事项协商一致共同签订</w:t>
      </w:r>
      <w:r>
        <w:rPr>
          <w:rFonts w:asciiTheme="minorEastAsia" w:hAnsiTheme="minorEastAsia" w:eastAsiaTheme="minorEastAsia" w:cstheme="minorEastAsia"/>
          <w:color w:val="000000" w:themeColor="text1"/>
          <w:szCs w:val="24"/>
          <w:u w:val="single"/>
          <w14:textFill>
            <w14:solidFill>
              <w14:schemeClr w14:val="tx1"/>
            </w14:solidFill>
          </w14:textFill>
        </w:rPr>
        <w:t>《        》</w:t>
      </w:r>
      <w:r>
        <w:rPr>
          <w:rFonts w:asciiTheme="minorEastAsia" w:hAnsiTheme="minorEastAsia" w:eastAsiaTheme="minorEastAsia" w:cstheme="minorEastAsia"/>
          <w:color w:val="000000" w:themeColor="text1"/>
          <w:szCs w:val="24"/>
          <w14:textFill>
            <w14:solidFill>
              <w14:schemeClr w14:val="tx1"/>
            </w14:solidFill>
          </w14:textFill>
        </w:rPr>
        <w:t xml:space="preserve">（以下简称“基础合同”），我方（即“开立人”）根据基础合同了解到申请人为基础合同项下之招标人，受益人为基础合同项下之中标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14:paraId="5141C5BB">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一、本保函担保范围：申请人未履行基础合同约定的工程款支付义务，应当向贵方承担的违约责任和赔偿因此造成的损失、利息、律师费、诉讼费用等实现债权的费用。</w:t>
      </w:r>
    </w:p>
    <w:p w14:paraId="634B841A">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二、本保函担保金额最高不超过人民币（大写）</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元（¥</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 </w:t>
      </w:r>
    </w:p>
    <w:p w14:paraId="6317CC3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三、本保函有效期自开立之日起至基础合同约定的除工程质量保修金以外的全部工程结算款项支付之日后</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日止，最迟不超过</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年</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月</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日。 </w:t>
      </w:r>
    </w:p>
    <w:p w14:paraId="2302FE21">
      <w:pPr>
        <w:spacing w:line="360" w:lineRule="auto"/>
        <w:ind w:firstLine="48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四、我方承诺，在收到受益人发来的书面付款通知后的</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日内无条件支付，前述书面付款通知即为付款要求之单据，且应满足以下要求：</w:t>
      </w:r>
    </w:p>
    <w:p w14:paraId="44DBF3C8">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（1）付款通知到达的日期在本保函的有效期内；</w:t>
      </w:r>
    </w:p>
    <w:p w14:paraId="4524178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（2）载明要求支付的金额；</w:t>
      </w:r>
    </w:p>
    <w:p w14:paraId="14A8322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（3）载明申请人违反合同义务的条款和内容；</w:t>
      </w:r>
    </w:p>
    <w:p w14:paraId="1399936F">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（4）声明不存在合同文件约定或我国法律规定免除申请人或开立人支付责任的情形；</w:t>
      </w:r>
    </w:p>
    <w:p w14:paraId="05B9CDD0">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（5）付款通知应在本保函有效期内到达的地址是：</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w:t>
      </w:r>
    </w:p>
    <w:p w14:paraId="441958CA">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受益人发出的书面付款通知应由其为鉴明受益人法定代表人（负责人）或授权代理人签字并加盖公章。</w:t>
      </w:r>
    </w:p>
    <w:p w14:paraId="1B700804">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五、本保函项下的权利不得转让，不得设定担保。贵方未经我方书面同意转 让本保函或其项下任何权利，对我方不发生法律效力。 </w:t>
      </w:r>
    </w:p>
    <w:p w14:paraId="33F031A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六、与本保函有关的基础合同不成立、不生效、无效、被撤销、被解除，不影响本保函的独立有效。 </w:t>
      </w:r>
    </w:p>
    <w:p w14:paraId="20ACE5D3">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七、贵方应在本保函到期后的七日内将本保函正本退回我方注销，但是不论贵方是否按此要求将本保函正本退回我方，我方在本保函项下的义务和责任均在保函有效期到期后自动消灭。 </w:t>
      </w:r>
    </w:p>
    <w:p w14:paraId="23F99E8E">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八、本保函适用的法律为中华人民共和国法律，争议裁判管辖地为中华人民共和国</w:t>
      </w:r>
      <w:r>
        <w:rPr>
          <w:rFonts w:asciiTheme="minorEastAsia" w:hAnsiTheme="minorEastAsia" w:eastAsiaTheme="minorEastAsia" w:cstheme="minorEastAsia"/>
          <w:color w:val="000000" w:themeColor="text1"/>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zCs w:val="24"/>
          <w14:textFill>
            <w14:solidFill>
              <w14:schemeClr w14:val="tx1"/>
            </w14:solidFill>
          </w14:textFill>
        </w:rPr>
        <w:t xml:space="preserve">。 </w:t>
      </w:r>
    </w:p>
    <w:p w14:paraId="3A446B54">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九、本保函自我方法定代表人</w:t>
      </w:r>
      <w:bookmarkStart w:id="663" w:name="_Hlk58487855"/>
      <w:r>
        <w:rPr>
          <w:rFonts w:asciiTheme="minorEastAsia" w:hAnsiTheme="minorEastAsia" w:eastAsiaTheme="minorEastAsia" w:cstheme="minorEastAsia"/>
          <w:color w:val="000000" w:themeColor="text1"/>
          <w:szCs w:val="24"/>
          <w14:textFill>
            <w14:solidFill>
              <w14:schemeClr w14:val="tx1"/>
            </w14:solidFill>
          </w14:textFill>
        </w:rPr>
        <w:t>或授权代表</w:t>
      </w:r>
      <w:bookmarkEnd w:id="663"/>
      <w:r>
        <w:rPr>
          <w:rFonts w:asciiTheme="minorEastAsia" w:hAnsiTheme="minorEastAsia" w:eastAsiaTheme="minorEastAsia" w:cstheme="minorEastAsia"/>
          <w:color w:val="000000" w:themeColor="text1"/>
          <w:szCs w:val="24"/>
          <w14:textFill>
            <w14:solidFill>
              <w14:schemeClr w14:val="tx1"/>
            </w14:solidFill>
          </w14:textFill>
        </w:rPr>
        <w:t xml:space="preserve">签字并加盖公章之日起生效。 </w:t>
      </w:r>
    </w:p>
    <w:p w14:paraId="6DD642C4">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p>
    <w:p w14:paraId="4FCC3D75">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p>
    <w:p w14:paraId="695E8CD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开 立 人：                              （公章） </w:t>
      </w:r>
    </w:p>
    <w:p w14:paraId="6B4DFE0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法定代表人（或授权代表）：               （签字） </w:t>
      </w:r>
    </w:p>
    <w:p w14:paraId="2A1832C8">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地    址：                                       </w:t>
      </w:r>
    </w:p>
    <w:p w14:paraId="7D60F872">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邮政编码：                 </w:t>
      </w:r>
    </w:p>
    <w:p w14:paraId="0C282CCC">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电    话：                 </w:t>
      </w:r>
    </w:p>
    <w:p w14:paraId="7C4B397D">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传    真：                 </w:t>
      </w:r>
    </w:p>
    <w:p w14:paraId="6CE97721">
      <w:pPr>
        <w:spacing w:line="360" w:lineRule="auto"/>
        <w:ind w:firstLine="480" w:firstLineChars="200"/>
        <w:rPr>
          <w:rFonts w:asciiTheme="minorEastAsia" w:hAnsiTheme="minorEastAsia" w:eastAsiaTheme="minorEastAsia" w:cstheme="minorEastAsia"/>
          <w:color w:val="000000" w:themeColor="text1"/>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开立时间：      年      月        日</w:t>
      </w:r>
    </w:p>
    <w:p w14:paraId="538C1D9B">
      <w:pPr>
        <w:spacing w:line="374" w:lineRule="auto"/>
        <w:ind w:left="698" w:right="524"/>
        <w:jc w:val="left"/>
        <w:rPr>
          <w:rFonts w:asciiTheme="minorEastAsia" w:hAnsiTheme="minorEastAsia" w:eastAsiaTheme="minorEastAsia" w:cstheme="minorEastAsia"/>
          <w:color w:val="000000" w:themeColor="text1"/>
          <w:szCs w:val="24"/>
          <w14:textFill>
            <w14:solidFill>
              <w14:schemeClr w14:val="tx1"/>
            </w14:solidFill>
          </w14:textFill>
        </w:rPr>
      </w:pPr>
    </w:p>
    <w:p w14:paraId="41589D73">
      <w:pPr>
        <w:pStyle w:val="30"/>
        <w:rPr>
          <w:rFonts w:hint="eastAsia" w:asciiTheme="minorEastAsia" w:hAnsiTheme="minorEastAsia" w:eastAsiaTheme="minorEastAsia" w:cstheme="minorEastAsia"/>
          <w:color w:val="000000" w:themeColor="text1"/>
          <w:sz w:val="24"/>
          <w14:textFill>
            <w14:solidFill>
              <w14:schemeClr w14:val="tx1"/>
            </w14:solidFill>
          </w14:textFill>
        </w:rPr>
      </w:pPr>
    </w:p>
    <w:p w14:paraId="7F9D0BF5">
      <w:pPr>
        <w:rPr>
          <w:rFonts w:asciiTheme="minorEastAsia" w:hAnsiTheme="minorEastAsia" w:eastAsiaTheme="minorEastAsia" w:cstheme="minorEastAsia"/>
          <w:color w:val="000000" w:themeColor="text1"/>
          <w14:textFill>
            <w14:solidFill>
              <w14:schemeClr w14:val="tx1"/>
            </w14:solidFill>
          </w14:textFill>
        </w:rPr>
      </w:pPr>
    </w:p>
    <w:p w14:paraId="46E0A546">
      <w:pPr>
        <w:pStyle w:val="30"/>
        <w:rPr>
          <w:rFonts w:hint="eastAsia" w:asciiTheme="minorEastAsia" w:hAnsiTheme="minorEastAsia" w:eastAsiaTheme="minorEastAsia" w:cstheme="minorEastAsia"/>
          <w:color w:val="000000" w:themeColor="text1"/>
          <w:sz w:val="24"/>
          <w14:textFill>
            <w14:solidFill>
              <w14:schemeClr w14:val="tx1"/>
            </w14:solidFill>
          </w14:textFill>
        </w:rPr>
      </w:pPr>
    </w:p>
    <w:p w14:paraId="33313E3B">
      <w:pPr>
        <w:spacing w:line="374" w:lineRule="auto"/>
        <w:ind w:left="698" w:right="524"/>
        <w:jc w:val="left"/>
        <w:rPr>
          <w:rFonts w:asciiTheme="minorEastAsia" w:hAnsiTheme="minorEastAsia" w:eastAsiaTheme="minorEastAsia" w:cstheme="minorEastAsia"/>
          <w:strike/>
          <w:color w:val="000000" w:themeColor="text1"/>
          <w:szCs w:val="24"/>
          <w14:textFill>
            <w14:solidFill>
              <w14:schemeClr w14:val="tx1"/>
            </w14:solidFill>
          </w14:textFill>
        </w:rPr>
      </w:pPr>
    </w:p>
    <w:p w14:paraId="032D2212">
      <w:pPr>
        <w:rPr>
          <w:rFonts w:asciiTheme="minorEastAsia" w:hAnsiTheme="minorEastAsia" w:eastAsiaTheme="minorEastAsia" w:cstheme="minorEastAsia"/>
          <w:color w:val="000000" w:themeColor="text1"/>
          <w14:textFill>
            <w14:solidFill>
              <w14:schemeClr w14:val="tx1"/>
            </w14:solidFill>
          </w14:textFill>
        </w:rPr>
        <w:sectPr>
          <w:pgSz w:w="11907" w:h="16840"/>
          <w:pgMar w:top="1247" w:right="1474" w:bottom="1247" w:left="1361" w:header="680" w:footer="680" w:gutter="0"/>
          <w:cols w:space="720" w:num="1"/>
        </w:sectPr>
      </w:pPr>
    </w:p>
    <w:p w14:paraId="7580CEB3">
      <w:pPr>
        <w:pStyle w:val="60"/>
        <w:spacing w:line="440" w:lineRule="exact"/>
        <w:ind w:firstLine="0" w:firstLineChars="0"/>
        <w:rPr>
          <w:rFonts w:hint="eastAsia" w:asciiTheme="minorEastAsia" w:hAnsiTheme="minorEastAsia" w:eastAsiaTheme="minorEastAsia" w:cstheme="minorEastAsia"/>
          <w:color w:val="000000" w:themeColor="text1"/>
          <w:szCs w:val="32"/>
          <w14:textFill>
            <w14:solidFill>
              <w14:schemeClr w14:val="tx1"/>
            </w14:solidFill>
          </w14:textFill>
        </w:rPr>
      </w:pPr>
    </w:p>
    <w:p w14:paraId="698691C7">
      <w:pPr>
        <w:pStyle w:val="2"/>
        <w:jc w:val="center"/>
        <w:rPr>
          <w:rFonts w:asciiTheme="minorEastAsia" w:hAnsiTheme="minorEastAsia" w:eastAsiaTheme="minorEastAsia" w:cstheme="minorEastAsia"/>
          <w:b/>
          <w:color w:val="000000" w:themeColor="text1"/>
          <w:kern w:val="44"/>
          <w:sz w:val="36"/>
          <w:szCs w:val="36"/>
          <w14:textFill>
            <w14:solidFill>
              <w14:schemeClr w14:val="tx1"/>
            </w14:solidFill>
          </w14:textFill>
        </w:rPr>
      </w:pPr>
      <w:bookmarkStart w:id="664" w:name="_Toc466640622"/>
      <w:bookmarkStart w:id="665" w:name="_Toc13167"/>
      <w:bookmarkStart w:id="666" w:name="_Toc26594"/>
      <w:bookmarkStart w:id="667" w:name="_Toc3242"/>
      <w:bookmarkStart w:id="668" w:name="_Toc9802"/>
      <w:bookmarkStart w:id="669" w:name="_Toc420"/>
      <w:bookmarkStart w:id="670" w:name="_Toc1879"/>
      <w:bookmarkStart w:id="671" w:name="_Toc12263"/>
      <w:bookmarkStart w:id="672" w:name="_Toc19434"/>
      <w:bookmarkStart w:id="673" w:name="_Toc3894"/>
      <w:bookmarkStart w:id="674" w:name="_Toc13641"/>
      <w:r>
        <w:rPr>
          <w:rFonts w:asciiTheme="minorEastAsia" w:hAnsiTheme="minorEastAsia" w:eastAsiaTheme="minorEastAsia" w:cstheme="minorEastAsia"/>
          <w:b/>
          <w:color w:val="000000" w:themeColor="text1"/>
          <w:kern w:val="44"/>
          <w:sz w:val="36"/>
          <w:szCs w:val="36"/>
          <w14:textFill>
            <w14:solidFill>
              <w14:schemeClr w14:val="tx1"/>
            </w14:solidFill>
          </w14:textFill>
        </w:rPr>
        <w:t xml:space="preserve">第九章  </w:t>
      </w:r>
      <w:bookmarkEnd w:id="496"/>
      <w:bookmarkEnd w:id="497"/>
      <w:bookmarkEnd w:id="498"/>
      <w:bookmarkEnd w:id="499"/>
      <w:bookmarkEnd w:id="664"/>
      <w:r>
        <w:rPr>
          <w:rFonts w:asciiTheme="minorEastAsia" w:hAnsiTheme="minorEastAsia" w:eastAsiaTheme="minorEastAsia" w:cstheme="minorEastAsia"/>
          <w:b/>
          <w:color w:val="000000" w:themeColor="text1"/>
          <w:kern w:val="44"/>
          <w:sz w:val="36"/>
          <w:szCs w:val="36"/>
          <w14:textFill>
            <w14:solidFill>
              <w14:schemeClr w14:val="tx1"/>
            </w14:solidFill>
          </w14:textFill>
        </w:rPr>
        <w:t>建设工程合同</w:t>
      </w:r>
      <w:bookmarkEnd w:id="665"/>
      <w:bookmarkEnd w:id="666"/>
      <w:bookmarkEnd w:id="667"/>
      <w:bookmarkEnd w:id="668"/>
      <w:bookmarkEnd w:id="669"/>
      <w:bookmarkEnd w:id="670"/>
      <w:bookmarkEnd w:id="671"/>
      <w:bookmarkEnd w:id="672"/>
      <w:bookmarkEnd w:id="673"/>
      <w:bookmarkEnd w:id="674"/>
    </w:p>
    <w:p w14:paraId="6A936DA9">
      <w:pPr>
        <w:rPr>
          <w:rFonts w:asciiTheme="minorEastAsia" w:hAnsiTheme="minorEastAsia" w:eastAsiaTheme="minorEastAsia" w:cstheme="minorEastAsia"/>
          <w:color w:val="000000" w:themeColor="text1"/>
          <w14:textFill>
            <w14:solidFill>
              <w14:schemeClr w14:val="tx1"/>
            </w14:solidFill>
          </w14:textFill>
        </w:rPr>
      </w:pPr>
    </w:p>
    <w:bookmarkEnd w:id="500"/>
    <w:bookmarkEnd w:id="501"/>
    <w:p w14:paraId="34E2DB97">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 略。总承包合同参照住房城乡建设部、国家工商行政管理总局制定的《建设项目工程总承包合同（示范文本）》GF-2020-0216。</w:t>
      </w:r>
    </w:p>
    <w:p w14:paraId="7E0EF89B">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施工合同按广东省建设厅《广东省建设工程标准施工合同》范本（2009）执行。</w:t>
      </w:r>
    </w:p>
    <w:p w14:paraId="1F6460D3">
      <w:pPr>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asciiTheme="minorEastAsia" w:hAnsiTheme="minorEastAsia" w:eastAsiaTheme="minorEastAsia" w:cstheme="minorEastAsia"/>
          <w:color w:val="000000" w:themeColor="text1"/>
          <w:szCs w:val="24"/>
          <w14:textFill>
            <w14:solidFill>
              <w14:schemeClr w14:val="tx1"/>
            </w14:solidFill>
          </w14:textFill>
        </w:rPr>
        <w:t xml:space="preserve">设计合同按住房城乡建设部、国家工商行政管理总局制定《建设工程设计合同示范文本（市政公用工程）》（GF-2015-0209）、《建设工程设计合同示范文本（专业建设工程）》（GF-2015-0210）执行。 </w:t>
      </w:r>
    </w:p>
    <w:p w14:paraId="68E344B5">
      <w:pPr>
        <w:spacing w:line="420" w:lineRule="atLeast"/>
        <w:ind w:firstLine="480" w:firstLineChars="200"/>
        <w:rPr>
          <w:rFonts w:asciiTheme="minorEastAsia" w:hAnsiTheme="minorEastAsia" w:eastAsiaTheme="minorEastAsia" w:cstheme="minorEastAsia"/>
          <w:color w:val="000000" w:themeColor="text1"/>
          <w14:textFill>
            <w14:solidFill>
              <w14:schemeClr w14:val="tx1"/>
            </w14:solidFill>
          </w14:textFill>
        </w:rPr>
      </w:pPr>
    </w:p>
    <w:p w14:paraId="71CFCD96">
      <w:pPr>
        <w:spacing w:line="420" w:lineRule="atLeast"/>
        <w:ind w:firstLine="480" w:firstLineChars="200"/>
        <w:rPr>
          <w:rFonts w:asciiTheme="minorEastAsia" w:hAnsiTheme="minorEastAsia" w:eastAsiaTheme="minorEastAsia" w:cstheme="minorEastAsia"/>
          <w:color w:val="000000" w:themeColor="text1"/>
          <w14:textFill>
            <w14:solidFill>
              <w14:schemeClr w14:val="tx1"/>
            </w14:solidFill>
          </w14:textFill>
        </w:rPr>
      </w:pPr>
    </w:p>
    <w:p w14:paraId="4C0EDAAB">
      <w:pPr>
        <w:rPr>
          <w:rFonts w:asciiTheme="minorEastAsia" w:hAnsiTheme="minorEastAsia" w:eastAsiaTheme="minorEastAsia" w:cstheme="minorEastAsia"/>
          <w:color w:val="000000" w:themeColor="text1"/>
          <w14:textFill>
            <w14:solidFill>
              <w14:schemeClr w14:val="tx1"/>
            </w14:solidFill>
          </w14:textFill>
        </w:rPr>
      </w:pPr>
    </w:p>
    <w:sectPr>
      <w:endnotePr>
        <w:numFmt w:val="decimal"/>
      </w:endnotePr>
      <w:pgSz w:w="11907" w:h="16840"/>
      <w:pgMar w:top="1134" w:right="1134" w:bottom="1021" w:left="1418" w:header="567" w:footer="510" w:gutter="0"/>
      <w:cols w:space="720" w:num="1"/>
      <w:docGrid w:type="lines"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Segoe Print"/>
    <w:panose1 w:val="02070603080606020203"/>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8061B">
    <w:pPr>
      <w:pStyle w:val="69"/>
      <w:tabs>
        <w:tab w:val="left" w:pos="4803"/>
        <w:tab w:val="clear" w:pos="4153"/>
      </w:tabs>
    </w:pPr>
    <w:r>
      <w:rPr>
        <w:rFonts w:hint="eastAsia"/>
      </w:rPr>
      <w:tab/>
    </w:r>
  </w:p>
  <w:p w14:paraId="333F3032">
    <w:pPr>
      <w:pStyle w:val="6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2208E">
    <w:pPr>
      <w:pStyle w:val="69"/>
      <w:tabs>
        <w:tab w:val="left" w:pos="4803"/>
        <w:tab w:val="clear" w:pos="4153"/>
      </w:tabs>
    </w:pPr>
    <w:r>
      <w:rPr>
        <w:rFonts w:hint="eastAsia"/>
      </w:rPr>
      <w:tab/>
    </w:r>
  </w:p>
  <w:p w14:paraId="0027AB1A">
    <w:pPr>
      <w:pStyle w:val="6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4A10A">
    <w:pPr>
      <w:pStyle w:val="69"/>
      <w:tabs>
        <w:tab w:val="left" w:pos="4803"/>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AEAD19">
                          <w:pPr>
                            <w:pStyle w:val="13"/>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3RzcIBAACN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JiPXgPDukLBw6SejjlBTMZxSYTRtVF6DP+8l6+kv2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yt0c3CAQAAjQMAAA4AAAAAAAAAAQAgAAAAHgEAAGRycy9lMm9Eb2MueG1sUEsF&#10;BgAAAAAGAAYAWQEAAFIFAAAAAA==&#10;">
              <v:fill on="f" focussize="0,0"/>
              <v:stroke on="f"/>
              <v:imagedata o:title=""/>
              <o:lock v:ext="edit" aspectratio="f"/>
              <v:textbox inset="0mm,0mm,0mm,0mm" style="mso-fit-shape-to-text:t;">
                <w:txbxContent>
                  <w:p w14:paraId="46AEAD19">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p w14:paraId="1812DCAF">
    <w:pPr>
      <w:pStyle w:val="6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5311E">
    <w:pPr>
      <w:pStyle w:val="69"/>
      <w:tabs>
        <w:tab w:val="left" w:pos="4803"/>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0AAC5E">
                          <w:pPr>
                            <w:pStyle w:val="13"/>
                          </w:pPr>
                          <w:r>
                            <w:fldChar w:fldCharType="begin"/>
                          </w:r>
                          <w:r>
                            <w:instrText xml:space="preserve"> PAGE  \* MERGEFORMAT </w:instrText>
                          </w:r>
                          <w:r>
                            <w:fldChar w:fldCharType="separate"/>
                          </w:r>
                          <w:r>
                            <w:t>105</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700AAC5E">
                    <w:pPr>
                      <w:pStyle w:val="13"/>
                    </w:pPr>
                    <w:r>
                      <w:fldChar w:fldCharType="begin"/>
                    </w:r>
                    <w:r>
                      <w:instrText xml:space="preserve"> PAGE  \* MERGEFORMAT </w:instrText>
                    </w:r>
                    <w:r>
                      <w:fldChar w:fldCharType="separate"/>
                    </w:r>
                    <w:r>
                      <w:t>105</w:t>
                    </w:r>
                    <w:r>
                      <w:fldChar w:fldCharType="end"/>
                    </w:r>
                  </w:p>
                </w:txbxContent>
              </v:textbox>
            </v:shape>
          </w:pict>
        </mc:Fallback>
      </mc:AlternateContent>
    </w:r>
    <w:r>
      <w:rPr>
        <w:rFonts w:hint="eastAsia"/>
      </w:rPr>
      <w:tab/>
    </w:r>
  </w:p>
  <w:p w14:paraId="2929F722">
    <w:pPr>
      <w:pStyle w:val="6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0E17B">
    <w:pPr>
      <w:pStyle w:val="13"/>
      <w:jc w:val="center"/>
      <w:rPr>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A9AE6E">
                          <w:pPr>
                            <w:pStyle w:val="13"/>
                          </w:pPr>
                          <w:r>
                            <w:fldChar w:fldCharType="begin"/>
                          </w:r>
                          <w:r>
                            <w:instrText xml:space="preserve"> PAGE  \* MERGEFORMAT </w:instrText>
                          </w:r>
                          <w:r>
                            <w:fldChar w:fldCharType="separate"/>
                          </w:r>
                          <w:r>
                            <w:t>117</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HoucIBAACN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L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rB6LnCAQAAjQMAAA4AAAAAAAAAAQAgAAAAHgEAAGRycy9lMm9Eb2MueG1sUEsF&#10;BgAAAAAGAAYAWQEAAFIFAAAAAA==&#10;">
              <v:fill on="f" focussize="0,0"/>
              <v:stroke on="f"/>
              <v:imagedata o:title=""/>
              <o:lock v:ext="edit" aspectratio="f"/>
              <v:textbox inset="0mm,0mm,0mm,0mm" style="mso-fit-shape-to-text:t;">
                <w:txbxContent>
                  <w:p w14:paraId="24A9AE6E">
                    <w:pPr>
                      <w:pStyle w:val="13"/>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7BA9E">
    <w:pPr>
      <w:jc w:val="center"/>
      <w:rPr>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66F47">
    <w:pPr>
      <w:pStyle w:val="14"/>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2DEF9"/>
    <w:multiLevelType w:val="singleLevel"/>
    <w:tmpl w:val="8152DEF9"/>
    <w:lvl w:ilvl="0" w:tentative="0">
      <w:start w:val="1"/>
      <w:numFmt w:val="decimal"/>
      <w:suff w:val="nothing"/>
      <w:lvlText w:val="（%1）"/>
      <w:lvlJc w:val="left"/>
    </w:lvl>
  </w:abstractNum>
  <w:abstractNum w:abstractNumId="1">
    <w:nsid w:val="9A22DE3C"/>
    <w:multiLevelType w:val="singleLevel"/>
    <w:tmpl w:val="9A22DE3C"/>
    <w:lvl w:ilvl="0" w:tentative="0">
      <w:start w:val="5"/>
      <w:numFmt w:val="decimal"/>
      <w:suff w:val="space"/>
      <w:lvlText w:val="%1."/>
      <w:lvlJc w:val="left"/>
    </w:lvl>
  </w:abstractNum>
  <w:abstractNum w:abstractNumId="2">
    <w:nsid w:val="C099E3A4"/>
    <w:multiLevelType w:val="singleLevel"/>
    <w:tmpl w:val="C099E3A4"/>
    <w:lvl w:ilvl="0" w:tentative="0">
      <w:start w:val="1"/>
      <w:numFmt w:val="chineseCounting"/>
      <w:suff w:val="nothing"/>
      <w:lvlText w:val="第%1、"/>
      <w:lvlJc w:val="left"/>
      <w:rPr>
        <w:rFonts w:hint="eastAsia"/>
      </w:rPr>
    </w:lvl>
  </w:abstractNum>
  <w:abstractNum w:abstractNumId="3">
    <w:nsid w:val="CFABDD9F"/>
    <w:multiLevelType w:val="singleLevel"/>
    <w:tmpl w:val="CFABDD9F"/>
    <w:lvl w:ilvl="0" w:tentative="0">
      <w:start w:val="1"/>
      <w:numFmt w:val="decimal"/>
      <w:suff w:val="nothing"/>
      <w:lvlText w:val="（%1）"/>
      <w:lvlJc w:val="left"/>
    </w:lvl>
  </w:abstractNum>
  <w:abstractNum w:abstractNumId="4">
    <w:nsid w:val="00000009"/>
    <w:multiLevelType w:val="multilevel"/>
    <w:tmpl w:val="00000009"/>
    <w:lvl w:ilvl="0" w:tentative="0">
      <w:start w:val="1"/>
      <w:numFmt w:val="bullet"/>
      <w:lvlText w:val=""/>
      <w:lvlJc w:val="left"/>
      <w:pPr>
        <w:tabs>
          <w:tab w:val="left" w:pos="420"/>
        </w:tabs>
        <w:ind w:left="420" w:hanging="420"/>
      </w:pPr>
      <w:rPr>
        <w:rFonts w:hint="default" w:ascii="Wingdings" w:hAnsi="Wingdings"/>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164677F"/>
    <w:multiLevelType w:val="singleLevel"/>
    <w:tmpl w:val="0164677F"/>
    <w:lvl w:ilvl="0" w:tentative="0">
      <w:start w:val="1"/>
      <w:numFmt w:val="decimal"/>
      <w:suff w:val="nothing"/>
      <w:lvlText w:val="（%1）"/>
      <w:lvlJc w:val="left"/>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jMjhlOTVkOWE3NmRmODlmYmU4YjVhNTcwYTQwY2QifQ=="/>
    <w:docVar w:name="KSO_WPS_MARK_KEY" w:val="2b56eff9-4bef-4219-8874-9567fb1cde91"/>
  </w:docVars>
  <w:rsids>
    <w:rsidRoot w:val="4C5944B1"/>
    <w:rsid w:val="000F7646"/>
    <w:rsid w:val="0011760F"/>
    <w:rsid w:val="001E0850"/>
    <w:rsid w:val="00281ECB"/>
    <w:rsid w:val="0028618B"/>
    <w:rsid w:val="002F176F"/>
    <w:rsid w:val="003A1942"/>
    <w:rsid w:val="003B643A"/>
    <w:rsid w:val="003E2709"/>
    <w:rsid w:val="00470DDF"/>
    <w:rsid w:val="0055689E"/>
    <w:rsid w:val="00597646"/>
    <w:rsid w:val="005E6BB8"/>
    <w:rsid w:val="0064163D"/>
    <w:rsid w:val="0065635A"/>
    <w:rsid w:val="00763680"/>
    <w:rsid w:val="007C3F91"/>
    <w:rsid w:val="007F691B"/>
    <w:rsid w:val="008C4168"/>
    <w:rsid w:val="00901845"/>
    <w:rsid w:val="00936991"/>
    <w:rsid w:val="00943625"/>
    <w:rsid w:val="00954357"/>
    <w:rsid w:val="00954A54"/>
    <w:rsid w:val="00A322B9"/>
    <w:rsid w:val="00A80EA7"/>
    <w:rsid w:val="00A845A6"/>
    <w:rsid w:val="00AE779B"/>
    <w:rsid w:val="00AF685C"/>
    <w:rsid w:val="00B16179"/>
    <w:rsid w:val="00B37196"/>
    <w:rsid w:val="00C04E0C"/>
    <w:rsid w:val="00CB07F4"/>
    <w:rsid w:val="00CD4D5B"/>
    <w:rsid w:val="00D561CD"/>
    <w:rsid w:val="00DA5A23"/>
    <w:rsid w:val="00E76514"/>
    <w:rsid w:val="00ED4B12"/>
    <w:rsid w:val="00F308B2"/>
    <w:rsid w:val="00F95669"/>
    <w:rsid w:val="01284AF4"/>
    <w:rsid w:val="012C10F1"/>
    <w:rsid w:val="016A5229"/>
    <w:rsid w:val="01A93FA3"/>
    <w:rsid w:val="01E704A0"/>
    <w:rsid w:val="02333D4C"/>
    <w:rsid w:val="02665093"/>
    <w:rsid w:val="029933CC"/>
    <w:rsid w:val="02D84414"/>
    <w:rsid w:val="033923C2"/>
    <w:rsid w:val="0348159A"/>
    <w:rsid w:val="03724869"/>
    <w:rsid w:val="0385459C"/>
    <w:rsid w:val="03BB6210"/>
    <w:rsid w:val="03C50E3C"/>
    <w:rsid w:val="03F46BE4"/>
    <w:rsid w:val="041A1188"/>
    <w:rsid w:val="042E69E2"/>
    <w:rsid w:val="04360B53"/>
    <w:rsid w:val="04495C7B"/>
    <w:rsid w:val="049727D9"/>
    <w:rsid w:val="04EA57F9"/>
    <w:rsid w:val="0694486B"/>
    <w:rsid w:val="06DC5A55"/>
    <w:rsid w:val="06F37A6F"/>
    <w:rsid w:val="06FF1426"/>
    <w:rsid w:val="070E2AFA"/>
    <w:rsid w:val="07762B7A"/>
    <w:rsid w:val="083E11BD"/>
    <w:rsid w:val="08915791"/>
    <w:rsid w:val="08C47915"/>
    <w:rsid w:val="08D63073"/>
    <w:rsid w:val="08DA2C94"/>
    <w:rsid w:val="08E14C23"/>
    <w:rsid w:val="092752BD"/>
    <w:rsid w:val="09320D22"/>
    <w:rsid w:val="097E7AC3"/>
    <w:rsid w:val="09B554AF"/>
    <w:rsid w:val="09C86F91"/>
    <w:rsid w:val="0A560A40"/>
    <w:rsid w:val="0A567FE4"/>
    <w:rsid w:val="0A873975"/>
    <w:rsid w:val="0AD7112E"/>
    <w:rsid w:val="0B633415"/>
    <w:rsid w:val="0BDA37C7"/>
    <w:rsid w:val="0C183B2E"/>
    <w:rsid w:val="0C3C08C2"/>
    <w:rsid w:val="0C5C7E64"/>
    <w:rsid w:val="0C7358DA"/>
    <w:rsid w:val="0CA737D5"/>
    <w:rsid w:val="0CBC40CB"/>
    <w:rsid w:val="0CC46135"/>
    <w:rsid w:val="0CC53C5B"/>
    <w:rsid w:val="0CDD0FA5"/>
    <w:rsid w:val="0D163D66"/>
    <w:rsid w:val="0D2B56E9"/>
    <w:rsid w:val="0D3037CB"/>
    <w:rsid w:val="0D5374B9"/>
    <w:rsid w:val="0D7002CE"/>
    <w:rsid w:val="0D724D63"/>
    <w:rsid w:val="0DA63A8D"/>
    <w:rsid w:val="0DB937C0"/>
    <w:rsid w:val="0DC53787"/>
    <w:rsid w:val="0DDA28D6"/>
    <w:rsid w:val="0DE6650F"/>
    <w:rsid w:val="0DF73507"/>
    <w:rsid w:val="0DFA207C"/>
    <w:rsid w:val="0F0A0D37"/>
    <w:rsid w:val="0F4E10F7"/>
    <w:rsid w:val="0F930041"/>
    <w:rsid w:val="0FA237B7"/>
    <w:rsid w:val="0FB24E29"/>
    <w:rsid w:val="0FE90846"/>
    <w:rsid w:val="101C0036"/>
    <w:rsid w:val="10264A11"/>
    <w:rsid w:val="10725EA8"/>
    <w:rsid w:val="10812D33"/>
    <w:rsid w:val="10914B5F"/>
    <w:rsid w:val="10BD6F35"/>
    <w:rsid w:val="10CD6B01"/>
    <w:rsid w:val="10F162D6"/>
    <w:rsid w:val="114C66F9"/>
    <w:rsid w:val="11845E93"/>
    <w:rsid w:val="123E21E9"/>
    <w:rsid w:val="12D90E21"/>
    <w:rsid w:val="13156E63"/>
    <w:rsid w:val="131F5532"/>
    <w:rsid w:val="13426006"/>
    <w:rsid w:val="13645F7C"/>
    <w:rsid w:val="141B23B3"/>
    <w:rsid w:val="142B4CEC"/>
    <w:rsid w:val="143C0CA7"/>
    <w:rsid w:val="14DC7D94"/>
    <w:rsid w:val="14E1675A"/>
    <w:rsid w:val="14FE0A31"/>
    <w:rsid w:val="15033573"/>
    <w:rsid w:val="1525173B"/>
    <w:rsid w:val="15BB3E4D"/>
    <w:rsid w:val="161F586A"/>
    <w:rsid w:val="16201F02"/>
    <w:rsid w:val="164E4741"/>
    <w:rsid w:val="16E178E4"/>
    <w:rsid w:val="175E7186"/>
    <w:rsid w:val="17AF3CDA"/>
    <w:rsid w:val="17B73663"/>
    <w:rsid w:val="17FF3E14"/>
    <w:rsid w:val="18770500"/>
    <w:rsid w:val="18AE7C99"/>
    <w:rsid w:val="19212219"/>
    <w:rsid w:val="19363AFA"/>
    <w:rsid w:val="19766526"/>
    <w:rsid w:val="19A65036"/>
    <w:rsid w:val="19B600B0"/>
    <w:rsid w:val="1A04743A"/>
    <w:rsid w:val="1A241393"/>
    <w:rsid w:val="1A3B37AF"/>
    <w:rsid w:val="1A495ECC"/>
    <w:rsid w:val="1A8D54AB"/>
    <w:rsid w:val="1A937147"/>
    <w:rsid w:val="1AA650CC"/>
    <w:rsid w:val="1AC63078"/>
    <w:rsid w:val="1ACF42A1"/>
    <w:rsid w:val="1B1742F2"/>
    <w:rsid w:val="1B6140A8"/>
    <w:rsid w:val="1B690B70"/>
    <w:rsid w:val="1B754A9E"/>
    <w:rsid w:val="1B8076CB"/>
    <w:rsid w:val="1B8A59D6"/>
    <w:rsid w:val="1BC03F6C"/>
    <w:rsid w:val="1BC05D1A"/>
    <w:rsid w:val="1BC11A92"/>
    <w:rsid w:val="1BC62A56"/>
    <w:rsid w:val="1BF80445"/>
    <w:rsid w:val="1C146065"/>
    <w:rsid w:val="1C4C1CA3"/>
    <w:rsid w:val="1C6061C5"/>
    <w:rsid w:val="1C8F1025"/>
    <w:rsid w:val="1CDD25B2"/>
    <w:rsid w:val="1CDD28FB"/>
    <w:rsid w:val="1CDE71ED"/>
    <w:rsid w:val="1D1170BC"/>
    <w:rsid w:val="1D750002"/>
    <w:rsid w:val="1DB7314C"/>
    <w:rsid w:val="1DC85359"/>
    <w:rsid w:val="1DEB51E9"/>
    <w:rsid w:val="1E480248"/>
    <w:rsid w:val="1E5310C7"/>
    <w:rsid w:val="1E787E3F"/>
    <w:rsid w:val="1E896032"/>
    <w:rsid w:val="1E8E20FF"/>
    <w:rsid w:val="1E9A6CF6"/>
    <w:rsid w:val="1ED02718"/>
    <w:rsid w:val="1EE95587"/>
    <w:rsid w:val="1F505606"/>
    <w:rsid w:val="1F7F413E"/>
    <w:rsid w:val="1F9951FF"/>
    <w:rsid w:val="1FBD45F2"/>
    <w:rsid w:val="20012DA5"/>
    <w:rsid w:val="20315438"/>
    <w:rsid w:val="206C46C2"/>
    <w:rsid w:val="20941E5C"/>
    <w:rsid w:val="20B144DF"/>
    <w:rsid w:val="20EF49EE"/>
    <w:rsid w:val="211D59BC"/>
    <w:rsid w:val="216B497A"/>
    <w:rsid w:val="21933ED0"/>
    <w:rsid w:val="225278E7"/>
    <w:rsid w:val="225A40A6"/>
    <w:rsid w:val="22A26860"/>
    <w:rsid w:val="22A6306A"/>
    <w:rsid w:val="22D8603F"/>
    <w:rsid w:val="22E42C35"/>
    <w:rsid w:val="230C5CE8"/>
    <w:rsid w:val="23160915"/>
    <w:rsid w:val="235F6EB5"/>
    <w:rsid w:val="23AB72AF"/>
    <w:rsid w:val="23BE3486"/>
    <w:rsid w:val="242F6132"/>
    <w:rsid w:val="24491954"/>
    <w:rsid w:val="244B0A92"/>
    <w:rsid w:val="24612064"/>
    <w:rsid w:val="24704055"/>
    <w:rsid w:val="24A83909"/>
    <w:rsid w:val="24AC7783"/>
    <w:rsid w:val="24EE1B49"/>
    <w:rsid w:val="25153BB3"/>
    <w:rsid w:val="253B5A69"/>
    <w:rsid w:val="2578303A"/>
    <w:rsid w:val="257D5076"/>
    <w:rsid w:val="25972C96"/>
    <w:rsid w:val="25BF256F"/>
    <w:rsid w:val="25C1100C"/>
    <w:rsid w:val="25D36F91"/>
    <w:rsid w:val="25E8104B"/>
    <w:rsid w:val="266F2816"/>
    <w:rsid w:val="268F110A"/>
    <w:rsid w:val="271D6716"/>
    <w:rsid w:val="272F01F7"/>
    <w:rsid w:val="27462BA9"/>
    <w:rsid w:val="27AC35F6"/>
    <w:rsid w:val="27C941A8"/>
    <w:rsid w:val="27EB411E"/>
    <w:rsid w:val="28335AC5"/>
    <w:rsid w:val="28461C9C"/>
    <w:rsid w:val="28FD4CC9"/>
    <w:rsid w:val="29587392"/>
    <w:rsid w:val="297D16EE"/>
    <w:rsid w:val="29A21132"/>
    <w:rsid w:val="29FD598B"/>
    <w:rsid w:val="2A475858"/>
    <w:rsid w:val="2A722D20"/>
    <w:rsid w:val="2A793900"/>
    <w:rsid w:val="2A7F1496"/>
    <w:rsid w:val="2A994305"/>
    <w:rsid w:val="2AA85E3B"/>
    <w:rsid w:val="2AAA4765"/>
    <w:rsid w:val="2AB90504"/>
    <w:rsid w:val="2AEA4B61"/>
    <w:rsid w:val="2BA456FE"/>
    <w:rsid w:val="2BEF49DC"/>
    <w:rsid w:val="2BF74425"/>
    <w:rsid w:val="2C1B0D4A"/>
    <w:rsid w:val="2C302A48"/>
    <w:rsid w:val="2C5D5807"/>
    <w:rsid w:val="2C733DC5"/>
    <w:rsid w:val="2C861EB2"/>
    <w:rsid w:val="2CD57184"/>
    <w:rsid w:val="2D145EC5"/>
    <w:rsid w:val="2D6A1F89"/>
    <w:rsid w:val="2D9D235F"/>
    <w:rsid w:val="2E0B36CC"/>
    <w:rsid w:val="2E0B376C"/>
    <w:rsid w:val="2E222864"/>
    <w:rsid w:val="2E5A3DAC"/>
    <w:rsid w:val="2F34284F"/>
    <w:rsid w:val="2F7E7F6E"/>
    <w:rsid w:val="2F7F0633"/>
    <w:rsid w:val="2F8530AA"/>
    <w:rsid w:val="2FC35981"/>
    <w:rsid w:val="30843362"/>
    <w:rsid w:val="30890978"/>
    <w:rsid w:val="311E37B6"/>
    <w:rsid w:val="31540F86"/>
    <w:rsid w:val="315947EF"/>
    <w:rsid w:val="31C91C1F"/>
    <w:rsid w:val="31FB42D0"/>
    <w:rsid w:val="322F37A1"/>
    <w:rsid w:val="32696CB3"/>
    <w:rsid w:val="326B7E18"/>
    <w:rsid w:val="32830F54"/>
    <w:rsid w:val="3286265A"/>
    <w:rsid w:val="329A44C1"/>
    <w:rsid w:val="33784CD4"/>
    <w:rsid w:val="33B71CA0"/>
    <w:rsid w:val="33CD3272"/>
    <w:rsid w:val="33E800AC"/>
    <w:rsid w:val="33F87B2A"/>
    <w:rsid w:val="33FB1B8D"/>
    <w:rsid w:val="343A1E13"/>
    <w:rsid w:val="345B6D51"/>
    <w:rsid w:val="34A55F9D"/>
    <w:rsid w:val="34A5706F"/>
    <w:rsid w:val="34AB28E5"/>
    <w:rsid w:val="34FA62E8"/>
    <w:rsid w:val="35325511"/>
    <w:rsid w:val="360F7B72"/>
    <w:rsid w:val="365437D6"/>
    <w:rsid w:val="3670318E"/>
    <w:rsid w:val="36D13957"/>
    <w:rsid w:val="36D466C5"/>
    <w:rsid w:val="36F11025"/>
    <w:rsid w:val="37691503"/>
    <w:rsid w:val="377C4D93"/>
    <w:rsid w:val="37AF33BA"/>
    <w:rsid w:val="37D70CAE"/>
    <w:rsid w:val="37ED2BA2"/>
    <w:rsid w:val="37F86DB5"/>
    <w:rsid w:val="37FC5ED4"/>
    <w:rsid w:val="3821593A"/>
    <w:rsid w:val="382B57FC"/>
    <w:rsid w:val="384358B1"/>
    <w:rsid w:val="38784F47"/>
    <w:rsid w:val="38B44A00"/>
    <w:rsid w:val="390E5CB1"/>
    <w:rsid w:val="395907FF"/>
    <w:rsid w:val="39657AA9"/>
    <w:rsid w:val="397321C6"/>
    <w:rsid w:val="397D4DF2"/>
    <w:rsid w:val="39934616"/>
    <w:rsid w:val="39F8091D"/>
    <w:rsid w:val="3A0A0D7C"/>
    <w:rsid w:val="3A21319F"/>
    <w:rsid w:val="3A465B2C"/>
    <w:rsid w:val="3A6A35C8"/>
    <w:rsid w:val="3AAF722D"/>
    <w:rsid w:val="3AD959D6"/>
    <w:rsid w:val="3B2154F6"/>
    <w:rsid w:val="3B286FE0"/>
    <w:rsid w:val="3B3E2DB3"/>
    <w:rsid w:val="3C1E33AE"/>
    <w:rsid w:val="3C3001B4"/>
    <w:rsid w:val="3CA52FDE"/>
    <w:rsid w:val="3CC22946"/>
    <w:rsid w:val="3CD01F3B"/>
    <w:rsid w:val="3CE753A4"/>
    <w:rsid w:val="3CF96E86"/>
    <w:rsid w:val="3D204801"/>
    <w:rsid w:val="3D287F80"/>
    <w:rsid w:val="3D361E88"/>
    <w:rsid w:val="3D697A37"/>
    <w:rsid w:val="3D9646D4"/>
    <w:rsid w:val="3DC95243"/>
    <w:rsid w:val="3DE07FF0"/>
    <w:rsid w:val="3E06185A"/>
    <w:rsid w:val="3E0D42F0"/>
    <w:rsid w:val="3E261EFC"/>
    <w:rsid w:val="3E3363C7"/>
    <w:rsid w:val="3E976956"/>
    <w:rsid w:val="3EF06066"/>
    <w:rsid w:val="3F073ADC"/>
    <w:rsid w:val="3FB672B0"/>
    <w:rsid w:val="3FEA0D08"/>
    <w:rsid w:val="3FEB51AC"/>
    <w:rsid w:val="400242A3"/>
    <w:rsid w:val="40582115"/>
    <w:rsid w:val="40955117"/>
    <w:rsid w:val="410B1343"/>
    <w:rsid w:val="41601348"/>
    <w:rsid w:val="41626E05"/>
    <w:rsid w:val="416A12B6"/>
    <w:rsid w:val="41AA3CDD"/>
    <w:rsid w:val="41DD28D2"/>
    <w:rsid w:val="42114C71"/>
    <w:rsid w:val="421C10AE"/>
    <w:rsid w:val="425D3A13"/>
    <w:rsid w:val="42B44D10"/>
    <w:rsid w:val="42BA41B0"/>
    <w:rsid w:val="42C13FA2"/>
    <w:rsid w:val="430C15CB"/>
    <w:rsid w:val="430C699F"/>
    <w:rsid w:val="43397FDC"/>
    <w:rsid w:val="437943F5"/>
    <w:rsid w:val="439E2535"/>
    <w:rsid w:val="43A80694"/>
    <w:rsid w:val="43B6162D"/>
    <w:rsid w:val="43C776EA"/>
    <w:rsid w:val="43DF5FA7"/>
    <w:rsid w:val="43F403A7"/>
    <w:rsid w:val="44220A07"/>
    <w:rsid w:val="442C7B41"/>
    <w:rsid w:val="445F5FF9"/>
    <w:rsid w:val="44A578BE"/>
    <w:rsid w:val="44BA339E"/>
    <w:rsid w:val="45185537"/>
    <w:rsid w:val="45280308"/>
    <w:rsid w:val="45967968"/>
    <w:rsid w:val="46144D30"/>
    <w:rsid w:val="465D3E1C"/>
    <w:rsid w:val="46893028"/>
    <w:rsid w:val="46A02C50"/>
    <w:rsid w:val="46B7282A"/>
    <w:rsid w:val="46C40504"/>
    <w:rsid w:val="46E77832"/>
    <w:rsid w:val="47617388"/>
    <w:rsid w:val="484418FD"/>
    <w:rsid w:val="487429ED"/>
    <w:rsid w:val="48B102E1"/>
    <w:rsid w:val="48C37705"/>
    <w:rsid w:val="48D6451F"/>
    <w:rsid w:val="48FA020D"/>
    <w:rsid w:val="493E5947"/>
    <w:rsid w:val="497004D0"/>
    <w:rsid w:val="499E328F"/>
    <w:rsid w:val="49A53A73"/>
    <w:rsid w:val="49BA59AE"/>
    <w:rsid w:val="4A080708"/>
    <w:rsid w:val="4A17094B"/>
    <w:rsid w:val="4A377173"/>
    <w:rsid w:val="4B02258B"/>
    <w:rsid w:val="4B524331"/>
    <w:rsid w:val="4B651AD7"/>
    <w:rsid w:val="4B7E5126"/>
    <w:rsid w:val="4B9D66AF"/>
    <w:rsid w:val="4BB50FA7"/>
    <w:rsid w:val="4C1E4213"/>
    <w:rsid w:val="4C5944B1"/>
    <w:rsid w:val="4C6F3A23"/>
    <w:rsid w:val="4C8F5C62"/>
    <w:rsid w:val="4C921131"/>
    <w:rsid w:val="4D0168EA"/>
    <w:rsid w:val="4D355CB8"/>
    <w:rsid w:val="4D4001B9"/>
    <w:rsid w:val="4D4B557E"/>
    <w:rsid w:val="4DB320D6"/>
    <w:rsid w:val="4DEB3918"/>
    <w:rsid w:val="4DFA2A5E"/>
    <w:rsid w:val="4E031912"/>
    <w:rsid w:val="4E267A1C"/>
    <w:rsid w:val="4E74636C"/>
    <w:rsid w:val="4EA9414C"/>
    <w:rsid w:val="4EBC134A"/>
    <w:rsid w:val="4EEF1E97"/>
    <w:rsid w:val="4F244236"/>
    <w:rsid w:val="4F802EB1"/>
    <w:rsid w:val="4FF63749"/>
    <w:rsid w:val="507408A5"/>
    <w:rsid w:val="508A67B9"/>
    <w:rsid w:val="514F30C0"/>
    <w:rsid w:val="51E073BF"/>
    <w:rsid w:val="52181704"/>
    <w:rsid w:val="5237602E"/>
    <w:rsid w:val="52741030"/>
    <w:rsid w:val="52923265"/>
    <w:rsid w:val="52B551A5"/>
    <w:rsid w:val="52ED43B9"/>
    <w:rsid w:val="53084363"/>
    <w:rsid w:val="53BF452D"/>
    <w:rsid w:val="543A0058"/>
    <w:rsid w:val="545A24A8"/>
    <w:rsid w:val="54A454D1"/>
    <w:rsid w:val="54DE6C35"/>
    <w:rsid w:val="54E73D18"/>
    <w:rsid w:val="558772CD"/>
    <w:rsid w:val="55920D2D"/>
    <w:rsid w:val="55985036"/>
    <w:rsid w:val="55F07786"/>
    <w:rsid w:val="55FE3948"/>
    <w:rsid w:val="56290384"/>
    <w:rsid w:val="56352885"/>
    <w:rsid w:val="56B20706"/>
    <w:rsid w:val="56F73FDE"/>
    <w:rsid w:val="57275E90"/>
    <w:rsid w:val="574A6804"/>
    <w:rsid w:val="577C3646"/>
    <w:rsid w:val="579730CB"/>
    <w:rsid w:val="57CF0AB7"/>
    <w:rsid w:val="57D91936"/>
    <w:rsid w:val="585A4825"/>
    <w:rsid w:val="58D04CC8"/>
    <w:rsid w:val="58D77C23"/>
    <w:rsid w:val="58EF1411"/>
    <w:rsid w:val="590B1FC3"/>
    <w:rsid w:val="594A6647"/>
    <w:rsid w:val="59725B9E"/>
    <w:rsid w:val="59B166C6"/>
    <w:rsid w:val="59DD570D"/>
    <w:rsid w:val="5A0C7DA1"/>
    <w:rsid w:val="5AA1673B"/>
    <w:rsid w:val="5AE34FA5"/>
    <w:rsid w:val="5AE66844"/>
    <w:rsid w:val="5B1D63D9"/>
    <w:rsid w:val="5B2E3D47"/>
    <w:rsid w:val="5BA1276A"/>
    <w:rsid w:val="5BA32F4B"/>
    <w:rsid w:val="5BC22E0D"/>
    <w:rsid w:val="5C0C052C"/>
    <w:rsid w:val="5C0E3D80"/>
    <w:rsid w:val="5C606182"/>
    <w:rsid w:val="5C6A0DAE"/>
    <w:rsid w:val="5CE943C9"/>
    <w:rsid w:val="5D6F2B20"/>
    <w:rsid w:val="5DE828D3"/>
    <w:rsid w:val="5E062D59"/>
    <w:rsid w:val="5E473A9D"/>
    <w:rsid w:val="5E677C9B"/>
    <w:rsid w:val="5F217E4A"/>
    <w:rsid w:val="5F354B76"/>
    <w:rsid w:val="602A1ED7"/>
    <w:rsid w:val="60483AFC"/>
    <w:rsid w:val="60885E2E"/>
    <w:rsid w:val="613B0F6B"/>
    <w:rsid w:val="61B72CE8"/>
    <w:rsid w:val="6256605D"/>
    <w:rsid w:val="62774225"/>
    <w:rsid w:val="62A96AD4"/>
    <w:rsid w:val="62AD76C0"/>
    <w:rsid w:val="62C507C9"/>
    <w:rsid w:val="62D11B87"/>
    <w:rsid w:val="63272A98"/>
    <w:rsid w:val="63273E9D"/>
    <w:rsid w:val="63422A85"/>
    <w:rsid w:val="634405AB"/>
    <w:rsid w:val="6390559E"/>
    <w:rsid w:val="639D765E"/>
    <w:rsid w:val="63B30F2E"/>
    <w:rsid w:val="63B53257"/>
    <w:rsid w:val="640C1C55"/>
    <w:rsid w:val="64557053"/>
    <w:rsid w:val="647E0D38"/>
    <w:rsid w:val="64A60857"/>
    <w:rsid w:val="65037FF2"/>
    <w:rsid w:val="65041398"/>
    <w:rsid w:val="650A75D2"/>
    <w:rsid w:val="65D5198E"/>
    <w:rsid w:val="66067004"/>
    <w:rsid w:val="66E77BCB"/>
    <w:rsid w:val="674E6C15"/>
    <w:rsid w:val="675114E9"/>
    <w:rsid w:val="67867202"/>
    <w:rsid w:val="679413D5"/>
    <w:rsid w:val="67A96C2F"/>
    <w:rsid w:val="67AE2497"/>
    <w:rsid w:val="67AF7FBD"/>
    <w:rsid w:val="67C63C85"/>
    <w:rsid w:val="67E450CE"/>
    <w:rsid w:val="688A4CB2"/>
    <w:rsid w:val="68DE4FFE"/>
    <w:rsid w:val="68E32614"/>
    <w:rsid w:val="68F13666"/>
    <w:rsid w:val="693410C2"/>
    <w:rsid w:val="693B7312"/>
    <w:rsid w:val="6949691B"/>
    <w:rsid w:val="697274F4"/>
    <w:rsid w:val="69787200"/>
    <w:rsid w:val="697F233D"/>
    <w:rsid w:val="69B2159C"/>
    <w:rsid w:val="69F60125"/>
    <w:rsid w:val="6A060AF0"/>
    <w:rsid w:val="6A542DAB"/>
    <w:rsid w:val="6AAB0F10"/>
    <w:rsid w:val="6ABE0C43"/>
    <w:rsid w:val="6B3158B9"/>
    <w:rsid w:val="6B601CFA"/>
    <w:rsid w:val="6B6D4417"/>
    <w:rsid w:val="6C3F4006"/>
    <w:rsid w:val="6C4F72C1"/>
    <w:rsid w:val="6C946959"/>
    <w:rsid w:val="6CB9494B"/>
    <w:rsid w:val="6CEB1A97"/>
    <w:rsid w:val="6CF84455"/>
    <w:rsid w:val="6D390A55"/>
    <w:rsid w:val="6D4A2C62"/>
    <w:rsid w:val="6DA87988"/>
    <w:rsid w:val="6DFD5F26"/>
    <w:rsid w:val="6E105C5A"/>
    <w:rsid w:val="6E290AC9"/>
    <w:rsid w:val="6E4006B2"/>
    <w:rsid w:val="6E427DDD"/>
    <w:rsid w:val="6E62222D"/>
    <w:rsid w:val="6E8A0099"/>
    <w:rsid w:val="6F1060F6"/>
    <w:rsid w:val="6F541B76"/>
    <w:rsid w:val="6F7E1B58"/>
    <w:rsid w:val="6F8B7B20"/>
    <w:rsid w:val="6FE0165C"/>
    <w:rsid w:val="6FE74798"/>
    <w:rsid w:val="70223A22"/>
    <w:rsid w:val="70633D9B"/>
    <w:rsid w:val="7073427E"/>
    <w:rsid w:val="70B76860"/>
    <w:rsid w:val="70CE7706"/>
    <w:rsid w:val="70FA04FB"/>
    <w:rsid w:val="710E3FA6"/>
    <w:rsid w:val="71132B52"/>
    <w:rsid w:val="71765B16"/>
    <w:rsid w:val="725325B9"/>
    <w:rsid w:val="725351DA"/>
    <w:rsid w:val="72987FCC"/>
    <w:rsid w:val="72D54D7C"/>
    <w:rsid w:val="72E41463"/>
    <w:rsid w:val="72EA7879"/>
    <w:rsid w:val="7343262D"/>
    <w:rsid w:val="73B9469D"/>
    <w:rsid w:val="73DD1399"/>
    <w:rsid w:val="74356371"/>
    <w:rsid w:val="74485A21"/>
    <w:rsid w:val="74885923"/>
    <w:rsid w:val="74D55507"/>
    <w:rsid w:val="752244C4"/>
    <w:rsid w:val="754547A2"/>
    <w:rsid w:val="75623F7A"/>
    <w:rsid w:val="75862CA5"/>
    <w:rsid w:val="75D457BF"/>
    <w:rsid w:val="76257DC8"/>
    <w:rsid w:val="768A40CF"/>
    <w:rsid w:val="76EA0007"/>
    <w:rsid w:val="77043E82"/>
    <w:rsid w:val="77130569"/>
    <w:rsid w:val="771A5453"/>
    <w:rsid w:val="77784870"/>
    <w:rsid w:val="77B358A8"/>
    <w:rsid w:val="77C83101"/>
    <w:rsid w:val="77FC724F"/>
    <w:rsid w:val="78BF0CEF"/>
    <w:rsid w:val="78FE2050"/>
    <w:rsid w:val="79664F44"/>
    <w:rsid w:val="79FA5A10"/>
    <w:rsid w:val="7A067F11"/>
    <w:rsid w:val="7A2544C3"/>
    <w:rsid w:val="7A37631C"/>
    <w:rsid w:val="7A401675"/>
    <w:rsid w:val="7A603412"/>
    <w:rsid w:val="7A955AA3"/>
    <w:rsid w:val="7A9E283F"/>
    <w:rsid w:val="7AB17498"/>
    <w:rsid w:val="7AB20E73"/>
    <w:rsid w:val="7AEB57A3"/>
    <w:rsid w:val="7B4231CA"/>
    <w:rsid w:val="7B62481E"/>
    <w:rsid w:val="7BB63A0E"/>
    <w:rsid w:val="7C137C33"/>
    <w:rsid w:val="7C46434A"/>
    <w:rsid w:val="7C5E5EE7"/>
    <w:rsid w:val="7C7C270C"/>
    <w:rsid w:val="7C857813"/>
    <w:rsid w:val="7CBE4AD3"/>
    <w:rsid w:val="7CC9189C"/>
    <w:rsid w:val="7CDC31AB"/>
    <w:rsid w:val="7CF60710"/>
    <w:rsid w:val="7D7F551F"/>
    <w:rsid w:val="7D9B4867"/>
    <w:rsid w:val="7E2F3AA9"/>
    <w:rsid w:val="7E68119A"/>
    <w:rsid w:val="7EDE145C"/>
    <w:rsid w:val="7EEA1BAF"/>
    <w:rsid w:val="7EFB038E"/>
    <w:rsid w:val="7F231565"/>
    <w:rsid w:val="7F280963"/>
    <w:rsid w:val="7F631961"/>
    <w:rsid w:val="7F9E2999"/>
    <w:rsid w:val="7FCA5830"/>
    <w:rsid w:val="7FE42AA2"/>
    <w:rsid w:val="7FF274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宋体" w:hAnsi="等线" w:eastAsia="等线"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kern w:val="0"/>
    </w:rPr>
  </w:style>
  <w:style w:type="paragraph" w:styleId="4">
    <w:name w:val="heading 3"/>
    <w:basedOn w:val="1"/>
    <w:next w:val="1"/>
    <w:link w:val="49"/>
    <w:qFormat/>
    <w:uiPriority w:val="0"/>
    <w:pPr>
      <w:keepNext/>
      <w:keepLines/>
      <w:outlineLvl w:val="2"/>
    </w:pPr>
    <w:rPr>
      <w:rFonts w:hint="default" w:ascii="Times New Roman" w:hAnsi="Times New Roman" w:eastAsia="宋体"/>
      <w:b/>
    </w:rPr>
  </w:style>
  <w:style w:type="paragraph" w:styleId="5">
    <w:name w:val="heading 4"/>
    <w:basedOn w:val="1"/>
    <w:next w:val="1"/>
    <w:link w:val="76"/>
    <w:qFormat/>
    <w:uiPriority w:val="0"/>
    <w:pPr>
      <w:keepNext/>
      <w:keepLines/>
      <w:spacing w:line="372" w:lineRule="auto"/>
      <w:outlineLvl w:val="3"/>
    </w:pPr>
    <w:rPr>
      <w:rFonts w:ascii="Arial" w:hAnsi="Arial" w:eastAsia="黑体"/>
      <w:b/>
      <w:sz w:val="28"/>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annotation text"/>
    <w:basedOn w:val="1"/>
    <w:qFormat/>
    <w:uiPriority w:val="0"/>
    <w:pPr>
      <w:jc w:val="left"/>
    </w:pPr>
    <w:rPr>
      <w:rFonts w:hint="default" w:ascii="Times New Roman" w:hAnsi="Times New Roman" w:eastAsia="宋体"/>
      <w:sz w:val="21"/>
    </w:rPr>
  </w:style>
  <w:style w:type="paragraph" w:styleId="8">
    <w:name w:val="Body Text"/>
    <w:basedOn w:val="1"/>
    <w:next w:val="1"/>
    <w:qFormat/>
    <w:uiPriority w:val="0"/>
  </w:style>
  <w:style w:type="paragraph" w:styleId="9">
    <w:name w:val="Body Text Indent"/>
    <w:basedOn w:val="1"/>
    <w:qFormat/>
    <w:uiPriority w:val="0"/>
    <w:pPr>
      <w:ind w:firstLine="560" w:firstLineChars="200"/>
    </w:pPr>
  </w:style>
  <w:style w:type="paragraph" w:styleId="10">
    <w:name w:val="toc 3"/>
    <w:basedOn w:val="1"/>
    <w:next w:val="1"/>
    <w:qFormat/>
    <w:uiPriority w:val="39"/>
    <w:pPr>
      <w:ind w:left="840" w:leftChars="400"/>
    </w:pPr>
  </w:style>
  <w:style w:type="paragraph" w:styleId="11">
    <w:name w:val="Body Text Indent 2"/>
    <w:basedOn w:val="1"/>
    <w:qFormat/>
    <w:uiPriority w:val="0"/>
    <w:pPr>
      <w:spacing w:line="480" w:lineRule="auto"/>
      <w:ind w:firstLine="561"/>
    </w:pPr>
  </w:style>
  <w:style w:type="paragraph" w:styleId="12">
    <w:name w:val="Balloon Text"/>
    <w:basedOn w:val="1"/>
    <w:link w:val="70"/>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15">
    <w:name w:val="toc 1"/>
    <w:basedOn w:val="16"/>
    <w:next w:val="1"/>
    <w:qFormat/>
    <w:uiPriority w:val="39"/>
  </w:style>
  <w:style w:type="paragraph" w:styleId="16">
    <w:name w:val="index 1"/>
    <w:basedOn w:val="1"/>
    <w:next w:val="1"/>
    <w:unhideWhenUsed/>
    <w:qFormat/>
    <w:uiPriority w:val="0"/>
  </w:style>
  <w:style w:type="paragraph" w:styleId="17">
    <w:name w:val="toc 4"/>
    <w:basedOn w:val="1"/>
    <w:next w:val="1"/>
    <w:qFormat/>
    <w:uiPriority w:val="0"/>
    <w:pPr>
      <w:ind w:left="1260" w:leftChars="600"/>
    </w:pPr>
  </w:style>
  <w:style w:type="paragraph" w:styleId="18">
    <w:name w:val="toc 2"/>
    <w:basedOn w:val="1"/>
    <w:next w:val="1"/>
    <w:qFormat/>
    <w:uiPriority w:val="39"/>
    <w:pPr>
      <w:ind w:left="420" w:leftChars="200"/>
    </w:pPr>
  </w:style>
  <w:style w:type="paragraph" w:styleId="19">
    <w:name w:val="Body Text 2"/>
    <w:basedOn w:val="1"/>
    <w:next w:val="8"/>
    <w:qFormat/>
    <w:uiPriority w:val="0"/>
    <w:pPr>
      <w:spacing w:line="500" w:lineRule="exact"/>
    </w:pPr>
  </w:style>
  <w:style w:type="paragraph" w:styleId="20">
    <w:name w:val="Normal (Web)"/>
    <w:basedOn w:val="1"/>
    <w:qFormat/>
    <w:uiPriority w:val="0"/>
    <w:pPr>
      <w:widowControl/>
      <w:spacing w:beforeAutospacing="1" w:afterAutospacing="1"/>
      <w:jc w:val="left"/>
    </w:pPr>
    <w:rPr>
      <w:rFonts w:hAnsi="宋体" w:cs="宋体"/>
      <w:color w:val="000000"/>
      <w:kern w:val="0"/>
      <w:szCs w:val="24"/>
    </w:rPr>
  </w:style>
  <w:style w:type="character" w:styleId="23">
    <w:name w:val="Strong"/>
    <w:basedOn w:val="22"/>
    <w:qFormat/>
    <w:uiPriority w:val="0"/>
    <w:rPr>
      <w:b/>
    </w:rPr>
  </w:style>
  <w:style w:type="character" w:styleId="24">
    <w:name w:val="FollowedHyperlink"/>
    <w:basedOn w:val="22"/>
    <w:qFormat/>
    <w:uiPriority w:val="0"/>
    <w:rPr>
      <w:color w:val="333333"/>
      <w:u w:val="none"/>
    </w:rPr>
  </w:style>
  <w:style w:type="character" w:styleId="25">
    <w:name w:val="Emphasis"/>
    <w:basedOn w:val="22"/>
    <w:qFormat/>
    <w:uiPriority w:val="0"/>
    <w:rPr>
      <w:i/>
    </w:rPr>
  </w:style>
  <w:style w:type="character" w:styleId="26">
    <w:name w:val="HTML Variable"/>
    <w:basedOn w:val="22"/>
    <w:qFormat/>
    <w:uiPriority w:val="0"/>
    <w:rPr>
      <w:i/>
    </w:rPr>
  </w:style>
  <w:style w:type="character" w:styleId="27">
    <w:name w:val="Hyperlink"/>
    <w:basedOn w:val="22"/>
    <w:qFormat/>
    <w:uiPriority w:val="0"/>
    <w:rPr>
      <w:color w:val="333333"/>
      <w:u w:val="none"/>
    </w:rPr>
  </w:style>
  <w:style w:type="character" w:styleId="28">
    <w:name w:val="HTML Code"/>
    <w:basedOn w:val="22"/>
    <w:qFormat/>
    <w:uiPriority w:val="0"/>
    <w:rPr>
      <w:rFonts w:ascii="Courier New" w:hAnsi="Courier New"/>
      <w:sz w:val="20"/>
    </w:rPr>
  </w:style>
  <w:style w:type="character" w:styleId="29">
    <w:name w:val="HTML Cite"/>
    <w:basedOn w:val="22"/>
    <w:qFormat/>
    <w:uiPriority w:val="0"/>
    <w:rPr>
      <w:i/>
    </w:rPr>
  </w:style>
  <w:style w:type="paragraph" w:customStyle="1" w:styleId="30">
    <w:name w:val="样式 宋体 行距: 1.5 倍行距"/>
    <w:basedOn w:val="31"/>
    <w:next w:val="1"/>
    <w:qFormat/>
    <w:uiPriority w:val="0"/>
    <w:pPr>
      <w:jc w:val="center"/>
    </w:pPr>
    <w:rPr>
      <w:rFonts w:ascii="Times New Roman" w:hAnsi="Times New Roman" w:cs="Times New Roman"/>
      <w:b/>
    </w:rPr>
  </w:style>
  <w:style w:type="paragraph" w:customStyle="1" w:styleId="31">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0"/>
    <w:qFormat/>
    <w:uiPriority w:val="0"/>
    <w:pPr>
      <w:widowControl w:val="0"/>
      <w:jc w:val="both"/>
    </w:pPr>
    <w:rPr>
      <w:rFonts w:ascii="Calibri" w:hAnsi="Calibri" w:eastAsia="宋体" w:cs="黑体"/>
      <w:kern w:val="2"/>
      <w:sz w:val="21"/>
      <w:szCs w:val="24"/>
      <w:lang w:val="en-US" w:eastAsia="zh-CN" w:bidi="ar-SA"/>
    </w:rPr>
  </w:style>
  <w:style w:type="paragraph" w:customStyle="1" w:styleId="32">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3">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4">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5">
    <w:name w:val="标题 1 New"/>
    <w:basedOn w:val="34"/>
    <w:next w:val="34"/>
    <w:qFormat/>
    <w:uiPriority w:val="0"/>
    <w:pPr>
      <w:autoSpaceDE w:val="0"/>
      <w:autoSpaceDN w:val="0"/>
      <w:adjustRightInd w:val="0"/>
      <w:jc w:val="left"/>
      <w:outlineLvl w:val="0"/>
    </w:pPr>
    <w:rPr>
      <w:kern w:val="0"/>
      <w:sz w:val="30"/>
    </w:rPr>
  </w:style>
  <w:style w:type="paragraph" w:customStyle="1" w:styleId="36">
    <w:name w:val="标题 2 New New"/>
    <w:basedOn w:val="34"/>
    <w:next w:val="34"/>
    <w:qFormat/>
    <w:uiPriority w:val="0"/>
    <w:pPr>
      <w:autoSpaceDE w:val="0"/>
      <w:autoSpaceDN w:val="0"/>
      <w:adjustRightInd w:val="0"/>
      <w:jc w:val="left"/>
      <w:outlineLvl w:val="1"/>
    </w:pPr>
    <w:rPr>
      <w:kern w:val="0"/>
    </w:rPr>
  </w:style>
  <w:style w:type="paragraph" w:customStyle="1" w:styleId="37">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Normal Indent1"/>
    <w:basedOn w:val="1"/>
    <w:qFormat/>
    <w:uiPriority w:val="0"/>
    <w:pPr>
      <w:widowControl/>
      <w:spacing w:line="360" w:lineRule="auto"/>
      <w:ind w:firstLine="420"/>
      <w:jc w:val="left"/>
    </w:pPr>
    <w:rPr>
      <w:rFonts w:hAnsi="Times New Roman"/>
      <w:kern w:val="0"/>
      <w:sz w:val="20"/>
    </w:rPr>
  </w:style>
  <w:style w:type="paragraph" w:customStyle="1" w:styleId="39">
    <w:name w:val="正文缩进1"/>
    <w:basedOn w:val="1"/>
    <w:qFormat/>
    <w:uiPriority w:val="0"/>
    <w:pPr>
      <w:widowControl/>
      <w:spacing w:line="360" w:lineRule="auto"/>
      <w:ind w:firstLine="420"/>
      <w:jc w:val="left"/>
    </w:pPr>
    <w:rPr>
      <w:rFonts w:hAnsi="Times New Roman"/>
      <w:kern w:val="0"/>
      <w:sz w:val="20"/>
    </w:rPr>
  </w:style>
  <w:style w:type="paragraph" w:customStyle="1" w:styleId="40">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30"/>
    <w:qFormat/>
    <w:uiPriority w:val="0"/>
    <w:pPr>
      <w:widowControl w:val="0"/>
      <w:jc w:val="both"/>
    </w:pPr>
    <w:rPr>
      <w:rFonts w:ascii="Calibri" w:hAnsi="Calibri" w:eastAsia="宋体" w:cs="黑体"/>
      <w:kern w:val="2"/>
      <w:sz w:val="21"/>
      <w:szCs w:val="24"/>
      <w:lang w:val="en-US" w:eastAsia="zh-CN" w:bidi="ar-SA"/>
    </w:rPr>
  </w:style>
  <w:style w:type="paragraph" w:customStyle="1" w:styleId="41">
    <w:name w:val="正文 New New New New New New New New New New New New New New New New New New New New New New New New New New New New New New New New New New New New New New New New New New New New New New New New New New New New New New New New New New New New New New Ne2"/>
    <w:next w:val="30"/>
    <w:qFormat/>
    <w:uiPriority w:val="0"/>
    <w:pPr>
      <w:widowControl w:val="0"/>
      <w:jc w:val="both"/>
    </w:pPr>
    <w:rPr>
      <w:rFonts w:ascii="Calibri" w:hAnsi="Calibri" w:eastAsia="宋体" w:cs="黑体"/>
      <w:kern w:val="2"/>
      <w:sz w:val="21"/>
      <w:szCs w:val="24"/>
      <w:lang w:val="en-US" w:eastAsia="zh-CN" w:bidi="ar-SA"/>
    </w:rPr>
  </w:style>
  <w:style w:type="paragraph" w:customStyle="1" w:styleId="42">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Bodoni MT" w:hAnsi="Bodoni MT" w:eastAsia="宋体" w:cs="Bodoni MT"/>
      <w:kern w:val="2"/>
      <w:sz w:val="21"/>
      <w:szCs w:val="24"/>
      <w:lang w:val="en-US" w:eastAsia="zh-CN" w:bidi="ar-SA"/>
    </w:rPr>
  </w:style>
  <w:style w:type="paragraph" w:customStyle="1" w:styleId="43">
    <w:name w:val="正文文本缩进 New New"/>
    <w:basedOn w:val="34"/>
    <w:qFormat/>
    <w:uiPriority w:val="0"/>
    <w:pPr>
      <w:ind w:firstLine="560" w:firstLineChars="200"/>
    </w:pPr>
  </w:style>
  <w:style w:type="paragraph" w:customStyle="1" w:styleId="44">
    <w:name w:val="正文文本缩进 3 New"/>
    <w:basedOn w:val="34"/>
    <w:qFormat/>
    <w:uiPriority w:val="0"/>
    <w:pPr>
      <w:ind w:firstLine="560"/>
    </w:pPr>
    <w:rPr>
      <w:color w:val="FF0000"/>
    </w:rPr>
  </w:style>
  <w:style w:type="paragraph" w:customStyle="1" w:styleId="45">
    <w:name w:val="标题 3 New New New"/>
    <w:basedOn w:val="46"/>
    <w:next w:val="46"/>
    <w:qFormat/>
    <w:uiPriority w:val="0"/>
    <w:pPr>
      <w:keepNext/>
      <w:keepLines/>
      <w:jc w:val="center"/>
      <w:outlineLvl w:val="2"/>
    </w:pPr>
    <w:rPr>
      <w:sz w:val="24"/>
    </w:rPr>
  </w:style>
  <w:style w:type="paragraph" w:customStyle="1" w:styleId="46">
    <w:name w:val="正文缩进 New"/>
    <w:basedOn w:val="47"/>
    <w:qFormat/>
    <w:uiPriority w:val="0"/>
    <w:pPr>
      <w:widowControl/>
      <w:ind w:firstLine="420"/>
      <w:jc w:val="left"/>
    </w:pPr>
    <w:rPr>
      <w:kern w:val="0"/>
      <w:sz w:val="20"/>
    </w:rPr>
  </w:style>
  <w:style w:type="paragraph" w:customStyle="1" w:styleId="47">
    <w:name w:val="正文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8">
    <w:name w:val="正文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9">
    <w:name w:val="标题 3 字符"/>
    <w:link w:val="4"/>
    <w:qFormat/>
    <w:uiPriority w:val="0"/>
    <w:rPr>
      <w:rFonts w:hint="default" w:ascii="Times New Roman" w:hAnsi="Times New Roman" w:eastAsia="宋体"/>
      <w:b/>
    </w:rPr>
  </w:style>
  <w:style w:type="character" w:customStyle="1" w:styleId="50">
    <w:name w:val="NormalCharacter"/>
    <w:semiHidden/>
    <w:qFormat/>
    <w:uiPriority w:val="0"/>
    <w:rPr>
      <w:rFonts w:ascii="宋体"/>
      <w:kern w:val="2"/>
      <w:sz w:val="24"/>
      <w:lang w:val="en-US" w:eastAsia="zh-CN" w:bidi="ar-SA"/>
    </w:rPr>
  </w:style>
  <w:style w:type="paragraph" w:customStyle="1" w:styleId="51">
    <w:name w:val="标题 2 New New New"/>
    <w:basedOn w:val="52"/>
    <w:next w:val="52"/>
    <w:qFormat/>
    <w:uiPriority w:val="0"/>
    <w:pPr>
      <w:autoSpaceDE w:val="0"/>
      <w:autoSpaceDN w:val="0"/>
      <w:adjustRightInd w:val="0"/>
      <w:jc w:val="left"/>
      <w:outlineLvl w:val="1"/>
    </w:pPr>
  </w:style>
  <w:style w:type="paragraph" w:customStyle="1" w:styleId="52">
    <w:name w:val="正文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3">
    <w:name w:val="普通(网站) New"/>
    <w:basedOn w:val="54"/>
    <w:qFormat/>
    <w:uiPriority w:val="0"/>
    <w:rPr>
      <w:sz w:val="24"/>
    </w:rPr>
  </w:style>
  <w:style w:type="paragraph" w:customStyle="1" w:styleId="54">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5">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6">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8">
    <w:name w:val="YJ22 Char"/>
    <w:link w:val="59"/>
    <w:qFormat/>
    <w:uiPriority w:val="0"/>
    <w:rPr>
      <w:rFonts w:ascii="Times New Roman" w:hAnsi="宋体"/>
      <w:b/>
      <w:kern w:val="0"/>
      <w:sz w:val="20"/>
    </w:rPr>
  </w:style>
  <w:style w:type="paragraph" w:customStyle="1" w:styleId="59">
    <w:name w:val="YJ22"/>
    <w:basedOn w:val="34"/>
    <w:next w:val="34"/>
    <w:link w:val="58"/>
    <w:qFormat/>
    <w:uiPriority w:val="0"/>
    <w:pPr>
      <w:autoSpaceDE w:val="0"/>
      <w:autoSpaceDN w:val="0"/>
      <w:adjustRightInd w:val="0"/>
      <w:jc w:val="left"/>
      <w:outlineLvl w:val="1"/>
    </w:pPr>
    <w:rPr>
      <w:rFonts w:ascii="Times New Roman" w:hAnsi="宋体"/>
      <w:b/>
      <w:kern w:val="0"/>
      <w:sz w:val="20"/>
    </w:rPr>
  </w:style>
  <w:style w:type="paragraph" w:customStyle="1" w:styleId="60">
    <w:name w:val="正文文本缩进 New"/>
    <w:basedOn w:val="61"/>
    <w:qFormat/>
    <w:uiPriority w:val="0"/>
    <w:pPr>
      <w:ind w:firstLine="560" w:firstLineChars="200"/>
    </w:pPr>
  </w:style>
  <w:style w:type="paragraph" w:customStyle="1" w:styleId="61">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正文文本缩进 New New New New"/>
    <w:basedOn w:val="63"/>
    <w:qFormat/>
    <w:uiPriority w:val="0"/>
    <w:pPr>
      <w:ind w:firstLine="560" w:firstLineChars="200"/>
    </w:pPr>
    <w:rPr>
      <w:szCs w:val="28"/>
    </w:rPr>
  </w:style>
  <w:style w:type="paragraph" w:customStyle="1" w:styleId="63">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64">
    <w:name w:val="正文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5">
    <w:name w:val="正文文本缩进 New New New New New New New"/>
    <w:basedOn w:val="64"/>
    <w:qFormat/>
    <w:uiPriority w:val="0"/>
    <w:pPr>
      <w:ind w:left="420" w:leftChars="200"/>
    </w:pPr>
    <w:rPr>
      <w:szCs w:val="24"/>
    </w:rPr>
  </w:style>
  <w:style w:type="paragraph" w:customStyle="1" w:styleId="66">
    <w:name w:val="正文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7">
    <w:name w:val="正文文本缩进 New New New New New New New New"/>
    <w:basedOn w:val="66"/>
    <w:qFormat/>
    <w:uiPriority w:val="0"/>
    <w:pPr>
      <w:ind w:left="420" w:leftChars="200"/>
    </w:pPr>
    <w:rPr>
      <w:szCs w:val="24"/>
    </w:rPr>
  </w:style>
  <w:style w:type="paragraph" w:customStyle="1" w:styleId="68">
    <w:name w:val="正文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9">
    <w:name w:val="页脚 New"/>
    <w:basedOn w:val="34"/>
    <w:qFormat/>
    <w:uiPriority w:val="0"/>
    <w:pPr>
      <w:widowControl/>
      <w:tabs>
        <w:tab w:val="center" w:pos="4153"/>
        <w:tab w:val="right" w:pos="8306"/>
      </w:tabs>
      <w:snapToGrid w:val="0"/>
      <w:jc w:val="left"/>
    </w:pPr>
    <w:rPr>
      <w:kern w:val="0"/>
      <w:sz w:val="18"/>
    </w:rPr>
  </w:style>
  <w:style w:type="character" w:customStyle="1" w:styleId="70">
    <w:name w:val="批注框文本 字符"/>
    <w:basedOn w:val="22"/>
    <w:link w:val="12"/>
    <w:qFormat/>
    <w:uiPriority w:val="0"/>
    <w:rPr>
      <w:rFonts w:ascii="宋体" w:hAnsi="等线" w:eastAsia="等线" w:cs="Times New Roman"/>
      <w:kern w:val="2"/>
      <w:sz w:val="18"/>
      <w:szCs w:val="18"/>
    </w:rPr>
  </w:style>
  <w:style w:type="character" w:customStyle="1" w:styleId="71">
    <w:name w:val="hover21"/>
    <w:basedOn w:val="22"/>
    <w:qFormat/>
    <w:uiPriority w:val="0"/>
    <w:rPr>
      <w:color w:val="5FB878"/>
    </w:rPr>
  </w:style>
  <w:style w:type="character" w:customStyle="1" w:styleId="72">
    <w:name w:val="hover22"/>
    <w:basedOn w:val="22"/>
    <w:qFormat/>
    <w:uiPriority w:val="0"/>
    <w:rPr>
      <w:color w:val="5FB878"/>
    </w:rPr>
  </w:style>
  <w:style w:type="character" w:customStyle="1" w:styleId="73">
    <w:name w:val="hover23"/>
    <w:basedOn w:val="22"/>
    <w:qFormat/>
    <w:uiPriority w:val="0"/>
    <w:rPr>
      <w:color w:val="FFFFFF"/>
    </w:rPr>
  </w:style>
  <w:style w:type="paragraph" w:customStyle="1" w:styleId="74">
    <w:name w:val="正文1"/>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styleId="75">
    <w:name w:val="List Paragraph"/>
    <w:basedOn w:val="1"/>
    <w:qFormat/>
    <w:uiPriority w:val="34"/>
    <w:pPr>
      <w:ind w:firstLine="420" w:firstLineChars="200"/>
    </w:pPr>
  </w:style>
  <w:style w:type="character" w:customStyle="1" w:styleId="76">
    <w:name w:val="标题 4 字符"/>
    <w:basedOn w:val="22"/>
    <w:link w:val="5"/>
    <w:qFormat/>
    <w:uiPriority w:val="0"/>
    <w:rPr>
      <w:rFonts w:ascii="Cambria" w:hAnsi="Cambria" w:eastAsia="宋体" w:cs="Times New Roman"/>
      <w:b/>
      <w:bCs/>
      <w:kern w:val="2"/>
      <w:sz w:val="28"/>
      <w:szCs w:val="28"/>
    </w:rPr>
  </w:style>
  <w:style w:type="paragraph" w:customStyle="1" w:styleId="77">
    <w:name w:val="修订1"/>
    <w:hidden/>
    <w:unhideWhenUsed/>
    <w:qFormat/>
    <w:uiPriority w:val="99"/>
    <w:rPr>
      <w:rFonts w:hint="eastAsia" w:ascii="宋体" w:hAnsi="等线" w:eastAsia="等线" w:cs="Times New Roman"/>
      <w:kern w:val="2"/>
      <w:sz w:val="24"/>
      <w:lang w:val="en-US" w:eastAsia="zh-CN" w:bidi="ar-SA"/>
    </w:rPr>
  </w:style>
  <w:style w:type="paragraph" w:customStyle="1" w:styleId="78">
    <w:name w:val="Revision"/>
    <w:hidden/>
    <w:unhideWhenUsed/>
    <w:qFormat/>
    <w:uiPriority w:val="99"/>
    <w:rPr>
      <w:rFonts w:hint="eastAsia" w:ascii="宋体" w:hAnsi="等线" w:eastAsia="等线"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31385</Words>
  <Characters>33638</Characters>
  <Lines>631</Lines>
  <Paragraphs>177</Paragraphs>
  <TotalTime>1</TotalTime>
  <ScaleCrop>false</ScaleCrop>
  <LinksUpToDate>false</LinksUpToDate>
  <CharactersWithSpaces>34061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2025-02-26T03:14:00Z</dcterms:created>
  <dc:creator>Administrator</dc:creator>
  <cp:lastModifiedBy>哎哟喂_</cp:lastModifiedBy>
  <dcterms:modified xsi:type="dcterms:W3CDTF">2025-04-07T11:57:57Z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FE06AA77C82444A39A6465D50FEF85F2_13</vt:lpwstr>
  </property>
  <property fmtid="{D5CDD505-2E9C-101B-9397-08002B2CF9AE}" pid="4" name="KSOTemplateDocerSaveRecord">
    <vt:lpwstr>eyJoZGlkIjoiOTNjNTZhM2Y3Y2VjMzYxMDhmOTE1NzQzN2U4NjM5NzEiLCJ1c2VySWQiOiIzNjMzMDcwNzEifQ==</vt:lpwstr>
  </property>
</Properties>
</file>