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E19A69">
      <w:pPr>
        <w:bidi w:val="0"/>
        <w:snapToGrid w:val="0"/>
        <w:spacing w:before="0" w:after="0" w:line="480" w:lineRule="auto"/>
        <w:ind w:left="540" w:leftChars="257"/>
        <w:jc w:val="center"/>
        <w:outlineLvl w:val="9"/>
        <w:rPr>
          <w:rFonts w:hint="eastAsia" w:ascii="宋体" w:hAnsi="宋体" w:eastAsia="宋体" w:cs="宋体"/>
          <w:b/>
          <w:color w:val="000000"/>
          <w:sz w:val="32"/>
          <w:szCs w:val="52"/>
          <w:highlight w:val="none"/>
        </w:rPr>
      </w:pPr>
      <w:bookmarkStart w:id="0" w:name="_Toc6575"/>
    </w:p>
    <w:p w14:paraId="4B335ACB">
      <w:pPr>
        <w:bidi w:val="0"/>
        <w:snapToGrid w:val="0"/>
        <w:spacing w:before="0" w:after="0" w:line="480" w:lineRule="auto"/>
        <w:ind w:left="540" w:leftChars="257"/>
        <w:jc w:val="center"/>
        <w:outlineLvl w:val="9"/>
        <w:rPr>
          <w:rFonts w:hint="eastAsia" w:ascii="宋体" w:hAnsi="宋体" w:eastAsia="宋体" w:cs="宋体"/>
          <w:color w:val="000000"/>
          <w:kern w:val="2"/>
          <w:sz w:val="21"/>
          <w:szCs w:val="24"/>
          <w:highlight w:val="none"/>
          <w:lang w:val="en-US" w:eastAsia="zh-CN" w:bidi="ar-SA"/>
        </w:rPr>
      </w:pPr>
      <w:r>
        <w:rPr>
          <w:rFonts w:hint="eastAsia" w:ascii="宋体" w:hAnsi="宋体" w:eastAsia="宋体" w:cs="宋体"/>
          <w:b/>
          <w:color w:val="000000"/>
          <w:sz w:val="32"/>
          <w:szCs w:val="52"/>
          <w:highlight w:val="none"/>
        </w:rPr>
        <w:drawing>
          <wp:inline distT="0" distB="0" distL="114300" distR="114300">
            <wp:extent cx="5831205" cy="8257540"/>
            <wp:effectExtent l="0" t="0" r="17145" b="10160"/>
            <wp:docPr id="2" name="图片 2" descr="招标文件封面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招标文件封面_01"/>
                    <pic:cNvPicPr>
                      <a:picLocks noChangeAspect="1"/>
                    </pic:cNvPicPr>
                  </pic:nvPicPr>
                  <pic:blipFill>
                    <a:blip r:embed="rId5"/>
                    <a:stretch>
                      <a:fillRect/>
                    </a:stretch>
                  </pic:blipFill>
                  <pic:spPr>
                    <a:xfrm>
                      <a:off x="0" y="0"/>
                      <a:ext cx="5831205" cy="8257540"/>
                    </a:xfrm>
                    <a:prstGeom prst="rect">
                      <a:avLst/>
                    </a:prstGeom>
                  </pic:spPr>
                </pic:pic>
              </a:graphicData>
            </a:graphic>
          </wp:inline>
        </w:drawing>
      </w:r>
      <w:bookmarkStart w:id="200" w:name="_GoBack"/>
      <w:bookmarkEnd w:id="200"/>
      <w:r>
        <w:rPr>
          <w:rFonts w:hint="eastAsia" w:ascii="宋体" w:hAnsi="宋体" w:eastAsia="宋体" w:cs="宋体"/>
          <w:b/>
          <w:color w:val="000000"/>
          <w:sz w:val="32"/>
          <w:szCs w:val="52"/>
          <w:highlight w:val="none"/>
        </w:rPr>
        <w:t>目  录</w:t>
      </w:r>
      <w:bookmarkEnd w:id="0"/>
      <w:r>
        <w:rPr>
          <w:rFonts w:hint="eastAsia" w:ascii="宋体" w:hAnsi="宋体" w:eastAsia="宋体" w:cs="宋体"/>
          <w:color w:val="000000"/>
          <w:highlight w:val="none"/>
        </w:rPr>
        <w:fldChar w:fldCharType="begin"/>
      </w:r>
      <w:r>
        <w:rPr>
          <w:rFonts w:hint="eastAsia" w:ascii="宋体" w:hAnsi="宋体" w:eastAsia="宋体" w:cs="宋体"/>
          <w:color w:val="000000"/>
          <w:highlight w:val="none"/>
        </w:rPr>
        <w:instrText xml:space="preserve">TOC \o "1-3" \h \u </w:instrText>
      </w:r>
      <w:r>
        <w:rPr>
          <w:rFonts w:hint="eastAsia" w:ascii="宋体" w:hAnsi="宋体" w:eastAsia="宋体" w:cs="宋体"/>
          <w:color w:val="000000"/>
          <w:highlight w:val="none"/>
        </w:rPr>
        <w:fldChar w:fldCharType="separate"/>
      </w:r>
    </w:p>
    <w:p w14:paraId="279F1C34">
      <w:pPr>
        <w:pStyle w:val="10"/>
        <w:keepNext w:val="0"/>
        <w:keepLines w:val="0"/>
        <w:pageBreakBefore w:val="0"/>
        <w:widowControl w:val="0"/>
        <w:tabs>
          <w:tab w:val="right" w:leader="dot" w:pos="9184"/>
        </w:tabs>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z w:val="26"/>
          <w:szCs w:val="26"/>
        </w:rPr>
      </w:pPr>
      <w:r>
        <w:rPr>
          <w:rFonts w:hint="eastAsia" w:ascii="宋体" w:hAnsi="宋体" w:eastAsia="宋体" w:cs="宋体"/>
          <w:b/>
          <w:bCs/>
          <w:color w:val="000000"/>
          <w:sz w:val="26"/>
          <w:szCs w:val="26"/>
          <w:highlight w:val="none"/>
        </w:rPr>
        <w:fldChar w:fldCharType="begin"/>
      </w:r>
      <w:r>
        <w:rPr>
          <w:rFonts w:hint="eastAsia" w:ascii="宋体" w:hAnsi="宋体" w:eastAsia="宋体" w:cs="宋体"/>
          <w:b/>
          <w:bCs/>
          <w:color w:val="000000"/>
          <w:sz w:val="26"/>
          <w:szCs w:val="26"/>
          <w:highlight w:val="none"/>
        </w:rPr>
        <w:instrText xml:space="preserve"> HYPERLINK \l _Toc6607 </w:instrText>
      </w:r>
      <w:r>
        <w:rPr>
          <w:rFonts w:hint="eastAsia" w:ascii="宋体" w:hAnsi="宋体" w:eastAsia="宋体" w:cs="宋体"/>
          <w:b/>
          <w:bCs/>
          <w:color w:val="000000"/>
          <w:sz w:val="26"/>
          <w:szCs w:val="26"/>
          <w:highlight w:val="none"/>
        </w:rPr>
        <w:fldChar w:fldCharType="separate"/>
      </w:r>
      <w:r>
        <w:rPr>
          <w:rFonts w:hint="eastAsia" w:ascii="宋体" w:hAnsi="宋体" w:eastAsia="宋体" w:cs="宋体"/>
          <w:b/>
          <w:bCs/>
          <w:color w:val="000000"/>
          <w:sz w:val="26"/>
          <w:szCs w:val="26"/>
        </w:rPr>
        <w:t>第一章 招标公告</w:t>
      </w:r>
      <w:r>
        <w:rPr>
          <w:rFonts w:hint="eastAsia" w:ascii="宋体" w:hAnsi="宋体" w:eastAsia="宋体" w:cs="宋体"/>
          <w:b/>
          <w:bCs/>
          <w:color w:val="000000"/>
          <w:sz w:val="26"/>
          <w:szCs w:val="26"/>
        </w:rPr>
        <w:tab/>
      </w:r>
      <w:r>
        <w:rPr>
          <w:rFonts w:hint="eastAsia" w:ascii="宋体" w:hAnsi="宋体" w:eastAsia="宋体" w:cs="宋体"/>
          <w:b/>
          <w:bCs/>
          <w:color w:val="000000"/>
          <w:sz w:val="26"/>
          <w:szCs w:val="26"/>
        </w:rPr>
        <w:fldChar w:fldCharType="begin"/>
      </w:r>
      <w:r>
        <w:rPr>
          <w:rFonts w:hint="eastAsia" w:ascii="宋体" w:hAnsi="宋体" w:eastAsia="宋体" w:cs="宋体"/>
          <w:b/>
          <w:bCs/>
          <w:color w:val="000000"/>
          <w:sz w:val="26"/>
          <w:szCs w:val="26"/>
        </w:rPr>
        <w:instrText xml:space="preserve"> PAGEREF _Toc6607 \h </w:instrText>
      </w:r>
      <w:r>
        <w:rPr>
          <w:rFonts w:hint="eastAsia" w:ascii="宋体" w:hAnsi="宋体" w:eastAsia="宋体" w:cs="宋体"/>
          <w:b/>
          <w:bCs/>
          <w:color w:val="000000"/>
          <w:sz w:val="26"/>
          <w:szCs w:val="26"/>
        </w:rPr>
        <w:fldChar w:fldCharType="separate"/>
      </w:r>
      <w:r>
        <w:rPr>
          <w:rFonts w:hint="eastAsia" w:ascii="宋体" w:hAnsi="宋体" w:eastAsia="宋体" w:cs="宋体"/>
          <w:b/>
          <w:bCs/>
          <w:color w:val="000000"/>
          <w:sz w:val="26"/>
          <w:szCs w:val="26"/>
        </w:rPr>
        <w:t>1</w:t>
      </w:r>
      <w:r>
        <w:rPr>
          <w:rFonts w:hint="eastAsia" w:ascii="宋体" w:hAnsi="宋体" w:eastAsia="宋体" w:cs="宋体"/>
          <w:b/>
          <w:bCs/>
          <w:color w:val="000000"/>
          <w:sz w:val="26"/>
          <w:szCs w:val="26"/>
        </w:rPr>
        <w:fldChar w:fldCharType="end"/>
      </w:r>
      <w:r>
        <w:rPr>
          <w:rFonts w:hint="eastAsia" w:ascii="宋体" w:hAnsi="宋体" w:eastAsia="宋体" w:cs="宋体"/>
          <w:b/>
          <w:bCs/>
          <w:color w:val="000000"/>
          <w:sz w:val="26"/>
          <w:szCs w:val="26"/>
          <w:highlight w:val="none"/>
        </w:rPr>
        <w:fldChar w:fldCharType="end"/>
      </w:r>
    </w:p>
    <w:p w14:paraId="73C52953">
      <w:pPr>
        <w:pStyle w:val="11"/>
        <w:keepNext w:val="0"/>
        <w:keepLines w:val="0"/>
        <w:pageBreakBefore w:val="0"/>
        <w:widowControl w:val="0"/>
        <w:tabs>
          <w:tab w:val="right" w:leader="dot" w:pos="9184"/>
        </w:tabs>
        <w:kinsoku/>
        <w:wordWrap/>
        <w:overflowPunct/>
        <w:topLinePunct w:val="0"/>
        <w:autoSpaceDE/>
        <w:autoSpaceDN/>
        <w:bidi w:val="0"/>
        <w:adjustRightInd/>
        <w:snapToGrid/>
        <w:spacing w:line="500" w:lineRule="exact"/>
        <w:textAlignment w:val="auto"/>
        <w:rPr>
          <w:rFonts w:hint="eastAsia" w:ascii="宋体" w:hAnsi="宋体" w:eastAsia="宋体" w:cs="宋体"/>
          <w:color w:val="000000"/>
          <w:sz w:val="26"/>
          <w:szCs w:val="26"/>
        </w:rPr>
      </w:pPr>
      <w:r>
        <w:rPr>
          <w:rFonts w:hint="eastAsia" w:ascii="宋体" w:hAnsi="宋体" w:eastAsia="宋体" w:cs="宋体"/>
          <w:color w:val="000000"/>
          <w:sz w:val="26"/>
          <w:szCs w:val="26"/>
          <w:highlight w:val="none"/>
        </w:rPr>
        <w:fldChar w:fldCharType="begin"/>
      </w:r>
      <w:r>
        <w:rPr>
          <w:rFonts w:hint="eastAsia" w:ascii="宋体" w:hAnsi="宋体" w:eastAsia="宋体" w:cs="宋体"/>
          <w:color w:val="000000"/>
          <w:sz w:val="26"/>
          <w:szCs w:val="26"/>
          <w:highlight w:val="none"/>
        </w:rPr>
        <w:instrText xml:space="preserve"> HYPERLINK \l _Toc2614 </w:instrText>
      </w:r>
      <w:r>
        <w:rPr>
          <w:rFonts w:hint="eastAsia" w:ascii="宋体" w:hAnsi="宋体" w:eastAsia="宋体" w:cs="宋体"/>
          <w:color w:val="000000"/>
          <w:sz w:val="26"/>
          <w:szCs w:val="26"/>
          <w:highlight w:val="none"/>
        </w:rPr>
        <w:fldChar w:fldCharType="separate"/>
      </w:r>
      <w:r>
        <w:rPr>
          <w:rFonts w:hint="eastAsia" w:ascii="宋体" w:hAnsi="宋体" w:eastAsia="宋体" w:cs="宋体"/>
          <w:color w:val="000000"/>
          <w:sz w:val="26"/>
          <w:szCs w:val="26"/>
        </w:rPr>
        <w:t>一、招标条件</w:t>
      </w:r>
      <w:r>
        <w:rPr>
          <w:rFonts w:hint="eastAsia" w:ascii="宋体" w:hAnsi="宋体" w:eastAsia="宋体" w:cs="宋体"/>
          <w:color w:val="000000"/>
          <w:sz w:val="26"/>
          <w:szCs w:val="26"/>
        </w:rPr>
        <w:tab/>
      </w:r>
      <w:r>
        <w:rPr>
          <w:rFonts w:hint="eastAsia" w:ascii="宋体" w:hAnsi="宋体" w:eastAsia="宋体" w:cs="宋体"/>
          <w:color w:val="000000"/>
          <w:sz w:val="26"/>
          <w:szCs w:val="26"/>
        </w:rPr>
        <w:fldChar w:fldCharType="begin"/>
      </w:r>
      <w:r>
        <w:rPr>
          <w:rFonts w:hint="eastAsia" w:ascii="宋体" w:hAnsi="宋体" w:eastAsia="宋体" w:cs="宋体"/>
          <w:color w:val="000000"/>
          <w:sz w:val="26"/>
          <w:szCs w:val="26"/>
        </w:rPr>
        <w:instrText xml:space="preserve"> PAGEREF _Toc2614 \h </w:instrText>
      </w:r>
      <w:r>
        <w:rPr>
          <w:rFonts w:hint="eastAsia" w:ascii="宋体" w:hAnsi="宋体" w:eastAsia="宋体" w:cs="宋体"/>
          <w:color w:val="000000"/>
          <w:sz w:val="26"/>
          <w:szCs w:val="26"/>
        </w:rPr>
        <w:fldChar w:fldCharType="separate"/>
      </w:r>
      <w:r>
        <w:rPr>
          <w:rFonts w:hint="eastAsia" w:ascii="宋体" w:hAnsi="宋体" w:eastAsia="宋体" w:cs="宋体"/>
          <w:color w:val="000000"/>
          <w:sz w:val="26"/>
          <w:szCs w:val="26"/>
        </w:rPr>
        <w:t>1</w:t>
      </w:r>
      <w:r>
        <w:rPr>
          <w:rFonts w:hint="eastAsia" w:ascii="宋体" w:hAnsi="宋体" w:eastAsia="宋体" w:cs="宋体"/>
          <w:color w:val="000000"/>
          <w:sz w:val="26"/>
          <w:szCs w:val="26"/>
        </w:rPr>
        <w:fldChar w:fldCharType="end"/>
      </w:r>
      <w:r>
        <w:rPr>
          <w:rFonts w:hint="eastAsia" w:ascii="宋体" w:hAnsi="宋体" w:eastAsia="宋体" w:cs="宋体"/>
          <w:color w:val="000000"/>
          <w:sz w:val="26"/>
          <w:szCs w:val="26"/>
          <w:highlight w:val="none"/>
        </w:rPr>
        <w:fldChar w:fldCharType="end"/>
      </w:r>
    </w:p>
    <w:p w14:paraId="07691FF4">
      <w:pPr>
        <w:pStyle w:val="11"/>
        <w:keepNext w:val="0"/>
        <w:keepLines w:val="0"/>
        <w:pageBreakBefore w:val="0"/>
        <w:widowControl w:val="0"/>
        <w:tabs>
          <w:tab w:val="right" w:leader="dot" w:pos="9184"/>
        </w:tabs>
        <w:kinsoku/>
        <w:wordWrap/>
        <w:overflowPunct/>
        <w:topLinePunct w:val="0"/>
        <w:autoSpaceDE/>
        <w:autoSpaceDN/>
        <w:bidi w:val="0"/>
        <w:adjustRightInd/>
        <w:snapToGrid/>
        <w:spacing w:line="500" w:lineRule="exact"/>
        <w:textAlignment w:val="auto"/>
        <w:rPr>
          <w:rFonts w:hint="eastAsia" w:ascii="宋体" w:hAnsi="宋体" w:eastAsia="宋体" w:cs="宋体"/>
          <w:color w:val="000000"/>
          <w:sz w:val="26"/>
          <w:szCs w:val="26"/>
        </w:rPr>
      </w:pPr>
      <w:r>
        <w:rPr>
          <w:rFonts w:hint="eastAsia" w:ascii="宋体" w:hAnsi="宋体" w:eastAsia="宋体" w:cs="宋体"/>
          <w:color w:val="000000"/>
          <w:sz w:val="26"/>
          <w:szCs w:val="26"/>
          <w:highlight w:val="none"/>
        </w:rPr>
        <w:fldChar w:fldCharType="begin"/>
      </w:r>
      <w:r>
        <w:rPr>
          <w:rFonts w:hint="eastAsia" w:ascii="宋体" w:hAnsi="宋体" w:eastAsia="宋体" w:cs="宋体"/>
          <w:color w:val="000000"/>
          <w:sz w:val="26"/>
          <w:szCs w:val="26"/>
          <w:highlight w:val="none"/>
        </w:rPr>
        <w:instrText xml:space="preserve"> HYPERLINK \l _Toc302 </w:instrText>
      </w:r>
      <w:r>
        <w:rPr>
          <w:rFonts w:hint="eastAsia" w:ascii="宋体" w:hAnsi="宋体" w:eastAsia="宋体" w:cs="宋体"/>
          <w:color w:val="000000"/>
          <w:sz w:val="26"/>
          <w:szCs w:val="26"/>
          <w:highlight w:val="none"/>
        </w:rPr>
        <w:fldChar w:fldCharType="separate"/>
      </w:r>
      <w:r>
        <w:rPr>
          <w:rFonts w:hint="eastAsia" w:ascii="宋体" w:hAnsi="宋体" w:eastAsia="宋体" w:cs="宋体"/>
          <w:color w:val="000000"/>
          <w:sz w:val="26"/>
          <w:szCs w:val="26"/>
        </w:rPr>
        <w:t>二、项目概况与招标范围</w:t>
      </w:r>
      <w:r>
        <w:rPr>
          <w:rFonts w:hint="eastAsia" w:ascii="宋体" w:hAnsi="宋体" w:eastAsia="宋体" w:cs="宋体"/>
          <w:color w:val="000000"/>
          <w:sz w:val="26"/>
          <w:szCs w:val="26"/>
        </w:rPr>
        <w:tab/>
      </w:r>
      <w:r>
        <w:rPr>
          <w:rFonts w:hint="eastAsia" w:ascii="宋体" w:hAnsi="宋体" w:eastAsia="宋体" w:cs="宋体"/>
          <w:color w:val="000000"/>
          <w:sz w:val="26"/>
          <w:szCs w:val="26"/>
        </w:rPr>
        <w:fldChar w:fldCharType="begin"/>
      </w:r>
      <w:r>
        <w:rPr>
          <w:rFonts w:hint="eastAsia" w:ascii="宋体" w:hAnsi="宋体" w:eastAsia="宋体" w:cs="宋体"/>
          <w:color w:val="000000"/>
          <w:sz w:val="26"/>
          <w:szCs w:val="26"/>
        </w:rPr>
        <w:instrText xml:space="preserve"> PAGEREF _Toc302 \h </w:instrText>
      </w:r>
      <w:r>
        <w:rPr>
          <w:rFonts w:hint="eastAsia" w:ascii="宋体" w:hAnsi="宋体" w:eastAsia="宋体" w:cs="宋体"/>
          <w:color w:val="000000"/>
          <w:sz w:val="26"/>
          <w:szCs w:val="26"/>
        </w:rPr>
        <w:fldChar w:fldCharType="separate"/>
      </w:r>
      <w:r>
        <w:rPr>
          <w:rFonts w:hint="eastAsia" w:ascii="宋体" w:hAnsi="宋体" w:eastAsia="宋体" w:cs="宋体"/>
          <w:color w:val="000000"/>
          <w:sz w:val="26"/>
          <w:szCs w:val="26"/>
        </w:rPr>
        <w:t>1</w:t>
      </w:r>
      <w:r>
        <w:rPr>
          <w:rFonts w:hint="eastAsia" w:ascii="宋体" w:hAnsi="宋体" w:eastAsia="宋体" w:cs="宋体"/>
          <w:color w:val="000000"/>
          <w:sz w:val="26"/>
          <w:szCs w:val="26"/>
        </w:rPr>
        <w:fldChar w:fldCharType="end"/>
      </w:r>
      <w:r>
        <w:rPr>
          <w:rFonts w:hint="eastAsia" w:ascii="宋体" w:hAnsi="宋体" w:eastAsia="宋体" w:cs="宋体"/>
          <w:color w:val="000000"/>
          <w:sz w:val="26"/>
          <w:szCs w:val="26"/>
          <w:highlight w:val="none"/>
        </w:rPr>
        <w:fldChar w:fldCharType="end"/>
      </w:r>
    </w:p>
    <w:p w14:paraId="6E35FDCF">
      <w:pPr>
        <w:pStyle w:val="11"/>
        <w:keepNext w:val="0"/>
        <w:keepLines w:val="0"/>
        <w:pageBreakBefore w:val="0"/>
        <w:widowControl w:val="0"/>
        <w:tabs>
          <w:tab w:val="right" w:leader="dot" w:pos="9184"/>
        </w:tabs>
        <w:kinsoku/>
        <w:wordWrap/>
        <w:overflowPunct/>
        <w:topLinePunct w:val="0"/>
        <w:autoSpaceDE/>
        <w:autoSpaceDN/>
        <w:bidi w:val="0"/>
        <w:adjustRightInd/>
        <w:snapToGrid/>
        <w:spacing w:line="500" w:lineRule="exact"/>
        <w:textAlignment w:val="auto"/>
        <w:rPr>
          <w:rFonts w:hint="eastAsia" w:ascii="宋体" w:hAnsi="宋体" w:eastAsia="宋体" w:cs="宋体"/>
          <w:color w:val="000000"/>
          <w:sz w:val="26"/>
          <w:szCs w:val="26"/>
        </w:rPr>
      </w:pPr>
      <w:r>
        <w:rPr>
          <w:rFonts w:hint="eastAsia" w:ascii="宋体" w:hAnsi="宋体" w:eastAsia="宋体" w:cs="宋体"/>
          <w:color w:val="000000"/>
          <w:sz w:val="26"/>
          <w:szCs w:val="26"/>
          <w:highlight w:val="none"/>
        </w:rPr>
        <w:fldChar w:fldCharType="begin"/>
      </w:r>
      <w:r>
        <w:rPr>
          <w:rFonts w:hint="eastAsia" w:ascii="宋体" w:hAnsi="宋体" w:eastAsia="宋体" w:cs="宋体"/>
          <w:color w:val="000000"/>
          <w:sz w:val="26"/>
          <w:szCs w:val="26"/>
          <w:highlight w:val="none"/>
        </w:rPr>
        <w:instrText xml:space="preserve"> HYPERLINK \l _Toc20272 </w:instrText>
      </w:r>
      <w:r>
        <w:rPr>
          <w:rFonts w:hint="eastAsia" w:ascii="宋体" w:hAnsi="宋体" w:eastAsia="宋体" w:cs="宋体"/>
          <w:color w:val="000000"/>
          <w:sz w:val="26"/>
          <w:szCs w:val="26"/>
          <w:highlight w:val="none"/>
        </w:rPr>
        <w:fldChar w:fldCharType="separate"/>
      </w:r>
      <w:r>
        <w:rPr>
          <w:rFonts w:hint="eastAsia" w:ascii="宋体" w:hAnsi="宋体" w:eastAsia="宋体" w:cs="宋体"/>
          <w:color w:val="000000"/>
          <w:sz w:val="26"/>
          <w:szCs w:val="26"/>
        </w:rPr>
        <w:t>三、投标人资格要求</w:t>
      </w:r>
      <w:r>
        <w:rPr>
          <w:rFonts w:hint="eastAsia" w:ascii="宋体" w:hAnsi="宋体" w:eastAsia="宋体" w:cs="宋体"/>
          <w:color w:val="000000"/>
          <w:sz w:val="26"/>
          <w:szCs w:val="26"/>
        </w:rPr>
        <w:tab/>
      </w:r>
      <w:r>
        <w:rPr>
          <w:rFonts w:hint="eastAsia" w:ascii="宋体" w:hAnsi="宋体" w:eastAsia="宋体" w:cs="宋体"/>
          <w:color w:val="000000"/>
          <w:sz w:val="26"/>
          <w:szCs w:val="26"/>
        </w:rPr>
        <w:fldChar w:fldCharType="begin"/>
      </w:r>
      <w:r>
        <w:rPr>
          <w:rFonts w:hint="eastAsia" w:ascii="宋体" w:hAnsi="宋体" w:eastAsia="宋体" w:cs="宋体"/>
          <w:color w:val="000000"/>
          <w:sz w:val="26"/>
          <w:szCs w:val="26"/>
        </w:rPr>
        <w:instrText xml:space="preserve"> PAGEREF _Toc20272 \h </w:instrText>
      </w:r>
      <w:r>
        <w:rPr>
          <w:rFonts w:hint="eastAsia" w:ascii="宋体" w:hAnsi="宋体" w:eastAsia="宋体" w:cs="宋体"/>
          <w:color w:val="000000"/>
          <w:sz w:val="26"/>
          <w:szCs w:val="26"/>
        </w:rPr>
        <w:fldChar w:fldCharType="separate"/>
      </w:r>
      <w:r>
        <w:rPr>
          <w:rFonts w:hint="eastAsia" w:ascii="宋体" w:hAnsi="宋体" w:eastAsia="宋体" w:cs="宋体"/>
          <w:color w:val="000000"/>
          <w:sz w:val="26"/>
          <w:szCs w:val="26"/>
        </w:rPr>
        <w:t>2</w:t>
      </w:r>
      <w:r>
        <w:rPr>
          <w:rFonts w:hint="eastAsia" w:ascii="宋体" w:hAnsi="宋体" w:eastAsia="宋体" w:cs="宋体"/>
          <w:color w:val="000000"/>
          <w:sz w:val="26"/>
          <w:szCs w:val="26"/>
        </w:rPr>
        <w:fldChar w:fldCharType="end"/>
      </w:r>
      <w:r>
        <w:rPr>
          <w:rFonts w:hint="eastAsia" w:ascii="宋体" w:hAnsi="宋体" w:eastAsia="宋体" w:cs="宋体"/>
          <w:color w:val="000000"/>
          <w:sz w:val="26"/>
          <w:szCs w:val="26"/>
          <w:highlight w:val="none"/>
        </w:rPr>
        <w:fldChar w:fldCharType="end"/>
      </w:r>
    </w:p>
    <w:p w14:paraId="59250103">
      <w:pPr>
        <w:pStyle w:val="11"/>
        <w:keepNext w:val="0"/>
        <w:keepLines w:val="0"/>
        <w:pageBreakBefore w:val="0"/>
        <w:widowControl w:val="0"/>
        <w:tabs>
          <w:tab w:val="right" w:leader="dot" w:pos="9184"/>
        </w:tabs>
        <w:kinsoku/>
        <w:wordWrap/>
        <w:overflowPunct/>
        <w:topLinePunct w:val="0"/>
        <w:autoSpaceDE/>
        <w:autoSpaceDN/>
        <w:bidi w:val="0"/>
        <w:adjustRightInd/>
        <w:snapToGrid/>
        <w:spacing w:line="500" w:lineRule="exact"/>
        <w:textAlignment w:val="auto"/>
        <w:rPr>
          <w:rFonts w:hint="eastAsia" w:ascii="宋体" w:hAnsi="宋体" w:eastAsia="宋体" w:cs="宋体"/>
          <w:color w:val="000000"/>
          <w:sz w:val="26"/>
          <w:szCs w:val="26"/>
        </w:rPr>
      </w:pPr>
      <w:r>
        <w:rPr>
          <w:rFonts w:hint="eastAsia" w:ascii="宋体" w:hAnsi="宋体" w:eastAsia="宋体" w:cs="宋体"/>
          <w:color w:val="000000"/>
          <w:sz w:val="26"/>
          <w:szCs w:val="26"/>
          <w:highlight w:val="none"/>
        </w:rPr>
        <w:fldChar w:fldCharType="begin"/>
      </w:r>
      <w:r>
        <w:rPr>
          <w:rFonts w:hint="eastAsia" w:ascii="宋体" w:hAnsi="宋体" w:eastAsia="宋体" w:cs="宋体"/>
          <w:color w:val="000000"/>
          <w:sz w:val="26"/>
          <w:szCs w:val="26"/>
          <w:highlight w:val="none"/>
        </w:rPr>
        <w:instrText xml:space="preserve"> HYPERLINK \l _Toc27159 </w:instrText>
      </w:r>
      <w:r>
        <w:rPr>
          <w:rFonts w:hint="eastAsia" w:ascii="宋体" w:hAnsi="宋体" w:eastAsia="宋体" w:cs="宋体"/>
          <w:color w:val="000000"/>
          <w:sz w:val="26"/>
          <w:szCs w:val="26"/>
          <w:highlight w:val="none"/>
        </w:rPr>
        <w:fldChar w:fldCharType="separate"/>
      </w:r>
      <w:r>
        <w:rPr>
          <w:rFonts w:hint="eastAsia" w:ascii="宋体" w:hAnsi="宋体" w:eastAsia="宋体" w:cs="宋体"/>
          <w:color w:val="000000"/>
          <w:sz w:val="26"/>
          <w:szCs w:val="26"/>
        </w:rPr>
        <w:t>四、获取招标文件</w:t>
      </w:r>
      <w:r>
        <w:rPr>
          <w:rFonts w:hint="eastAsia" w:ascii="宋体" w:hAnsi="宋体" w:eastAsia="宋体" w:cs="宋体"/>
          <w:color w:val="000000"/>
          <w:sz w:val="26"/>
          <w:szCs w:val="26"/>
        </w:rPr>
        <w:tab/>
      </w:r>
      <w:r>
        <w:rPr>
          <w:rFonts w:hint="eastAsia" w:ascii="宋体" w:hAnsi="宋体" w:eastAsia="宋体" w:cs="宋体"/>
          <w:color w:val="000000"/>
          <w:sz w:val="26"/>
          <w:szCs w:val="26"/>
        </w:rPr>
        <w:fldChar w:fldCharType="begin"/>
      </w:r>
      <w:r>
        <w:rPr>
          <w:rFonts w:hint="eastAsia" w:ascii="宋体" w:hAnsi="宋体" w:eastAsia="宋体" w:cs="宋体"/>
          <w:color w:val="000000"/>
          <w:sz w:val="26"/>
          <w:szCs w:val="26"/>
        </w:rPr>
        <w:instrText xml:space="preserve"> PAGEREF _Toc27159 \h </w:instrText>
      </w:r>
      <w:r>
        <w:rPr>
          <w:rFonts w:hint="eastAsia" w:ascii="宋体" w:hAnsi="宋体" w:eastAsia="宋体" w:cs="宋体"/>
          <w:color w:val="000000"/>
          <w:sz w:val="26"/>
          <w:szCs w:val="26"/>
        </w:rPr>
        <w:fldChar w:fldCharType="separate"/>
      </w:r>
      <w:r>
        <w:rPr>
          <w:rFonts w:hint="eastAsia" w:ascii="宋体" w:hAnsi="宋体" w:eastAsia="宋体" w:cs="宋体"/>
          <w:color w:val="000000"/>
          <w:sz w:val="26"/>
          <w:szCs w:val="26"/>
        </w:rPr>
        <w:t>2</w:t>
      </w:r>
      <w:r>
        <w:rPr>
          <w:rFonts w:hint="eastAsia" w:ascii="宋体" w:hAnsi="宋体" w:eastAsia="宋体" w:cs="宋体"/>
          <w:color w:val="000000"/>
          <w:sz w:val="26"/>
          <w:szCs w:val="26"/>
        </w:rPr>
        <w:fldChar w:fldCharType="end"/>
      </w:r>
      <w:r>
        <w:rPr>
          <w:rFonts w:hint="eastAsia" w:ascii="宋体" w:hAnsi="宋体" w:eastAsia="宋体" w:cs="宋体"/>
          <w:color w:val="000000"/>
          <w:sz w:val="26"/>
          <w:szCs w:val="26"/>
          <w:highlight w:val="none"/>
        </w:rPr>
        <w:fldChar w:fldCharType="end"/>
      </w:r>
    </w:p>
    <w:p w14:paraId="6001E87F">
      <w:pPr>
        <w:pStyle w:val="11"/>
        <w:keepNext w:val="0"/>
        <w:keepLines w:val="0"/>
        <w:pageBreakBefore w:val="0"/>
        <w:widowControl w:val="0"/>
        <w:tabs>
          <w:tab w:val="right" w:leader="dot" w:pos="9184"/>
        </w:tabs>
        <w:kinsoku/>
        <w:wordWrap/>
        <w:overflowPunct/>
        <w:topLinePunct w:val="0"/>
        <w:autoSpaceDE/>
        <w:autoSpaceDN/>
        <w:bidi w:val="0"/>
        <w:adjustRightInd/>
        <w:snapToGrid/>
        <w:spacing w:line="500" w:lineRule="exact"/>
        <w:textAlignment w:val="auto"/>
        <w:rPr>
          <w:rFonts w:hint="eastAsia" w:ascii="宋体" w:hAnsi="宋体" w:eastAsia="宋体" w:cs="宋体"/>
          <w:color w:val="000000"/>
          <w:sz w:val="26"/>
          <w:szCs w:val="26"/>
        </w:rPr>
      </w:pPr>
      <w:r>
        <w:rPr>
          <w:rFonts w:hint="eastAsia" w:ascii="宋体" w:hAnsi="宋体" w:eastAsia="宋体" w:cs="宋体"/>
          <w:color w:val="000000"/>
          <w:sz w:val="26"/>
          <w:szCs w:val="26"/>
          <w:highlight w:val="none"/>
        </w:rPr>
        <w:fldChar w:fldCharType="begin"/>
      </w:r>
      <w:r>
        <w:rPr>
          <w:rFonts w:hint="eastAsia" w:ascii="宋体" w:hAnsi="宋体" w:eastAsia="宋体" w:cs="宋体"/>
          <w:color w:val="000000"/>
          <w:sz w:val="26"/>
          <w:szCs w:val="26"/>
          <w:highlight w:val="none"/>
        </w:rPr>
        <w:instrText xml:space="preserve"> HYPERLINK \l _Toc29067 </w:instrText>
      </w:r>
      <w:r>
        <w:rPr>
          <w:rFonts w:hint="eastAsia" w:ascii="宋体" w:hAnsi="宋体" w:eastAsia="宋体" w:cs="宋体"/>
          <w:color w:val="000000"/>
          <w:sz w:val="26"/>
          <w:szCs w:val="26"/>
          <w:highlight w:val="none"/>
        </w:rPr>
        <w:fldChar w:fldCharType="separate"/>
      </w:r>
      <w:r>
        <w:rPr>
          <w:rFonts w:hint="eastAsia" w:ascii="宋体" w:hAnsi="宋体" w:eastAsia="宋体" w:cs="宋体"/>
          <w:color w:val="000000"/>
          <w:sz w:val="26"/>
          <w:szCs w:val="26"/>
        </w:rPr>
        <w:t>五、</w:t>
      </w:r>
      <w:r>
        <w:rPr>
          <w:rFonts w:hint="eastAsia" w:ascii="宋体" w:hAnsi="宋体" w:eastAsia="宋体" w:cs="宋体"/>
          <w:color w:val="000000"/>
          <w:sz w:val="26"/>
          <w:szCs w:val="26"/>
          <w:lang w:val="en-US" w:eastAsia="zh-CN"/>
        </w:rPr>
        <w:t>招标文件的提问和答疑</w:t>
      </w:r>
      <w:r>
        <w:rPr>
          <w:rFonts w:hint="eastAsia" w:ascii="宋体" w:hAnsi="宋体" w:eastAsia="宋体" w:cs="宋体"/>
          <w:color w:val="000000"/>
          <w:sz w:val="26"/>
          <w:szCs w:val="26"/>
        </w:rPr>
        <w:tab/>
      </w:r>
      <w:r>
        <w:rPr>
          <w:rFonts w:hint="eastAsia" w:ascii="宋体" w:hAnsi="宋体" w:eastAsia="宋体" w:cs="宋体"/>
          <w:color w:val="000000"/>
          <w:sz w:val="26"/>
          <w:szCs w:val="26"/>
        </w:rPr>
        <w:fldChar w:fldCharType="begin"/>
      </w:r>
      <w:r>
        <w:rPr>
          <w:rFonts w:hint="eastAsia" w:ascii="宋体" w:hAnsi="宋体" w:eastAsia="宋体" w:cs="宋体"/>
          <w:color w:val="000000"/>
          <w:sz w:val="26"/>
          <w:szCs w:val="26"/>
        </w:rPr>
        <w:instrText xml:space="preserve"> PAGEREF _Toc29067 \h </w:instrText>
      </w:r>
      <w:r>
        <w:rPr>
          <w:rFonts w:hint="eastAsia" w:ascii="宋体" w:hAnsi="宋体" w:eastAsia="宋体" w:cs="宋体"/>
          <w:color w:val="000000"/>
          <w:sz w:val="26"/>
          <w:szCs w:val="26"/>
        </w:rPr>
        <w:fldChar w:fldCharType="separate"/>
      </w:r>
      <w:r>
        <w:rPr>
          <w:rFonts w:hint="eastAsia" w:ascii="宋体" w:hAnsi="宋体" w:eastAsia="宋体" w:cs="宋体"/>
          <w:color w:val="000000"/>
          <w:sz w:val="26"/>
          <w:szCs w:val="26"/>
        </w:rPr>
        <w:t>4</w:t>
      </w:r>
      <w:r>
        <w:rPr>
          <w:rFonts w:hint="eastAsia" w:ascii="宋体" w:hAnsi="宋体" w:eastAsia="宋体" w:cs="宋体"/>
          <w:color w:val="000000"/>
          <w:sz w:val="26"/>
          <w:szCs w:val="26"/>
        </w:rPr>
        <w:fldChar w:fldCharType="end"/>
      </w:r>
      <w:r>
        <w:rPr>
          <w:rFonts w:hint="eastAsia" w:ascii="宋体" w:hAnsi="宋体" w:eastAsia="宋体" w:cs="宋体"/>
          <w:color w:val="000000"/>
          <w:sz w:val="26"/>
          <w:szCs w:val="26"/>
          <w:highlight w:val="none"/>
        </w:rPr>
        <w:fldChar w:fldCharType="end"/>
      </w:r>
    </w:p>
    <w:p w14:paraId="24ED22AB">
      <w:pPr>
        <w:pStyle w:val="11"/>
        <w:keepNext w:val="0"/>
        <w:keepLines w:val="0"/>
        <w:pageBreakBefore w:val="0"/>
        <w:widowControl w:val="0"/>
        <w:tabs>
          <w:tab w:val="right" w:leader="dot" w:pos="9184"/>
        </w:tabs>
        <w:kinsoku/>
        <w:wordWrap/>
        <w:overflowPunct/>
        <w:topLinePunct w:val="0"/>
        <w:autoSpaceDE/>
        <w:autoSpaceDN/>
        <w:bidi w:val="0"/>
        <w:adjustRightInd/>
        <w:snapToGrid/>
        <w:spacing w:line="500" w:lineRule="exact"/>
        <w:textAlignment w:val="auto"/>
        <w:rPr>
          <w:rFonts w:hint="eastAsia" w:ascii="宋体" w:hAnsi="宋体" w:eastAsia="宋体" w:cs="宋体"/>
          <w:color w:val="000000"/>
          <w:sz w:val="26"/>
          <w:szCs w:val="26"/>
        </w:rPr>
      </w:pPr>
      <w:r>
        <w:rPr>
          <w:rFonts w:hint="eastAsia" w:ascii="宋体" w:hAnsi="宋体" w:eastAsia="宋体" w:cs="宋体"/>
          <w:color w:val="000000"/>
          <w:sz w:val="26"/>
          <w:szCs w:val="26"/>
          <w:highlight w:val="none"/>
        </w:rPr>
        <w:fldChar w:fldCharType="begin"/>
      </w:r>
      <w:r>
        <w:rPr>
          <w:rFonts w:hint="eastAsia" w:ascii="宋体" w:hAnsi="宋体" w:eastAsia="宋体" w:cs="宋体"/>
          <w:color w:val="000000"/>
          <w:sz w:val="26"/>
          <w:szCs w:val="26"/>
          <w:highlight w:val="none"/>
        </w:rPr>
        <w:instrText xml:space="preserve"> HYPERLINK \l _Toc24036 </w:instrText>
      </w:r>
      <w:r>
        <w:rPr>
          <w:rFonts w:hint="eastAsia" w:ascii="宋体" w:hAnsi="宋体" w:eastAsia="宋体" w:cs="宋体"/>
          <w:color w:val="000000"/>
          <w:sz w:val="26"/>
          <w:szCs w:val="26"/>
          <w:highlight w:val="none"/>
        </w:rPr>
        <w:fldChar w:fldCharType="separate"/>
      </w:r>
      <w:r>
        <w:rPr>
          <w:rFonts w:hint="eastAsia" w:ascii="宋体" w:hAnsi="宋体" w:eastAsia="宋体" w:cs="宋体"/>
          <w:color w:val="000000"/>
          <w:sz w:val="26"/>
          <w:szCs w:val="26"/>
        </w:rPr>
        <w:t>六、投标文件的</w:t>
      </w:r>
      <w:r>
        <w:rPr>
          <w:rFonts w:hint="eastAsia" w:ascii="宋体" w:hAnsi="宋体" w:eastAsia="宋体" w:cs="宋体"/>
          <w:color w:val="000000"/>
          <w:sz w:val="26"/>
          <w:szCs w:val="26"/>
          <w:lang w:val="en-US" w:eastAsia="zh-CN"/>
        </w:rPr>
        <w:t>提</w:t>
      </w:r>
      <w:r>
        <w:rPr>
          <w:rFonts w:hint="eastAsia" w:ascii="宋体" w:hAnsi="宋体" w:eastAsia="宋体" w:cs="宋体"/>
          <w:color w:val="000000"/>
          <w:sz w:val="26"/>
          <w:szCs w:val="26"/>
        </w:rPr>
        <w:t>交</w:t>
      </w:r>
      <w:r>
        <w:rPr>
          <w:rFonts w:hint="eastAsia" w:ascii="宋体" w:hAnsi="宋体" w:eastAsia="宋体" w:cs="宋体"/>
          <w:color w:val="000000"/>
          <w:sz w:val="26"/>
          <w:szCs w:val="26"/>
        </w:rPr>
        <w:tab/>
      </w:r>
      <w:r>
        <w:rPr>
          <w:rFonts w:hint="eastAsia" w:ascii="宋体" w:hAnsi="宋体" w:eastAsia="宋体" w:cs="宋体"/>
          <w:color w:val="000000"/>
          <w:sz w:val="26"/>
          <w:szCs w:val="26"/>
        </w:rPr>
        <w:fldChar w:fldCharType="begin"/>
      </w:r>
      <w:r>
        <w:rPr>
          <w:rFonts w:hint="eastAsia" w:ascii="宋体" w:hAnsi="宋体" w:eastAsia="宋体" w:cs="宋体"/>
          <w:color w:val="000000"/>
          <w:sz w:val="26"/>
          <w:szCs w:val="26"/>
        </w:rPr>
        <w:instrText xml:space="preserve"> PAGEREF _Toc24036 \h </w:instrText>
      </w:r>
      <w:r>
        <w:rPr>
          <w:rFonts w:hint="eastAsia" w:ascii="宋体" w:hAnsi="宋体" w:eastAsia="宋体" w:cs="宋体"/>
          <w:color w:val="000000"/>
          <w:sz w:val="26"/>
          <w:szCs w:val="26"/>
        </w:rPr>
        <w:fldChar w:fldCharType="separate"/>
      </w:r>
      <w:r>
        <w:rPr>
          <w:rFonts w:hint="eastAsia" w:ascii="宋体" w:hAnsi="宋体" w:eastAsia="宋体" w:cs="宋体"/>
          <w:color w:val="000000"/>
          <w:sz w:val="26"/>
          <w:szCs w:val="26"/>
        </w:rPr>
        <w:t>4</w:t>
      </w:r>
      <w:r>
        <w:rPr>
          <w:rFonts w:hint="eastAsia" w:ascii="宋体" w:hAnsi="宋体" w:eastAsia="宋体" w:cs="宋体"/>
          <w:color w:val="000000"/>
          <w:sz w:val="26"/>
          <w:szCs w:val="26"/>
        </w:rPr>
        <w:fldChar w:fldCharType="end"/>
      </w:r>
      <w:r>
        <w:rPr>
          <w:rFonts w:hint="eastAsia" w:ascii="宋体" w:hAnsi="宋体" w:eastAsia="宋体" w:cs="宋体"/>
          <w:color w:val="000000"/>
          <w:sz w:val="26"/>
          <w:szCs w:val="26"/>
          <w:highlight w:val="none"/>
        </w:rPr>
        <w:fldChar w:fldCharType="end"/>
      </w:r>
    </w:p>
    <w:p w14:paraId="46011C73">
      <w:pPr>
        <w:pStyle w:val="11"/>
        <w:keepNext w:val="0"/>
        <w:keepLines w:val="0"/>
        <w:pageBreakBefore w:val="0"/>
        <w:widowControl w:val="0"/>
        <w:tabs>
          <w:tab w:val="right" w:leader="dot" w:pos="9184"/>
        </w:tabs>
        <w:kinsoku/>
        <w:wordWrap/>
        <w:overflowPunct/>
        <w:topLinePunct w:val="0"/>
        <w:autoSpaceDE/>
        <w:autoSpaceDN/>
        <w:bidi w:val="0"/>
        <w:adjustRightInd/>
        <w:snapToGrid/>
        <w:spacing w:line="500" w:lineRule="exact"/>
        <w:textAlignment w:val="auto"/>
        <w:rPr>
          <w:rFonts w:hint="eastAsia" w:ascii="宋体" w:hAnsi="宋体" w:eastAsia="宋体" w:cs="宋体"/>
          <w:color w:val="000000"/>
          <w:sz w:val="26"/>
          <w:szCs w:val="26"/>
        </w:rPr>
      </w:pPr>
      <w:r>
        <w:rPr>
          <w:rFonts w:hint="eastAsia" w:ascii="宋体" w:hAnsi="宋体" w:eastAsia="宋体" w:cs="宋体"/>
          <w:color w:val="000000"/>
          <w:sz w:val="26"/>
          <w:szCs w:val="26"/>
          <w:highlight w:val="none"/>
        </w:rPr>
        <w:fldChar w:fldCharType="begin"/>
      </w:r>
      <w:r>
        <w:rPr>
          <w:rFonts w:hint="eastAsia" w:ascii="宋体" w:hAnsi="宋体" w:eastAsia="宋体" w:cs="宋体"/>
          <w:color w:val="000000"/>
          <w:sz w:val="26"/>
          <w:szCs w:val="26"/>
          <w:highlight w:val="none"/>
        </w:rPr>
        <w:instrText xml:space="preserve"> HYPERLINK \l _Toc12075 </w:instrText>
      </w:r>
      <w:r>
        <w:rPr>
          <w:rFonts w:hint="eastAsia" w:ascii="宋体" w:hAnsi="宋体" w:eastAsia="宋体" w:cs="宋体"/>
          <w:color w:val="000000"/>
          <w:sz w:val="26"/>
          <w:szCs w:val="26"/>
          <w:highlight w:val="none"/>
        </w:rPr>
        <w:fldChar w:fldCharType="separate"/>
      </w:r>
      <w:r>
        <w:rPr>
          <w:rFonts w:hint="eastAsia" w:ascii="宋体" w:hAnsi="宋体" w:eastAsia="宋体" w:cs="宋体"/>
          <w:color w:val="000000"/>
          <w:sz w:val="26"/>
          <w:szCs w:val="26"/>
          <w:lang w:val="en-US" w:eastAsia="zh-CN"/>
        </w:rPr>
        <w:t>七、开标</w:t>
      </w:r>
      <w:r>
        <w:rPr>
          <w:rFonts w:hint="eastAsia" w:ascii="宋体" w:hAnsi="宋体" w:eastAsia="宋体" w:cs="宋体"/>
          <w:color w:val="000000"/>
          <w:sz w:val="26"/>
          <w:szCs w:val="26"/>
        </w:rPr>
        <w:tab/>
      </w:r>
      <w:r>
        <w:rPr>
          <w:rFonts w:hint="eastAsia" w:ascii="宋体" w:hAnsi="宋体" w:eastAsia="宋体" w:cs="宋体"/>
          <w:color w:val="000000"/>
          <w:sz w:val="26"/>
          <w:szCs w:val="26"/>
        </w:rPr>
        <w:fldChar w:fldCharType="begin"/>
      </w:r>
      <w:r>
        <w:rPr>
          <w:rFonts w:hint="eastAsia" w:ascii="宋体" w:hAnsi="宋体" w:eastAsia="宋体" w:cs="宋体"/>
          <w:color w:val="000000"/>
          <w:sz w:val="26"/>
          <w:szCs w:val="26"/>
        </w:rPr>
        <w:instrText xml:space="preserve"> PAGEREF _Toc12075 \h </w:instrText>
      </w:r>
      <w:r>
        <w:rPr>
          <w:rFonts w:hint="eastAsia" w:ascii="宋体" w:hAnsi="宋体" w:eastAsia="宋体" w:cs="宋体"/>
          <w:color w:val="000000"/>
          <w:sz w:val="26"/>
          <w:szCs w:val="26"/>
        </w:rPr>
        <w:fldChar w:fldCharType="separate"/>
      </w:r>
      <w:r>
        <w:rPr>
          <w:rFonts w:hint="eastAsia" w:ascii="宋体" w:hAnsi="宋体" w:eastAsia="宋体" w:cs="宋体"/>
          <w:color w:val="000000"/>
          <w:sz w:val="26"/>
          <w:szCs w:val="26"/>
        </w:rPr>
        <w:t>5</w:t>
      </w:r>
      <w:r>
        <w:rPr>
          <w:rFonts w:hint="eastAsia" w:ascii="宋体" w:hAnsi="宋体" w:eastAsia="宋体" w:cs="宋体"/>
          <w:color w:val="000000"/>
          <w:sz w:val="26"/>
          <w:szCs w:val="26"/>
        </w:rPr>
        <w:fldChar w:fldCharType="end"/>
      </w:r>
      <w:r>
        <w:rPr>
          <w:rFonts w:hint="eastAsia" w:ascii="宋体" w:hAnsi="宋体" w:eastAsia="宋体" w:cs="宋体"/>
          <w:color w:val="000000"/>
          <w:sz w:val="26"/>
          <w:szCs w:val="26"/>
          <w:highlight w:val="none"/>
        </w:rPr>
        <w:fldChar w:fldCharType="end"/>
      </w:r>
    </w:p>
    <w:p w14:paraId="36411FD0">
      <w:pPr>
        <w:pStyle w:val="11"/>
        <w:keepNext w:val="0"/>
        <w:keepLines w:val="0"/>
        <w:pageBreakBefore w:val="0"/>
        <w:widowControl w:val="0"/>
        <w:tabs>
          <w:tab w:val="right" w:leader="dot" w:pos="9184"/>
        </w:tabs>
        <w:kinsoku/>
        <w:wordWrap/>
        <w:overflowPunct/>
        <w:topLinePunct w:val="0"/>
        <w:autoSpaceDE/>
        <w:autoSpaceDN/>
        <w:bidi w:val="0"/>
        <w:adjustRightInd/>
        <w:snapToGrid/>
        <w:spacing w:line="500" w:lineRule="exact"/>
        <w:textAlignment w:val="auto"/>
        <w:rPr>
          <w:rFonts w:hint="eastAsia" w:ascii="宋体" w:hAnsi="宋体" w:eastAsia="宋体" w:cs="宋体"/>
          <w:color w:val="000000"/>
          <w:sz w:val="26"/>
          <w:szCs w:val="26"/>
        </w:rPr>
      </w:pPr>
      <w:r>
        <w:rPr>
          <w:rFonts w:hint="eastAsia" w:ascii="宋体" w:hAnsi="宋体" w:eastAsia="宋体" w:cs="宋体"/>
          <w:color w:val="000000"/>
          <w:sz w:val="26"/>
          <w:szCs w:val="26"/>
          <w:highlight w:val="none"/>
        </w:rPr>
        <w:fldChar w:fldCharType="begin"/>
      </w:r>
      <w:r>
        <w:rPr>
          <w:rFonts w:hint="eastAsia" w:ascii="宋体" w:hAnsi="宋体" w:eastAsia="宋体" w:cs="宋体"/>
          <w:color w:val="000000"/>
          <w:sz w:val="26"/>
          <w:szCs w:val="26"/>
          <w:highlight w:val="none"/>
        </w:rPr>
        <w:instrText xml:space="preserve"> HYPERLINK \l _Toc23825 </w:instrText>
      </w:r>
      <w:r>
        <w:rPr>
          <w:rFonts w:hint="eastAsia" w:ascii="宋体" w:hAnsi="宋体" w:eastAsia="宋体" w:cs="宋体"/>
          <w:color w:val="000000"/>
          <w:sz w:val="26"/>
          <w:szCs w:val="26"/>
          <w:highlight w:val="none"/>
        </w:rPr>
        <w:fldChar w:fldCharType="separate"/>
      </w:r>
      <w:r>
        <w:rPr>
          <w:rFonts w:hint="eastAsia" w:ascii="宋体" w:hAnsi="宋体" w:eastAsia="宋体" w:cs="宋体"/>
          <w:color w:val="000000"/>
          <w:sz w:val="26"/>
          <w:szCs w:val="26"/>
          <w:lang w:val="en-US" w:eastAsia="zh-CN"/>
        </w:rPr>
        <w:t>八、</w:t>
      </w:r>
      <w:r>
        <w:rPr>
          <w:rFonts w:hint="eastAsia" w:ascii="宋体" w:hAnsi="宋体" w:eastAsia="宋体" w:cs="宋体"/>
          <w:color w:val="000000"/>
          <w:sz w:val="26"/>
          <w:szCs w:val="26"/>
        </w:rPr>
        <w:t>踏勘现场和投标预备会</w:t>
      </w:r>
      <w:r>
        <w:rPr>
          <w:rFonts w:hint="eastAsia" w:ascii="宋体" w:hAnsi="宋体" w:eastAsia="宋体" w:cs="宋体"/>
          <w:color w:val="000000"/>
          <w:sz w:val="26"/>
          <w:szCs w:val="26"/>
        </w:rPr>
        <w:tab/>
      </w:r>
      <w:r>
        <w:rPr>
          <w:rFonts w:hint="eastAsia" w:ascii="宋体" w:hAnsi="宋体" w:eastAsia="宋体" w:cs="宋体"/>
          <w:color w:val="000000"/>
          <w:sz w:val="26"/>
          <w:szCs w:val="26"/>
        </w:rPr>
        <w:fldChar w:fldCharType="begin"/>
      </w:r>
      <w:r>
        <w:rPr>
          <w:rFonts w:hint="eastAsia" w:ascii="宋体" w:hAnsi="宋体" w:eastAsia="宋体" w:cs="宋体"/>
          <w:color w:val="000000"/>
          <w:sz w:val="26"/>
          <w:szCs w:val="26"/>
        </w:rPr>
        <w:instrText xml:space="preserve"> PAGEREF _Toc23825 \h </w:instrText>
      </w:r>
      <w:r>
        <w:rPr>
          <w:rFonts w:hint="eastAsia" w:ascii="宋体" w:hAnsi="宋体" w:eastAsia="宋体" w:cs="宋体"/>
          <w:color w:val="000000"/>
          <w:sz w:val="26"/>
          <w:szCs w:val="26"/>
        </w:rPr>
        <w:fldChar w:fldCharType="separate"/>
      </w:r>
      <w:r>
        <w:rPr>
          <w:rFonts w:hint="eastAsia" w:ascii="宋体" w:hAnsi="宋体" w:eastAsia="宋体" w:cs="宋体"/>
          <w:color w:val="000000"/>
          <w:sz w:val="26"/>
          <w:szCs w:val="26"/>
        </w:rPr>
        <w:t>6</w:t>
      </w:r>
      <w:r>
        <w:rPr>
          <w:rFonts w:hint="eastAsia" w:ascii="宋体" w:hAnsi="宋体" w:eastAsia="宋体" w:cs="宋体"/>
          <w:color w:val="000000"/>
          <w:sz w:val="26"/>
          <w:szCs w:val="26"/>
        </w:rPr>
        <w:fldChar w:fldCharType="end"/>
      </w:r>
      <w:r>
        <w:rPr>
          <w:rFonts w:hint="eastAsia" w:ascii="宋体" w:hAnsi="宋体" w:eastAsia="宋体" w:cs="宋体"/>
          <w:color w:val="000000"/>
          <w:sz w:val="26"/>
          <w:szCs w:val="26"/>
          <w:highlight w:val="none"/>
        </w:rPr>
        <w:fldChar w:fldCharType="end"/>
      </w:r>
    </w:p>
    <w:p w14:paraId="79DE06AD">
      <w:pPr>
        <w:pStyle w:val="11"/>
        <w:keepNext w:val="0"/>
        <w:keepLines w:val="0"/>
        <w:pageBreakBefore w:val="0"/>
        <w:widowControl w:val="0"/>
        <w:tabs>
          <w:tab w:val="right" w:leader="dot" w:pos="9184"/>
        </w:tabs>
        <w:kinsoku/>
        <w:wordWrap/>
        <w:overflowPunct/>
        <w:topLinePunct w:val="0"/>
        <w:autoSpaceDE/>
        <w:autoSpaceDN/>
        <w:bidi w:val="0"/>
        <w:adjustRightInd/>
        <w:snapToGrid/>
        <w:spacing w:line="500" w:lineRule="exact"/>
        <w:textAlignment w:val="auto"/>
        <w:rPr>
          <w:rFonts w:hint="eastAsia" w:ascii="宋体" w:hAnsi="宋体" w:eastAsia="宋体" w:cs="宋体"/>
          <w:color w:val="000000"/>
          <w:sz w:val="26"/>
          <w:szCs w:val="26"/>
        </w:rPr>
      </w:pPr>
      <w:r>
        <w:rPr>
          <w:rFonts w:hint="eastAsia" w:ascii="宋体" w:hAnsi="宋体" w:eastAsia="宋体" w:cs="宋体"/>
          <w:color w:val="000000"/>
          <w:sz w:val="26"/>
          <w:szCs w:val="26"/>
          <w:highlight w:val="none"/>
        </w:rPr>
        <w:fldChar w:fldCharType="begin"/>
      </w:r>
      <w:r>
        <w:rPr>
          <w:rFonts w:hint="eastAsia" w:ascii="宋体" w:hAnsi="宋体" w:eastAsia="宋体" w:cs="宋体"/>
          <w:color w:val="000000"/>
          <w:sz w:val="26"/>
          <w:szCs w:val="26"/>
          <w:highlight w:val="none"/>
        </w:rPr>
        <w:instrText xml:space="preserve"> HYPERLINK \l _Toc29 </w:instrText>
      </w:r>
      <w:r>
        <w:rPr>
          <w:rFonts w:hint="eastAsia" w:ascii="宋体" w:hAnsi="宋体" w:eastAsia="宋体" w:cs="宋体"/>
          <w:color w:val="000000"/>
          <w:sz w:val="26"/>
          <w:szCs w:val="26"/>
          <w:highlight w:val="none"/>
        </w:rPr>
        <w:fldChar w:fldCharType="separate"/>
      </w:r>
      <w:r>
        <w:rPr>
          <w:rFonts w:hint="eastAsia" w:ascii="宋体" w:hAnsi="宋体" w:eastAsia="宋体" w:cs="宋体"/>
          <w:color w:val="000000"/>
          <w:sz w:val="26"/>
          <w:szCs w:val="26"/>
          <w:lang w:val="en-US" w:eastAsia="zh-CN"/>
        </w:rPr>
        <w:t>九、</w:t>
      </w:r>
      <w:r>
        <w:rPr>
          <w:rFonts w:hint="eastAsia" w:ascii="宋体" w:hAnsi="宋体" w:eastAsia="宋体" w:cs="宋体"/>
          <w:color w:val="000000"/>
          <w:sz w:val="26"/>
          <w:szCs w:val="26"/>
        </w:rPr>
        <w:t>发布公告的媒介</w:t>
      </w:r>
      <w:r>
        <w:rPr>
          <w:rFonts w:hint="eastAsia" w:ascii="宋体" w:hAnsi="宋体" w:eastAsia="宋体" w:cs="宋体"/>
          <w:color w:val="000000"/>
          <w:sz w:val="26"/>
          <w:szCs w:val="26"/>
        </w:rPr>
        <w:tab/>
      </w:r>
      <w:r>
        <w:rPr>
          <w:rFonts w:hint="eastAsia" w:ascii="宋体" w:hAnsi="宋体" w:eastAsia="宋体" w:cs="宋体"/>
          <w:color w:val="000000"/>
          <w:sz w:val="26"/>
          <w:szCs w:val="26"/>
        </w:rPr>
        <w:fldChar w:fldCharType="begin"/>
      </w:r>
      <w:r>
        <w:rPr>
          <w:rFonts w:hint="eastAsia" w:ascii="宋体" w:hAnsi="宋体" w:eastAsia="宋体" w:cs="宋体"/>
          <w:color w:val="000000"/>
          <w:sz w:val="26"/>
          <w:szCs w:val="26"/>
        </w:rPr>
        <w:instrText xml:space="preserve"> PAGEREF _Toc29 \h </w:instrText>
      </w:r>
      <w:r>
        <w:rPr>
          <w:rFonts w:hint="eastAsia" w:ascii="宋体" w:hAnsi="宋体" w:eastAsia="宋体" w:cs="宋体"/>
          <w:color w:val="000000"/>
          <w:sz w:val="26"/>
          <w:szCs w:val="26"/>
        </w:rPr>
        <w:fldChar w:fldCharType="separate"/>
      </w:r>
      <w:r>
        <w:rPr>
          <w:rFonts w:hint="eastAsia" w:ascii="宋体" w:hAnsi="宋体" w:eastAsia="宋体" w:cs="宋体"/>
          <w:color w:val="000000"/>
          <w:sz w:val="26"/>
          <w:szCs w:val="26"/>
        </w:rPr>
        <w:t>6</w:t>
      </w:r>
      <w:r>
        <w:rPr>
          <w:rFonts w:hint="eastAsia" w:ascii="宋体" w:hAnsi="宋体" w:eastAsia="宋体" w:cs="宋体"/>
          <w:color w:val="000000"/>
          <w:sz w:val="26"/>
          <w:szCs w:val="26"/>
        </w:rPr>
        <w:fldChar w:fldCharType="end"/>
      </w:r>
      <w:r>
        <w:rPr>
          <w:rFonts w:hint="eastAsia" w:ascii="宋体" w:hAnsi="宋体" w:eastAsia="宋体" w:cs="宋体"/>
          <w:color w:val="000000"/>
          <w:sz w:val="26"/>
          <w:szCs w:val="26"/>
          <w:highlight w:val="none"/>
        </w:rPr>
        <w:fldChar w:fldCharType="end"/>
      </w:r>
    </w:p>
    <w:p w14:paraId="60FE5B84">
      <w:pPr>
        <w:pStyle w:val="11"/>
        <w:keepNext w:val="0"/>
        <w:keepLines w:val="0"/>
        <w:pageBreakBefore w:val="0"/>
        <w:widowControl w:val="0"/>
        <w:tabs>
          <w:tab w:val="right" w:leader="dot" w:pos="9184"/>
        </w:tabs>
        <w:kinsoku/>
        <w:wordWrap/>
        <w:overflowPunct/>
        <w:topLinePunct w:val="0"/>
        <w:autoSpaceDE/>
        <w:autoSpaceDN/>
        <w:bidi w:val="0"/>
        <w:adjustRightInd/>
        <w:snapToGrid/>
        <w:spacing w:line="500" w:lineRule="exact"/>
        <w:textAlignment w:val="auto"/>
        <w:rPr>
          <w:rFonts w:hint="eastAsia" w:ascii="宋体" w:hAnsi="宋体" w:eastAsia="宋体" w:cs="宋体"/>
          <w:color w:val="000000"/>
          <w:sz w:val="26"/>
          <w:szCs w:val="26"/>
        </w:rPr>
      </w:pPr>
      <w:r>
        <w:rPr>
          <w:rFonts w:hint="eastAsia" w:ascii="宋体" w:hAnsi="宋体" w:eastAsia="宋体" w:cs="宋体"/>
          <w:color w:val="000000"/>
          <w:sz w:val="26"/>
          <w:szCs w:val="26"/>
          <w:highlight w:val="none"/>
        </w:rPr>
        <w:fldChar w:fldCharType="begin"/>
      </w:r>
      <w:r>
        <w:rPr>
          <w:rFonts w:hint="eastAsia" w:ascii="宋体" w:hAnsi="宋体" w:eastAsia="宋体" w:cs="宋体"/>
          <w:color w:val="000000"/>
          <w:sz w:val="26"/>
          <w:szCs w:val="26"/>
          <w:highlight w:val="none"/>
        </w:rPr>
        <w:instrText xml:space="preserve"> HYPERLINK \l _Toc6898 </w:instrText>
      </w:r>
      <w:r>
        <w:rPr>
          <w:rFonts w:hint="eastAsia" w:ascii="宋体" w:hAnsi="宋体" w:eastAsia="宋体" w:cs="宋体"/>
          <w:color w:val="000000"/>
          <w:sz w:val="26"/>
          <w:szCs w:val="26"/>
          <w:highlight w:val="none"/>
        </w:rPr>
        <w:fldChar w:fldCharType="separate"/>
      </w:r>
      <w:r>
        <w:rPr>
          <w:rFonts w:hint="eastAsia" w:ascii="宋体" w:hAnsi="宋体" w:eastAsia="宋体" w:cs="宋体"/>
          <w:color w:val="000000"/>
          <w:sz w:val="26"/>
          <w:szCs w:val="26"/>
          <w:lang w:val="en-US" w:eastAsia="zh-CN"/>
        </w:rPr>
        <w:t>十、</w:t>
      </w:r>
      <w:r>
        <w:rPr>
          <w:rFonts w:hint="eastAsia" w:ascii="宋体" w:hAnsi="宋体" w:eastAsia="宋体" w:cs="宋体"/>
          <w:color w:val="000000"/>
          <w:sz w:val="26"/>
          <w:szCs w:val="26"/>
        </w:rPr>
        <w:t>联系方式</w:t>
      </w:r>
      <w:r>
        <w:rPr>
          <w:rFonts w:hint="eastAsia" w:ascii="宋体" w:hAnsi="宋体" w:eastAsia="宋体" w:cs="宋体"/>
          <w:color w:val="000000"/>
          <w:sz w:val="26"/>
          <w:szCs w:val="26"/>
        </w:rPr>
        <w:tab/>
      </w:r>
      <w:r>
        <w:rPr>
          <w:rFonts w:hint="eastAsia" w:ascii="宋体" w:hAnsi="宋体" w:eastAsia="宋体" w:cs="宋体"/>
          <w:color w:val="000000"/>
          <w:sz w:val="26"/>
          <w:szCs w:val="26"/>
        </w:rPr>
        <w:fldChar w:fldCharType="begin"/>
      </w:r>
      <w:r>
        <w:rPr>
          <w:rFonts w:hint="eastAsia" w:ascii="宋体" w:hAnsi="宋体" w:eastAsia="宋体" w:cs="宋体"/>
          <w:color w:val="000000"/>
          <w:sz w:val="26"/>
          <w:szCs w:val="26"/>
        </w:rPr>
        <w:instrText xml:space="preserve"> PAGEREF _Toc6898 \h </w:instrText>
      </w:r>
      <w:r>
        <w:rPr>
          <w:rFonts w:hint="eastAsia" w:ascii="宋体" w:hAnsi="宋体" w:eastAsia="宋体" w:cs="宋体"/>
          <w:color w:val="000000"/>
          <w:sz w:val="26"/>
          <w:szCs w:val="26"/>
        </w:rPr>
        <w:fldChar w:fldCharType="separate"/>
      </w:r>
      <w:r>
        <w:rPr>
          <w:rFonts w:hint="eastAsia" w:ascii="宋体" w:hAnsi="宋体" w:eastAsia="宋体" w:cs="宋体"/>
          <w:color w:val="000000"/>
          <w:sz w:val="26"/>
          <w:szCs w:val="26"/>
        </w:rPr>
        <w:t>6</w:t>
      </w:r>
      <w:r>
        <w:rPr>
          <w:rFonts w:hint="eastAsia" w:ascii="宋体" w:hAnsi="宋体" w:eastAsia="宋体" w:cs="宋体"/>
          <w:color w:val="000000"/>
          <w:sz w:val="26"/>
          <w:szCs w:val="26"/>
        </w:rPr>
        <w:fldChar w:fldCharType="end"/>
      </w:r>
      <w:r>
        <w:rPr>
          <w:rFonts w:hint="eastAsia" w:ascii="宋体" w:hAnsi="宋体" w:eastAsia="宋体" w:cs="宋体"/>
          <w:color w:val="000000"/>
          <w:sz w:val="26"/>
          <w:szCs w:val="26"/>
          <w:highlight w:val="none"/>
        </w:rPr>
        <w:fldChar w:fldCharType="end"/>
      </w:r>
    </w:p>
    <w:p w14:paraId="4F7058DB">
      <w:pPr>
        <w:pStyle w:val="11"/>
        <w:keepNext w:val="0"/>
        <w:keepLines w:val="0"/>
        <w:pageBreakBefore w:val="0"/>
        <w:widowControl w:val="0"/>
        <w:tabs>
          <w:tab w:val="right" w:leader="dot" w:pos="9184"/>
        </w:tabs>
        <w:kinsoku/>
        <w:wordWrap/>
        <w:overflowPunct/>
        <w:topLinePunct w:val="0"/>
        <w:autoSpaceDE/>
        <w:autoSpaceDN/>
        <w:bidi w:val="0"/>
        <w:adjustRightInd/>
        <w:snapToGrid/>
        <w:spacing w:line="500" w:lineRule="exact"/>
        <w:textAlignment w:val="auto"/>
        <w:rPr>
          <w:rFonts w:hint="eastAsia" w:ascii="宋体" w:hAnsi="宋体" w:eastAsia="宋体" w:cs="宋体"/>
          <w:color w:val="000000"/>
          <w:sz w:val="26"/>
          <w:szCs w:val="26"/>
        </w:rPr>
      </w:pPr>
      <w:r>
        <w:rPr>
          <w:rFonts w:hint="eastAsia" w:ascii="宋体" w:hAnsi="宋体" w:eastAsia="宋体" w:cs="宋体"/>
          <w:color w:val="000000"/>
          <w:sz w:val="26"/>
          <w:szCs w:val="26"/>
          <w:highlight w:val="none"/>
        </w:rPr>
        <w:fldChar w:fldCharType="begin"/>
      </w:r>
      <w:r>
        <w:rPr>
          <w:rFonts w:hint="eastAsia" w:ascii="宋体" w:hAnsi="宋体" w:eastAsia="宋体" w:cs="宋体"/>
          <w:color w:val="000000"/>
          <w:sz w:val="26"/>
          <w:szCs w:val="26"/>
          <w:highlight w:val="none"/>
        </w:rPr>
        <w:instrText xml:space="preserve"> HYPERLINK \l _Toc24565 </w:instrText>
      </w:r>
      <w:r>
        <w:rPr>
          <w:rFonts w:hint="eastAsia" w:ascii="宋体" w:hAnsi="宋体" w:eastAsia="宋体" w:cs="宋体"/>
          <w:color w:val="000000"/>
          <w:sz w:val="26"/>
          <w:szCs w:val="26"/>
          <w:highlight w:val="none"/>
        </w:rPr>
        <w:fldChar w:fldCharType="separate"/>
      </w:r>
      <w:r>
        <w:rPr>
          <w:rFonts w:hint="eastAsia" w:ascii="宋体" w:hAnsi="宋体" w:eastAsia="宋体" w:cs="宋体"/>
          <w:color w:val="000000"/>
          <w:sz w:val="26"/>
          <w:szCs w:val="26"/>
        </w:rPr>
        <w:t>重要事项时间地点一览表</w:t>
      </w:r>
      <w:r>
        <w:rPr>
          <w:rFonts w:hint="eastAsia" w:ascii="宋体" w:hAnsi="宋体" w:eastAsia="宋体" w:cs="宋体"/>
          <w:color w:val="000000"/>
          <w:sz w:val="26"/>
          <w:szCs w:val="26"/>
        </w:rPr>
        <w:tab/>
      </w:r>
      <w:r>
        <w:rPr>
          <w:rFonts w:hint="eastAsia" w:ascii="宋体" w:hAnsi="宋体" w:eastAsia="宋体" w:cs="宋体"/>
          <w:color w:val="000000"/>
          <w:sz w:val="26"/>
          <w:szCs w:val="26"/>
        </w:rPr>
        <w:fldChar w:fldCharType="begin"/>
      </w:r>
      <w:r>
        <w:rPr>
          <w:rFonts w:hint="eastAsia" w:ascii="宋体" w:hAnsi="宋体" w:eastAsia="宋体" w:cs="宋体"/>
          <w:color w:val="000000"/>
          <w:sz w:val="26"/>
          <w:szCs w:val="26"/>
        </w:rPr>
        <w:instrText xml:space="preserve"> PAGEREF _Toc24565 \h </w:instrText>
      </w:r>
      <w:r>
        <w:rPr>
          <w:rFonts w:hint="eastAsia" w:ascii="宋体" w:hAnsi="宋体" w:eastAsia="宋体" w:cs="宋体"/>
          <w:color w:val="000000"/>
          <w:sz w:val="26"/>
          <w:szCs w:val="26"/>
        </w:rPr>
        <w:fldChar w:fldCharType="separate"/>
      </w:r>
      <w:r>
        <w:rPr>
          <w:rFonts w:hint="eastAsia" w:ascii="宋体" w:hAnsi="宋体" w:eastAsia="宋体" w:cs="宋体"/>
          <w:color w:val="000000"/>
          <w:sz w:val="26"/>
          <w:szCs w:val="26"/>
        </w:rPr>
        <w:t>7</w:t>
      </w:r>
      <w:r>
        <w:rPr>
          <w:rFonts w:hint="eastAsia" w:ascii="宋体" w:hAnsi="宋体" w:eastAsia="宋体" w:cs="宋体"/>
          <w:color w:val="000000"/>
          <w:sz w:val="26"/>
          <w:szCs w:val="26"/>
        </w:rPr>
        <w:fldChar w:fldCharType="end"/>
      </w:r>
      <w:r>
        <w:rPr>
          <w:rFonts w:hint="eastAsia" w:ascii="宋体" w:hAnsi="宋体" w:eastAsia="宋体" w:cs="宋体"/>
          <w:color w:val="000000"/>
          <w:sz w:val="26"/>
          <w:szCs w:val="26"/>
          <w:highlight w:val="none"/>
        </w:rPr>
        <w:fldChar w:fldCharType="end"/>
      </w:r>
    </w:p>
    <w:p w14:paraId="227EBAF7">
      <w:pPr>
        <w:pStyle w:val="10"/>
        <w:keepNext w:val="0"/>
        <w:keepLines w:val="0"/>
        <w:pageBreakBefore w:val="0"/>
        <w:widowControl w:val="0"/>
        <w:tabs>
          <w:tab w:val="right" w:leader="dot" w:pos="9184"/>
        </w:tabs>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z w:val="26"/>
          <w:szCs w:val="26"/>
        </w:rPr>
      </w:pPr>
      <w:r>
        <w:rPr>
          <w:rFonts w:hint="eastAsia" w:ascii="宋体" w:hAnsi="宋体" w:eastAsia="宋体" w:cs="宋体"/>
          <w:b/>
          <w:bCs/>
          <w:color w:val="000000"/>
          <w:sz w:val="26"/>
          <w:szCs w:val="26"/>
          <w:highlight w:val="none"/>
        </w:rPr>
        <w:fldChar w:fldCharType="begin"/>
      </w:r>
      <w:r>
        <w:rPr>
          <w:rFonts w:hint="eastAsia" w:ascii="宋体" w:hAnsi="宋体" w:eastAsia="宋体" w:cs="宋体"/>
          <w:b/>
          <w:bCs/>
          <w:color w:val="000000"/>
          <w:sz w:val="26"/>
          <w:szCs w:val="26"/>
          <w:highlight w:val="none"/>
        </w:rPr>
        <w:instrText xml:space="preserve"> HYPERLINK \l _Toc11282 </w:instrText>
      </w:r>
      <w:r>
        <w:rPr>
          <w:rFonts w:hint="eastAsia" w:ascii="宋体" w:hAnsi="宋体" w:eastAsia="宋体" w:cs="宋体"/>
          <w:b/>
          <w:bCs/>
          <w:color w:val="000000"/>
          <w:sz w:val="26"/>
          <w:szCs w:val="26"/>
          <w:highlight w:val="none"/>
        </w:rPr>
        <w:fldChar w:fldCharType="separate"/>
      </w:r>
      <w:r>
        <w:rPr>
          <w:rFonts w:hint="eastAsia" w:ascii="宋体" w:hAnsi="宋体" w:eastAsia="宋体" w:cs="宋体"/>
          <w:b/>
          <w:bCs/>
          <w:color w:val="000000"/>
          <w:sz w:val="26"/>
          <w:szCs w:val="26"/>
        </w:rPr>
        <w:t>第二章  投标人须知</w:t>
      </w:r>
      <w:r>
        <w:rPr>
          <w:rFonts w:hint="eastAsia" w:ascii="宋体" w:hAnsi="宋体" w:eastAsia="宋体" w:cs="宋体"/>
          <w:b/>
          <w:bCs/>
          <w:color w:val="000000"/>
          <w:sz w:val="26"/>
          <w:szCs w:val="26"/>
        </w:rPr>
        <w:tab/>
      </w:r>
      <w:r>
        <w:rPr>
          <w:rFonts w:hint="eastAsia" w:ascii="宋体" w:hAnsi="宋体" w:eastAsia="宋体" w:cs="宋体"/>
          <w:b/>
          <w:bCs/>
          <w:color w:val="000000"/>
          <w:sz w:val="26"/>
          <w:szCs w:val="26"/>
        </w:rPr>
        <w:fldChar w:fldCharType="begin"/>
      </w:r>
      <w:r>
        <w:rPr>
          <w:rFonts w:hint="eastAsia" w:ascii="宋体" w:hAnsi="宋体" w:eastAsia="宋体" w:cs="宋体"/>
          <w:b/>
          <w:bCs/>
          <w:color w:val="000000"/>
          <w:sz w:val="26"/>
          <w:szCs w:val="26"/>
        </w:rPr>
        <w:instrText xml:space="preserve"> PAGEREF _Toc11282 \h </w:instrText>
      </w:r>
      <w:r>
        <w:rPr>
          <w:rFonts w:hint="eastAsia" w:ascii="宋体" w:hAnsi="宋体" w:eastAsia="宋体" w:cs="宋体"/>
          <w:b/>
          <w:bCs/>
          <w:color w:val="000000"/>
          <w:sz w:val="26"/>
          <w:szCs w:val="26"/>
        </w:rPr>
        <w:fldChar w:fldCharType="separate"/>
      </w:r>
      <w:r>
        <w:rPr>
          <w:rFonts w:hint="eastAsia" w:ascii="宋体" w:hAnsi="宋体" w:eastAsia="宋体" w:cs="宋体"/>
          <w:b/>
          <w:bCs/>
          <w:color w:val="000000"/>
          <w:sz w:val="26"/>
          <w:szCs w:val="26"/>
        </w:rPr>
        <w:t>8</w:t>
      </w:r>
      <w:r>
        <w:rPr>
          <w:rFonts w:hint="eastAsia" w:ascii="宋体" w:hAnsi="宋体" w:eastAsia="宋体" w:cs="宋体"/>
          <w:b/>
          <w:bCs/>
          <w:color w:val="000000"/>
          <w:sz w:val="26"/>
          <w:szCs w:val="26"/>
        </w:rPr>
        <w:fldChar w:fldCharType="end"/>
      </w:r>
      <w:r>
        <w:rPr>
          <w:rFonts w:hint="eastAsia" w:ascii="宋体" w:hAnsi="宋体" w:eastAsia="宋体" w:cs="宋体"/>
          <w:b/>
          <w:bCs/>
          <w:color w:val="000000"/>
          <w:sz w:val="26"/>
          <w:szCs w:val="26"/>
          <w:highlight w:val="none"/>
        </w:rPr>
        <w:fldChar w:fldCharType="end"/>
      </w:r>
    </w:p>
    <w:p w14:paraId="5B98444A">
      <w:pPr>
        <w:pStyle w:val="11"/>
        <w:keepNext w:val="0"/>
        <w:keepLines w:val="0"/>
        <w:pageBreakBefore w:val="0"/>
        <w:widowControl w:val="0"/>
        <w:tabs>
          <w:tab w:val="right" w:leader="dot" w:pos="9184"/>
        </w:tabs>
        <w:kinsoku/>
        <w:wordWrap/>
        <w:overflowPunct/>
        <w:topLinePunct w:val="0"/>
        <w:autoSpaceDE/>
        <w:autoSpaceDN/>
        <w:bidi w:val="0"/>
        <w:adjustRightInd/>
        <w:snapToGrid/>
        <w:spacing w:line="500" w:lineRule="exact"/>
        <w:textAlignment w:val="auto"/>
        <w:rPr>
          <w:rFonts w:hint="eastAsia" w:ascii="宋体" w:hAnsi="宋体" w:eastAsia="宋体" w:cs="宋体"/>
          <w:color w:val="000000"/>
          <w:sz w:val="26"/>
          <w:szCs w:val="26"/>
        </w:rPr>
      </w:pPr>
      <w:r>
        <w:rPr>
          <w:rFonts w:hint="eastAsia" w:ascii="宋体" w:hAnsi="宋体" w:eastAsia="宋体" w:cs="宋体"/>
          <w:color w:val="000000"/>
          <w:sz w:val="26"/>
          <w:szCs w:val="26"/>
          <w:highlight w:val="none"/>
        </w:rPr>
        <w:fldChar w:fldCharType="begin"/>
      </w:r>
      <w:r>
        <w:rPr>
          <w:rFonts w:hint="eastAsia" w:ascii="宋体" w:hAnsi="宋体" w:eastAsia="宋体" w:cs="宋体"/>
          <w:color w:val="000000"/>
          <w:sz w:val="26"/>
          <w:szCs w:val="26"/>
          <w:highlight w:val="none"/>
        </w:rPr>
        <w:instrText xml:space="preserve"> HYPERLINK \l _Toc9017 </w:instrText>
      </w:r>
      <w:r>
        <w:rPr>
          <w:rFonts w:hint="eastAsia" w:ascii="宋体" w:hAnsi="宋体" w:eastAsia="宋体" w:cs="宋体"/>
          <w:color w:val="000000"/>
          <w:sz w:val="26"/>
          <w:szCs w:val="26"/>
          <w:highlight w:val="none"/>
        </w:rPr>
        <w:fldChar w:fldCharType="separate"/>
      </w:r>
      <w:r>
        <w:rPr>
          <w:rFonts w:hint="eastAsia" w:ascii="宋体" w:hAnsi="宋体" w:eastAsia="宋体" w:cs="宋体"/>
          <w:color w:val="000000"/>
          <w:sz w:val="26"/>
          <w:szCs w:val="26"/>
        </w:rPr>
        <w:t>投标人须知前附表</w:t>
      </w:r>
      <w:r>
        <w:rPr>
          <w:rFonts w:hint="eastAsia" w:ascii="宋体" w:hAnsi="宋体" w:eastAsia="宋体" w:cs="宋体"/>
          <w:color w:val="000000"/>
          <w:sz w:val="26"/>
          <w:szCs w:val="26"/>
        </w:rPr>
        <w:tab/>
      </w:r>
      <w:r>
        <w:rPr>
          <w:rFonts w:hint="eastAsia" w:ascii="宋体" w:hAnsi="宋体" w:eastAsia="宋体" w:cs="宋体"/>
          <w:color w:val="000000"/>
          <w:sz w:val="26"/>
          <w:szCs w:val="26"/>
        </w:rPr>
        <w:fldChar w:fldCharType="begin"/>
      </w:r>
      <w:r>
        <w:rPr>
          <w:rFonts w:hint="eastAsia" w:ascii="宋体" w:hAnsi="宋体" w:eastAsia="宋体" w:cs="宋体"/>
          <w:color w:val="000000"/>
          <w:sz w:val="26"/>
          <w:szCs w:val="26"/>
        </w:rPr>
        <w:instrText xml:space="preserve"> PAGEREF _Toc9017 \h </w:instrText>
      </w:r>
      <w:r>
        <w:rPr>
          <w:rFonts w:hint="eastAsia" w:ascii="宋体" w:hAnsi="宋体" w:eastAsia="宋体" w:cs="宋体"/>
          <w:color w:val="000000"/>
          <w:sz w:val="26"/>
          <w:szCs w:val="26"/>
        </w:rPr>
        <w:fldChar w:fldCharType="separate"/>
      </w:r>
      <w:r>
        <w:rPr>
          <w:rFonts w:hint="eastAsia" w:ascii="宋体" w:hAnsi="宋体" w:eastAsia="宋体" w:cs="宋体"/>
          <w:color w:val="000000"/>
          <w:sz w:val="26"/>
          <w:szCs w:val="26"/>
        </w:rPr>
        <w:t>8</w:t>
      </w:r>
      <w:r>
        <w:rPr>
          <w:rFonts w:hint="eastAsia" w:ascii="宋体" w:hAnsi="宋体" w:eastAsia="宋体" w:cs="宋体"/>
          <w:color w:val="000000"/>
          <w:sz w:val="26"/>
          <w:szCs w:val="26"/>
        </w:rPr>
        <w:fldChar w:fldCharType="end"/>
      </w:r>
      <w:r>
        <w:rPr>
          <w:rFonts w:hint="eastAsia" w:ascii="宋体" w:hAnsi="宋体" w:eastAsia="宋体" w:cs="宋体"/>
          <w:color w:val="000000"/>
          <w:sz w:val="26"/>
          <w:szCs w:val="26"/>
          <w:highlight w:val="none"/>
        </w:rPr>
        <w:fldChar w:fldCharType="end"/>
      </w:r>
    </w:p>
    <w:p w14:paraId="7A7568DD">
      <w:pPr>
        <w:pStyle w:val="8"/>
        <w:keepNext w:val="0"/>
        <w:keepLines w:val="0"/>
        <w:pageBreakBefore w:val="0"/>
        <w:widowControl w:val="0"/>
        <w:tabs>
          <w:tab w:val="right" w:leader="dot" w:pos="9184"/>
          <w:tab w:val="clear" w:pos="8721"/>
        </w:tabs>
        <w:kinsoku/>
        <w:wordWrap/>
        <w:overflowPunct/>
        <w:topLinePunct w:val="0"/>
        <w:autoSpaceDE/>
        <w:autoSpaceDN/>
        <w:bidi w:val="0"/>
        <w:adjustRightInd/>
        <w:snapToGrid/>
        <w:spacing w:line="500" w:lineRule="exact"/>
        <w:ind w:left="0" w:leftChars="0" w:firstLine="520" w:firstLineChars="200"/>
        <w:textAlignment w:val="auto"/>
        <w:rPr>
          <w:rFonts w:hint="eastAsia" w:ascii="宋体" w:hAnsi="宋体" w:eastAsia="宋体" w:cs="宋体"/>
          <w:color w:val="000000"/>
          <w:sz w:val="26"/>
          <w:szCs w:val="26"/>
        </w:rPr>
      </w:pPr>
      <w:r>
        <w:rPr>
          <w:rFonts w:hint="eastAsia" w:ascii="宋体" w:hAnsi="宋体" w:eastAsia="宋体" w:cs="宋体"/>
          <w:color w:val="000000"/>
          <w:sz w:val="26"/>
          <w:szCs w:val="26"/>
          <w:highlight w:val="none"/>
        </w:rPr>
        <w:fldChar w:fldCharType="begin"/>
      </w:r>
      <w:r>
        <w:rPr>
          <w:rFonts w:hint="eastAsia" w:ascii="宋体" w:hAnsi="宋体" w:eastAsia="宋体" w:cs="宋体"/>
          <w:color w:val="000000"/>
          <w:sz w:val="26"/>
          <w:szCs w:val="26"/>
          <w:highlight w:val="none"/>
        </w:rPr>
        <w:instrText xml:space="preserve"> HYPERLINK \l _Toc13355 </w:instrText>
      </w:r>
      <w:r>
        <w:rPr>
          <w:rFonts w:hint="eastAsia" w:ascii="宋体" w:hAnsi="宋体" w:eastAsia="宋体" w:cs="宋体"/>
          <w:color w:val="000000"/>
          <w:sz w:val="26"/>
          <w:szCs w:val="26"/>
          <w:highlight w:val="none"/>
        </w:rPr>
        <w:fldChar w:fldCharType="separate"/>
      </w:r>
      <w:r>
        <w:rPr>
          <w:rFonts w:hint="eastAsia" w:ascii="宋体" w:hAnsi="宋体" w:eastAsia="宋体" w:cs="宋体"/>
          <w:color w:val="000000"/>
          <w:sz w:val="26"/>
          <w:szCs w:val="26"/>
          <w:lang w:val="en-US"/>
        </w:rPr>
        <w:t>1.总则</w:t>
      </w:r>
      <w:r>
        <w:rPr>
          <w:rFonts w:hint="eastAsia" w:ascii="宋体" w:hAnsi="宋体" w:eastAsia="宋体" w:cs="宋体"/>
          <w:color w:val="000000"/>
          <w:sz w:val="26"/>
          <w:szCs w:val="26"/>
        </w:rPr>
        <w:tab/>
      </w:r>
      <w:r>
        <w:rPr>
          <w:rFonts w:hint="eastAsia" w:ascii="宋体" w:hAnsi="宋体" w:eastAsia="宋体" w:cs="宋体"/>
          <w:color w:val="000000"/>
          <w:sz w:val="26"/>
          <w:szCs w:val="26"/>
        </w:rPr>
        <w:fldChar w:fldCharType="begin"/>
      </w:r>
      <w:r>
        <w:rPr>
          <w:rFonts w:hint="eastAsia" w:ascii="宋体" w:hAnsi="宋体" w:eastAsia="宋体" w:cs="宋体"/>
          <w:color w:val="000000"/>
          <w:sz w:val="26"/>
          <w:szCs w:val="26"/>
        </w:rPr>
        <w:instrText xml:space="preserve"> PAGEREF _Toc13355 \h </w:instrText>
      </w:r>
      <w:r>
        <w:rPr>
          <w:rFonts w:hint="eastAsia" w:ascii="宋体" w:hAnsi="宋体" w:eastAsia="宋体" w:cs="宋体"/>
          <w:color w:val="000000"/>
          <w:sz w:val="26"/>
          <w:szCs w:val="26"/>
        </w:rPr>
        <w:fldChar w:fldCharType="separate"/>
      </w:r>
      <w:r>
        <w:rPr>
          <w:rFonts w:hint="eastAsia" w:ascii="宋体" w:hAnsi="宋体" w:eastAsia="宋体" w:cs="宋体"/>
          <w:color w:val="000000"/>
          <w:sz w:val="26"/>
          <w:szCs w:val="26"/>
        </w:rPr>
        <w:t>14</w:t>
      </w:r>
      <w:r>
        <w:rPr>
          <w:rFonts w:hint="eastAsia" w:ascii="宋体" w:hAnsi="宋体" w:eastAsia="宋体" w:cs="宋体"/>
          <w:color w:val="000000"/>
          <w:sz w:val="26"/>
          <w:szCs w:val="26"/>
        </w:rPr>
        <w:fldChar w:fldCharType="end"/>
      </w:r>
      <w:r>
        <w:rPr>
          <w:rFonts w:hint="eastAsia" w:ascii="宋体" w:hAnsi="宋体" w:eastAsia="宋体" w:cs="宋体"/>
          <w:color w:val="000000"/>
          <w:sz w:val="26"/>
          <w:szCs w:val="26"/>
          <w:highlight w:val="none"/>
        </w:rPr>
        <w:fldChar w:fldCharType="end"/>
      </w:r>
    </w:p>
    <w:p w14:paraId="2B801047">
      <w:pPr>
        <w:pStyle w:val="11"/>
        <w:keepNext w:val="0"/>
        <w:keepLines w:val="0"/>
        <w:pageBreakBefore w:val="0"/>
        <w:widowControl w:val="0"/>
        <w:tabs>
          <w:tab w:val="right" w:leader="dot" w:pos="9184"/>
        </w:tabs>
        <w:kinsoku/>
        <w:wordWrap/>
        <w:overflowPunct/>
        <w:topLinePunct w:val="0"/>
        <w:autoSpaceDE/>
        <w:autoSpaceDN/>
        <w:bidi w:val="0"/>
        <w:adjustRightInd/>
        <w:snapToGrid/>
        <w:spacing w:line="500" w:lineRule="exact"/>
        <w:ind w:left="0" w:leftChars="0" w:firstLine="520" w:firstLineChars="200"/>
        <w:textAlignment w:val="auto"/>
        <w:rPr>
          <w:rFonts w:hint="eastAsia" w:ascii="宋体" w:hAnsi="宋体" w:eastAsia="宋体" w:cs="宋体"/>
          <w:color w:val="000000"/>
          <w:sz w:val="26"/>
          <w:szCs w:val="26"/>
        </w:rPr>
      </w:pPr>
      <w:r>
        <w:rPr>
          <w:rFonts w:hint="eastAsia" w:ascii="宋体" w:hAnsi="宋体" w:eastAsia="宋体" w:cs="宋体"/>
          <w:color w:val="000000"/>
          <w:sz w:val="26"/>
          <w:szCs w:val="26"/>
          <w:highlight w:val="none"/>
        </w:rPr>
        <w:fldChar w:fldCharType="begin"/>
      </w:r>
      <w:r>
        <w:rPr>
          <w:rFonts w:hint="eastAsia" w:ascii="宋体" w:hAnsi="宋体" w:eastAsia="宋体" w:cs="宋体"/>
          <w:color w:val="000000"/>
          <w:sz w:val="26"/>
          <w:szCs w:val="26"/>
          <w:highlight w:val="none"/>
        </w:rPr>
        <w:instrText xml:space="preserve"> HYPERLINK \l _Toc12033 </w:instrText>
      </w:r>
      <w:r>
        <w:rPr>
          <w:rFonts w:hint="eastAsia" w:ascii="宋体" w:hAnsi="宋体" w:eastAsia="宋体" w:cs="宋体"/>
          <w:color w:val="000000"/>
          <w:sz w:val="26"/>
          <w:szCs w:val="26"/>
          <w:highlight w:val="none"/>
        </w:rPr>
        <w:fldChar w:fldCharType="separate"/>
      </w:r>
      <w:r>
        <w:rPr>
          <w:rFonts w:hint="eastAsia" w:ascii="宋体" w:hAnsi="宋体" w:eastAsia="宋体" w:cs="宋体"/>
          <w:color w:val="000000"/>
          <w:sz w:val="26"/>
          <w:szCs w:val="26"/>
          <w:lang w:val="en-US"/>
        </w:rPr>
        <w:t>2.招标文件</w:t>
      </w:r>
      <w:r>
        <w:rPr>
          <w:rFonts w:hint="eastAsia" w:ascii="宋体" w:hAnsi="宋体" w:eastAsia="宋体" w:cs="宋体"/>
          <w:color w:val="000000"/>
          <w:sz w:val="26"/>
          <w:szCs w:val="26"/>
        </w:rPr>
        <w:tab/>
      </w:r>
      <w:r>
        <w:rPr>
          <w:rFonts w:hint="eastAsia" w:ascii="宋体" w:hAnsi="宋体" w:eastAsia="宋体" w:cs="宋体"/>
          <w:color w:val="000000"/>
          <w:sz w:val="26"/>
          <w:szCs w:val="26"/>
        </w:rPr>
        <w:fldChar w:fldCharType="begin"/>
      </w:r>
      <w:r>
        <w:rPr>
          <w:rFonts w:hint="eastAsia" w:ascii="宋体" w:hAnsi="宋体" w:eastAsia="宋体" w:cs="宋体"/>
          <w:color w:val="000000"/>
          <w:sz w:val="26"/>
          <w:szCs w:val="26"/>
        </w:rPr>
        <w:instrText xml:space="preserve"> PAGEREF _Toc12033 \h </w:instrText>
      </w:r>
      <w:r>
        <w:rPr>
          <w:rFonts w:hint="eastAsia" w:ascii="宋体" w:hAnsi="宋体" w:eastAsia="宋体" w:cs="宋体"/>
          <w:color w:val="000000"/>
          <w:sz w:val="26"/>
          <w:szCs w:val="26"/>
        </w:rPr>
        <w:fldChar w:fldCharType="separate"/>
      </w:r>
      <w:r>
        <w:rPr>
          <w:rFonts w:hint="eastAsia" w:ascii="宋体" w:hAnsi="宋体" w:eastAsia="宋体" w:cs="宋体"/>
          <w:color w:val="000000"/>
          <w:sz w:val="26"/>
          <w:szCs w:val="26"/>
        </w:rPr>
        <w:t>16</w:t>
      </w:r>
      <w:r>
        <w:rPr>
          <w:rFonts w:hint="eastAsia" w:ascii="宋体" w:hAnsi="宋体" w:eastAsia="宋体" w:cs="宋体"/>
          <w:color w:val="000000"/>
          <w:sz w:val="26"/>
          <w:szCs w:val="26"/>
        </w:rPr>
        <w:fldChar w:fldCharType="end"/>
      </w:r>
      <w:r>
        <w:rPr>
          <w:rFonts w:hint="eastAsia" w:ascii="宋体" w:hAnsi="宋体" w:eastAsia="宋体" w:cs="宋体"/>
          <w:color w:val="000000"/>
          <w:sz w:val="26"/>
          <w:szCs w:val="26"/>
          <w:highlight w:val="none"/>
        </w:rPr>
        <w:fldChar w:fldCharType="end"/>
      </w:r>
    </w:p>
    <w:p w14:paraId="5A71654B">
      <w:pPr>
        <w:pStyle w:val="11"/>
        <w:keepNext w:val="0"/>
        <w:keepLines w:val="0"/>
        <w:pageBreakBefore w:val="0"/>
        <w:widowControl w:val="0"/>
        <w:tabs>
          <w:tab w:val="right" w:leader="dot" w:pos="9184"/>
        </w:tabs>
        <w:kinsoku/>
        <w:wordWrap/>
        <w:overflowPunct/>
        <w:topLinePunct w:val="0"/>
        <w:autoSpaceDE/>
        <w:autoSpaceDN/>
        <w:bidi w:val="0"/>
        <w:adjustRightInd/>
        <w:snapToGrid/>
        <w:spacing w:line="500" w:lineRule="exact"/>
        <w:ind w:left="0" w:leftChars="0" w:firstLine="520" w:firstLineChars="200"/>
        <w:textAlignment w:val="auto"/>
        <w:rPr>
          <w:rFonts w:hint="eastAsia" w:ascii="宋体" w:hAnsi="宋体" w:eastAsia="宋体" w:cs="宋体"/>
          <w:color w:val="000000"/>
          <w:sz w:val="26"/>
          <w:szCs w:val="26"/>
        </w:rPr>
      </w:pPr>
      <w:r>
        <w:rPr>
          <w:rFonts w:hint="eastAsia" w:ascii="宋体" w:hAnsi="宋体" w:eastAsia="宋体" w:cs="宋体"/>
          <w:color w:val="000000"/>
          <w:sz w:val="26"/>
          <w:szCs w:val="26"/>
          <w:highlight w:val="none"/>
        </w:rPr>
        <w:fldChar w:fldCharType="begin"/>
      </w:r>
      <w:r>
        <w:rPr>
          <w:rFonts w:hint="eastAsia" w:ascii="宋体" w:hAnsi="宋体" w:eastAsia="宋体" w:cs="宋体"/>
          <w:color w:val="000000"/>
          <w:sz w:val="26"/>
          <w:szCs w:val="26"/>
          <w:highlight w:val="none"/>
        </w:rPr>
        <w:instrText xml:space="preserve"> HYPERLINK \l _Toc12766 </w:instrText>
      </w:r>
      <w:r>
        <w:rPr>
          <w:rFonts w:hint="eastAsia" w:ascii="宋体" w:hAnsi="宋体" w:eastAsia="宋体" w:cs="宋体"/>
          <w:color w:val="000000"/>
          <w:sz w:val="26"/>
          <w:szCs w:val="26"/>
          <w:highlight w:val="none"/>
        </w:rPr>
        <w:fldChar w:fldCharType="separate"/>
      </w:r>
      <w:r>
        <w:rPr>
          <w:rFonts w:hint="eastAsia" w:ascii="宋体" w:hAnsi="宋体" w:eastAsia="宋体" w:cs="宋体"/>
          <w:color w:val="000000"/>
          <w:sz w:val="26"/>
          <w:szCs w:val="26"/>
          <w:lang w:val="en-US"/>
        </w:rPr>
        <w:t>3.投标文件</w:t>
      </w:r>
      <w:r>
        <w:rPr>
          <w:rFonts w:hint="eastAsia" w:ascii="宋体" w:hAnsi="宋体" w:eastAsia="宋体" w:cs="宋体"/>
          <w:color w:val="000000"/>
          <w:sz w:val="26"/>
          <w:szCs w:val="26"/>
        </w:rPr>
        <w:tab/>
      </w:r>
      <w:r>
        <w:rPr>
          <w:rFonts w:hint="eastAsia" w:ascii="宋体" w:hAnsi="宋体" w:eastAsia="宋体" w:cs="宋体"/>
          <w:color w:val="000000"/>
          <w:sz w:val="26"/>
          <w:szCs w:val="26"/>
        </w:rPr>
        <w:fldChar w:fldCharType="begin"/>
      </w:r>
      <w:r>
        <w:rPr>
          <w:rFonts w:hint="eastAsia" w:ascii="宋体" w:hAnsi="宋体" w:eastAsia="宋体" w:cs="宋体"/>
          <w:color w:val="000000"/>
          <w:sz w:val="26"/>
          <w:szCs w:val="26"/>
        </w:rPr>
        <w:instrText xml:space="preserve"> PAGEREF _Toc12766 \h </w:instrText>
      </w:r>
      <w:r>
        <w:rPr>
          <w:rFonts w:hint="eastAsia" w:ascii="宋体" w:hAnsi="宋体" w:eastAsia="宋体" w:cs="宋体"/>
          <w:color w:val="000000"/>
          <w:sz w:val="26"/>
          <w:szCs w:val="26"/>
        </w:rPr>
        <w:fldChar w:fldCharType="separate"/>
      </w:r>
      <w:r>
        <w:rPr>
          <w:rFonts w:hint="eastAsia" w:ascii="宋体" w:hAnsi="宋体" w:eastAsia="宋体" w:cs="宋体"/>
          <w:color w:val="000000"/>
          <w:sz w:val="26"/>
          <w:szCs w:val="26"/>
        </w:rPr>
        <w:t>17</w:t>
      </w:r>
      <w:r>
        <w:rPr>
          <w:rFonts w:hint="eastAsia" w:ascii="宋体" w:hAnsi="宋体" w:eastAsia="宋体" w:cs="宋体"/>
          <w:color w:val="000000"/>
          <w:sz w:val="26"/>
          <w:szCs w:val="26"/>
        </w:rPr>
        <w:fldChar w:fldCharType="end"/>
      </w:r>
      <w:r>
        <w:rPr>
          <w:rFonts w:hint="eastAsia" w:ascii="宋体" w:hAnsi="宋体" w:eastAsia="宋体" w:cs="宋体"/>
          <w:color w:val="000000"/>
          <w:sz w:val="26"/>
          <w:szCs w:val="26"/>
          <w:highlight w:val="none"/>
        </w:rPr>
        <w:fldChar w:fldCharType="end"/>
      </w:r>
    </w:p>
    <w:p w14:paraId="0C83CDCD">
      <w:pPr>
        <w:pStyle w:val="11"/>
        <w:keepNext w:val="0"/>
        <w:keepLines w:val="0"/>
        <w:pageBreakBefore w:val="0"/>
        <w:widowControl w:val="0"/>
        <w:tabs>
          <w:tab w:val="right" w:leader="dot" w:pos="9184"/>
        </w:tabs>
        <w:kinsoku/>
        <w:wordWrap/>
        <w:overflowPunct/>
        <w:topLinePunct w:val="0"/>
        <w:autoSpaceDE/>
        <w:autoSpaceDN/>
        <w:bidi w:val="0"/>
        <w:adjustRightInd/>
        <w:snapToGrid/>
        <w:spacing w:line="500" w:lineRule="exact"/>
        <w:ind w:left="0" w:leftChars="0" w:firstLine="520" w:firstLineChars="200"/>
        <w:textAlignment w:val="auto"/>
        <w:rPr>
          <w:rFonts w:hint="eastAsia" w:ascii="宋体" w:hAnsi="宋体" w:eastAsia="宋体" w:cs="宋体"/>
          <w:color w:val="000000"/>
          <w:sz w:val="26"/>
          <w:szCs w:val="26"/>
        </w:rPr>
      </w:pPr>
      <w:r>
        <w:rPr>
          <w:rFonts w:hint="eastAsia" w:ascii="宋体" w:hAnsi="宋体" w:eastAsia="宋体" w:cs="宋体"/>
          <w:color w:val="000000"/>
          <w:sz w:val="26"/>
          <w:szCs w:val="26"/>
          <w:highlight w:val="none"/>
        </w:rPr>
        <w:fldChar w:fldCharType="begin"/>
      </w:r>
      <w:r>
        <w:rPr>
          <w:rFonts w:hint="eastAsia" w:ascii="宋体" w:hAnsi="宋体" w:eastAsia="宋体" w:cs="宋体"/>
          <w:color w:val="000000"/>
          <w:sz w:val="26"/>
          <w:szCs w:val="26"/>
          <w:highlight w:val="none"/>
        </w:rPr>
        <w:instrText xml:space="preserve"> HYPERLINK \l _Toc12247 </w:instrText>
      </w:r>
      <w:r>
        <w:rPr>
          <w:rFonts w:hint="eastAsia" w:ascii="宋体" w:hAnsi="宋体" w:eastAsia="宋体" w:cs="宋体"/>
          <w:color w:val="000000"/>
          <w:sz w:val="26"/>
          <w:szCs w:val="26"/>
          <w:highlight w:val="none"/>
        </w:rPr>
        <w:fldChar w:fldCharType="separate"/>
      </w:r>
      <w:r>
        <w:rPr>
          <w:rFonts w:hint="eastAsia" w:ascii="宋体" w:hAnsi="宋体" w:eastAsia="宋体" w:cs="宋体"/>
          <w:color w:val="000000"/>
          <w:sz w:val="26"/>
          <w:szCs w:val="26"/>
          <w:lang w:val="en-US"/>
        </w:rPr>
        <w:t>4</w:t>
      </w:r>
      <w:r>
        <w:rPr>
          <w:rFonts w:hint="eastAsia" w:ascii="宋体" w:hAnsi="宋体" w:eastAsia="宋体" w:cs="宋体"/>
          <w:color w:val="000000"/>
          <w:sz w:val="26"/>
          <w:szCs w:val="26"/>
          <w:lang w:val="en-US" w:eastAsia="zh-CN"/>
        </w:rPr>
        <w:t>.</w:t>
      </w:r>
      <w:r>
        <w:rPr>
          <w:rFonts w:hint="eastAsia" w:ascii="宋体" w:hAnsi="宋体" w:eastAsia="宋体" w:cs="宋体"/>
          <w:color w:val="000000"/>
          <w:sz w:val="26"/>
          <w:szCs w:val="26"/>
          <w:lang w:val="en-US"/>
        </w:rPr>
        <w:t>投标</w:t>
      </w:r>
      <w:r>
        <w:rPr>
          <w:rFonts w:hint="eastAsia" w:ascii="宋体" w:hAnsi="宋体" w:eastAsia="宋体" w:cs="宋体"/>
          <w:color w:val="000000"/>
          <w:sz w:val="26"/>
          <w:szCs w:val="26"/>
        </w:rPr>
        <w:tab/>
      </w:r>
      <w:r>
        <w:rPr>
          <w:rFonts w:hint="eastAsia" w:ascii="宋体" w:hAnsi="宋体" w:eastAsia="宋体" w:cs="宋体"/>
          <w:color w:val="000000"/>
          <w:sz w:val="26"/>
          <w:szCs w:val="26"/>
        </w:rPr>
        <w:fldChar w:fldCharType="begin"/>
      </w:r>
      <w:r>
        <w:rPr>
          <w:rFonts w:hint="eastAsia" w:ascii="宋体" w:hAnsi="宋体" w:eastAsia="宋体" w:cs="宋体"/>
          <w:color w:val="000000"/>
          <w:sz w:val="26"/>
          <w:szCs w:val="26"/>
        </w:rPr>
        <w:instrText xml:space="preserve"> PAGEREF _Toc12247 \h </w:instrText>
      </w:r>
      <w:r>
        <w:rPr>
          <w:rFonts w:hint="eastAsia" w:ascii="宋体" w:hAnsi="宋体" w:eastAsia="宋体" w:cs="宋体"/>
          <w:color w:val="000000"/>
          <w:sz w:val="26"/>
          <w:szCs w:val="26"/>
        </w:rPr>
        <w:fldChar w:fldCharType="separate"/>
      </w:r>
      <w:r>
        <w:rPr>
          <w:rFonts w:hint="eastAsia" w:ascii="宋体" w:hAnsi="宋体" w:eastAsia="宋体" w:cs="宋体"/>
          <w:color w:val="000000"/>
          <w:sz w:val="26"/>
          <w:szCs w:val="26"/>
        </w:rPr>
        <w:t>19</w:t>
      </w:r>
      <w:r>
        <w:rPr>
          <w:rFonts w:hint="eastAsia" w:ascii="宋体" w:hAnsi="宋体" w:eastAsia="宋体" w:cs="宋体"/>
          <w:color w:val="000000"/>
          <w:sz w:val="26"/>
          <w:szCs w:val="26"/>
        </w:rPr>
        <w:fldChar w:fldCharType="end"/>
      </w:r>
      <w:r>
        <w:rPr>
          <w:rFonts w:hint="eastAsia" w:ascii="宋体" w:hAnsi="宋体" w:eastAsia="宋体" w:cs="宋体"/>
          <w:color w:val="000000"/>
          <w:sz w:val="26"/>
          <w:szCs w:val="26"/>
          <w:highlight w:val="none"/>
        </w:rPr>
        <w:fldChar w:fldCharType="end"/>
      </w:r>
    </w:p>
    <w:p w14:paraId="04C8EFF9">
      <w:pPr>
        <w:pStyle w:val="11"/>
        <w:keepNext w:val="0"/>
        <w:keepLines w:val="0"/>
        <w:pageBreakBefore w:val="0"/>
        <w:widowControl w:val="0"/>
        <w:tabs>
          <w:tab w:val="right" w:leader="dot" w:pos="9184"/>
        </w:tabs>
        <w:kinsoku/>
        <w:wordWrap/>
        <w:overflowPunct/>
        <w:topLinePunct w:val="0"/>
        <w:autoSpaceDE/>
        <w:autoSpaceDN/>
        <w:bidi w:val="0"/>
        <w:adjustRightInd/>
        <w:snapToGrid/>
        <w:spacing w:line="500" w:lineRule="exact"/>
        <w:ind w:left="0" w:leftChars="0" w:firstLine="520" w:firstLineChars="200"/>
        <w:textAlignment w:val="auto"/>
        <w:rPr>
          <w:rFonts w:hint="eastAsia" w:ascii="宋体" w:hAnsi="宋体" w:eastAsia="宋体" w:cs="宋体"/>
          <w:color w:val="000000"/>
          <w:sz w:val="26"/>
          <w:szCs w:val="26"/>
        </w:rPr>
      </w:pPr>
      <w:r>
        <w:rPr>
          <w:rFonts w:hint="eastAsia" w:ascii="宋体" w:hAnsi="宋体" w:eastAsia="宋体" w:cs="宋体"/>
          <w:color w:val="000000"/>
          <w:sz w:val="26"/>
          <w:szCs w:val="26"/>
          <w:highlight w:val="none"/>
        </w:rPr>
        <w:fldChar w:fldCharType="begin"/>
      </w:r>
      <w:r>
        <w:rPr>
          <w:rFonts w:hint="eastAsia" w:ascii="宋体" w:hAnsi="宋体" w:eastAsia="宋体" w:cs="宋体"/>
          <w:color w:val="000000"/>
          <w:sz w:val="26"/>
          <w:szCs w:val="26"/>
          <w:highlight w:val="none"/>
        </w:rPr>
        <w:instrText xml:space="preserve"> HYPERLINK \l _Toc16431 </w:instrText>
      </w:r>
      <w:r>
        <w:rPr>
          <w:rFonts w:hint="eastAsia" w:ascii="宋体" w:hAnsi="宋体" w:eastAsia="宋体" w:cs="宋体"/>
          <w:color w:val="000000"/>
          <w:sz w:val="26"/>
          <w:szCs w:val="26"/>
          <w:highlight w:val="none"/>
        </w:rPr>
        <w:fldChar w:fldCharType="separate"/>
      </w:r>
      <w:r>
        <w:rPr>
          <w:rFonts w:hint="eastAsia" w:ascii="宋体" w:hAnsi="宋体" w:eastAsia="宋体" w:cs="宋体"/>
          <w:color w:val="000000"/>
          <w:sz w:val="26"/>
          <w:szCs w:val="26"/>
          <w:lang w:val="en-US"/>
        </w:rPr>
        <w:t>5.开标</w:t>
      </w:r>
      <w:r>
        <w:rPr>
          <w:rFonts w:hint="eastAsia" w:ascii="宋体" w:hAnsi="宋体" w:eastAsia="宋体" w:cs="宋体"/>
          <w:color w:val="000000"/>
          <w:sz w:val="26"/>
          <w:szCs w:val="26"/>
        </w:rPr>
        <w:tab/>
      </w:r>
      <w:r>
        <w:rPr>
          <w:rFonts w:hint="eastAsia" w:ascii="宋体" w:hAnsi="宋体" w:eastAsia="宋体" w:cs="宋体"/>
          <w:color w:val="000000"/>
          <w:sz w:val="26"/>
          <w:szCs w:val="26"/>
        </w:rPr>
        <w:fldChar w:fldCharType="begin"/>
      </w:r>
      <w:r>
        <w:rPr>
          <w:rFonts w:hint="eastAsia" w:ascii="宋体" w:hAnsi="宋体" w:eastAsia="宋体" w:cs="宋体"/>
          <w:color w:val="000000"/>
          <w:sz w:val="26"/>
          <w:szCs w:val="26"/>
        </w:rPr>
        <w:instrText xml:space="preserve"> PAGEREF _Toc16431 \h </w:instrText>
      </w:r>
      <w:r>
        <w:rPr>
          <w:rFonts w:hint="eastAsia" w:ascii="宋体" w:hAnsi="宋体" w:eastAsia="宋体" w:cs="宋体"/>
          <w:color w:val="000000"/>
          <w:sz w:val="26"/>
          <w:szCs w:val="26"/>
        </w:rPr>
        <w:fldChar w:fldCharType="separate"/>
      </w:r>
      <w:r>
        <w:rPr>
          <w:rFonts w:hint="eastAsia" w:ascii="宋体" w:hAnsi="宋体" w:eastAsia="宋体" w:cs="宋体"/>
          <w:color w:val="000000"/>
          <w:sz w:val="26"/>
          <w:szCs w:val="26"/>
        </w:rPr>
        <w:t>21</w:t>
      </w:r>
      <w:r>
        <w:rPr>
          <w:rFonts w:hint="eastAsia" w:ascii="宋体" w:hAnsi="宋体" w:eastAsia="宋体" w:cs="宋体"/>
          <w:color w:val="000000"/>
          <w:sz w:val="26"/>
          <w:szCs w:val="26"/>
        </w:rPr>
        <w:fldChar w:fldCharType="end"/>
      </w:r>
      <w:r>
        <w:rPr>
          <w:rFonts w:hint="eastAsia" w:ascii="宋体" w:hAnsi="宋体" w:eastAsia="宋体" w:cs="宋体"/>
          <w:color w:val="000000"/>
          <w:sz w:val="26"/>
          <w:szCs w:val="26"/>
          <w:highlight w:val="none"/>
        </w:rPr>
        <w:fldChar w:fldCharType="end"/>
      </w:r>
    </w:p>
    <w:p w14:paraId="16FFA7F4">
      <w:pPr>
        <w:pStyle w:val="11"/>
        <w:keepNext w:val="0"/>
        <w:keepLines w:val="0"/>
        <w:pageBreakBefore w:val="0"/>
        <w:widowControl w:val="0"/>
        <w:tabs>
          <w:tab w:val="right" w:leader="dot" w:pos="9184"/>
        </w:tabs>
        <w:kinsoku/>
        <w:wordWrap/>
        <w:overflowPunct/>
        <w:topLinePunct w:val="0"/>
        <w:autoSpaceDE/>
        <w:autoSpaceDN/>
        <w:bidi w:val="0"/>
        <w:adjustRightInd/>
        <w:snapToGrid/>
        <w:spacing w:line="500" w:lineRule="exact"/>
        <w:ind w:left="0" w:leftChars="0" w:firstLine="520" w:firstLineChars="200"/>
        <w:textAlignment w:val="auto"/>
        <w:rPr>
          <w:rFonts w:hint="eastAsia" w:ascii="宋体" w:hAnsi="宋体" w:eastAsia="宋体" w:cs="宋体"/>
          <w:color w:val="000000"/>
          <w:sz w:val="26"/>
          <w:szCs w:val="26"/>
        </w:rPr>
      </w:pPr>
      <w:r>
        <w:rPr>
          <w:rFonts w:hint="eastAsia" w:ascii="宋体" w:hAnsi="宋体" w:eastAsia="宋体" w:cs="宋体"/>
          <w:color w:val="000000"/>
          <w:sz w:val="26"/>
          <w:szCs w:val="26"/>
          <w:highlight w:val="none"/>
        </w:rPr>
        <w:fldChar w:fldCharType="begin"/>
      </w:r>
      <w:r>
        <w:rPr>
          <w:rFonts w:hint="eastAsia" w:ascii="宋体" w:hAnsi="宋体" w:eastAsia="宋体" w:cs="宋体"/>
          <w:color w:val="000000"/>
          <w:sz w:val="26"/>
          <w:szCs w:val="26"/>
          <w:highlight w:val="none"/>
        </w:rPr>
        <w:instrText xml:space="preserve"> HYPERLINK \l _Toc22156 </w:instrText>
      </w:r>
      <w:r>
        <w:rPr>
          <w:rFonts w:hint="eastAsia" w:ascii="宋体" w:hAnsi="宋体" w:eastAsia="宋体" w:cs="宋体"/>
          <w:color w:val="000000"/>
          <w:sz w:val="26"/>
          <w:szCs w:val="26"/>
          <w:highlight w:val="none"/>
        </w:rPr>
        <w:fldChar w:fldCharType="separate"/>
      </w:r>
      <w:r>
        <w:rPr>
          <w:rFonts w:hint="eastAsia" w:ascii="宋体" w:hAnsi="宋体" w:eastAsia="宋体" w:cs="宋体"/>
          <w:color w:val="000000"/>
          <w:sz w:val="26"/>
          <w:szCs w:val="26"/>
          <w:lang w:val="en-US"/>
        </w:rPr>
        <w:t>6.评标</w:t>
      </w:r>
      <w:r>
        <w:rPr>
          <w:rFonts w:hint="eastAsia" w:ascii="宋体" w:hAnsi="宋体" w:eastAsia="宋体" w:cs="宋体"/>
          <w:color w:val="000000"/>
          <w:sz w:val="26"/>
          <w:szCs w:val="26"/>
        </w:rPr>
        <w:tab/>
      </w:r>
      <w:r>
        <w:rPr>
          <w:rFonts w:hint="eastAsia" w:ascii="宋体" w:hAnsi="宋体" w:eastAsia="宋体" w:cs="宋体"/>
          <w:color w:val="000000"/>
          <w:sz w:val="26"/>
          <w:szCs w:val="26"/>
        </w:rPr>
        <w:fldChar w:fldCharType="begin"/>
      </w:r>
      <w:r>
        <w:rPr>
          <w:rFonts w:hint="eastAsia" w:ascii="宋体" w:hAnsi="宋体" w:eastAsia="宋体" w:cs="宋体"/>
          <w:color w:val="000000"/>
          <w:sz w:val="26"/>
          <w:szCs w:val="26"/>
        </w:rPr>
        <w:instrText xml:space="preserve"> PAGEREF _Toc22156 \h </w:instrText>
      </w:r>
      <w:r>
        <w:rPr>
          <w:rFonts w:hint="eastAsia" w:ascii="宋体" w:hAnsi="宋体" w:eastAsia="宋体" w:cs="宋体"/>
          <w:color w:val="000000"/>
          <w:sz w:val="26"/>
          <w:szCs w:val="26"/>
        </w:rPr>
        <w:fldChar w:fldCharType="separate"/>
      </w:r>
      <w:r>
        <w:rPr>
          <w:rFonts w:hint="eastAsia" w:ascii="宋体" w:hAnsi="宋体" w:eastAsia="宋体" w:cs="宋体"/>
          <w:color w:val="000000"/>
          <w:sz w:val="26"/>
          <w:szCs w:val="26"/>
        </w:rPr>
        <w:t>22</w:t>
      </w:r>
      <w:r>
        <w:rPr>
          <w:rFonts w:hint="eastAsia" w:ascii="宋体" w:hAnsi="宋体" w:eastAsia="宋体" w:cs="宋体"/>
          <w:color w:val="000000"/>
          <w:sz w:val="26"/>
          <w:szCs w:val="26"/>
        </w:rPr>
        <w:fldChar w:fldCharType="end"/>
      </w:r>
      <w:r>
        <w:rPr>
          <w:rFonts w:hint="eastAsia" w:ascii="宋体" w:hAnsi="宋体" w:eastAsia="宋体" w:cs="宋体"/>
          <w:color w:val="000000"/>
          <w:sz w:val="26"/>
          <w:szCs w:val="26"/>
          <w:highlight w:val="none"/>
        </w:rPr>
        <w:fldChar w:fldCharType="end"/>
      </w:r>
    </w:p>
    <w:p w14:paraId="041EFD10">
      <w:pPr>
        <w:pStyle w:val="11"/>
        <w:keepNext w:val="0"/>
        <w:keepLines w:val="0"/>
        <w:pageBreakBefore w:val="0"/>
        <w:widowControl w:val="0"/>
        <w:tabs>
          <w:tab w:val="right" w:leader="dot" w:pos="9184"/>
        </w:tabs>
        <w:kinsoku/>
        <w:wordWrap/>
        <w:overflowPunct/>
        <w:topLinePunct w:val="0"/>
        <w:autoSpaceDE/>
        <w:autoSpaceDN/>
        <w:bidi w:val="0"/>
        <w:adjustRightInd/>
        <w:snapToGrid/>
        <w:spacing w:line="500" w:lineRule="exact"/>
        <w:ind w:left="0" w:leftChars="0" w:firstLine="520" w:firstLineChars="200"/>
        <w:textAlignment w:val="auto"/>
        <w:rPr>
          <w:rFonts w:hint="eastAsia" w:ascii="宋体" w:hAnsi="宋体" w:eastAsia="宋体" w:cs="宋体"/>
          <w:color w:val="000000"/>
          <w:sz w:val="26"/>
          <w:szCs w:val="26"/>
        </w:rPr>
      </w:pPr>
      <w:r>
        <w:rPr>
          <w:rFonts w:hint="eastAsia" w:ascii="宋体" w:hAnsi="宋体" w:eastAsia="宋体" w:cs="宋体"/>
          <w:color w:val="000000"/>
          <w:sz w:val="26"/>
          <w:szCs w:val="26"/>
          <w:highlight w:val="none"/>
        </w:rPr>
        <w:fldChar w:fldCharType="begin"/>
      </w:r>
      <w:r>
        <w:rPr>
          <w:rFonts w:hint="eastAsia" w:ascii="宋体" w:hAnsi="宋体" w:eastAsia="宋体" w:cs="宋体"/>
          <w:color w:val="000000"/>
          <w:sz w:val="26"/>
          <w:szCs w:val="26"/>
          <w:highlight w:val="none"/>
        </w:rPr>
        <w:instrText xml:space="preserve"> HYPERLINK \l _Toc19128 </w:instrText>
      </w:r>
      <w:r>
        <w:rPr>
          <w:rFonts w:hint="eastAsia" w:ascii="宋体" w:hAnsi="宋体" w:eastAsia="宋体" w:cs="宋体"/>
          <w:color w:val="000000"/>
          <w:sz w:val="26"/>
          <w:szCs w:val="26"/>
          <w:highlight w:val="none"/>
        </w:rPr>
        <w:fldChar w:fldCharType="separate"/>
      </w:r>
      <w:r>
        <w:rPr>
          <w:rFonts w:hint="eastAsia" w:ascii="宋体" w:hAnsi="宋体" w:eastAsia="宋体" w:cs="宋体"/>
          <w:color w:val="000000"/>
          <w:sz w:val="26"/>
          <w:szCs w:val="26"/>
          <w:lang w:val="en-US"/>
        </w:rPr>
        <w:t>7.合同授予</w:t>
      </w:r>
      <w:r>
        <w:rPr>
          <w:rFonts w:hint="eastAsia" w:ascii="宋体" w:hAnsi="宋体" w:eastAsia="宋体" w:cs="宋体"/>
          <w:color w:val="000000"/>
          <w:sz w:val="26"/>
          <w:szCs w:val="26"/>
        </w:rPr>
        <w:tab/>
      </w:r>
      <w:r>
        <w:rPr>
          <w:rFonts w:hint="eastAsia" w:ascii="宋体" w:hAnsi="宋体" w:eastAsia="宋体" w:cs="宋体"/>
          <w:color w:val="000000"/>
          <w:sz w:val="26"/>
          <w:szCs w:val="26"/>
        </w:rPr>
        <w:fldChar w:fldCharType="begin"/>
      </w:r>
      <w:r>
        <w:rPr>
          <w:rFonts w:hint="eastAsia" w:ascii="宋体" w:hAnsi="宋体" w:eastAsia="宋体" w:cs="宋体"/>
          <w:color w:val="000000"/>
          <w:sz w:val="26"/>
          <w:szCs w:val="26"/>
        </w:rPr>
        <w:instrText xml:space="preserve"> PAGEREF _Toc19128 \h </w:instrText>
      </w:r>
      <w:r>
        <w:rPr>
          <w:rFonts w:hint="eastAsia" w:ascii="宋体" w:hAnsi="宋体" w:eastAsia="宋体" w:cs="宋体"/>
          <w:color w:val="000000"/>
          <w:sz w:val="26"/>
          <w:szCs w:val="26"/>
        </w:rPr>
        <w:fldChar w:fldCharType="separate"/>
      </w:r>
      <w:r>
        <w:rPr>
          <w:rFonts w:hint="eastAsia" w:ascii="宋体" w:hAnsi="宋体" w:eastAsia="宋体" w:cs="宋体"/>
          <w:color w:val="000000"/>
          <w:sz w:val="26"/>
          <w:szCs w:val="26"/>
        </w:rPr>
        <w:t>23</w:t>
      </w:r>
      <w:r>
        <w:rPr>
          <w:rFonts w:hint="eastAsia" w:ascii="宋体" w:hAnsi="宋体" w:eastAsia="宋体" w:cs="宋体"/>
          <w:color w:val="000000"/>
          <w:sz w:val="26"/>
          <w:szCs w:val="26"/>
        </w:rPr>
        <w:fldChar w:fldCharType="end"/>
      </w:r>
      <w:r>
        <w:rPr>
          <w:rFonts w:hint="eastAsia" w:ascii="宋体" w:hAnsi="宋体" w:eastAsia="宋体" w:cs="宋体"/>
          <w:color w:val="000000"/>
          <w:sz w:val="26"/>
          <w:szCs w:val="26"/>
          <w:highlight w:val="none"/>
        </w:rPr>
        <w:fldChar w:fldCharType="end"/>
      </w:r>
    </w:p>
    <w:p w14:paraId="04F606E9">
      <w:pPr>
        <w:pStyle w:val="11"/>
        <w:keepNext w:val="0"/>
        <w:keepLines w:val="0"/>
        <w:pageBreakBefore w:val="0"/>
        <w:widowControl w:val="0"/>
        <w:tabs>
          <w:tab w:val="right" w:leader="dot" w:pos="9184"/>
        </w:tabs>
        <w:kinsoku/>
        <w:wordWrap/>
        <w:overflowPunct/>
        <w:topLinePunct w:val="0"/>
        <w:autoSpaceDE/>
        <w:autoSpaceDN/>
        <w:bidi w:val="0"/>
        <w:adjustRightInd/>
        <w:snapToGrid/>
        <w:spacing w:line="500" w:lineRule="exact"/>
        <w:ind w:left="0" w:leftChars="0" w:firstLine="520" w:firstLineChars="200"/>
        <w:textAlignment w:val="auto"/>
        <w:rPr>
          <w:rFonts w:hint="eastAsia" w:ascii="宋体" w:hAnsi="宋体" w:eastAsia="宋体" w:cs="宋体"/>
          <w:color w:val="000000"/>
          <w:sz w:val="26"/>
          <w:szCs w:val="26"/>
        </w:rPr>
      </w:pPr>
      <w:r>
        <w:rPr>
          <w:rFonts w:hint="eastAsia" w:ascii="宋体" w:hAnsi="宋体" w:eastAsia="宋体" w:cs="宋体"/>
          <w:color w:val="000000"/>
          <w:sz w:val="26"/>
          <w:szCs w:val="26"/>
          <w:highlight w:val="none"/>
        </w:rPr>
        <w:fldChar w:fldCharType="begin"/>
      </w:r>
      <w:r>
        <w:rPr>
          <w:rFonts w:hint="eastAsia" w:ascii="宋体" w:hAnsi="宋体" w:eastAsia="宋体" w:cs="宋体"/>
          <w:color w:val="000000"/>
          <w:sz w:val="26"/>
          <w:szCs w:val="26"/>
          <w:highlight w:val="none"/>
        </w:rPr>
        <w:instrText xml:space="preserve"> HYPERLINK \l _Toc24605 </w:instrText>
      </w:r>
      <w:r>
        <w:rPr>
          <w:rFonts w:hint="eastAsia" w:ascii="宋体" w:hAnsi="宋体" w:eastAsia="宋体" w:cs="宋体"/>
          <w:color w:val="000000"/>
          <w:sz w:val="26"/>
          <w:szCs w:val="26"/>
          <w:highlight w:val="none"/>
        </w:rPr>
        <w:fldChar w:fldCharType="separate"/>
      </w:r>
      <w:r>
        <w:rPr>
          <w:rFonts w:hint="eastAsia" w:ascii="宋体" w:hAnsi="宋体" w:eastAsia="宋体" w:cs="宋体"/>
          <w:color w:val="000000"/>
          <w:sz w:val="26"/>
          <w:szCs w:val="26"/>
          <w:lang w:val="en-US"/>
        </w:rPr>
        <w:t>8.重新招标和不再招标</w:t>
      </w:r>
      <w:r>
        <w:rPr>
          <w:rFonts w:hint="eastAsia" w:ascii="宋体" w:hAnsi="宋体" w:eastAsia="宋体" w:cs="宋体"/>
          <w:color w:val="000000"/>
          <w:sz w:val="26"/>
          <w:szCs w:val="26"/>
        </w:rPr>
        <w:tab/>
      </w:r>
      <w:r>
        <w:rPr>
          <w:rFonts w:hint="eastAsia" w:ascii="宋体" w:hAnsi="宋体" w:eastAsia="宋体" w:cs="宋体"/>
          <w:color w:val="000000"/>
          <w:sz w:val="26"/>
          <w:szCs w:val="26"/>
        </w:rPr>
        <w:fldChar w:fldCharType="begin"/>
      </w:r>
      <w:r>
        <w:rPr>
          <w:rFonts w:hint="eastAsia" w:ascii="宋体" w:hAnsi="宋体" w:eastAsia="宋体" w:cs="宋体"/>
          <w:color w:val="000000"/>
          <w:sz w:val="26"/>
          <w:szCs w:val="26"/>
        </w:rPr>
        <w:instrText xml:space="preserve"> PAGEREF _Toc24605 \h </w:instrText>
      </w:r>
      <w:r>
        <w:rPr>
          <w:rFonts w:hint="eastAsia" w:ascii="宋体" w:hAnsi="宋体" w:eastAsia="宋体" w:cs="宋体"/>
          <w:color w:val="000000"/>
          <w:sz w:val="26"/>
          <w:szCs w:val="26"/>
        </w:rPr>
        <w:fldChar w:fldCharType="separate"/>
      </w:r>
      <w:r>
        <w:rPr>
          <w:rFonts w:hint="eastAsia" w:ascii="宋体" w:hAnsi="宋体" w:eastAsia="宋体" w:cs="宋体"/>
          <w:color w:val="000000"/>
          <w:sz w:val="26"/>
          <w:szCs w:val="26"/>
        </w:rPr>
        <w:t>24</w:t>
      </w:r>
      <w:r>
        <w:rPr>
          <w:rFonts w:hint="eastAsia" w:ascii="宋体" w:hAnsi="宋体" w:eastAsia="宋体" w:cs="宋体"/>
          <w:color w:val="000000"/>
          <w:sz w:val="26"/>
          <w:szCs w:val="26"/>
        </w:rPr>
        <w:fldChar w:fldCharType="end"/>
      </w:r>
      <w:r>
        <w:rPr>
          <w:rFonts w:hint="eastAsia" w:ascii="宋体" w:hAnsi="宋体" w:eastAsia="宋体" w:cs="宋体"/>
          <w:color w:val="000000"/>
          <w:sz w:val="26"/>
          <w:szCs w:val="26"/>
          <w:highlight w:val="none"/>
        </w:rPr>
        <w:fldChar w:fldCharType="end"/>
      </w:r>
    </w:p>
    <w:p w14:paraId="326361E5">
      <w:pPr>
        <w:pStyle w:val="11"/>
        <w:keepNext w:val="0"/>
        <w:keepLines w:val="0"/>
        <w:pageBreakBefore w:val="0"/>
        <w:widowControl w:val="0"/>
        <w:tabs>
          <w:tab w:val="right" w:leader="dot" w:pos="9184"/>
        </w:tabs>
        <w:kinsoku/>
        <w:wordWrap/>
        <w:overflowPunct/>
        <w:topLinePunct w:val="0"/>
        <w:autoSpaceDE/>
        <w:autoSpaceDN/>
        <w:bidi w:val="0"/>
        <w:adjustRightInd/>
        <w:snapToGrid/>
        <w:spacing w:line="500" w:lineRule="exact"/>
        <w:ind w:left="0" w:leftChars="0" w:firstLine="520" w:firstLineChars="200"/>
        <w:textAlignment w:val="auto"/>
        <w:rPr>
          <w:rFonts w:hint="eastAsia" w:ascii="宋体" w:hAnsi="宋体" w:eastAsia="宋体" w:cs="宋体"/>
          <w:color w:val="000000"/>
          <w:sz w:val="26"/>
          <w:szCs w:val="26"/>
        </w:rPr>
      </w:pPr>
      <w:r>
        <w:rPr>
          <w:rFonts w:hint="eastAsia" w:ascii="宋体" w:hAnsi="宋体" w:eastAsia="宋体" w:cs="宋体"/>
          <w:color w:val="000000"/>
          <w:sz w:val="26"/>
          <w:szCs w:val="26"/>
          <w:highlight w:val="none"/>
        </w:rPr>
        <w:fldChar w:fldCharType="begin"/>
      </w:r>
      <w:r>
        <w:rPr>
          <w:rFonts w:hint="eastAsia" w:ascii="宋体" w:hAnsi="宋体" w:eastAsia="宋体" w:cs="宋体"/>
          <w:color w:val="000000"/>
          <w:sz w:val="26"/>
          <w:szCs w:val="26"/>
          <w:highlight w:val="none"/>
        </w:rPr>
        <w:instrText xml:space="preserve"> HYPERLINK \l _Toc17185 </w:instrText>
      </w:r>
      <w:r>
        <w:rPr>
          <w:rFonts w:hint="eastAsia" w:ascii="宋体" w:hAnsi="宋体" w:eastAsia="宋体" w:cs="宋体"/>
          <w:color w:val="000000"/>
          <w:sz w:val="26"/>
          <w:szCs w:val="26"/>
          <w:highlight w:val="none"/>
        </w:rPr>
        <w:fldChar w:fldCharType="separate"/>
      </w:r>
      <w:r>
        <w:rPr>
          <w:rFonts w:hint="eastAsia" w:ascii="宋体" w:hAnsi="宋体" w:eastAsia="宋体" w:cs="宋体"/>
          <w:color w:val="000000"/>
          <w:sz w:val="26"/>
          <w:szCs w:val="26"/>
          <w:lang w:val="en-US"/>
        </w:rPr>
        <w:t>9.纪律和监督</w:t>
      </w:r>
      <w:r>
        <w:rPr>
          <w:rFonts w:hint="eastAsia" w:ascii="宋体" w:hAnsi="宋体" w:eastAsia="宋体" w:cs="宋体"/>
          <w:color w:val="000000"/>
          <w:sz w:val="26"/>
          <w:szCs w:val="26"/>
        </w:rPr>
        <w:tab/>
      </w:r>
      <w:r>
        <w:rPr>
          <w:rFonts w:hint="eastAsia" w:ascii="宋体" w:hAnsi="宋体" w:eastAsia="宋体" w:cs="宋体"/>
          <w:color w:val="000000"/>
          <w:sz w:val="26"/>
          <w:szCs w:val="26"/>
        </w:rPr>
        <w:fldChar w:fldCharType="begin"/>
      </w:r>
      <w:r>
        <w:rPr>
          <w:rFonts w:hint="eastAsia" w:ascii="宋体" w:hAnsi="宋体" w:eastAsia="宋体" w:cs="宋体"/>
          <w:color w:val="000000"/>
          <w:sz w:val="26"/>
          <w:szCs w:val="26"/>
        </w:rPr>
        <w:instrText xml:space="preserve"> PAGEREF _Toc17185 \h </w:instrText>
      </w:r>
      <w:r>
        <w:rPr>
          <w:rFonts w:hint="eastAsia" w:ascii="宋体" w:hAnsi="宋体" w:eastAsia="宋体" w:cs="宋体"/>
          <w:color w:val="000000"/>
          <w:sz w:val="26"/>
          <w:szCs w:val="26"/>
        </w:rPr>
        <w:fldChar w:fldCharType="separate"/>
      </w:r>
      <w:r>
        <w:rPr>
          <w:rFonts w:hint="eastAsia" w:ascii="宋体" w:hAnsi="宋体" w:eastAsia="宋体" w:cs="宋体"/>
          <w:color w:val="000000"/>
          <w:sz w:val="26"/>
          <w:szCs w:val="26"/>
        </w:rPr>
        <w:t>24</w:t>
      </w:r>
      <w:r>
        <w:rPr>
          <w:rFonts w:hint="eastAsia" w:ascii="宋体" w:hAnsi="宋体" w:eastAsia="宋体" w:cs="宋体"/>
          <w:color w:val="000000"/>
          <w:sz w:val="26"/>
          <w:szCs w:val="26"/>
        </w:rPr>
        <w:fldChar w:fldCharType="end"/>
      </w:r>
      <w:r>
        <w:rPr>
          <w:rFonts w:hint="eastAsia" w:ascii="宋体" w:hAnsi="宋体" w:eastAsia="宋体" w:cs="宋体"/>
          <w:color w:val="000000"/>
          <w:sz w:val="26"/>
          <w:szCs w:val="26"/>
          <w:highlight w:val="none"/>
        </w:rPr>
        <w:fldChar w:fldCharType="end"/>
      </w:r>
    </w:p>
    <w:p w14:paraId="5EEC7FE1">
      <w:pPr>
        <w:pStyle w:val="11"/>
        <w:keepNext w:val="0"/>
        <w:keepLines w:val="0"/>
        <w:pageBreakBefore w:val="0"/>
        <w:widowControl w:val="0"/>
        <w:tabs>
          <w:tab w:val="right" w:leader="dot" w:pos="9184"/>
        </w:tabs>
        <w:kinsoku/>
        <w:wordWrap/>
        <w:overflowPunct/>
        <w:topLinePunct w:val="0"/>
        <w:autoSpaceDE/>
        <w:autoSpaceDN/>
        <w:bidi w:val="0"/>
        <w:adjustRightInd/>
        <w:snapToGrid/>
        <w:spacing w:line="500" w:lineRule="exact"/>
        <w:ind w:left="0" w:leftChars="0" w:firstLine="520" w:firstLineChars="200"/>
        <w:textAlignment w:val="auto"/>
        <w:rPr>
          <w:rFonts w:hint="eastAsia" w:ascii="宋体" w:hAnsi="宋体" w:eastAsia="宋体" w:cs="宋体"/>
          <w:color w:val="000000"/>
          <w:sz w:val="26"/>
          <w:szCs w:val="26"/>
        </w:rPr>
      </w:pPr>
      <w:r>
        <w:rPr>
          <w:rFonts w:hint="eastAsia" w:ascii="宋体" w:hAnsi="宋体" w:eastAsia="宋体" w:cs="宋体"/>
          <w:color w:val="000000"/>
          <w:sz w:val="26"/>
          <w:szCs w:val="26"/>
          <w:highlight w:val="none"/>
        </w:rPr>
        <w:fldChar w:fldCharType="begin"/>
      </w:r>
      <w:r>
        <w:rPr>
          <w:rFonts w:hint="eastAsia" w:ascii="宋体" w:hAnsi="宋体" w:eastAsia="宋体" w:cs="宋体"/>
          <w:color w:val="000000"/>
          <w:sz w:val="26"/>
          <w:szCs w:val="26"/>
          <w:highlight w:val="none"/>
        </w:rPr>
        <w:instrText xml:space="preserve"> HYPERLINK \l _Toc1451 </w:instrText>
      </w:r>
      <w:r>
        <w:rPr>
          <w:rFonts w:hint="eastAsia" w:ascii="宋体" w:hAnsi="宋体" w:eastAsia="宋体" w:cs="宋体"/>
          <w:color w:val="000000"/>
          <w:sz w:val="26"/>
          <w:szCs w:val="26"/>
          <w:highlight w:val="none"/>
        </w:rPr>
        <w:fldChar w:fldCharType="separate"/>
      </w:r>
      <w:r>
        <w:rPr>
          <w:rFonts w:hint="eastAsia" w:ascii="宋体" w:hAnsi="宋体" w:eastAsia="宋体" w:cs="宋体"/>
          <w:color w:val="000000"/>
          <w:sz w:val="26"/>
          <w:szCs w:val="26"/>
          <w:lang w:val="en-US"/>
        </w:rPr>
        <w:t>10</w:t>
      </w:r>
      <w:r>
        <w:rPr>
          <w:rFonts w:hint="eastAsia" w:ascii="宋体" w:hAnsi="宋体" w:eastAsia="宋体" w:cs="宋体"/>
          <w:color w:val="000000"/>
          <w:sz w:val="26"/>
          <w:szCs w:val="26"/>
          <w:lang w:val="en-US" w:eastAsia="zh-CN"/>
        </w:rPr>
        <w:t>.</w:t>
      </w:r>
      <w:r>
        <w:rPr>
          <w:rFonts w:hint="eastAsia" w:ascii="宋体" w:hAnsi="宋体" w:eastAsia="宋体" w:cs="宋体"/>
          <w:color w:val="000000"/>
          <w:sz w:val="26"/>
          <w:szCs w:val="26"/>
          <w:lang w:val="en-US"/>
        </w:rPr>
        <w:t>需要补充的其他内容</w:t>
      </w:r>
      <w:r>
        <w:rPr>
          <w:rFonts w:hint="eastAsia" w:ascii="宋体" w:hAnsi="宋体" w:eastAsia="宋体" w:cs="宋体"/>
          <w:color w:val="000000"/>
          <w:sz w:val="26"/>
          <w:szCs w:val="26"/>
        </w:rPr>
        <w:tab/>
      </w:r>
      <w:r>
        <w:rPr>
          <w:rFonts w:hint="eastAsia" w:ascii="宋体" w:hAnsi="宋体" w:eastAsia="宋体" w:cs="宋体"/>
          <w:color w:val="000000"/>
          <w:sz w:val="26"/>
          <w:szCs w:val="26"/>
        </w:rPr>
        <w:fldChar w:fldCharType="begin"/>
      </w:r>
      <w:r>
        <w:rPr>
          <w:rFonts w:hint="eastAsia" w:ascii="宋体" w:hAnsi="宋体" w:eastAsia="宋体" w:cs="宋体"/>
          <w:color w:val="000000"/>
          <w:sz w:val="26"/>
          <w:szCs w:val="26"/>
        </w:rPr>
        <w:instrText xml:space="preserve"> PAGEREF _Toc1451 \h </w:instrText>
      </w:r>
      <w:r>
        <w:rPr>
          <w:rFonts w:hint="eastAsia" w:ascii="宋体" w:hAnsi="宋体" w:eastAsia="宋体" w:cs="宋体"/>
          <w:color w:val="000000"/>
          <w:sz w:val="26"/>
          <w:szCs w:val="26"/>
        </w:rPr>
        <w:fldChar w:fldCharType="separate"/>
      </w:r>
      <w:r>
        <w:rPr>
          <w:rFonts w:hint="eastAsia" w:ascii="宋体" w:hAnsi="宋体" w:eastAsia="宋体" w:cs="宋体"/>
          <w:color w:val="000000"/>
          <w:sz w:val="26"/>
          <w:szCs w:val="26"/>
        </w:rPr>
        <w:t>25</w:t>
      </w:r>
      <w:r>
        <w:rPr>
          <w:rFonts w:hint="eastAsia" w:ascii="宋体" w:hAnsi="宋体" w:eastAsia="宋体" w:cs="宋体"/>
          <w:color w:val="000000"/>
          <w:sz w:val="26"/>
          <w:szCs w:val="26"/>
        </w:rPr>
        <w:fldChar w:fldCharType="end"/>
      </w:r>
      <w:r>
        <w:rPr>
          <w:rFonts w:hint="eastAsia" w:ascii="宋体" w:hAnsi="宋体" w:eastAsia="宋体" w:cs="宋体"/>
          <w:color w:val="000000"/>
          <w:sz w:val="26"/>
          <w:szCs w:val="26"/>
          <w:highlight w:val="none"/>
        </w:rPr>
        <w:fldChar w:fldCharType="end"/>
      </w:r>
    </w:p>
    <w:p w14:paraId="5BBF412B">
      <w:pPr>
        <w:pStyle w:val="10"/>
        <w:keepNext w:val="0"/>
        <w:keepLines w:val="0"/>
        <w:pageBreakBefore w:val="0"/>
        <w:widowControl w:val="0"/>
        <w:tabs>
          <w:tab w:val="right" w:leader="dot" w:pos="9184"/>
        </w:tabs>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z w:val="26"/>
          <w:szCs w:val="26"/>
        </w:rPr>
      </w:pPr>
      <w:r>
        <w:rPr>
          <w:rFonts w:hint="eastAsia" w:ascii="宋体" w:hAnsi="宋体" w:eastAsia="宋体" w:cs="宋体"/>
          <w:b/>
          <w:bCs/>
          <w:color w:val="000000"/>
          <w:sz w:val="26"/>
          <w:szCs w:val="26"/>
          <w:highlight w:val="none"/>
        </w:rPr>
        <w:fldChar w:fldCharType="begin"/>
      </w:r>
      <w:r>
        <w:rPr>
          <w:rFonts w:hint="eastAsia" w:ascii="宋体" w:hAnsi="宋体" w:eastAsia="宋体" w:cs="宋体"/>
          <w:b/>
          <w:bCs/>
          <w:color w:val="000000"/>
          <w:sz w:val="26"/>
          <w:szCs w:val="26"/>
          <w:highlight w:val="none"/>
        </w:rPr>
        <w:instrText xml:space="preserve"> HYPERLINK \l _Toc15293 </w:instrText>
      </w:r>
      <w:r>
        <w:rPr>
          <w:rFonts w:hint="eastAsia" w:ascii="宋体" w:hAnsi="宋体" w:eastAsia="宋体" w:cs="宋体"/>
          <w:b/>
          <w:bCs/>
          <w:color w:val="000000"/>
          <w:sz w:val="26"/>
          <w:szCs w:val="26"/>
          <w:highlight w:val="none"/>
        </w:rPr>
        <w:fldChar w:fldCharType="separate"/>
      </w:r>
      <w:r>
        <w:rPr>
          <w:rFonts w:hint="eastAsia" w:ascii="宋体" w:hAnsi="宋体" w:eastAsia="宋体" w:cs="宋体"/>
          <w:b/>
          <w:bCs/>
          <w:color w:val="000000"/>
          <w:sz w:val="26"/>
          <w:szCs w:val="26"/>
        </w:rPr>
        <w:t>第三章  评标办法</w:t>
      </w:r>
      <w:r>
        <w:rPr>
          <w:rFonts w:hint="eastAsia" w:ascii="宋体" w:hAnsi="宋体" w:eastAsia="宋体" w:cs="宋体"/>
          <w:b/>
          <w:bCs/>
          <w:color w:val="000000"/>
          <w:sz w:val="26"/>
          <w:szCs w:val="26"/>
        </w:rPr>
        <w:tab/>
      </w:r>
      <w:r>
        <w:rPr>
          <w:rFonts w:hint="eastAsia" w:ascii="宋体" w:hAnsi="宋体" w:eastAsia="宋体" w:cs="宋体"/>
          <w:b/>
          <w:bCs/>
          <w:color w:val="000000"/>
          <w:sz w:val="26"/>
          <w:szCs w:val="26"/>
        </w:rPr>
        <w:fldChar w:fldCharType="begin"/>
      </w:r>
      <w:r>
        <w:rPr>
          <w:rFonts w:hint="eastAsia" w:ascii="宋体" w:hAnsi="宋体" w:eastAsia="宋体" w:cs="宋体"/>
          <w:b/>
          <w:bCs/>
          <w:color w:val="000000"/>
          <w:sz w:val="26"/>
          <w:szCs w:val="26"/>
        </w:rPr>
        <w:instrText xml:space="preserve"> PAGEREF _Toc15293 \h </w:instrText>
      </w:r>
      <w:r>
        <w:rPr>
          <w:rFonts w:hint="eastAsia" w:ascii="宋体" w:hAnsi="宋体" w:eastAsia="宋体" w:cs="宋体"/>
          <w:b/>
          <w:bCs/>
          <w:color w:val="000000"/>
          <w:sz w:val="26"/>
          <w:szCs w:val="26"/>
        </w:rPr>
        <w:fldChar w:fldCharType="separate"/>
      </w:r>
      <w:r>
        <w:rPr>
          <w:rFonts w:hint="eastAsia" w:ascii="宋体" w:hAnsi="宋体" w:eastAsia="宋体" w:cs="宋体"/>
          <w:b/>
          <w:bCs/>
          <w:color w:val="000000"/>
          <w:sz w:val="26"/>
          <w:szCs w:val="26"/>
        </w:rPr>
        <w:t>25</w:t>
      </w:r>
      <w:r>
        <w:rPr>
          <w:rFonts w:hint="eastAsia" w:ascii="宋体" w:hAnsi="宋体" w:eastAsia="宋体" w:cs="宋体"/>
          <w:b/>
          <w:bCs/>
          <w:color w:val="000000"/>
          <w:sz w:val="26"/>
          <w:szCs w:val="26"/>
        </w:rPr>
        <w:fldChar w:fldCharType="end"/>
      </w:r>
      <w:r>
        <w:rPr>
          <w:rFonts w:hint="eastAsia" w:ascii="宋体" w:hAnsi="宋体" w:eastAsia="宋体" w:cs="宋体"/>
          <w:b/>
          <w:bCs/>
          <w:color w:val="000000"/>
          <w:sz w:val="26"/>
          <w:szCs w:val="26"/>
          <w:highlight w:val="none"/>
        </w:rPr>
        <w:fldChar w:fldCharType="end"/>
      </w:r>
    </w:p>
    <w:p w14:paraId="770DEC83">
      <w:pPr>
        <w:pStyle w:val="11"/>
        <w:keepNext w:val="0"/>
        <w:keepLines w:val="0"/>
        <w:pageBreakBefore w:val="0"/>
        <w:widowControl w:val="0"/>
        <w:tabs>
          <w:tab w:val="right" w:leader="dot" w:pos="9184"/>
        </w:tabs>
        <w:kinsoku/>
        <w:wordWrap/>
        <w:overflowPunct/>
        <w:topLinePunct w:val="0"/>
        <w:autoSpaceDE/>
        <w:autoSpaceDN/>
        <w:bidi w:val="0"/>
        <w:adjustRightInd/>
        <w:snapToGrid/>
        <w:spacing w:line="500" w:lineRule="exact"/>
        <w:textAlignment w:val="auto"/>
        <w:rPr>
          <w:rFonts w:hint="eastAsia" w:ascii="宋体" w:hAnsi="宋体" w:eastAsia="宋体" w:cs="宋体"/>
          <w:color w:val="000000"/>
          <w:sz w:val="26"/>
          <w:szCs w:val="26"/>
        </w:rPr>
      </w:pPr>
      <w:r>
        <w:rPr>
          <w:rFonts w:hint="eastAsia" w:ascii="宋体" w:hAnsi="宋体" w:eastAsia="宋体" w:cs="宋体"/>
          <w:color w:val="000000"/>
          <w:sz w:val="26"/>
          <w:szCs w:val="26"/>
          <w:highlight w:val="none"/>
        </w:rPr>
        <w:fldChar w:fldCharType="begin"/>
      </w:r>
      <w:r>
        <w:rPr>
          <w:rFonts w:hint="eastAsia" w:ascii="宋体" w:hAnsi="宋体" w:eastAsia="宋体" w:cs="宋体"/>
          <w:color w:val="000000"/>
          <w:sz w:val="26"/>
          <w:szCs w:val="26"/>
          <w:highlight w:val="none"/>
        </w:rPr>
        <w:instrText xml:space="preserve"> HYPERLINK \l _Toc7975 </w:instrText>
      </w:r>
      <w:r>
        <w:rPr>
          <w:rFonts w:hint="eastAsia" w:ascii="宋体" w:hAnsi="宋体" w:eastAsia="宋体" w:cs="宋体"/>
          <w:color w:val="000000"/>
          <w:sz w:val="26"/>
          <w:szCs w:val="26"/>
          <w:highlight w:val="none"/>
        </w:rPr>
        <w:fldChar w:fldCharType="separate"/>
      </w:r>
      <w:r>
        <w:rPr>
          <w:rFonts w:hint="eastAsia" w:ascii="宋体" w:hAnsi="宋体" w:eastAsia="宋体" w:cs="宋体"/>
          <w:color w:val="000000"/>
          <w:sz w:val="26"/>
          <w:szCs w:val="26"/>
          <w:lang w:val="en-US"/>
        </w:rPr>
        <w:t>一、评标依据</w:t>
      </w:r>
      <w:r>
        <w:rPr>
          <w:rFonts w:hint="eastAsia" w:ascii="宋体" w:hAnsi="宋体" w:eastAsia="宋体" w:cs="宋体"/>
          <w:color w:val="000000"/>
          <w:sz w:val="26"/>
          <w:szCs w:val="26"/>
        </w:rPr>
        <w:tab/>
      </w:r>
      <w:r>
        <w:rPr>
          <w:rFonts w:hint="eastAsia" w:ascii="宋体" w:hAnsi="宋体" w:eastAsia="宋体" w:cs="宋体"/>
          <w:color w:val="000000"/>
          <w:sz w:val="26"/>
          <w:szCs w:val="26"/>
        </w:rPr>
        <w:fldChar w:fldCharType="begin"/>
      </w:r>
      <w:r>
        <w:rPr>
          <w:rFonts w:hint="eastAsia" w:ascii="宋体" w:hAnsi="宋体" w:eastAsia="宋体" w:cs="宋体"/>
          <w:color w:val="000000"/>
          <w:sz w:val="26"/>
          <w:szCs w:val="26"/>
        </w:rPr>
        <w:instrText xml:space="preserve"> PAGEREF _Toc7975 \h </w:instrText>
      </w:r>
      <w:r>
        <w:rPr>
          <w:rFonts w:hint="eastAsia" w:ascii="宋体" w:hAnsi="宋体" w:eastAsia="宋体" w:cs="宋体"/>
          <w:color w:val="000000"/>
          <w:sz w:val="26"/>
          <w:szCs w:val="26"/>
        </w:rPr>
        <w:fldChar w:fldCharType="separate"/>
      </w:r>
      <w:r>
        <w:rPr>
          <w:rFonts w:hint="eastAsia" w:ascii="宋体" w:hAnsi="宋体" w:eastAsia="宋体" w:cs="宋体"/>
          <w:color w:val="000000"/>
          <w:sz w:val="26"/>
          <w:szCs w:val="26"/>
        </w:rPr>
        <w:t>25</w:t>
      </w:r>
      <w:r>
        <w:rPr>
          <w:rFonts w:hint="eastAsia" w:ascii="宋体" w:hAnsi="宋体" w:eastAsia="宋体" w:cs="宋体"/>
          <w:color w:val="000000"/>
          <w:sz w:val="26"/>
          <w:szCs w:val="26"/>
        </w:rPr>
        <w:fldChar w:fldCharType="end"/>
      </w:r>
      <w:r>
        <w:rPr>
          <w:rFonts w:hint="eastAsia" w:ascii="宋体" w:hAnsi="宋体" w:eastAsia="宋体" w:cs="宋体"/>
          <w:color w:val="000000"/>
          <w:sz w:val="26"/>
          <w:szCs w:val="26"/>
          <w:highlight w:val="none"/>
        </w:rPr>
        <w:fldChar w:fldCharType="end"/>
      </w:r>
    </w:p>
    <w:p w14:paraId="53C69502">
      <w:pPr>
        <w:pStyle w:val="11"/>
        <w:keepNext w:val="0"/>
        <w:keepLines w:val="0"/>
        <w:pageBreakBefore w:val="0"/>
        <w:widowControl w:val="0"/>
        <w:tabs>
          <w:tab w:val="right" w:leader="dot" w:pos="9184"/>
        </w:tabs>
        <w:kinsoku/>
        <w:wordWrap/>
        <w:overflowPunct/>
        <w:topLinePunct w:val="0"/>
        <w:autoSpaceDE/>
        <w:autoSpaceDN/>
        <w:bidi w:val="0"/>
        <w:adjustRightInd/>
        <w:snapToGrid/>
        <w:spacing w:line="500" w:lineRule="exact"/>
        <w:textAlignment w:val="auto"/>
        <w:rPr>
          <w:rFonts w:hint="eastAsia" w:ascii="宋体" w:hAnsi="宋体" w:eastAsia="宋体" w:cs="宋体"/>
          <w:color w:val="000000"/>
          <w:sz w:val="26"/>
          <w:szCs w:val="26"/>
        </w:rPr>
      </w:pPr>
      <w:r>
        <w:rPr>
          <w:rFonts w:hint="eastAsia" w:ascii="宋体" w:hAnsi="宋体" w:eastAsia="宋体" w:cs="宋体"/>
          <w:color w:val="000000"/>
          <w:sz w:val="26"/>
          <w:szCs w:val="26"/>
          <w:highlight w:val="none"/>
        </w:rPr>
        <w:fldChar w:fldCharType="begin"/>
      </w:r>
      <w:r>
        <w:rPr>
          <w:rFonts w:hint="eastAsia" w:ascii="宋体" w:hAnsi="宋体" w:eastAsia="宋体" w:cs="宋体"/>
          <w:color w:val="000000"/>
          <w:sz w:val="26"/>
          <w:szCs w:val="26"/>
          <w:highlight w:val="none"/>
        </w:rPr>
        <w:instrText xml:space="preserve"> HYPERLINK \l _Toc10232 </w:instrText>
      </w:r>
      <w:r>
        <w:rPr>
          <w:rFonts w:hint="eastAsia" w:ascii="宋体" w:hAnsi="宋体" w:eastAsia="宋体" w:cs="宋体"/>
          <w:color w:val="000000"/>
          <w:sz w:val="26"/>
          <w:szCs w:val="26"/>
          <w:highlight w:val="none"/>
        </w:rPr>
        <w:fldChar w:fldCharType="separate"/>
      </w:r>
      <w:r>
        <w:rPr>
          <w:rFonts w:hint="eastAsia" w:ascii="宋体" w:hAnsi="宋体" w:eastAsia="宋体" w:cs="宋体"/>
          <w:color w:val="000000"/>
          <w:sz w:val="26"/>
          <w:szCs w:val="26"/>
          <w:lang w:val="en-US"/>
        </w:rPr>
        <w:t>二、评标委员会的组成</w:t>
      </w:r>
      <w:r>
        <w:rPr>
          <w:rFonts w:hint="eastAsia" w:ascii="宋体" w:hAnsi="宋体" w:eastAsia="宋体" w:cs="宋体"/>
          <w:color w:val="000000"/>
          <w:sz w:val="26"/>
          <w:szCs w:val="26"/>
        </w:rPr>
        <w:tab/>
      </w:r>
      <w:r>
        <w:rPr>
          <w:rFonts w:hint="eastAsia" w:ascii="宋体" w:hAnsi="宋体" w:eastAsia="宋体" w:cs="宋体"/>
          <w:color w:val="000000"/>
          <w:sz w:val="26"/>
          <w:szCs w:val="26"/>
        </w:rPr>
        <w:fldChar w:fldCharType="begin"/>
      </w:r>
      <w:r>
        <w:rPr>
          <w:rFonts w:hint="eastAsia" w:ascii="宋体" w:hAnsi="宋体" w:eastAsia="宋体" w:cs="宋体"/>
          <w:color w:val="000000"/>
          <w:sz w:val="26"/>
          <w:szCs w:val="26"/>
        </w:rPr>
        <w:instrText xml:space="preserve"> PAGEREF _Toc10232 \h </w:instrText>
      </w:r>
      <w:r>
        <w:rPr>
          <w:rFonts w:hint="eastAsia" w:ascii="宋体" w:hAnsi="宋体" w:eastAsia="宋体" w:cs="宋体"/>
          <w:color w:val="000000"/>
          <w:sz w:val="26"/>
          <w:szCs w:val="26"/>
        </w:rPr>
        <w:fldChar w:fldCharType="separate"/>
      </w:r>
      <w:r>
        <w:rPr>
          <w:rFonts w:hint="eastAsia" w:ascii="宋体" w:hAnsi="宋体" w:eastAsia="宋体" w:cs="宋体"/>
          <w:color w:val="000000"/>
          <w:sz w:val="26"/>
          <w:szCs w:val="26"/>
        </w:rPr>
        <w:t>26</w:t>
      </w:r>
      <w:r>
        <w:rPr>
          <w:rFonts w:hint="eastAsia" w:ascii="宋体" w:hAnsi="宋体" w:eastAsia="宋体" w:cs="宋体"/>
          <w:color w:val="000000"/>
          <w:sz w:val="26"/>
          <w:szCs w:val="26"/>
        </w:rPr>
        <w:fldChar w:fldCharType="end"/>
      </w:r>
      <w:r>
        <w:rPr>
          <w:rFonts w:hint="eastAsia" w:ascii="宋体" w:hAnsi="宋体" w:eastAsia="宋体" w:cs="宋体"/>
          <w:color w:val="000000"/>
          <w:sz w:val="26"/>
          <w:szCs w:val="26"/>
          <w:highlight w:val="none"/>
        </w:rPr>
        <w:fldChar w:fldCharType="end"/>
      </w:r>
    </w:p>
    <w:p w14:paraId="7E7CA0EE">
      <w:pPr>
        <w:pStyle w:val="11"/>
        <w:keepNext w:val="0"/>
        <w:keepLines w:val="0"/>
        <w:pageBreakBefore w:val="0"/>
        <w:widowControl w:val="0"/>
        <w:tabs>
          <w:tab w:val="right" w:leader="dot" w:pos="9184"/>
        </w:tabs>
        <w:kinsoku/>
        <w:wordWrap/>
        <w:overflowPunct/>
        <w:topLinePunct w:val="0"/>
        <w:autoSpaceDE/>
        <w:autoSpaceDN/>
        <w:bidi w:val="0"/>
        <w:adjustRightInd/>
        <w:snapToGrid/>
        <w:spacing w:line="500" w:lineRule="exact"/>
        <w:textAlignment w:val="auto"/>
        <w:rPr>
          <w:rFonts w:hint="eastAsia" w:ascii="宋体" w:hAnsi="宋体" w:eastAsia="宋体" w:cs="宋体"/>
          <w:color w:val="000000"/>
          <w:sz w:val="26"/>
          <w:szCs w:val="26"/>
        </w:rPr>
      </w:pPr>
      <w:r>
        <w:rPr>
          <w:rFonts w:hint="eastAsia" w:ascii="宋体" w:hAnsi="宋体" w:eastAsia="宋体" w:cs="宋体"/>
          <w:color w:val="000000"/>
          <w:sz w:val="26"/>
          <w:szCs w:val="26"/>
          <w:highlight w:val="none"/>
        </w:rPr>
        <w:fldChar w:fldCharType="begin"/>
      </w:r>
      <w:r>
        <w:rPr>
          <w:rFonts w:hint="eastAsia" w:ascii="宋体" w:hAnsi="宋体" w:eastAsia="宋体" w:cs="宋体"/>
          <w:color w:val="000000"/>
          <w:sz w:val="26"/>
          <w:szCs w:val="26"/>
          <w:highlight w:val="none"/>
        </w:rPr>
        <w:instrText xml:space="preserve"> HYPERLINK \l _Toc26759 </w:instrText>
      </w:r>
      <w:r>
        <w:rPr>
          <w:rFonts w:hint="eastAsia" w:ascii="宋体" w:hAnsi="宋体" w:eastAsia="宋体" w:cs="宋体"/>
          <w:color w:val="000000"/>
          <w:sz w:val="26"/>
          <w:szCs w:val="26"/>
          <w:highlight w:val="none"/>
        </w:rPr>
        <w:fldChar w:fldCharType="separate"/>
      </w:r>
      <w:r>
        <w:rPr>
          <w:rFonts w:hint="eastAsia" w:ascii="宋体" w:hAnsi="宋体" w:eastAsia="宋体" w:cs="宋体"/>
          <w:color w:val="000000"/>
          <w:sz w:val="26"/>
          <w:szCs w:val="26"/>
          <w:lang w:val="en-US"/>
        </w:rPr>
        <w:t>三、评标纪律</w:t>
      </w:r>
      <w:r>
        <w:rPr>
          <w:rFonts w:hint="eastAsia" w:ascii="宋体" w:hAnsi="宋体" w:eastAsia="宋体" w:cs="宋体"/>
          <w:color w:val="000000"/>
          <w:sz w:val="26"/>
          <w:szCs w:val="26"/>
        </w:rPr>
        <w:tab/>
      </w:r>
      <w:r>
        <w:rPr>
          <w:rFonts w:hint="eastAsia" w:ascii="宋体" w:hAnsi="宋体" w:eastAsia="宋体" w:cs="宋体"/>
          <w:color w:val="000000"/>
          <w:sz w:val="26"/>
          <w:szCs w:val="26"/>
        </w:rPr>
        <w:fldChar w:fldCharType="begin"/>
      </w:r>
      <w:r>
        <w:rPr>
          <w:rFonts w:hint="eastAsia" w:ascii="宋体" w:hAnsi="宋体" w:eastAsia="宋体" w:cs="宋体"/>
          <w:color w:val="000000"/>
          <w:sz w:val="26"/>
          <w:szCs w:val="26"/>
        </w:rPr>
        <w:instrText xml:space="preserve"> PAGEREF _Toc26759 \h </w:instrText>
      </w:r>
      <w:r>
        <w:rPr>
          <w:rFonts w:hint="eastAsia" w:ascii="宋体" w:hAnsi="宋体" w:eastAsia="宋体" w:cs="宋体"/>
          <w:color w:val="000000"/>
          <w:sz w:val="26"/>
          <w:szCs w:val="26"/>
        </w:rPr>
        <w:fldChar w:fldCharType="separate"/>
      </w:r>
      <w:r>
        <w:rPr>
          <w:rFonts w:hint="eastAsia" w:ascii="宋体" w:hAnsi="宋体" w:eastAsia="宋体" w:cs="宋体"/>
          <w:color w:val="000000"/>
          <w:sz w:val="26"/>
          <w:szCs w:val="26"/>
        </w:rPr>
        <w:t>26</w:t>
      </w:r>
      <w:r>
        <w:rPr>
          <w:rFonts w:hint="eastAsia" w:ascii="宋体" w:hAnsi="宋体" w:eastAsia="宋体" w:cs="宋体"/>
          <w:color w:val="000000"/>
          <w:sz w:val="26"/>
          <w:szCs w:val="26"/>
        </w:rPr>
        <w:fldChar w:fldCharType="end"/>
      </w:r>
      <w:r>
        <w:rPr>
          <w:rFonts w:hint="eastAsia" w:ascii="宋体" w:hAnsi="宋体" w:eastAsia="宋体" w:cs="宋体"/>
          <w:color w:val="000000"/>
          <w:sz w:val="26"/>
          <w:szCs w:val="26"/>
          <w:highlight w:val="none"/>
        </w:rPr>
        <w:fldChar w:fldCharType="end"/>
      </w:r>
    </w:p>
    <w:p w14:paraId="41E0F947">
      <w:pPr>
        <w:pStyle w:val="11"/>
        <w:keepNext w:val="0"/>
        <w:keepLines w:val="0"/>
        <w:pageBreakBefore w:val="0"/>
        <w:widowControl w:val="0"/>
        <w:tabs>
          <w:tab w:val="right" w:leader="dot" w:pos="9184"/>
        </w:tabs>
        <w:kinsoku/>
        <w:wordWrap/>
        <w:overflowPunct/>
        <w:topLinePunct w:val="0"/>
        <w:autoSpaceDE/>
        <w:autoSpaceDN/>
        <w:bidi w:val="0"/>
        <w:adjustRightInd/>
        <w:snapToGrid/>
        <w:spacing w:line="500" w:lineRule="exact"/>
        <w:textAlignment w:val="auto"/>
        <w:rPr>
          <w:rFonts w:hint="eastAsia" w:ascii="宋体" w:hAnsi="宋体" w:eastAsia="宋体" w:cs="宋体"/>
          <w:color w:val="000000"/>
          <w:sz w:val="26"/>
          <w:szCs w:val="26"/>
        </w:rPr>
      </w:pPr>
      <w:r>
        <w:rPr>
          <w:rFonts w:hint="eastAsia" w:ascii="宋体" w:hAnsi="宋体" w:eastAsia="宋体" w:cs="宋体"/>
          <w:color w:val="000000"/>
          <w:sz w:val="26"/>
          <w:szCs w:val="26"/>
          <w:highlight w:val="none"/>
        </w:rPr>
        <w:fldChar w:fldCharType="begin"/>
      </w:r>
      <w:r>
        <w:rPr>
          <w:rFonts w:hint="eastAsia" w:ascii="宋体" w:hAnsi="宋体" w:eastAsia="宋体" w:cs="宋体"/>
          <w:color w:val="000000"/>
          <w:sz w:val="26"/>
          <w:szCs w:val="26"/>
          <w:highlight w:val="none"/>
        </w:rPr>
        <w:instrText xml:space="preserve"> HYPERLINK \l _Toc31045 </w:instrText>
      </w:r>
      <w:r>
        <w:rPr>
          <w:rFonts w:hint="eastAsia" w:ascii="宋体" w:hAnsi="宋体" w:eastAsia="宋体" w:cs="宋体"/>
          <w:color w:val="000000"/>
          <w:sz w:val="26"/>
          <w:szCs w:val="26"/>
          <w:highlight w:val="none"/>
        </w:rPr>
        <w:fldChar w:fldCharType="separate"/>
      </w:r>
      <w:r>
        <w:rPr>
          <w:rFonts w:hint="eastAsia" w:ascii="宋体" w:hAnsi="宋体" w:eastAsia="宋体" w:cs="宋体"/>
          <w:color w:val="000000"/>
          <w:sz w:val="26"/>
          <w:szCs w:val="26"/>
          <w:lang w:val="en-US"/>
        </w:rPr>
        <w:t>四、评标监督管理</w:t>
      </w:r>
      <w:r>
        <w:rPr>
          <w:rFonts w:hint="eastAsia" w:ascii="宋体" w:hAnsi="宋体" w:eastAsia="宋体" w:cs="宋体"/>
          <w:color w:val="000000"/>
          <w:sz w:val="26"/>
          <w:szCs w:val="26"/>
        </w:rPr>
        <w:tab/>
      </w:r>
      <w:r>
        <w:rPr>
          <w:rFonts w:hint="eastAsia" w:ascii="宋体" w:hAnsi="宋体" w:eastAsia="宋体" w:cs="宋体"/>
          <w:color w:val="000000"/>
          <w:sz w:val="26"/>
          <w:szCs w:val="26"/>
        </w:rPr>
        <w:fldChar w:fldCharType="begin"/>
      </w:r>
      <w:r>
        <w:rPr>
          <w:rFonts w:hint="eastAsia" w:ascii="宋体" w:hAnsi="宋体" w:eastAsia="宋体" w:cs="宋体"/>
          <w:color w:val="000000"/>
          <w:sz w:val="26"/>
          <w:szCs w:val="26"/>
        </w:rPr>
        <w:instrText xml:space="preserve"> PAGEREF _Toc31045 \h </w:instrText>
      </w:r>
      <w:r>
        <w:rPr>
          <w:rFonts w:hint="eastAsia" w:ascii="宋体" w:hAnsi="宋体" w:eastAsia="宋体" w:cs="宋体"/>
          <w:color w:val="000000"/>
          <w:sz w:val="26"/>
          <w:szCs w:val="26"/>
        </w:rPr>
        <w:fldChar w:fldCharType="separate"/>
      </w:r>
      <w:r>
        <w:rPr>
          <w:rFonts w:hint="eastAsia" w:ascii="宋体" w:hAnsi="宋体" w:eastAsia="宋体" w:cs="宋体"/>
          <w:color w:val="000000"/>
          <w:sz w:val="26"/>
          <w:szCs w:val="26"/>
        </w:rPr>
        <w:t>27</w:t>
      </w:r>
      <w:r>
        <w:rPr>
          <w:rFonts w:hint="eastAsia" w:ascii="宋体" w:hAnsi="宋体" w:eastAsia="宋体" w:cs="宋体"/>
          <w:color w:val="000000"/>
          <w:sz w:val="26"/>
          <w:szCs w:val="26"/>
        </w:rPr>
        <w:fldChar w:fldCharType="end"/>
      </w:r>
      <w:r>
        <w:rPr>
          <w:rFonts w:hint="eastAsia" w:ascii="宋体" w:hAnsi="宋体" w:eastAsia="宋体" w:cs="宋体"/>
          <w:color w:val="000000"/>
          <w:sz w:val="26"/>
          <w:szCs w:val="26"/>
          <w:highlight w:val="none"/>
        </w:rPr>
        <w:fldChar w:fldCharType="end"/>
      </w:r>
    </w:p>
    <w:p w14:paraId="2A5CCE06">
      <w:pPr>
        <w:pStyle w:val="11"/>
        <w:keepNext w:val="0"/>
        <w:keepLines w:val="0"/>
        <w:pageBreakBefore w:val="0"/>
        <w:widowControl w:val="0"/>
        <w:tabs>
          <w:tab w:val="right" w:leader="dot" w:pos="9184"/>
        </w:tabs>
        <w:kinsoku/>
        <w:wordWrap/>
        <w:overflowPunct/>
        <w:topLinePunct w:val="0"/>
        <w:autoSpaceDE/>
        <w:autoSpaceDN/>
        <w:bidi w:val="0"/>
        <w:adjustRightInd/>
        <w:snapToGrid/>
        <w:spacing w:line="500" w:lineRule="exact"/>
        <w:textAlignment w:val="auto"/>
        <w:rPr>
          <w:rFonts w:hint="eastAsia" w:ascii="宋体" w:hAnsi="宋体" w:eastAsia="宋体" w:cs="宋体"/>
          <w:color w:val="000000"/>
          <w:sz w:val="26"/>
          <w:szCs w:val="26"/>
        </w:rPr>
      </w:pPr>
      <w:r>
        <w:rPr>
          <w:rFonts w:hint="eastAsia" w:ascii="宋体" w:hAnsi="宋体" w:eastAsia="宋体" w:cs="宋体"/>
          <w:color w:val="000000"/>
          <w:sz w:val="26"/>
          <w:szCs w:val="26"/>
          <w:highlight w:val="none"/>
        </w:rPr>
        <w:fldChar w:fldCharType="begin"/>
      </w:r>
      <w:r>
        <w:rPr>
          <w:rFonts w:hint="eastAsia" w:ascii="宋体" w:hAnsi="宋体" w:eastAsia="宋体" w:cs="宋体"/>
          <w:color w:val="000000"/>
          <w:sz w:val="26"/>
          <w:szCs w:val="26"/>
          <w:highlight w:val="none"/>
        </w:rPr>
        <w:instrText xml:space="preserve"> HYPERLINK \l _Toc25980 </w:instrText>
      </w:r>
      <w:r>
        <w:rPr>
          <w:rFonts w:hint="eastAsia" w:ascii="宋体" w:hAnsi="宋体" w:eastAsia="宋体" w:cs="宋体"/>
          <w:color w:val="000000"/>
          <w:sz w:val="26"/>
          <w:szCs w:val="26"/>
          <w:highlight w:val="none"/>
        </w:rPr>
        <w:fldChar w:fldCharType="separate"/>
      </w:r>
      <w:r>
        <w:rPr>
          <w:rFonts w:hint="eastAsia" w:ascii="宋体" w:hAnsi="宋体" w:eastAsia="宋体" w:cs="宋体"/>
          <w:color w:val="000000"/>
          <w:sz w:val="26"/>
          <w:szCs w:val="26"/>
          <w:lang w:val="en-US"/>
        </w:rPr>
        <w:t>五、评标程序</w:t>
      </w:r>
      <w:r>
        <w:rPr>
          <w:rFonts w:hint="eastAsia" w:ascii="宋体" w:hAnsi="宋体" w:eastAsia="宋体" w:cs="宋体"/>
          <w:color w:val="000000"/>
          <w:sz w:val="26"/>
          <w:szCs w:val="26"/>
        </w:rPr>
        <w:tab/>
      </w:r>
      <w:r>
        <w:rPr>
          <w:rFonts w:hint="eastAsia" w:ascii="宋体" w:hAnsi="宋体" w:eastAsia="宋体" w:cs="宋体"/>
          <w:color w:val="000000"/>
          <w:sz w:val="26"/>
          <w:szCs w:val="26"/>
        </w:rPr>
        <w:fldChar w:fldCharType="begin"/>
      </w:r>
      <w:r>
        <w:rPr>
          <w:rFonts w:hint="eastAsia" w:ascii="宋体" w:hAnsi="宋体" w:eastAsia="宋体" w:cs="宋体"/>
          <w:color w:val="000000"/>
          <w:sz w:val="26"/>
          <w:szCs w:val="26"/>
        </w:rPr>
        <w:instrText xml:space="preserve"> PAGEREF _Toc25980 \h </w:instrText>
      </w:r>
      <w:r>
        <w:rPr>
          <w:rFonts w:hint="eastAsia" w:ascii="宋体" w:hAnsi="宋体" w:eastAsia="宋体" w:cs="宋体"/>
          <w:color w:val="000000"/>
          <w:sz w:val="26"/>
          <w:szCs w:val="26"/>
        </w:rPr>
        <w:fldChar w:fldCharType="separate"/>
      </w:r>
      <w:r>
        <w:rPr>
          <w:rFonts w:hint="eastAsia" w:ascii="宋体" w:hAnsi="宋体" w:eastAsia="宋体" w:cs="宋体"/>
          <w:color w:val="000000"/>
          <w:sz w:val="26"/>
          <w:szCs w:val="26"/>
        </w:rPr>
        <w:t>27</w:t>
      </w:r>
      <w:r>
        <w:rPr>
          <w:rFonts w:hint="eastAsia" w:ascii="宋体" w:hAnsi="宋体" w:eastAsia="宋体" w:cs="宋体"/>
          <w:color w:val="000000"/>
          <w:sz w:val="26"/>
          <w:szCs w:val="26"/>
        </w:rPr>
        <w:fldChar w:fldCharType="end"/>
      </w:r>
      <w:r>
        <w:rPr>
          <w:rFonts w:hint="eastAsia" w:ascii="宋体" w:hAnsi="宋体" w:eastAsia="宋体" w:cs="宋体"/>
          <w:color w:val="000000"/>
          <w:sz w:val="26"/>
          <w:szCs w:val="26"/>
          <w:highlight w:val="none"/>
        </w:rPr>
        <w:fldChar w:fldCharType="end"/>
      </w:r>
    </w:p>
    <w:p w14:paraId="1F530E0D">
      <w:pPr>
        <w:pStyle w:val="11"/>
        <w:keepNext w:val="0"/>
        <w:keepLines w:val="0"/>
        <w:pageBreakBefore w:val="0"/>
        <w:widowControl w:val="0"/>
        <w:tabs>
          <w:tab w:val="right" w:leader="dot" w:pos="9184"/>
        </w:tabs>
        <w:kinsoku/>
        <w:wordWrap/>
        <w:overflowPunct/>
        <w:topLinePunct w:val="0"/>
        <w:autoSpaceDE/>
        <w:autoSpaceDN/>
        <w:bidi w:val="0"/>
        <w:adjustRightInd/>
        <w:snapToGrid/>
        <w:spacing w:line="500" w:lineRule="exact"/>
        <w:textAlignment w:val="auto"/>
        <w:rPr>
          <w:rFonts w:hint="eastAsia" w:ascii="宋体" w:hAnsi="宋体" w:eastAsia="宋体" w:cs="宋体"/>
          <w:color w:val="000000"/>
          <w:sz w:val="26"/>
          <w:szCs w:val="26"/>
        </w:rPr>
      </w:pPr>
      <w:r>
        <w:rPr>
          <w:rFonts w:hint="eastAsia" w:ascii="宋体" w:hAnsi="宋体" w:eastAsia="宋体" w:cs="宋体"/>
          <w:color w:val="000000"/>
          <w:sz w:val="26"/>
          <w:szCs w:val="26"/>
          <w:highlight w:val="none"/>
        </w:rPr>
        <w:fldChar w:fldCharType="begin"/>
      </w:r>
      <w:r>
        <w:rPr>
          <w:rFonts w:hint="eastAsia" w:ascii="宋体" w:hAnsi="宋体" w:eastAsia="宋体" w:cs="宋体"/>
          <w:color w:val="000000"/>
          <w:sz w:val="26"/>
          <w:szCs w:val="26"/>
          <w:highlight w:val="none"/>
        </w:rPr>
        <w:instrText xml:space="preserve"> HYPERLINK \l _Toc17518 </w:instrText>
      </w:r>
      <w:r>
        <w:rPr>
          <w:rFonts w:hint="eastAsia" w:ascii="宋体" w:hAnsi="宋体" w:eastAsia="宋体" w:cs="宋体"/>
          <w:color w:val="000000"/>
          <w:sz w:val="26"/>
          <w:szCs w:val="26"/>
          <w:highlight w:val="none"/>
        </w:rPr>
        <w:fldChar w:fldCharType="separate"/>
      </w:r>
      <w:r>
        <w:rPr>
          <w:rFonts w:hint="eastAsia" w:ascii="宋体" w:hAnsi="宋体" w:eastAsia="宋体" w:cs="宋体"/>
          <w:color w:val="000000"/>
          <w:sz w:val="26"/>
          <w:szCs w:val="26"/>
          <w:lang w:val="en-US" w:eastAsia="zh-CN"/>
        </w:rPr>
        <w:t>六、评标办法前附表</w:t>
      </w:r>
      <w:r>
        <w:rPr>
          <w:rFonts w:hint="eastAsia" w:ascii="宋体" w:hAnsi="宋体" w:eastAsia="宋体" w:cs="宋体"/>
          <w:color w:val="000000"/>
          <w:sz w:val="26"/>
          <w:szCs w:val="26"/>
        </w:rPr>
        <w:tab/>
      </w:r>
      <w:r>
        <w:rPr>
          <w:rFonts w:hint="eastAsia" w:ascii="宋体" w:hAnsi="宋体" w:eastAsia="宋体" w:cs="宋体"/>
          <w:color w:val="000000"/>
          <w:sz w:val="26"/>
          <w:szCs w:val="26"/>
        </w:rPr>
        <w:fldChar w:fldCharType="begin"/>
      </w:r>
      <w:r>
        <w:rPr>
          <w:rFonts w:hint="eastAsia" w:ascii="宋体" w:hAnsi="宋体" w:eastAsia="宋体" w:cs="宋体"/>
          <w:color w:val="000000"/>
          <w:sz w:val="26"/>
          <w:szCs w:val="26"/>
        </w:rPr>
        <w:instrText xml:space="preserve"> PAGEREF _Toc17518 \h </w:instrText>
      </w:r>
      <w:r>
        <w:rPr>
          <w:rFonts w:hint="eastAsia" w:ascii="宋体" w:hAnsi="宋体" w:eastAsia="宋体" w:cs="宋体"/>
          <w:color w:val="000000"/>
          <w:sz w:val="26"/>
          <w:szCs w:val="26"/>
        </w:rPr>
        <w:fldChar w:fldCharType="separate"/>
      </w:r>
      <w:r>
        <w:rPr>
          <w:rFonts w:hint="eastAsia" w:ascii="宋体" w:hAnsi="宋体" w:eastAsia="宋体" w:cs="宋体"/>
          <w:color w:val="000000"/>
          <w:sz w:val="26"/>
          <w:szCs w:val="26"/>
        </w:rPr>
        <w:t>28</w:t>
      </w:r>
      <w:r>
        <w:rPr>
          <w:rFonts w:hint="eastAsia" w:ascii="宋体" w:hAnsi="宋体" w:eastAsia="宋体" w:cs="宋体"/>
          <w:color w:val="000000"/>
          <w:sz w:val="26"/>
          <w:szCs w:val="26"/>
        </w:rPr>
        <w:fldChar w:fldCharType="end"/>
      </w:r>
      <w:r>
        <w:rPr>
          <w:rFonts w:hint="eastAsia" w:ascii="宋体" w:hAnsi="宋体" w:eastAsia="宋体" w:cs="宋体"/>
          <w:color w:val="000000"/>
          <w:sz w:val="26"/>
          <w:szCs w:val="26"/>
          <w:highlight w:val="none"/>
        </w:rPr>
        <w:fldChar w:fldCharType="end"/>
      </w:r>
    </w:p>
    <w:p w14:paraId="61262D9C">
      <w:pPr>
        <w:pStyle w:val="10"/>
        <w:keepNext w:val="0"/>
        <w:keepLines w:val="0"/>
        <w:pageBreakBefore w:val="0"/>
        <w:widowControl w:val="0"/>
        <w:tabs>
          <w:tab w:val="right" w:leader="dot" w:pos="9184"/>
        </w:tabs>
        <w:kinsoku/>
        <w:wordWrap/>
        <w:overflowPunct/>
        <w:topLinePunct w:val="0"/>
        <w:autoSpaceDE/>
        <w:autoSpaceDN/>
        <w:bidi w:val="0"/>
        <w:adjustRightInd/>
        <w:snapToGrid/>
        <w:spacing w:line="500" w:lineRule="exact"/>
        <w:textAlignment w:val="auto"/>
        <w:rPr>
          <w:rFonts w:hint="eastAsia" w:ascii="宋体" w:hAnsi="宋体" w:eastAsia="宋体" w:cs="宋体"/>
          <w:color w:val="000000"/>
          <w:sz w:val="26"/>
          <w:szCs w:val="26"/>
        </w:rPr>
      </w:pPr>
      <w:r>
        <w:rPr>
          <w:rFonts w:hint="eastAsia" w:ascii="宋体" w:hAnsi="宋体" w:eastAsia="宋体" w:cs="宋体"/>
          <w:b/>
          <w:bCs/>
          <w:color w:val="000000"/>
          <w:sz w:val="26"/>
          <w:szCs w:val="26"/>
          <w:highlight w:val="none"/>
        </w:rPr>
        <w:fldChar w:fldCharType="begin"/>
      </w:r>
      <w:r>
        <w:rPr>
          <w:rFonts w:hint="eastAsia" w:ascii="宋体" w:hAnsi="宋体" w:eastAsia="宋体" w:cs="宋体"/>
          <w:b/>
          <w:bCs/>
          <w:color w:val="000000"/>
          <w:sz w:val="26"/>
          <w:szCs w:val="26"/>
          <w:highlight w:val="none"/>
        </w:rPr>
        <w:instrText xml:space="preserve"> HYPERLINK \l _Toc3 </w:instrText>
      </w:r>
      <w:r>
        <w:rPr>
          <w:rFonts w:hint="eastAsia" w:ascii="宋体" w:hAnsi="宋体" w:eastAsia="宋体" w:cs="宋体"/>
          <w:b/>
          <w:bCs/>
          <w:color w:val="000000"/>
          <w:sz w:val="26"/>
          <w:szCs w:val="26"/>
          <w:highlight w:val="none"/>
        </w:rPr>
        <w:fldChar w:fldCharType="separate"/>
      </w:r>
      <w:r>
        <w:rPr>
          <w:rFonts w:hint="eastAsia" w:ascii="宋体" w:hAnsi="宋体" w:eastAsia="宋体" w:cs="宋体"/>
          <w:b/>
          <w:bCs/>
          <w:color w:val="000000"/>
          <w:sz w:val="26"/>
          <w:szCs w:val="26"/>
        </w:rPr>
        <w:t>第四章</w:t>
      </w:r>
      <w:r>
        <w:rPr>
          <w:rFonts w:hint="eastAsia" w:ascii="宋体" w:hAnsi="宋体" w:eastAsia="宋体" w:cs="宋体"/>
          <w:b/>
          <w:bCs/>
          <w:color w:val="000000"/>
          <w:sz w:val="26"/>
          <w:szCs w:val="26"/>
          <w:lang w:val="en-US"/>
        </w:rPr>
        <w:t xml:space="preserve">  </w:t>
      </w:r>
      <w:r>
        <w:rPr>
          <w:rFonts w:hint="eastAsia" w:ascii="宋体" w:hAnsi="宋体" w:eastAsia="宋体" w:cs="宋体"/>
          <w:b/>
          <w:bCs/>
          <w:color w:val="000000"/>
          <w:sz w:val="26"/>
          <w:szCs w:val="26"/>
        </w:rPr>
        <w:t>合同条款及格式</w:t>
      </w:r>
      <w:r>
        <w:rPr>
          <w:rFonts w:hint="eastAsia" w:ascii="宋体" w:hAnsi="宋体" w:eastAsia="宋体" w:cs="宋体"/>
          <w:b/>
          <w:bCs/>
          <w:color w:val="000000"/>
          <w:sz w:val="26"/>
          <w:szCs w:val="26"/>
        </w:rPr>
        <w:tab/>
      </w:r>
      <w:r>
        <w:rPr>
          <w:rFonts w:hint="eastAsia" w:ascii="宋体" w:hAnsi="宋体" w:eastAsia="宋体" w:cs="宋体"/>
          <w:b/>
          <w:bCs/>
          <w:color w:val="000000"/>
          <w:sz w:val="26"/>
          <w:szCs w:val="26"/>
        </w:rPr>
        <w:fldChar w:fldCharType="begin"/>
      </w:r>
      <w:r>
        <w:rPr>
          <w:rFonts w:hint="eastAsia" w:ascii="宋体" w:hAnsi="宋体" w:eastAsia="宋体" w:cs="宋体"/>
          <w:b/>
          <w:bCs/>
          <w:color w:val="000000"/>
          <w:sz w:val="26"/>
          <w:szCs w:val="26"/>
        </w:rPr>
        <w:instrText xml:space="preserve"> PAGEREF _Toc3 \h </w:instrText>
      </w:r>
      <w:r>
        <w:rPr>
          <w:rFonts w:hint="eastAsia" w:ascii="宋体" w:hAnsi="宋体" w:eastAsia="宋体" w:cs="宋体"/>
          <w:b/>
          <w:bCs/>
          <w:color w:val="000000"/>
          <w:sz w:val="26"/>
          <w:szCs w:val="26"/>
        </w:rPr>
        <w:fldChar w:fldCharType="separate"/>
      </w:r>
      <w:r>
        <w:rPr>
          <w:rFonts w:hint="eastAsia" w:ascii="宋体" w:hAnsi="宋体" w:eastAsia="宋体" w:cs="宋体"/>
          <w:b/>
          <w:bCs/>
          <w:color w:val="000000"/>
          <w:sz w:val="26"/>
          <w:szCs w:val="26"/>
        </w:rPr>
        <w:t>35</w:t>
      </w:r>
      <w:r>
        <w:rPr>
          <w:rFonts w:hint="eastAsia" w:ascii="宋体" w:hAnsi="宋体" w:eastAsia="宋体" w:cs="宋体"/>
          <w:b/>
          <w:bCs/>
          <w:color w:val="000000"/>
          <w:sz w:val="26"/>
          <w:szCs w:val="26"/>
        </w:rPr>
        <w:fldChar w:fldCharType="end"/>
      </w:r>
      <w:r>
        <w:rPr>
          <w:rFonts w:hint="eastAsia" w:ascii="宋体" w:hAnsi="宋体" w:eastAsia="宋体" w:cs="宋体"/>
          <w:b/>
          <w:bCs/>
          <w:color w:val="000000"/>
          <w:sz w:val="26"/>
          <w:szCs w:val="26"/>
          <w:highlight w:val="none"/>
        </w:rPr>
        <w:fldChar w:fldCharType="end"/>
      </w:r>
    </w:p>
    <w:p w14:paraId="5B00AEF4">
      <w:pPr>
        <w:pStyle w:val="10"/>
        <w:keepNext w:val="0"/>
        <w:keepLines w:val="0"/>
        <w:pageBreakBefore w:val="0"/>
        <w:widowControl w:val="0"/>
        <w:tabs>
          <w:tab w:val="right" w:leader="dot" w:pos="9184"/>
        </w:tabs>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z w:val="26"/>
          <w:szCs w:val="26"/>
        </w:rPr>
      </w:pPr>
      <w:r>
        <w:rPr>
          <w:rFonts w:hint="eastAsia" w:ascii="宋体" w:hAnsi="宋体" w:eastAsia="宋体" w:cs="宋体"/>
          <w:b/>
          <w:bCs/>
          <w:color w:val="000000"/>
          <w:sz w:val="26"/>
          <w:szCs w:val="26"/>
          <w:highlight w:val="none"/>
        </w:rPr>
        <w:fldChar w:fldCharType="begin"/>
      </w:r>
      <w:r>
        <w:rPr>
          <w:rFonts w:hint="eastAsia" w:ascii="宋体" w:hAnsi="宋体" w:eastAsia="宋体" w:cs="宋体"/>
          <w:b/>
          <w:bCs/>
          <w:color w:val="000000"/>
          <w:sz w:val="26"/>
          <w:szCs w:val="26"/>
          <w:highlight w:val="none"/>
        </w:rPr>
        <w:instrText xml:space="preserve"> HYPERLINK \l _Toc22882 </w:instrText>
      </w:r>
      <w:r>
        <w:rPr>
          <w:rFonts w:hint="eastAsia" w:ascii="宋体" w:hAnsi="宋体" w:eastAsia="宋体" w:cs="宋体"/>
          <w:b/>
          <w:bCs/>
          <w:color w:val="000000"/>
          <w:sz w:val="26"/>
          <w:szCs w:val="26"/>
          <w:highlight w:val="none"/>
        </w:rPr>
        <w:fldChar w:fldCharType="separate"/>
      </w:r>
      <w:r>
        <w:rPr>
          <w:rFonts w:hint="eastAsia" w:ascii="宋体" w:hAnsi="宋体" w:eastAsia="宋体" w:cs="宋体"/>
          <w:b/>
          <w:bCs/>
          <w:color w:val="000000"/>
          <w:sz w:val="26"/>
          <w:szCs w:val="26"/>
        </w:rPr>
        <w:t>第五章  技术标准及规范</w:t>
      </w:r>
      <w:r>
        <w:rPr>
          <w:rFonts w:hint="eastAsia" w:ascii="宋体" w:hAnsi="宋体" w:eastAsia="宋体" w:cs="宋体"/>
          <w:b/>
          <w:bCs/>
          <w:color w:val="000000"/>
          <w:sz w:val="26"/>
          <w:szCs w:val="26"/>
        </w:rPr>
        <w:tab/>
      </w:r>
      <w:r>
        <w:rPr>
          <w:rFonts w:hint="eastAsia" w:ascii="宋体" w:hAnsi="宋体" w:eastAsia="宋体" w:cs="宋体"/>
          <w:b/>
          <w:bCs/>
          <w:color w:val="000000"/>
          <w:sz w:val="26"/>
          <w:szCs w:val="26"/>
        </w:rPr>
        <w:fldChar w:fldCharType="begin"/>
      </w:r>
      <w:r>
        <w:rPr>
          <w:rFonts w:hint="eastAsia" w:ascii="宋体" w:hAnsi="宋体" w:eastAsia="宋体" w:cs="宋体"/>
          <w:b/>
          <w:bCs/>
          <w:color w:val="000000"/>
          <w:sz w:val="26"/>
          <w:szCs w:val="26"/>
        </w:rPr>
        <w:instrText xml:space="preserve"> PAGEREF _Toc22882 \h </w:instrText>
      </w:r>
      <w:r>
        <w:rPr>
          <w:rFonts w:hint="eastAsia" w:ascii="宋体" w:hAnsi="宋体" w:eastAsia="宋体" w:cs="宋体"/>
          <w:b/>
          <w:bCs/>
          <w:color w:val="000000"/>
          <w:sz w:val="26"/>
          <w:szCs w:val="26"/>
        </w:rPr>
        <w:fldChar w:fldCharType="separate"/>
      </w:r>
      <w:r>
        <w:rPr>
          <w:rFonts w:hint="eastAsia" w:ascii="宋体" w:hAnsi="宋体" w:eastAsia="宋体" w:cs="宋体"/>
          <w:b/>
          <w:bCs/>
          <w:color w:val="000000"/>
          <w:sz w:val="26"/>
          <w:szCs w:val="26"/>
        </w:rPr>
        <w:t>43</w:t>
      </w:r>
      <w:r>
        <w:rPr>
          <w:rFonts w:hint="eastAsia" w:ascii="宋体" w:hAnsi="宋体" w:eastAsia="宋体" w:cs="宋体"/>
          <w:b/>
          <w:bCs/>
          <w:color w:val="000000"/>
          <w:sz w:val="26"/>
          <w:szCs w:val="26"/>
        </w:rPr>
        <w:fldChar w:fldCharType="end"/>
      </w:r>
      <w:r>
        <w:rPr>
          <w:rFonts w:hint="eastAsia" w:ascii="宋体" w:hAnsi="宋体" w:eastAsia="宋体" w:cs="宋体"/>
          <w:b/>
          <w:bCs/>
          <w:color w:val="000000"/>
          <w:sz w:val="26"/>
          <w:szCs w:val="26"/>
          <w:highlight w:val="none"/>
        </w:rPr>
        <w:fldChar w:fldCharType="end"/>
      </w:r>
    </w:p>
    <w:p w14:paraId="47816227">
      <w:pPr>
        <w:pStyle w:val="10"/>
        <w:keepNext w:val="0"/>
        <w:keepLines w:val="0"/>
        <w:pageBreakBefore w:val="0"/>
        <w:widowControl w:val="0"/>
        <w:tabs>
          <w:tab w:val="right" w:leader="dot" w:pos="9184"/>
        </w:tabs>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z w:val="26"/>
          <w:szCs w:val="26"/>
        </w:rPr>
      </w:pPr>
      <w:r>
        <w:rPr>
          <w:rFonts w:hint="eastAsia" w:ascii="宋体" w:hAnsi="宋体" w:eastAsia="宋体" w:cs="宋体"/>
          <w:b/>
          <w:bCs/>
          <w:color w:val="000000"/>
          <w:sz w:val="26"/>
          <w:szCs w:val="26"/>
          <w:highlight w:val="none"/>
        </w:rPr>
        <w:fldChar w:fldCharType="begin"/>
      </w:r>
      <w:r>
        <w:rPr>
          <w:rFonts w:hint="eastAsia" w:ascii="宋体" w:hAnsi="宋体" w:eastAsia="宋体" w:cs="宋体"/>
          <w:b/>
          <w:bCs/>
          <w:color w:val="000000"/>
          <w:sz w:val="26"/>
          <w:szCs w:val="26"/>
          <w:highlight w:val="none"/>
        </w:rPr>
        <w:instrText xml:space="preserve"> HYPERLINK \l _Toc12437 </w:instrText>
      </w:r>
      <w:r>
        <w:rPr>
          <w:rFonts w:hint="eastAsia" w:ascii="宋体" w:hAnsi="宋体" w:eastAsia="宋体" w:cs="宋体"/>
          <w:b/>
          <w:bCs/>
          <w:color w:val="000000"/>
          <w:sz w:val="26"/>
          <w:szCs w:val="26"/>
          <w:highlight w:val="none"/>
        </w:rPr>
        <w:fldChar w:fldCharType="separate"/>
      </w:r>
      <w:r>
        <w:rPr>
          <w:rFonts w:hint="eastAsia" w:ascii="宋体" w:hAnsi="宋体" w:eastAsia="宋体" w:cs="宋体"/>
          <w:b/>
          <w:bCs/>
          <w:color w:val="000000"/>
          <w:sz w:val="26"/>
          <w:szCs w:val="26"/>
        </w:rPr>
        <w:t>第六章  投标文件格式</w:t>
      </w:r>
      <w:r>
        <w:rPr>
          <w:rFonts w:hint="eastAsia" w:ascii="宋体" w:hAnsi="宋体" w:eastAsia="宋体" w:cs="宋体"/>
          <w:b/>
          <w:bCs/>
          <w:color w:val="000000"/>
          <w:sz w:val="26"/>
          <w:szCs w:val="26"/>
        </w:rPr>
        <w:tab/>
      </w:r>
      <w:r>
        <w:rPr>
          <w:rFonts w:hint="eastAsia" w:ascii="宋体" w:hAnsi="宋体" w:eastAsia="宋体" w:cs="宋体"/>
          <w:b/>
          <w:bCs/>
          <w:color w:val="000000"/>
          <w:sz w:val="26"/>
          <w:szCs w:val="26"/>
        </w:rPr>
        <w:fldChar w:fldCharType="begin"/>
      </w:r>
      <w:r>
        <w:rPr>
          <w:rFonts w:hint="eastAsia" w:ascii="宋体" w:hAnsi="宋体" w:eastAsia="宋体" w:cs="宋体"/>
          <w:b/>
          <w:bCs/>
          <w:color w:val="000000"/>
          <w:sz w:val="26"/>
          <w:szCs w:val="26"/>
        </w:rPr>
        <w:instrText xml:space="preserve"> PAGEREF _Toc12437 \h </w:instrText>
      </w:r>
      <w:r>
        <w:rPr>
          <w:rFonts w:hint="eastAsia" w:ascii="宋体" w:hAnsi="宋体" w:eastAsia="宋体" w:cs="宋体"/>
          <w:b/>
          <w:bCs/>
          <w:color w:val="000000"/>
          <w:sz w:val="26"/>
          <w:szCs w:val="26"/>
        </w:rPr>
        <w:fldChar w:fldCharType="separate"/>
      </w:r>
      <w:r>
        <w:rPr>
          <w:rFonts w:hint="eastAsia" w:ascii="宋体" w:hAnsi="宋体" w:eastAsia="宋体" w:cs="宋体"/>
          <w:b/>
          <w:bCs/>
          <w:color w:val="000000"/>
          <w:sz w:val="26"/>
          <w:szCs w:val="26"/>
        </w:rPr>
        <w:t>44</w:t>
      </w:r>
      <w:r>
        <w:rPr>
          <w:rFonts w:hint="eastAsia" w:ascii="宋体" w:hAnsi="宋体" w:eastAsia="宋体" w:cs="宋体"/>
          <w:b/>
          <w:bCs/>
          <w:color w:val="000000"/>
          <w:sz w:val="26"/>
          <w:szCs w:val="26"/>
        </w:rPr>
        <w:fldChar w:fldCharType="end"/>
      </w:r>
      <w:r>
        <w:rPr>
          <w:rFonts w:hint="eastAsia" w:ascii="宋体" w:hAnsi="宋体" w:eastAsia="宋体" w:cs="宋体"/>
          <w:b/>
          <w:bCs/>
          <w:color w:val="000000"/>
          <w:sz w:val="26"/>
          <w:szCs w:val="26"/>
          <w:highlight w:val="none"/>
        </w:rPr>
        <w:fldChar w:fldCharType="end"/>
      </w:r>
    </w:p>
    <w:p w14:paraId="051D57B2">
      <w:pPr>
        <w:pStyle w:val="5"/>
        <w:bidi w:val="0"/>
        <w:snapToGrid w:val="0"/>
        <w:spacing w:before="0" w:after="0" w:line="480" w:lineRule="auto"/>
        <w:ind w:left="540" w:leftChars="257"/>
        <w:jc w:val="center"/>
        <w:outlineLvl w:val="9"/>
        <w:rPr>
          <w:rFonts w:hint="eastAsia" w:ascii="宋体" w:hAnsi="宋体" w:eastAsia="宋体" w:cs="宋体"/>
          <w:color w:val="000000"/>
          <w:sz w:val="48"/>
          <w:highlight w:val="none"/>
        </w:rPr>
        <w:sectPr>
          <w:pgSz w:w="11906" w:h="16838"/>
          <w:pgMar w:top="1418" w:right="1361" w:bottom="1418" w:left="1361" w:header="851" w:footer="0" w:gutter="0"/>
          <w:pgNumType w:start="1"/>
          <w:cols w:space="720" w:num="1"/>
          <w:docGrid w:linePitch="350" w:charSpace="0"/>
        </w:sectPr>
      </w:pPr>
      <w:r>
        <w:rPr>
          <w:rFonts w:hint="eastAsia" w:ascii="宋体" w:hAnsi="宋体" w:eastAsia="宋体" w:cs="宋体"/>
          <w:color w:val="000000"/>
          <w:highlight w:val="none"/>
        </w:rPr>
        <w:fldChar w:fldCharType="end"/>
      </w:r>
    </w:p>
    <w:p w14:paraId="4B69D882">
      <w:pPr>
        <w:pStyle w:val="3"/>
        <w:bidi w:val="0"/>
        <w:jc w:val="center"/>
        <w:rPr>
          <w:rFonts w:hint="eastAsia" w:ascii="宋体" w:hAnsi="宋体" w:eastAsia="宋体" w:cs="宋体"/>
          <w:b w:val="0"/>
          <w:color w:val="000000"/>
          <w:spacing w:val="-4"/>
          <w:kern w:val="0"/>
          <w:sz w:val="24"/>
          <w:highlight w:val="none"/>
        </w:rPr>
      </w:pPr>
      <w:bookmarkStart w:id="1" w:name="_Toc6607"/>
      <w:r>
        <w:rPr>
          <w:rFonts w:hint="eastAsia" w:ascii="宋体" w:hAnsi="宋体" w:eastAsia="宋体" w:cs="宋体"/>
          <w:color w:val="000000"/>
        </w:rPr>
        <w:t>第一章 招标公告</w:t>
      </w:r>
      <w:bookmarkEnd w:id="1"/>
    </w:p>
    <w:p w14:paraId="59EADA4E">
      <w:pPr>
        <w:pStyle w:val="4"/>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ind w:left="0" w:leftChars="0" w:right="1791" w:firstLine="0" w:firstLineChars="0"/>
        <w:jc w:val="left"/>
        <w:textAlignment w:val="auto"/>
        <w:rPr>
          <w:rFonts w:hint="eastAsia" w:ascii="宋体" w:hAnsi="宋体" w:eastAsia="宋体" w:cs="宋体"/>
          <w:color w:val="000000"/>
        </w:rPr>
      </w:pPr>
      <w:bookmarkStart w:id="2" w:name="_Toc2614"/>
      <w:r>
        <w:rPr>
          <w:rFonts w:hint="eastAsia" w:ascii="宋体" w:hAnsi="宋体" w:eastAsia="宋体" w:cs="宋体"/>
          <w:color w:val="000000"/>
        </w:rPr>
        <w:t>一、招标条件</w:t>
      </w:r>
      <w:bookmarkEnd w:id="2"/>
    </w:p>
    <w:p w14:paraId="2B0CA12D">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lang w:val="en-US" w:eastAsia="zh-CN"/>
        </w:rPr>
      </w:pPr>
      <w:bookmarkStart w:id="3" w:name="_Toc302"/>
      <w:r>
        <w:rPr>
          <w:rFonts w:hint="eastAsia" w:ascii="宋体" w:hAnsi="宋体" w:eastAsia="宋体" w:cs="宋体"/>
          <w:color w:val="000000"/>
          <w:sz w:val="24"/>
          <w:szCs w:val="32"/>
        </w:rPr>
        <w:t>本招标</w:t>
      </w:r>
      <w:r>
        <w:rPr>
          <w:rFonts w:hint="eastAsia" w:ascii="宋体" w:hAnsi="宋体" w:eastAsia="宋体" w:cs="宋体"/>
          <w:color w:val="000000"/>
          <w:sz w:val="24"/>
          <w:szCs w:val="32"/>
          <w:lang w:val="en-US" w:eastAsia="zh-CN"/>
        </w:rPr>
        <w:t>项目</w:t>
      </w:r>
      <w:r>
        <w:rPr>
          <w:rFonts w:hint="eastAsia" w:ascii="宋体" w:hAnsi="宋体" w:eastAsia="宋体" w:cs="宋体"/>
          <w:color w:val="000000"/>
          <w:sz w:val="24"/>
          <w:szCs w:val="32"/>
          <w:u w:val="single"/>
          <w:lang w:val="en-US" w:eastAsia="zh-CN"/>
        </w:rPr>
        <w:t>广东省韶关市武江区农业产业基础设施建设项目-武江区2026年农业产业基础设施建设项目（江湾镇）勘察设计</w:t>
      </w:r>
      <w:r>
        <w:rPr>
          <w:rFonts w:hint="eastAsia" w:ascii="宋体" w:hAnsi="宋体" w:eastAsia="宋体" w:cs="宋体"/>
          <w:color w:val="000000"/>
          <w:sz w:val="24"/>
          <w:szCs w:val="32"/>
          <w:lang w:val="en-US" w:eastAsia="zh-CN"/>
        </w:rPr>
        <w:t>经</w:t>
      </w:r>
      <w:r>
        <w:rPr>
          <w:rFonts w:hint="eastAsia" w:ascii="宋体" w:hAnsi="宋体" w:eastAsia="宋体" w:cs="宋体"/>
          <w:color w:val="000000"/>
          <w:sz w:val="24"/>
          <w:szCs w:val="32"/>
          <w:u w:val="single"/>
          <w:lang w:val="en-US" w:eastAsia="zh-CN"/>
        </w:rPr>
        <w:t>韶关市武江区发展和改革局</w:t>
      </w:r>
      <w:r>
        <w:rPr>
          <w:rFonts w:hint="eastAsia" w:ascii="宋体" w:hAnsi="宋体" w:eastAsia="宋体" w:cs="宋体"/>
          <w:color w:val="000000"/>
          <w:sz w:val="24"/>
          <w:szCs w:val="32"/>
          <w:lang w:val="en-US" w:eastAsia="zh-CN"/>
        </w:rPr>
        <w:t>以</w:t>
      </w:r>
      <w:r>
        <w:rPr>
          <w:rFonts w:hint="eastAsia" w:ascii="宋体" w:hAnsi="宋体" w:eastAsia="宋体" w:cs="宋体"/>
          <w:color w:val="000000"/>
          <w:sz w:val="24"/>
          <w:szCs w:val="32"/>
          <w:u w:val="single"/>
          <w:lang w:val="en-US" w:eastAsia="zh-CN"/>
        </w:rPr>
        <w:t>《韶关市武江区发展和改革局关于广东省韶关市武江区农业产业基础设施建设项目可行性研究报告的批复》（韶武发改投审[2024]136号）</w:t>
      </w:r>
      <w:r>
        <w:rPr>
          <w:rFonts w:hint="eastAsia" w:ascii="宋体" w:hAnsi="宋体" w:eastAsia="宋体" w:cs="宋体"/>
          <w:color w:val="000000"/>
          <w:sz w:val="24"/>
          <w:szCs w:val="32"/>
          <w:lang w:val="en-US" w:eastAsia="zh-CN"/>
        </w:rPr>
        <w:t>批准建设，项目代码为</w:t>
      </w:r>
      <w:r>
        <w:rPr>
          <w:rFonts w:hint="eastAsia" w:ascii="宋体" w:hAnsi="宋体" w:eastAsia="宋体" w:cs="宋体"/>
          <w:color w:val="000000"/>
          <w:sz w:val="24"/>
          <w:szCs w:val="32"/>
          <w:u w:val="single"/>
          <w:lang w:val="en-US" w:eastAsia="zh-CN"/>
        </w:rPr>
        <w:t>2412-440203-20-01-503270</w:t>
      </w:r>
      <w:r>
        <w:rPr>
          <w:rFonts w:hint="eastAsia" w:ascii="宋体" w:hAnsi="宋体" w:eastAsia="宋体" w:cs="宋体"/>
          <w:color w:val="000000"/>
          <w:sz w:val="24"/>
          <w:szCs w:val="32"/>
          <w:lang w:val="en-US" w:eastAsia="zh-CN"/>
        </w:rPr>
        <w:t>。本工程项目业主为</w:t>
      </w:r>
      <w:r>
        <w:rPr>
          <w:rFonts w:hint="eastAsia" w:ascii="宋体" w:hAnsi="宋体" w:eastAsia="宋体" w:cs="宋体"/>
          <w:color w:val="000000"/>
          <w:sz w:val="24"/>
          <w:szCs w:val="32"/>
          <w:u w:val="single"/>
          <w:lang w:val="en-US" w:eastAsia="zh-CN"/>
        </w:rPr>
        <w:t>韶关市武江区江湾镇人民政府</w:t>
      </w:r>
      <w:r>
        <w:rPr>
          <w:rFonts w:hint="eastAsia" w:ascii="宋体" w:hAnsi="宋体" w:eastAsia="宋体" w:cs="宋体"/>
          <w:color w:val="000000"/>
          <w:sz w:val="24"/>
          <w:szCs w:val="32"/>
          <w:lang w:val="en-US" w:eastAsia="zh-CN"/>
        </w:rPr>
        <w:t>，建设资金来自</w:t>
      </w:r>
      <w:r>
        <w:rPr>
          <w:rFonts w:hint="eastAsia" w:ascii="宋体" w:hAnsi="宋体" w:eastAsia="宋体" w:cs="宋体"/>
          <w:color w:val="000000"/>
          <w:sz w:val="24"/>
          <w:szCs w:val="32"/>
          <w:u w:val="single"/>
          <w:lang w:val="en-US" w:eastAsia="zh-CN"/>
        </w:rPr>
        <w:t>区财政统筹解决</w:t>
      </w:r>
      <w:r>
        <w:rPr>
          <w:rFonts w:hint="eastAsia" w:ascii="宋体" w:hAnsi="宋体" w:eastAsia="宋体" w:cs="宋体"/>
          <w:color w:val="000000"/>
          <w:sz w:val="24"/>
          <w:szCs w:val="32"/>
          <w:lang w:val="en-US" w:eastAsia="zh-CN"/>
        </w:rPr>
        <w:t>，出资比例为</w:t>
      </w:r>
      <w:r>
        <w:rPr>
          <w:rFonts w:hint="eastAsia" w:ascii="宋体" w:hAnsi="宋体" w:eastAsia="宋体" w:cs="宋体"/>
          <w:color w:val="000000"/>
          <w:sz w:val="24"/>
          <w:szCs w:val="32"/>
          <w:u w:val="single"/>
          <w:lang w:val="en-US" w:eastAsia="zh-CN"/>
        </w:rPr>
        <w:t>100%</w:t>
      </w:r>
      <w:r>
        <w:rPr>
          <w:rFonts w:hint="eastAsia" w:ascii="宋体" w:hAnsi="宋体" w:eastAsia="宋体" w:cs="宋体"/>
          <w:color w:val="000000"/>
          <w:sz w:val="24"/>
          <w:szCs w:val="32"/>
          <w:lang w:val="en-US" w:eastAsia="zh-CN"/>
        </w:rPr>
        <w:t>，招标人为</w:t>
      </w:r>
      <w:r>
        <w:rPr>
          <w:rFonts w:hint="eastAsia" w:ascii="宋体" w:hAnsi="宋体" w:eastAsia="宋体" w:cs="宋体"/>
          <w:color w:val="000000"/>
          <w:sz w:val="24"/>
          <w:szCs w:val="32"/>
          <w:u w:val="single"/>
          <w:lang w:val="en-US" w:eastAsia="zh-CN"/>
        </w:rPr>
        <w:t>韶关市武江区江湾镇人民政府</w:t>
      </w:r>
      <w:r>
        <w:rPr>
          <w:rFonts w:hint="eastAsia" w:ascii="宋体" w:hAnsi="宋体" w:eastAsia="宋体" w:cs="宋体"/>
          <w:color w:val="000000"/>
          <w:sz w:val="24"/>
          <w:szCs w:val="32"/>
          <w:lang w:val="en-US" w:eastAsia="zh-CN"/>
        </w:rPr>
        <w:t>，招标代理机构为</w:t>
      </w:r>
      <w:r>
        <w:rPr>
          <w:rFonts w:hint="eastAsia" w:ascii="宋体" w:hAnsi="宋体" w:eastAsia="宋体" w:cs="宋体"/>
          <w:color w:val="000000"/>
          <w:sz w:val="24"/>
          <w:szCs w:val="32"/>
          <w:u w:val="single"/>
          <w:lang w:val="en-US" w:eastAsia="zh-CN"/>
        </w:rPr>
        <w:t>广东明正项目管理有限公司</w:t>
      </w:r>
      <w:r>
        <w:rPr>
          <w:rFonts w:hint="eastAsia" w:ascii="宋体" w:hAnsi="宋体" w:eastAsia="宋体" w:cs="宋体"/>
          <w:color w:val="000000"/>
          <w:sz w:val="24"/>
          <w:szCs w:val="32"/>
          <w:lang w:val="en-US" w:eastAsia="zh-CN"/>
        </w:rPr>
        <w:t>。项目已具备招标条件，现对该项目的</w:t>
      </w:r>
      <w:r>
        <w:rPr>
          <w:rFonts w:hint="eastAsia" w:ascii="宋体" w:hAnsi="宋体" w:eastAsia="宋体" w:cs="宋体"/>
          <w:color w:val="000000"/>
          <w:sz w:val="24"/>
          <w:szCs w:val="32"/>
          <w:u w:val="single"/>
          <w:lang w:val="en-US" w:eastAsia="zh-CN"/>
        </w:rPr>
        <w:t>勘察设计</w:t>
      </w:r>
      <w:r>
        <w:rPr>
          <w:rFonts w:hint="eastAsia" w:ascii="宋体" w:hAnsi="宋体" w:eastAsia="宋体" w:cs="宋体"/>
          <w:color w:val="000000"/>
          <w:sz w:val="24"/>
          <w:szCs w:val="32"/>
          <w:lang w:val="en-US" w:eastAsia="zh-CN"/>
        </w:rPr>
        <w:t>进行</w:t>
      </w:r>
      <w:r>
        <w:rPr>
          <w:rFonts w:hint="eastAsia" w:ascii="宋体" w:hAnsi="宋体" w:eastAsia="宋体" w:cs="宋体"/>
          <w:color w:val="000000"/>
          <w:sz w:val="24"/>
          <w:szCs w:val="32"/>
          <w:u w:val="single"/>
          <w:lang w:val="en-US" w:eastAsia="zh-CN"/>
        </w:rPr>
        <w:t>公开招标</w:t>
      </w:r>
      <w:r>
        <w:rPr>
          <w:rFonts w:hint="eastAsia" w:ascii="宋体" w:hAnsi="宋体" w:eastAsia="宋体" w:cs="宋体"/>
          <w:color w:val="000000"/>
          <w:sz w:val="24"/>
          <w:szCs w:val="32"/>
          <w:lang w:val="en-US" w:eastAsia="zh-CN"/>
        </w:rPr>
        <w:t>。</w:t>
      </w:r>
    </w:p>
    <w:p w14:paraId="582EF17E">
      <w:pPr>
        <w:pStyle w:val="4"/>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left="0" w:leftChars="0" w:right="1791" w:firstLine="0" w:firstLineChars="0"/>
        <w:jc w:val="both"/>
        <w:textAlignment w:val="auto"/>
        <w:rPr>
          <w:rFonts w:hint="eastAsia" w:ascii="宋体" w:hAnsi="宋体" w:eastAsia="宋体" w:cs="宋体"/>
          <w:color w:val="000000"/>
        </w:rPr>
      </w:pPr>
      <w:r>
        <w:rPr>
          <w:rFonts w:hint="eastAsia" w:ascii="宋体" w:hAnsi="宋体" w:eastAsia="宋体" w:cs="宋体"/>
          <w:color w:val="000000"/>
        </w:rPr>
        <w:t>二、项目概况与招标范围</w:t>
      </w:r>
      <w:bookmarkEnd w:id="3"/>
    </w:p>
    <w:p w14:paraId="09F02485">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rPr>
      </w:pPr>
      <w:bookmarkStart w:id="4" w:name="_Toc24604"/>
      <w:r>
        <w:rPr>
          <w:rFonts w:hint="eastAsia" w:ascii="宋体" w:hAnsi="宋体" w:eastAsia="宋体" w:cs="宋体"/>
          <w:color w:val="000000"/>
          <w:sz w:val="24"/>
          <w:szCs w:val="32"/>
        </w:rPr>
        <w:t>2.1项目建设地点：</w:t>
      </w:r>
      <w:bookmarkEnd w:id="4"/>
      <w:r>
        <w:rPr>
          <w:rFonts w:hint="eastAsia" w:ascii="宋体" w:hAnsi="宋体" w:eastAsia="宋体" w:cs="宋体"/>
          <w:color w:val="000000"/>
          <w:sz w:val="24"/>
          <w:szCs w:val="32"/>
          <w:lang w:val="en-US" w:eastAsia="zh-CN"/>
        </w:rPr>
        <w:t>韶关市武江区江湾镇。</w:t>
      </w:r>
    </w:p>
    <w:p w14:paraId="08DF383C">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18"/>
          <w:szCs w:val="18"/>
          <w:lang w:val="en-US" w:eastAsia="zh-CN"/>
        </w:rPr>
      </w:pPr>
      <w:r>
        <w:rPr>
          <w:rFonts w:hint="eastAsia" w:ascii="宋体" w:hAnsi="宋体" w:eastAsia="宋体" w:cs="宋体"/>
          <w:color w:val="000000"/>
          <w:sz w:val="24"/>
          <w:szCs w:val="32"/>
        </w:rPr>
        <w:t>2.2项目建设内容与规模：现状耕地整治100亩，新增耕地230亩(新增耕地参照任务面积200亩及林耕置换30亩)。清杂面积287.87亩，修筑田埂2173.71㎡，新建生产道路2350米，灌溉沟渠排水沟渠4060m,土地整理330亩，客土230亩,插撒有机肥、撒施土壤调理剂、土地翻耕230亩，总投资为4</w:t>
      </w:r>
      <w:r>
        <w:rPr>
          <w:rFonts w:hint="eastAsia" w:ascii="宋体" w:hAnsi="宋体" w:eastAsia="宋体" w:cs="宋体"/>
          <w:color w:val="000000"/>
          <w:sz w:val="24"/>
          <w:szCs w:val="32"/>
          <w:lang w:val="en-US" w:eastAsia="zh-CN"/>
        </w:rPr>
        <w:t>0</w:t>
      </w:r>
      <w:r>
        <w:rPr>
          <w:rFonts w:hint="eastAsia" w:ascii="宋体" w:hAnsi="宋体" w:eastAsia="宋体" w:cs="宋体"/>
          <w:color w:val="000000"/>
          <w:sz w:val="24"/>
          <w:szCs w:val="32"/>
        </w:rPr>
        <w:t>0.00万元。</w:t>
      </w:r>
    </w:p>
    <w:p w14:paraId="60946B10">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highlight w:val="none"/>
        </w:rPr>
      </w:pPr>
      <w:r>
        <w:rPr>
          <w:rFonts w:hint="eastAsia" w:ascii="宋体" w:hAnsi="宋体" w:eastAsia="宋体" w:cs="宋体"/>
          <w:color w:val="000000"/>
          <w:sz w:val="24"/>
          <w:szCs w:val="32"/>
        </w:rPr>
        <w:t>2.3招标范围：</w:t>
      </w:r>
      <w:bookmarkStart w:id="5" w:name="_Toc24591"/>
      <w:r>
        <w:rPr>
          <w:rFonts w:hint="eastAsia" w:ascii="宋体" w:hAnsi="宋体" w:eastAsia="宋体" w:cs="宋体"/>
          <w:color w:val="000000"/>
          <w:sz w:val="24"/>
          <w:highlight w:val="none"/>
        </w:rPr>
        <w:t>工程勘察、工程测量、编制初步设计、设计概算、施工图设计、施工图预算、招标图工程量计算、招标图工程量清单等文件、工程实施到竣工验收全过程的设计服务（包括设计变更报告和施工现场指导等）。</w:t>
      </w:r>
    </w:p>
    <w:p w14:paraId="0C6378E4">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shd w:val="clear" w:color="auto" w:fill="FFFF00"/>
        </w:rPr>
      </w:pPr>
      <w:r>
        <w:rPr>
          <w:rFonts w:hint="eastAsia" w:ascii="宋体" w:hAnsi="宋体" w:eastAsia="宋体" w:cs="宋体"/>
          <w:color w:val="000000"/>
          <w:sz w:val="24"/>
          <w:szCs w:val="32"/>
        </w:rPr>
        <w:t>2.4</w:t>
      </w:r>
      <w:r>
        <w:rPr>
          <w:rFonts w:hint="eastAsia" w:ascii="宋体" w:hAnsi="宋体" w:eastAsia="宋体" w:cs="宋体"/>
          <w:color w:val="000000"/>
          <w:sz w:val="24"/>
          <w:szCs w:val="32"/>
          <w:lang w:eastAsia="zh-CN"/>
        </w:rPr>
        <w:t>勘察设计服务期限</w:t>
      </w:r>
      <w:r>
        <w:rPr>
          <w:rFonts w:hint="eastAsia" w:ascii="宋体" w:hAnsi="宋体" w:eastAsia="宋体" w:cs="宋体"/>
          <w:color w:val="000000"/>
          <w:sz w:val="24"/>
          <w:szCs w:val="32"/>
        </w:rPr>
        <w:t>：</w:t>
      </w:r>
      <w:r>
        <w:rPr>
          <w:rFonts w:hint="eastAsia" w:ascii="宋体" w:hAnsi="宋体" w:eastAsia="宋体" w:cs="宋体"/>
          <w:color w:val="000000"/>
          <w:sz w:val="24"/>
          <w:szCs w:val="32"/>
          <w:shd w:val="clear" w:color="auto" w:fill="auto"/>
          <w:lang w:val="en-US" w:eastAsia="zh-CN"/>
        </w:rPr>
        <w:t>30</w:t>
      </w:r>
      <w:r>
        <w:rPr>
          <w:rFonts w:hint="eastAsia" w:ascii="宋体" w:hAnsi="宋体" w:eastAsia="宋体" w:cs="宋体"/>
          <w:color w:val="000000"/>
          <w:sz w:val="24"/>
          <w:szCs w:val="32"/>
          <w:shd w:val="clear" w:color="auto" w:fill="auto"/>
        </w:rPr>
        <w:t>个日历天。</w:t>
      </w:r>
      <w:bookmarkEnd w:id="5"/>
    </w:p>
    <w:p w14:paraId="1C182369">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（1）初步设计计划工期：</w:t>
      </w:r>
      <w:r>
        <w:rPr>
          <w:rFonts w:hint="eastAsia" w:ascii="宋体" w:hAnsi="宋体" w:eastAsia="宋体" w:cs="宋体"/>
          <w:color w:val="000000"/>
          <w:sz w:val="24"/>
          <w:szCs w:val="32"/>
          <w:shd w:val="clear" w:color="auto" w:fill="auto"/>
          <w:lang w:val="en-US" w:eastAsia="zh-CN"/>
        </w:rPr>
        <w:t>20个日历天</w:t>
      </w:r>
      <w:r>
        <w:rPr>
          <w:rFonts w:hint="eastAsia" w:ascii="宋体" w:hAnsi="宋体" w:eastAsia="宋体" w:cs="宋体"/>
          <w:color w:val="000000"/>
          <w:sz w:val="24"/>
          <w:szCs w:val="32"/>
        </w:rPr>
        <w:t>内完成初步设计并提交包括初步设计报告、工程量清单、工程量计算书、工程概算及工程相关图纸等能参加技术评审的所有成果；</w:t>
      </w:r>
    </w:p>
    <w:p w14:paraId="42CF453A">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（2）开完技术评审会次日起</w:t>
      </w:r>
      <w:r>
        <w:rPr>
          <w:rFonts w:hint="eastAsia" w:ascii="宋体" w:hAnsi="宋体" w:eastAsia="宋体" w:cs="宋体"/>
          <w:color w:val="000000"/>
          <w:sz w:val="24"/>
          <w:szCs w:val="32"/>
          <w:shd w:val="clear" w:color="auto" w:fill="auto"/>
          <w:lang w:val="en-US" w:eastAsia="zh-CN"/>
        </w:rPr>
        <w:t>3个日历天</w:t>
      </w:r>
      <w:r>
        <w:rPr>
          <w:rFonts w:hint="eastAsia" w:ascii="宋体" w:hAnsi="宋体" w:eastAsia="宋体" w:cs="宋体"/>
          <w:color w:val="000000"/>
          <w:sz w:val="24"/>
          <w:szCs w:val="32"/>
        </w:rPr>
        <w:t>内完成对本项目初步设计技术评审会专家的评审修改意见的修改；</w:t>
      </w:r>
    </w:p>
    <w:p w14:paraId="3C5BFF35">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（3）自发包人书面通知之日起</w:t>
      </w:r>
      <w:r>
        <w:rPr>
          <w:rFonts w:hint="eastAsia" w:ascii="宋体" w:hAnsi="宋体" w:eastAsia="宋体" w:cs="宋体"/>
          <w:color w:val="000000"/>
          <w:sz w:val="24"/>
          <w:szCs w:val="32"/>
          <w:shd w:val="clear" w:color="auto" w:fill="auto"/>
          <w:lang w:val="en-US" w:eastAsia="zh-CN"/>
        </w:rPr>
        <w:t>3个日历天内</w:t>
      </w:r>
      <w:r>
        <w:rPr>
          <w:rFonts w:hint="eastAsia" w:ascii="宋体" w:hAnsi="宋体" w:eastAsia="宋体" w:cs="宋体"/>
          <w:color w:val="000000"/>
          <w:sz w:val="24"/>
          <w:szCs w:val="32"/>
        </w:rPr>
        <w:t>提交施工招标设计、工程量清单及招标图纸；</w:t>
      </w:r>
    </w:p>
    <w:p w14:paraId="116A1442">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（4）自发包人书面通知之日起</w:t>
      </w:r>
      <w:r>
        <w:rPr>
          <w:rFonts w:hint="eastAsia" w:ascii="宋体" w:hAnsi="宋体" w:eastAsia="宋体" w:cs="宋体"/>
          <w:color w:val="000000"/>
          <w:sz w:val="24"/>
          <w:szCs w:val="32"/>
          <w:shd w:val="clear" w:color="auto" w:fill="auto"/>
          <w:lang w:val="en-US" w:eastAsia="zh-CN"/>
        </w:rPr>
        <w:t>4个日历天内</w:t>
      </w:r>
      <w:r>
        <w:rPr>
          <w:rFonts w:hint="eastAsia" w:ascii="宋体" w:hAnsi="宋体" w:eastAsia="宋体" w:cs="宋体"/>
          <w:color w:val="000000"/>
          <w:sz w:val="24"/>
          <w:szCs w:val="32"/>
        </w:rPr>
        <w:t>提交施工图设计图纸及施工图预算。</w:t>
      </w:r>
    </w:p>
    <w:p w14:paraId="6C622DF1">
      <w:pPr>
        <w:pStyle w:val="4"/>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left="0" w:leftChars="0" w:right="1791" w:firstLine="0" w:firstLineChars="0"/>
        <w:jc w:val="left"/>
        <w:textAlignment w:val="auto"/>
        <w:rPr>
          <w:rFonts w:hint="eastAsia" w:ascii="宋体" w:hAnsi="宋体" w:eastAsia="宋体" w:cs="宋体"/>
          <w:color w:val="000000"/>
        </w:rPr>
      </w:pPr>
      <w:bookmarkStart w:id="6" w:name="_Toc20272"/>
      <w:r>
        <w:rPr>
          <w:rFonts w:hint="eastAsia" w:ascii="宋体" w:hAnsi="宋体" w:eastAsia="宋体" w:cs="宋体"/>
          <w:color w:val="000000"/>
        </w:rPr>
        <w:t>三、投标人资格要求</w:t>
      </w:r>
      <w:bookmarkEnd w:id="6"/>
    </w:p>
    <w:p w14:paraId="0DB5ADB2">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3.1 本工程</w:t>
      </w:r>
      <w:r>
        <w:rPr>
          <w:rFonts w:hint="eastAsia" w:ascii="宋体" w:hAnsi="宋体" w:eastAsia="宋体" w:cs="宋体"/>
          <w:color w:val="000000"/>
          <w:sz w:val="24"/>
          <w:szCs w:val="32"/>
          <w:u w:val="single"/>
        </w:rPr>
        <w:t xml:space="preserve"> </w:t>
      </w:r>
      <w:r>
        <w:rPr>
          <w:rFonts w:hint="eastAsia" w:ascii="宋体" w:hAnsi="宋体" w:eastAsia="宋体" w:cs="宋体"/>
          <w:color w:val="000000"/>
          <w:sz w:val="24"/>
          <w:szCs w:val="32"/>
          <w:u w:val="single"/>
          <w:lang w:eastAsia="zh-CN"/>
        </w:rPr>
        <w:t>不</w:t>
      </w:r>
      <w:r>
        <w:rPr>
          <w:rFonts w:hint="eastAsia" w:ascii="宋体" w:hAnsi="宋体" w:eastAsia="宋体" w:cs="宋体"/>
          <w:color w:val="000000"/>
          <w:sz w:val="24"/>
          <w:szCs w:val="32"/>
          <w:u w:val="single"/>
        </w:rPr>
        <w:t xml:space="preserve">接受 </w:t>
      </w:r>
      <w:r>
        <w:rPr>
          <w:rFonts w:hint="eastAsia" w:ascii="宋体" w:hAnsi="宋体" w:eastAsia="宋体" w:cs="宋体"/>
          <w:color w:val="000000"/>
          <w:sz w:val="24"/>
          <w:szCs w:val="32"/>
        </w:rPr>
        <w:t>联合体投标，联合体以一个投标人的身份共同投标。</w:t>
      </w:r>
    </w:p>
    <w:p w14:paraId="5287F54B">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rPr>
      </w:pPr>
      <w:bookmarkStart w:id="7" w:name="_Toc19111"/>
      <w:r>
        <w:rPr>
          <w:rFonts w:hint="eastAsia" w:ascii="宋体" w:hAnsi="宋体" w:eastAsia="宋体" w:cs="宋体"/>
          <w:color w:val="000000"/>
          <w:sz w:val="24"/>
          <w:szCs w:val="32"/>
        </w:rPr>
        <w:t>3.2  投标人资格要求：</w:t>
      </w:r>
      <w:bookmarkEnd w:id="7"/>
    </w:p>
    <w:p w14:paraId="2EA58499">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lang w:val="en-US" w:eastAsia="zh-CN"/>
        </w:rPr>
        <w:t>3.2.1</w:t>
      </w:r>
      <w:r>
        <w:rPr>
          <w:rFonts w:hint="eastAsia" w:ascii="宋体" w:hAnsi="宋体" w:eastAsia="宋体" w:cs="宋体"/>
          <w:color w:val="000000"/>
          <w:sz w:val="24"/>
          <w:szCs w:val="32"/>
        </w:rPr>
        <w:t>投标人须具备独立法人资格，按国家法律经营。</w:t>
      </w:r>
    </w:p>
    <w:p w14:paraId="1363EF5B">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lang w:val="en-US" w:eastAsia="zh-CN"/>
        </w:rPr>
        <w:t>3.</w:t>
      </w:r>
      <w:r>
        <w:rPr>
          <w:rFonts w:hint="eastAsia" w:ascii="宋体" w:hAnsi="宋体" w:eastAsia="宋体" w:cs="宋体"/>
          <w:color w:val="000000"/>
          <w:sz w:val="24"/>
          <w:szCs w:val="32"/>
        </w:rPr>
        <w:t>2.</w:t>
      </w:r>
      <w:r>
        <w:rPr>
          <w:rFonts w:hint="eastAsia" w:ascii="宋体" w:hAnsi="宋体" w:eastAsia="宋体" w:cs="宋体"/>
          <w:color w:val="000000"/>
          <w:sz w:val="24"/>
          <w:szCs w:val="32"/>
          <w:lang w:val="en-US" w:eastAsia="zh-CN"/>
        </w:rPr>
        <w:t>2</w:t>
      </w:r>
      <w:r>
        <w:rPr>
          <w:rFonts w:hint="eastAsia" w:ascii="宋体" w:hAnsi="宋体" w:eastAsia="宋体" w:cs="宋体"/>
          <w:color w:val="000000"/>
          <w:sz w:val="24"/>
          <w:szCs w:val="32"/>
        </w:rPr>
        <w:t>投标人须具备建设行政主管部门颁发的以下资质之一：</w:t>
      </w:r>
    </w:p>
    <w:p w14:paraId="6837C100">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①工程设计综合甲级资质；</w:t>
      </w:r>
    </w:p>
    <w:p w14:paraId="334E59F0">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②工程设计水利行业乙级以上（含乙级）资质；</w:t>
      </w:r>
    </w:p>
    <w:p w14:paraId="7155450D">
      <w:pPr>
        <w:keepNext w:val="0"/>
        <w:keepLines w:val="0"/>
        <w:pageBreakBefore w:val="0"/>
        <w:kinsoku/>
        <w:overflowPunct/>
        <w:topLinePunct w:val="0"/>
        <w:autoSpaceDE/>
        <w:autoSpaceDN/>
        <w:bidi w:val="0"/>
        <w:snapToGrid/>
        <w:spacing w:line="500" w:lineRule="exact"/>
        <w:ind w:firstLine="482" w:firstLineChars="200"/>
        <w:textAlignment w:val="auto"/>
        <w:rPr>
          <w:rFonts w:hint="eastAsia" w:ascii="宋体" w:hAnsi="宋体" w:eastAsia="宋体" w:cs="宋体"/>
          <w:color w:val="000000"/>
          <w:sz w:val="24"/>
          <w:szCs w:val="32"/>
          <w:lang w:val="en-US" w:eastAsia="zh-CN"/>
        </w:rPr>
      </w:pPr>
      <w:r>
        <w:rPr>
          <w:rFonts w:hint="eastAsia" w:ascii="宋体" w:hAnsi="宋体" w:eastAsia="宋体" w:cs="宋体"/>
          <w:b/>
          <w:bCs/>
          <w:color w:val="000000"/>
          <w:sz w:val="24"/>
          <w:szCs w:val="32"/>
        </w:rPr>
        <w:t>注：投标人如不具备相应勘察资质的，则待中标后必须在招标人的监督管理下委托具备相应资质及能力的单位来完成该部分工作。</w:t>
      </w:r>
    </w:p>
    <w:p w14:paraId="434ECF54">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lang w:val="en-US" w:eastAsia="zh-CN"/>
        </w:rPr>
      </w:pPr>
      <w:r>
        <w:rPr>
          <w:rFonts w:hint="eastAsia" w:ascii="宋体" w:hAnsi="宋体" w:eastAsia="宋体" w:cs="宋体"/>
          <w:color w:val="000000"/>
          <w:sz w:val="24"/>
          <w:szCs w:val="32"/>
          <w:lang w:val="en-US" w:eastAsia="zh-CN"/>
        </w:rPr>
        <w:t>3.2.3投标人的企业相关证书到期的，均按该证书的发证机构相关行业主管部门最新文件执行（如自动顺延或资质延续有关事项的通知），投标人必须将相关文件附在该证书后面中，证明在开标日继续有效。</w:t>
      </w:r>
    </w:p>
    <w:p w14:paraId="03B0712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lang w:val="en-US" w:eastAsia="zh-CN"/>
        </w:rPr>
      </w:pPr>
      <w:r>
        <w:rPr>
          <w:rFonts w:hint="eastAsia" w:ascii="宋体" w:hAnsi="宋体" w:eastAsia="宋体" w:cs="宋体"/>
          <w:color w:val="000000"/>
          <w:sz w:val="24"/>
          <w:szCs w:val="32"/>
          <w:lang w:val="en-US" w:eastAsia="zh-CN"/>
        </w:rPr>
        <w:t>3.3人员要求：</w:t>
      </w:r>
    </w:p>
    <w:p w14:paraId="410198F5">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lang w:val="en-US" w:eastAsia="zh-CN"/>
        </w:rPr>
      </w:pPr>
      <w:r>
        <w:rPr>
          <w:rFonts w:hint="eastAsia" w:ascii="宋体" w:hAnsi="宋体" w:eastAsia="宋体" w:cs="宋体"/>
          <w:color w:val="000000"/>
          <w:sz w:val="24"/>
          <w:szCs w:val="32"/>
          <w:lang w:val="en-US" w:eastAsia="zh-CN"/>
        </w:rPr>
        <w:t>3.3.1投标人拟委派担任本工程的项目负责人须具有水利类工程师或以上职称证书。</w:t>
      </w:r>
    </w:p>
    <w:p w14:paraId="09D0AE71">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lang w:val="en-US" w:eastAsia="zh-CN"/>
        </w:rPr>
      </w:pPr>
      <w:r>
        <w:rPr>
          <w:rFonts w:hint="eastAsia" w:ascii="宋体" w:hAnsi="宋体" w:eastAsia="宋体" w:cs="宋体"/>
          <w:color w:val="000000"/>
          <w:sz w:val="24"/>
          <w:szCs w:val="32"/>
          <w:lang w:val="en-US" w:eastAsia="zh-CN"/>
        </w:rPr>
        <w:t>3.3.2投标人与其拟派往本项目所有人员之间必须具备合法的劳动聘用关系，需提供缴纳社保的证明或退休证(附返聘证明）扫描件（由非独立法人分支机构出具的社保证明，予以认可）。拟派人员中具备注册执业资格的，其注册单位须与投标人保持一致。</w:t>
      </w:r>
    </w:p>
    <w:p w14:paraId="663EABB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color w:val="000000"/>
          <w:spacing w:val="-4"/>
          <w:kern w:val="0"/>
          <w:highlight w:val="none"/>
        </w:rPr>
      </w:pPr>
      <w:r>
        <w:rPr>
          <w:rFonts w:hint="eastAsia" w:ascii="宋体" w:hAnsi="宋体" w:eastAsia="宋体" w:cs="宋体"/>
          <w:color w:val="000000"/>
          <w:sz w:val="24"/>
          <w:szCs w:val="32"/>
          <w:lang w:val="en-US" w:eastAsia="zh-CN"/>
        </w:rPr>
        <w:t>3.4</w:t>
      </w:r>
      <w:r>
        <w:rPr>
          <w:rFonts w:hint="eastAsia" w:ascii="宋体" w:hAnsi="宋体" w:eastAsia="宋体" w:cs="宋体"/>
          <w:color w:val="000000"/>
          <w:sz w:val="24"/>
          <w:szCs w:val="32"/>
        </w:rPr>
        <w:t>本次招标实行资格后审，资格审查的具体要求见招标文件。资格后审不合格的投标人投标文件将按废标处理。</w:t>
      </w:r>
    </w:p>
    <w:p w14:paraId="6888DC9B">
      <w:pPr>
        <w:pStyle w:val="4"/>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left="0" w:leftChars="0" w:right="1791" w:firstLine="0" w:firstLineChars="0"/>
        <w:jc w:val="left"/>
        <w:textAlignment w:val="auto"/>
        <w:rPr>
          <w:rFonts w:hint="eastAsia" w:ascii="宋体" w:hAnsi="宋体" w:eastAsia="宋体" w:cs="宋体"/>
          <w:color w:val="000000"/>
        </w:rPr>
      </w:pPr>
      <w:bookmarkStart w:id="8" w:name="_Toc27159"/>
      <w:r>
        <w:rPr>
          <w:rFonts w:hint="eastAsia" w:ascii="宋体" w:hAnsi="宋体" w:eastAsia="宋体" w:cs="宋体"/>
          <w:color w:val="000000"/>
        </w:rPr>
        <w:t>四、获取招标文件</w:t>
      </w:r>
      <w:bookmarkEnd w:id="8"/>
    </w:p>
    <w:p w14:paraId="798B34A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 xml:space="preserve">4.1 本次招标实行电子投标。本项目招标文件随招标公告一并在全国公共资源交易平台（广东省·韶关市）（https://ygp.gdzwfw.gov.cn/ggzy-portal/#/440200/index）网站发布，招标文件一经发布，视为发送投标人，招标文件及相关附件由投标人自行在全国公共资源交易平台（广东省·韶关市）网站下载。投标人请于招标文件获取期间（见本章第二节“重要事项时间地点一览表”）登录全国公共资源交易平台（广东省·韶关市）（https://ygp.gdzwfw.gov.cn/ggzy-portal/#/440200/index）进行下载招标文件及相关附件，并于电子投标截止时间（见本章第二节“重要事项时间地点一览表”）前完成电子投标。 </w:t>
      </w:r>
    </w:p>
    <w:p w14:paraId="45ADB49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投标人可登录全国公共资源交易平台（广东省·韶关市）</w:t>
      </w:r>
    </w:p>
    <w:p w14:paraId="2889463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（https://ygp.gdzwfw.gov.cn/ggzy-portal/#/440200/index），在【服务指南】栏目中建设工程交易中下载《韶关市公共资源建设工程交易系统-投标人操作指南（电子评标）》（附件 2），了解网上获取招标文件操作流程。技术咨询电话：0751-8379671 伍先生，业务咨询电话：0751-8633211、8633071。</w:t>
      </w:r>
    </w:p>
    <w:p w14:paraId="35746312">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4.2 只有申领了数字证书（CA）、“粤企签”或GDCA/SZCA/NETCA等符合法律法规规定的电子印章，并在交易系统中完成企业信息数据入库的投标人，方可使用建设工程交易系统进行招标文件及相关附件的获取和电子投标。首次在韶关市参与建设工程招标投标活动的投标人，必须在平台系统上传企业相关资料办理企业入库事宜。投标人可登录全国公共资源交易平台（广东省·韶关市）</w:t>
      </w:r>
    </w:p>
    <w:p w14:paraId="35C98D95">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https://ygp.gdzwfw.gov.cn/ggzy-portal/#/440200/index）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w:t>
      </w:r>
    </w:p>
    <w:p w14:paraId="607B4E98">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01BB1D7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bookmarkStart w:id="9" w:name="_Toc9531"/>
      <w:r>
        <w:rPr>
          <w:rFonts w:hint="eastAsia" w:ascii="宋体" w:hAnsi="宋体" w:eastAsia="宋体" w:cs="宋体"/>
          <w:color w:val="000000"/>
          <w:sz w:val="24"/>
          <w:szCs w:val="32"/>
        </w:rPr>
        <w:t>4.3 投标保证</w:t>
      </w:r>
      <w:bookmarkEnd w:id="9"/>
    </w:p>
    <w:p w14:paraId="759C6A09">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4.3.1 投标保证金额为人民币：</w:t>
      </w:r>
      <w:r>
        <w:rPr>
          <w:rFonts w:hint="eastAsia" w:ascii="宋体" w:hAnsi="宋体" w:eastAsia="宋体" w:cs="宋体"/>
          <w:color w:val="000000"/>
          <w:sz w:val="24"/>
          <w:szCs w:val="32"/>
          <w:u w:val="single"/>
          <w:lang w:val="en-US" w:eastAsia="zh-CN"/>
        </w:rPr>
        <w:t>叁仟元整（¥3,000.00元）</w:t>
      </w:r>
      <w:r>
        <w:rPr>
          <w:rFonts w:hint="eastAsia" w:ascii="宋体" w:hAnsi="宋体" w:eastAsia="宋体" w:cs="宋体"/>
          <w:color w:val="000000"/>
          <w:sz w:val="24"/>
          <w:szCs w:val="32"/>
        </w:rPr>
        <w:t>。联合体投标的，由联合体牵头人缴纳。</w:t>
      </w:r>
    </w:p>
    <w:p w14:paraId="4F2B2889">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4.3.2 投标保证的形式包括投标保证金、投标保证担保、投标保证保险三种，由投标人自主选择。</w:t>
      </w:r>
    </w:p>
    <w:p w14:paraId="7E6C16F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（1）</w:t>
      </w:r>
      <w:r>
        <w:rPr>
          <w:rFonts w:hint="eastAsia" w:ascii="宋体" w:hAnsi="宋体" w:eastAsia="宋体" w:cs="宋体"/>
          <w:color w:val="000000"/>
          <w:sz w:val="24"/>
          <w:szCs w:val="32"/>
          <w:lang w:val="en-US" w:eastAsia="zh-CN"/>
        </w:rPr>
        <w:t>采用投标保证金的，投标人在建设工程交易系统获取招标文件完毕后，即可在系统申请缴纳投标保证金，获取本次招标投标保证金缴纳账号。投标人必须于投标保证金到账截止时间（见本章第二节“重要事项时间地点一览表”）前，从其基本账户将投标保证金转账到指定的缴纳账号。逾期到账的、从非投标人基本账户转出的，其投标无效。</w:t>
      </w:r>
    </w:p>
    <w:p w14:paraId="16232D0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（2）</w:t>
      </w:r>
      <w:r>
        <w:rPr>
          <w:rFonts w:hint="eastAsia" w:ascii="宋体" w:hAnsi="宋体" w:eastAsia="宋体" w:cs="宋体"/>
          <w:color w:val="000000"/>
          <w:sz w:val="24"/>
          <w:szCs w:val="32"/>
          <w:lang w:val="en-US" w:eastAsia="zh-CN"/>
        </w:rPr>
        <w:t>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6336E97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lang w:val="en-US" w:eastAsia="zh-CN"/>
        </w:rPr>
      </w:pPr>
      <w:r>
        <w:rPr>
          <w:rFonts w:hint="eastAsia" w:ascii="宋体" w:hAnsi="宋体" w:eastAsia="宋体" w:cs="宋体"/>
          <w:color w:val="000000"/>
          <w:sz w:val="24"/>
          <w:szCs w:val="32"/>
        </w:rPr>
        <w:t>（3）</w:t>
      </w:r>
      <w:r>
        <w:rPr>
          <w:rFonts w:hint="eastAsia" w:ascii="宋体" w:hAnsi="宋体" w:eastAsia="宋体" w:cs="宋体"/>
          <w:color w:val="000000"/>
          <w:sz w:val="24"/>
          <w:szCs w:val="32"/>
          <w:lang w:val="en-US" w:eastAsia="zh-CN"/>
        </w:rPr>
        <w:t>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建设工程网上交易系统保险保证金缴纳操作指南》，了解网上投保具体操作流程。逾期投保的，其投标无效。</w:t>
      </w:r>
    </w:p>
    <w:p w14:paraId="63BD35A9">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lang w:val="en-US" w:eastAsia="zh-CN"/>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6EA64CD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4.4  若投标人因自身原因未能正确获取招标文件、电子投标</w:t>
      </w:r>
      <w:r>
        <w:rPr>
          <w:rFonts w:hint="eastAsia" w:ascii="宋体" w:hAnsi="宋体" w:eastAsia="宋体" w:cs="宋体"/>
          <w:color w:val="000000"/>
          <w:sz w:val="24"/>
          <w:szCs w:val="32"/>
          <w:lang w:val="en-US" w:eastAsia="zh-CN"/>
        </w:rPr>
        <w:t>和</w:t>
      </w:r>
      <w:r>
        <w:rPr>
          <w:rFonts w:hint="eastAsia" w:ascii="宋体" w:hAnsi="宋体" w:eastAsia="宋体" w:cs="宋体"/>
          <w:color w:val="000000"/>
          <w:sz w:val="24"/>
          <w:szCs w:val="32"/>
        </w:rPr>
        <w:t>缴纳投标保证的，其投标无效。</w:t>
      </w:r>
    </w:p>
    <w:p w14:paraId="11545784">
      <w:pPr>
        <w:pStyle w:val="4"/>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left="0" w:leftChars="0" w:right="1791" w:firstLine="0" w:firstLineChars="0"/>
        <w:jc w:val="left"/>
        <w:textAlignment w:val="auto"/>
        <w:rPr>
          <w:rFonts w:hint="eastAsia" w:ascii="宋体" w:hAnsi="宋体" w:eastAsia="宋体" w:cs="宋体"/>
          <w:color w:val="000000"/>
          <w:lang w:val="en-US" w:eastAsia="zh-CN"/>
        </w:rPr>
      </w:pPr>
      <w:bookmarkStart w:id="10" w:name="_Toc29067"/>
      <w:r>
        <w:rPr>
          <w:rFonts w:hint="eastAsia" w:ascii="宋体" w:hAnsi="宋体" w:eastAsia="宋体" w:cs="宋体"/>
          <w:color w:val="000000"/>
        </w:rPr>
        <w:t>五、</w:t>
      </w:r>
      <w:r>
        <w:rPr>
          <w:rFonts w:hint="eastAsia" w:ascii="宋体" w:hAnsi="宋体" w:eastAsia="宋体" w:cs="宋体"/>
          <w:color w:val="000000"/>
          <w:lang w:val="en-US" w:eastAsia="zh-CN"/>
        </w:rPr>
        <w:t>招标文件的提问和答疑</w:t>
      </w:r>
      <w:bookmarkEnd w:id="10"/>
    </w:p>
    <w:p w14:paraId="549C1FF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5.1投标人若对招标文件有疑问，应在提问截止时间（见本章第二节“重要事项时间地点一览表”）前使用建设工程交易系统提出问题。未在指定时间前、未采用指定方式提出的，招标人不予受理。</w:t>
      </w:r>
    </w:p>
    <w:p w14:paraId="4B2582D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5.2招标人在提问截止时间（见本章第二节“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084D465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5.3招标人对招标文件所作的答疑（或修改）公告，构成招标文件的组成部分。</w:t>
      </w:r>
    </w:p>
    <w:p w14:paraId="74D666B6">
      <w:pPr>
        <w:pStyle w:val="4"/>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left="0" w:leftChars="0" w:right="1791" w:firstLine="0" w:firstLineChars="0"/>
        <w:jc w:val="left"/>
        <w:textAlignment w:val="auto"/>
        <w:rPr>
          <w:rFonts w:hint="eastAsia" w:ascii="宋体" w:hAnsi="宋体" w:eastAsia="宋体" w:cs="宋体"/>
          <w:color w:val="000000"/>
        </w:rPr>
      </w:pPr>
      <w:bookmarkStart w:id="11" w:name="_Toc24036"/>
      <w:r>
        <w:rPr>
          <w:rFonts w:hint="eastAsia" w:ascii="宋体" w:hAnsi="宋体" w:eastAsia="宋体" w:cs="宋体"/>
          <w:color w:val="000000"/>
        </w:rPr>
        <w:t>六、投标文件的</w:t>
      </w:r>
      <w:r>
        <w:rPr>
          <w:rFonts w:hint="eastAsia" w:ascii="宋体" w:hAnsi="宋体" w:eastAsia="宋体" w:cs="宋体"/>
          <w:color w:val="000000"/>
          <w:lang w:val="en-US" w:eastAsia="zh-CN"/>
        </w:rPr>
        <w:t>提</w:t>
      </w:r>
      <w:r>
        <w:rPr>
          <w:rFonts w:hint="eastAsia" w:ascii="宋体" w:hAnsi="宋体" w:eastAsia="宋体" w:cs="宋体"/>
          <w:color w:val="000000"/>
        </w:rPr>
        <w:t>交</w:t>
      </w:r>
      <w:bookmarkEnd w:id="11"/>
    </w:p>
    <w:p w14:paraId="2A4D593F">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lang w:val="en-US" w:eastAsia="zh-CN"/>
        </w:rPr>
      </w:pPr>
      <w:r>
        <w:rPr>
          <w:rFonts w:hint="eastAsia" w:ascii="宋体" w:hAnsi="宋体" w:eastAsia="宋体" w:cs="宋体"/>
          <w:color w:val="000000"/>
          <w:sz w:val="24"/>
          <w:szCs w:val="32"/>
          <w:lang w:val="en-US" w:eastAsia="zh-CN"/>
        </w:rPr>
        <w:t>本次招标实行电子投标。投标人必须在规定的截止时间前使用交易系统完成缴纳投标保证和全流程电子投标，只有满足以上所有条件，方为有效投标。</w:t>
      </w:r>
    </w:p>
    <w:p w14:paraId="1BB442D5">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lang w:val="en-US" w:eastAsia="zh-CN"/>
        </w:rPr>
      </w:pPr>
      <w:r>
        <w:rPr>
          <w:rFonts w:hint="eastAsia" w:ascii="宋体" w:hAnsi="宋体" w:eastAsia="宋体" w:cs="宋体"/>
          <w:color w:val="000000"/>
          <w:sz w:val="24"/>
          <w:szCs w:val="32"/>
          <w:lang w:val="en-US" w:eastAsia="zh-CN"/>
        </w:rPr>
        <w:t>6.1在电子投标截止时间前，投标人通过全国公共资源交易平台（广东省·韶关市）提交已加密投标文件。逾期提交的电子投标文件，全国公共资源交易平台（广东省·韶关市）将予以拒收。</w:t>
      </w:r>
    </w:p>
    <w:p w14:paraId="279FA0DE">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lang w:val="en-US" w:eastAsia="zh-CN"/>
        </w:rPr>
      </w:pPr>
      <w:r>
        <w:rPr>
          <w:rFonts w:hint="eastAsia" w:ascii="宋体" w:hAnsi="宋体" w:eastAsia="宋体" w:cs="宋体"/>
          <w:color w:val="000000"/>
          <w:sz w:val="24"/>
          <w:szCs w:val="32"/>
          <w:lang w:val="en-US" w:eastAsia="zh-CN"/>
        </w:rPr>
        <w:t>6.2提交时间和地点：见本章第二节“重要事项时间地点一览表”。</w:t>
      </w:r>
    </w:p>
    <w:p w14:paraId="41B6EB6F">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lang w:val="en-US" w:eastAsia="zh-CN"/>
        </w:rPr>
      </w:pPr>
      <w:r>
        <w:rPr>
          <w:rFonts w:hint="eastAsia" w:ascii="宋体" w:hAnsi="宋体" w:eastAsia="宋体" w:cs="宋体"/>
          <w:color w:val="000000"/>
          <w:sz w:val="24"/>
          <w:szCs w:val="32"/>
          <w:lang w:val="en-US" w:eastAsia="zh-CN"/>
        </w:rPr>
        <w:t xml:space="preserve">6.3递交时间和地点：投标人如有招标文件要求提交的用于评审的证书、证件、证明原件（附一式两份清单），由投标人法定代表人或其委托代理人在指定的时间和地点递交（见“重要事项时间地点一览表”）。        </w:t>
      </w:r>
    </w:p>
    <w:p w14:paraId="348BAAD4">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lang w:val="en-US" w:eastAsia="zh-CN"/>
        </w:rPr>
      </w:pPr>
      <w:r>
        <w:rPr>
          <w:rFonts w:hint="eastAsia" w:ascii="宋体" w:hAnsi="宋体" w:eastAsia="宋体" w:cs="宋体"/>
          <w:color w:val="000000"/>
          <w:sz w:val="24"/>
          <w:szCs w:val="32"/>
          <w:lang w:val="en-US" w:eastAsia="zh-CN"/>
        </w:rPr>
        <w:t>6.4 代理机构对因不可抗力事件造成的投标文件的损坏、丢失的，不承担责任。</w:t>
      </w:r>
    </w:p>
    <w:p w14:paraId="0FE6B016">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lang w:val="en-US" w:eastAsia="zh-CN"/>
        </w:rPr>
      </w:pPr>
      <w:r>
        <w:rPr>
          <w:rFonts w:hint="eastAsia" w:ascii="宋体" w:hAnsi="宋体" w:eastAsia="宋体" w:cs="宋体"/>
          <w:color w:val="000000"/>
          <w:sz w:val="24"/>
          <w:szCs w:val="32"/>
          <w:lang w:val="en-US" w:eastAsia="zh-CN"/>
        </w:rPr>
        <w:t>6.5出现下述情形之一，属于未成功提交投标文件，按无效投标处理：</w:t>
      </w:r>
    </w:p>
    <w:p w14:paraId="0068D3FB">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lang w:val="en-US" w:eastAsia="zh-CN"/>
        </w:rPr>
      </w:pPr>
      <w:r>
        <w:rPr>
          <w:rFonts w:hint="eastAsia" w:ascii="宋体" w:hAnsi="宋体" w:eastAsia="宋体" w:cs="宋体"/>
          <w:color w:val="000000"/>
          <w:sz w:val="24"/>
          <w:szCs w:val="32"/>
          <w:lang w:val="en-US" w:eastAsia="zh-CN"/>
        </w:rPr>
        <w:t>（1）至电子投标截止时间时，投标文件未完整上传或未提交投标。</w:t>
      </w:r>
    </w:p>
    <w:p w14:paraId="6D113664">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lang w:val="en-US" w:eastAsia="zh-CN"/>
        </w:rPr>
      </w:pPr>
      <w:r>
        <w:rPr>
          <w:rFonts w:hint="eastAsia" w:ascii="宋体" w:hAnsi="宋体" w:eastAsia="宋体" w:cs="宋体"/>
          <w:color w:val="000000"/>
          <w:sz w:val="24"/>
          <w:szCs w:val="32"/>
          <w:lang w:val="en-US" w:eastAsia="zh-CN"/>
        </w:rPr>
        <w:t>（2）解密失败且在规定时间内未重新提交投标文件的；</w:t>
      </w:r>
    </w:p>
    <w:p w14:paraId="407159B5">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lang w:val="en-US" w:eastAsia="zh-CN"/>
        </w:rPr>
      </w:pPr>
      <w:r>
        <w:rPr>
          <w:rFonts w:hint="eastAsia" w:ascii="宋体" w:hAnsi="宋体" w:eastAsia="宋体" w:cs="宋体"/>
          <w:color w:val="000000"/>
          <w:sz w:val="24"/>
          <w:szCs w:val="32"/>
          <w:lang w:val="en-US" w:eastAsia="zh-CN"/>
        </w:rPr>
        <w:t>（3）投标文件损坏或格式不正确的。</w:t>
      </w:r>
    </w:p>
    <w:p w14:paraId="49A541B6">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lang w:val="en-US" w:eastAsia="zh-CN"/>
        </w:rPr>
      </w:pPr>
      <w:r>
        <w:rPr>
          <w:rFonts w:hint="eastAsia" w:ascii="宋体" w:hAnsi="宋体" w:eastAsia="宋体" w:cs="宋体"/>
          <w:color w:val="000000"/>
          <w:sz w:val="24"/>
          <w:szCs w:val="32"/>
          <w:lang w:val="en-US" w:eastAsia="zh-CN"/>
        </w:rPr>
        <w:t>6.6招标人或其授权的招标代理机构核对、接收投标人递交的投标相关资料后，应向投标人出具标明签收人和签收时间的凭证，并妥善保管。</w:t>
      </w:r>
    </w:p>
    <w:p w14:paraId="743B4134">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lang w:val="en-US" w:eastAsia="zh-CN"/>
        </w:rPr>
      </w:pPr>
      <w:r>
        <w:rPr>
          <w:rFonts w:hint="eastAsia" w:ascii="宋体" w:hAnsi="宋体" w:eastAsia="宋体" w:cs="宋体"/>
          <w:color w:val="000000"/>
          <w:sz w:val="24"/>
          <w:szCs w:val="32"/>
          <w:lang w:val="en-US" w:eastAsia="zh-CN"/>
        </w:rPr>
        <w:t>6.7 本次招标投标有效期为90个日历天，投标有效期从提交投标文件的截止之日起计算。在此期间，投标人不得撤销或修改其投标文件，否则其投标保证不予退还。</w:t>
      </w:r>
    </w:p>
    <w:p w14:paraId="774EC0E0">
      <w:pPr>
        <w:pStyle w:val="4"/>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left="0" w:leftChars="0" w:right="1791" w:firstLine="0" w:firstLineChars="0"/>
        <w:jc w:val="both"/>
        <w:textAlignment w:val="auto"/>
        <w:rPr>
          <w:rFonts w:hint="eastAsia" w:ascii="宋体" w:hAnsi="宋体" w:eastAsia="宋体" w:cs="宋体"/>
          <w:color w:val="000000"/>
          <w:lang w:val="en-US" w:eastAsia="zh-CN"/>
        </w:rPr>
      </w:pPr>
      <w:bookmarkStart w:id="12" w:name="_Toc12075"/>
      <w:r>
        <w:rPr>
          <w:rFonts w:hint="eastAsia" w:ascii="宋体" w:hAnsi="宋体" w:eastAsia="宋体" w:cs="宋体"/>
          <w:color w:val="000000"/>
          <w:lang w:val="en-US" w:eastAsia="zh-CN"/>
        </w:rPr>
        <w:t>七、开标</w:t>
      </w:r>
      <w:bookmarkEnd w:id="12"/>
    </w:p>
    <w:p w14:paraId="0149314C">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lang w:val="en-US" w:eastAsia="zh-CN"/>
        </w:rPr>
      </w:pPr>
      <w:r>
        <w:rPr>
          <w:rFonts w:hint="eastAsia" w:ascii="宋体" w:hAnsi="宋体" w:eastAsia="宋体" w:cs="宋体"/>
          <w:color w:val="000000"/>
          <w:sz w:val="24"/>
          <w:szCs w:val="32"/>
          <w:lang w:val="en-US" w:eastAsia="zh-CN"/>
        </w:rPr>
        <w:t>7.1 招标人邀请所有正确获取招标文件、电子投标、缴纳投标保证的投标人参加开标，投标人可自主决定是否参加。投标人可登录交易平台观看开标实况、提出异议或进行澄清、确认等操作（具体按招标文件和系统操作手册为准）。投标人不参加开标的，视其默认开标结果，以及放弃在开标期间见证、监督、投诉、申辩的权利。</w:t>
      </w:r>
    </w:p>
    <w:p w14:paraId="530BF8DD">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lang w:val="en-US" w:eastAsia="zh-CN"/>
        </w:rPr>
      </w:pPr>
      <w:r>
        <w:rPr>
          <w:rFonts w:hint="eastAsia" w:ascii="宋体" w:hAnsi="宋体" w:eastAsia="宋体" w:cs="宋体"/>
          <w:color w:val="000000"/>
          <w:sz w:val="24"/>
          <w:szCs w:val="32"/>
          <w:lang w:val="en-US" w:eastAsia="zh-CN"/>
        </w:rPr>
        <w:t>7.1.1 开标时间和地点：见本章第二节“重要事项时间地点一览表”。</w:t>
      </w:r>
    </w:p>
    <w:p w14:paraId="58809798">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lang w:val="en-US" w:eastAsia="zh-CN"/>
        </w:rPr>
      </w:pPr>
      <w:r>
        <w:rPr>
          <w:rFonts w:hint="eastAsia" w:ascii="宋体" w:hAnsi="宋体" w:eastAsia="宋体" w:cs="宋体"/>
          <w:color w:val="000000"/>
          <w:sz w:val="24"/>
          <w:szCs w:val="32"/>
          <w:lang w:val="en-US" w:eastAsia="zh-CN"/>
        </w:rPr>
        <w:t>7.1.2 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全国公共资源交易平台（广东省·韶关市）</w:t>
      </w:r>
    </w:p>
    <w:p w14:paraId="02ABBF2F">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lang w:val="en-US" w:eastAsia="zh-CN"/>
        </w:rPr>
      </w:pPr>
      <w:r>
        <w:rPr>
          <w:rFonts w:hint="eastAsia" w:ascii="宋体" w:hAnsi="宋体" w:eastAsia="宋体" w:cs="宋体"/>
          <w:color w:val="000000"/>
          <w:sz w:val="24"/>
          <w:szCs w:val="32"/>
          <w:lang w:val="en-US" w:eastAsia="zh-CN"/>
        </w:rPr>
        <w:t>（https://ygp.gdzwfw.gov.cn/ggzy-portal/#/440200/index）查询是否发布了取消开标活动的相关信息。</w:t>
      </w:r>
    </w:p>
    <w:p w14:paraId="3642FBAF">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lang w:val="en-US" w:eastAsia="zh-CN"/>
        </w:rPr>
        <w:t>7.1.3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12739103">
      <w:pPr>
        <w:pStyle w:val="4"/>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left="0" w:leftChars="0" w:right="1791" w:firstLine="0" w:firstLineChars="0"/>
        <w:jc w:val="left"/>
        <w:textAlignment w:val="auto"/>
        <w:rPr>
          <w:rFonts w:hint="eastAsia" w:ascii="宋体" w:hAnsi="宋体" w:eastAsia="宋体" w:cs="宋体"/>
          <w:color w:val="000000"/>
        </w:rPr>
      </w:pPr>
      <w:bookmarkStart w:id="13" w:name="_Toc23825"/>
      <w:r>
        <w:rPr>
          <w:rFonts w:hint="eastAsia" w:ascii="宋体" w:hAnsi="宋体" w:eastAsia="宋体" w:cs="宋体"/>
          <w:color w:val="000000"/>
          <w:lang w:val="en-US" w:eastAsia="zh-CN"/>
        </w:rPr>
        <w:t>八、</w:t>
      </w:r>
      <w:r>
        <w:rPr>
          <w:rFonts w:hint="eastAsia" w:ascii="宋体" w:hAnsi="宋体" w:eastAsia="宋体" w:cs="宋体"/>
          <w:color w:val="000000"/>
        </w:rPr>
        <w:t>踏勘现场和投标预备会</w:t>
      </w:r>
      <w:bookmarkEnd w:id="13"/>
    </w:p>
    <w:p w14:paraId="280305C4">
      <w:pPr>
        <w:keepNext w:val="0"/>
        <w:keepLines w:val="0"/>
        <w:pageBreakBefore w:val="0"/>
        <w:widowControl/>
        <w:kinsoku/>
        <w:overflowPunct/>
        <w:topLinePunct w:val="0"/>
        <w:autoSpaceDE/>
        <w:autoSpaceDN/>
        <w:bidi w:val="0"/>
        <w:snapToGrid/>
        <w:spacing w:line="500" w:lineRule="exact"/>
        <w:ind w:firstLine="464" w:firstLineChars="200"/>
        <w:textAlignment w:val="auto"/>
        <w:outlineLvl w:val="9"/>
        <w:rPr>
          <w:rFonts w:hint="eastAsia" w:ascii="宋体" w:hAnsi="宋体" w:eastAsia="宋体" w:cs="宋体"/>
          <w:color w:val="000000"/>
          <w:spacing w:val="-4"/>
          <w:kern w:val="0"/>
          <w:sz w:val="24"/>
          <w:highlight w:val="none"/>
        </w:rPr>
      </w:pPr>
      <w:r>
        <w:rPr>
          <w:rFonts w:hint="eastAsia" w:ascii="宋体" w:hAnsi="宋体" w:eastAsia="宋体" w:cs="宋体"/>
          <w:color w:val="000000"/>
          <w:spacing w:val="-4"/>
          <w:kern w:val="0"/>
          <w:sz w:val="24"/>
          <w:highlight w:val="none"/>
        </w:rPr>
        <w:t>招标人不组织踏勘现场和招标答疑会。投标人可根据投标工作的需要自行前往进场踏勘，以便编制投标文件。踏勘现场的费用由投标人自行承担。</w:t>
      </w:r>
    </w:p>
    <w:p w14:paraId="17971F57">
      <w:pPr>
        <w:pStyle w:val="4"/>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left="0" w:leftChars="0" w:right="1791" w:firstLine="0" w:firstLineChars="0"/>
        <w:jc w:val="left"/>
        <w:textAlignment w:val="auto"/>
        <w:rPr>
          <w:rFonts w:hint="eastAsia" w:ascii="宋体" w:hAnsi="宋体" w:eastAsia="宋体" w:cs="宋体"/>
          <w:color w:val="000000"/>
        </w:rPr>
      </w:pPr>
      <w:bookmarkStart w:id="14" w:name="_Toc29"/>
      <w:r>
        <w:rPr>
          <w:rFonts w:hint="eastAsia" w:ascii="宋体" w:hAnsi="宋体" w:eastAsia="宋体" w:cs="宋体"/>
          <w:color w:val="000000"/>
          <w:lang w:val="en-US" w:eastAsia="zh-CN"/>
        </w:rPr>
        <w:t>九、</w:t>
      </w:r>
      <w:r>
        <w:rPr>
          <w:rFonts w:hint="eastAsia" w:ascii="宋体" w:hAnsi="宋体" w:eastAsia="宋体" w:cs="宋体"/>
          <w:color w:val="000000"/>
        </w:rPr>
        <w:t>发布公告的媒介</w:t>
      </w:r>
      <w:bookmarkEnd w:id="14"/>
    </w:p>
    <w:p w14:paraId="0C636A53">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lang w:val="en-US" w:eastAsia="zh-CN"/>
        </w:rPr>
        <w:t>9</w:t>
      </w:r>
      <w:r>
        <w:rPr>
          <w:rFonts w:hint="eastAsia" w:ascii="宋体" w:hAnsi="宋体" w:eastAsia="宋体" w:cs="宋体"/>
          <w:color w:val="000000"/>
          <w:sz w:val="24"/>
          <w:highlight w:val="none"/>
        </w:rPr>
        <w:t>.1广东省招标投标监管网（</w:t>
      </w:r>
      <w:r>
        <w:rPr>
          <w:rFonts w:hint="eastAsia" w:ascii="宋体" w:hAnsi="宋体" w:eastAsia="宋体" w:cs="宋体"/>
          <w:color w:val="000000"/>
          <w:sz w:val="24"/>
          <w:highlight w:val="none"/>
          <w:lang w:eastAsia="zh-CN"/>
        </w:rPr>
        <w:t>https://zbtb.gd.gov.cn/#/index</w:t>
      </w:r>
      <w:r>
        <w:rPr>
          <w:rFonts w:hint="eastAsia" w:ascii="宋体" w:hAnsi="宋体" w:eastAsia="宋体" w:cs="宋体"/>
          <w:color w:val="000000"/>
          <w:sz w:val="24"/>
          <w:highlight w:val="none"/>
        </w:rPr>
        <w:t>）</w:t>
      </w:r>
      <w:r>
        <w:rPr>
          <w:rFonts w:hint="eastAsia" w:ascii="宋体" w:hAnsi="宋体" w:cs="宋体"/>
          <w:color w:val="000000"/>
          <w:sz w:val="24"/>
          <w:highlight w:val="none"/>
          <w:lang w:eastAsia="zh-CN"/>
        </w:rPr>
        <w:t>。</w:t>
      </w:r>
    </w:p>
    <w:p w14:paraId="625D167B">
      <w:pPr>
        <w:pStyle w:val="18"/>
        <w:keepNext w:val="0"/>
        <w:keepLines w:val="0"/>
        <w:pageBreakBefore w:val="0"/>
        <w:kinsoku/>
        <w:wordWrap w:val="0"/>
        <w:overflowPunct/>
        <w:topLinePunct w:val="0"/>
        <w:autoSpaceDE/>
        <w:autoSpaceDN/>
        <w:bidi w:val="0"/>
        <w:adjustRightInd w:val="0"/>
        <w:snapToGrid/>
        <w:spacing w:line="500" w:lineRule="exact"/>
        <w:ind w:firstLine="480"/>
        <w:jc w:val="left"/>
        <w:textAlignment w:val="auto"/>
        <w:rPr>
          <w:rFonts w:hint="eastAsia" w:ascii="宋体" w:hAnsi="宋体" w:eastAsia="宋体" w:cs="宋体"/>
          <w:b/>
          <w:color w:val="000000"/>
          <w:spacing w:val="-4"/>
          <w:kern w:val="0"/>
          <w:sz w:val="24"/>
          <w:highlight w:val="none"/>
        </w:rPr>
      </w:pPr>
      <w:r>
        <w:rPr>
          <w:rFonts w:hint="eastAsia" w:ascii="宋体" w:hAnsi="宋体" w:eastAsia="宋体" w:cs="宋体"/>
          <w:color w:val="000000"/>
          <w:sz w:val="24"/>
          <w:highlight w:val="none"/>
          <w:lang w:val="en-US" w:eastAsia="zh-CN"/>
        </w:rPr>
        <w:t>9</w:t>
      </w:r>
      <w:r>
        <w:rPr>
          <w:rFonts w:hint="eastAsia" w:ascii="宋体" w:hAnsi="宋体" w:eastAsia="宋体" w:cs="宋体"/>
          <w:color w:val="000000"/>
          <w:sz w:val="24"/>
          <w:highlight w:val="none"/>
        </w:rPr>
        <w:t>.2全国公共资源交易平台（广东省·韶关市）（https://ygp.gdzwfw.gov.cn/ggzy-portal/#/440200/index）。</w:t>
      </w:r>
    </w:p>
    <w:p w14:paraId="6B4E8584">
      <w:pPr>
        <w:pStyle w:val="4"/>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left="0" w:leftChars="0" w:right="1791" w:firstLine="0" w:firstLineChars="0"/>
        <w:jc w:val="left"/>
        <w:textAlignment w:val="auto"/>
        <w:rPr>
          <w:rFonts w:hint="eastAsia" w:ascii="宋体" w:hAnsi="宋体" w:eastAsia="宋体" w:cs="宋体"/>
          <w:color w:val="000000"/>
        </w:rPr>
      </w:pPr>
      <w:bookmarkStart w:id="15" w:name="_Toc6898"/>
      <w:r>
        <w:rPr>
          <w:rFonts w:hint="eastAsia" w:ascii="宋体" w:hAnsi="宋体" w:eastAsia="宋体" w:cs="宋体"/>
          <w:color w:val="000000"/>
          <w:lang w:val="en-US" w:eastAsia="zh-CN"/>
        </w:rPr>
        <w:t>十、</w:t>
      </w:r>
      <w:r>
        <w:rPr>
          <w:rFonts w:hint="eastAsia" w:ascii="宋体" w:hAnsi="宋体" w:eastAsia="宋体" w:cs="宋体"/>
          <w:color w:val="000000"/>
        </w:rPr>
        <w:t>联系方式</w:t>
      </w:r>
      <w:bookmarkEnd w:id="15"/>
    </w:p>
    <w:tbl>
      <w:tblPr>
        <w:tblStyle w:val="15"/>
        <w:tblW w:w="9330" w:type="dxa"/>
        <w:tblInd w:w="101" w:type="dxa"/>
        <w:tblLayout w:type="fixed"/>
        <w:tblCellMar>
          <w:top w:w="0" w:type="dxa"/>
          <w:left w:w="108" w:type="dxa"/>
          <w:bottom w:w="0" w:type="dxa"/>
          <w:right w:w="108" w:type="dxa"/>
        </w:tblCellMar>
      </w:tblPr>
      <w:tblGrid>
        <w:gridCol w:w="1231"/>
        <w:gridCol w:w="3416"/>
        <w:gridCol w:w="1402"/>
        <w:gridCol w:w="3281"/>
      </w:tblGrid>
      <w:tr w14:paraId="53B427D5">
        <w:tblPrEx>
          <w:tblCellMar>
            <w:top w:w="0" w:type="dxa"/>
            <w:left w:w="108" w:type="dxa"/>
            <w:bottom w:w="0" w:type="dxa"/>
            <w:right w:w="108" w:type="dxa"/>
          </w:tblCellMar>
        </w:tblPrEx>
        <w:trPr>
          <w:trHeight w:val="775" w:hRule="atLeast"/>
        </w:trPr>
        <w:tc>
          <w:tcPr>
            <w:tcW w:w="1231" w:type="dxa"/>
            <w:noWrap w:val="0"/>
            <w:vAlign w:val="center"/>
          </w:tcPr>
          <w:p w14:paraId="35F8B235">
            <w:pPr>
              <w:keepNext w:val="0"/>
              <w:keepLines w:val="0"/>
              <w:pageBreakBefore w:val="0"/>
              <w:widowControl/>
              <w:kinsoku/>
              <w:overflowPunct/>
              <w:topLinePunct w:val="0"/>
              <w:autoSpaceDE/>
              <w:autoSpaceDN/>
              <w:bidi w:val="0"/>
              <w:snapToGrid/>
              <w:spacing w:line="500" w:lineRule="exact"/>
              <w:textAlignment w:val="auto"/>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招标人：</w:t>
            </w:r>
          </w:p>
        </w:tc>
        <w:tc>
          <w:tcPr>
            <w:tcW w:w="3416" w:type="dxa"/>
            <w:noWrap w:val="0"/>
            <w:vAlign w:val="center"/>
          </w:tcPr>
          <w:p w14:paraId="6306D283">
            <w:pPr>
              <w:keepNext w:val="0"/>
              <w:keepLines w:val="0"/>
              <w:pageBreakBefore w:val="0"/>
              <w:widowControl/>
              <w:kinsoku/>
              <w:overflowPunct/>
              <w:topLinePunct w:val="0"/>
              <w:autoSpaceDE/>
              <w:autoSpaceDN/>
              <w:bidi w:val="0"/>
              <w:snapToGrid/>
              <w:spacing w:line="500" w:lineRule="exact"/>
              <w:textAlignment w:val="auto"/>
              <w:rPr>
                <w:rFonts w:hint="eastAsia" w:ascii="宋体" w:hAnsi="宋体" w:eastAsia="宋体" w:cs="宋体"/>
                <w:color w:val="000000"/>
                <w:kern w:val="0"/>
                <w:sz w:val="24"/>
                <w:highlight w:val="none"/>
                <w:lang w:eastAsia="zh-CN"/>
              </w:rPr>
            </w:pPr>
            <w:r>
              <w:rPr>
                <w:rFonts w:hint="eastAsia" w:ascii="宋体" w:hAnsi="宋体" w:eastAsia="宋体" w:cs="宋体"/>
                <w:sz w:val="24"/>
                <w:szCs w:val="24"/>
              </w:rPr>
              <w:t>韶关市武江区江湾镇人民政府</w:t>
            </w:r>
          </w:p>
        </w:tc>
        <w:tc>
          <w:tcPr>
            <w:tcW w:w="1402" w:type="dxa"/>
            <w:noWrap w:val="0"/>
            <w:vAlign w:val="center"/>
          </w:tcPr>
          <w:p w14:paraId="0755B3E2">
            <w:pPr>
              <w:keepNext w:val="0"/>
              <w:keepLines w:val="0"/>
              <w:pageBreakBefore w:val="0"/>
              <w:widowControl/>
              <w:kinsoku/>
              <w:overflowPunct/>
              <w:topLinePunct w:val="0"/>
              <w:autoSpaceDE/>
              <w:autoSpaceDN/>
              <w:bidi w:val="0"/>
              <w:snapToGrid/>
              <w:spacing w:line="500" w:lineRule="exact"/>
              <w:jc w:val="center"/>
              <w:textAlignment w:val="auto"/>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招标代理机构：</w:t>
            </w:r>
          </w:p>
        </w:tc>
        <w:tc>
          <w:tcPr>
            <w:tcW w:w="3281" w:type="dxa"/>
            <w:noWrap w:val="0"/>
            <w:vAlign w:val="center"/>
          </w:tcPr>
          <w:p w14:paraId="5A1F6718">
            <w:pPr>
              <w:keepNext w:val="0"/>
              <w:keepLines w:val="0"/>
              <w:pageBreakBefore w:val="0"/>
              <w:widowControl/>
              <w:kinsoku/>
              <w:overflowPunct/>
              <w:topLinePunct w:val="0"/>
              <w:autoSpaceDE/>
              <w:autoSpaceDN/>
              <w:bidi w:val="0"/>
              <w:snapToGrid/>
              <w:spacing w:line="500" w:lineRule="exact"/>
              <w:textAlignment w:val="auto"/>
              <w:rPr>
                <w:rFonts w:hint="eastAsia" w:ascii="宋体" w:hAnsi="宋体" w:eastAsia="宋体" w:cs="宋体"/>
                <w:color w:val="000000"/>
                <w:kern w:val="0"/>
                <w:sz w:val="24"/>
                <w:highlight w:val="none"/>
                <w:lang w:eastAsia="zh-CN"/>
              </w:rPr>
            </w:pPr>
            <w:r>
              <w:rPr>
                <w:rFonts w:hint="eastAsia" w:ascii="宋体" w:hAnsi="宋体" w:eastAsia="宋体" w:cs="宋体"/>
                <w:color w:val="auto"/>
                <w:sz w:val="24"/>
                <w:szCs w:val="24"/>
                <w:highlight w:val="none"/>
                <w:lang w:val="en-US" w:eastAsia="zh-CN"/>
              </w:rPr>
              <w:t>广东明正项目管理有限公司</w:t>
            </w:r>
          </w:p>
        </w:tc>
      </w:tr>
      <w:tr w14:paraId="11F87E87">
        <w:tblPrEx>
          <w:tblCellMar>
            <w:top w:w="0" w:type="dxa"/>
            <w:left w:w="108" w:type="dxa"/>
            <w:bottom w:w="0" w:type="dxa"/>
            <w:right w:w="108" w:type="dxa"/>
          </w:tblCellMar>
        </w:tblPrEx>
        <w:trPr>
          <w:trHeight w:val="790" w:hRule="atLeast"/>
        </w:trPr>
        <w:tc>
          <w:tcPr>
            <w:tcW w:w="1231" w:type="dxa"/>
            <w:noWrap w:val="0"/>
            <w:vAlign w:val="center"/>
          </w:tcPr>
          <w:p w14:paraId="5ECB5C6E">
            <w:pPr>
              <w:keepNext w:val="0"/>
              <w:keepLines w:val="0"/>
              <w:pageBreakBefore w:val="0"/>
              <w:widowControl/>
              <w:kinsoku/>
              <w:overflowPunct/>
              <w:topLinePunct w:val="0"/>
              <w:autoSpaceDE/>
              <w:autoSpaceDN/>
              <w:bidi w:val="0"/>
              <w:snapToGrid/>
              <w:spacing w:line="500" w:lineRule="exact"/>
              <w:textAlignment w:val="auto"/>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地  址：</w:t>
            </w:r>
          </w:p>
        </w:tc>
        <w:tc>
          <w:tcPr>
            <w:tcW w:w="3416" w:type="dxa"/>
            <w:noWrap w:val="0"/>
            <w:vAlign w:val="center"/>
          </w:tcPr>
          <w:p w14:paraId="694B5926">
            <w:pPr>
              <w:keepNext w:val="0"/>
              <w:keepLines w:val="0"/>
              <w:pageBreakBefore w:val="0"/>
              <w:widowControl/>
              <w:kinsoku/>
              <w:overflowPunct/>
              <w:topLinePunct w:val="0"/>
              <w:autoSpaceDE/>
              <w:autoSpaceDN/>
              <w:bidi w:val="0"/>
              <w:snapToGrid/>
              <w:spacing w:line="500" w:lineRule="exact"/>
              <w:textAlignment w:val="auto"/>
              <w:rPr>
                <w:rFonts w:hint="eastAsia" w:ascii="宋体" w:hAnsi="宋体" w:eastAsia="宋体" w:cs="宋体"/>
                <w:color w:val="000000"/>
                <w:kern w:val="0"/>
                <w:sz w:val="24"/>
                <w:highlight w:val="none"/>
              </w:rPr>
            </w:pPr>
            <w:r>
              <w:rPr>
                <w:rFonts w:hint="eastAsia" w:ascii="宋体" w:hAnsi="宋体" w:eastAsia="宋体" w:cs="宋体"/>
                <w:sz w:val="24"/>
                <w:szCs w:val="24"/>
              </w:rPr>
              <w:t>韶关市武江区江湾街6号</w:t>
            </w:r>
          </w:p>
        </w:tc>
        <w:tc>
          <w:tcPr>
            <w:tcW w:w="1402" w:type="dxa"/>
            <w:noWrap w:val="0"/>
            <w:vAlign w:val="center"/>
          </w:tcPr>
          <w:p w14:paraId="6C9A5BE1">
            <w:pPr>
              <w:keepNext w:val="0"/>
              <w:keepLines w:val="0"/>
              <w:pageBreakBefore w:val="0"/>
              <w:widowControl/>
              <w:kinsoku/>
              <w:overflowPunct/>
              <w:topLinePunct w:val="0"/>
              <w:autoSpaceDE/>
              <w:autoSpaceDN/>
              <w:bidi w:val="0"/>
              <w:snapToGrid/>
              <w:spacing w:line="500" w:lineRule="exact"/>
              <w:textAlignment w:val="auto"/>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地    址：</w:t>
            </w:r>
          </w:p>
        </w:tc>
        <w:tc>
          <w:tcPr>
            <w:tcW w:w="3281" w:type="dxa"/>
            <w:noWrap w:val="0"/>
            <w:vAlign w:val="center"/>
          </w:tcPr>
          <w:p w14:paraId="354FFFA4">
            <w:pPr>
              <w:keepNext w:val="0"/>
              <w:keepLines w:val="0"/>
              <w:pageBreakBefore w:val="0"/>
              <w:widowControl/>
              <w:kinsoku/>
              <w:overflowPunct/>
              <w:topLinePunct w:val="0"/>
              <w:autoSpaceDE/>
              <w:autoSpaceDN/>
              <w:bidi w:val="0"/>
              <w:snapToGrid/>
              <w:spacing w:line="500" w:lineRule="exact"/>
              <w:textAlignment w:val="auto"/>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韶关市武江区惠民北路428号7楼</w:t>
            </w:r>
          </w:p>
        </w:tc>
      </w:tr>
      <w:tr w14:paraId="24C6B0B4">
        <w:tblPrEx>
          <w:tblCellMar>
            <w:top w:w="0" w:type="dxa"/>
            <w:left w:w="108" w:type="dxa"/>
            <w:bottom w:w="0" w:type="dxa"/>
            <w:right w:w="108" w:type="dxa"/>
          </w:tblCellMar>
        </w:tblPrEx>
        <w:trPr>
          <w:trHeight w:val="550" w:hRule="atLeast"/>
        </w:trPr>
        <w:tc>
          <w:tcPr>
            <w:tcW w:w="1231" w:type="dxa"/>
            <w:noWrap w:val="0"/>
            <w:vAlign w:val="center"/>
          </w:tcPr>
          <w:p w14:paraId="4069902F">
            <w:pPr>
              <w:keepNext w:val="0"/>
              <w:keepLines w:val="0"/>
              <w:pageBreakBefore w:val="0"/>
              <w:widowControl/>
              <w:kinsoku/>
              <w:overflowPunct/>
              <w:topLinePunct w:val="0"/>
              <w:autoSpaceDE/>
              <w:autoSpaceDN/>
              <w:bidi w:val="0"/>
              <w:snapToGrid/>
              <w:spacing w:line="500" w:lineRule="exact"/>
              <w:textAlignment w:val="auto"/>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联系人：</w:t>
            </w:r>
          </w:p>
        </w:tc>
        <w:tc>
          <w:tcPr>
            <w:tcW w:w="3416" w:type="dxa"/>
            <w:noWrap w:val="0"/>
            <w:vAlign w:val="center"/>
          </w:tcPr>
          <w:p w14:paraId="093F2BA3">
            <w:pPr>
              <w:keepNext w:val="0"/>
              <w:keepLines w:val="0"/>
              <w:pageBreakBefore w:val="0"/>
              <w:widowControl/>
              <w:kinsoku/>
              <w:overflowPunct/>
              <w:topLinePunct w:val="0"/>
              <w:autoSpaceDE/>
              <w:autoSpaceDN/>
              <w:bidi w:val="0"/>
              <w:snapToGrid/>
              <w:spacing w:line="500" w:lineRule="exact"/>
              <w:textAlignment w:val="auto"/>
              <w:rPr>
                <w:rFonts w:hint="eastAsia" w:ascii="宋体" w:hAnsi="宋体" w:eastAsia="宋体" w:cs="宋体"/>
                <w:color w:val="000000"/>
                <w:kern w:val="0"/>
                <w:sz w:val="24"/>
                <w:highlight w:val="none"/>
                <w:lang w:val="en-US" w:eastAsia="zh-CN"/>
              </w:rPr>
            </w:pPr>
            <w:r>
              <w:rPr>
                <w:rFonts w:hint="eastAsia" w:ascii="宋体" w:hAnsi="宋体" w:eastAsia="宋体" w:cs="宋体"/>
                <w:sz w:val="24"/>
                <w:szCs w:val="24"/>
                <w:lang w:eastAsia="zh-CN"/>
              </w:rPr>
              <w:t>董工</w:t>
            </w:r>
          </w:p>
        </w:tc>
        <w:tc>
          <w:tcPr>
            <w:tcW w:w="1402" w:type="dxa"/>
            <w:noWrap w:val="0"/>
            <w:vAlign w:val="center"/>
          </w:tcPr>
          <w:p w14:paraId="53457A23">
            <w:pPr>
              <w:keepNext w:val="0"/>
              <w:keepLines w:val="0"/>
              <w:pageBreakBefore w:val="0"/>
              <w:widowControl/>
              <w:kinsoku/>
              <w:overflowPunct/>
              <w:topLinePunct w:val="0"/>
              <w:autoSpaceDE/>
              <w:autoSpaceDN/>
              <w:bidi w:val="0"/>
              <w:snapToGrid/>
              <w:spacing w:line="500" w:lineRule="exact"/>
              <w:textAlignment w:val="auto"/>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联 系 人：</w:t>
            </w:r>
          </w:p>
        </w:tc>
        <w:tc>
          <w:tcPr>
            <w:tcW w:w="3281" w:type="dxa"/>
            <w:noWrap w:val="0"/>
            <w:vAlign w:val="center"/>
          </w:tcPr>
          <w:p w14:paraId="7DB7E288">
            <w:pPr>
              <w:keepNext w:val="0"/>
              <w:keepLines w:val="0"/>
              <w:pageBreakBefore w:val="0"/>
              <w:widowControl/>
              <w:kinsoku/>
              <w:overflowPunct/>
              <w:topLinePunct w:val="0"/>
              <w:autoSpaceDE/>
              <w:autoSpaceDN/>
              <w:bidi w:val="0"/>
              <w:snapToGrid/>
              <w:spacing w:line="500" w:lineRule="exact"/>
              <w:textAlignment w:val="auto"/>
              <w:rPr>
                <w:rFonts w:hint="eastAsia" w:ascii="宋体" w:hAnsi="宋体" w:eastAsia="宋体" w:cs="宋体"/>
                <w:color w:val="000000"/>
                <w:kern w:val="0"/>
                <w:sz w:val="24"/>
                <w:highlight w:val="none"/>
                <w:lang w:val="en-US" w:eastAsia="zh-CN"/>
              </w:rPr>
            </w:pPr>
            <w:r>
              <w:rPr>
                <w:rFonts w:hint="eastAsia" w:ascii="宋体" w:hAnsi="宋体" w:eastAsia="宋体" w:cs="宋体"/>
                <w:color w:val="auto"/>
                <w:sz w:val="24"/>
                <w:szCs w:val="24"/>
                <w:highlight w:val="none"/>
                <w:lang w:val="en-US" w:eastAsia="zh-CN"/>
              </w:rPr>
              <w:t>杨工、潘工</w:t>
            </w:r>
          </w:p>
        </w:tc>
      </w:tr>
      <w:tr w14:paraId="2A31EDF3">
        <w:tblPrEx>
          <w:tblCellMar>
            <w:top w:w="0" w:type="dxa"/>
            <w:left w:w="108" w:type="dxa"/>
            <w:bottom w:w="0" w:type="dxa"/>
            <w:right w:w="108" w:type="dxa"/>
          </w:tblCellMar>
        </w:tblPrEx>
        <w:trPr>
          <w:trHeight w:val="573" w:hRule="atLeast"/>
        </w:trPr>
        <w:tc>
          <w:tcPr>
            <w:tcW w:w="1231" w:type="dxa"/>
            <w:noWrap w:val="0"/>
            <w:vAlign w:val="center"/>
          </w:tcPr>
          <w:p w14:paraId="7B47BB71">
            <w:pPr>
              <w:keepNext w:val="0"/>
              <w:keepLines w:val="0"/>
              <w:pageBreakBefore w:val="0"/>
              <w:widowControl/>
              <w:kinsoku/>
              <w:overflowPunct/>
              <w:topLinePunct w:val="0"/>
              <w:autoSpaceDE/>
              <w:autoSpaceDN/>
              <w:bidi w:val="0"/>
              <w:snapToGrid/>
              <w:spacing w:line="500" w:lineRule="exact"/>
              <w:textAlignment w:val="auto"/>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电  话：</w:t>
            </w:r>
          </w:p>
        </w:tc>
        <w:tc>
          <w:tcPr>
            <w:tcW w:w="3416" w:type="dxa"/>
            <w:noWrap w:val="0"/>
            <w:vAlign w:val="center"/>
          </w:tcPr>
          <w:p w14:paraId="33411F98">
            <w:pPr>
              <w:keepNext w:val="0"/>
              <w:keepLines w:val="0"/>
              <w:pageBreakBefore w:val="0"/>
              <w:widowControl/>
              <w:kinsoku/>
              <w:overflowPunct/>
              <w:topLinePunct w:val="0"/>
              <w:autoSpaceDE/>
              <w:autoSpaceDN/>
              <w:bidi w:val="0"/>
              <w:snapToGrid/>
              <w:spacing w:line="500" w:lineRule="exact"/>
              <w:textAlignment w:val="auto"/>
              <w:rPr>
                <w:rFonts w:hint="eastAsia" w:ascii="宋体" w:hAnsi="宋体" w:eastAsia="宋体" w:cs="宋体"/>
                <w:color w:val="000000"/>
                <w:kern w:val="0"/>
                <w:sz w:val="24"/>
                <w:highlight w:val="none"/>
                <w:lang w:val="en-US" w:eastAsia="zh-CN"/>
              </w:rPr>
            </w:pPr>
            <w:r>
              <w:rPr>
                <w:rFonts w:hint="eastAsia" w:ascii="宋体" w:hAnsi="宋体" w:eastAsia="宋体" w:cs="宋体"/>
                <w:sz w:val="24"/>
                <w:szCs w:val="24"/>
              </w:rPr>
              <w:t>0751-6446388</w:t>
            </w:r>
          </w:p>
        </w:tc>
        <w:tc>
          <w:tcPr>
            <w:tcW w:w="1402" w:type="dxa"/>
            <w:noWrap w:val="0"/>
            <w:vAlign w:val="center"/>
          </w:tcPr>
          <w:p w14:paraId="71467097">
            <w:pPr>
              <w:keepNext w:val="0"/>
              <w:keepLines w:val="0"/>
              <w:pageBreakBefore w:val="0"/>
              <w:widowControl/>
              <w:kinsoku/>
              <w:overflowPunct/>
              <w:topLinePunct w:val="0"/>
              <w:autoSpaceDE/>
              <w:autoSpaceDN/>
              <w:bidi w:val="0"/>
              <w:snapToGrid/>
              <w:spacing w:line="500" w:lineRule="exact"/>
              <w:textAlignment w:val="auto"/>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电    话：</w:t>
            </w:r>
          </w:p>
        </w:tc>
        <w:tc>
          <w:tcPr>
            <w:tcW w:w="3281" w:type="dxa"/>
            <w:noWrap w:val="0"/>
            <w:vAlign w:val="center"/>
          </w:tcPr>
          <w:p w14:paraId="2A754F0A">
            <w:pPr>
              <w:keepNext w:val="0"/>
              <w:keepLines w:val="0"/>
              <w:pageBreakBefore w:val="0"/>
              <w:widowControl/>
              <w:kinsoku/>
              <w:overflowPunct/>
              <w:topLinePunct w:val="0"/>
              <w:autoSpaceDE/>
              <w:autoSpaceDN/>
              <w:bidi w:val="0"/>
              <w:snapToGrid/>
              <w:spacing w:line="500" w:lineRule="exact"/>
              <w:textAlignment w:val="auto"/>
              <w:rPr>
                <w:rFonts w:hint="eastAsia" w:ascii="宋体" w:hAnsi="宋体" w:eastAsia="宋体" w:cs="宋体"/>
                <w:color w:val="000000"/>
                <w:kern w:val="0"/>
                <w:sz w:val="24"/>
                <w:highlight w:val="none"/>
                <w:lang w:val="en-US" w:eastAsia="zh-CN"/>
              </w:rPr>
            </w:pPr>
            <w:r>
              <w:rPr>
                <w:rFonts w:hint="eastAsia" w:ascii="宋体" w:hAnsi="宋体" w:eastAsia="宋体" w:cs="宋体"/>
                <w:color w:val="auto"/>
                <w:sz w:val="24"/>
                <w:szCs w:val="24"/>
                <w:highlight w:val="none"/>
                <w:lang w:val="en-US" w:eastAsia="zh-CN"/>
              </w:rPr>
              <w:t>0751-8606998</w:t>
            </w:r>
          </w:p>
        </w:tc>
      </w:tr>
    </w:tbl>
    <w:p w14:paraId="5F55FE10">
      <w:pPr>
        <w:pStyle w:val="4"/>
        <w:bidi w:val="0"/>
        <w:ind w:left="0" w:leftChars="0" w:firstLine="0" w:firstLineChars="0"/>
        <w:jc w:val="left"/>
        <w:rPr>
          <w:rFonts w:hint="eastAsia" w:ascii="宋体" w:hAnsi="宋体" w:eastAsia="宋体" w:cs="宋体"/>
          <w:color w:val="000000"/>
        </w:rPr>
      </w:pPr>
      <w:bookmarkStart w:id="16" w:name="_Toc28168"/>
      <w:bookmarkStart w:id="17" w:name="_Toc24565"/>
    </w:p>
    <w:p w14:paraId="7F9024E5">
      <w:pPr>
        <w:pStyle w:val="4"/>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left="0" w:leftChars="0" w:right="0" w:firstLine="0" w:firstLineChars="0"/>
        <w:jc w:val="left"/>
        <w:textAlignment w:val="auto"/>
        <w:rPr>
          <w:rFonts w:hint="eastAsia" w:ascii="宋体" w:hAnsi="宋体" w:eastAsia="宋体" w:cs="宋体"/>
          <w:color w:val="000000"/>
        </w:rPr>
      </w:pPr>
    </w:p>
    <w:p w14:paraId="0E6FAE79">
      <w:pPr>
        <w:pStyle w:val="4"/>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left="0" w:leftChars="0" w:right="0" w:firstLine="0" w:firstLineChars="0"/>
        <w:jc w:val="left"/>
        <w:textAlignment w:val="auto"/>
        <w:rPr>
          <w:rFonts w:hint="eastAsia" w:ascii="宋体" w:hAnsi="宋体" w:eastAsia="宋体" w:cs="宋体"/>
          <w:color w:val="000000"/>
        </w:rPr>
      </w:pPr>
      <w:r>
        <w:rPr>
          <w:rFonts w:hint="eastAsia" w:ascii="宋体" w:hAnsi="宋体" w:eastAsia="宋体" w:cs="宋体"/>
          <w:color w:val="000000"/>
        </w:rPr>
        <w:t>重要事项时间地点一览表</w:t>
      </w:r>
      <w:bookmarkEnd w:id="16"/>
      <w:bookmarkEnd w:id="17"/>
    </w:p>
    <w:tbl>
      <w:tblPr>
        <w:tblStyle w:val="15"/>
        <w:tblW w:w="91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0"/>
        <w:gridCol w:w="1455"/>
        <w:gridCol w:w="7124"/>
      </w:tblGrid>
      <w:tr w14:paraId="333C2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600" w:type="dxa"/>
            <w:noWrap w:val="0"/>
            <w:vAlign w:val="center"/>
          </w:tcPr>
          <w:p w14:paraId="68354EEF">
            <w:pPr>
              <w:pStyle w:val="18"/>
              <w:keepNext w:val="0"/>
              <w:keepLines w:val="0"/>
              <w:widowControl w:val="0"/>
              <w:suppressLineNumbers w:val="0"/>
              <w:pBdr>
                <w:top w:val="none" w:color="auto" w:sz="0" w:space="0"/>
                <w:left w:val="none" w:color="auto" w:sz="0" w:space="0"/>
                <w:bottom w:val="none" w:color="auto" w:sz="0" w:space="0"/>
                <w:right w:val="none" w:color="auto" w:sz="0" w:space="0"/>
              </w:pBdr>
              <w:tabs>
                <w:tab w:val="left" w:pos="1890"/>
              </w:tabs>
              <w:wordWrap w:val="0"/>
              <w:adjustRightInd w:val="0"/>
              <w:snapToGrid w:val="0"/>
              <w:spacing w:before="0" w:beforeLines="0" w:beforeAutospacing="0" w:after="260" w:afterLines="0" w:afterAutospacing="0" w:line="440" w:lineRule="exact"/>
              <w:ind w:left="0" w:leftChars="0" w:right="0" w:rightChars="0"/>
              <w:jc w:val="left"/>
              <w:rPr>
                <w:rFonts w:hint="eastAsia" w:ascii="宋体" w:hAnsi="宋体" w:eastAsia="宋体" w:cs="宋体"/>
                <w:color w:val="auto"/>
                <w:sz w:val="24"/>
                <w:szCs w:val="24"/>
              </w:rPr>
            </w:pPr>
            <w:r>
              <w:rPr>
                <w:rFonts w:hint="eastAsia" w:ascii="宋体" w:hAnsi="宋体" w:eastAsia="宋体" w:cs="宋体"/>
                <w:b/>
                <w:bCs/>
                <w:caps w:val="0"/>
                <w:smallCaps w:val="0"/>
                <w:snapToGrid w:val="0"/>
                <w:color w:val="auto"/>
                <w:spacing w:val="0"/>
                <w:kern w:val="0"/>
                <w:sz w:val="24"/>
                <w:szCs w:val="24"/>
                <w:highlight w:val="none"/>
                <w:lang w:val="en-US" w:eastAsia="zh-CN"/>
              </w:rPr>
              <w:t xml:space="preserve"> </w:t>
            </w:r>
            <w:r>
              <w:rPr>
                <w:rFonts w:hint="eastAsia" w:ascii="宋体" w:hAnsi="宋体" w:eastAsia="宋体" w:cs="宋体"/>
                <w:i w:val="0"/>
                <w:caps w:val="0"/>
                <w:color w:val="auto"/>
                <w:spacing w:val="0"/>
                <w:sz w:val="24"/>
                <w:szCs w:val="24"/>
              </w:rPr>
              <w:t>1</w:t>
            </w:r>
          </w:p>
        </w:tc>
        <w:tc>
          <w:tcPr>
            <w:tcW w:w="1455" w:type="dxa"/>
            <w:noWrap w:val="0"/>
            <w:vAlign w:val="center"/>
          </w:tcPr>
          <w:p w14:paraId="1C77B35E">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招标公告</w:t>
            </w:r>
          </w:p>
          <w:p w14:paraId="1E2ACBD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发布时间</w:t>
            </w:r>
          </w:p>
        </w:tc>
        <w:tc>
          <w:tcPr>
            <w:tcW w:w="7124" w:type="dxa"/>
            <w:noWrap w:val="0"/>
            <w:vAlign w:val="center"/>
          </w:tcPr>
          <w:p w14:paraId="60893754">
            <w:pPr>
              <w:pStyle w:val="14"/>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240" w:leftChars="0" w:right="0" w:rightChars="0" w:hanging="240" w:hangingChars="100"/>
              <w:jc w:val="left"/>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 </w:t>
            </w:r>
            <w:r>
              <w:rPr>
                <w:rFonts w:hint="eastAsia" w:ascii="宋体" w:eastAsia="宋体" w:cs="宋体"/>
                <w:i w:val="0"/>
                <w:caps w:val="0"/>
                <w:color w:val="auto"/>
                <w:spacing w:val="0"/>
                <w:sz w:val="24"/>
                <w:szCs w:val="24"/>
                <w:u w:val="single"/>
                <w:lang w:val="en-US" w:eastAsia="zh-CN"/>
              </w:rPr>
              <w:t>2026</w:t>
            </w:r>
            <w:r>
              <w:rPr>
                <w:rFonts w:hint="eastAsia" w:ascii="宋体" w:hAnsi="宋体" w:eastAsia="宋体" w:cs="宋体"/>
                <w:i w:val="0"/>
                <w:caps w:val="0"/>
                <w:color w:val="auto"/>
                <w:spacing w:val="0"/>
                <w:sz w:val="24"/>
                <w:szCs w:val="24"/>
              </w:rPr>
              <w:t>年</w:t>
            </w:r>
            <w:r>
              <w:rPr>
                <w:rFonts w:hint="eastAsia" w:ascii="宋体" w:eastAsia="宋体" w:cs="宋体"/>
                <w:i w:val="0"/>
                <w:caps w:val="0"/>
                <w:color w:val="auto"/>
                <w:spacing w:val="0"/>
                <w:sz w:val="24"/>
                <w:szCs w:val="24"/>
                <w:u w:val="single"/>
                <w:lang w:val="en-US" w:eastAsia="zh-CN"/>
              </w:rPr>
              <w:t>01</w:t>
            </w:r>
            <w:r>
              <w:rPr>
                <w:rFonts w:hint="eastAsia" w:ascii="宋体" w:hAnsi="宋体" w:eastAsia="宋体" w:cs="宋体"/>
                <w:i w:val="0"/>
                <w:caps w:val="0"/>
                <w:color w:val="auto"/>
                <w:spacing w:val="0"/>
                <w:sz w:val="24"/>
                <w:szCs w:val="24"/>
              </w:rPr>
              <w:t>月</w:t>
            </w:r>
            <w:r>
              <w:rPr>
                <w:rFonts w:hint="eastAsia" w:ascii="宋体" w:eastAsia="宋体" w:cs="宋体"/>
                <w:i w:val="0"/>
                <w:caps w:val="0"/>
                <w:color w:val="auto"/>
                <w:spacing w:val="0"/>
                <w:sz w:val="24"/>
                <w:szCs w:val="24"/>
                <w:u w:val="single"/>
                <w:lang w:val="en-US" w:eastAsia="zh-CN"/>
              </w:rPr>
              <w:t>16</w:t>
            </w:r>
            <w:r>
              <w:rPr>
                <w:rFonts w:hint="eastAsia" w:ascii="宋体" w:hAnsi="宋体" w:eastAsia="宋体" w:cs="宋体"/>
                <w:i w:val="0"/>
                <w:caps w:val="0"/>
                <w:color w:val="auto"/>
                <w:spacing w:val="0"/>
                <w:sz w:val="24"/>
                <w:szCs w:val="24"/>
              </w:rPr>
              <w:t>日</w:t>
            </w:r>
            <w:r>
              <w:rPr>
                <w:rFonts w:hint="eastAsia" w:ascii="宋体" w:eastAsia="宋体" w:cs="宋体"/>
                <w:i w:val="0"/>
                <w:caps w:val="0"/>
                <w:color w:val="auto"/>
                <w:spacing w:val="0"/>
                <w:sz w:val="24"/>
                <w:szCs w:val="24"/>
                <w:u w:val="single"/>
                <w:lang w:val="en-US" w:eastAsia="zh-CN"/>
              </w:rPr>
              <w:t>17</w:t>
            </w:r>
            <w:r>
              <w:rPr>
                <w:rFonts w:hint="eastAsia" w:ascii="宋体" w:hAnsi="宋体" w:eastAsia="宋体" w:cs="宋体"/>
                <w:i w:val="0"/>
                <w:caps w:val="0"/>
                <w:color w:val="auto"/>
                <w:spacing w:val="0"/>
                <w:sz w:val="24"/>
                <w:szCs w:val="24"/>
              </w:rPr>
              <w:t>时</w:t>
            </w:r>
            <w:r>
              <w:rPr>
                <w:rFonts w:hint="eastAsia" w:ascii="宋体" w:eastAsia="宋体" w:cs="宋体"/>
                <w:i w:val="0"/>
                <w:caps w:val="0"/>
                <w:color w:val="auto"/>
                <w:spacing w:val="0"/>
                <w:sz w:val="24"/>
                <w:szCs w:val="24"/>
                <w:u w:val="single"/>
                <w:lang w:val="en-US" w:eastAsia="zh-CN"/>
              </w:rPr>
              <w:t>00</w:t>
            </w:r>
            <w:r>
              <w:rPr>
                <w:rFonts w:hint="eastAsia" w:ascii="宋体" w:hAnsi="宋体" w:eastAsia="宋体" w:cs="宋体"/>
                <w:i w:val="0"/>
                <w:caps w:val="0"/>
                <w:color w:val="auto"/>
                <w:spacing w:val="0"/>
                <w:sz w:val="24"/>
                <w:szCs w:val="24"/>
              </w:rPr>
              <w:t>分</w:t>
            </w:r>
          </w:p>
        </w:tc>
      </w:tr>
      <w:tr w14:paraId="47E2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600" w:type="dxa"/>
            <w:noWrap w:val="0"/>
            <w:vAlign w:val="center"/>
          </w:tcPr>
          <w:p w14:paraId="27F517FC">
            <w:pPr>
              <w:pStyle w:val="14"/>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2</w:t>
            </w:r>
          </w:p>
        </w:tc>
        <w:tc>
          <w:tcPr>
            <w:tcW w:w="1455" w:type="dxa"/>
            <w:noWrap w:val="0"/>
            <w:vAlign w:val="center"/>
          </w:tcPr>
          <w:p w14:paraId="48FEC467">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lang w:val="en-US" w:eastAsia="zh-CN"/>
              </w:rPr>
              <w:t>获取招标文件截止时</w:t>
            </w:r>
            <w:r>
              <w:rPr>
                <w:rFonts w:hint="eastAsia" w:ascii="宋体" w:hAnsi="宋体" w:eastAsia="宋体" w:cs="宋体"/>
                <w:i w:val="0"/>
                <w:caps w:val="0"/>
                <w:color w:val="auto"/>
                <w:spacing w:val="0"/>
                <w:sz w:val="24"/>
                <w:szCs w:val="24"/>
              </w:rPr>
              <w:t>间</w:t>
            </w:r>
          </w:p>
        </w:tc>
        <w:tc>
          <w:tcPr>
            <w:tcW w:w="7124" w:type="dxa"/>
            <w:noWrap w:val="0"/>
            <w:vAlign w:val="center"/>
          </w:tcPr>
          <w:p w14:paraId="215BB83C">
            <w:pPr>
              <w:pStyle w:val="14"/>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left"/>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 </w:t>
            </w:r>
            <w:r>
              <w:rPr>
                <w:rFonts w:hint="eastAsia" w:ascii="宋体" w:eastAsia="宋体" w:cs="宋体"/>
                <w:i w:val="0"/>
                <w:caps w:val="0"/>
                <w:color w:val="auto"/>
                <w:spacing w:val="0"/>
                <w:sz w:val="24"/>
                <w:szCs w:val="24"/>
                <w:u w:val="single"/>
                <w:lang w:val="en-US" w:eastAsia="zh-CN"/>
              </w:rPr>
              <w:t>2026</w:t>
            </w:r>
            <w:r>
              <w:rPr>
                <w:rFonts w:hint="eastAsia" w:ascii="宋体" w:hAnsi="宋体" w:eastAsia="宋体" w:cs="宋体"/>
                <w:i w:val="0"/>
                <w:caps w:val="0"/>
                <w:color w:val="auto"/>
                <w:spacing w:val="0"/>
                <w:sz w:val="24"/>
                <w:szCs w:val="24"/>
              </w:rPr>
              <w:t>年</w:t>
            </w:r>
            <w:r>
              <w:rPr>
                <w:rFonts w:hint="eastAsia" w:ascii="宋体" w:eastAsia="宋体" w:cs="宋体"/>
                <w:i w:val="0"/>
                <w:caps w:val="0"/>
                <w:color w:val="auto"/>
                <w:spacing w:val="0"/>
                <w:sz w:val="24"/>
                <w:szCs w:val="24"/>
                <w:u w:val="single"/>
                <w:lang w:val="en-US" w:eastAsia="zh-CN"/>
              </w:rPr>
              <w:t>02</w:t>
            </w:r>
            <w:r>
              <w:rPr>
                <w:rFonts w:hint="eastAsia" w:ascii="宋体" w:hAnsi="宋体" w:eastAsia="宋体" w:cs="宋体"/>
                <w:i w:val="0"/>
                <w:caps w:val="0"/>
                <w:color w:val="auto"/>
                <w:spacing w:val="0"/>
                <w:sz w:val="24"/>
                <w:szCs w:val="24"/>
              </w:rPr>
              <w:t>月</w:t>
            </w:r>
            <w:r>
              <w:rPr>
                <w:rFonts w:hint="eastAsia" w:ascii="宋体" w:eastAsia="宋体" w:cs="宋体"/>
                <w:i w:val="0"/>
                <w:caps w:val="0"/>
                <w:color w:val="auto"/>
                <w:spacing w:val="0"/>
                <w:sz w:val="24"/>
                <w:szCs w:val="24"/>
                <w:u w:val="single"/>
                <w:lang w:val="en-US" w:eastAsia="zh-CN"/>
              </w:rPr>
              <w:t>06</w:t>
            </w:r>
            <w:r>
              <w:rPr>
                <w:rFonts w:hint="eastAsia" w:ascii="宋体" w:hAnsi="宋体" w:eastAsia="宋体" w:cs="宋体"/>
                <w:i w:val="0"/>
                <w:caps w:val="0"/>
                <w:color w:val="auto"/>
                <w:spacing w:val="0"/>
                <w:sz w:val="24"/>
                <w:szCs w:val="24"/>
              </w:rPr>
              <w:t>日</w:t>
            </w:r>
            <w:r>
              <w:rPr>
                <w:rFonts w:hint="eastAsia" w:ascii="宋体" w:eastAsia="宋体" w:cs="宋体"/>
                <w:i w:val="0"/>
                <w:caps w:val="0"/>
                <w:color w:val="auto"/>
                <w:spacing w:val="0"/>
                <w:sz w:val="24"/>
                <w:szCs w:val="24"/>
                <w:u w:val="single"/>
                <w:lang w:val="en-US" w:eastAsia="zh-CN"/>
              </w:rPr>
              <w:t>09</w:t>
            </w:r>
            <w:r>
              <w:rPr>
                <w:rFonts w:hint="eastAsia" w:ascii="宋体" w:hAnsi="宋体" w:eastAsia="宋体" w:cs="宋体"/>
                <w:i w:val="0"/>
                <w:caps w:val="0"/>
                <w:color w:val="auto"/>
                <w:spacing w:val="0"/>
                <w:sz w:val="24"/>
                <w:szCs w:val="24"/>
              </w:rPr>
              <w:t>时</w:t>
            </w:r>
            <w:r>
              <w:rPr>
                <w:rFonts w:hint="eastAsia" w:ascii="宋体" w:hAnsi="宋体" w:eastAsia="宋体" w:cs="宋体"/>
                <w:i w:val="0"/>
                <w:caps w:val="0"/>
                <w:color w:val="auto"/>
                <w:spacing w:val="0"/>
                <w:sz w:val="24"/>
                <w:szCs w:val="24"/>
                <w:u w:val="single"/>
                <w:lang w:val="en-US" w:eastAsia="zh-CN"/>
              </w:rPr>
              <w:t>30</w:t>
            </w:r>
            <w:r>
              <w:rPr>
                <w:rFonts w:hint="eastAsia" w:ascii="宋体" w:hAnsi="宋体" w:eastAsia="宋体" w:cs="宋体"/>
                <w:i w:val="0"/>
                <w:caps w:val="0"/>
                <w:color w:val="auto"/>
                <w:spacing w:val="0"/>
                <w:sz w:val="24"/>
                <w:szCs w:val="24"/>
              </w:rPr>
              <w:t>分</w:t>
            </w:r>
          </w:p>
        </w:tc>
      </w:tr>
      <w:tr w14:paraId="7182F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600" w:type="dxa"/>
            <w:noWrap w:val="0"/>
            <w:vAlign w:val="center"/>
          </w:tcPr>
          <w:p w14:paraId="5D22A58F">
            <w:pPr>
              <w:pStyle w:val="14"/>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3</w:t>
            </w:r>
          </w:p>
        </w:tc>
        <w:tc>
          <w:tcPr>
            <w:tcW w:w="1455" w:type="dxa"/>
            <w:noWrap w:val="0"/>
            <w:vAlign w:val="center"/>
          </w:tcPr>
          <w:p w14:paraId="7E8748FA">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网上提问</w:t>
            </w:r>
          </w:p>
          <w:p w14:paraId="7FD055A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截止时间</w:t>
            </w:r>
          </w:p>
        </w:tc>
        <w:tc>
          <w:tcPr>
            <w:tcW w:w="7124" w:type="dxa"/>
            <w:noWrap w:val="0"/>
            <w:vAlign w:val="center"/>
          </w:tcPr>
          <w:p w14:paraId="0C4946F3">
            <w:pPr>
              <w:pStyle w:val="14"/>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left"/>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 </w:t>
            </w:r>
            <w:r>
              <w:rPr>
                <w:rFonts w:hint="eastAsia" w:ascii="宋体" w:eastAsia="宋体" w:cs="宋体"/>
                <w:i w:val="0"/>
                <w:caps w:val="0"/>
                <w:color w:val="auto"/>
                <w:spacing w:val="0"/>
                <w:sz w:val="24"/>
                <w:szCs w:val="24"/>
                <w:u w:val="single"/>
                <w:lang w:val="en-US" w:eastAsia="zh-CN"/>
              </w:rPr>
              <w:t>2026</w:t>
            </w:r>
            <w:r>
              <w:rPr>
                <w:rFonts w:hint="eastAsia" w:ascii="宋体" w:hAnsi="宋体" w:eastAsia="宋体" w:cs="宋体"/>
                <w:i w:val="0"/>
                <w:caps w:val="0"/>
                <w:color w:val="auto"/>
                <w:spacing w:val="0"/>
                <w:sz w:val="24"/>
                <w:szCs w:val="24"/>
              </w:rPr>
              <w:t>年</w:t>
            </w:r>
            <w:r>
              <w:rPr>
                <w:rFonts w:hint="eastAsia" w:ascii="宋体" w:eastAsia="宋体" w:cs="宋体"/>
                <w:i w:val="0"/>
                <w:caps w:val="0"/>
                <w:color w:val="auto"/>
                <w:spacing w:val="0"/>
                <w:sz w:val="24"/>
                <w:szCs w:val="24"/>
                <w:u w:val="single"/>
                <w:lang w:val="en-US" w:eastAsia="zh-CN"/>
              </w:rPr>
              <w:t>01</w:t>
            </w:r>
            <w:r>
              <w:rPr>
                <w:rFonts w:hint="eastAsia" w:ascii="宋体" w:hAnsi="宋体" w:eastAsia="宋体" w:cs="宋体"/>
                <w:i w:val="0"/>
                <w:caps w:val="0"/>
                <w:color w:val="auto"/>
                <w:spacing w:val="0"/>
                <w:sz w:val="24"/>
                <w:szCs w:val="24"/>
              </w:rPr>
              <w:t>月</w:t>
            </w:r>
            <w:r>
              <w:rPr>
                <w:rFonts w:hint="eastAsia" w:ascii="宋体" w:eastAsia="宋体" w:cs="宋体"/>
                <w:i w:val="0"/>
                <w:caps w:val="0"/>
                <w:color w:val="auto"/>
                <w:spacing w:val="0"/>
                <w:sz w:val="24"/>
                <w:szCs w:val="24"/>
                <w:u w:val="single"/>
                <w:lang w:val="en-US" w:eastAsia="zh-CN"/>
              </w:rPr>
              <w:t>27</w:t>
            </w:r>
            <w:r>
              <w:rPr>
                <w:rFonts w:hint="eastAsia" w:ascii="宋体" w:hAnsi="宋体" w:eastAsia="宋体" w:cs="宋体"/>
                <w:i w:val="0"/>
                <w:caps w:val="0"/>
                <w:color w:val="auto"/>
                <w:spacing w:val="0"/>
                <w:sz w:val="24"/>
                <w:szCs w:val="24"/>
              </w:rPr>
              <w:t>日</w:t>
            </w:r>
            <w:r>
              <w:rPr>
                <w:rFonts w:hint="eastAsia" w:ascii="宋体" w:hAnsi="宋体" w:eastAsia="宋体" w:cs="宋体"/>
                <w:color w:val="auto"/>
                <w:kern w:val="2"/>
                <w:sz w:val="24"/>
                <w:szCs w:val="24"/>
                <w:highlight w:val="none"/>
                <w:u w:val="single"/>
                <w:lang w:val="en-US" w:eastAsia="zh-CN" w:bidi="ar-SA"/>
              </w:rPr>
              <w:t>16</w:t>
            </w:r>
            <w:r>
              <w:rPr>
                <w:rFonts w:hint="eastAsia" w:ascii="宋体" w:hAnsi="宋体" w:eastAsia="宋体" w:cs="宋体"/>
                <w:color w:val="auto"/>
                <w:kern w:val="2"/>
                <w:sz w:val="24"/>
                <w:szCs w:val="24"/>
                <w:highlight w:val="none"/>
                <w:lang w:val="en-US" w:eastAsia="zh-CN" w:bidi="ar-SA"/>
              </w:rPr>
              <w:t>时</w:t>
            </w:r>
            <w:r>
              <w:rPr>
                <w:rFonts w:hint="eastAsia" w:ascii="宋体" w:hAnsi="宋体" w:eastAsia="宋体" w:cs="宋体"/>
                <w:color w:val="auto"/>
                <w:kern w:val="2"/>
                <w:sz w:val="24"/>
                <w:szCs w:val="24"/>
                <w:highlight w:val="none"/>
                <w:u w:val="single"/>
                <w:lang w:val="en-US" w:eastAsia="zh-CN" w:bidi="ar-SA"/>
              </w:rPr>
              <w:t>00</w:t>
            </w:r>
            <w:r>
              <w:rPr>
                <w:rFonts w:hint="eastAsia" w:ascii="宋体" w:hAnsi="宋体" w:eastAsia="宋体" w:cs="宋体"/>
                <w:color w:val="auto"/>
                <w:kern w:val="2"/>
                <w:sz w:val="24"/>
                <w:szCs w:val="24"/>
                <w:highlight w:val="none"/>
                <w:lang w:val="en-US" w:eastAsia="zh-CN" w:bidi="ar-SA"/>
              </w:rPr>
              <w:t>分</w:t>
            </w:r>
          </w:p>
        </w:tc>
      </w:tr>
      <w:tr w14:paraId="57FBD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600" w:type="dxa"/>
            <w:noWrap w:val="0"/>
            <w:vAlign w:val="center"/>
          </w:tcPr>
          <w:p w14:paraId="52DA1270">
            <w:pPr>
              <w:pStyle w:val="14"/>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4</w:t>
            </w:r>
          </w:p>
        </w:tc>
        <w:tc>
          <w:tcPr>
            <w:tcW w:w="1455" w:type="dxa"/>
            <w:noWrap w:val="0"/>
            <w:vAlign w:val="center"/>
          </w:tcPr>
          <w:p w14:paraId="3A4449FF">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网上答疑</w:t>
            </w:r>
          </w:p>
          <w:p w14:paraId="226AA83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时间</w:t>
            </w:r>
          </w:p>
        </w:tc>
        <w:tc>
          <w:tcPr>
            <w:tcW w:w="7124" w:type="dxa"/>
            <w:noWrap w:val="0"/>
            <w:vAlign w:val="center"/>
          </w:tcPr>
          <w:p w14:paraId="041B4F4D">
            <w:pPr>
              <w:pStyle w:val="14"/>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240" w:leftChars="0" w:right="0" w:rightChars="0" w:hanging="240" w:hangingChars="100"/>
              <w:jc w:val="left"/>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 </w:t>
            </w:r>
            <w:r>
              <w:rPr>
                <w:rFonts w:hint="eastAsia" w:ascii="宋体" w:eastAsia="宋体" w:cs="宋体"/>
                <w:i w:val="0"/>
                <w:caps w:val="0"/>
                <w:color w:val="auto"/>
                <w:spacing w:val="0"/>
                <w:sz w:val="24"/>
                <w:szCs w:val="24"/>
                <w:u w:val="single"/>
                <w:lang w:val="en-US" w:eastAsia="zh-CN"/>
              </w:rPr>
              <w:t>2026</w:t>
            </w:r>
            <w:r>
              <w:rPr>
                <w:rFonts w:hint="eastAsia" w:ascii="宋体" w:hAnsi="宋体" w:eastAsia="宋体" w:cs="宋体"/>
                <w:i w:val="0"/>
                <w:caps w:val="0"/>
                <w:color w:val="auto"/>
                <w:spacing w:val="0"/>
                <w:sz w:val="24"/>
                <w:szCs w:val="24"/>
              </w:rPr>
              <w:t>年</w:t>
            </w:r>
            <w:r>
              <w:rPr>
                <w:rFonts w:hint="eastAsia" w:ascii="宋体" w:eastAsia="宋体" w:cs="宋体"/>
                <w:i w:val="0"/>
                <w:caps w:val="0"/>
                <w:color w:val="auto"/>
                <w:spacing w:val="0"/>
                <w:sz w:val="24"/>
                <w:szCs w:val="24"/>
                <w:u w:val="single"/>
                <w:lang w:val="en-US" w:eastAsia="zh-CN"/>
              </w:rPr>
              <w:t>01</w:t>
            </w:r>
            <w:r>
              <w:rPr>
                <w:rFonts w:hint="eastAsia" w:ascii="宋体" w:hAnsi="宋体" w:eastAsia="宋体" w:cs="宋体"/>
                <w:i w:val="0"/>
                <w:caps w:val="0"/>
                <w:color w:val="auto"/>
                <w:spacing w:val="0"/>
                <w:sz w:val="24"/>
                <w:szCs w:val="24"/>
              </w:rPr>
              <w:t>月</w:t>
            </w:r>
            <w:r>
              <w:rPr>
                <w:rFonts w:hint="eastAsia" w:ascii="宋体" w:eastAsia="宋体" w:cs="宋体"/>
                <w:i w:val="0"/>
                <w:caps w:val="0"/>
                <w:color w:val="auto"/>
                <w:spacing w:val="0"/>
                <w:sz w:val="24"/>
                <w:szCs w:val="24"/>
                <w:u w:val="single"/>
                <w:lang w:val="en-US" w:eastAsia="zh-CN"/>
              </w:rPr>
              <w:t>27</w:t>
            </w:r>
            <w:r>
              <w:rPr>
                <w:rFonts w:hint="eastAsia" w:ascii="宋体" w:hAnsi="宋体" w:eastAsia="宋体" w:cs="宋体"/>
                <w:i w:val="0"/>
                <w:caps w:val="0"/>
                <w:color w:val="auto"/>
                <w:spacing w:val="0"/>
                <w:sz w:val="24"/>
                <w:szCs w:val="24"/>
              </w:rPr>
              <w:t>日</w:t>
            </w:r>
            <w:r>
              <w:rPr>
                <w:rFonts w:hint="eastAsia" w:ascii="宋体" w:hAnsi="宋体" w:eastAsia="宋体" w:cs="宋体"/>
                <w:color w:val="auto"/>
                <w:kern w:val="2"/>
                <w:sz w:val="24"/>
                <w:szCs w:val="24"/>
                <w:highlight w:val="none"/>
                <w:u w:val="single"/>
                <w:lang w:val="en-US" w:eastAsia="zh-CN" w:bidi="ar-SA"/>
              </w:rPr>
              <w:t xml:space="preserve">16 </w:t>
            </w:r>
            <w:r>
              <w:rPr>
                <w:rFonts w:hint="eastAsia" w:ascii="宋体" w:hAnsi="宋体" w:eastAsia="宋体" w:cs="宋体"/>
                <w:color w:val="auto"/>
                <w:kern w:val="2"/>
                <w:sz w:val="24"/>
                <w:szCs w:val="24"/>
                <w:highlight w:val="none"/>
                <w:lang w:val="en-US" w:eastAsia="zh-CN" w:bidi="ar-SA"/>
              </w:rPr>
              <w:t>时</w:t>
            </w:r>
            <w:r>
              <w:rPr>
                <w:rFonts w:hint="eastAsia" w:ascii="宋体" w:hAnsi="宋体" w:eastAsia="宋体" w:cs="宋体"/>
                <w:color w:val="auto"/>
                <w:kern w:val="2"/>
                <w:sz w:val="24"/>
                <w:szCs w:val="24"/>
                <w:highlight w:val="none"/>
                <w:u w:val="single"/>
                <w:lang w:val="en-US" w:eastAsia="zh-CN" w:bidi="ar-SA"/>
              </w:rPr>
              <w:t>30</w:t>
            </w:r>
            <w:r>
              <w:rPr>
                <w:rFonts w:hint="eastAsia" w:ascii="宋体" w:hAnsi="宋体" w:eastAsia="宋体" w:cs="宋体"/>
                <w:color w:val="auto"/>
                <w:kern w:val="2"/>
                <w:sz w:val="24"/>
                <w:szCs w:val="24"/>
                <w:highlight w:val="none"/>
                <w:lang w:val="en-US" w:eastAsia="zh-CN" w:bidi="ar-SA"/>
              </w:rPr>
              <w:t>分至</w:t>
            </w:r>
            <w:r>
              <w:rPr>
                <w:rFonts w:hint="eastAsia" w:ascii="宋体" w:eastAsia="宋体" w:cs="宋体"/>
                <w:i w:val="0"/>
                <w:caps w:val="0"/>
                <w:color w:val="auto"/>
                <w:spacing w:val="0"/>
                <w:sz w:val="24"/>
                <w:szCs w:val="24"/>
                <w:u w:val="single"/>
                <w:lang w:val="en-US" w:eastAsia="zh-CN"/>
              </w:rPr>
              <w:t>2026</w:t>
            </w:r>
            <w:r>
              <w:rPr>
                <w:rFonts w:hint="eastAsia" w:ascii="宋体" w:hAnsi="宋体" w:eastAsia="宋体" w:cs="宋体"/>
                <w:i w:val="0"/>
                <w:caps w:val="0"/>
                <w:color w:val="auto"/>
                <w:spacing w:val="0"/>
                <w:sz w:val="24"/>
                <w:szCs w:val="24"/>
              </w:rPr>
              <w:t>年</w:t>
            </w:r>
            <w:r>
              <w:rPr>
                <w:rFonts w:hint="eastAsia" w:ascii="宋体" w:eastAsia="宋体" w:cs="宋体"/>
                <w:i w:val="0"/>
                <w:caps w:val="0"/>
                <w:color w:val="auto"/>
                <w:spacing w:val="0"/>
                <w:sz w:val="24"/>
                <w:szCs w:val="24"/>
                <w:u w:val="single"/>
                <w:lang w:val="en-US" w:eastAsia="zh-CN"/>
              </w:rPr>
              <w:t>01</w:t>
            </w:r>
            <w:r>
              <w:rPr>
                <w:rFonts w:hint="eastAsia" w:ascii="宋体" w:hAnsi="宋体" w:eastAsia="宋体" w:cs="宋体"/>
                <w:i w:val="0"/>
                <w:caps w:val="0"/>
                <w:color w:val="auto"/>
                <w:spacing w:val="0"/>
                <w:sz w:val="24"/>
                <w:szCs w:val="24"/>
              </w:rPr>
              <w:t>月</w:t>
            </w:r>
            <w:r>
              <w:rPr>
                <w:rFonts w:hint="eastAsia" w:ascii="宋体" w:eastAsia="宋体" w:cs="宋体"/>
                <w:i w:val="0"/>
                <w:caps w:val="0"/>
                <w:color w:val="auto"/>
                <w:spacing w:val="0"/>
                <w:sz w:val="24"/>
                <w:szCs w:val="24"/>
                <w:u w:val="single"/>
                <w:lang w:val="en-US" w:eastAsia="zh-CN"/>
              </w:rPr>
              <w:t>30</w:t>
            </w:r>
            <w:r>
              <w:rPr>
                <w:rFonts w:hint="eastAsia" w:ascii="宋体" w:hAnsi="宋体" w:eastAsia="宋体" w:cs="宋体"/>
                <w:i w:val="0"/>
                <w:caps w:val="0"/>
                <w:color w:val="auto"/>
                <w:spacing w:val="0"/>
                <w:sz w:val="24"/>
                <w:szCs w:val="24"/>
              </w:rPr>
              <w:t>日</w:t>
            </w:r>
            <w:r>
              <w:rPr>
                <w:rFonts w:hint="eastAsia" w:ascii="宋体" w:hAnsi="宋体" w:eastAsia="宋体" w:cs="宋体"/>
                <w:color w:val="auto"/>
                <w:kern w:val="2"/>
                <w:sz w:val="24"/>
                <w:szCs w:val="24"/>
                <w:highlight w:val="none"/>
                <w:u w:val="single"/>
                <w:lang w:val="en-US" w:eastAsia="zh-CN" w:bidi="ar-SA"/>
              </w:rPr>
              <w:t>16</w:t>
            </w:r>
            <w:r>
              <w:rPr>
                <w:rFonts w:hint="eastAsia" w:ascii="宋体" w:hAnsi="宋体" w:eastAsia="宋体" w:cs="宋体"/>
                <w:color w:val="auto"/>
                <w:kern w:val="2"/>
                <w:sz w:val="24"/>
                <w:szCs w:val="24"/>
                <w:highlight w:val="none"/>
                <w:lang w:val="en-US" w:eastAsia="zh-CN" w:bidi="ar-SA"/>
              </w:rPr>
              <w:t>时</w:t>
            </w:r>
            <w:r>
              <w:rPr>
                <w:rFonts w:hint="eastAsia" w:ascii="宋体" w:hAnsi="宋体" w:eastAsia="宋体" w:cs="宋体"/>
                <w:color w:val="auto"/>
                <w:kern w:val="2"/>
                <w:sz w:val="24"/>
                <w:szCs w:val="24"/>
                <w:highlight w:val="none"/>
                <w:u w:val="single"/>
                <w:lang w:val="en-US" w:eastAsia="zh-CN" w:bidi="ar-SA"/>
              </w:rPr>
              <w:t>00</w:t>
            </w:r>
            <w:r>
              <w:rPr>
                <w:rFonts w:hint="eastAsia" w:ascii="宋体" w:hAnsi="宋体" w:eastAsia="宋体" w:cs="宋体"/>
                <w:color w:val="auto"/>
                <w:kern w:val="2"/>
                <w:sz w:val="24"/>
                <w:szCs w:val="24"/>
                <w:highlight w:val="none"/>
                <w:lang w:val="en-US" w:eastAsia="zh-CN" w:bidi="ar-SA"/>
              </w:rPr>
              <w:t>分</w:t>
            </w:r>
          </w:p>
        </w:tc>
      </w:tr>
      <w:tr w14:paraId="040A1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600" w:type="dxa"/>
            <w:noWrap w:val="0"/>
            <w:vAlign w:val="center"/>
          </w:tcPr>
          <w:p w14:paraId="79C417B1">
            <w:pPr>
              <w:pStyle w:val="14"/>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5</w:t>
            </w:r>
          </w:p>
        </w:tc>
        <w:tc>
          <w:tcPr>
            <w:tcW w:w="1455" w:type="dxa"/>
            <w:noWrap w:val="0"/>
            <w:vAlign w:val="center"/>
          </w:tcPr>
          <w:p w14:paraId="4F406977">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投标保证缴</w:t>
            </w:r>
          </w:p>
          <w:p w14:paraId="03B7C7D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纳截止时间</w:t>
            </w:r>
          </w:p>
        </w:tc>
        <w:tc>
          <w:tcPr>
            <w:tcW w:w="7124" w:type="dxa"/>
            <w:noWrap w:val="0"/>
            <w:vAlign w:val="center"/>
          </w:tcPr>
          <w:p w14:paraId="596DAA69">
            <w:pPr>
              <w:pStyle w:val="14"/>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right="0" w:firstLine="210"/>
              <w:jc w:val="left"/>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投标保证金到账截止时间：</w:t>
            </w:r>
            <w:r>
              <w:rPr>
                <w:rFonts w:hint="eastAsia" w:ascii="宋体" w:hAnsi="宋体" w:eastAsia="宋体" w:cs="宋体"/>
                <w:i w:val="0"/>
                <w:caps w:val="0"/>
                <w:color w:val="auto"/>
                <w:spacing w:val="0"/>
                <w:sz w:val="24"/>
                <w:szCs w:val="24"/>
                <w:lang w:val="en-US" w:eastAsia="zh-CN"/>
              </w:rPr>
              <w:t xml:space="preserve">  </w:t>
            </w:r>
            <w:r>
              <w:rPr>
                <w:rFonts w:hint="eastAsia" w:ascii="宋体" w:eastAsia="宋体" w:cs="宋体"/>
                <w:i w:val="0"/>
                <w:caps w:val="0"/>
                <w:color w:val="auto"/>
                <w:spacing w:val="0"/>
                <w:sz w:val="24"/>
                <w:szCs w:val="24"/>
                <w:u w:val="single"/>
                <w:lang w:val="en-US" w:eastAsia="zh-CN"/>
              </w:rPr>
              <w:t>2026</w:t>
            </w:r>
            <w:r>
              <w:rPr>
                <w:rFonts w:hint="eastAsia" w:ascii="宋体" w:hAnsi="宋体" w:eastAsia="宋体" w:cs="宋体"/>
                <w:i w:val="0"/>
                <w:caps w:val="0"/>
                <w:color w:val="auto"/>
                <w:spacing w:val="0"/>
                <w:sz w:val="24"/>
                <w:szCs w:val="24"/>
              </w:rPr>
              <w:t>年</w:t>
            </w:r>
            <w:r>
              <w:rPr>
                <w:rFonts w:hint="eastAsia" w:ascii="宋体" w:eastAsia="宋体" w:cs="宋体"/>
                <w:i w:val="0"/>
                <w:caps w:val="0"/>
                <w:color w:val="auto"/>
                <w:spacing w:val="0"/>
                <w:sz w:val="24"/>
                <w:szCs w:val="24"/>
                <w:u w:val="single"/>
                <w:lang w:val="en-US" w:eastAsia="zh-CN"/>
              </w:rPr>
              <w:t>02</w:t>
            </w:r>
            <w:r>
              <w:rPr>
                <w:rFonts w:hint="eastAsia" w:ascii="宋体" w:hAnsi="宋体" w:eastAsia="宋体" w:cs="宋体"/>
                <w:i w:val="0"/>
                <w:caps w:val="0"/>
                <w:color w:val="auto"/>
                <w:spacing w:val="0"/>
                <w:sz w:val="24"/>
                <w:szCs w:val="24"/>
              </w:rPr>
              <w:t>月</w:t>
            </w:r>
            <w:r>
              <w:rPr>
                <w:rFonts w:hint="eastAsia" w:ascii="宋体" w:eastAsia="宋体" w:cs="宋体"/>
                <w:i w:val="0"/>
                <w:caps w:val="0"/>
                <w:color w:val="auto"/>
                <w:spacing w:val="0"/>
                <w:sz w:val="24"/>
                <w:szCs w:val="24"/>
                <w:u w:val="single"/>
                <w:lang w:val="en-US" w:eastAsia="zh-CN"/>
              </w:rPr>
              <w:t>05</w:t>
            </w:r>
            <w:r>
              <w:rPr>
                <w:rFonts w:hint="eastAsia" w:ascii="宋体" w:hAnsi="宋体" w:eastAsia="宋体" w:cs="宋体"/>
                <w:i w:val="0"/>
                <w:caps w:val="0"/>
                <w:color w:val="auto"/>
                <w:spacing w:val="0"/>
                <w:sz w:val="24"/>
                <w:szCs w:val="24"/>
              </w:rPr>
              <w:t>日</w:t>
            </w:r>
            <w:r>
              <w:rPr>
                <w:rFonts w:hint="eastAsia" w:ascii="宋体" w:eastAsia="宋体" w:cs="宋体"/>
                <w:i w:val="0"/>
                <w:caps w:val="0"/>
                <w:color w:val="auto"/>
                <w:spacing w:val="0"/>
                <w:sz w:val="24"/>
                <w:szCs w:val="24"/>
                <w:u w:val="single"/>
                <w:lang w:val="en-US" w:eastAsia="zh-CN"/>
              </w:rPr>
              <w:t>09</w:t>
            </w:r>
            <w:r>
              <w:rPr>
                <w:rFonts w:hint="eastAsia" w:ascii="宋体" w:hAnsi="宋体" w:eastAsia="宋体" w:cs="宋体"/>
                <w:i w:val="0"/>
                <w:caps w:val="0"/>
                <w:color w:val="auto"/>
                <w:spacing w:val="0"/>
                <w:sz w:val="24"/>
                <w:szCs w:val="24"/>
              </w:rPr>
              <w:t>时</w:t>
            </w:r>
            <w:r>
              <w:rPr>
                <w:rFonts w:hint="eastAsia" w:ascii="宋体" w:eastAsia="宋体" w:cs="宋体"/>
                <w:i w:val="0"/>
                <w:caps w:val="0"/>
                <w:color w:val="auto"/>
                <w:spacing w:val="0"/>
                <w:sz w:val="24"/>
                <w:szCs w:val="24"/>
                <w:u w:val="single"/>
                <w:lang w:val="en-US" w:eastAsia="zh-CN"/>
              </w:rPr>
              <w:t>30</w:t>
            </w:r>
            <w:r>
              <w:rPr>
                <w:rFonts w:hint="eastAsia" w:ascii="宋体" w:hAnsi="宋体" w:eastAsia="宋体" w:cs="宋体"/>
                <w:i w:val="0"/>
                <w:caps w:val="0"/>
                <w:color w:val="auto"/>
                <w:spacing w:val="0"/>
                <w:sz w:val="24"/>
                <w:szCs w:val="24"/>
              </w:rPr>
              <w:t>分；</w:t>
            </w:r>
          </w:p>
          <w:p w14:paraId="2F21855F">
            <w:pPr>
              <w:pStyle w:val="14"/>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right="0" w:firstLine="210"/>
              <w:jc w:val="left"/>
              <w:rPr>
                <w:rFonts w:hint="eastAsia" w:ascii="宋体" w:hAnsi="宋体" w:eastAsia="宋体" w:cs="宋体"/>
                <w:i w:val="0"/>
                <w:caps w:val="0"/>
                <w:color w:val="auto"/>
                <w:spacing w:val="0"/>
                <w:sz w:val="24"/>
                <w:szCs w:val="24"/>
                <w:lang w:val="en-US" w:eastAsia="zh-CN"/>
              </w:rPr>
            </w:pPr>
            <w:r>
              <w:rPr>
                <w:rFonts w:hint="eastAsia" w:ascii="宋体" w:hAnsi="宋体" w:eastAsia="宋体" w:cs="宋体"/>
                <w:i w:val="0"/>
                <w:caps w:val="0"/>
                <w:color w:val="auto"/>
                <w:spacing w:val="0"/>
                <w:sz w:val="24"/>
                <w:szCs w:val="24"/>
              </w:rPr>
              <w:t>投标保证担保</w:t>
            </w:r>
            <w:r>
              <w:rPr>
                <w:rFonts w:hint="eastAsia" w:ascii="宋体" w:hAnsi="宋体" w:eastAsia="宋体" w:cs="宋体"/>
                <w:i w:val="0"/>
                <w:caps w:val="0"/>
                <w:color w:val="auto"/>
                <w:spacing w:val="0"/>
                <w:sz w:val="24"/>
                <w:szCs w:val="24"/>
                <w:lang w:val="en-US" w:eastAsia="zh-CN"/>
              </w:rPr>
              <w:t>办理</w:t>
            </w:r>
            <w:r>
              <w:rPr>
                <w:rFonts w:hint="eastAsia" w:ascii="宋体" w:hAnsi="宋体" w:eastAsia="宋体" w:cs="宋体"/>
                <w:i w:val="0"/>
                <w:caps w:val="0"/>
                <w:color w:val="auto"/>
                <w:spacing w:val="0"/>
                <w:sz w:val="24"/>
                <w:szCs w:val="24"/>
              </w:rPr>
              <w:t>截止时间：</w:t>
            </w:r>
            <w:r>
              <w:rPr>
                <w:rFonts w:hint="eastAsia" w:ascii="宋体" w:eastAsia="宋体" w:cs="宋体"/>
                <w:i w:val="0"/>
                <w:caps w:val="0"/>
                <w:color w:val="auto"/>
                <w:spacing w:val="0"/>
                <w:sz w:val="24"/>
                <w:szCs w:val="24"/>
                <w:u w:val="single"/>
                <w:lang w:val="en-US" w:eastAsia="zh-CN"/>
              </w:rPr>
              <w:t>2026</w:t>
            </w:r>
            <w:r>
              <w:rPr>
                <w:rFonts w:hint="eastAsia" w:ascii="宋体" w:hAnsi="宋体" w:eastAsia="宋体" w:cs="宋体"/>
                <w:i w:val="0"/>
                <w:caps w:val="0"/>
                <w:color w:val="auto"/>
                <w:spacing w:val="0"/>
                <w:sz w:val="24"/>
                <w:szCs w:val="24"/>
              </w:rPr>
              <w:t>年</w:t>
            </w:r>
            <w:r>
              <w:rPr>
                <w:rFonts w:hint="eastAsia" w:ascii="宋体" w:eastAsia="宋体" w:cs="宋体"/>
                <w:i w:val="0"/>
                <w:caps w:val="0"/>
                <w:color w:val="auto"/>
                <w:spacing w:val="0"/>
                <w:sz w:val="24"/>
                <w:szCs w:val="24"/>
                <w:u w:val="single"/>
                <w:lang w:val="en-US" w:eastAsia="zh-CN"/>
              </w:rPr>
              <w:t>02</w:t>
            </w:r>
            <w:r>
              <w:rPr>
                <w:rFonts w:hint="eastAsia" w:ascii="宋体" w:hAnsi="宋体" w:eastAsia="宋体" w:cs="宋体"/>
                <w:i w:val="0"/>
                <w:caps w:val="0"/>
                <w:color w:val="auto"/>
                <w:spacing w:val="0"/>
                <w:sz w:val="24"/>
                <w:szCs w:val="24"/>
              </w:rPr>
              <w:t>月</w:t>
            </w:r>
            <w:r>
              <w:rPr>
                <w:rFonts w:hint="eastAsia" w:ascii="宋体" w:eastAsia="宋体" w:cs="宋体"/>
                <w:i w:val="0"/>
                <w:caps w:val="0"/>
                <w:color w:val="auto"/>
                <w:spacing w:val="0"/>
                <w:sz w:val="24"/>
                <w:szCs w:val="24"/>
                <w:u w:val="single"/>
                <w:lang w:val="en-US" w:eastAsia="zh-CN"/>
              </w:rPr>
              <w:t>05</w:t>
            </w:r>
            <w:r>
              <w:rPr>
                <w:rFonts w:hint="eastAsia" w:ascii="宋体" w:hAnsi="宋体" w:eastAsia="宋体" w:cs="宋体"/>
                <w:i w:val="0"/>
                <w:caps w:val="0"/>
                <w:color w:val="auto"/>
                <w:spacing w:val="0"/>
                <w:sz w:val="24"/>
                <w:szCs w:val="24"/>
              </w:rPr>
              <w:t>日</w:t>
            </w:r>
            <w:r>
              <w:rPr>
                <w:rFonts w:hint="eastAsia" w:ascii="宋体" w:eastAsia="宋体" w:cs="宋体"/>
                <w:i w:val="0"/>
                <w:caps w:val="0"/>
                <w:color w:val="auto"/>
                <w:spacing w:val="0"/>
                <w:sz w:val="24"/>
                <w:szCs w:val="24"/>
                <w:u w:val="single"/>
                <w:lang w:val="en-US" w:eastAsia="zh-CN"/>
              </w:rPr>
              <w:t>09</w:t>
            </w:r>
            <w:r>
              <w:rPr>
                <w:rFonts w:hint="eastAsia" w:ascii="宋体" w:hAnsi="宋体" w:eastAsia="宋体" w:cs="宋体"/>
                <w:i w:val="0"/>
                <w:caps w:val="0"/>
                <w:color w:val="auto"/>
                <w:spacing w:val="0"/>
                <w:sz w:val="24"/>
                <w:szCs w:val="24"/>
              </w:rPr>
              <w:t>时</w:t>
            </w:r>
            <w:r>
              <w:rPr>
                <w:rFonts w:hint="eastAsia" w:ascii="宋体" w:eastAsia="宋体" w:cs="宋体"/>
                <w:i w:val="0"/>
                <w:caps w:val="0"/>
                <w:color w:val="auto"/>
                <w:spacing w:val="0"/>
                <w:sz w:val="24"/>
                <w:szCs w:val="24"/>
                <w:u w:val="single"/>
                <w:lang w:val="en-US" w:eastAsia="zh-CN"/>
              </w:rPr>
              <w:t>30</w:t>
            </w:r>
            <w:r>
              <w:rPr>
                <w:rFonts w:hint="eastAsia" w:ascii="宋体" w:hAnsi="宋体" w:eastAsia="宋体" w:cs="宋体"/>
                <w:i w:val="0"/>
                <w:caps w:val="0"/>
                <w:color w:val="auto"/>
                <w:spacing w:val="0"/>
                <w:sz w:val="24"/>
                <w:szCs w:val="24"/>
              </w:rPr>
              <w:t>分</w:t>
            </w:r>
            <w:r>
              <w:rPr>
                <w:rFonts w:hint="eastAsia" w:ascii="宋体" w:hAnsi="宋体" w:eastAsia="宋体" w:cs="宋体"/>
                <w:i w:val="0"/>
                <w:caps w:val="0"/>
                <w:color w:val="auto"/>
                <w:spacing w:val="0"/>
                <w:sz w:val="24"/>
                <w:szCs w:val="24"/>
                <w:lang w:val="en-US" w:eastAsia="zh-CN"/>
              </w:rPr>
              <w:t>；</w:t>
            </w:r>
          </w:p>
          <w:p w14:paraId="6EAEF317">
            <w:pPr>
              <w:pStyle w:val="14"/>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right="0" w:firstLine="210"/>
              <w:jc w:val="left"/>
              <w:rPr>
                <w:rFonts w:hint="eastAsia" w:ascii="宋体" w:hAnsi="宋体" w:eastAsia="宋体" w:cs="宋体"/>
                <w:color w:val="auto"/>
                <w:sz w:val="24"/>
                <w:szCs w:val="24"/>
                <w:lang w:eastAsia="zh-CN"/>
              </w:rPr>
            </w:pPr>
            <w:r>
              <w:rPr>
                <w:rFonts w:hint="eastAsia" w:ascii="宋体" w:hAnsi="宋体" w:eastAsia="宋体" w:cs="宋体"/>
                <w:caps w:val="0"/>
                <w:smallCaps w:val="0"/>
                <w:snapToGrid w:val="0"/>
                <w:color w:val="auto"/>
                <w:spacing w:val="0"/>
                <w:kern w:val="0"/>
                <w:sz w:val="24"/>
                <w:szCs w:val="24"/>
                <w:highlight w:val="none"/>
                <w:lang w:eastAsia="zh-CN"/>
              </w:rPr>
              <w:t>投标保证保险投保截止时间：</w:t>
            </w:r>
            <w:r>
              <w:rPr>
                <w:rFonts w:hint="eastAsia" w:ascii="宋体" w:eastAsia="宋体" w:cs="宋体"/>
                <w:i w:val="0"/>
                <w:caps w:val="0"/>
                <w:color w:val="auto"/>
                <w:spacing w:val="0"/>
                <w:sz w:val="24"/>
                <w:szCs w:val="24"/>
                <w:u w:val="single"/>
                <w:lang w:val="en-US" w:eastAsia="zh-CN"/>
              </w:rPr>
              <w:t>2026</w:t>
            </w:r>
            <w:r>
              <w:rPr>
                <w:rFonts w:hint="eastAsia" w:ascii="宋体" w:hAnsi="宋体" w:eastAsia="宋体" w:cs="宋体"/>
                <w:i w:val="0"/>
                <w:caps w:val="0"/>
                <w:color w:val="auto"/>
                <w:spacing w:val="0"/>
                <w:sz w:val="24"/>
                <w:szCs w:val="24"/>
              </w:rPr>
              <w:t>年</w:t>
            </w:r>
            <w:r>
              <w:rPr>
                <w:rFonts w:hint="eastAsia" w:ascii="宋体" w:eastAsia="宋体" w:cs="宋体"/>
                <w:i w:val="0"/>
                <w:caps w:val="0"/>
                <w:color w:val="auto"/>
                <w:spacing w:val="0"/>
                <w:sz w:val="24"/>
                <w:szCs w:val="24"/>
                <w:u w:val="single"/>
                <w:lang w:val="en-US" w:eastAsia="zh-CN"/>
              </w:rPr>
              <w:t>02</w:t>
            </w:r>
            <w:r>
              <w:rPr>
                <w:rFonts w:hint="eastAsia" w:ascii="宋体" w:hAnsi="宋体" w:eastAsia="宋体" w:cs="宋体"/>
                <w:i w:val="0"/>
                <w:caps w:val="0"/>
                <w:color w:val="auto"/>
                <w:spacing w:val="0"/>
                <w:sz w:val="24"/>
                <w:szCs w:val="24"/>
              </w:rPr>
              <w:t>月</w:t>
            </w:r>
            <w:r>
              <w:rPr>
                <w:rFonts w:hint="eastAsia" w:ascii="宋体" w:eastAsia="宋体" w:cs="宋体"/>
                <w:i w:val="0"/>
                <w:caps w:val="0"/>
                <w:color w:val="auto"/>
                <w:spacing w:val="0"/>
                <w:sz w:val="24"/>
                <w:szCs w:val="24"/>
                <w:u w:val="single"/>
                <w:lang w:val="en-US" w:eastAsia="zh-CN"/>
              </w:rPr>
              <w:t>05</w:t>
            </w:r>
            <w:r>
              <w:rPr>
                <w:rFonts w:hint="eastAsia" w:ascii="宋体" w:hAnsi="宋体" w:eastAsia="宋体" w:cs="宋体"/>
                <w:i w:val="0"/>
                <w:caps w:val="0"/>
                <w:color w:val="auto"/>
                <w:spacing w:val="0"/>
                <w:sz w:val="24"/>
                <w:szCs w:val="24"/>
              </w:rPr>
              <w:t>日</w:t>
            </w:r>
            <w:r>
              <w:rPr>
                <w:rFonts w:hint="eastAsia" w:ascii="宋体" w:eastAsia="宋体" w:cs="宋体"/>
                <w:i w:val="0"/>
                <w:caps w:val="0"/>
                <w:color w:val="auto"/>
                <w:spacing w:val="0"/>
                <w:sz w:val="24"/>
                <w:szCs w:val="24"/>
                <w:u w:val="single"/>
                <w:lang w:val="en-US" w:eastAsia="zh-CN"/>
              </w:rPr>
              <w:t>09</w:t>
            </w:r>
            <w:r>
              <w:rPr>
                <w:rFonts w:hint="eastAsia" w:ascii="宋体" w:hAnsi="宋体" w:eastAsia="宋体" w:cs="宋体"/>
                <w:i w:val="0"/>
                <w:caps w:val="0"/>
                <w:color w:val="auto"/>
                <w:spacing w:val="0"/>
                <w:sz w:val="24"/>
                <w:szCs w:val="24"/>
              </w:rPr>
              <w:t>时</w:t>
            </w:r>
            <w:r>
              <w:rPr>
                <w:rFonts w:hint="eastAsia" w:ascii="宋体" w:eastAsia="宋体" w:cs="宋体"/>
                <w:i w:val="0"/>
                <w:caps w:val="0"/>
                <w:color w:val="auto"/>
                <w:spacing w:val="0"/>
                <w:sz w:val="24"/>
                <w:szCs w:val="24"/>
                <w:u w:val="single"/>
                <w:lang w:val="en-US" w:eastAsia="zh-CN"/>
              </w:rPr>
              <w:t>30</w:t>
            </w:r>
            <w:r>
              <w:rPr>
                <w:rFonts w:hint="eastAsia" w:ascii="宋体" w:hAnsi="宋体" w:eastAsia="宋体" w:cs="宋体"/>
                <w:i w:val="0"/>
                <w:caps w:val="0"/>
                <w:color w:val="auto"/>
                <w:spacing w:val="0"/>
                <w:sz w:val="24"/>
                <w:szCs w:val="24"/>
              </w:rPr>
              <w:t>分</w:t>
            </w:r>
            <w:r>
              <w:rPr>
                <w:rFonts w:hint="eastAsia" w:ascii="宋体" w:hAnsi="宋体" w:eastAsia="宋体" w:cs="宋体"/>
                <w:caps w:val="0"/>
                <w:smallCaps w:val="0"/>
                <w:snapToGrid w:val="0"/>
                <w:color w:val="auto"/>
                <w:spacing w:val="0"/>
                <w:kern w:val="0"/>
                <w:sz w:val="24"/>
                <w:szCs w:val="24"/>
                <w:highlight w:val="none"/>
                <w:lang w:eastAsia="zh-CN"/>
              </w:rPr>
              <w:t>。</w:t>
            </w:r>
          </w:p>
        </w:tc>
      </w:tr>
      <w:tr w14:paraId="76F6F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600" w:type="dxa"/>
            <w:noWrap w:val="0"/>
            <w:vAlign w:val="center"/>
          </w:tcPr>
          <w:p w14:paraId="0ED15573">
            <w:pPr>
              <w:pStyle w:val="14"/>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6</w:t>
            </w:r>
          </w:p>
        </w:tc>
        <w:tc>
          <w:tcPr>
            <w:tcW w:w="1455" w:type="dxa"/>
            <w:noWrap w:val="0"/>
            <w:vAlign w:val="center"/>
          </w:tcPr>
          <w:p w14:paraId="1E11110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电子投标</w:t>
            </w:r>
          </w:p>
          <w:p w14:paraId="51602B4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截止时间</w:t>
            </w:r>
          </w:p>
        </w:tc>
        <w:tc>
          <w:tcPr>
            <w:tcW w:w="7124" w:type="dxa"/>
            <w:noWrap w:val="0"/>
            <w:vAlign w:val="center"/>
          </w:tcPr>
          <w:p w14:paraId="3FA00E9D">
            <w:pPr>
              <w:pStyle w:val="14"/>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left"/>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 </w:t>
            </w:r>
            <w:r>
              <w:rPr>
                <w:rFonts w:hint="eastAsia" w:ascii="宋体" w:eastAsia="宋体" w:cs="宋体"/>
                <w:i w:val="0"/>
                <w:caps w:val="0"/>
                <w:color w:val="auto"/>
                <w:spacing w:val="0"/>
                <w:sz w:val="24"/>
                <w:szCs w:val="24"/>
                <w:u w:val="single"/>
                <w:lang w:val="en-US" w:eastAsia="zh-CN"/>
              </w:rPr>
              <w:t>2026</w:t>
            </w:r>
            <w:r>
              <w:rPr>
                <w:rFonts w:hint="eastAsia" w:ascii="宋体" w:hAnsi="宋体" w:eastAsia="宋体" w:cs="宋体"/>
                <w:i w:val="0"/>
                <w:caps w:val="0"/>
                <w:color w:val="auto"/>
                <w:spacing w:val="0"/>
                <w:sz w:val="24"/>
                <w:szCs w:val="24"/>
              </w:rPr>
              <w:t>年</w:t>
            </w:r>
            <w:r>
              <w:rPr>
                <w:rFonts w:hint="eastAsia" w:ascii="宋体" w:eastAsia="宋体" w:cs="宋体"/>
                <w:i w:val="0"/>
                <w:caps w:val="0"/>
                <w:color w:val="auto"/>
                <w:spacing w:val="0"/>
                <w:sz w:val="24"/>
                <w:szCs w:val="24"/>
                <w:u w:val="single"/>
                <w:lang w:val="en-US" w:eastAsia="zh-CN"/>
              </w:rPr>
              <w:t>02</w:t>
            </w:r>
            <w:r>
              <w:rPr>
                <w:rFonts w:hint="eastAsia" w:ascii="宋体" w:hAnsi="宋体" w:eastAsia="宋体" w:cs="宋体"/>
                <w:i w:val="0"/>
                <w:caps w:val="0"/>
                <w:color w:val="auto"/>
                <w:spacing w:val="0"/>
                <w:sz w:val="24"/>
                <w:szCs w:val="24"/>
              </w:rPr>
              <w:t>月</w:t>
            </w:r>
            <w:r>
              <w:rPr>
                <w:rFonts w:hint="eastAsia" w:ascii="宋体" w:eastAsia="宋体" w:cs="宋体"/>
                <w:i w:val="0"/>
                <w:caps w:val="0"/>
                <w:color w:val="auto"/>
                <w:spacing w:val="0"/>
                <w:sz w:val="24"/>
                <w:szCs w:val="24"/>
                <w:u w:val="single"/>
                <w:lang w:val="en-US" w:eastAsia="zh-CN"/>
              </w:rPr>
              <w:t>06</w:t>
            </w:r>
            <w:r>
              <w:rPr>
                <w:rFonts w:hint="eastAsia" w:ascii="宋体" w:hAnsi="宋体" w:eastAsia="宋体" w:cs="宋体"/>
                <w:i w:val="0"/>
                <w:caps w:val="0"/>
                <w:color w:val="auto"/>
                <w:spacing w:val="0"/>
                <w:sz w:val="24"/>
                <w:szCs w:val="24"/>
              </w:rPr>
              <w:t>日</w:t>
            </w:r>
            <w:r>
              <w:rPr>
                <w:rFonts w:hint="eastAsia" w:ascii="宋体" w:eastAsia="宋体" w:cs="宋体"/>
                <w:i w:val="0"/>
                <w:caps w:val="0"/>
                <w:color w:val="auto"/>
                <w:spacing w:val="0"/>
                <w:sz w:val="24"/>
                <w:szCs w:val="24"/>
                <w:u w:val="single"/>
                <w:lang w:val="en-US" w:eastAsia="zh-CN"/>
              </w:rPr>
              <w:t>09</w:t>
            </w:r>
            <w:r>
              <w:rPr>
                <w:rFonts w:hint="eastAsia" w:ascii="宋体" w:hAnsi="宋体" w:eastAsia="宋体" w:cs="宋体"/>
                <w:i w:val="0"/>
                <w:caps w:val="0"/>
                <w:color w:val="auto"/>
                <w:spacing w:val="0"/>
                <w:sz w:val="24"/>
                <w:szCs w:val="24"/>
              </w:rPr>
              <w:t>时</w:t>
            </w:r>
            <w:r>
              <w:rPr>
                <w:rFonts w:hint="eastAsia" w:ascii="宋体" w:eastAsia="宋体" w:cs="宋体"/>
                <w:i w:val="0"/>
                <w:caps w:val="0"/>
                <w:color w:val="auto"/>
                <w:spacing w:val="0"/>
                <w:sz w:val="24"/>
                <w:szCs w:val="24"/>
                <w:u w:val="single"/>
                <w:lang w:val="en-US" w:eastAsia="zh-CN"/>
              </w:rPr>
              <w:t>30</w:t>
            </w:r>
            <w:r>
              <w:rPr>
                <w:rFonts w:hint="eastAsia" w:ascii="宋体" w:hAnsi="宋体" w:eastAsia="宋体" w:cs="宋体"/>
                <w:i w:val="0"/>
                <w:caps w:val="0"/>
                <w:color w:val="auto"/>
                <w:spacing w:val="0"/>
                <w:sz w:val="24"/>
                <w:szCs w:val="24"/>
              </w:rPr>
              <w:t>分</w:t>
            </w:r>
          </w:p>
        </w:tc>
      </w:tr>
      <w:tr w14:paraId="530BF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600" w:type="dxa"/>
            <w:noWrap w:val="0"/>
            <w:vAlign w:val="center"/>
          </w:tcPr>
          <w:p w14:paraId="47E57367">
            <w:pPr>
              <w:pStyle w:val="18"/>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7</w:t>
            </w:r>
          </w:p>
        </w:tc>
        <w:tc>
          <w:tcPr>
            <w:tcW w:w="1455" w:type="dxa"/>
            <w:noWrap w:val="0"/>
            <w:vAlign w:val="center"/>
          </w:tcPr>
          <w:p w14:paraId="0DC8DF67">
            <w:pPr>
              <w:pStyle w:val="18"/>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投标相关资料（如有）</w:t>
            </w:r>
          </w:p>
          <w:p w14:paraId="2ECEBCC3">
            <w:pPr>
              <w:pStyle w:val="18"/>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递交时间</w:t>
            </w:r>
          </w:p>
        </w:tc>
        <w:tc>
          <w:tcPr>
            <w:tcW w:w="7124" w:type="dxa"/>
            <w:noWrap w:val="0"/>
            <w:vAlign w:val="center"/>
          </w:tcPr>
          <w:p w14:paraId="4746B33B">
            <w:pPr>
              <w:pStyle w:val="18"/>
              <w:tabs>
                <w:tab w:val="left" w:pos="1890"/>
              </w:tabs>
              <w:wordWrap w:val="0"/>
              <w:adjustRightInd w:val="0"/>
              <w:snapToGrid w:val="0"/>
              <w:spacing w:line="400" w:lineRule="exact"/>
              <w:jc w:val="left"/>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 xml:space="preserve">  </w:t>
            </w:r>
            <w:r>
              <w:rPr>
                <w:rFonts w:hint="eastAsia" w:ascii="宋体" w:eastAsia="宋体" w:cs="宋体"/>
                <w:i w:val="0"/>
                <w:caps w:val="0"/>
                <w:color w:val="auto"/>
                <w:spacing w:val="0"/>
                <w:sz w:val="24"/>
                <w:szCs w:val="24"/>
                <w:u w:val="single"/>
                <w:lang w:val="en-US" w:eastAsia="zh-CN"/>
              </w:rPr>
              <w:t>2026</w:t>
            </w:r>
            <w:r>
              <w:rPr>
                <w:rFonts w:hint="eastAsia" w:ascii="宋体" w:hAnsi="宋体" w:eastAsia="宋体" w:cs="宋体"/>
                <w:i w:val="0"/>
                <w:caps w:val="0"/>
                <w:color w:val="auto"/>
                <w:spacing w:val="0"/>
                <w:sz w:val="24"/>
                <w:szCs w:val="24"/>
              </w:rPr>
              <w:t>年</w:t>
            </w:r>
            <w:r>
              <w:rPr>
                <w:rFonts w:hint="eastAsia" w:ascii="宋体" w:eastAsia="宋体" w:cs="宋体"/>
                <w:i w:val="0"/>
                <w:caps w:val="0"/>
                <w:color w:val="auto"/>
                <w:spacing w:val="0"/>
                <w:sz w:val="24"/>
                <w:szCs w:val="24"/>
                <w:u w:val="single"/>
                <w:lang w:val="en-US" w:eastAsia="zh-CN"/>
              </w:rPr>
              <w:t>02</w:t>
            </w:r>
            <w:r>
              <w:rPr>
                <w:rFonts w:hint="eastAsia" w:ascii="宋体" w:hAnsi="宋体" w:eastAsia="宋体" w:cs="宋体"/>
                <w:i w:val="0"/>
                <w:caps w:val="0"/>
                <w:color w:val="auto"/>
                <w:spacing w:val="0"/>
                <w:sz w:val="24"/>
                <w:szCs w:val="24"/>
              </w:rPr>
              <w:t>月</w:t>
            </w:r>
            <w:r>
              <w:rPr>
                <w:rFonts w:hint="eastAsia" w:ascii="宋体" w:eastAsia="宋体" w:cs="宋体"/>
                <w:i w:val="0"/>
                <w:caps w:val="0"/>
                <w:color w:val="auto"/>
                <w:spacing w:val="0"/>
                <w:sz w:val="24"/>
                <w:szCs w:val="24"/>
                <w:u w:val="single"/>
                <w:lang w:val="en-US" w:eastAsia="zh-CN"/>
              </w:rPr>
              <w:t>06</w:t>
            </w:r>
            <w:r>
              <w:rPr>
                <w:rFonts w:hint="eastAsia" w:ascii="宋体" w:hAnsi="宋体" w:eastAsia="宋体" w:cs="宋体"/>
                <w:i w:val="0"/>
                <w:caps w:val="0"/>
                <w:color w:val="auto"/>
                <w:spacing w:val="0"/>
                <w:sz w:val="24"/>
                <w:szCs w:val="24"/>
              </w:rPr>
              <w:t>日</w:t>
            </w:r>
            <w:r>
              <w:rPr>
                <w:rFonts w:hint="eastAsia" w:ascii="宋体" w:eastAsia="宋体" w:cs="宋体"/>
                <w:i w:val="0"/>
                <w:caps w:val="0"/>
                <w:color w:val="auto"/>
                <w:spacing w:val="0"/>
                <w:sz w:val="24"/>
                <w:szCs w:val="24"/>
                <w:u w:val="single"/>
                <w:lang w:val="en-US" w:eastAsia="zh-CN"/>
              </w:rPr>
              <w:t>09</w:t>
            </w:r>
            <w:r>
              <w:rPr>
                <w:rFonts w:hint="eastAsia" w:ascii="宋体" w:hAnsi="宋体" w:eastAsia="宋体" w:cs="宋体"/>
                <w:i w:val="0"/>
                <w:caps w:val="0"/>
                <w:color w:val="auto"/>
                <w:spacing w:val="0"/>
                <w:sz w:val="24"/>
                <w:szCs w:val="24"/>
              </w:rPr>
              <w:t>时</w:t>
            </w:r>
            <w:r>
              <w:rPr>
                <w:rFonts w:hint="eastAsia" w:ascii="宋体" w:eastAsia="宋体" w:cs="宋体"/>
                <w:i w:val="0"/>
                <w:caps w:val="0"/>
                <w:color w:val="auto"/>
                <w:spacing w:val="0"/>
                <w:sz w:val="24"/>
                <w:szCs w:val="24"/>
                <w:u w:val="single"/>
                <w:lang w:val="en-US" w:eastAsia="zh-CN"/>
              </w:rPr>
              <w:t>00</w:t>
            </w:r>
            <w:r>
              <w:rPr>
                <w:rFonts w:hint="eastAsia" w:ascii="宋体" w:hAnsi="宋体" w:eastAsia="宋体" w:cs="宋体"/>
                <w:i w:val="0"/>
                <w:caps w:val="0"/>
                <w:color w:val="auto"/>
                <w:spacing w:val="0"/>
                <w:sz w:val="24"/>
                <w:szCs w:val="24"/>
              </w:rPr>
              <w:t>分</w:t>
            </w:r>
            <w:r>
              <w:rPr>
                <w:rFonts w:hint="eastAsia" w:ascii="宋体" w:hAnsi="宋体" w:eastAsia="宋体" w:cs="宋体"/>
                <w:color w:val="auto"/>
                <w:kern w:val="2"/>
                <w:sz w:val="24"/>
                <w:szCs w:val="24"/>
                <w:highlight w:val="none"/>
                <w:lang w:val="en-US" w:eastAsia="zh-CN" w:bidi="ar-SA"/>
              </w:rPr>
              <w:t>至</w:t>
            </w:r>
            <w:r>
              <w:rPr>
                <w:rFonts w:hint="eastAsia" w:ascii="宋体" w:eastAsia="宋体" w:cs="宋体"/>
                <w:i w:val="0"/>
                <w:caps w:val="0"/>
                <w:color w:val="auto"/>
                <w:spacing w:val="0"/>
                <w:sz w:val="24"/>
                <w:szCs w:val="24"/>
                <w:u w:val="single"/>
                <w:lang w:val="en-US" w:eastAsia="zh-CN"/>
              </w:rPr>
              <w:t>2026</w:t>
            </w:r>
            <w:r>
              <w:rPr>
                <w:rFonts w:hint="eastAsia" w:ascii="宋体" w:hAnsi="宋体" w:eastAsia="宋体" w:cs="宋体"/>
                <w:i w:val="0"/>
                <w:caps w:val="0"/>
                <w:color w:val="auto"/>
                <w:spacing w:val="0"/>
                <w:sz w:val="24"/>
                <w:szCs w:val="24"/>
              </w:rPr>
              <w:t>年</w:t>
            </w:r>
            <w:r>
              <w:rPr>
                <w:rFonts w:hint="eastAsia" w:ascii="宋体" w:eastAsia="宋体" w:cs="宋体"/>
                <w:i w:val="0"/>
                <w:caps w:val="0"/>
                <w:color w:val="auto"/>
                <w:spacing w:val="0"/>
                <w:sz w:val="24"/>
                <w:szCs w:val="24"/>
                <w:u w:val="single"/>
                <w:lang w:val="en-US" w:eastAsia="zh-CN"/>
              </w:rPr>
              <w:t>02</w:t>
            </w:r>
            <w:r>
              <w:rPr>
                <w:rFonts w:hint="eastAsia" w:ascii="宋体" w:hAnsi="宋体" w:eastAsia="宋体" w:cs="宋体"/>
                <w:i w:val="0"/>
                <w:caps w:val="0"/>
                <w:color w:val="auto"/>
                <w:spacing w:val="0"/>
                <w:sz w:val="24"/>
                <w:szCs w:val="24"/>
              </w:rPr>
              <w:t>月</w:t>
            </w:r>
            <w:r>
              <w:rPr>
                <w:rFonts w:hint="eastAsia" w:ascii="宋体" w:eastAsia="宋体" w:cs="宋体"/>
                <w:i w:val="0"/>
                <w:caps w:val="0"/>
                <w:color w:val="auto"/>
                <w:spacing w:val="0"/>
                <w:sz w:val="24"/>
                <w:szCs w:val="24"/>
                <w:u w:val="single"/>
                <w:lang w:val="en-US" w:eastAsia="zh-CN"/>
              </w:rPr>
              <w:t>06</w:t>
            </w:r>
            <w:r>
              <w:rPr>
                <w:rFonts w:hint="eastAsia" w:ascii="宋体" w:hAnsi="宋体" w:eastAsia="宋体" w:cs="宋体"/>
                <w:i w:val="0"/>
                <w:caps w:val="0"/>
                <w:color w:val="auto"/>
                <w:spacing w:val="0"/>
                <w:sz w:val="24"/>
                <w:szCs w:val="24"/>
              </w:rPr>
              <w:t>日</w:t>
            </w:r>
            <w:r>
              <w:rPr>
                <w:rFonts w:hint="eastAsia" w:ascii="宋体" w:eastAsia="宋体" w:cs="宋体"/>
                <w:i w:val="0"/>
                <w:caps w:val="0"/>
                <w:color w:val="auto"/>
                <w:spacing w:val="0"/>
                <w:sz w:val="24"/>
                <w:szCs w:val="24"/>
                <w:u w:val="single"/>
                <w:lang w:val="en-US" w:eastAsia="zh-CN"/>
              </w:rPr>
              <w:t>09</w:t>
            </w:r>
            <w:r>
              <w:rPr>
                <w:rFonts w:hint="eastAsia" w:ascii="宋体" w:hAnsi="宋体" w:eastAsia="宋体" w:cs="宋体"/>
                <w:i w:val="0"/>
                <w:caps w:val="0"/>
                <w:color w:val="auto"/>
                <w:spacing w:val="0"/>
                <w:sz w:val="24"/>
                <w:szCs w:val="24"/>
              </w:rPr>
              <w:t>时</w:t>
            </w:r>
            <w:r>
              <w:rPr>
                <w:rFonts w:hint="eastAsia" w:ascii="宋体" w:eastAsia="宋体" w:cs="宋体"/>
                <w:i w:val="0"/>
                <w:caps w:val="0"/>
                <w:color w:val="auto"/>
                <w:spacing w:val="0"/>
                <w:sz w:val="24"/>
                <w:szCs w:val="24"/>
                <w:u w:val="single"/>
                <w:lang w:val="en-US" w:eastAsia="zh-CN"/>
              </w:rPr>
              <w:t>30</w:t>
            </w:r>
            <w:r>
              <w:rPr>
                <w:rFonts w:hint="eastAsia" w:ascii="宋体" w:hAnsi="宋体" w:eastAsia="宋体" w:cs="宋体"/>
                <w:i w:val="0"/>
                <w:caps w:val="0"/>
                <w:color w:val="auto"/>
                <w:spacing w:val="0"/>
                <w:sz w:val="24"/>
                <w:szCs w:val="24"/>
              </w:rPr>
              <w:t>分</w:t>
            </w:r>
          </w:p>
        </w:tc>
      </w:tr>
      <w:tr w14:paraId="53F51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600" w:type="dxa"/>
            <w:noWrap w:val="0"/>
            <w:vAlign w:val="center"/>
          </w:tcPr>
          <w:p w14:paraId="3E538FEB">
            <w:pPr>
              <w:pStyle w:val="18"/>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8</w:t>
            </w:r>
          </w:p>
        </w:tc>
        <w:tc>
          <w:tcPr>
            <w:tcW w:w="1455" w:type="dxa"/>
            <w:noWrap w:val="0"/>
            <w:vAlign w:val="center"/>
          </w:tcPr>
          <w:p w14:paraId="44FD479C">
            <w:pPr>
              <w:pStyle w:val="18"/>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投标相关资料（如有）</w:t>
            </w:r>
          </w:p>
          <w:p w14:paraId="468BEEA4">
            <w:pPr>
              <w:pStyle w:val="18"/>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递交地点</w:t>
            </w:r>
          </w:p>
        </w:tc>
        <w:tc>
          <w:tcPr>
            <w:tcW w:w="7124" w:type="dxa"/>
            <w:noWrap w:val="0"/>
            <w:vAlign w:val="center"/>
          </w:tcPr>
          <w:p w14:paraId="342F47A3">
            <w:pPr>
              <w:pStyle w:val="18"/>
              <w:tabs>
                <w:tab w:val="left" w:pos="1890"/>
              </w:tabs>
              <w:wordWrap w:val="0"/>
              <w:adjustRightInd w:val="0"/>
              <w:snapToGrid w:val="0"/>
              <w:spacing w:line="400" w:lineRule="exact"/>
              <w:ind w:firstLine="240" w:firstLineChars="100"/>
              <w:jc w:val="left"/>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递交场所：</w:t>
            </w:r>
            <w:r>
              <w:rPr>
                <w:rFonts w:hint="eastAsia" w:ascii="宋体" w:hAnsi="宋体" w:eastAsia="宋体" w:cs="宋体"/>
                <w:color w:val="auto"/>
                <w:kern w:val="2"/>
                <w:sz w:val="24"/>
                <w:szCs w:val="24"/>
                <w:highlight w:val="none"/>
                <w:u w:val="single"/>
                <w:lang w:val="en-US" w:eastAsia="zh-CN" w:bidi="ar-SA"/>
              </w:rPr>
              <w:t>韶关市公共资源交易中心</w:t>
            </w:r>
            <w:r>
              <w:rPr>
                <w:rFonts w:hint="eastAsia" w:ascii="宋体" w:hAnsi="宋体" w:eastAsia="宋体" w:cs="宋体"/>
                <w:color w:val="auto"/>
                <w:kern w:val="2"/>
                <w:sz w:val="24"/>
                <w:szCs w:val="24"/>
                <w:highlight w:val="none"/>
                <w:lang w:val="en-US" w:eastAsia="zh-CN" w:bidi="ar-SA"/>
              </w:rPr>
              <w:t>，地址：</w:t>
            </w:r>
            <w:r>
              <w:rPr>
                <w:rFonts w:hint="eastAsia" w:ascii="宋体" w:hAnsi="宋体" w:eastAsia="宋体" w:cs="宋体"/>
                <w:color w:val="auto"/>
                <w:kern w:val="2"/>
                <w:sz w:val="24"/>
                <w:szCs w:val="24"/>
                <w:highlight w:val="none"/>
                <w:u w:val="single"/>
                <w:lang w:val="en-US" w:eastAsia="zh-CN" w:bidi="ar-SA"/>
              </w:rPr>
              <w:t>广东省韶关市武江区西联镇</w:t>
            </w:r>
            <w:r>
              <w:rPr>
                <w:rFonts w:hint="eastAsia" w:ascii="宋体" w:hAnsi="宋体" w:eastAsia="宋体" w:cs="宋体"/>
                <w:color w:val="auto"/>
                <w:kern w:val="2"/>
                <w:sz w:val="24"/>
                <w:szCs w:val="24"/>
                <w:highlight w:val="none"/>
                <w:lang w:val="en-US" w:eastAsia="zh-CN" w:bidi="ar-SA"/>
              </w:rPr>
              <w:t>，具体房间号以当日现场通知为准。</w:t>
            </w:r>
          </w:p>
        </w:tc>
      </w:tr>
      <w:tr w14:paraId="1FB3A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600" w:type="dxa"/>
            <w:noWrap w:val="0"/>
            <w:vAlign w:val="center"/>
          </w:tcPr>
          <w:p w14:paraId="4192A1C6">
            <w:pPr>
              <w:pStyle w:val="14"/>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w:t>
            </w:r>
          </w:p>
        </w:tc>
        <w:tc>
          <w:tcPr>
            <w:tcW w:w="1455" w:type="dxa"/>
            <w:noWrap w:val="0"/>
            <w:vAlign w:val="center"/>
          </w:tcPr>
          <w:p w14:paraId="5DCF4FEE">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开标时间</w:t>
            </w:r>
          </w:p>
        </w:tc>
        <w:tc>
          <w:tcPr>
            <w:tcW w:w="7124" w:type="dxa"/>
            <w:noWrap w:val="0"/>
            <w:vAlign w:val="center"/>
          </w:tcPr>
          <w:p w14:paraId="187BBF50">
            <w:pPr>
              <w:pStyle w:val="14"/>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left"/>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 </w:t>
            </w:r>
            <w:r>
              <w:rPr>
                <w:rFonts w:hint="eastAsia" w:ascii="宋体" w:eastAsia="宋体" w:cs="宋体"/>
                <w:i w:val="0"/>
                <w:caps w:val="0"/>
                <w:color w:val="auto"/>
                <w:spacing w:val="0"/>
                <w:sz w:val="24"/>
                <w:szCs w:val="24"/>
                <w:u w:val="single"/>
                <w:lang w:val="en-US" w:eastAsia="zh-CN"/>
              </w:rPr>
              <w:t>2026</w:t>
            </w:r>
            <w:r>
              <w:rPr>
                <w:rFonts w:hint="eastAsia" w:ascii="宋体" w:hAnsi="宋体" w:eastAsia="宋体" w:cs="宋体"/>
                <w:i w:val="0"/>
                <w:caps w:val="0"/>
                <w:color w:val="auto"/>
                <w:spacing w:val="0"/>
                <w:sz w:val="24"/>
                <w:szCs w:val="24"/>
              </w:rPr>
              <w:t>年</w:t>
            </w:r>
            <w:r>
              <w:rPr>
                <w:rFonts w:hint="eastAsia" w:ascii="宋体" w:eastAsia="宋体" w:cs="宋体"/>
                <w:i w:val="0"/>
                <w:caps w:val="0"/>
                <w:color w:val="auto"/>
                <w:spacing w:val="0"/>
                <w:sz w:val="24"/>
                <w:szCs w:val="24"/>
                <w:u w:val="single"/>
                <w:lang w:val="en-US" w:eastAsia="zh-CN"/>
              </w:rPr>
              <w:t>02</w:t>
            </w:r>
            <w:r>
              <w:rPr>
                <w:rFonts w:hint="eastAsia" w:ascii="宋体" w:hAnsi="宋体" w:eastAsia="宋体" w:cs="宋体"/>
                <w:i w:val="0"/>
                <w:caps w:val="0"/>
                <w:color w:val="auto"/>
                <w:spacing w:val="0"/>
                <w:sz w:val="24"/>
                <w:szCs w:val="24"/>
              </w:rPr>
              <w:t>月</w:t>
            </w:r>
            <w:r>
              <w:rPr>
                <w:rFonts w:hint="eastAsia" w:ascii="宋体" w:eastAsia="宋体" w:cs="宋体"/>
                <w:i w:val="0"/>
                <w:caps w:val="0"/>
                <w:color w:val="auto"/>
                <w:spacing w:val="0"/>
                <w:sz w:val="24"/>
                <w:szCs w:val="24"/>
                <w:u w:val="single"/>
                <w:lang w:val="en-US" w:eastAsia="zh-CN"/>
              </w:rPr>
              <w:t>06</w:t>
            </w:r>
            <w:r>
              <w:rPr>
                <w:rFonts w:hint="eastAsia" w:ascii="宋体" w:hAnsi="宋体" w:eastAsia="宋体" w:cs="宋体"/>
                <w:i w:val="0"/>
                <w:caps w:val="0"/>
                <w:color w:val="auto"/>
                <w:spacing w:val="0"/>
                <w:sz w:val="24"/>
                <w:szCs w:val="24"/>
              </w:rPr>
              <w:t>日</w:t>
            </w:r>
            <w:r>
              <w:rPr>
                <w:rFonts w:hint="eastAsia" w:ascii="宋体" w:eastAsia="宋体" w:cs="宋体"/>
                <w:i w:val="0"/>
                <w:caps w:val="0"/>
                <w:color w:val="auto"/>
                <w:spacing w:val="0"/>
                <w:sz w:val="24"/>
                <w:szCs w:val="24"/>
                <w:u w:val="single"/>
                <w:lang w:val="en-US" w:eastAsia="zh-CN"/>
              </w:rPr>
              <w:t>09</w:t>
            </w:r>
            <w:r>
              <w:rPr>
                <w:rFonts w:hint="eastAsia" w:ascii="宋体" w:hAnsi="宋体" w:eastAsia="宋体" w:cs="宋体"/>
                <w:i w:val="0"/>
                <w:caps w:val="0"/>
                <w:color w:val="auto"/>
                <w:spacing w:val="0"/>
                <w:sz w:val="24"/>
                <w:szCs w:val="24"/>
              </w:rPr>
              <w:t>时</w:t>
            </w:r>
            <w:r>
              <w:rPr>
                <w:rFonts w:hint="eastAsia" w:ascii="宋体" w:eastAsia="宋体" w:cs="宋体"/>
                <w:i w:val="0"/>
                <w:caps w:val="0"/>
                <w:color w:val="auto"/>
                <w:spacing w:val="0"/>
                <w:sz w:val="24"/>
                <w:szCs w:val="24"/>
                <w:u w:val="single"/>
                <w:lang w:val="en-US" w:eastAsia="zh-CN"/>
              </w:rPr>
              <w:t>30</w:t>
            </w:r>
            <w:r>
              <w:rPr>
                <w:rFonts w:hint="eastAsia" w:ascii="宋体" w:hAnsi="宋体" w:eastAsia="宋体" w:cs="宋体"/>
                <w:i w:val="0"/>
                <w:caps w:val="0"/>
                <w:color w:val="auto"/>
                <w:spacing w:val="0"/>
                <w:sz w:val="24"/>
                <w:szCs w:val="24"/>
              </w:rPr>
              <w:t>分</w:t>
            </w:r>
          </w:p>
        </w:tc>
      </w:tr>
      <w:tr w14:paraId="3532C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5" w:hRule="atLeast"/>
          <w:jc w:val="center"/>
        </w:trPr>
        <w:tc>
          <w:tcPr>
            <w:tcW w:w="600" w:type="dxa"/>
            <w:noWrap w:val="0"/>
            <w:vAlign w:val="center"/>
          </w:tcPr>
          <w:p w14:paraId="27112E13">
            <w:pPr>
              <w:pStyle w:val="14"/>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w:t>
            </w:r>
          </w:p>
        </w:tc>
        <w:tc>
          <w:tcPr>
            <w:tcW w:w="1455" w:type="dxa"/>
            <w:noWrap w:val="0"/>
            <w:vAlign w:val="center"/>
          </w:tcPr>
          <w:p w14:paraId="16A72770">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开标地点</w:t>
            </w:r>
          </w:p>
        </w:tc>
        <w:tc>
          <w:tcPr>
            <w:tcW w:w="7124" w:type="dxa"/>
            <w:noWrap w:val="0"/>
            <w:vAlign w:val="center"/>
          </w:tcPr>
          <w:p w14:paraId="25954705">
            <w:pPr>
              <w:pStyle w:val="14"/>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firstLine="210" w:firstLineChars="0"/>
              <w:jc w:val="left"/>
              <w:rPr>
                <w:rFonts w:hint="eastAsia" w:ascii="宋体" w:hAnsi="宋体" w:eastAsia="宋体" w:cs="宋体"/>
                <w:color w:val="auto"/>
                <w:sz w:val="24"/>
                <w:szCs w:val="24"/>
              </w:rPr>
            </w:pPr>
            <w:r>
              <w:rPr>
                <w:rFonts w:hint="eastAsia" w:ascii="宋体" w:hAnsi="宋体" w:eastAsia="宋体" w:cs="宋体"/>
                <w:color w:val="auto"/>
                <w:kern w:val="2"/>
                <w:sz w:val="24"/>
                <w:szCs w:val="24"/>
                <w:highlight w:val="none"/>
                <w:lang w:val="en-US" w:eastAsia="zh-CN" w:bidi="ar-SA"/>
              </w:rPr>
              <w:t>开标场所：</w:t>
            </w:r>
            <w:r>
              <w:rPr>
                <w:rFonts w:hint="eastAsia" w:ascii="宋体" w:hAnsi="宋体" w:eastAsia="宋体" w:cs="宋体"/>
                <w:color w:val="auto"/>
                <w:kern w:val="2"/>
                <w:sz w:val="24"/>
                <w:szCs w:val="24"/>
                <w:highlight w:val="none"/>
                <w:u w:val="single"/>
                <w:lang w:val="en-US" w:eastAsia="zh-CN" w:bidi="ar-SA"/>
              </w:rPr>
              <w:t>韶关市公共资源交易中心</w:t>
            </w:r>
            <w:r>
              <w:rPr>
                <w:rFonts w:hint="eastAsia" w:ascii="宋体" w:hAnsi="宋体" w:eastAsia="宋体" w:cs="宋体"/>
                <w:color w:val="auto"/>
                <w:kern w:val="2"/>
                <w:sz w:val="24"/>
                <w:szCs w:val="24"/>
                <w:highlight w:val="none"/>
                <w:lang w:val="en-US" w:eastAsia="zh-CN" w:bidi="ar-SA"/>
              </w:rPr>
              <w:t>，地址：</w:t>
            </w:r>
            <w:r>
              <w:rPr>
                <w:rFonts w:hint="eastAsia" w:ascii="宋体" w:hAnsi="宋体" w:eastAsia="宋体" w:cs="宋体"/>
                <w:color w:val="auto"/>
                <w:kern w:val="2"/>
                <w:sz w:val="24"/>
                <w:szCs w:val="24"/>
                <w:highlight w:val="none"/>
                <w:u w:val="single"/>
                <w:lang w:val="en-US" w:eastAsia="zh-CN" w:bidi="ar-SA"/>
              </w:rPr>
              <w:t>广东省韶关市武江区西联镇</w:t>
            </w:r>
            <w:r>
              <w:rPr>
                <w:rFonts w:hint="eastAsia" w:ascii="宋体" w:hAnsi="宋体" w:eastAsia="宋体" w:cs="宋体"/>
                <w:color w:val="auto"/>
                <w:kern w:val="2"/>
                <w:sz w:val="24"/>
                <w:szCs w:val="24"/>
                <w:highlight w:val="none"/>
                <w:lang w:val="en-US" w:eastAsia="zh-CN" w:bidi="ar-SA"/>
              </w:rPr>
              <w:t>，具体房间号以当日现场通知为准。</w:t>
            </w:r>
          </w:p>
        </w:tc>
      </w:tr>
      <w:tr w14:paraId="764EF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0" w:hRule="atLeast"/>
          <w:jc w:val="center"/>
        </w:trPr>
        <w:tc>
          <w:tcPr>
            <w:tcW w:w="600" w:type="dxa"/>
            <w:noWrap w:val="0"/>
            <w:vAlign w:val="center"/>
          </w:tcPr>
          <w:p w14:paraId="11F6DE2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i w:val="0"/>
                <w:caps w:val="0"/>
                <w:color w:val="auto"/>
                <w:spacing w:val="0"/>
                <w:sz w:val="24"/>
                <w:szCs w:val="24"/>
                <w:lang w:val="en-US"/>
              </w:rPr>
            </w:pPr>
            <w:r>
              <w:rPr>
                <w:rFonts w:hint="eastAsia" w:ascii="宋体" w:hAnsi="宋体" w:eastAsia="宋体" w:cs="宋体"/>
                <w:color w:val="auto"/>
                <w:kern w:val="2"/>
                <w:sz w:val="24"/>
                <w:szCs w:val="24"/>
                <w:highlight w:val="none"/>
                <w:lang w:val="en-US" w:eastAsia="zh-CN" w:bidi="ar-SA"/>
              </w:rPr>
              <w:t>11</w:t>
            </w:r>
          </w:p>
        </w:tc>
        <w:tc>
          <w:tcPr>
            <w:tcW w:w="1455" w:type="dxa"/>
            <w:noWrap w:val="0"/>
            <w:vAlign w:val="center"/>
          </w:tcPr>
          <w:p w14:paraId="23088A91">
            <w:pPr>
              <w:pStyle w:val="18"/>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其他</w:t>
            </w:r>
          </w:p>
        </w:tc>
        <w:tc>
          <w:tcPr>
            <w:tcW w:w="7124" w:type="dxa"/>
            <w:noWrap w:val="0"/>
            <w:vAlign w:val="center"/>
          </w:tcPr>
          <w:p w14:paraId="0150D6F6">
            <w:pPr>
              <w:pStyle w:val="18"/>
              <w:tabs>
                <w:tab w:val="left" w:pos="1890"/>
              </w:tabs>
              <w:wordWrap w:val="0"/>
              <w:adjustRightInd w:val="0"/>
              <w:snapToGrid w:val="0"/>
              <w:spacing w:line="400" w:lineRule="exact"/>
              <w:ind w:firstLine="240" w:firstLineChars="100"/>
              <w:jc w:val="left"/>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投标人应按有关计划时间安排办理企业CA认证、企业入库等，投标人自行下载招标文件、资料文件及招标答疑书等。若由于投标人自身原因未能及时取得上述资料的，由此发生的任何责任由投标人自负。</w:t>
            </w:r>
          </w:p>
        </w:tc>
      </w:tr>
    </w:tbl>
    <w:p w14:paraId="34606EF1">
      <w:pPr>
        <w:bidi w:val="0"/>
        <w:rPr>
          <w:rFonts w:hint="eastAsia" w:ascii="宋体" w:hAnsi="宋体" w:eastAsia="宋体" w:cs="宋体"/>
          <w:color w:val="000000"/>
        </w:rPr>
      </w:pPr>
    </w:p>
    <w:p w14:paraId="223329DF">
      <w:pPr>
        <w:pStyle w:val="2"/>
        <w:rPr>
          <w:rFonts w:hint="eastAsia" w:ascii="宋体" w:hAnsi="宋体" w:eastAsia="宋体" w:cs="宋体"/>
          <w:color w:val="000000"/>
        </w:rPr>
      </w:pPr>
    </w:p>
    <w:p w14:paraId="499AAE59">
      <w:pPr>
        <w:rPr>
          <w:rFonts w:hint="eastAsia" w:ascii="宋体" w:hAnsi="宋体" w:eastAsia="宋体" w:cs="宋体"/>
          <w:color w:val="000000"/>
        </w:rPr>
      </w:pPr>
    </w:p>
    <w:p w14:paraId="480FDCCF">
      <w:pPr>
        <w:pStyle w:val="3"/>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rPr>
      </w:pPr>
      <w:bookmarkStart w:id="18" w:name="_Toc11282"/>
      <w:r>
        <w:rPr>
          <w:rFonts w:hint="eastAsia" w:ascii="宋体" w:hAnsi="宋体" w:eastAsia="宋体" w:cs="宋体"/>
          <w:color w:val="000000"/>
        </w:rPr>
        <w:t>第二章  投标人须知</w:t>
      </w:r>
      <w:bookmarkEnd w:id="18"/>
    </w:p>
    <w:p w14:paraId="4CB843C2">
      <w:pPr>
        <w:pStyle w:val="4"/>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rPr>
      </w:pPr>
      <w:bookmarkStart w:id="19" w:name="_Toc9017"/>
      <w:r>
        <w:rPr>
          <w:rFonts w:hint="eastAsia" w:ascii="宋体" w:hAnsi="宋体" w:eastAsia="宋体" w:cs="宋体"/>
          <w:color w:val="000000"/>
        </w:rPr>
        <w:t>投标人须知前附表</w:t>
      </w:r>
      <w:bookmarkEnd w:id="19"/>
    </w:p>
    <w:tbl>
      <w:tblPr>
        <w:tblStyle w:val="15"/>
        <w:tblW w:w="98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8"/>
        <w:gridCol w:w="1661"/>
        <w:gridCol w:w="7285"/>
      </w:tblGrid>
      <w:tr w14:paraId="7407F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868" w:type="dxa"/>
            <w:noWrap w:val="0"/>
            <w:vAlign w:val="center"/>
          </w:tcPr>
          <w:p w14:paraId="04830405">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条款号</w:t>
            </w:r>
          </w:p>
        </w:tc>
        <w:tc>
          <w:tcPr>
            <w:tcW w:w="1661" w:type="dxa"/>
            <w:noWrap w:val="0"/>
            <w:vAlign w:val="center"/>
          </w:tcPr>
          <w:p w14:paraId="732CA8CB">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条款名称</w:t>
            </w:r>
          </w:p>
        </w:tc>
        <w:tc>
          <w:tcPr>
            <w:tcW w:w="7285" w:type="dxa"/>
            <w:noWrap w:val="0"/>
            <w:vAlign w:val="center"/>
          </w:tcPr>
          <w:p w14:paraId="6012C920">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编  列  内  容</w:t>
            </w:r>
          </w:p>
        </w:tc>
      </w:tr>
      <w:tr w14:paraId="07CE4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868" w:type="dxa"/>
            <w:noWrap w:val="0"/>
            <w:vAlign w:val="center"/>
          </w:tcPr>
          <w:p w14:paraId="25A2EAF5">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1.1.2</w:t>
            </w:r>
          </w:p>
        </w:tc>
        <w:tc>
          <w:tcPr>
            <w:tcW w:w="1661" w:type="dxa"/>
            <w:noWrap w:val="0"/>
            <w:vAlign w:val="center"/>
          </w:tcPr>
          <w:p w14:paraId="54F28717">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招标人</w:t>
            </w:r>
          </w:p>
        </w:tc>
        <w:tc>
          <w:tcPr>
            <w:tcW w:w="7285" w:type="dxa"/>
            <w:noWrap w:val="0"/>
            <w:vAlign w:val="center"/>
          </w:tcPr>
          <w:p w14:paraId="7BABF395">
            <w:pPr>
              <w:keepNext w:val="0"/>
              <w:keepLines w:val="0"/>
              <w:pageBreakBefore w:val="0"/>
              <w:kinsoku/>
              <w:wordWrap/>
              <w:overflowPunct/>
              <w:topLinePunct w:val="0"/>
              <w:autoSpaceDE/>
              <w:autoSpaceDN/>
              <w:bidi w:val="0"/>
              <w:adjustRightInd w:val="0"/>
              <w:snapToGrid w:val="0"/>
              <w:spacing w:line="240" w:lineRule="auto"/>
              <w:ind w:firstLine="480" w:firstLineChars="200"/>
              <w:outlineLvl w:val="1"/>
              <w:rPr>
                <w:rFonts w:hint="eastAsia"/>
                <w:lang w:eastAsia="zh-CN"/>
              </w:rPr>
            </w:pPr>
            <w:r>
              <w:rPr>
                <w:rFonts w:hint="eastAsia" w:ascii="宋体" w:hAnsi="宋体" w:eastAsia="宋体" w:cs="宋体"/>
                <w:color w:val="000000"/>
                <w:sz w:val="24"/>
                <w:szCs w:val="24"/>
                <w:highlight w:val="none"/>
                <w:lang w:eastAsia="zh-CN"/>
              </w:rPr>
              <w:t>韶关市武江区江湾镇人民政府</w:t>
            </w:r>
          </w:p>
        </w:tc>
      </w:tr>
      <w:tr w14:paraId="29CF8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68" w:type="dxa"/>
            <w:noWrap w:val="0"/>
            <w:vAlign w:val="center"/>
          </w:tcPr>
          <w:p w14:paraId="23FB53C4">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1.1.3</w:t>
            </w:r>
          </w:p>
        </w:tc>
        <w:tc>
          <w:tcPr>
            <w:tcW w:w="1661" w:type="dxa"/>
            <w:noWrap w:val="0"/>
            <w:vAlign w:val="center"/>
          </w:tcPr>
          <w:p w14:paraId="5A01EAAF">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招标代理机构</w:t>
            </w:r>
          </w:p>
        </w:tc>
        <w:tc>
          <w:tcPr>
            <w:tcW w:w="7285" w:type="dxa"/>
            <w:noWrap w:val="0"/>
            <w:vAlign w:val="center"/>
          </w:tcPr>
          <w:p w14:paraId="3093C539">
            <w:pPr>
              <w:keepNext w:val="0"/>
              <w:keepLines w:val="0"/>
              <w:pageBreakBefore w:val="0"/>
              <w:kinsoku/>
              <w:wordWrap/>
              <w:overflowPunct/>
              <w:topLinePunct w:val="0"/>
              <w:autoSpaceDE/>
              <w:autoSpaceDN/>
              <w:bidi w:val="0"/>
              <w:spacing w:line="500" w:lineRule="exact"/>
              <w:ind w:firstLine="480" w:firstLineChars="200"/>
              <w:rPr>
                <w:rFonts w:hint="eastAsia"/>
                <w:lang w:eastAsia="zh-CN"/>
              </w:rPr>
            </w:pPr>
            <w:r>
              <w:rPr>
                <w:rFonts w:hint="eastAsia" w:ascii="宋体" w:hAnsi="宋体" w:eastAsia="宋体" w:cs="宋体"/>
                <w:color w:val="000000"/>
                <w:sz w:val="24"/>
                <w:szCs w:val="24"/>
                <w:highlight w:val="none"/>
                <w:lang w:eastAsia="zh-CN"/>
              </w:rPr>
              <w:t>广东明正项目管理有限公司</w:t>
            </w:r>
          </w:p>
        </w:tc>
      </w:tr>
      <w:tr w14:paraId="0073A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68" w:type="dxa"/>
            <w:noWrap w:val="0"/>
            <w:vAlign w:val="center"/>
          </w:tcPr>
          <w:p w14:paraId="550A23B6">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1.1.4</w:t>
            </w:r>
          </w:p>
        </w:tc>
        <w:tc>
          <w:tcPr>
            <w:tcW w:w="1661" w:type="dxa"/>
            <w:noWrap w:val="0"/>
            <w:vAlign w:val="center"/>
          </w:tcPr>
          <w:p w14:paraId="5D6980C5">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项目名称</w:t>
            </w:r>
          </w:p>
        </w:tc>
        <w:tc>
          <w:tcPr>
            <w:tcW w:w="7285" w:type="dxa"/>
            <w:noWrap w:val="0"/>
            <w:vAlign w:val="center"/>
          </w:tcPr>
          <w:p w14:paraId="2E9E5250">
            <w:pPr>
              <w:keepNext w:val="0"/>
              <w:keepLines w:val="0"/>
              <w:pageBreakBefore w:val="0"/>
              <w:kinsoku/>
              <w:wordWrap/>
              <w:overflowPunct/>
              <w:topLinePunct w:val="0"/>
              <w:autoSpaceDE/>
              <w:autoSpaceDN/>
              <w:bidi w:val="0"/>
              <w:spacing w:line="500" w:lineRule="exact"/>
              <w:ind w:firstLine="480" w:firstLineChars="200"/>
              <w:rPr>
                <w:rFonts w:hint="eastAsia" w:ascii="宋体" w:hAnsi="宋体" w:eastAsia="宋体" w:cs="宋体"/>
                <w:color w:val="000000"/>
                <w:sz w:val="24"/>
                <w:szCs w:val="24"/>
                <w:highlight w:val="none"/>
              </w:rPr>
            </w:pPr>
            <w:r>
              <w:rPr>
                <w:rFonts w:hint="eastAsia" w:ascii="宋体" w:hAnsi="宋体" w:cs="宋体"/>
                <w:color w:val="000000"/>
                <w:sz w:val="24"/>
                <w:szCs w:val="24"/>
                <w:highlight w:val="none"/>
                <w:lang w:eastAsia="zh-CN"/>
              </w:rPr>
              <w:t>广东省韶关市武江区农业产业基础设施建设项目-武江区2026年农业产业基础设施建设项目（江湾镇）勘察设计</w:t>
            </w:r>
          </w:p>
        </w:tc>
      </w:tr>
      <w:tr w14:paraId="65D81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68" w:type="dxa"/>
            <w:noWrap w:val="0"/>
            <w:vAlign w:val="center"/>
          </w:tcPr>
          <w:p w14:paraId="79C4D1B7">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1.1.5</w:t>
            </w:r>
          </w:p>
        </w:tc>
        <w:tc>
          <w:tcPr>
            <w:tcW w:w="1661" w:type="dxa"/>
            <w:noWrap w:val="0"/>
            <w:vAlign w:val="center"/>
          </w:tcPr>
          <w:p w14:paraId="4DAB334C">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建设地点</w:t>
            </w:r>
          </w:p>
        </w:tc>
        <w:tc>
          <w:tcPr>
            <w:tcW w:w="7285" w:type="dxa"/>
            <w:noWrap w:val="0"/>
            <w:vAlign w:val="center"/>
          </w:tcPr>
          <w:p w14:paraId="62C4E8FF">
            <w:pPr>
              <w:keepNext w:val="0"/>
              <w:keepLines w:val="0"/>
              <w:pageBreakBefore w:val="0"/>
              <w:kinsoku/>
              <w:wordWrap/>
              <w:overflowPunct/>
              <w:topLinePunct w:val="0"/>
              <w:autoSpaceDE/>
              <w:autoSpaceDN/>
              <w:bidi w:val="0"/>
              <w:adjustRightInd w:val="0"/>
              <w:snapToGrid w:val="0"/>
              <w:spacing w:line="500" w:lineRule="exact"/>
              <w:ind w:firstLine="480" w:firstLineChars="200"/>
              <w:outlineLvl w:val="1"/>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韶关市武江区江湾镇</w:t>
            </w:r>
          </w:p>
        </w:tc>
      </w:tr>
      <w:tr w14:paraId="18B52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868" w:type="dxa"/>
            <w:noWrap w:val="0"/>
            <w:vAlign w:val="center"/>
          </w:tcPr>
          <w:p w14:paraId="6DD7E84F">
            <w:pPr>
              <w:keepNext w:val="0"/>
              <w:keepLines w:val="0"/>
              <w:pageBreakBefore w:val="0"/>
              <w:kinsoku/>
              <w:wordWrap/>
              <w:overflowPunct/>
              <w:topLinePunct w:val="0"/>
              <w:autoSpaceDE/>
              <w:autoSpaceDN/>
              <w:bidi w:val="0"/>
              <w:spacing w:line="500" w:lineRule="exact"/>
              <w:jc w:val="center"/>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1.1.6</w:t>
            </w:r>
          </w:p>
        </w:tc>
        <w:tc>
          <w:tcPr>
            <w:tcW w:w="1661" w:type="dxa"/>
            <w:noWrap w:val="0"/>
            <w:vAlign w:val="center"/>
          </w:tcPr>
          <w:p w14:paraId="618CFA25">
            <w:pPr>
              <w:keepNext w:val="0"/>
              <w:keepLines w:val="0"/>
              <w:pageBreakBefore w:val="0"/>
              <w:widowControl/>
              <w:kinsoku/>
              <w:wordWrap/>
              <w:overflowPunct/>
              <w:topLinePunct w:val="0"/>
              <w:autoSpaceDE/>
              <w:autoSpaceDN/>
              <w:bidi w:val="0"/>
              <w:spacing w:line="500" w:lineRule="exact"/>
              <w:jc w:val="left"/>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lang w:eastAsia="zh-CN"/>
              </w:rPr>
              <w:t>招标监督机构</w:t>
            </w:r>
          </w:p>
        </w:tc>
        <w:tc>
          <w:tcPr>
            <w:tcW w:w="7285" w:type="dxa"/>
            <w:noWrap w:val="0"/>
            <w:vAlign w:val="center"/>
          </w:tcPr>
          <w:p w14:paraId="3D7C55C8">
            <w:pPr>
              <w:keepNext w:val="0"/>
              <w:keepLines w:val="0"/>
              <w:pageBreakBefore w:val="0"/>
              <w:widowControl/>
              <w:kinsoku/>
              <w:wordWrap/>
              <w:overflowPunct/>
              <w:topLinePunct w:val="0"/>
              <w:autoSpaceDE/>
              <w:autoSpaceDN/>
              <w:bidi w:val="0"/>
              <w:spacing w:line="500" w:lineRule="exact"/>
              <w:ind w:firstLine="480" w:firstLineChars="200"/>
              <w:jc w:val="left"/>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lang w:val="en-US" w:eastAsia="zh-CN"/>
              </w:rPr>
              <w:t>名称：</w:t>
            </w:r>
            <w:bookmarkStart w:id="20" w:name="OLE_LINK1"/>
            <w:r>
              <w:rPr>
                <w:rFonts w:hint="eastAsia" w:ascii="宋体" w:hAnsi="宋体" w:eastAsia="宋体" w:cs="宋体"/>
                <w:color w:val="000000"/>
                <w:sz w:val="24"/>
                <w:highlight w:val="none"/>
                <w:lang w:eastAsia="zh-CN"/>
              </w:rPr>
              <w:t>韶关市</w:t>
            </w:r>
            <w:r>
              <w:rPr>
                <w:rFonts w:hint="eastAsia" w:ascii="宋体" w:hAnsi="宋体" w:eastAsia="宋体" w:cs="宋体"/>
                <w:color w:val="000000"/>
                <w:sz w:val="24"/>
                <w:highlight w:val="none"/>
                <w:lang w:val="en-US" w:eastAsia="zh-CN"/>
              </w:rPr>
              <w:t>武江区</w:t>
            </w:r>
            <w:r>
              <w:rPr>
                <w:rFonts w:hint="eastAsia" w:ascii="宋体" w:hAnsi="宋体" w:eastAsia="宋体" w:cs="宋体"/>
                <w:color w:val="000000"/>
                <w:sz w:val="24"/>
                <w:highlight w:val="none"/>
                <w:lang w:eastAsia="zh-CN"/>
              </w:rPr>
              <w:t>农业农村局</w:t>
            </w:r>
            <w:bookmarkEnd w:id="20"/>
          </w:p>
          <w:p w14:paraId="1B2458A5">
            <w:pPr>
              <w:keepNext w:val="0"/>
              <w:keepLines w:val="0"/>
              <w:pageBreakBefore w:val="0"/>
              <w:widowControl/>
              <w:kinsoku/>
              <w:wordWrap/>
              <w:overflowPunct/>
              <w:topLinePunct w:val="0"/>
              <w:autoSpaceDE/>
              <w:autoSpaceDN/>
              <w:bidi w:val="0"/>
              <w:spacing w:line="500" w:lineRule="exact"/>
              <w:ind w:firstLine="480" w:firstLineChars="200"/>
              <w:jc w:val="left"/>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地址：广东省韶关市武江区惠民南路128号</w:t>
            </w:r>
          </w:p>
          <w:p w14:paraId="76C96EDC">
            <w:pPr>
              <w:keepNext w:val="0"/>
              <w:keepLines w:val="0"/>
              <w:pageBreakBefore w:val="0"/>
              <w:widowControl/>
              <w:kinsoku/>
              <w:wordWrap/>
              <w:overflowPunct/>
              <w:topLinePunct w:val="0"/>
              <w:autoSpaceDE/>
              <w:autoSpaceDN/>
              <w:bidi w:val="0"/>
              <w:spacing w:line="500" w:lineRule="exact"/>
              <w:ind w:firstLine="480" w:firstLineChars="200"/>
              <w:jc w:val="left"/>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rPr>
              <w:t>联系方式</w:t>
            </w:r>
            <w:r>
              <w:rPr>
                <w:rFonts w:hint="eastAsia" w:ascii="宋体" w:hAnsi="宋体" w:eastAsia="宋体" w:cs="宋体"/>
                <w:color w:val="000000"/>
                <w:sz w:val="24"/>
                <w:highlight w:val="none"/>
                <w:lang w:eastAsia="zh-CN"/>
              </w:rPr>
              <w:t>：</w:t>
            </w:r>
            <w:r>
              <w:rPr>
                <w:rFonts w:hint="eastAsia" w:ascii="宋体" w:hAnsi="宋体" w:cs="宋体"/>
                <w:color w:val="000000"/>
                <w:sz w:val="24"/>
                <w:highlight w:val="none"/>
                <w:lang w:val="en-US" w:eastAsia="zh-CN"/>
              </w:rPr>
              <w:t>梁</w:t>
            </w:r>
            <w:r>
              <w:rPr>
                <w:rFonts w:hint="eastAsia" w:ascii="宋体" w:hAnsi="宋体" w:eastAsia="宋体" w:cs="宋体"/>
                <w:color w:val="000000"/>
                <w:sz w:val="24"/>
                <w:highlight w:val="none"/>
                <w:lang w:val="en-US" w:eastAsia="zh-CN"/>
              </w:rPr>
              <w:t>工，0751-8623830</w:t>
            </w:r>
          </w:p>
        </w:tc>
      </w:tr>
      <w:tr w14:paraId="71EA8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868" w:type="dxa"/>
            <w:noWrap w:val="0"/>
            <w:vAlign w:val="center"/>
          </w:tcPr>
          <w:p w14:paraId="62689DC7">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1.2.1</w:t>
            </w:r>
          </w:p>
        </w:tc>
        <w:tc>
          <w:tcPr>
            <w:tcW w:w="1661" w:type="dxa"/>
            <w:noWrap w:val="0"/>
            <w:vAlign w:val="center"/>
          </w:tcPr>
          <w:p w14:paraId="70710695">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资金来源</w:t>
            </w:r>
          </w:p>
        </w:tc>
        <w:tc>
          <w:tcPr>
            <w:tcW w:w="7285" w:type="dxa"/>
            <w:noWrap w:val="0"/>
            <w:vAlign w:val="center"/>
          </w:tcPr>
          <w:p w14:paraId="78C27119">
            <w:pPr>
              <w:keepNext w:val="0"/>
              <w:keepLines w:val="0"/>
              <w:pageBreakBefore w:val="0"/>
              <w:kinsoku/>
              <w:wordWrap/>
              <w:overflowPunct/>
              <w:topLinePunct w:val="0"/>
              <w:autoSpaceDE/>
              <w:autoSpaceDN/>
              <w:bidi w:val="0"/>
              <w:spacing w:line="50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 xml:space="preserve">    区财政统筹解决，100%</w:t>
            </w:r>
          </w:p>
        </w:tc>
      </w:tr>
      <w:tr w14:paraId="06871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868" w:type="dxa"/>
            <w:noWrap w:val="0"/>
            <w:vAlign w:val="center"/>
          </w:tcPr>
          <w:p w14:paraId="1BB105E3">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1.2.3</w:t>
            </w:r>
          </w:p>
        </w:tc>
        <w:tc>
          <w:tcPr>
            <w:tcW w:w="1661" w:type="dxa"/>
            <w:noWrap w:val="0"/>
            <w:vAlign w:val="center"/>
          </w:tcPr>
          <w:p w14:paraId="01C85984">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资金落实情况</w:t>
            </w:r>
          </w:p>
        </w:tc>
        <w:tc>
          <w:tcPr>
            <w:tcW w:w="7285" w:type="dxa"/>
            <w:noWrap w:val="0"/>
            <w:vAlign w:val="center"/>
          </w:tcPr>
          <w:p w14:paraId="408C806D">
            <w:pPr>
              <w:keepNext w:val="0"/>
              <w:keepLines w:val="0"/>
              <w:pageBreakBefore w:val="0"/>
              <w:kinsoku/>
              <w:wordWrap/>
              <w:overflowPunct/>
              <w:topLinePunct w:val="0"/>
              <w:autoSpaceDE/>
              <w:autoSpaceDN/>
              <w:bidi w:val="0"/>
              <w:spacing w:line="5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已落实</w:t>
            </w:r>
          </w:p>
        </w:tc>
      </w:tr>
      <w:tr w14:paraId="349D0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5" w:hRule="atLeast"/>
          <w:jc w:val="center"/>
        </w:trPr>
        <w:tc>
          <w:tcPr>
            <w:tcW w:w="868" w:type="dxa"/>
            <w:noWrap w:val="0"/>
            <w:vAlign w:val="center"/>
          </w:tcPr>
          <w:p w14:paraId="7F77A962">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1.3.1</w:t>
            </w:r>
          </w:p>
        </w:tc>
        <w:tc>
          <w:tcPr>
            <w:tcW w:w="1661" w:type="dxa"/>
            <w:noWrap w:val="0"/>
            <w:vAlign w:val="center"/>
          </w:tcPr>
          <w:p w14:paraId="01FF4D29">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招标范围</w:t>
            </w:r>
          </w:p>
        </w:tc>
        <w:tc>
          <w:tcPr>
            <w:tcW w:w="7285" w:type="dxa"/>
            <w:noWrap w:val="0"/>
            <w:vAlign w:val="center"/>
          </w:tcPr>
          <w:p w14:paraId="29FA87D7">
            <w:pPr>
              <w:keepNext w:val="0"/>
              <w:keepLines w:val="0"/>
              <w:pageBreakBefore w:val="0"/>
              <w:widowControl/>
              <w:kinsoku/>
              <w:wordWrap/>
              <w:overflowPunct/>
              <w:topLinePunct w:val="0"/>
              <w:autoSpaceDE/>
              <w:autoSpaceDN/>
              <w:bidi w:val="0"/>
              <w:spacing w:line="50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highlight w:val="none"/>
              </w:rPr>
              <w:t>工程勘察、工程测量、编制初步设计、设计概算</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施工图设计、</w:t>
            </w:r>
            <w:r>
              <w:rPr>
                <w:rFonts w:hint="eastAsia" w:ascii="宋体" w:hAnsi="宋体" w:eastAsia="宋体" w:cs="宋体"/>
                <w:color w:val="000000"/>
                <w:sz w:val="24"/>
                <w:highlight w:val="none"/>
                <w:lang w:val="en-US" w:eastAsia="zh-CN"/>
              </w:rPr>
              <w:t>施工图预算、</w:t>
            </w:r>
            <w:r>
              <w:rPr>
                <w:rFonts w:hint="eastAsia" w:ascii="宋体" w:hAnsi="宋体" w:eastAsia="宋体" w:cs="宋体"/>
                <w:color w:val="000000"/>
                <w:sz w:val="24"/>
                <w:highlight w:val="none"/>
              </w:rPr>
              <w:t>招标图工程量计算、招标图工程量清单等文件、工程实施到竣工验收全过程的设计服务</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包括设计变更报告和施工现场指导等</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szCs w:val="24"/>
                <w:highlight w:val="none"/>
              </w:rPr>
              <w:t>。</w:t>
            </w:r>
          </w:p>
        </w:tc>
      </w:tr>
      <w:tr w14:paraId="53993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868" w:type="dxa"/>
            <w:noWrap w:val="0"/>
            <w:vAlign w:val="center"/>
          </w:tcPr>
          <w:p w14:paraId="2A73E32D">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1.3.2</w:t>
            </w:r>
          </w:p>
        </w:tc>
        <w:tc>
          <w:tcPr>
            <w:tcW w:w="1661" w:type="dxa"/>
            <w:noWrap w:val="0"/>
            <w:vAlign w:val="center"/>
          </w:tcPr>
          <w:p w14:paraId="1F86AD4C">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计划工期</w:t>
            </w:r>
          </w:p>
        </w:tc>
        <w:tc>
          <w:tcPr>
            <w:tcW w:w="7285" w:type="dxa"/>
            <w:noWrap w:val="0"/>
            <w:vAlign w:val="center"/>
          </w:tcPr>
          <w:p w14:paraId="0E6FC18A">
            <w:pPr>
              <w:keepNext w:val="0"/>
              <w:keepLines w:val="0"/>
              <w:pageBreakBefore w:val="0"/>
              <w:kinsoku/>
              <w:wordWrap/>
              <w:overflowPunct/>
              <w:topLinePunct w:val="0"/>
              <w:autoSpaceDE/>
              <w:autoSpaceDN/>
              <w:bidi w:val="0"/>
              <w:adjustRightInd w:val="0"/>
              <w:snapToGrid w:val="0"/>
              <w:spacing w:line="500" w:lineRule="exact"/>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计划工期：30</w:t>
            </w:r>
            <w:r>
              <w:rPr>
                <w:rFonts w:hint="eastAsia" w:ascii="宋体" w:hAnsi="宋体" w:eastAsia="宋体" w:cs="宋体"/>
                <w:color w:val="000000"/>
                <w:sz w:val="24"/>
                <w:szCs w:val="24"/>
                <w:shd w:val="clear" w:color="auto" w:fill="auto"/>
                <w:lang w:val="en-US" w:eastAsia="zh-CN"/>
              </w:rPr>
              <w:t>个日历天。</w:t>
            </w:r>
          </w:p>
          <w:p w14:paraId="41A62DE6">
            <w:pPr>
              <w:keepNext w:val="0"/>
              <w:keepLines w:val="0"/>
              <w:pageBreakBefore w:val="0"/>
              <w:kinsoku/>
              <w:wordWrap/>
              <w:overflowPunct/>
              <w:topLinePunct w:val="0"/>
              <w:autoSpaceDE/>
              <w:autoSpaceDN/>
              <w:bidi w:val="0"/>
              <w:adjustRightInd w:val="0"/>
              <w:snapToGrid w:val="0"/>
              <w:spacing w:line="500" w:lineRule="exact"/>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（1）初步设计计划工期：</w:t>
            </w:r>
            <w:r>
              <w:rPr>
                <w:rFonts w:hint="eastAsia" w:ascii="宋体" w:hAnsi="宋体" w:eastAsia="宋体" w:cs="宋体"/>
                <w:color w:val="000000"/>
                <w:sz w:val="24"/>
                <w:szCs w:val="24"/>
                <w:shd w:val="clear" w:color="auto" w:fill="auto"/>
                <w:lang w:val="en-US" w:eastAsia="zh-CN"/>
              </w:rPr>
              <w:t>20个日历天</w:t>
            </w:r>
            <w:r>
              <w:rPr>
                <w:rFonts w:hint="eastAsia" w:ascii="宋体" w:hAnsi="宋体" w:eastAsia="宋体" w:cs="宋体"/>
                <w:color w:val="000000"/>
                <w:sz w:val="24"/>
                <w:szCs w:val="24"/>
                <w:highlight w:val="none"/>
                <w:lang w:val="en-US" w:eastAsia="zh-CN"/>
              </w:rPr>
              <w:t>内完成初步设计并提交包括初步设计报告、工程量清单、工程量计算书、工程概算及工程相关图纸等能参加技术评审的所有成果；</w:t>
            </w:r>
          </w:p>
          <w:p w14:paraId="5E030B48">
            <w:pPr>
              <w:keepNext w:val="0"/>
              <w:keepLines w:val="0"/>
              <w:pageBreakBefore w:val="0"/>
              <w:kinsoku/>
              <w:wordWrap/>
              <w:overflowPunct/>
              <w:topLinePunct w:val="0"/>
              <w:autoSpaceDE/>
              <w:autoSpaceDN/>
              <w:bidi w:val="0"/>
              <w:adjustRightInd w:val="0"/>
              <w:snapToGrid w:val="0"/>
              <w:spacing w:line="500" w:lineRule="exact"/>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（2）开完技术评审会次日起</w:t>
            </w:r>
            <w:r>
              <w:rPr>
                <w:rFonts w:hint="eastAsia" w:ascii="宋体" w:hAnsi="宋体" w:eastAsia="宋体" w:cs="宋体"/>
                <w:color w:val="000000"/>
                <w:sz w:val="24"/>
                <w:szCs w:val="24"/>
                <w:shd w:val="clear" w:color="auto" w:fill="auto"/>
                <w:lang w:val="en-US" w:eastAsia="zh-CN"/>
              </w:rPr>
              <w:t>3个日历天</w:t>
            </w:r>
            <w:r>
              <w:rPr>
                <w:rFonts w:hint="eastAsia" w:ascii="宋体" w:hAnsi="宋体" w:eastAsia="宋体" w:cs="宋体"/>
                <w:color w:val="000000"/>
                <w:sz w:val="24"/>
                <w:szCs w:val="24"/>
                <w:highlight w:val="none"/>
                <w:lang w:val="en-US" w:eastAsia="zh-CN"/>
              </w:rPr>
              <w:t>内完成对本项目初步设计技术评审会专家的评审修改意见的修改；</w:t>
            </w:r>
          </w:p>
          <w:p w14:paraId="744D76CB">
            <w:pPr>
              <w:keepNext w:val="0"/>
              <w:keepLines w:val="0"/>
              <w:pageBreakBefore w:val="0"/>
              <w:kinsoku/>
              <w:wordWrap/>
              <w:overflowPunct/>
              <w:topLinePunct w:val="0"/>
              <w:autoSpaceDE/>
              <w:autoSpaceDN/>
              <w:bidi w:val="0"/>
              <w:adjustRightInd w:val="0"/>
              <w:snapToGrid w:val="0"/>
              <w:spacing w:line="500" w:lineRule="exact"/>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（3）自发包人书面通知之日起</w:t>
            </w:r>
            <w:r>
              <w:rPr>
                <w:rFonts w:hint="eastAsia" w:ascii="宋体" w:hAnsi="宋体" w:eastAsia="宋体" w:cs="宋体"/>
                <w:color w:val="000000"/>
                <w:sz w:val="24"/>
                <w:szCs w:val="24"/>
                <w:shd w:val="clear" w:color="auto" w:fill="auto"/>
                <w:lang w:val="en-US" w:eastAsia="zh-CN"/>
              </w:rPr>
              <w:t>3个日历天内</w:t>
            </w:r>
            <w:r>
              <w:rPr>
                <w:rFonts w:hint="eastAsia" w:ascii="宋体" w:hAnsi="宋体" w:eastAsia="宋体" w:cs="宋体"/>
                <w:color w:val="000000"/>
                <w:sz w:val="24"/>
                <w:szCs w:val="24"/>
                <w:highlight w:val="none"/>
                <w:lang w:val="en-US" w:eastAsia="zh-CN"/>
              </w:rPr>
              <w:t>提交施工招标设计、工程量清单及招标图纸；</w:t>
            </w:r>
          </w:p>
          <w:p w14:paraId="504F544D">
            <w:pPr>
              <w:keepNext w:val="0"/>
              <w:keepLines w:val="0"/>
              <w:pageBreakBefore w:val="0"/>
              <w:kinsoku/>
              <w:wordWrap/>
              <w:overflowPunct/>
              <w:topLinePunct w:val="0"/>
              <w:autoSpaceDE/>
              <w:autoSpaceDN/>
              <w:bidi w:val="0"/>
              <w:adjustRightInd w:val="0"/>
              <w:snapToGrid w:val="0"/>
              <w:spacing w:line="5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（4）自发包人书面通知之日起</w:t>
            </w:r>
            <w:r>
              <w:rPr>
                <w:rFonts w:hint="eastAsia" w:ascii="宋体" w:hAnsi="宋体" w:eastAsia="宋体" w:cs="宋体"/>
                <w:color w:val="000000"/>
                <w:sz w:val="24"/>
                <w:szCs w:val="24"/>
                <w:shd w:val="clear" w:color="auto" w:fill="auto"/>
                <w:lang w:val="en-US" w:eastAsia="zh-CN"/>
              </w:rPr>
              <w:t>4个日历天内</w:t>
            </w:r>
            <w:r>
              <w:rPr>
                <w:rFonts w:hint="eastAsia" w:ascii="宋体" w:hAnsi="宋体" w:eastAsia="宋体" w:cs="宋体"/>
                <w:color w:val="000000"/>
                <w:sz w:val="24"/>
                <w:szCs w:val="24"/>
                <w:highlight w:val="none"/>
                <w:lang w:val="en-US" w:eastAsia="zh-CN"/>
              </w:rPr>
              <w:t>提交施工图设计图纸及施工图预算。</w:t>
            </w:r>
          </w:p>
        </w:tc>
      </w:tr>
      <w:tr w14:paraId="15889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68" w:type="dxa"/>
            <w:noWrap w:val="0"/>
            <w:vAlign w:val="center"/>
          </w:tcPr>
          <w:p w14:paraId="67071055">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1.3.3</w:t>
            </w:r>
          </w:p>
        </w:tc>
        <w:tc>
          <w:tcPr>
            <w:tcW w:w="1661" w:type="dxa"/>
            <w:noWrap w:val="0"/>
            <w:vAlign w:val="center"/>
          </w:tcPr>
          <w:p w14:paraId="3041847D">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质量标准</w:t>
            </w:r>
          </w:p>
        </w:tc>
        <w:tc>
          <w:tcPr>
            <w:tcW w:w="7285" w:type="dxa"/>
            <w:noWrap w:val="0"/>
            <w:vAlign w:val="center"/>
          </w:tcPr>
          <w:p w14:paraId="6F8FC722">
            <w:pPr>
              <w:keepNext w:val="0"/>
              <w:keepLines w:val="0"/>
              <w:pageBreakBefore w:val="0"/>
              <w:kinsoku/>
              <w:wordWrap/>
              <w:overflowPunct/>
              <w:topLinePunct w:val="0"/>
              <w:autoSpaceDE/>
              <w:autoSpaceDN/>
              <w:bidi w:val="0"/>
              <w:adjustRightInd w:val="0"/>
              <w:snapToGrid w:val="0"/>
              <w:spacing w:line="5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必须通过行业主管部门的审查及相关勘察设计规范要求。勘察设计质量达到合格标准。</w:t>
            </w:r>
          </w:p>
        </w:tc>
      </w:tr>
      <w:tr w14:paraId="3C818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68" w:type="dxa"/>
            <w:noWrap w:val="0"/>
            <w:vAlign w:val="center"/>
          </w:tcPr>
          <w:p w14:paraId="21066E51">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1.4.1</w:t>
            </w:r>
          </w:p>
        </w:tc>
        <w:tc>
          <w:tcPr>
            <w:tcW w:w="1661" w:type="dxa"/>
            <w:noWrap w:val="0"/>
            <w:vAlign w:val="center"/>
          </w:tcPr>
          <w:p w14:paraId="091C4906">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投标人资质条件、能力和信誉</w:t>
            </w:r>
          </w:p>
        </w:tc>
        <w:tc>
          <w:tcPr>
            <w:tcW w:w="7285" w:type="dxa"/>
            <w:noWrap w:val="0"/>
            <w:vAlign w:val="center"/>
          </w:tcPr>
          <w:p w14:paraId="792E88F4">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1</w:t>
            </w:r>
            <w:r>
              <w:rPr>
                <w:rFonts w:hint="eastAsia" w:ascii="宋体" w:hAnsi="宋体" w:eastAsia="宋体" w:cs="宋体"/>
                <w:color w:val="000000"/>
                <w:sz w:val="24"/>
                <w:szCs w:val="32"/>
                <w:lang w:val="en-US" w:eastAsia="zh-CN"/>
              </w:rPr>
              <w:t xml:space="preserve"> </w:t>
            </w:r>
            <w:r>
              <w:rPr>
                <w:rFonts w:hint="eastAsia" w:ascii="宋体" w:hAnsi="宋体" w:eastAsia="宋体" w:cs="宋体"/>
                <w:color w:val="000000"/>
                <w:sz w:val="24"/>
                <w:szCs w:val="32"/>
              </w:rPr>
              <w:t>本工程</w:t>
            </w:r>
            <w:r>
              <w:rPr>
                <w:rFonts w:hint="eastAsia" w:ascii="宋体" w:hAnsi="宋体" w:eastAsia="宋体" w:cs="宋体"/>
                <w:color w:val="000000"/>
                <w:sz w:val="24"/>
                <w:szCs w:val="32"/>
                <w:u w:val="single"/>
              </w:rPr>
              <w:t xml:space="preserve"> </w:t>
            </w:r>
            <w:r>
              <w:rPr>
                <w:rFonts w:hint="eastAsia" w:ascii="宋体" w:hAnsi="宋体" w:eastAsia="宋体" w:cs="宋体"/>
                <w:color w:val="000000"/>
                <w:sz w:val="24"/>
                <w:szCs w:val="32"/>
                <w:u w:val="single"/>
                <w:lang w:eastAsia="zh-CN"/>
              </w:rPr>
              <w:t>不</w:t>
            </w:r>
            <w:r>
              <w:rPr>
                <w:rFonts w:hint="eastAsia" w:ascii="宋体" w:hAnsi="宋体" w:eastAsia="宋体" w:cs="宋体"/>
                <w:color w:val="000000"/>
                <w:sz w:val="24"/>
                <w:szCs w:val="32"/>
                <w:u w:val="single"/>
              </w:rPr>
              <w:t xml:space="preserve">接受 </w:t>
            </w:r>
            <w:r>
              <w:rPr>
                <w:rFonts w:hint="eastAsia" w:ascii="宋体" w:hAnsi="宋体" w:eastAsia="宋体" w:cs="宋体"/>
                <w:color w:val="000000"/>
                <w:sz w:val="24"/>
                <w:szCs w:val="32"/>
              </w:rPr>
              <w:t>联合体投标，联合体以一个投标人的身份共同投标。</w:t>
            </w:r>
          </w:p>
          <w:p w14:paraId="34D9B3FE">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2</w:t>
            </w:r>
            <w:r>
              <w:rPr>
                <w:rFonts w:hint="eastAsia" w:ascii="宋体" w:hAnsi="宋体" w:eastAsia="宋体" w:cs="宋体"/>
                <w:color w:val="000000"/>
                <w:sz w:val="24"/>
                <w:szCs w:val="32"/>
                <w:lang w:val="en-US" w:eastAsia="zh-CN"/>
              </w:rPr>
              <w:t xml:space="preserve"> </w:t>
            </w:r>
            <w:r>
              <w:rPr>
                <w:rFonts w:hint="eastAsia" w:ascii="宋体" w:hAnsi="宋体" w:eastAsia="宋体" w:cs="宋体"/>
                <w:color w:val="000000"/>
                <w:sz w:val="24"/>
                <w:szCs w:val="32"/>
              </w:rPr>
              <w:t>投标人资格要求：</w:t>
            </w:r>
          </w:p>
          <w:p w14:paraId="0F8B5553">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lang w:val="en-US" w:eastAsia="zh-CN"/>
              </w:rPr>
              <w:t>2.1</w:t>
            </w:r>
            <w:r>
              <w:rPr>
                <w:rFonts w:hint="eastAsia" w:ascii="宋体" w:hAnsi="宋体" w:eastAsia="宋体" w:cs="宋体"/>
                <w:color w:val="000000"/>
                <w:sz w:val="24"/>
                <w:szCs w:val="32"/>
              </w:rPr>
              <w:t>投标人须具备独立法人资格，按国家法律经营。</w:t>
            </w:r>
          </w:p>
          <w:p w14:paraId="05B67E6D">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2.</w:t>
            </w:r>
            <w:r>
              <w:rPr>
                <w:rFonts w:hint="eastAsia" w:ascii="宋体" w:hAnsi="宋体" w:eastAsia="宋体" w:cs="宋体"/>
                <w:color w:val="000000"/>
                <w:sz w:val="24"/>
                <w:szCs w:val="32"/>
                <w:lang w:val="en-US" w:eastAsia="zh-CN"/>
              </w:rPr>
              <w:t>2</w:t>
            </w:r>
            <w:r>
              <w:rPr>
                <w:rFonts w:hint="eastAsia" w:ascii="宋体" w:hAnsi="宋体" w:eastAsia="宋体" w:cs="宋体"/>
                <w:color w:val="000000"/>
                <w:sz w:val="24"/>
                <w:szCs w:val="32"/>
              </w:rPr>
              <w:t>投标人须具备建设行政主管部门颁发的以下资质之一：</w:t>
            </w:r>
          </w:p>
          <w:p w14:paraId="4E4C2051">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①工程设计综合甲级资质；</w:t>
            </w:r>
          </w:p>
          <w:p w14:paraId="1644BB50">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②工程设计水利行业乙级以上（含乙级）资质；</w:t>
            </w:r>
          </w:p>
          <w:p w14:paraId="00EA6E34">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lang w:val="en-US" w:eastAsia="zh-CN"/>
              </w:rPr>
            </w:pPr>
            <w:r>
              <w:rPr>
                <w:rFonts w:hint="eastAsia" w:ascii="宋体" w:hAnsi="宋体" w:eastAsia="宋体" w:cs="宋体"/>
                <w:color w:val="000000"/>
                <w:sz w:val="24"/>
                <w:szCs w:val="32"/>
              </w:rPr>
              <w:t>注：投标人如不具备相应勘察资质的，则待中标后必须在招标人的监督管理下委托具备相应资质及能力的单位来完成该部分工作。</w:t>
            </w:r>
          </w:p>
          <w:p w14:paraId="0E3F6052">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lang w:val="en-US" w:eastAsia="zh-CN"/>
              </w:rPr>
            </w:pPr>
            <w:r>
              <w:rPr>
                <w:rFonts w:hint="eastAsia" w:ascii="宋体" w:hAnsi="宋体" w:eastAsia="宋体" w:cs="宋体"/>
                <w:color w:val="000000"/>
                <w:sz w:val="24"/>
                <w:szCs w:val="32"/>
                <w:lang w:val="en-US" w:eastAsia="zh-CN"/>
              </w:rPr>
              <w:t>2.3投标人的企业相关证书到期的，均按该证书的发证机构相关行业主管部门最新文件执行（如自动顺延或资质延续有关事项的通知），投标人必须将相关文件附在该证书后面中，证明在开标日继续有效。</w:t>
            </w:r>
          </w:p>
          <w:p w14:paraId="3068A32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lang w:val="en-US" w:eastAsia="zh-CN"/>
              </w:rPr>
            </w:pPr>
            <w:r>
              <w:rPr>
                <w:rFonts w:hint="eastAsia" w:ascii="宋体" w:hAnsi="宋体" w:eastAsia="宋体" w:cs="宋体"/>
                <w:color w:val="000000"/>
                <w:sz w:val="24"/>
                <w:szCs w:val="32"/>
                <w:lang w:val="en-US" w:eastAsia="zh-CN"/>
              </w:rPr>
              <w:t>3 人员要求：</w:t>
            </w:r>
          </w:p>
          <w:p w14:paraId="0BF81573">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lang w:val="en-US" w:eastAsia="zh-CN"/>
              </w:rPr>
            </w:pPr>
            <w:r>
              <w:rPr>
                <w:rFonts w:hint="eastAsia" w:ascii="宋体" w:hAnsi="宋体" w:eastAsia="宋体" w:cs="宋体"/>
                <w:color w:val="000000"/>
                <w:sz w:val="24"/>
                <w:szCs w:val="32"/>
                <w:lang w:val="en-US" w:eastAsia="zh-CN"/>
              </w:rPr>
              <w:t>3.1投标人拟委派担任本工程的项目负责人须具有水利类工程师</w:t>
            </w:r>
            <w:r>
              <w:rPr>
                <w:rFonts w:hint="eastAsia" w:ascii="宋体" w:hAnsi="宋体" w:eastAsia="宋体" w:cs="宋体"/>
                <w:snapToGrid w:val="0"/>
                <w:color w:val="000000"/>
                <w:kern w:val="0"/>
                <w:sz w:val="24"/>
                <w:szCs w:val="24"/>
                <w:highlight w:val="none"/>
                <w:lang w:val="en-US" w:eastAsia="zh-CN"/>
              </w:rPr>
              <w:t>或以上</w:t>
            </w:r>
            <w:r>
              <w:rPr>
                <w:rFonts w:hint="eastAsia" w:ascii="宋体" w:hAnsi="宋体" w:eastAsia="宋体" w:cs="宋体"/>
                <w:color w:val="000000"/>
                <w:sz w:val="24"/>
                <w:szCs w:val="32"/>
                <w:lang w:val="en-US" w:eastAsia="zh-CN"/>
              </w:rPr>
              <w:t>职称证书。</w:t>
            </w:r>
          </w:p>
          <w:p w14:paraId="0899D3F7">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lang w:val="en-US" w:eastAsia="zh-CN"/>
              </w:rPr>
            </w:pPr>
            <w:r>
              <w:rPr>
                <w:rFonts w:hint="eastAsia" w:ascii="宋体" w:hAnsi="宋体" w:eastAsia="宋体" w:cs="宋体"/>
                <w:color w:val="000000"/>
                <w:sz w:val="24"/>
                <w:szCs w:val="32"/>
                <w:lang w:val="en-US" w:eastAsia="zh-CN"/>
              </w:rPr>
              <w:t>3.2投标人与其拟派往本项目所有人员之间必须具备合法的劳动聘用关系，需提供缴纳社保的证明或退休证(附返聘证明）扫描件（由非独立法人分支机构出具的社保证明，予以认可）。拟派人员中具备注册执业资格的，其注册单位须与投标人保持一致。</w:t>
            </w:r>
          </w:p>
          <w:p w14:paraId="75F6B03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32"/>
                <w:lang w:val="en-US" w:eastAsia="zh-CN"/>
              </w:rPr>
              <w:t xml:space="preserve">4  </w:t>
            </w:r>
            <w:r>
              <w:rPr>
                <w:rFonts w:hint="eastAsia" w:ascii="宋体" w:hAnsi="宋体" w:eastAsia="宋体" w:cs="宋体"/>
                <w:color w:val="000000"/>
                <w:sz w:val="24"/>
                <w:szCs w:val="32"/>
              </w:rPr>
              <w:t>本次招标实行资格后审，资格审查的具体要求见招标文件。资格后审不合格的投标人投标文件将按废标处理。</w:t>
            </w:r>
          </w:p>
        </w:tc>
      </w:tr>
      <w:tr w14:paraId="5E326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68" w:type="dxa"/>
            <w:noWrap w:val="0"/>
            <w:vAlign w:val="center"/>
          </w:tcPr>
          <w:p w14:paraId="162878C5">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1.4.2</w:t>
            </w:r>
          </w:p>
        </w:tc>
        <w:tc>
          <w:tcPr>
            <w:tcW w:w="1661" w:type="dxa"/>
            <w:noWrap w:val="0"/>
            <w:vAlign w:val="center"/>
          </w:tcPr>
          <w:p w14:paraId="143A9F7C">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是否接受联合体投标</w:t>
            </w:r>
          </w:p>
        </w:tc>
        <w:tc>
          <w:tcPr>
            <w:tcW w:w="7285" w:type="dxa"/>
            <w:noWrap w:val="0"/>
            <w:vAlign w:val="center"/>
          </w:tcPr>
          <w:p w14:paraId="6BFCD568">
            <w:pPr>
              <w:keepNext w:val="0"/>
              <w:keepLines w:val="0"/>
              <w:pageBreakBefore w:val="0"/>
              <w:kinsoku/>
              <w:wordWrap/>
              <w:overflowPunct/>
              <w:topLinePunct w:val="0"/>
              <w:autoSpaceDE/>
              <w:autoSpaceDN/>
              <w:bidi w:val="0"/>
              <w:spacing w:line="5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eastAsia="zh-CN"/>
              </w:rPr>
              <w:t>不</w:t>
            </w:r>
            <w:r>
              <w:rPr>
                <w:rFonts w:hint="eastAsia" w:ascii="宋体" w:hAnsi="宋体" w:eastAsia="宋体" w:cs="宋体"/>
                <w:color w:val="000000"/>
                <w:kern w:val="0"/>
                <w:sz w:val="24"/>
                <w:szCs w:val="24"/>
                <w:highlight w:val="none"/>
              </w:rPr>
              <w:t>接受</w:t>
            </w:r>
          </w:p>
        </w:tc>
      </w:tr>
      <w:tr w14:paraId="7FDEA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868" w:type="dxa"/>
            <w:noWrap w:val="0"/>
            <w:vAlign w:val="center"/>
          </w:tcPr>
          <w:p w14:paraId="13F78085">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1.4.3</w:t>
            </w:r>
          </w:p>
        </w:tc>
        <w:tc>
          <w:tcPr>
            <w:tcW w:w="1661" w:type="dxa"/>
            <w:noWrap w:val="0"/>
            <w:vAlign w:val="center"/>
          </w:tcPr>
          <w:p w14:paraId="4403E0A0">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highlight w:val="none"/>
              </w:rPr>
              <w:t>不存在禁止投标的情形</w:t>
            </w:r>
          </w:p>
        </w:tc>
        <w:tc>
          <w:tcPr>
            <w:tcW w:w="7285" w:type="dxa"/>
            <w:noWrap w:val="0"/>
            <w:vAlign w:val="center"/>
          </w:tcPr>
          <w:p w14:paraId="0ABFA7A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投标人不得存在下列情形之一：</w:t>
            </w:r>
          </w:p>
          <w:p w14:paraId="043752C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（1）为招标人不具有独立法人资格的附属机构（单位）；</w:t>
            </w:r>
          </w:p>
          <w:p w14:paraId="67B2854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（2）与招标人存在利害关系且可能影响招标公正性；</w:t>
            </w:r>
          </w:p>
          <w:p w14:paraId="74874F2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（3）与本招标项目的其他投标人为同一个单位负责人；</w:t>
            </w:r>
          </w:p>
          <w:p w14:paraId="5F517CD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（4）与本招标项目的其他投标人存在控股、管理关系；</w:t>
            </w:r>
          </w:p>
          <w:p w14:paraId="5F840EB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（5）为本招标项目的代建人；</w:t>
            </w:r>
          </w:p>
          <w:p w14:paraId="2E1F347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（6）为本招标项目的招标代理机构；</w:t>
            </w:r>
          </w:p>
          <w:p w14:paraId="26D2EFD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（7）与本招标项目的代建人或招标代理机构同为一个法定代表人；</w:t>
            </w:r>
          </w:p>
          <w:p w14:paraId="1DB1D07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（8）与本招标项目的代建人或招标代理机构存在控股或参股关系；</w:t>
            </w:r>
          </w:p>
          <w:p w14:paraId="3F6ECF0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（9）与本招标项目的代建人或招标代理机构存在相互任职或工作关系；</w:t>
            </w:r>
          </w:p>
          <w:p w14:paraId="325698B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（10）被依法暂停或者取消投标资格；</w:t>
            </w:r>
          </w:p>
          <w:p w14:paraId="238BCA9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（11）被责令停产停业、暂扣或者吊销许可证、暂扣或者吊销执照；</w:t>
            </w:r>
          </w:p>
          <w:p w14:paraId="36BF6DF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（12）进入清算程序，或被宣告破产，或其他丧失履约能力的情形；</w:t>
            </w:r>
          </w:p>
          <w:p w14:paraId="274A6AF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（13）在最近三年内发生重大质量问题（以相关行业主管部门的行政处罚决定或司法机关出具的有关法律文书为准）；</w:t>
            </w:r>
          </w:p>
          <w:p w14:paraId="1A3C49BF">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auto"/>
                <w:sz w:val="24"/>
                <w:szCs w:val="24"/>
                <w:highlight w:val="none"/>
              </w:rPr>
              <w:t>（14）被“信用中国”网站（https://www.creditchina.gov.cn）发布的《法人和非法人组织公共信用信息报告》列为严重失信主体名单的。</w:t>
            </w:r>
          </w:p>
        </w:tc>
      </w:tr>
      <w:tr w14:paraId="454B4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868" w:type="dxa"/>
            <w:noWrap w:val="0"/>
            <w:vAlign w:val="center"/>
          </w:tcPr>
          <w:p w14:paraId="6EBDF53C">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1.5.1</w:t>
            </w:r>
          </w:p>
        </w:tc>
        <w:tc>
          <w:tcPr>
            <w:tcW w:w="1661" w:type="dxa"/>
            <w:noWrap w:val="0"/>
            <w:vAlign w:val="center"/>
          </w:tcPr>
          <w:p w14:paraId="4E221947">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费用承担和设计成果补偿</w:t>
            </w:r>
          </w:p>
        </w:tc>
        <w:tc>
          <w:tcPr>
            <w:tcW w:w="7285" w:type="dxa"/>
            <w:noWrap w:val="0"/>
            <w:vAlign w:val="center"/>
          </w:tcPr>
          <w:p w14:paraId="5DC7BCA0">
            <w:pPr>
              <w:keepNext w:val="0"/>
              <w:keepLines w:val="0"/>
              <w:pageBreakBefore w:val="0"/>
              <w:kinsoku/>
              <w:wordWrap/>
              <w:overflowPunct/>
              <w:topLinePunct w:val="0"/>
              <w:autoSpaceDE/>
              <w:autoSpaceDN/>
              <w:bidi w:val="0"/>
              <w:spacing w:line="5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不补偿</w:t>
            </w:r>
          </w:p>
        </w:tc>
      </w:tr>
      <w:tr w14:paraId="6B5BA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8" w:type="dxa"/>
            <w:noWrap w:val="0"/>
            <w:vAlign w:val="center"/>
          </w:tcPr>
          <w:p w14:paraId="67B1255B">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1.5.2</w:t>
            </w:r>
          </w:p>
        </w:tc>
        <w:tc>
          <w:tcPr>
            <w:tcW w:w="1661" w:type="dxa"/>
            <w:noWrap w:val="0"/>
            <w:vAlign w:val="center"/>
          </w:tcPr>
          <w:p w14:paraId="38203FA4">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其他费用</w:t>
            </w:r>
          </w:p>
        </w:tc>
        <w:tc>
          <w:tcPr>
            <w:tcW w:w="7285" w:type="dxa"/>
            <w:noWrap w:val="0"/>
            <w:vAlign w:val="center"/>
          </w:tcPr>
          <w:p w14:paraId="0824A474">
            <w:pPr>
              <w:keepNext w:val="0"/>
              <w:keepLines w:val="0"/>
              <w:pageBreakBefore w:val="0"/>
              <w:kinsoku/>
              <w:wordWrap/>
              <w:overflowPunct/>
              <w:topLinePunct w:val="0"/>
              <w:autoSpaceDE/>
              <w:autoSpaceDN/>
              <w:bidi w:val="0"/>
              <w:spacing w:line="5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招标代理服务费为</w:t>
            </w:r>
            <w:r>
              <w:rPr>
                <w:rFonts w:hint="eastAsia" w:ascii="宋体" w:hAnsi="宋体" w:eastAsia="宋体" w:cs="宋体"/>
                <w:color w:val="000000"/>
                <w:sz w:val="24"/>
                <w:szCs w:val="24"/>
                <w:highlight w:val="none"/>
                <w:lang w:eastAsia="zh-CN"/>
              </w:rPr>
              <w:t>人民币：¥</w:t>
            </w:r>
            <w:r>
              <w:rPr>
                <w:rFonts w:hint="eastAsia" w:ascii="宋体" w:hAnsi="宋体" w:eastAsia="宋体" w:cs="宋体"/>
                <w:color w:val="000000"/>
                <w:sz w:val="24"/>
                <w:szCs w:val="24"/>
                <w:highlight w:val="none"/>
              </w:rPr>
              <w:t>8000.00元，由中标单位支付；评标专家酬劳由招标代理机构先垫付；中标人须在中标公告公示期结束后，领取中标通知书前须向招标代理机构一次性付清招标代理服务费及评标专家酬劳，方可领取中标通知书。</w:t>
            </w:r>
          </w:p>
        </w:tc>
      </w:tr>
      <w:tr w14:paraId="61871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68" w:type="dxa"/>
            <w:noWrap w:val="0"/>
            <w:vAlign w:val="center"/>
          </w:tcPr>
          <w:p w14:paraId="5EBE5BE3">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1.9</w:t>
            </w:r>
          </w:p>
        </w:tc>
        <w:tc>
          <w:tcPr>
            <w:tcW w:w="1661" w:type="dxa"/>
            <w:noWrap w:val="0"/>
            <w:vAlign w:val="center"/>
          </w:tcPr>
          <w:p w14:paraId="494239F4">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现场踏勘</w:t>
            </w:r>
          </w:p>
        </w:tc>
        <w:tc>
          <w:tcPr>
            <w:tcW w:w="7285" w:type="dxa"/>
            <w:noWrap w:val="0"/>
            <w:vAlign w:val="center"/>
          </w:tcPr>
          <w:p w14:paraId="7008419E">
            <w:pPr>
              <w:keepNext w:val="0"/>
              <w:keepLines w:val="0"/>
              <w:pageBreakBefore w:val="0"/>
              <w:kinsoku/>
              <w:wordWrap/>
              <w:overflowPunct/>
              <w:topLinePunct w:val="0"/>
              <w:autoSpaceDE/>
              <w:autoSpaceDN/>
              <w:bidi w:val="0"/>
              <w:spacing w:line="5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不组织</w:t>
            </w:r>
          </w:p>
        </w:tc>
      </w:tr>
      <w:tr w14:paraId="610BF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868" w:type="dxa"/>
            <w:noWrap w:val="0"/>
            <w:vAlign w:val="center"/>
          </w:tcPr>
          <w:p w14:paraId="0C7792BC">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1.10</w:t>
            </w:r>
          </w:p>
        </w:tc>
        <w:tc>
          <w:tcPr>
            <w:tcW w:w="1661" w:type="dxa"/>
            <w:noWrap w:val="0"/>
            <w:vAlign w:val="center"/>
          </w:tcPr>
          <w:p w14:paraId="56327337">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投标预备会</w:t>
            </w:r>
          </w:p>
        </w:tc>
        <w:tc>
          <w:tcPr>
            <w:tcW w:w="7285" w:type="dxa"/>
            <w:noWrap w:val="0"/>
            <w:vAlign w:val="center"/>
          </w:tcPr>
          <w:p w14:paraId="0060BD73">
            <w:pPr>
              <w:keepNext w:val="0"/>
              <w:keepLines w:val="0"/>
              <w:pageBreakBefore w:val="0"/>
              <w:kinsoku/>
              <w:wordWrap/>
              <w:overflowPunct/>
              <w:topLinePunct w:val="0"/>
              <w:autoSpaceDE/>
              <w:autoSpaceDN/>
              <w:bidi w:val="0"/>
              <w:spacing w:line="5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不召开</w:t>
            </w:r>
          </w:p>
        </w:tc>
      </w:tr>
      <w:tr w14:paraId="21174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68" w:type="dxa"/>
            <w:noWrap w:val="0"/>
            <w:vAlign w:val="center"/>
          </w:tcPr>
          <w:p w14:paraId="3BA76E0E">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1.11</w:t>
            </w:r>
          </w:p>
        </w:tc>
        <w:tc>
          <w:tcPr>
            <w:tcW w:w="1661" w:type="dxa"/>
            <w:noWrap w:val="0"/>
            <w:vAlign w:val="center"/>
          </w:tcPr>
          <w:p w14:paraId="0989AEEB">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分包</w:t>
            </w:r>
          </w:p>
        </w:tc>
        <w:tc>
          <w:tcPr>
            <w:tcW w:w="7285" w:type="dxa"/>
            <w:noWrap w:val="0"/>
            <w:vAlign w:val="center"/>
          </w:tcPr>
          <w:p w14:paraId="3753EBB2">
            <w:pPr>
              <w:keepNext w:val="0"/>
              <w:keepLines w:val="0"/>
              <w:pageBreakBefore w:val="0"/>
              <w:kinsoku/>
              <w:wordWrap/>
              <w:overflowPunct/>
              <w:topLinePunct w:val="0"/>
              <w:autoSpaceDE/>
              <w:autoSpaceDN/>
              <w:bidi w:val="0"/>
              <w:spacing w:line="5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不允许</w:t>
            </w:r>
          </w:p>
        </w:tc>
      </w:tr>
      <w:tr w14:paraId="7DFD3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jc w:val="center"/>
        </w:trPr>
        <w:tc>
          <w:tcPr>
            <w:tcW w:w="868" w:type="dxa"/>
            <w:noWrap w:val="0"/>
            <w:vAlign w:val="center"/>
          </w:tcPr>
          <w:p w14:paraId="6D1E1887">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1.12</w:t>
            </w:r>
          </w:p>
        </w:tc>
        <w:tc>
          <w:tcPr>
            <w:tcW w:w="1661" w:type="dxa"/>
            <w:noWrap w:val="0"/>
            <w:vAlign w:val="center"/>
          </w:tcPr>
          <w:p w14:paraId="2B66AE39">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偏离</w:t>
            </w:r>
          </w:p>
        </w:tc>
        <w:tc>
          <w:tcPr>
            <w:tcW w:w="7285" w:type="dxa"/>
            <w:noWrap w:val="0"/>
            <w:vAlign w:val="center"/>
          </w:tcPr>
          <w:p w14:paraId="3E8AE83F">
            <w:pPr>
              <w:keepNext w:val="0"/>
              <w:keepLines w:val="0"/>
              <w:pageBreakBefore w:val="0"/>
              <w:kinsoku/>
              <w:wordWrap/>
              <w:overflowPunct/>
              <w:topLinePunct w:val="0"/>
              <w:autoSpaceDE/>
              <w:autoSpaceDN/>
              <w:bidi w:val="0"/>
              <w:adjustRightInd w:val="0"/>
              <w:snapToGrid w:val="0"/>
              <w:spacing w:line="5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偏离允许幅度及其处理方法：投标人的投标文件不允许有实质性的偏离，细微偏离由评委在评标过程中确定后，视其情况向投标人书面发出补正要求。</w:t>
            </w:r>
          </w:p>
        </w:tc>
      </w:tr>
      <w:tr w14:paraId="21A75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868" w:type="dxa"/>
            <w:noWrap w:val="0"/>
            <w:vAlign w:val="center"/>
          </w:tcPr>
          <w:p w14:paraId="220B34F0">
            <w:pPr>
              <w:keepNext w:val="0"/>
              <w:keepLines w:val="0"/>
              <w:pageBreakBefore w:val="0"/>
              <w:kinsoku/>
              <w:wordWrap/>
              <w:overflowPunct/>
              <w:topLinePunct w:val="0"/>
              <w:autoSpaceDE/>
              <w:autoSpaceDN/>
              <w:bidi w:val="0"/>
              <w:adjustRightInd w:val="0"/>
              <w:snapToGrid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2.2.1</w:t>
            </w:r>
          </w:p>
        </w:tc>
        <w:tc>
          <w:tcPr>
            <w:tcW w:w="1661" w:type="dxa"/>
            <w:noWrap w:val="0"/>
            <w:vAlign w:val="center"/>
          </w:tcPr>
          <w:p w14:paraId="372E9B30">
            <w:pPr>
              <w:keepNext w:val="0"/>
              <w:keepLines w:val="0"/>
              <w:pageBreakBefore w:val="0"/>
              <w:kinsoku/>
              <w:wordWrap/>
              <w:overflowPunct/>
              <w:topLinePunct w:val="0"/>
              <w:autoSpaceDE/>
              <w:autoSpaceDN/>
              <w:bidi w:val="0"/>
              <w:adjustRightInd w:val="0"/>
              <w:snapToGrid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网上质疑截止时间</w:t>
            </w:r>
          </w:p>
        </w:tc>
        <w:tc>
          <w:tcPr>
            <w:tcW w:w="7285" w:type="dxa"/>
            <w:noWrap w:val="0"/>
            <w:vAlign w:val="center"/>
          </w:tcPr>
          <w:p w14:paraId="6ADE52A3">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sz w:val="24"/>
                <w:szCs w:val="24"/>
                <w:highlight w:val="none"/>
              </w:rPr>
              <w:t>详见“重要事项时间地点一览表”</w:t>
            </w:r>
          </w:p>
        </w:tc>
      </w:tr>
      <w:tr w14:paraId="7873A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868" w:type="dxa"/>
            <w:noWrap w:val="0"/>
            <w:vAlign w:val="center"/>
          </w:tcPr>
          <w:p w14:paraId="1E8B2C11">
            <w:pPr>
              <w:keepNext w:val="0"/>
              <w:keepLines w:val="0"/>
              <w:pageBreakBefore w:val="0"/>
              <w:kinsoku/>
              <w:wordWrap/>
              <w:overflowPunct/>
              <w:topLinePunct w:val="0"/>
              <w:autoSpaceDE/>
              <w:autoSpaceDN/>
              <w:bidi w:val="0"/>
              <w:adjustRightInd w:val="0"/>
              <w:snapToGrid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2.2.2</w:t>
            </w:r>
          </w:p>
        </w:tc>
        <w:tc>
          <w:tcPr>
            <w:tcW w:w="1661" w:type="dxa"/>
            <w:noWrap w:val="0"/>
            <w:vAlign w:val="center"/>
          </w:tcPr>
          <w:p w14:paraId="13DA8D4F">
            <w:pPr>
              <w:keepNext w:val="0"/>
              <w:keepLines w:val="0"/>
              <w:pageBreakBefore w:val="0"/>
              <w:kinsoku/>
              <w:wordWrap/>
              <w:overflowPunct/>
              <w:topLinePunct w:val="0"/>
              <w:autoSpaceDE/>
              <w:autoSpaceDN/>
              <w:bidi w:val="0"/>
              <w:adjustRightInd w:val="0"/>
              <w:snapToGrid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招标答疑书发布时间</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网址</w:t>
            </w:r>
          </w:p>
        </w:tc>
        <w:tc>
          <w:tcPr>
            <w:tcW w:w="7285" w:type="dxa"/>
            <w:noWrap w:val="0"/>
            <w:vAlign w:val="center"/>
          </w:tcPr>
          <w:p w14:paraId="1456C5E1">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sz w:val="24"/>
                <w:szCs w:val="24"/>
                <w:highlight w:val="none"/>
              </w:rPr>
              <w:t>详见“重要事项时间地点一览表”</w:t>
            </w:r>
          </w:p>
        </w:tc>
      </w:tr>
      <w:tr w14:paraId="1CDC7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jc w:val="center"/>
        </w:trPr>
        <w:tc>
          <w:tcPr>
            <w:tcW w:w="868" w:type="dxa"/>
            <w:noWrap w:val="0"/>
            <w:vAlign w:val="center"/>
          </w:tcPr>
          <w:p w14:paraId="46DFE272">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3.2.2</w:t>
            </w:r>
          </w:p>
        </w:tc>
        <w:tc>
          <w:tcPr>
            <w:tcW w:w="1661" w:type="dxa"/>
            <w:noWrap w:val="0"/>
            <w:vAlign w:val="center"/>
          </w:tcPr>
          <w:p w14:paraId="493D1C2E">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投标报价</w:t>
            </w:r>
          </w:p>
        </w:tc>
        <w:tc>
          <w:tcPr>
            <w:tcW w:w="7285" w:type="dxa"/>
            <w:noWrap w:val="0"/>
            <w:vAlign w:val="center"/>
          </w:tcPr>
          <w:p w14:paraId="7DEB69AE">
            <w:pPr>
              <w:keepNext w:val="0"/>
              <w:keepLines w:val="0"/>
              <w:pageBreakBefore w:val="0"/>
              <w:kinsoku/>
              <w:wordWrap/>
              <w:overflowPunct/>
              <w:topLinePunct w:val="0"/>
              <w:autoSpaceDE/>
              <w:autoSpaceDN/>
              <w:bidi w:val="0"/>
              <w:spacing w:line="5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投标人仅需填报投标报价下浮率（有效投标报价下浮率≥0.000%，保留至小数点后</w:t>
            </w:r>
            <w:r>
              <w:rPr>
                <w:rFonts w:hint="eastAsia" w:ascii="宋体" w:hAnsi="宋体" w:eastAsia="宋体" w:cs="宋体"/>
                <w:color w:val="000000"/>
                <w:sz w:val="24"/>
                <w:szCs w:val="24"/>
                <w:highlight w:val="none"/>
                <w:lang w:eastAsia="zh-CN"/>
              </w:rPr>
              <w:t>3</w:t>
            </w:r>
            <w:r>
              <w:rPr>
                <w:rFonts w:hint="eastAsia" w:ascii="宋体" w:hAnsi="宋体" w:eastAsia="宋体" w:cs="宋体"/>
                <w:color w:val="000000"/>
                <w:sz w:val="24"/>
                <w:szCs w:val="24"/>
                <w:highlight w:val="none"/>
              </w:rPr>
              <w:t>位），不在此范围内的投标报价均为无效投标报价。</w:t>
            </w:r>
          </w:p>
        </w:tc>
      </w:tr>
      <w:tr w14:paraId="0DD32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68" w:type="dxa"/>
            <w:noWrap w:val="0"/>
            <w:vAlign w:val="center"/>
          </w:tcPr>
          <w:p w14:paraId="1174279F">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3.2.3</w:t>
            </w:r>
          </w:p>
        </w:tc>
        <w:tc>
          <w:tcPr>
            <w:tcW w:w="1661" w:type="dxa"/>
            <w:noWrap w:val="0"/>
            <w:vAlign w:val="center"/>
          </w:tcPr>
          <w:p w14:paraId="253642E0">
            <w:pPr>
              <w:keepNext w:val="0"/>
              <w:keepLines w:val="0"/>
              <w:pageBreakBefore w:val="0"/>
              <w:kinsoku/>
              <w:wordWrap/>
              <w:overflowPunct/>
              <w:topLinePunct w:val="0"/>
              <w:autoSpaceDE/>
              <w:autoSpaceDN/>
              <w:bidi w:val="0"/>
              <w:snapToGrid/>
              <w:spacing w:line="500" w:lineRule="exact"/>
              <w:ind w:firstLine="240" w:firstLineChars="100"/>
              <w:textAlignment w:val="auto"/>
              <w:rPr>
                <w:rFonts w:hint="eastAsia" w:ascii="宋体" w:hAnsi="宋体" w:eastAsia="宋体" w:cs="宋体"/>
                <w:color w:val="000000"/>
                <w:sz w:val="24"/>
                <w:szCs w:val="24"/>
                <w:shd w:val="clear" w:color="auto" w:fill="FFFF00"/>
                <w:lang w:val="en-US" w:eastAsia="zh-CN"/>
              </w:rPr>
            </w:pPr>
            <w:r>
              <w:rPr>
                <w:rFonts w:hint="eastAsia" w:ascii="宋体" w:hAnsi="宋体" w:eastAsia="宋体" w:cs="宋体"/>
                <w:color w:val="000000"/>
                <w:sz w:val="24"/>
                <w:szCs w:val="24"/>
                <w:shd w:val="clear" w:color="auto" w:fill="auto"/>
                <w:lang w:val="en-US" w:eastAsia="zh-CN"/>
              </w:rPr>
              <w:t>最高限价</w:t>
            </w:r>
          </w:p>
        </w:tc>
        <w:tc>
          <w:tcPr>
            <w:tcW w:w="7285" w:type="dxa"/>
            <w:noWrap w:val="0"/>
            <w:vAlign w:val="center"/>
          </w:tcPr>
          <w:p w14:paraId="2F42F496">
            <w:pPr>
              <w:keepNext w:val="0"/>
              <w:keepLines w:val="0"/>
              <w:pageBreakBefore w:val="0"/>
              <w:kinsoku/>
              <w:wordWrap/>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24"/>
                <w:shd w:val="clear" w:color="auto" w:fill="FFFF00"/>
                <w:lang w:val="en-US" w:eastAsia="zh-CN"/>
              </w:rPr>
            </w:pPr>
            <w:r>
              <w:rPr>
                <w:rFonts w:hint="eastAsia" w:ascii="宋体" w:hAnsi="宋体" w:eastAsia="宋体" w:cs="宋体"/>
                <w:color w:val="000000"/>
                <w:sz w:val="24"/>
                <w:szCs w:val="24"/>
                <w:shd w:val="clear" w:color="auto" w:fill="auto"/>
                <w:lang w:val="en-US" w:eastAsia="zh-CN"/>
              </w:rPr>
              <w:t>¥300,000.00元</w:t>
            </w:r>
          </w:p>
        </w:tc>
      </w:tr>
      <w:tr w14:paraId="746A3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68" w:type="dxa"/>
            <w:noWrap w:val="0"/>
            <w:vAlign w:val="center"/>
          </w:tcPr>
          <w:p w14:paraId="6DBE7429">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3.3.1</w:t>
            </w:r>
          </w:p>
        </w:tc>
        <w:tc>
          <w:tcPr>
            <w:tcW w:w="1661" w:type="dxa"/>
            <w:noWrap w:val="0"/>
            <w:vAlign w:val="center"/>
          </w:tcPr>
          <w:p w14:paraId="215FDC63">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投标有效期</w:t>
            </w:r>
          </w:p>
        </w:tc>
        <w:tc>
          <w:tcPr>
            <w:tcW w:w="7285" w:type="dxa"/>
            <w:noWrap w:val="0"/>
            <w:vAlign w:val="center"/>
          </w:tcPr>
          <w:p w14:paraId="5A37D0C0">
            <w:pPr>
              <w:keepNext w:val="0"/>
              <w:keepLines w:val="0"/>
              <w:pageBreakBefore w:val="0"/>
              <w:kinsoku/>
              <w:wordWrap/>
              <w:overflowPunct/>
              <w:topLinePunct w:val="0"/>
              <w:autoSpaceDE/>
              <w:autoSpaceDN/>
              <w:bidi w:val="0"/>
              <w:spacing w:line="5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从投标截止时间算起90天</w:t>
            </w:r>
          </w:p>
        </w:tc>
      </w:tr>
      <w:tr w14:paraId="3A468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68" w:type="dxa"/>
            <w:noWrap w:val="0"/>
            <w:vAlign w:val="center"/>
          </w:tcPr>
          <w:p w14:paraId="75F82999">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rPr>
              <w:t>3.4.1</w:t>
            </w:r>
          </w:p>
        </w:tc>
        <w:tc>
          <w:tcPr>
            <w:tcW w:w="1661" w:type="dxa"/>
            <w:noWrap w:val="0"/>
            <w:vAlign w:val="center"/>
          </w:tcPr>
          <w:p w14:paraId="1A789672">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rPr>
              <w:t>投标保证</w:t>
            </w:r>
          </w:p>
        </w:tc>
        <w:tc>
          <w:tcPr>
            <w:tcW w:w="7285" w:type="dxa"/>
            <w:noWrap w:val="0"/>
            <w:vAlign w:val="center"/>
          </w:tcPr>
          <w:p w14:paraId="30DD811D">
            <w:pPr>
              <w:keepNext w:val="0"/>
              <w:keepLines w:val="0"/>
              <w:pageBreakBefore w:val="0"/>
              <w:kinsoku/>
              <w:wordWrap/>
              <w:overflowPunct/>
              <w:topLinePunct w:val="0"/>
              <w:autoSpaceDE/>
              <w:autoSpaceDN/>
              <w:bidi w:val="0"/>
              <w:adjustRightInd w:val="0"/>
              <w:snapToGrid w:val="0"/>
              <w:spacing w:line="5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本工程</w:t>
            </w:r>
            <w:r>
              <w:rPr>
                <w:rFonts w:hint="eastAsia" w:ascii="宋体" w:hAnsi="宋体" w:eastAsia="宋体" w:cs="宋体"/>
                <w:color w:val="000000"/>
                <w:sz w:val="24"/>
                <w:szCs w:val="24"/>
                <w:highlight w:val="none"/>
              </w:rPr>
              <w:t>投标保证金额为人民币：</w:t>
            </w:r>
            <w:r>
              <w:rPr>
                <w:rFonts w:hint="eastAsia" w:ascii="宋体" w:hAnsi="宋体" w:eastAsia="宋体" w:cs="宋体"/>
                <w:color w:val="000000"/>
                <w:sz w:val="24"/>
                <w:szCs w:val="24"/>
                <w:highlight w:val="none"/>
                <w:u w:val="single"/>
                <w:lang w:val="en-US" w:eastAsia="zh-CN"/>
              </w:rPr>
              <w:t>叁仟元整（¥3,000.00元）</w:t>
            </w:r>
            <w:r>
              <w:rPr>
                <w:rFonts w:hint="eastAsia" w:ascii="宋体" w:hAnsi="宋体" w:eastAsia="宋体" w:cs="宋体"/>
                <w:color w:val="000000"/>
                <w:sz w:val="24"/>
                <w:szCs w:val="24"/>
                <w:highlight w:val="none"/>
              </w:rPr>
              <w:t>。联合体投标的，由联合体牵头人缴纳。</w:t>
            </w:r>
          </w:p>
          <w:p w14:paraId="36F250BF">
            <w:pPr>
              <w:keepNext w:val="0"/>
              <w:keepLines w:val="0"/>
              <w:pageBreakBefore w:val="0"/>
              <w:kinsoku/>
              <w:wordWrap/>
              <w:overflowPunct/>
              <w:topLinePunct w:val="0"/>
              <w:autoSpaceDE/>
              <w:autoSpaceDN/>
              <w:bidi w:val="0"/>
              <w:adjustRightInd w:val="0"/>
              <w:snapToGrid w:val="0"/>
              <w:spacing w:line="5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投标保证的形式包括投标保证金、投标保证担保、投标保证保险三种，由投标人自主选择。</w:t>
            </w:r>
          </w:p>
          <w:p w14:paraId="2D619DC8">
            <w:pPr>
              <w:keepNext w:val="0"/>
              <w:keepLines w:val="0"/>
              <w:pageBreakBefore w:val="0"/>
              <w:kinsoku/>
              <w:wordWrap/>
              <w:overflowPunct/>
              <w:topLinePunct w:val="0"/>
              <w:autoSpaceDE/>
              <w:autoSpaceDN/>
              <w:bidi w:val="0"/>
              <w:adjustRightInd w:val="0"/>
              <w:snapToGrid w:val="0"/>
              <w:spacing w:line="500" w:lineRule="exact"/>
              <w:ind w:firstLine="240" w:firstLineChars="1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采用投标保证金的，投标人在建设工程交易系统获取招标文件完毕后，即可在系统申请缴纳投标保证金，获取本次招标投标保证金缴纳账号。投标人必须于投标保证金到账截止时间（见本章第二节“重要事项时间地点一览表”）前，从其基本账户将投标保证金转账到指定的缴纳账号。逾期到账的、从非投标人基本账户转出的，其投标无效。</w:t>
            </w:r>
          </w:p>
          <w:p w14:paraId="2BF6C724">
            <w:pPr>
              <w:keepNext w:val="0"/>
              <w:keepLines w:val="0"/>
              <w:pageBreakBefore w:val="0"/>
              <w:kinsoku/>
              <w:wordWrap/>
              <w:overflowPunct/>
              <w:topLinePunct w:val="0"/>
              <w:autoSpaceDE/>
              <w:autoSpaceDN/>
              <w:bidi w:val="0"/>
              <w:adjustRightInd w:val="0"/>
              <w:snapToGrid w:val="0"/>
              <w:spacing w:line="500" w:lineRule="exact"/>
              <w:ind w:firstLine="240" w:firstLineChars="1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35E07A7F">
            <w:pPr>
              <w:keepNext w:val="0"/>
              <w:keepLines w:val="0"/>
              <w:pageBreakBefore w:val="0"/>
              <w:kinsoku/>
              <w:wordWrap/>
              <w:overflowPunct/>
              <w:topLinePunct w:val="0"/>
              <w:autoSpaceDE/>
              <w:autoSpaceDN/>
              <w:bidi w:val="0"/>
              <w:adjustRightInd w:val="0"/>
              <w:snapToGrid w:val="0"/>
              <w:spacing w:line="500" w:lineRule="exact"/>
              <w:ind w:firstLine="240" w:firstLineChars="1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w:t>
            </w:r>
          </w:p>
          <w:p w14:paraId="72DD9EA7">
            <w:pPr>
              <w:keepNext w:val="0"/>
              <w:keepLines w:val="0"/>
              <w:pageBreakBefore w:val="0"/>
              <w:kinsoku/>
              <w:wordWrap/>
              <w:overflowPunct/>
              <w:topLinePunct w:val="0"/>
              <w:autoSpaceDE/>
              <w:autoSpaceDN/>
              <w:bidi w:val="0"/>
              <w:adjustRightInd w:val="0"/>
              <w:snapToGrid w:val="0"/>
              <w:spacing w:line="500" w:lineRule="exact"/>
              <w:ind w:firstLine="240" w:firstLineChars="1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（https://ygp.gdzwfw.gov.cn/ggzy-portal/#/440200/index），在【服务指南】栏目中下载《建设工程网上交易系统保险保证金缴纳操作指南》，了解网上投保具体操作流程。逾期投保的，其投标无效。</w:t>
            </w:r>
          </w:p>
          <w:p w14:paraId="51607C6C">
            <w:pPr>
              <w:keepNext w:val="0"/>
              <w:keepLines w:val="0"/>
              <w:pageBreakBefore w:val="0"/>
              <w:kinsoku/>
              <w:wordWrap/>
              <w:overflowPunct/>
              <w:topLinePunct w:val="0"/>
              <w:autoSpaceDE/>
              <w:autoSpaceDN/>
              <w:bidi w:val="0"/>
              <w:adjustRightInd w:val="0"/>
              <w:snapToGrid w:val="0"/>
              <w:spacing w:line="500" w:lineRule="exact"/>
              <w:ind w:firstLine="720" w:firstLineChars="3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6AF682B3">
            <w:pPr>
              <w:keepNext w:val="0"/>
              <w:keepLines w:val="0"/>
              <w:pageBreakBefore w:val="0"/>
              <w:kinsoku/>
              <w:wordWrap/>
              <w:overflowPunct/>
              <w:topLinePunct w:val="0"/>
              <w:autoSpaceDE/>
              <w:autoSpaceDN/>
              <w:bidi w:val="0"/>
              <w:adjustRightInd w:val="0"/>
              <w:snapToGrid w:val="0"/>
              <w:spacing w:line="500" w:lineRule="exact"/>
              <w:ind w:firstLine="480" w:firstLineChars="200"/>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rPr>
              <w:t>若投标人因自身原因未能正确获取招标文件、</w:t>
            </w:r>
            <w:r>
              <w:rPr>
                <w:rFonts w:hint="eastAsia" w:ascii="宋体" w:hAnsi="宋体" w:eastAsia="宋体" w:cs="宋体"/>
                <w:color w:val="000000"/>
                <w:sz w:val="24"/>
                <w:szCs w:val="24"/>
              </w:rPr>
              <w:t>电子投标</w:t>
            </w:r>
            <w:r>
              <w:rPr>
                <w:rFonts w:hint="eastAsia" w:ascii="宋体" w:hAnsi="宋体" w:eastAsia="宋体" w:cs="宋体"/>
                <w:color w:val="000000"/>
                <w:sz w:val="24"/>
                <w:szCs w:val="24"/>
                <w:lang w:val="en-US" w:eastAsia="zh-CN"/>
              </w:rPr>
              <w:t>和</w:t>
            </w:r>
            <w:r>
              <w:rPr>
                <w:rFonts w:hint="eastAsia" w:ascii="宋体" w:hAnsi="宋体" w:eastAsia="宋体" w:cs="宋体"/>
                <w:color w:val="000000"/>
                <w:sz w:val="24"/>
                <w:szCs w:val="24"/>
              </w:rPr>
              <w:t>缴纳投标保证</w:t>
            </w:r>
            <w:r>
              <w:rPr>
                <w:rFonts w:hint="eastAsia" w:ascii="宋体" w:hAnsi="宋体" w:eastAsia="宋体" w:cs="宋体"/>
                <w:color w:val="000000"/>
                <w:sz w:val="24"/>
                <w:szCs w:val="24"/>
                <w:highlight w:val="none"/>
              </w:rPr>
              <w:t>的，其投标无效。</w:t>
            </w:r>
          </w:p>
        </w:tc>
      </w:tr>
      <w:tr w14:paraId="2FBD1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68" w:type="dxa"/>
            <w:noWrap w:val="0"/>
            <w:vAlign w:val="center"/>
          </w:tcPr>
          <w:p w14:paraId="3F6D1D1C">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rPr>
              <w:t>3.7.2</w:t>
            </w:r>
          </w:p>
        </w:tc>
        <w:tc>
          <w:tcPr>
            <w:tcW w:w="1661" w:type="dxa"/>
            <w:noWrap w:val="0"/>
            <w:vAlign w:val="center"/>
          </w:tcPr>
          <w:p w14:paraId="55615961">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rPr>
              <w:t>签字或盖章要求</w:t>
            </w:r>
          </w:p>
        </w:tc>
        <w:tc>
          <w:tcPr>
            <w:tcW w:w="7285" w:type="dxa"/>
            <w:noWrap w:val="0"/>
            <w:vAlign w:val="center"/>
          </w:tcPr>
          <w:p w14:paraId="56CC1902">
            <w:pPr>
              <w:keepNext w:val="0"/>
              <w:keepLines w:val="0"/>
              <w:pageBreakBefore w:val="0"/>
              <w:numPr>
                <w:ilvl w:val="0"/>
                <w:numId w:val="1"/>
              </w:numPr>
              <w:kinsoku/>
              <w:wordWrap/>
              <w:overflowPunct/>
              <w:topLinePunct w:val="0"/>
              <w:autoSpaceDE/>
              <w:autoSpaceDN/>
              <w:bidi w:val="0"/>
              <w:spacing w:line="500" w:lineRule="exact"/>
              <w:ind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投标文件全部采用电子文档，投标文件所附证书证件均为</w:t>
            </w:r>
            <w:r>
              <w:rPr>
                <w:rFonts w:hint="eastAsia" w:ascii="宋体" w:hAnsi="宋体" w:eastAsia="宋体" w:cs="宋体"/>
                <w:b/>
                <w:bCs/>
                <w:color w:val="000000"/>
                <w:sz w:val="24"/>
                <w:szCs w:val="24"/>
                <w:highlight w:val="none"/>
                <w:lang w:eastAsia="zh-CN"/>
              </w:rPr>
              <w:t>原件</w:t>
            </w:r>
            <w:r>
              <w:rPr>
                <w:rFonts w:hint="eastAsia" w:ascii="宋体" w:hAnsi="宋体" w:eastAsia="宋体" w:cs="宋体"/>
                <w:b/>
                <w:bCs/>
                <w:color w:val="000000"/>
                <w:sz w:val="24"/>
                <w:szCs w:val="24"/>
                <w:highlight w:val="none"/>
                <w:lang w:val="en-US" w:eastAsia="zh-CN"/>
              </w:rPr>
              <w:t>彩色</w:t>
            </w:r>
            <w:r>
              <w:rPr>
                <w:rFonts w:hint="eastAsia" w:ascii="宋体" w:hAnsi="宋体" w:eastAsia="宋体" w:cs="宋体"/>
                <w:b/>
                <w:bCs/>
                <w:color w:val="000000"/>
                <w:sz w:val="24"/>
                <w:szCs w:val="24"/>
                <w:highlight w:val="none"/>
                <w:lang w:eastAsia="zh-CN"/>
              </w:rPr>
              <w:t>扫描件</w:t>
            </w:r>
            <w:r>
              <w:rPr>
                <w:rFonts w:hint="eastAsia" w:ascii="宋体" w:hAnsi="宋体" w:eastAsia="宋体" w:cs="宋体"/>
                <w:color w:val="000000"/>
                <w:sz w:val="24"/>
                <w:szCs w:val="24"/>
                <w:highlight w:val="none"/>
                <w:lang w:eastAsia="zh-CN"/>
              </w:rPr>
              <w:t>，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交易指引。</w:t>
            </w:r>
          </w:p>
          <w:p w14:paraId="1D529773">
            <w:pPr>
              <w:keepNext w:val="0"/>
              <w:keepLines w:val="0"/>
              <w:pageBreakBefore w:val="0"/>
              <w:numPr>
                <w:ilvl w:val="0"/>
                <w:numId w:val="1"/>
              </w:numPr>
              <w:kinsoku/>
              <w:wordWrap/>
              <w:overflowPunct/>
              <w:topLinePunct w:val="0"/>
              <w:autoSpaceDE/>
              <w:autoSpaceDN/>
              <w:bidi w:val="0"/>
              <w:spacing w:line="5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文件封面、组成内容中凡注明“签字”处由要求的人员签字或电子签章；凡注明“签字或盖章”处由要求的人员签字或盖其私章（电子印章）；凡注明“签字并盖执业印章”处由要求的人员签字并盖其执业印章。</w:t>
            </w:r>
          </w:p>
          <w:p w14:paraId="31C44C5B">
            <w:pPr>
              <w:keepNext w:val="0"/>
              <w:keepLines w:val="0"/>
              <w:pageBreakBefore w:val="0"/>
              <w:kinsoku/>
              <w:wordWrap/>
              <w:overflowPunct/>
              <w:topLinePunct w:val="0"/>
              <w:autoSpaceDE/>
              <w:autoSpaceDN/>
              <w:bidi w:val="0"/>
              <w:spacing w:line="5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投标文件封套、封面、组成内容中凡要求录入投标人名称且注明“盖单位章”处盖单位法人公章（电子印章）。</w:t>
            </w:r>
          </w:p>
          <w:p w14:paraId="1C7A7E8D">
            <w:pPr>
              <w:keepNext w:val="0"/>
              <w:keepLines w:val="0"/>
              <w:pageBreakBefore w:val="0"/>
              <w:kinsoku/>
              <w:wordWrap/>
              <w:overflowPunct/>
              <w:topLinePunct w:val="0"/>
              <w:autoSpaceDE/>
              <w:autoSpaceDN/>
              <w:bidi w:val="0"/>
              <w:spacing w:line="5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投标文件的签字均为签字人本人亲笔署名或签章（电子印章），其余部分的扫描件无须另行签字、盖章。</w:t>
            </w:r>
          </w:p>
          <w:p w14:paraId="4AF5458A">
            <w:pPr>
              <w:keepNext w:val="0"/>
              <w:keepLines w:val="0"/>
              <w:pageBreakBefore w:val="0"/>
              <w:kinsoku/>
              <w:wordWrap/>
              <w:overflowPunct/>
              <w:topLinePunct w:val="0"/>
              <w:autoSpaceDE/>
              <w:autoSpaceDN/>
              <w:bidi w:val="0"/>
              <w:spacing w:line="500" w:lineRule="exact"/>
              <w:ind w:firstLine="480" w:firstLineChars="200"/>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5</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联合体投标的，除《联合体协议书》外，由联合体牵头人按以上要求签亲笔署名或签章（电子印章）即可。</w:t>
            </w:r>
          </w:p>
        </w:tc>
      </w:tr>
      <w:tr w14:paraId="21491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8" w:type="dxa"/>
            <w:noWrap w:val="0"/>
            <w:vAlign w:val="center"/>
          </w:tcPr>
          <w:p w14:paraId="635B46C0">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5.1</w:t>
            </w:r>
          </w:p>
        </w:tc>
        <w:tc>
          <w:tcPr>
            <w:tcW w:w="1661" w:type="dxa"/>
            <w:noWrap w:val="0"/>
            <w:vAlign w:val="center"/>
          </w:tcPr>
          <w:p w14:paraId="05E214A3">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开标时间和地点</w:t>
            </w:r>
          </w:p>
        </w:tc>
        <w:tc>
          <w:tcPr>
            <w:tcW w:w="7285" w:type="dxa"/>
            <w:noWrap w:val="0"/>
            <w:vAlign w:val="center"/>
          </w:tcPr>
          <w:p w14:paraId="6982A44C">
            <w:pPr>
              <w:keepNext w:val="0"/>
              <w:keepLines w:val="0"/>
              <w:pageBreakBefore w:val="0"/>
              <w:kinsoku/>
              <w:wordWrap/>
              <w:overflowPunct/>
              <w:topLinePunct w:val="0"/>
              <w:autoSpaceDE/>
              <w:autoSpaceDN/>
              <w:bidi w:val="0"/>
              <w:spacing w:line="5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见“</w:t>
            </w:r>
            <w:r>
              <w:rPr>
                <w:rFonts w:hint="eastAsia" w:ascii="宋体" w:hAnsi="宋体" w:eastAsia="宋体" w:cs="宋体"/>
                <w:b/>
                <w:bCs/>
                <w:color w:val="000000"/>
                <w:sz w:val="24"/>
                <w:szCs w:val="24"/>
                <w:highlight w:val="none"/>
              </w:rPr>
              <w:t>重要事项时间地点一览表</w:t>
            </w:r>
            <w:r>
              <w:rPr>
                <w:rFonts w:hint="eastAsia" w:ascii="宋体" w:hAnsi="宋体" w:eastAsia="宋体" w:cs="宋体"/>
                <w:color w:val="000000"/>
                <w:sz w:val="24"/>
                <w:szCs w:val="24"/>
                <w:highlight w:val="none"/>
              </w:rPr>
              <w:t>”</w:t>
            </w:r>
          </w:p>
        </w:tc>
      </w:tr>
      <w:tr w14:paraId="6FF20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868" w:type="dxa"/>
            <w:noWrap w:val="0"/>
            <w:vAlign w:val="center"/>
          </w:tcPr>
          <w:p w14:paraId="4F81306A">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6.1.1</w:t>
            </w:r>
          </w:p>
        </w:tc>
        <w:tc>
          <w:tcPr>
            <w:tcW w:w="1661" w:type="dxa"/>
            <w:noWrap w:val="0"/>
            <w:vAlign w:val="center"/>
          </w:tcPr>
          <w:p w14:paraId="179D1EB8">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评标委员会的组建</w:t>
            </w:r>
          </w:p>
        </w:tc>
        <w:tc>
          <w:tcPr>
            <w:tcW w:w="7285" w:type="dxa"/>
            <w:noWrap w:val="0"/>
            <w:vAlign w:val="center"/>
          </w:tcPr>
          <w:p w14:paraId="5A7E1D85">
            <w:pPr>
              <w:keepNext w:val="0"/>
              <w:keepLines w:val="0"/>
              <w:pageBreakBefore w:val="0"/>
              <w:kinsoku/>
              <w:wordWrap/>
              <w:overflowPunct/>
              <w:topLinePunct w:val="0"/>
              <w:autoSpaceDE/>
              <w:autoSpaceDN/>
              <w:bidi w:val="0"/>
              <w:spacing w:line="5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评标委员会的构成：共7人（招标人代表 0 人，专家 7人</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其中：经济类专家不少于2人）。</w:t>
            </w:r>
          </w:p>
          <w:p w14:paraId="675F2AE3">
            <w:pPr>
              <w:keepNext w:val="0"/>
              <w:keepLines w:val="0"/>
              <w:pageBreakBefore w:val="0"/>
              <w:kinsoku/>
              <w:wordWrap/>
              <w:overflowPunct/>
              <w:topLinePunct w:val="0"/>
              <w:autoSpaceDE/>
              <w:autoSpaceDN/>
              <w:bidi w:val="0"/>
              <w:spacing w:line="5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评标专家确定方式：开标前招标人从</w:t>
            </w:r>
            <w:r>
              <w:rPr>
                <w:rFonts w:hint="eastAsia" w:ascii="宋体" w:hAnsi="宋体" w:eastAsia="宋体" w:cs="宋体"/>
                <w:b w:val="0"/>
                <w:bCs w:val="0"/>
                <w:color w:val="000000"/>
                <w:sz w:val="24"/>
                <w:szCs w:val="24"/>
                <w:highlight w:val="none"/>
              </w:rPr>
              <w:t>广东省综合评标评审专家库</w:t>
            </w:r>
            <w:r>
              <w:rPr>
                <w:rFonts w:hint="eastAsia" w:ascii="宋体" w:hAnsi="宋体" w:eastAsia="宋体" w:cs="宋体"/>
                <w:b w:val="0"/>
                <w:bCs w:val="0"/>
                <w:color w:val="000000"/>
                <w:sz w:val="24"/>
                <w:szCs w:val="24"/>
                <w:highlight w:val="none"/>
                <w:lang w:val="en-US" w:eastAsia="zh-CN"/>
              </w:rPr>
              <w:t>-韶关市区域中</w:t>
            </w:r>
            <w:r>
              <w:rPr>
                <w:rFonts w:hint="eastAsia" w:ascii="宋体" w:hAnsi="宋体" w:eastAsia="宋体" w:cs="宋体"/>
                <w:b w:val="0"/>
                <w:bCs w:val="0"/>
                <w:color w:val="000000"/>
                <w:sz w:val="24"/>
                <w:szCs w:val="24"/>
                <w:highlight w:val="none"/>
              </w:rPr>
              <w:t>随机抽取。</w:t>
            </w:r>
          </w:p>
        </w:tc>
      </w:tr>
      <w:tr w14:paraId="61B77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868" w:type="dxa"/>
            <w:noWrap w:val="0"/>
            <w:vAlign w:val="center"/>
          </w:tcPr>
          <w:p w14:paraId="6DFD0A0C">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7.4</w:t>
            </w:r>
          </w:p>
        </w:tc>
        <w:tc>
          <w:tcPr>
            <w:tcW w:w="1661" w:type="dxa"/>
            <w:noWrap w:val="0"/>
            <w:vAlign w:val="center"/>
          </w:tcPr>
          <w:p w14:paraId="0BF54B97">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履约保证金</w:t>
            </w:r>
          </w:p>
        </w:tc>
        <w:tc>
          <w:tcPr>
            <w:tcW w:w="7285" w:type="dxa"/>
            <w:noWrap w:val="0"/>
            <w:vAlign w:val="center"/>
          </w:tcPr>
          <w:p w14:paraId="31ABDEEC">
            <w:pPr>
              <w:keepNext w:val="0"/>
              <w:keepLines w:val="0"/>
              <w:pageBreakBefore w:val="0"/>
              <w:kinsoku/>
              <w:wordWrap/>
              <w:overflowPunct/>
              <w:topLinePunct w:val="0"/>
              <w:autoSpaceDE/>
              <w:autoSpaceDN/>
              <w:bidi w:val="0"/>
              <w:spacing w:line="500" w:lineRule="exact"/>
              <w:ind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w:t>
            </w:r>
          </w:p>
        </w:tc>
      </w:tr>
      <w:tr w14:paraId="21CDD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868" w:type="dxa"/>
            <w:noWrap w:val="0"/>
            <w:vAlign w:val="center"/>
          </w:tcPr>
          <w:p w14:paraId="5CE64FED">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w:t>
            </w:r>
          </w:p>
        </w:tc>
        <w:tc>
          <w:tcPr>
            <w:tcW w:w="8946" w:type="dxa"/>
            <w:gridSpan w:val="2"/>
            <w:noWrap w:val="0"/>
            <w:vAlign w:val="center"/>
          </w:tcPr>
          <w:p w14:paraId="6424B960">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需要补充的其他内容</w:t>
            </w:r>
          </w:p>
        </w:tc>
      </w:tr>
      <w:tr w14:paraId="4B000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jc w:val="center"/>
        </w:trPr>
        <w:tc>
          <w:tcPr>
            <w:tcW w:w="868" w:type="dxa"/>
            <w:noWrap w:val="0"/>
            <w:vAlign w:val="center"/>
          </w:tcPr>
          <w:p w14:paraId="1E3BF2FB">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kern w:val="2"/>
                <w:sz w:val="24"/>
                <w:szCs w:val="24"/>
                <w:highlight w:val="none"/>
                <w:lang w:val="en-US" w:eastAsia="zh-CN" w:bidi="ar-SA"/>
              </w:rPr>
            </w:pPr>
            <w:bookmarkStart w:id="21" w:name="_Toc466542533"/>
            <w:bookmarkStart w:id="22" w:name="_Toc466542204"/>
            <w:r>
              <w:rPr>
                <w:rFonts w:hint="eastAsia" w:ascii="宋体" w:hAnsi="宋体" w:eastAsia="宋体" w:cs="宋体"/>
                <w:color w:val="000000"/>
                <w:sz w:val="24"/>
                <w:szCs w:val="24"/>
                <w:highlight w:val="none"/>
                <w:lang w:val="en-US" w:eastAsia="zh-CN"/>
              </w:rPr>
              <w:t>10.1</w:t>
            </w:r>
          </w:p>
        </w:tc>
        <w:tc>
          <w:tcPr>
            <w:tcW w:w="1661" w:type="dxa"/>
            <w:noWrap w:val="0"/>
            <w:vAlign w:val="center"/>
          </w:tcPr>
          <w:p w14:paraId="6D72E29D">
            <w:pPr>
              <w:keepNext w:val="0"/>
              <w:keepLines w:val="0"/>
              <w:pageBreakBefore w:val="0"/>
              <w:kinsoku/>
              <w:wordWrap/>
              <w:overflowPunct/>
              <w:topLinePunct w:val="0"/>
              <w:autoSpaceDE/>
              <w:autoSpaceDN/>
              <w:bidi w:val="0"/>
              <w:adjustRightInd w:val="0"/>
              <w:snapToGrid w:val="0"/>
              <w:spacing w:line="500" w:lineRule="exact"/>
              <w:jc w:val="center"/>
              <w:outlineLvl w:val="1"/>
              <w:rPr>
                <w:rFonts w:hint="eastAsia" w:ascii="宋体" w:hAnsi="宋体" w:eastAsia="宋体" w:cs="宋体"/>
                <w:snapToGrid w:val="0"/>
                <w:color w:val="000000"/>
                <w:kern w:val="0"/>
                <w:sz w:val="24"/>
                <w:szCs w:val="24"/>
                <w:highlight w:val="none"/>
                <w:lang w:val="en-US" w:eastAsia="zh-CN" w:bidi="ar-SA"/>
              </w:rPr>
            </w:pPr>
            <w:r>
              <w:rPr>
                <w:rFonts w:hint="eastAsia" w:ascii="宋体" w:hAnsi="宋体" w:eastAsia="宋体" w:cs="宋体"/>
                <w:color w:val="000000"/>
                <w:sz w:val="24"/>
                <w:szCs w:val="24"/>
                <w:highlight w:val="none"/>
              </w:rPr>
              <w:t>中标后须提交的投标文件</w:t>
            </w:r>
          </w:p>
        </w:tc>
        <w:tc>
          <w:tcPr>
            <w:tcW w:w="7285" w:type="dxa"/>
            <w:noWrap w:val="0"/>
            <w:vAlign w:val="center"/>
          </w:tcPr>
          <w:p w14:paraId="5D298B2C">
            <w:pPr>
              <w:keepNext w:val="0"/>
              <w:keepLines w:val="0"/>
              <w:pageBreakBefore w:val="0"/>
              <w:kinsoku/>
              <w:wordWrap/>
              <w:overflowPunct/>
              <w:topLinePunct w:val="0"/>
              <w:autoSpaceDE/>
              <w:autoSpaceDN/>
              <w:bidi w:val="0"/>
              <w:adjustRightInd w:val="0"/>
              <w:snapToGrid w:val="0"/>
              <w:spacing w:line="500" w:lineRule="exact"/>
              <w:ind w:firstLine="480" w:firstLineChars="200"/>
              <w:outlineLvl w:val="1"/>
              <w:rPr>
                <w:rFonts w:hint="eastAsia" w:ascii="宋体" w:hAnsi="宋体" w:eastAsia="宋体" w:cs="宋体"/>
                <w:snapToGrid w:val="0"/>
                <w:color w:val="000000"/>
                <w:kern w:val="0"/>
                <w:sz w:val="24"/>
                <w:szCs w:val="24"/>
                <w:highlight w:val="none"/>
                <w:lang w:val="en-US" w:eastAsia="zh-CN" w:bidi="ar-SA"/>
              </w:rPr>
            </w:pPr>
            <w:r>
              <w:rPr>
                <w:rFonts w:hint="eastAsia" w:ascii="宋体" w:hAnsi="宋体" w:eastAsia="宋体" w:cs="宋体"/>
                <w:color w:val="000000"/>
                <w:sz w:val="24"/>
                <w:szCs w:val="24"/>
                <w:highlight w:val="none"/>
              </w:rPr>
              <w:t>中标人自中标通知书发出之日起五个工作日内，提供与电子投标电子文档一致的正副本各1份的纸质版投标文件给招标人存档。</w:t>
            </w:r>
          </w:p>
        </w:tc>
      </w:tr>
      <w:tr w14:paraId="747AE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868" w:type="dxa"/>
            <w:noWrap w:val="0"/>
            <w:vAlign w:val="center"/>
          </w:tcPr>
          <w:p w14:paraId="5D2081DC">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10.2</w:t>
            </w:r>
          </w:p>
        </w:tc>
        <w:tc>
          <w:tcPr>
            <w:tcW w:w="1661" w:type="dxa"/>
            <w:noWrap w:val="0"/>
            <w:vAlign w:val="center"/>
          </w:tcPr>
          <w:p w14:paraId="2ACD35C3">
            <w:pPr>
              <w:keepNext w:val="0"/>
              <w:keepLines w:val="0"/>
              <w:pageBreakBefore w:val="0"/>
              <w:kinsoku/>
              <w:wordWrap/>
              <w:overflowPunct/>
              <w:topLinePunct w:val="0"/>
              <w:autoSpaceDE/>
              <w:autoSpaceDN/>
              <w:bidi w:val="0"/>
              <w:adjustRightInd w:val="0"/>
              <w:snapToGrid w:val="0"/>
              <w:spacing w:line="500" w:lineRule="exact"/>
              <w:jc w:val="center"/>
              <w:outlineLvl w:val="1"/>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rPr>
              <w:t>未尽事宜</w:t>
            </w:r>
          </w:p>
        </w:tc>
        <w:tc>
          <w:tcPr>
            <w:tcW w:w="7285" w:type="dxa"/>
            <w:noWrap w:val="0"/>
            <w:vAlign w:val="center"/>
          </w:tcPr>
          <w:p w14:paraId="169F3429">
            <w:pPr>
              <w:keepNext w:val="0"/>
              <w:keepLines w:val="0"/>
              <w:pageBreakBefore w:val="0"/>
              <w:kinsoku/>
              <w:wordWrap/>
              <w:overflowPunct/>
              <w:topLinePunct w:val="0"/>
              <w:autoSpaceDE/>
              <w:autoSpaceDN/>
              <w:bidi w:val="0"/>
              <w:adjustRightInd w:val="0"/>
              <w:snapToGrid w:val="0"/>
              <w:spacing w:line="500" w:lineRule="exact"/>
              <w:ind w:firstLine="480" w:firstLineChars="200"/>
              <w:outlineLvl w:val="1"/>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rPr>
              <w:t>本招标文件未尽事宜按《中华人民共和国招标投标法》、《中华人民共和国招标投标法实施条例》、《广东省实施〈中华人民共和国招标投标法〉办法》及部门规章执。</w:t>
            </w:r>
          </w:p>
        </w:tc>
      </w:tr>
    </w:tbl>
    <w:p w14:paraId="0A632A66">
      <w:pPr>
        <w:pStyle w:val="5"/>
        <w:keepNext/>
        <w:keepLines/>
        <w:pageBreakBefore w:val="0"/>
        <w:widowControl w:val="0"/>
        <w:kinsoku/>
        <w:wordWrap/>
        <w:overflowPunct/>
        <w:topLinePunct w:val="0"/>
        <w:autoSpaceDE w:val="0"/>
        <w:autoSpaceDN w:val="0"/>
        <w:bidi w:val="0"/>
        <w:adjustRightInd w:val="0"/>
        <w:snapToGrid/>
        <w:spacing w:before="140" w:after="140" w:line="500" w:lineRule="exact"/>
        <w:textAlignment w:val="auto"/>
        <w:outlineLvl w:val="1"/>
        <w:rPr>
          <w:rStyle w:val="19"/>
          <w:rFonts w:hint="eastAsia" w:ascii="宋体" w:hAnsi="宋体" w:eastAsia="宋体" w:cs="宋体"/>
          <w:b/>
          <w:color w:val="000000"/>
        </w:rPr>
      </w:pPr>
      <w:r>
        <w:rPr>
          <w:rFonts w:hint="eastAsia" w:ascii="宋体" w:hAnsi="宋体" w:eastAsia="宋体" w:cs="宋体"/>
          <w:color w:val="000000"/>
          <w:highlight w:val="none"/>
        </w:rPr>
        <w:br w:type="page"/>
      </w:r>
      <w:bookmarkStart w:id="23" w:name="_Toc13355"/>
      <w:bookmarkStart w:id="24" w:name="_Toc31766"/>
      <w:r>
        <w:rPr>
          <w:rStyle w:val="19"/>
          <w:rFonts w:hint="eastAsia" w:ascii="宋体" w:hAnsi="宋体" w:eastAsia="宋体" w:cs="宋体"/>
          <w:b/>
          <w:color w:val="000000"/>
          <w:lang w:val="en-US"/>
        </w:rPr>
        <w:t>1.  总则</w:t>
      </w:r>
      <w:bookmarkEnd w:id="21"/>
      <w:bookmarkEnd w:id="22"/>
      <w:bookmarkEnd w:id="23"/>
      <w:bookmarkEnd w:id="24"/>
    </w:p>
    <w:p w14:paraId="02C3EE3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z w:val="24"/>
          <w:szCs w:val="32"/>
        </w:rPr>
      </w:pPr>
      <w:bookmarkStart w:id="25" w:name="_Toc12871"/>
      <w:r>
        <w:rPr>
          <w:rFonts w:hint="eastAsia" w:ascii="宋体" w:hAnsi="宋体" w:eastAsia="宋体" w:cs="宋体"/>
          <w:b/>
          <w:bCs/>
          <w:color w:val="000000"/>
          <w:sz w:val="24"/>
          <w:szCs w:val="32"/>
        </w:rPr>
        <w:t>1.1 项目概况</w:t>
      </w:r>
      <w:bookmarkEnd w:id="25"/>
    </w:p>
    <w:p w14:paraId="6FDA2C4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1.1.1 根据《中华人民共和国招标投标法》、《中华人民共和国招标投标法实施条例》等有关法律、法规和规章的规定，本招标项目已具备招标条件，现对该项目</w:t>
      </w:r>
      <w:r>
        <w:rPr>
          <w:rFonts w:hint="eastAsia" w:ascii="宋体" w:hAnsi="宋体" w:eastAsia="宋体" w:cs="宋体"/>
          <w:color w:val="000000"/>
          <w:sz w:val="24"/>
          <w:szCs w:val="32"/>
          <w:lang w:val="en-US" w:eastAsia="zh-CN"/>
        </w:rPr>
        <w:t>勘察</w:t>
      </w:r>
      <w:r>
        <w:rPr>
          <w:rFonts w:hint="eastAsia" w:ascii="宋体" w:hAnsi="宋体" w:eastAsia="宋体" w:cs="宋体"/>
          <w:color w:val="000000"/>
          <w:sz w:val="24"/>
          <w:szCs w:val="32"/>
        </w:rPr>
        <w:t>设计招标。</w:t>
      </w:r>
    </w:p>
    <w:p w14:paraId="79133A2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1.1.2  招标人：见投标人须知前附表。</w:t>
      </w:r>
    </w:p>
    <w:p w14:paraId="7BF561A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1.1.3  招标代理机构：见投标人须知前附表。</w:t>
      </w:r>
    </w:p>
    <w:p w14:paraId="51C8B49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1.1.4  招标项目名称：见投标人须知前附表。</w:t>
      </w:r>
    </w:p>
    <w:p w14:paraId="3399D53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1.1.5  项目建设地点：见投标人须知前附表。</w:t>
      </w:r>
    </w:p>
    <w:p w14:paraId="35721C7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z w:val="24"/>
          <w:szCs w:val="32"/>
        </w:rPr>
      </w:pPr>
      <w:bookmarkStart w:id="26" w:name="_Toc22978"/>
      <w:r>
        <w:rPr>
          <w:rFonts w:hint="eastAsia" w:ascii="宋体" w:hAnsi="宋体" w:eastAsia="宋体" w:cs="宋体"/>
          <w:b/>
          <w:bCs/>
          <w:color w:val="000000"/>
          <w:sz w:val="24"/>
          <w:szCs w:val="32"/>
        </w:rPr>
        <w:t>1.2 项目的资金来源和落实情况</w:t>
      </w:r>
      <w:bookmarkEnd w:id="26"/>
    </w:p>
    <w:p w14:paraId="222175C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1.2.1  资金来源及比例：见投标人须知前附表。</w:t>
      </w:r>
    </w:p>
    <w:p w14:paraId="64A521C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1.2.2  资金落实情况：见投标人须知前附表。</w:t>
      </w:r>
    </w:p>
    <w:p w14:paraId="54C860B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z w:val="24"/>
          <w:szCs w:val="32"/>
        </w:rPr>
      </w:pPr>
      <w:bookmarkStart w:id="27" w:name="_Toc26809"/>
      <w:r>
        <w:rPr>
          <w:rFonts w:hint="eastAsia" w:ascii="宋体" w:hAnsi="宋体" w:eastAsia="宋体" w:cs="宋体"/>
          <w:b/>
          <w:bCs/>
          <w:color w:val="000000"/>
          <w:sz w:val="24"/>
          <w:szCs w:val="32"/>
        </w:rPr>
        <w:t>1.3 招标范围、计划工期和质量标准</w:t>
      </w:r>
      <w:bookmarkEnd w:id="27"/>
    </w:p>
    <w:p w14:paraId="18D46EA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1.3.1  招标范围：见投标人须知前附表。</w:t>
      </w:r>
    </w:p>
    <w:p w14:paraId="3585C2E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1.3.2  计划工期：见投标人须知前附表。</w:t>
      </w:r>
    </w:p>
    <w:p w14:paraId="1A357E5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1.3.3  质量标准：见投标人须知前附表。</w:t>
      </w:r>
    </w:p>
    <w:p w14:paraId="6B41E35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z w:val="24"/>
          <w:szCs w:val="32"/>
        </w:rPr>
      </w:pPr>
      <w:bookmarkStart w:id="28" w:name="_Toc29390"/>
      <w:r>
        <w:rPr>
          <w:rFonts w:hint="eastAsia" w:ascii="宋体" w:hAnsi="宋体" w:eastAsia="宋体" w:cs="宋体"/>
          <w:b/>
          <w:bCs/>
          <w:color w:val="000000"/>
          <w:sz w:val="24"/>
          <w:szCs w:val="32"/>
        </w:rPr>
        <w:t>1.4 投标人资格要求</w:t>
      </w:r>
      <w:bookmarkEnd w:id="28"/>
    </w:p>
    <w:p w14:paraId="0228041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1.4.1  投标人应具备承担的资质条件、能力和信誉：见投标人须知前附表；</w:t>
      </w:r>
    </w:p>
    <w:p w14:paraId="40DF436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1.4.2  本工程接受</w:t>
      </w:r>
      <w:r>
        <w:rPr>
          <w:rFonts w:hint="eastAsia" w:ascii="宋体" w:hAnsi="宋体" w:eastAsia="宋体" w:cs="宋体"/>
          <w:color w:val="000000"/>
          <w:sz w:val="24"/>
          <w:szCs w:val="32"/>
          <w:lang w:eastAsia="zh-CN"/>
        </w:rPr>
        <w:t>不</w:t>
      </w:r>
      <w:r>
        <w:rPr>
          <w:rFonts w:hint="eastAsia" w:ascii="宋体" w:hAnsi="宋体" w:eastAsia="宋体" w:cs="宋体"/>
          <w:color w:val="000000"/>
          <w:sz w:val="24"/>
          <w:szCs w:val="32"/>
        </w:rPr>
        <w:t>联合体投标；</w:t>
      </w:r>
    </w:p>
    <w:p w14:paraId="06CDFF5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1.4.3  投标人不得存在下列情形之一：</w:t>
      </w:r>
    </w:p>
    <w:p w14:paraId="14A4D10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（1）为招标人不具有独立法人资格的附属机构（单位）；</w:t>
      </w:r>
    </w:p>
    <w:p w14:paraId="674BCDE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（2）为本招标项目的监理人；</w:t>
      </w:r>
    </w:p>
    <w:p w14:paraId="1F8E094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（3）为本招标项目的代建人；</w:t>
      </w:r>
    </w:p>
    <w:p w14:paraId="355425D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（4）为本招标项目提供招标代理服务的；</w:t>
      </w:r>
    </w:p>
    <w:p w14:paraId="1AFD2FA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（5）被责令停业的；</w:t>
      </w:r>
    </w:p>
    <w:p w14:paraId="2C15EF4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（6）被暂停或取消投标资格的；</w:t>
      </w:r>
    </w:p>
    <w:p w14:paraId="12A252C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（7）财产被接管或冻结的；</w:t>
      </w:r>
    </w:p>
    <w:p w14:paraId="1EA955D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（8）与本招标项目的监理人或代建人或招标代理机构同为一个法定代表人的；</w:t>
      </w:r>
    </w:p>
    <w:p w14:paraId="6A20CD0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（9）与本招标项目的监理人或代建人或招标代理机构相互控股或参股的；</w:t>
      </w:r>
    </w:p>
    <w:p w14:paraId="5A5CA2A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（10）与本招标项目的监理人或代建人或招标代理机构相互任职或工作的；</w:t>
      </w:r>
    </w:p>
    <w:p w14:paraId="50A5018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（11）在最近三年内有骗取中标或严重违约或重大工程质量问题的。</w:t>
      </w:r>
    </w:p>
    <w:p w14:paraId="4CCA5C4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（12）法律法规规定的其他情形。</w:t>
      </w:r>
    </w:p>
    <w:p w14:paraId="3FB78C1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1.4.4  单位负责人为同一人或者存在控股、管理关系的不同单位，不得同时参加本招标项目投标。</w:t>
      </w:r>
    </w:p>
    <w:p w14:paraId="08586A1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z w:val="24"/>
          <w:szCs w:val="32"/>
        </w:rPr>
      </w:pPr>
      <w:bookmarkStart w:id="29" w:name="_Toc6679"/>
      <w:r>
        <w:rPr>
          <w:rFonts w:hint="eastAsia" w:ascii="宋体" w:hAnsi="宋体" w:eastAsia="宋体" w:cs="宋体"/>
          <w:b/>
          <w:bCs/>
          <w:color w:val="000000"/>
          <w:sz w:val="24"/>
          <w:szCs w:val="32"/>
        </w:rPr>
        <w:t>1.5 费用承担和设计成果补偿</w:t>
      </w:r>
      <w:bookmarkEnd w:id="29"/>
    </w:p>
    <w:p w14:paraId="0BFE61A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1.5.1  投标人准备和参加投标活动发生的费用自理。</w:t>
      </w:r>
    </w:p>
    <w:p w14:paraId="7B0B844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1.5.2  其它费用：见投标人须知前附表。</w:t>
      </w:r>
    </w:p>
    <w:p w14:paraId="5EE4054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z w:val="24"/>
          <w:szCs w:val="32"/>
        </w:rPr>
      </w:pPr>
      <w:bookmarkStart w:id="30" w:name="_Toc21586"/>
      <w:r>
        <w:rPr>
          <w:rFonts w:hint="eastAsia" w:ascii="宋体" w:hAnsi="宋体" w:eastAsia="宋体" w:cs="宋体"/>
          <w:b/>
          <w:bCs/>
          <w:color w:val="000000"/>
          <w:sz w:val="24"/>
          <w:szCs w:val="32"/>
        </w:rPr>
        <w:t>1.6 保密</w:t>
      </w:r>
      <w:bookmarkEnd w:id="30"/>
    </w:p>
    <w:p w14:paraId="6B4C9A8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参与招标投标活动的各方应对招标文件和投标文件中的商业和技术等秘密保密，否则应承担相应的法律责任。</w:t>
      </w:r>
    </w:p>
    <w:p w14:paraId="65FA859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z w:val="24"/>
          <w:szCs w:val="32"/>
        </w:rPr>
      </w:pPr>
      <w:bookmarkStart w:id="31" w:name="_Toc21325"/>
      <w:r>
        <w:rPr>
          <w:rFonts w:hint="eastAsia" w:ascii="宋体" w:hAnsi="宋体" w:eastAsia="宋体" w:cs="宋体"/>
          <w:b/>
          <w:bCs/>
          <w:color w:val="000000"/>
          <w:sz w:val="24"/>
          <w:szCs w:val="32"/>
        </w:rPr>
        <w:t>1.7 语言文字</w:t>
      </w:r>
      <w:bookmarkEnd w:id="31"/>
    </w:p>
    <w:p w14:paraId="7A5DD72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招标投标文件使用的语言文字为中文。专用术语使用外文的，应附有中文注释。</w:t>
      </w:r>
    </w:p>
    <w:p w14:paraId="0B22758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z w:val="24"/>
          <w:szCs w:val="32"/>
        </w:rPr>
      </w:pPr>
      <w:bookmarkStart w:id="32" w:name="_Toc21385"/>
      <w:r>
        <w:rPr>
          <w:rFonts w:hint="eastAsia" w:ascii="宋体" w:hAnsi="宋体" w:eastAsia="宋体" w:cs="宋体"/>
          <w:b/>
          <w:bCs/>
          <w:color w:val="000000"/>
          <w:sz w:val="24"/>
          <w:szCs w:val="32"/>
        </w:rPr>
        <w:t>1.8 计量单位</w:t>
      </w:r>
      <w:bookmarkEnd w:id="32"/>
    </w:p>
    <w:p w14:paraId="1AD91C9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所有计量均采用中华人民共和国法定计量单位。</w:t>
      </w:r>
    </w:p>
    <w:p w14:paraId="45E47AF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z w:val="24"/>
          <w:szCs w:val="32"/>
        </w:rPr>
      </w:pPr>
      <w:bookmarkStart w:id="33" w:name="_Toc2238"/>
      <w:r>
        <w:rPr>
          <w:rFonts w:hint="eastAsia" w:ascii="宋体" w:hAnsi="宋体" w:eastAsia="宋体" w:cs="宋体"/>
          <w:b/>
          <w:bCs/>
          <w:color w:val="000000"/>
          <w:sz w:val="24"/>
          <w:szCs w:val="32"/>
        </w:rPr>
        <w:t>1.9 踏勘现场</w:t>
      </w:r>
      <w:bookmarkEnd w:id="33"/>
    </w:p>
    <w:p w14:paraId="489019C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1.9.1 本工程招标人不组织投标人踏勘现场，投标人应根据自身编制投标文件的需要自行踏勘项目现场。</w:t>
      </w:r>
    </w:p>
    <w:p w14:paraId="11D9EE5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1.9.2 投标人踏勘现场发生的费用自理。</w:t>
      </w:r>
    </w:p>
    <w:p w14:paraId="182EFB0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1.9.3 除招标人的原因外，投标人自行负责在踏勘现场中所发生的人员伤亡和财产损失。</w:t>
      </w:r>
    </w:p>
    <w:p w14:paraId="3CC69CBC">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1.9.4 招标人提供的有关本工程的资料和数据，仅供投标人在编制投标文件时参考，招标人不对投标人据此作出的判断和决策负责。</w:t>
      </w:r>
    </w:p>
    <w:p w14:paraId="211ED1D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z w:val="24"/>
          <w:szCs w:val="32"/>
        </w:rPr>
      </w:pPr>
      <w:bookmarkStart w:id="34" w:name="_Toc32528"/>
      <w:r>
        <w:rPr>
          <w:rFonts w:hint="eastAsia" w:ascii="宋体" w:hAnsi="宋体" w:eastAsia="宋体" w:cs="宋体"/>
          <w:b/>
          <w:bCs/>
          <w:color w:val="000000"/>
          <w:sz w:val="24"/>
          <w:szCs w:val="32"/>
        </w:rPr>
        <w:t>1.10</w:t>
      </w:r>
      <w:r>
        <w:rPr>
          <w:rFonts w:hint="eastAsia" w:ascii="宋体" w:hAnsi="宋体" w:eastAsia="宋体" w:cs="宋体"/>
          <w:b/>
          <w:bCs/>
          <w:color w:val="000000"/>
          <w:sz w:val="24"/>
          <w:szCs w:val="32"/>
          <w:lang w:val="en-US" w:eastAsia="zh-CN"/>
        </w:rPr>
        <w:t xml:space="preserve"> </w:t>
      </w:r>
      <w:r>
        <w:rPr>
          <w:rFonts w:hint="eastAsia" w:ascii="宋体" w:hAnsi="宋体" w:eastAsia="宋体" w:cs="宋体"/>
          <w:b/>
          <w:bCs/>
          <w:color w:val="000000"/>
          <w:sz w:val="24"/>
          <w:szCs w:val="32"/>
        </w:rPr>
        <w:t>投标预备会</w:t>
      </w:r>
      <w:bookmarkEnd w:id="34"/>
    </w:p>
    <w:p w14:paraId="6FDA5C7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见投标人须知前附表。</w:t>
      </w:r>
    </w:p>
    <w:p w14:paraId="0F4CF84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z w:val="24"/>
          <w:szCs w:val="32"/>
        </w:rPr>
      </w:pPr>
      <w:bookmarkStart w:id="35" w:name="_Toc29496"/>
      <w:r>
        <w:rPr>
          <w:rFonts w:hint="eastAsia" w:ascii="宋体" w:hAnsi="宋体" w:eastAsia="宋体" w:cs="宋体"/>
          <w:b/>
          <w:bCs/>
          <w:color w:val="000000"/>
          <w:sz w:val="24"/>
          <w:szCs w:val="32"/>
        </w:rPr>
        <w:t>1.11 分包</w:t>
      </w:r>
      <w:bookmarkEnd w:id="35"/>
    </w:p>
    <w:p w14:paraId="3D933C2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见投标人须知前附表。</w:t>
      </w:r>
    </w:p>
    <w:p w14:paraId="380DDEB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z w:val="24"/>
          <w:szCs w:val="32"/>
        </w:rPr>
      </w:pPr>
      <w:bookmarkStart w:id="36" w:name="_Toc1692"/>
      <w:r>
        <w:rPr>
          <w:rFonts w:hint="eastAsia" w:ascii="宋体" w:hAnsi="宋体" w:eastAsia="宋体" w:cs="宋体"/>
          <w:b/>
          <w:bCs/>
          <w:color w:val="000000"/>
          <w:sz w:val="24"/>
          <w:szCs w:val="32"/>
        </w:rPr>
        <w:t>1.12偏离</w:t>
      </w:r>
      <w:bookmarkEnd w:id="36"/>
    </w:p>
    <w:p w14:paraId="102C90A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 xml:space="preserve">    投标人须知前附表允许投标文件偏离招标文件某些要求的，偏离应当符合招标文件规定的偏离范围和幅度。</w:t>
      </w:r>
    </w:p>
    <w:p w14:paraId="7A082319">
      <w:pPr>
        <w:pStyle w:val="4"/>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left="0" w:leftChars="0" w:right="1791" w:firstLine="0" w:firstLineChars="0"/>
        <w:jc w:val="left"/>
        <w:textAlignment w:val="auto"/>
        <w:rPr>
          <w:rFonts w:hint="eastAsia" w:ascii="宋体" w:hAnsi="宋体" w:eastAsia="宋体" w:cs="宋体"/>
          <w:color w:val="000000"/>
          <w:lang w:val="en-US"/>
        </w:rPr>
      </w:pPr>
      <w:bookmarkStart w:id="37" w:name="_Toc9010"/>
      <w:bookmarkStart w:id="38" w:name="_Toc466542534"/>
      <w:bookmarkStart w:id="39" w:name="_Toc466542205"/>
      <w:bookmarkStart w:id="40" w:name="_Toc12033"/>
      <w:r>
        <w:rPr>
          <w:rFonts w:hint="eastAsia" w:ascii="宋体" w:hAnsi="宋体" w:eastAsia="宋体" w:cs="宋体"/>
          <w:color w:val="000000"/>
          <w:lang w:val="en-US"/>
        </w:rPr>
        <w:t>2. 招标文件</w:t>
      </w:r>
      <w:bookmarkEnd w:id="37"/>
      <w:bookmarkEnd w:id="38"/>
      <w:bookmarkEnd w:id="39"/>
      <w:bookmarkEnd w:id="40"/>
    </w:p>
    <w:p w14:paraId="183BF2F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z w:val="24"/>
          <w:szCs w:val="32"/>
        </w:rPr>
      </w:pPr>
      <w:bookmarkStart w:id="41" w:name="_Toc17776"/>
      <w:r>
        <w:rPr>
          <w:rFonts w:hint="eastAsia" w:ascii="宋体" w:hAnsi="宋体" w:eastAsia="宋体" w:cs="宋体"/>
          <w:b/>
          <w:bCs/>
          <w:color w:val="000000"/>
          <w:sz w:val="24"/>
          <w:szCs w:val="32"/>
        </w:rPr>
        <w:t>2.1  招标文件的组成</w:t>
      </w:r>
      <w:bookmarkEnd w:id="41"/>
    </w:p>
    <w:p w14:paraId="5BED59C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招标文件由下列文件组成：</w:t>
      </w:r>
    </w:p>
    <w:p w14:paraId="0FC1BC49">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 xml:space="preserve">第一章   招标公告 </w:t>
      </w:r>
    </w:p>
    <w:p w14:paraId="135672E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第二章   投标</w:t>
      </w:r>
      <w:r>
        <w:rPr>
          <w:rFonts w:hint="eastAsia" w:ascii="宋体" w:hAnsi="宋体" w:eastAsia="宋体" w:cs="宋体"/>
          <w:color w:val="000000"/>
          <w:sz w:val="24"/>
          <w:szCs w:val="32"/>
          <w:lang w:val="en-US" w:eastAsia="zh-CN"/>
        </w:rPr>
        <w:t>人</w:t>
      </w:r>
      <w:r>
        <w:rPr>
          <w:rFonts w:hint="eastAsia" w:ascii="宋体" w:hAnsi="宋体" w:eastAsia="宋体" w:cs="宋体"/>
          <w:color w:val="000000"/>
          <w:sz w:val="24"/>
          <w:szCs w:val="32"/>
        </w:rPr>
        <w:t>须知</w:t>
      </w:r>
    </w:p>
    <w:p w14:paraId="55EFD44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第三章   评标办法</w:t>
      </w:r>
    </w:p>
    <w:p w14:paraId="1D8FA83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第四章   合同条款及格式</w:t>
      </w:r>
    </w:p>
    <w:p w14:paraId="4E50E11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第五章   技术标准及规范</w:t>
      </w:r>
    </w:p>
    <w:p w14:paraId="06D94DD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第六章   投标文件格式</w:t>
      </w:r>
    </w:p>
    <w:p w14:paraId="00F1A78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投标人应认真阅读招标文件，并按招标文件的要求认真编写投标文件。若投标文件不符合招标文件的规定和要求，投标人应自行负责。未实质性响应招标文件的投标文件将被拒绝，根据本章第2.2款和第2.3款对招标文件所作的澄清、修改，构成招标文件的组成部分。</w:t>
      </w:r>
    </w:p>
    <w:p w14:paraId="58EBCD4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z w:val="24"/>
          <w:szCs w:val="32"/>
        </w:rPr>
      </w:pPr>
      <w:bookmarkStart w:id="42" w:name="_Toc11370"/>
      <w:r>
        <w:rPr>
          <w:rFonts w:hint="eastAsia" w:ascii="宋体" w:hAnsi="宋体" w:eastAsia="宋体" w:cs="宋体"/>
          <w:b/>
          <w:bCs/>
          <w:color w:val="000000"/>
          <w:sz w:val="24"/>
          <w:szCs w:val="32"/>
        </w:rPr>
        <w:t>2.2 招标文件的澄清</w:t>
      </w:r>
      <w:bookmarkEnd w:id="42"/>
    </w:p>
    <w:p w14:paraId="76129EA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2.2.1 投标人应仔细阅读和检查招标文件的全部内容。如发现缺页或附件不全，应及时向招标人提出，以便补齐。如有疑问，投标人对招标文件的质疑应在招标文件规定的质疑截止时间前以不署名的书面形式在全国公共资源交易平台（广东省·韶关市）（https://ygp.gdzwfw.gov.cn/ggzy-portal/#/440200/index）工程交易系统提出。</w:t>
      </w:r>
    </w:p>
    <w:p w14:paraId="5D00424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2.2.2招标文件的澄清将在招标文件规定的招标答疑截止时间前发布于全国公共资源交易平台（广东省·韶关市）</w:t>
      </w:r>
    </w:p>
    <w:p w14:paraId="1BD4F0F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（https://ygp.gdzwfw.gov.cn/ggzy-portal/#/440200/index），但不说明问题的来源。如果澄清发出的时间在招标文件规定的招标答疑截止时间之后，相应延长投标截止时间。</w:t>
      </w:r>
    </w:p>
    <w:p w14:paraId="2E45F61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2.2.3澄清一旦网上发布，即视为已通知给所有投标人。若由于投标人自身原因未及时获得补遗文件，由此发生的任何责任由投标人自负。</w:t>
      </w:r>
    </w:p>
    <w:p w14:paraId="3B63BC6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z w:val="24"/>
          <w:szCs w:val="32"/>
        </w:rPr>
      </w:pPr>
      <w:bookmarkStart w:id="43" w:name="_Toc11592"/>
      <w:r>
        <w:rPr>
          <w:rFonts w:hint="eastAsia" w:ascii="宋体" w:hAnsi="宋体" w:eastAsia="宋体" w:cs="宋体"/>
          <w:b/>
          <w:bCs/>
          <w:color w:val="000000"/>
          <w:sz w:val="24"/>
          <w:szCs w:val="32"/>
        </w:rPr>
        <w:t>2.3 招标文件的修改</w:t>
      </w:r>
      <w:bookmarkEnd w:id="43"/>
    </w:p>
    <w:p w14:paraId="4C58AAC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bookmarkStart w:id="44" w:name="_Toc466542206"/>
      <w:bookmarkStart w:id="45" w:name="_Toc466542535"/>
      <w:r>
        <w:rPr>
          <w:rFonts w:hint="eastAsia" w:ascii="宋体" w:hAnsi="宋体" w:eastAsia="宋体" w:cs="宋体"/>
          <w:color w:val="000000"/>
          <w:sz w:val="24"/>
          <w:szCs w:val="32"/>
        </w:rPr>
        <w:t xml:space="preserve">2.3.1 招标人以网上质疑形式修改招标文件。修改招标文件的时间距投标人须知前附表规定的投标截止时间不足15天的，并且澄清内容影响投标文件编制的，将相应延长投标截止时间。 </w:t>
      </w:r>
    </w:p>
    <w:p w14:paraId="2D499E8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2.3.2上述发布的补充通知将作为招标文件的组成部分。</w:t>
      </w:r>
    </w:p>
    <w:p w14:paraId="4CD9600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2.3.3修改一旦网上发布，即视为已通知给所有投标人。</w:t>
      </w:r>
    </w:p>
    <w:p w14:paraId="6422F665">
      <w:pPr>
        <w:pStyle w:val="4"/>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left="0" w:leftChars="0" w:right="1791" w:firstLine="0" w:firstLineChars="0"/>
        <w:jc w:val="left"/>
        <w:textAlignment w:val="auto"/>
        <w:rPr>
          <w:rFonts w:hint="eastAsia" w:ascii="宋体" w:hAnsi="宋体" w:eastAsia="宋体" w:cs="宋体"/>
          <w:color w:val="000000"/>
          <w:lang w:val="en-US"/>
        </w:rPr>
      </w:pPr>
      <w:bookmarkStart w:id="46" w:name="_Toc2664"/>
      <w:bookmarkStart w:id="47" w:name="_Toc12766"/>
      <w:r>
        <w:rPr>
          <w:rFonts w:hint="eastAsia" w:ascii="宋体" w:hAnsi="宋体" w:eastAsia="宋体" w:cs="宋体"/>
          <w:color w:val="000000"/>
          <w:lang w:val="en-US"/>
        </w:rPr>
        <w:t>3. 投标文件</w:t>
      </w:r>
      <w:bookmarkEnd w:id="44"/>
      <w:bookmarkEnd w:id="45"/>
      <w:bookmarkEnd w:id="46"/>
      <w:bookmarkEnd w:id="47"/>
    </w:p>
    <w:p w14:paraId="09EB598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z w:val="24"/>
          <w:szCs w:val="32"/>
        </w:rPr>
      </w:pPr>
      <w:bookmarkStart w:id="48" w:name="_Toc32212"/>
      <w:r>
        <w:rPr>
          <w:rFonts w:hint="eastAsia" w:ascii="宋体" w:hAnsi="宋体" w:eastAsia="宋体" w:cs="宋体"/>
          <w:b/>
          <w:bCs/>
          <w:color w:val="000000"/>
          <w:sz w:val="24"/>
          <w:szCs w:val="32"/>
        </w:rPr>
        <w:t>3.1 投标文件的组成</w:t>
      </w:r>
      <w:bookmarkEnd w:id="48"/>
    </w:p>
    <w:p w14:paraId="095F088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3.1.1 投标文件应包括下列内容：</w:t>
      </w:r>
    </w:p>
    <w:p w14:paraId="24D6283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本项目招标采用网上电子投标的形式进行，投标单位没有成功进行网上电子投标，则按无效标处理。投标文件包含投标报价书、商务标书及技术标书，投标人应当使用本招标文件提供的投标文件表式，表式可以按同样格式进行扩展。</w:t>
      </w:r>
    </w:p>
    <w:p w14:paraId="4AFF810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3.1.1.1投标报价书包含投标报价书（详见第六章投标文件格式---格式1）。</w:t>
      </w:r>
    </w:p>
    <w:p w14:paraId="7EAE056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3.1.1.2 商务标书应包含但不限于以下内容（详见第六章投标文件格式---格式2）：</w:t>
      </w:r>
    </w:p>
    <w:p w14:paraId="0900AF0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一、投标函</w:t>
      </w:r>
    </w:p>
    <w:p w14:paraId="5E47699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二、法定代表人证明书</w:t>
      </w:r>
    </w:p>
    <w:p w14:paraId="05102AF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三、授权委托书</w:t>
      </w:r>
    </w:p>
    <w:p w14:paraId="7DE838D9">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四、资格审查资料</w:t>
      </w:r>
    </w:p>
    <w:p w14:paraId="36928D9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五、缴纳投标保证的凭证</w:t>
      </w:r>
    </w:p>
    <w:p w14:paraId="4701FCC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六、投标辅助资料</w:t>
      </w:r>
    </w:p>
    <w:p w14:paraId="3C6F5B8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七、其他材料</w:t>
      </w:r>
    </w:p>
    <w:p w14:paraId="444AC92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3.1.1.3技术标书包含: 技术部分（详见第六章投标文件格式---格式3）</w:t>
      </w:r>
    </w:p>
    <w:p w14:paraId="3E6C0369">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一、项目设计重点、难点分析</w:t>
      </w:r>
    </w:p>
    <w:p w14:paraId="35051DF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二、勘察设计大纲</w:t>
      </w:r>
    </w:p>
    <w:p w14:paraId="5551B8B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三、</w:t>
      </w:r>
      <w:r>
        <w:rPr>
          <w:rFonts w:hint="eastAsia" w:ascii="宋体" w:hAnsi="宋体" w:eastAsia="宋体" w:cs="宋体"/>
          <w:color w:val="000000"/>
          <w:sz w:val="24"/>
          <w:szCs w:val="32"/>
          <w:lang w:val="en-US" w:eastAsia="zh-CN"/>
        </w:rPr>
        <w:t>质量和进度保证措施</w:t>
      </w:r>
    </w:p>
    <w:p w14:paraId="64633AB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四、项目组织管理</w:t>
      </w:r>
    </w:p>
    <w:p w14:paraId="4097B63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z w:val="24"/>
          <w:szCs w:val="32"/>
        </w:rPr>
      </w:pPr>
      <w:bookmarkStart w:id="49" w:name="_Toc6932"/>
      <w:r>
        <w:rPr>
          <w:rFonts w:hint="eastAsia" w:ascii="宋体" w:hAnsi="宋体" w:eastAsia="宋体" w:cs="宋体"/>
          <w:b/>
          <w:bCs/>
          <w:color w:val="000000"/>
          <w:sz w:val="24"/>
          <w:szCs w:val="32"/>
        </w:rPr>
        <w:t>3.2 投标报价</w:t>
      </w:r>
      <w:bookmarkEnd w:id="49"/>
    </w:p>
    <w:p w14:paraId="5AC8A15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3.2.1 投标人应按第六章“投标文件格式”的要求填写投标</w:t>
      </w:r>
      <w:r>
        <w:rPr>
          <w:rFonts w:hint="eastAsia" w:ascii="宋体" w:hAnsi="宋体" w:eastAsia="宋体" w:cs="宋体"/>
          <w:color w:val="000000"/>
          <w:sz w:val="24"/>
          <w:szCs w:val="32"/>
          <w:lang w:val="en-US" w:eastAsia="zh-CN"/>
        </w:rPr>
        <w:t>报价书</w:t>
      </w:r>
      <w:r>
        <w:rPr>
          <w:rFonts w:hint="eastAsia" w:ascii="宋体" w:hAnsi="宋体" w:eastAsia="宋体" w:cs="宋体"/>
          <w:color w:val="000000"/>
          <w:sz w:val="24"/>
          <w:szCs w:val="32"/>
        </w:rPr>
        <w:t>。</w:t>
      </w:r>
    </w:p>
    <w:p w14:paraId="13F261E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3.2.2本项目采用下浮率方式进行报价，有效投标报价下浮率≥0.000%，保留至小数点后</w:t>
      </w:r>
      <w:r>
        <w:rPr>
          <w:rFonts w:hint="eastAsia" w:ascii="宋体" w:hAnsi="宋体" w:eastAsia="宋体" w:cs="宋体"/>
          <w:color w:val="000000"/>
          <w:sz w:val="24"/>
          <w:szCs w:val="32"/>
          <w:lang w:eastAsia="zh-CN"/>
        </w:rPr>
        <w:t>3</w:t>
      </w:r>
      <w:r>
        <w:rPr>
          <w:rFonts w:hint="eastAsia" w:ascii="宋体" w:hAnsi="宋体" w:eastAsia="宋体" w:cs="宋体"/>
          <w:color w:val="000000"/>
          <w:sz w:val="24"/>
          <w:szCs w:val="32"/>
        </w:rPr>
        <w:t>位，不在此范围内的投标报价均为无效投标报价。投标人的投标报价包括所有税收、单位应交的保险、应承担的风险及应提供的服务等，招标人不再为本合同范围内的工作支付额外的费用。如果投标人的投标报价下浮率高于15%时，投标人必须在投标文件中作出详细合理的书面说明并提供以往类似项目详细成本分析报告供评标委员会审查。</w:t>
      </w:r>
    </w:p>
    <w:p w14:paraId="34CE79A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3.2.3本项目的最高限价见投标人须知前附表。</w:t>
      </w:r>
    </w:p>
    <w:p w14:paraId="3E9FD54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z w:val="24"/>
          <w:szCs w:val="32"/>
        </w:rPr>
      </w:pPr>
      <w:bookmarkStart w:id="50" w:name="_Toc21768"/>
      <w:r>
        <w:rPr>
          <w:rFonts w:hint="eastAsia" w:ascii="宋体" w:hAnsi="宋体" w:eastAsia="宋体" w:cs="宋体"/>
          <w:b/>
          <w:bCs/>
          <w:color w:val="000000"/>
          <w:sz w:val="24"/>
          <w:szCs w:val="32"/>
        </w:rPr>
        <w:t>3.3 投标有效期</w:t>
      </w:r>
      <w:bookmarkEnd w:id="50"/>
    </w:p>
    <w:p w14:paraId="4F3973E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3.3.1 从投标截止时间算起 90天。</w:t>
      </w:r>
    </w:p>
    <w:p w14:paraId="0F6004E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3.3.2 在投标有效期内，投标人撤销或修改其投标文件的，应承担招标文件和法律规定的责任。</w:t>
      </w:r>
    </w:p>
    <w:p w14:paraId="586D6FB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3.2.3发包人认为有必要时可在全国公共资源交易平台（广东省·韶关市）（https://ygp.gdzwfw.gov.cn/ggzy-portal/#/440200/index）发布通知要求投标人延长投标文件的有效期，同时相应延长投标保证金的有效期，在延长期内，第3.4条仍适用。</w:t>
      </w:r>
    </w:p>
    <w:p w14:paraId="3121F5C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z w:val="24"/>
          <w:szCs w:val="32"/>
        </w:rPr>
      </w:pPr>
      <w:bookmarkStart w:id="51" w:name="_Toc2180"/>
      <w:r>
        <w:rPr>
          <w:rFonts w:hint="eastAsia" w:ascii="宋体" w:hAnsi="宋体" w:eastAsia="宋体" w:cs="宋体"/>
          <w:b/>
          <w:bCs/>
          <w:color w:val="000000"/>
          <w:sz w:val="24"/>
          <w:szCs w:val="32"/>
        </w:rPr>
        <w:t>3.4 投标保证金</w:t>
      </w:r>
      <w:bookmarkEnd w:id="51"/>
    </w:p>
    <w:p w14:paraId="4C051049">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3.4.1投标人应按投标人须知前附表规定递交投标保证。</w:t>
      </w:r>
    </w:p>
    <w:p w14:paraId="7A1C8A3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3.4.2 待中标公示结束且无异议后，投标项目保证金由建设工程交易系统自动退回。如建设工程交易系统关于投标保证的退回有新规定的，则按新规定执行。</w:t>
      </w:r>
    </w:p>
    <w:p w14:paraId="413D6B0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3.4.3 投标人不按本章第3.4.1项要求提交投标保证的，其投标文件作无效标书处理。</w:t>
      </w:r>
    </w:p>
    <w:p w14:paraId="1913F4F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3.4.4 有下列情形之一的，投标保证将不予退还：</w:t>
      </w:r>
    </w:p>
    <w:p w14:paraId="20D18C2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（1）投标人在规定的投标有效期内撤销或修改其投标文件；</w:t>
      </w:r>
    </w:p>
    <w:p w14:paraId="0C2FE8D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（2）中标人在收到中标通知书后，无正当理由拒签合同协议书。</w:t>
      </w:r>
    </w:p>
    <w:p w14:paraId="24C6E1E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z w:val="24"/>
          <w:szCs w:val="32"/>
        </w:rPr>
      </w:pPr>
      <w:bookmarkStart w:id="52" w:name="_Toc18105"/>
      <w:r>
        <w:rPr>
          <w:rFonts w:hint="eastAsia" w:ascii="宋体" w:hAnsi="宋体" w:eastAsia="宋体" w:cs="宋体"/>
          <w:b/>
          <w:bCs/>
          <w:color w:val="000000"/>
          <w:sz w:val="24"/>
          <w:szCs w:val="32"/>
        </w:rPr>
        <w:t>3.5 资格审查资料</w:t>
      </w:r>
      <w:bookmarkEnd w:id="52"/>
    </w:p>
    <w:p w14:paraId="1FE5EEE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3.5.1 投标人应按投标人须知前附表1.4.1的规定提供证明材料</w:t>
      </w:r>
      <w:r>
        <w:rPr>
          <w:rFonts w:hint="eastAsia" w:ascii="宋体" w:hAnsi="宋体" w:eastAsia="宋体" w:cs="宋体"/>
          <w:b/>
          <w:bCs/>
          <w:color w:val="000000"/>
          <w:sz w:val="24"/>
          <w:szCs w:val="32"/>
        </w:rPr>
        <w:t>彩色扫描件</w:t>
      </w:r>
      <w:r>
        <w:rPr>
          <w:rFonts w:hint="eastAsia" w:ascii="宋体" w:hAnsi="宋体" w:eastAsia="宋体" w:cs="宋体"/>
          <w:color w:val="000000"/>
          <w:sz w:val="24"/>
          <w:szCs w:val="32"/>
        </w:rPr>
        <w:t>。</w:t>
      </w:r>
    </w:p>
    <w:p w14:paraId="61D9028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3.5.2本次招标接受联合体投标。</w:t>
      </w:r>
    </w:p>
    <w:p w14:paraId="5EC29D9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3.5.3本次招标实行资格后审，资格审查的具体要求见招标文件，资格后审不合格的投标人的投标文件将否决其投标。</w:t>
      </w:r>
    </w:p>
    <w:p w14:paraId="36335E4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z w:val="24"/>
          <w:szCs w:val="32"/>
        </w:rPr>
      </w:pPr>
      <w:bookmarkStart w:id="53" w:name="_Toc19469"/>
      <w:r>
        <w:rPr>
          <w:rFonts w:hint="eastAsia" w:ascii="宋体" w:hAnsi="宋体" w:eastAsia="宋体" w:cs="宋体"/>
          <w:b/>
          <w:bCs/>
          <w:color w:val="000000"/>
          <w:sz w:val="24"/>
          <w:szCs w:val="32"/>
        </w:rPr>
        <w:t>3.6 备选投标方案</w:t>
      </w:r>
      <w:bookmarkEnd w:id="53"/>
    </w:p>
    <w:p w14:paraId="4946711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招标人不接受备选投标方案。</w:t>
      </w:r>
    </w:p>
    <w:p w14:paraId="1281170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z w:val="24"/>
          <w:szCs w:val="32"/>
        </w:rPr>
      </w:pPr>
      <w:bookmarkStart w:id="54" w:name="_Toc24168"/>
      <w:r>
        <w:rPr>
          <w:rFonts w:hint="eastAsia" w:ascii="宋体" w:hAnsi="宋体" w:eastAsia="宋体" w:cs="宋体"/>
          <w:b/>
          <w:bCs/>
          <w:color w:val="000000"/>
          <w:sz w:val="24"/>
          <w:szCs w:val="32"/>
        </w:rPr>
        <w:t>3.7 投标文件的编制</w:t>
      </w:r>
      <w:bookmarkEnd w:id="54"/>
    </w:p>
    <w:p w14:paraId="4280DBD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3.7.1 投标文件应按第六章“投标文件格式”进行编写，如有必要，可以增加附页，作为投标文件的组成部分。</w:t>
      </w:r>
    </w:p>
    <w:p w14:paraId="062DF4B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3.7.2投标文件包括第一册（投标报价书）、第二册（商务标书）和第三册（技术标书）三个分册。投标文件全部采用电子文档，投标文件所附证书证件均为</w:t>
      </w:r>
      <w:r>
        <w:rPr>
          <w:rFonts w:hint="eastAsia" w:ascii="宋体" w:hAnsi="宋体" w:eastAsia="宋体" w:cs="宋体"/>
          <w:b/>
          <w:bCs/>
          <w:color w:val="000000"/>
          <w:sz w:val="24"/>
          <w:szCs w:val="32"/>
        </w:rPr>
        <w:t>原件</w:t>
      </w:r>
      <w:r>
        <w:rPr>
          <w:rFonts w:hint="eastAsia" w:ascii="宋体" w:hAnsi="宋体" w:eastAsia="宋体" w:cs="宋体"/>
          <w:b/>
          <w:bCs/>
          <w:color w:val="000000"/>
          <w:sz w:val="24"/>
          <w:szCs w:val="32"/>
          <w:lang w:val="en-US" w:eastAsia="zh-CN"/>
        </w:rPr>
        <w:t>彩色</w:t>
      </w:r>
      <w:r>
        <w:rPr>
          <w:rFonts w:hint="eastAsia" w:ascii="宋体" w:hAnsi="宋体" w:eastAsia="宋体" w:cs="宋体"/>
          <w:b/>
          <w:bCs/>
          <w:color w:val="000000"/>
          <w:sz w:val="24"/>
          <w:szCs w:val="32"/>
        </w:rPr>
        <w:t>扫描件</w:t>
      </w:r>
      <w:r>
        <w:rPr>
          <w:rFonts w:hint="eastAsia" w:ascii="宋体" w:hAnsi="宋体" w:eastAsia="宋体" w:cs="宋体"/>
          <w:color w:val="000000"/>
          <w:sz w:val="24"/>
          <w:szCs w:val="32"/>
        </w:rPr>
        <w:t>，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交易指引。</w:t>
      </w:r>
    </w:p>
    <w:p w14:paraId="67EA06B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投标文件需按以下要求签字、盖章：</w:t>
      </w:r>
    </w:p>
    <w:p w14:paraId="6E9D993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lang w:val="en-US" w:eastAsia="zh-CN"/>
        </w:rPr>
        <w:t>3.7.2</w:t>
      </w:r>
      <w:r>
        <w:rPr>
          <w:rFonts w:hint="eastAsia" w:ascii="宋体" w:hAnsi="宋体" w:eastAsia="宋体" w:cs="宋体"/>
          <w:color w:val="000000"/>
          <w:sz w:val="24"/>
          <w:szCs w:val="32"/>
        </w:rPr>
        <w:t>.1 投标文件封面、组成内容中凡注明“签字”处由要求的人员签字或电子签章；凡注明“签字或盖章”处由要求的人员签字或盖其私章（电子印章）；凡注明“签字并盖执业印章”处由要求的人员签字并盖其执业印章。</w:t>
      </w:r>
    </w:p>
    <w:p w14:paraId="16B6C53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lang w:val="en-US" w:eastAsia="zh-CN"/>
        </w:rPr>
        <w:t>3.7.2</w:t>
      </w:r>
      <w:r>
        <w:rPr>
          <w:rFonts w:hint="eastAsia" w:ascii="宋体" w:hAnsi="宋体" w:eastAsia="宋体" w:cs="宋体"/>
          <w:color w:val="000000"/>
          <w:sz w:val="24"/>
          <w:szCs w:val="32"/>
        </w:rPr>
        <w:t>.2 投标文件封套、封面、组成内容中凡要求录入投标人名称且注明“盖单位章”处盖单位法人公章（电子印章）。</w:t>
      </w:r>
    </w:p>
    <w:p w14:paraId="4C74F6F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lang w:val="en-US" w:eastAsia="zh-CN"/>
        </w:rPr>
        <w:t>3.7.2</w:t>
      </w:r>
      <w:r>
        <w:rPr>
          <w:rFonts w:hint="eastAsia" w:ascii="宋体" w:hAnsi="宋体" w:eastAsia="宋体" w:cs="宋体"/>
          <w:color w:val="000000"/>
          <w:sz w:val="24"/>
          <w:szCs w:val="32"/>
        </w:rPr>
        <w:t>.3 投标文件的签字均为签字人本人亲笔署名或签章（电子印章），其余部分的扫描件无须另行签字、盖章。</w:t>
      </w:r>
    </w:p>
    <w:p w14:paraId="61E1A89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lang w:val="en-US" w:eastAsia="zh-CN"/>
        </w:rPr>
        <w:t>3.7.2</w:t>
      </w:r>
      <w:r>
        <w:rPr>
          <w:rFonts w:hint="eastAsia" w:ascii="宋体" w:hAnsi="宋体" w:eastAsia="宋体" w:cs="宋体"/>
          <w:color w:val="000000"/>
          <w:sz w:val="24"/>
          <w:szCs w:val="32"/>
        </w:rPr>
        <w:t>.4 联合体投标的，除《联合体协议书》外，由联合体牵头人按以上要求签亲笔署名或签章（电子印章）即可。</w:t>
      </w:r>
    </w:p>
    <w:p w14:paraId="33DAB7EA">
      <w:pPr>
        <w:pStyle w:val="4"/>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left="0" w:leftChars="0" w:right="1791" w:firstLine="0" w:firstLineChars="0"/>
        <w:jc w:val="left"/>
        <w:textAlignment w:val="auto"/>
        <w:rPr>
          <w:rFonts w:hint="eastAsia" w:ascii="宋体" w:hAnsi="宋体" w:eastAsia="宋体" w:cs="宋体"/>
          <w:color w:val="000000"/>
          <w:lang w:val="en-US"/>
        </w:rPr>
      </w:pPr>
      <w:bookmarkStart w:id="55" w:name="_Toc31767"/>
      <w:bookmarkStart w:id="56" w:name="_Toc466542207"/>
      <w:bookmarkStart w:id="57" w:name="_Toc466542536"/>
      <w:bookmarkStart w:id="58" w:name="_Toc12247"/>
      <w:r>
        <w:rPr>
          <w:rFonts w:hint="eastAsia" w:ascii="宋体" w:hAnsi="宋体" w:eastAsia="宋体" w:cs="宋体"/>
          <w:color w:val="000000"/>
          <w:lang w:val="en-US"/>
        </w:rPr>
        <w:t>4  投标</w:t>
      </w:r>
      <w:bookmarkEnd w:id="55"/>
      <w:bookmarkEnd w:id="56"/>
      <w:bookmarkEnd w:id="57"/>
      <w:bookmarkEnd w:id="58"/>
      <w:r>
        <w:rPr>
          <w:rFonts w:hint="eastAsia" w:ascii="宋体" w:hAnsi="宋体" w:eastAsia="宋体" w:cs="宋体"/>
          <w:color w:val="000000"/>
          <w:lang w:val="en-US"/>
        </w:rPr>
        <w:t xml:space="preserve"> </w:t>
      </w:r>
    </w:p>
    <w:p w14:paraId="6FA4289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z w:val="24"/>
          <w:szCs w:val="32"/>
        </w:rPr>
      </w:pPr>
      <w:bookmarkStart w:id="59" w:name="_Toc17454"/>
      <w:r>
        <w:rPr>
          <w:rFonts w:hint="eastAsia" w:ascii="宋体" w:hAnsi="宋体" w:eastAsia="宋体" w:cs="宋体"/>
          <w:b/>
          <w:bCs/>
          <w:color w:val="000000"/>
          <w:sz w:val="24"/>
          <w:szCs w:val="32"/>
        </w:rPr>
        <w:t>4.1 电子投标</w:t>
      </w:r>
      <w:bookmarkEnd w:id="59"/>
    </w:p>
    <w:p w14:paraId="45BAC8B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在建设工程交易系统上传加盖了电子印章的投标文件、录入相关信息及标书页码信息，（页码起始从封面开始）并提交投标标书，提交标书为已加密投标文件。具体操作参照《韶关市公共资源建设工程交易系统-投标人操作指南（电子评标）》。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3CE8029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z w:val="24"/>
          <w:szCs w:val="32"/>
        </w:rPr>
      </w:pPr>
      <w:bookmarkStart w:id="60" w:name="_Toc21621"/>
      <w:r>
        <w:rPr>
          <w:rFonts w:hint="eastAsia" w:ascii="宋体" w:hAnsi="宋体" w:eastAsia="宋体" w:cs="宋体"/>
          <w:b/>
          <w:bCs/>
          <w:color w:val="000000"/>
          <w:sz w:val="24"/>
          <w:szCs w:val="32"/>
        </w:rPr>
        <w:t>4.2 电子投标文件的修改、撤回</w:t>
      </w:r>
      <w:bookmarkEnd w:id="60"/>
    </w:p>
    <w:p w14:paraId="3A59249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70FFC21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z w:val="24"/>
          <w:szCs w:val="32"/>
        </w:rPr>
      </w:pPr>
      <w:bookmarkStart w:id="61" w:name="_Toc17946"/>
      <w:r>
        <w:rPr>
          <w:rFonts w:hint="eastAsia" w:ascii="宋体" w:hAnsi="宋体" w:eastAsia="宋体" w:cs="宋体"/>
          <w:b/>
          <w:bCs/>
          <w:color w:val="000000"/>
          <w:sz w:val="24"/>
          <w:szCs w:val="32"/>
        </w:rPr>
        <w:t>4.3 投标文件的</w:t>
      </w:r>
      <w:r>
        <w:rPr>
          <w:rFonts w:hint="eastAsia" w:ascii="宋体" w:hAnsi="宋体" w:eastAsia="宋体" w:cs="宋体"/>
          <w:b/>
          <w:bCs/>
          <w:color w:val="000000"/>
          <w:sz w:val="24"/>
          <w:szCs w:val="32"/>
          <w:lang w:val="en-US" w:eastAsia="zh-CN"/>
        </w:rPr>
        <w:t>提</w:t>
      </w:r>
      <w:r>
        <w:rPr>
          <w:rFonts w:hint="eastAsia" w:ascii="宋体" w:hAnsi="宋体" w:eastAsia="宋体" w:cs="宋体"/>
          <w:b/>
          <w:bCs/>
          <w:color w:val="000000"/>
          <w:sz w:val="24"/>
          <w:szCs w:val="32"/>
        </w:rPr>
        <w:t>交</w:t>
      </w:r>
      <w:bookmarkEnd w:id="61"/>
    </w:p>
    <w:p w14:paraId="1B286D1C">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lang w:val="en-US" w:eastAsia="zh-CN"/>
        </w:rPr>
      </w:pPr>
      <w:bookmarkStart w:id="62" w:name="_Toc466542537"/>
      <w:bookmarkStart w:id="63" w:name="_Toc466542208"/>
      <w:r>
        <w:rPr>
          <w:rFonts w:hint="eastAsia" w:ascii="宋体" w:hAnsi="宋体" w:eastAsia="宋体" w:cs="宋体"/>
          <w:color w:val="000000"/>
          <w:sz w:val="24"/>
          <w:szCs w:val="32"/>
          <w:lang w:val="en-US" w:eastAsia="zh-CN"/>
        </w:rPr>
        <w:t>本次招标实行电子投标。投标人必须在规定的截止时间前使用交易系统完成缴纳投标保证和全流程电子投标，只有满足以上所有条件，方为有效投标。</w:t>
      </w:r>
    </w:p>
    <w:p w14:paraId="35F8524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lang w:val="en-US" w:eastAsia="zh-CN"/>
        </w:rPr>
        <w:t>4.3.1</w:t>
      </w:r>
      <w:r>
        <w:rPr>
          <w:rFonts w:hint="eastAsia" w:ascii="宋体" w:hAnsi="宋体" w:eastAsia="宋体" w:cs="宋体"/>
          <w:color w:val="000000"/>
          <w:sz w:val="24"/>
          <w:szCs w:val="32"/>
        </w:rPr>
        <w:t>在电子投标截止时间前，投标人通过全国公共资源交易平台（广东省·韶关市）提交已加密投标文件。逾期提交的电子投标文件，全国公共资源交易平台（广东省·韶关市）将予以拒收。</w:t>
      </w:r>
    </w:p>
    <w:p w14:paraId="6CF8FD9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lang w:val="en-US" w:eastAsia="zh-CN"/>
        </w:rPr>
      </w:pPr>
      <w:r>
        <w:rPr>
          <w:rFonts w:hint="eastAsia" w:ascii="宋体" w:hAnsi="宋体" w:eastAsia="宋体" w:cs="宋体"/>
          <w:color w:val="000000"/>
          <w:sz w:val="24"/>
          <w:szCs w:val="32"/>
          <w:lang w:val="en-US" w:eastAsia="zh-CN"/>
        </w:rPr>
        <w:t>4.3.2提交时间和地点：见本章第二节“重要事项时间地点一览表”。</w:t>
      </w:r>
    </w:p>
    <w:p w14:paraId="64204CA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lang w:val="en-US" w:eastAsia="zh-CN"/>
        </w:rPr>
      </w:pPr>
      <w:r>
        <w:rPr>
          <w:rFonts w:hint="eastAsia" w:ascii="宋体" w:hAnsi="宋体" w:eastAsia="宋体" w:cs="宋体"/>
          <w:color w:val="000000"/>
          <w:sz w:val="24"/>
          <w:szCs w:val="32"/>
          <w:lang w:val="en-US" w:eastAsia="zh-CN"/>
        </w:rPr>
        <w:t>4.3.3递交时间和地点：投标人如有招标文件要求提交的用于评审的证书、证件、证明原件（附一式两份清单），由投标人法定代表人或其委托代理人在指定的时间和地点递交（见“重要事项时间地点一览表”）。</w:t>
      </w:r>
    </w:p>
    <w:p w14:paraId="35EA6C5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lang w:val="en-US" w:eastAsia="zh-CN"/>
        </w:rPr>
      </w:pPr>
      <w:r>
        <w:rPr>
          <w:rFonts w:hint="eastAsia" w:ascii="宋体" w:hAnsi="宋体" w:eastAsia="宋体" w:cs="宋体"/>
          <w:color w:val="000000"/>
          <w:sz w:val="24"/>
          <w:szCs w:val="32"/>
          <w:lang w:val="en-US" w:eastAsia="zh-CN"/>
        </w:rPr>
        <w:t xml:space="preserve">4.3.4代理机构对因不可抗力事件造成的投标文件的损坏、丢失的，不承担责任。        </w:t>
      </w:r>
    </w:p>
    <w:p w14:paraId="515D4AA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lang w:val="en-US" w:eastAsia="zh-CN"/>
        </w:rPr>
      </w:pPr>
      <w:r>
        <w:rPr>
          <w:rFonts w:hint="eastAsia" w:ascii="宋体" w:hAnsi="宋体" w:eastAsia="宋体" w:cs="宋体"/>
          <w:color w:val="000000"/>
          <w:sz w:val="24"/>
          <w:szCs w:val="32"/>
          <w:lang w:val="en-US" w:eastAsia="zh-CN"/>
        </w:rPr>
        <w:t>4.3.5出现下述情形之一，属于未成功提交投标文件，按无效投标处理：</w:t>
      </w:r>
    </w:p>
    <w:p w14:paraId="75BABD4C">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lang w:val="en-US" w:eastAsia="zh-CN"/>
        </w:rPr>
      </w:pPr>
      <w:r>
        <w:rPr>
          <w:rFonts w:hint="eastAsia" w:ascii="宋体" w:hAnsi="宋体" w:eastAsia="宋体" w:cs="宋体"/>
          <w:color w:val="000000"/>
          <w:sz w:val="24"/>
          <w:szCs w:val="32"/>
          <w:lang w:val="en-US" w:eastAsia="zh-CN"/>
        </w:rPr>
        <w:t>（1）至电子投标截止时间时，投标文件未完整上传或未提交投标。</w:t>
      </w:r>
    </w:p>
    <w:p w14:paraId="492BCF0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lang w:val="en-US" w:eastAsia="zh-CN"/>
        </w:rPr>
      </w:pPr>
      <w:r>
        <w:rPr>
          <w:rFonts w:hint="eastAsia" w:ascii="宋体" w:hAnsi="宋体" w:eastAsia="宋体" w:cs="宋体"/>
          <w:color w:val="000000"/>
          <w:sz w:val="24"/>
          <w:szCs w:val="32"/>
          <w:lang w:val="en-US" w:eastAsia="zh-CN"/>
        </w:rPr>
        <w:t>（2）解密失败且在规定时间内未重新提交投标文件的；</w:t>
      </w:r>
    </w:p>
    <w:p w14:paraId="5B3E1CB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lang w:val="en-US" w:eastAsia="zh-CN"/>
        </w:rPr>
      </w:pPr>
      <w:r>
        <w:rPr>
          <w:rFonts w:hint="eastAsia" w:ascii="宋体" w:hAnsi="宋体" w:eastAsia="宋体" w:cs="宋体"/>
          <w:color w:val="000000"/>
          <w:sz w:val="24"/>
          <w:szCs w:val="32"/>
          <w:lang w:val="en-US" w:eastAsia="zh-CN"/>
        </w:rPr>
        <w:t>（3）投标文件损坏或格式不正确的。</w:t>
      </w:r>
    </w:p>
    <w:p w14:paraId="0A77126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lang w:val="en-US" w:eastAsia="zh-CN"/>
        </w:rPr>
      </w:pPr>
      <w:r>
        <w:rPr>
          <w:rFonts w:hint="eastAsia" w:ascii="宋体" w:hAnsi="宋体" w:eastAsia="宋体" w:cs="宋体"/>
          <w:color w:val="000000"/>
          <w:sz w:val="24"/>
          <w:szCs w:val="32"/>
          <w:lang w:val="en-US" w:eastAsia="zh-CN"/>
        </w:rPr>
        <w:t>4.3.6 招标人或其授权的招标代理机构核对、接收投标人递交的投标相关资料后，应向投标人出具标明签收人和签收时间的凭证，并妥善保管。</w:t>
      </w:r>
    </w:p>
    <w:p w14:paraId="17557FC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lang w:val="en-US" w:eastAsia="zh-CN"/>
        </w:rPr>
        <w:t>4.3.7 本次招标投标有效期为90个日历天，投标有效期从提交投标文件的截止之日起计算。在此期间，投标人不得撤销或修改其投标文件，否则其投标保证不予退还。</w:t>
      </w:r>
    </w:p>
    <w:p w14:paraId="561DA7B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z w:val="24"/>
          <w:szCs w:val="32"/>
        </w:rPr>
      </w:pPr>
      <w:bookmarkStart w:id="64" w:name="_Toc5680"/>
      <w:r>
        <w:rPr>
          <w:rFonts w:hint="eastAsia" w:ascii="宋体" w:hAnsi="宋体" w:eastAsia="宋体" w:cs="宋体"/>
          <w:b/>
          <w:bCs/>
          <w:color w:val="000000"/>
          <w:sz w:val="24"/>
          <w:szCs w:val="32"/>
        </w:rPr>
        <w:t>4.4 电子投标及投标解密失败及突发情况的补救方案</w:t>
      </w:r>
      <w:bookmarkEnd w:id="64"/>
    </w:p>
    <w:p w14:paraId="58418FC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lang w:val="en-US" w:eastAsia="zh-CN"/>
        </w:rPr>
      </w:pPr>
      <w:r>
        <w:rPr>
          <w:rFonts w:hint="eastAsia" w:ascii="宋体" w:hAnsi="宋体" w:eastAsia="宋体" w:cs="宋体"/>
          <w:color w:val="000000"/>
          <w:sz w:val="24"/>
          <w:szCs w:val="32"/>
          <w:lang w:val="en-US" w:eastAsia="zh-CN"/>
        </w:rPr>
        <w:t>4.4.1按照交易平台关于全流程电子化项目的相关指南进行操作。详见：全国公共资源交易平台（广东省·韶关市）</w:t>
      </w:r>
    </w:p>
    <w:p w14:paraId="6794015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lang w:val="en-US" w:eastAsia="zh-CN"/>
        </w:rPr>
      </w:pPr>
      <w:r>
        <w:rPr>
          <w:rFonts w:hint="eastAsia" w:ascii="宋体" w:hAnsi="宋体" w:eastAsia="宋体" w:cs="宋体"/>
          <w:color w:val="000000"/>
          <w:sz w:val="24"/>
          <w:szCs w:val="32"/>
          <w:lang w:val="en-US" w:eastAsia="zh-CN"/>
        </w:rPr>
        <w:t xml:space="preserve">（https://ygp.gdzwfw.gov.cn/ggzy-portal/#/440200/index）【服务指南】栏目发布的最新版操作指引。  </w:t>
      </w:r>
    </w:p>
    <w:p w14:paraId="2385A42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lang w:val="en-US" w:eastAsia="zh-CN"/>
        </w:rPr>
      </w:pPr>
      <w:r>
        <w:rPr>
          <w:rFonts w:hint="eastAsia" w:ascii="宋体" w:hAnsi="宋体" w:eastAsia="宋体" w:cs="宋体"/>
          <w:color w:val="000000"/>
          <w:sz w:val="24"/>
          <w:szCs w:val="32"/>
          <w:lang w:val="en-US" w:eastAsia="zh-CN"/>
        </w:rPr>
        <w:t>4.4.2补救方案：</w:t>
      </w:r>
    </w:p>
    <w:p w14:paraId="5E1A8EA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lang w:val="en-US" w:eastAsia="zh-CN"/>
        </w:rPr>
      </w:pPr>
      <w:r>
        <w:rPr>
          <w:rFonts w:hint="eastAsia" w:ascii="宋体" w:hAnsi="宋体" w:eastAsia="宋体" w:cs="宋体"/>
          <w:color w:val="000000"/>
          <w:sz w:val="24"/>
          <w:szCs w:val="32"/>
          <w:lang w:val="en-US" w:eastAsia="zh-CN"/>
        </w:rPr>
        <w:t>（1）投标文件解密失败的补救方案：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14:paraId="6512003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lang w:val="en-US" w:eastAsia="zh-CN"/>
        </w:rPr>
      </w:pPr>
      <w:r>
        <w:rPr>
          <w:rFonts w:hint="eastAsia" w:ascii="宋体" w:hAnsi="宋体" w:eastAsia="宋体" w:cs="宋体"/>
          <w:color w:val="000000"/>
          <w:sz w:val="24"/>
          <w:szCs w:val="32"/>
          <w:lang w:val="en-US" w:eastAsia="zh-CN"/>
        </w:rPr>
        <w:t>（2）评标时突发情况的补救方案：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5B3A714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lang w:val="en-US" w:eastAsia="zh-CN"/>
        </w:rPr>
        <w:t>（3）除发生上述情况外，开标评标均以投标人通过交易平台网上提交的电子投标文件为准。</w:t>
      </w:r>
    </w:p>
    <w:p w14:paraId="5AA804FE">
      <w:pPr>
        <w:pStyle w:val="4"/>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left="0" w:leftChars="0" w:right="1791" w:firstLine="0" w:firstLineChars="0"/>
        <w:jc w:val="left"/>
        <w:textAlignment w:val="auto"/>
        <w:rPr>
          <w:rFonts w:hint="eastAsia" w:ascii="宋体" w:hAnsi="宋体" w:eastAsia="宋体" w:cs="宋体"/>
          <w:color w:val="000000"/>
          <w:lang w:val="en-US"/>
        </w:rPr>
      </w:pPr>
      <w:bookmarkStart w:id="65" w:name="_Toc14919"/>
      <w:bookmarkStart w:id="66" w:name="_Toc16431"/>
      <w:r>
        <w:rPr>
          <w:rFonts w:hint="eastAsia" w:ascii="宋体" w:hAnsi="宋体" w:eastAsia="宋体" w:cs="宋体"/>
          <w:color w:val="000000"/>
          <w:lang w:val="en-US"/>
        </w:rPr>
        <w:t>5.  开标</w:t>
      </w:r>
      <w:bookmarkEnd w:id="62"/>
      <w:bookmarkEnd w:id="63"/>
      <w:bookmarkEnd w:id="65"/>
      <w:bookmarkEnd w:id="66"/>
    </w:p>
    <w:p w14:paraId="22D1E0A8">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color w:val="000000"/>
          <w:sz w:val="24"/>
          <w:szCs w:val="32"/>
        </w:rPr>
      </w:pPr>
      <w:r>
        <w:rPr>
          <w:rFonts w:hint="eastAsia" w:ascii="宋体" w:hAnsi="宋体" w:eastAsia="宋体" w:cs="宋体"/>
          <w:b/>
          <w:bCs/>
          <w:color w:val="000000"/>
          <w:sz w:val="24"/>
          <w:szCs w:val="32"/>
        </w:rPr>
        <w:t xml:space="preserve">5.1 </w:t>
      </w:r>
      <w:r>
        <w:rPr>
          <w:rFonts w:hint="eastAsia" w:ascii="宋体" w:hAnsi="宋体" w:eastAsia="宋体" w:cs="宋体"/>
          <w:color w:val="000000"/>
          <w:sz w:val="24"/>
          <w:szCs w:val="32"/>
        </w:rPr>
        <w:t>招标人邀请所有正确获取招标文件、电子投标、缴纳投标保证的投标人参加开标，投标人可自主决定是否参加。投标人可登录交易平台观看开标实况、提出异议或进行澄清、确认等操作（具体按招标文件和系统操作手册为准）。投标人不参加开标的，视其默认开标结果，以及放弃在开标期间见证、监督、投诉、申辩的权利。</w:t>
      </w:r>
    </w:p>
    <w:p w14:paraId="399866B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lang w:val="en-US" w:eastAsia="zh-CN"/>
        </w:rPr>
        <w:t>5</w:t>
      </w:r>
      <w:r>
        <w:rPr>
          <w:rFonts w:hint="eastAsia" w:ascii="宋体" w:hAnsi="宋体" w:eastAsia="宋体" w:cs="宋体"/>
          <w:color w:val="000000"/>
          <w:sz w:val="24"/>
          <w:szCs w:val="32"/>
        </w:rPr>
        <w:t>.1.1 开标时间和地点：见本章第二节“重要事项时间地点一览表”。</w:t>
      </w:r>
    </w:p>
    <w:p w14:paraId="2C1C9B4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lang w:val="en-US" w:eastAsia="zh-CN"/>
        </w:rPr>
        <w:t>5</w:t>
      </w:r>
      <w:r>
        <w:rPr>
          <w:rFonts w:hint="eastAsia" w:ascii="宋体" w:hAnsi="宋体" w:eastAsia="宋体" w:cs="宋体"/>
          <w:color w:val="000000"/>
          <w:sz w:val="24"/>
          <w:szCs w:val="32"/>
        </w:rPr>
        <w:t>.1.2 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全国公共资源交易平台（广东省·韶关市）</w:t>
      </w:r>
    </w:p>
    <w:p w14:paraId="2987AB79">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（https://ygp.gdzwfw.gov.cn/ggzy-portal/#/440200/index）查询是否发布了取消开标活动的相关信息。</w:t>
      </w:r>
    </w:p>
    <w:p w14:paraId="1A81F26C">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lang w:val="en-US" w:eastAsia="zh-CN"/>
        </w:rPr>
        <w:t>5</w:t>
      </w:r>
      <w:r>
        <w:rPr>
          <w:rFonts w:hint="eastAsia" w:ascii="宋体" w:hAnsi="宋体" w:eastAsia="宋体" w:cs="宋体"/>
          <w:color w:val="000000"/>
          <w:sz w:val="24"/>
          <w:szCs w:val="32"/>
        </w:rPr>
        <w:t>.1.3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19AD997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lang w:val="en-US" w:eastAsia="zh-CN"/>
        </w:rPr>
        <w:t>5</w:t>
      </w:r>
      <w:r>
        <w:rPr>
          <w:rFonts w:hint="eastAsia" w:ascii="宋体" w:hAnsi="宋体" w:eastAsia="宋体" w:cs="宋体"/>
          <w:color w:val="000000"/>
          <w:sz w:val="24"/>
          <w:szCs w:val="32"/>
        </w:rPr>
        <w:t>.2 开标程序</w:t>
      </w:r>
    </w:p>
    <w:p w14:paraId="3BEEDF1C">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（1）主持人（招标人代表或招标人授权的招标代理机构人员）宣读开标纪律。</w:t>
      </w:r>
    </w:p>
    <w:p w14:paraId="2E25E49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（2）主持人宣布唱标人、记录人、见证人、监督人等有关人员姓名。</w:t>
      </w:r>
    </w:p>
    <w:p w14:paraId="261FB3B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3）招标代理机构在交易场所工作人员见证下对投标人的电子投标信息进行解密，建设工程交易系统自动生成《投标保证缴纳情况表》和《开标一览表》。唱标人公布在投标截止时间前进行投标文件的投标人数量和名称。</w:t>
      </w:r>
    </w:p>
    <w:p w14:paraId="0727972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（4）唱标人检查《投标保证缴纳情况表》中各投标人所缴纳投标保证的金额、有效期是否符合招标文件规定。若不符合规定，该投标人的投标无效。将有关情形在《投标保证缴纳情况表》“备注”栏中注明。</w:t>
      </w:r>
    </w:p>
    <w:p w14:paraId="3161C3D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（5）唱标人检查《开标一览表》中各投标人的投标总价、质量标准、工期是否符合招标文件规定。若不符合规定，招标代理机构应将有关情形在《开标一览表》“备注”栏中注明。</w:t>
      </w:r>
    </w:p>
    <w:p w14:paraId="2383B9D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（6）投标人代表、招标人代表、唱标人、记录人等有关人员在《投标保证缴纳情况表》以及《开标一览表》上签字确认。</w:t>
      </w:r>
    </w:p>
    <w:p w14:paraId="69E0B68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（7）主持人宣布有关注意事项后，宣布开标结束。</w:t>
      </w:r>
    </w:p>
    <w:p w14:paraId="2136AC21">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color w:val="000000"/>
          <w:sz w:val="24"/>
          <w:szCs w:val="32"/>
        </w:rPr>
      </w:pPr>
      <w:r>
        <w:rPr>
          <w:rFonts w:hint="eastAsia" w:ascii="宋体" w:hAnsi="宋体" w:eastAsia="宋体" w:cs="宋体"/>
          <w:b/>
          <w:bCs/>
          <w:color w:val="000000"/>
          <w:sz w:val="24"/>
          <w:szCs w:val="32"/>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35F88D9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lang w:val="en-US" w:eastAsia="zh-CN"/>
        </w:rPr>
        <w:t>5</w:t>
      </w:r>
      <w:r>
        <w:rPr>
          <w:rFonts w:hint="eastAsia" w:ascii="宋体" w:hAnsi="宋体" w:eastAsia="宋体" w:cs="宋体"/>
          <w:color w:val="000000"/>
          <w:sz w:val="24"/>
          <w:szCs w:val="32"/>
        </w:rPr>
        <w:t>.</w:t>
      </w:r>
      <w:r>
        <w:rPr>
          <w:rFonts w:hint="eastAsia" w:ascii="宋体" w:hAnsi="宋体" w:cs="宋体"/>
          <w:color w:val="000000"/>
          <w:sz w:val="24"/>
          <w:szCs w:val="32"/>
          <w:lang w:val="en-US" w:eastAsia="zh-CN"/>
        </w:rPr>
        <w:t>3</w:t>
      </w:r>
      <w:r>
        <w:rPr>
          <w:rFonts w:hint="eastAsia" w:ascii="宋体" w:hAnsi="宋体" w:eastAsia="宋体" w:cs="宋体"/>
          <w:color w:val="000000"/>
          <w:sz w:val="24"/>
          <w:szCs w:val="32"/>
        </w:rPr>
        <w:t xml:space="preserve"> 招标代理机构将资料原件</w:t>
      </w:r>
      <w:r>
        <w:rPr>
          <w:rFonts w:hint="eastAsia" w:ascii="宋体" w:hAnsi="宋体" w:eastAsia="宋体" w:cs="宋体"/>
          <w:b/>
          <w:bCs/>
          <w:color w:val="000000"/>
          <w:sz w:val="24"/>
          <w:szCs w:val="32"/>
        </w:rPr>
        <w:t>（如有）</w:t>
      </w:r>
      <w:r>
        <w:rPr>
          <w:rFonts w:hint="eastAsia" w:ascii="宋体" w:hAnsi="宋体" w:eastAsia="宋体" w:cs="宋体"/>
          <w:color w:val="000000"/>
          <w:sz w:val="24"/>
          <w:szCs w:val="32"/>
        </w:rPr>
        <w:t>、《开标一览表》以及其他有关资料移交评标委员会。</w:t>
      </w:r>
    </w:p>
    <w:p w14:paraId="0A488C3A">
      <w:pPr>
        <w:pStyle w:val="4"/>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left="0" w:leftChars="0" w:right="1791" w:firstLine="0" w:firstLineChars="0"/>
        <w:jc w:val="left"/>
        <w:textAlignment w:val="auto"/>
        <w:rPr>
          <w:rFonts w:hint="eastAsia" w:ascii="宋体" w:hAnsi="宋体" w:eastAsia="宋体" w:cs="宋体"/>
          <w:color w:val="000000"/>
          <w:lang w:val="en-US"/>
        </w:rPr>
      </w:pPr>
      <w:bookmarkStart w:id="67" w:name="_Toc466542209"/>
      <w:bookmarkStart w:id="68" w:name="_Toc22156"/>
      <w:bookmarkStart w:id="69" w:name="_Toc27245"/>
      <w:bookmarkStart w:id="70" w:name="_Toc466542538"/>
      <w:r>
        <w:rPr>
          <w:rFonts w:hint="eastAsia" w:ascii="宋体" w:hAnsi="宋体" w:eastAsia="宋体" w:cs="宋体"/>
          <w:color w:val="000000"/>
          <w:lang w:val="en-US"/>
        </w:rPr>
        <w:t>6.  评标</w:t>
      </w:r>
      <w:bookmarkEnd w:id="67"/>
      <w:bookmarkEnd w:id="68"/>
      <w:bookmarkEnd w:id="69"/>
      <w:bookmarkEnd w:id="70"/>
    </w:p>
    <w:p w14:paraId="7B96D08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z w:val="24"/>
          <w:szCs w:val="32"/>
        </w:rPr>
      </w:pPr>
      <w:bookmarkStart w:id="71" w:name="_Toc4650"/>
      <w:r>
        <w:rPr>
          <w:rFonts w:hint="eastAsia" w:ascii="宋体" w:hAnsi="宋体" w:eastAsia="宋体" w:cs="宋体"/>
          <w:b/>
          <w:bCs/>
          <w:color w:val="000000"/>
          <w:sz w:val="24"/>
          <w:szCs w:val="32"/>
        </w:rPr>
        <w:t>6.1 评标委员会</w:t>
      </w:r>
      <w:bookmarkEnd w:id="71"/>
    </w:p>
    <w:p w14:paraId="4E2DFA4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6.1.1评标由招标人依法组建的评标委员会负责。评标委员会成员人数以及技术、经济等方面专家的确定方式见投标人须知前附表。</w:t>
      </w:r>
    </w:p>
    <w:p w14:paraId="7F664A2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6.1.2 评标委员会成员有下列情形之一的，应当回避：</w:t>
      </w:r>
    </w:p>
    <w:p w14:paraId="22B0DF7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（1） 投标人或投标人主要负责人的近亲属；</w:t>
      </w:r>
    </w:p>
    <w:p w14:paraId="1C614D6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（2） 项目主管部门或者行政监督部门的人员；</w:t>
      </w:r>
    </w:p>
    <w:p w14:paraId="156CD9C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（3） 与投标人有经济利益关系；</w:t>
      </w:r>
    </w:p>
    <w:p w14:paraId="56FDD5E9">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（4） 曾因在招标、评标以及其他与招标投标有关活动中从事违法行为而受过行政处罚或刑事处罚的。</w:t>
      </w:r>
    </w:p>
    <w:p w14:paraId="5C80641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（5） 与投标人有其他利害关系。</w:t>
      </w:r>
    </w:p>
    <w:p w14:paraId="73E14CF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6.1.3 评标过程中，评标委员会成员有回避事由、擅离职守或者因健康等原因不能继续评标的，招标人有权更换。被更换的评标委员会成员作出的评审结论无效，由更换后的评标委员会成员重新进行评审。</w:t>
      </w:r>
    </w:p>
    <w:p w14:paraId="7541BFF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z w:val="24"/>
          <w:szCs w:val="32"/>
        </w:rPr>
      </w:pPr>
      <w:bookmarkStart w:id="72" w:name="_Toc31583"/>
      <w:r>
        <w:rPr>
          <w:rFonts w:hint="eastAsia" w:ascii="宋体" w:hAnsi="宋体" w:eastAsia="宋体" w:cs="宋体"/>
          <w:b/>
          <w:bCs/>
          <w:color w:val="000000"/>
          <w:sz w:val="24"/>
          <w:szCs w:val="32"/>
        </w:rPr>
        <w:t>6.2 评标原则</w:t>
      </w:r>
      <w:bookmarkEnd w:id="72"/>
    </w:p>
    <w:p w14:paraId="0A130E9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评标活动遵循公平、公正、科学和择优的原则。</w:t>
      </w:r>
    </w:p>
    <w:p w14:paraId="1A0074E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z w:val="24"/>
          <w:szCs w:val="32"/>
        </w:rPr>
      </w:pPr>
      <w:bookmarkStart w:id="73" w:name="_Toc29204"/>
      <w:r>
        <w:rPr>
          <w:rFonts w:hint="eastAsia" w:ascii="宋体" w:hAnsi="宋体" w:eastAsia="宋体" w:cs="宋体"/>
          <w:b/>
          <w:bCs/>
          <w:color w:val="000000"/>
          <w:sz w:val="24"/>
          <w:szCs w:val="32"/>
        </w:rPr>
        <w:t>6.3 评标</w:t>
      </w:r>
      <w:bookmarkEnd w:id="73"/>
    </w:p>
    <w:p w14:paraId="63460CA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评标委员会按照第三章“评标办法”规定的方法、评审因素、标准和程序对投标文件进行评审。第三章“评标办法”没有规定的方法、评审因素和标准，不作为评标依据。</w:t>
      </w:r>
    </w:p>
    <w:p w14:paraId="62900803">
      <w:pPr>
        <w:pStyle w:val="4"/>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left="0" w:leftChars="0" w:right="1791" w:firstLine="0" w:firstLineChars="0"/>
        <w:jc w:val="left"/>
        <w:textAlignment w:val="auto"/>
        <w:rPr>
          <w:rFonts w:hint="eastAsia" w:ascii="宋体" w:hAnsi="宋体" w:eastAsia="宋体" w:cs="宋体"/>
          <w:color w:val="000000"/>
          <w:lang w:val="en-US"/>
        </w:rPr>
      </w:pPr>
      <w:bookmarkStart w:id="74" w:name="_Toc466542210"/>
      <w:bookmarkStart w:id="75" w:name="_Toc19128"/>
      <w:bookmarkStart w:id="76" w:name="_Toc27787"/>
      <w:bookmarkStart w:id="77" w:name="_Toc466542539"/>
      <w:r>
        <w:rPr>
          <w:rFonts w:hint="eastAsia" w:ascii="宋体" w:hAnsi="宋体" w:eastAsia="宋体" w:cs="宋体"/>
          <w:color w:val="000000"/>
          <w:lang w:val="en-US"/>
        </w:rPr>
        <w:t>7.  合同授予</w:t>
      </w:r>
      <w:bookmarkEnd w:id="74"/>
      <w:bookmarkEnd w:id="75"/>
      <w:bookmarkEnd w:id="76"/>
      <w:bookmarkEnd w:id="77"/>
      <w:r>
        <w:rPr>
          <w:rFonts w:hint="eastAsia" w:ascii="宋体" w:hAnsi="宋体" w:eastAsia="宋体" w:cs="宋体"/>
          <w:color w:val="000000"/>
          <w:lang w:val="en-US"/>
        </w:rPr>
        <w:t xml:space="preserve"> </w:t>
      </w:r>
    </w:p>
    <w:p w14:paraId="07383FE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z w:val="24"/>
          <w:szCs w:val="32"/>
        </w:rPr>
      </w:pPr>
      <w:bookmarkStart w:id="78" w:name="_Toc29662"/>
      <w:r>
        <w:rPr>
          <w:rFonts w:hint="eastAsia" w:ascii="宋体" w:hAnsi="宋体" w:eastAsia="宋体" w:cs="宋体"/>
          <w:b/>
          <w:bCs/>
          <w:color w:val="000000"/>
          <w:sz w:val="24"/>
          <w:szCs w:val="32"/>
        </w:rPr>
        <w:t>7.1 定标方式</w:t>
      </w:r>
      <w:bookmarkEnd w:id="78"/>
      <w:r>
        <w:rPr>
          <w:rFonts w:hint="eastAsia" w:ascii="宋体" w:hAnsi="宋体" w:eastAsia="宋体" w:cs="宋体"/>
          <w:b/>
          <w:bCs/>
          <w:color w:val="000000"/>
          <w:sz w:val="24"/>
          <w:szCs w:val="32"/>
        </w:rPr>
        <w:tab/>
      </w:r>
    </w:p>
    <w:p w14:paraId="0AAAEB2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评标委员会推荐3名中标候选人，并标明推荐顺序。招标人依据评标委员会推荐的中标候选人确定中标人。</w:t>
      </w:r>
    </w:p>
    <w:p w14:paraId="3BD1892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z w:val="24"/>
          <w:szCs w:val="32"/>
        </w:rPr>
      </w:pPr>
      <w:bookmarkStart w:id="79" w:name="_Toc21930"/>
      <w:r>
        <w:rPr>
          <w:rFonts w:hint="eastAsia" w:ascii="宋体" w:hAnsi="宋体" w:eastAsia="宋体" w:cs="宋体"/>
          <w:b/>
          <w:bCs/>
          <w:color w:val="000000"/>
          <w:sz w:val="24"/>
          <w:szCs w:val="32"/>
        </w:rPr>
        <w:t>7.2 中标候选人公示</w:t>
      </w:r>
      <w:bookmarkEnd w:id="79"/>
    </w:p>
    <w:p w14:paraId="1C91BF5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招标人在投标人须知前附表规定的媒介公示中标候选人。</w:t>
      </w:r>
    </w:p>
    <w:p w14:paraId="5FD7BCF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z w:val="24"/>
          <w:szCs w:val="32"/>
        </w:rPr>
      </w:pPr>
      <w:bookmarkStart w:id="80" w:name="_Toc30015"/>
      <w:r>
        <w:rPr>
          <w:rFonts w:hint="eastAsia" w:ascii="宋体" w:hAnsi="宋体" w:eastAsia="宋体" w:cs="宋体"/>
          <w:b/>
          <w:bCs/>
          <w:color w:val="000000"/>
          <w:sz w:val="24"/>
          <w:szCs w:val="32"/>
        </w:rPr>
        <w:t>7.3 中标通知</w:t>
      </w:r>
      <w:bookmarkEnd w:id="80"/>
    </w:p>
    <w:p w14:paraId="1A77E97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在本章第3.3款规定的投标有效期内，招标人以书面形式向中标人发出中标通知书，由于对评标结果以网上形式进行了公示，因此招标人向中标人发出中标通知时，不再将中标结果通知未中标的投标人。</w:t>
      </w:r>
    </w:p>
    <w:p w14:paraId="1BA2F06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z w:val="24"/>
          <w:szCs w:val="32"/>
        </w:rPr>
      </w:pPr>
      <w:bookmarkStart w:id="81" w:name="_Toc1476"/>
      <w:r>
        <w:rPr>
          <w:rFonts w:hint="eastAsia" w:ascii="宋体" w:hAnsi="宋体" w:eastAsia="宋体" w:cs="宋体"/>
          <w:b/>
          <w:bCs/>
          <w:color w:val="000000"/>
          <w:sz w:val="24"/>
          <w:szCs w:val="32"/>
        </w:rPr>
        <w:t>7.4 履约担保</w:t>
      </w:r>
      <w:bookmarkEnd w:id="81"/>
    </w:p>
    <w:p w14:paraId="012B533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7.4.1 在签订合同前，中标人应按投标人须知前附表规定的担保形式和招标文件第四章“合同主要条款”规定的或者事先经过招标人书面认可的履约担保格式向招标人提交履约担保。除投标人须知前附表另有规定外。</w:t>
      </w:r>
    </w:p>
    <w:p w14:paraId="5A0B522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7.4.2 中标人不能按本章7.4.1项要求提交履约担保的，视为放弃中标，其投标保证金不予退还，给招标人造成的损失超过投标保证金数额的，中标人还应当对超过部分予以赔偿。</w:t>
      </w:r>
    </w:p>
    <w:p w14:paraId="1132F4D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z w:val="24"/>
          <w:szCs w:val="32"/>
        </w:rPr>
      </w:pPr>
      <w:bookmarkStart w:id="82" w:name="_Toc3036"/>
      <w:r>
        <w:rPr>
          <w:rFonts w:hint="eastAsia" w:ascii="宋体" w:hAnsi="宋体" w:eastAsia="宋体" w:cs="宋体"/>
          <w:b/>
          <w:bCs/>
          <w:color w:val="000000"/>
          <w:sz w:val="24"/>
          <w:szCs w:val="32"/>
        </w:rPr>
        <w:t>7.5 签订合同</w:t>
      </w:r>
      <w:bookmarkEnd w:id="82"/>
    </w:p>
    <w:p w14:paraId="19CF74F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7.5.1 招标人和中标人应当自中标通知书发出之日起30天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14:paraId="34BF2C6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7.5.2 发出中标通知书后，招标人无正当理由拒签合同的，招标人向中标人退还投标保证金；给中标人造成损失的，还应当赔偿损失。</w:t>
      </w:r>
    </w:p>
    <w:p w14:paraId="5152AE66">
      <w:pPr>
        <w:pStyle w:val="4"/>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left="0" w:leftChars="0" w:right="1791" w:firstLine="0" w:firstLineChars="0"/>
        <w:jc w:val="left"/>
        <w:textAlignment w:val="auto"/>
        <w:rPr>
          <w:rFonts w:hint="eastAsia" w:ascii="宋体" w:hAnsi="宋体" w:eastAsia="宋体" w:cs="宋体"/>
          <w:color w:val="000000"/>
          <w:lang w:val="en-US"/>
        </w:rPr>
      </w:pPr>
      <w:bookmarkStart w:id="83" w:name="_Toc30319"/>
      <w:bookmarkStart w:id="84" w:name="_Toc466542211"/>
      <w:bookmarkStart w:id="85" w:name="_Toc466542540"/>
      <w:bookmarkStart w:id="86" w:name="_Toc24605"/>
      <w:r>
        <w:rPr>
          <w:rFonts w:hint="eastAsia" w:ascii="宋体" w:hAnsi="宋体" w:eastAsia="宋体" w:cs="宋体"/>
          <w:color w:val="000000"/>
          <w:lang w:val="en-US"/>
        </w:rPr>
        <w:t>8.  重新招标和不再招标</w:t>
      </w:r>
      <w:bookmarkEnd w:id="83"/>
      <w:bookmarkEnd w:id="84"/>
      <w:bookmarkEnd w:id="85"/>
      <w:bookmarkEnd w:id="86"/>
    </w:p>
    <w:p w14:paraId="271293B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z w:val="24"/>
          <w:szCs w:val="32"/>
        </w:rPr>
      </w:pPr>
      <w:bookmarkStart w:id="87" w:name="_Toc13763"/>
      <w:r>
        <w:rPr>
          <w:rFonts w:hint="eastAsia" w:ascii="宋体" w:hAnsi="宋体" w:eastAsia="宋体" w:cs="宋体"/>
          <w:b/>
          <w:bCs/>
          <w:color w:val="000000"/>
          <w:sz w:val="24"/>
          <w:szCs w:val="32"/>
        </w:rPr>
        <w:t>8.1 重新招标</w:t>
      </w:r>
      <w:bookmarkEnd w:id="87"/>
    </w:p>
    <w:p w14:paraId="4734D9CC">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有下列情形之一的，招标人将重新招标：</w:t>
      </w:r>
    </w:p>
    <w:p w14:paraId="6C7DC96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（1） 投标截止时间止，投标人少于3个的；</w:t>
      </w:r>
    </w:p>
    <w:p w14:paraId="7EE1FA2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（2） 通过资格审查的投标人少于3个的；</w:t>
      </w:r>
    </w:p>
    <w:p w14:paraId="2E54203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（3） 同意延长投标有效期的投标人少于3个的；</w:t>
      </w:r>
    </w:p>
    <w:p w14:paraId="2276CD9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（4） 中标候选人均未与招标人签订合同的。</w:t>
      </w:r>
    </w:p>
    <w:p w14:paraId="67A4F66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z w:val="24"/>
          <w:szCs w:val="32"/>
        </w:rPr>
      </w:pPr>
      <w:bookmarkStart w:id="88" w:name="_Toc1076"/>
      <w:r>
        <w:rPr>
          <w:rFonts w:hint="eastAsia" w:ascii="宋体" w:hAnsi="宋体" w:eastAsia="宋体" w:cs="宋体"/>
          <w:b/>
          <w:bCs/>
          <w:color w:val="000000"/>
          <w:sz w:val="24"/>
          <w:szCs w:val="32"/>
        </w:rPr>
        <w:t>8.2 不再招标</w:t>
      </w:r>
      <w:bookmarkEnd w:id="88"/>
    </w:p>
    <w:p w14:paraId="1ED7FC5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highlight w:val="none"/>
        </w:rPr>
      </w:pPr>
      <w:r>
        <w:rPr>
          <w:rFonts w:hint="eastAsia" w:ascii="宋体" w:hAnsi="宋体" w:eastAsia="宋体" w:cs="宋体"/>
          <w:color w:val="000000"/>
          <w:sz w:val="24"/>
          <w:szCs w:val="32"/>
        </w:rPr>
        <w:t>重新招标后，仍出现本章第8.1条规定情形之一的，属于必须审批或核准的工程建设项目，经原审批或核准部门批准后不再进行招标。</w:t>
      </w:r>
    </w:p>
    <w:p w14:paraId="35002458">
      <w:pPr>
        <w:pStyle w:val="4"/>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left="0" w:leftChars="0" w:right="1791" w:firstLine="0" w:firstLineChars="0"/>
        <w:jc w:val="left"/>
        <w:textAlignment w:val="auto"/>
        <w:rPr>
          <w:rFonts w:hint="eastAsia" w:ascii="宋体" w:hAnsi="宋体" w:eastAsia="宋体" w:cs="宋体"/>
          <w:color w:val="000000"/>
          <w:lang w:val="en-US"/>
        </w:rPr>
      </w:pPr>
      <w:bookmarkStart w:id="89" w:name="_Toc4158"/>
      <w:bookmarkStart w:id="90" w:name="_Toc466542541"/>
      <w:bookmarkStart w:id="91" w:name="_Toc466542212"/>
      <w:bookmarkStart w:id="92" w:name="_Toc17185"/>
      <w:r>
        <w:rPr>
          <w:rFonts w:hint="eastAsia" w:ascii="宋体" w:hAnsi="宋体" w:eastAsia="宋体" w:cs="宋体"/>
          <w:color w:val="000000"/>
          <w:lang w:val="en-US"/>
        </w:rPr>
        <w:t>9.  纪律和监督</w:t>
      </w:r>
      <w:bookmarkEnd w:id="89"/>
      <w:bookmarkEnd w:id="90"/>
      <w:bookmarkEnd w:id="91"/>
      <w:bookmarkEnd w:id="92"/>
    </w:p>
    <w:p w14:paraId="78E10CE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z w:val="24"/>
          <w:szCs w:val="32"/>
        </w:rPr>
      </w:pPr>
      <w:bookmarkStart w:id="93" w:name="_Toc31678"/>
      <w:r>
        <w:rPr>
          <w:rFonts w:hint="eastAsia" w:ascii="宋体" w:hAnsi="宋体" w:eastAsia="宋体" w:cs="宋体"/>
          <w:b/>
          <w:bCs/>
          <w:color w:val="000000"/>
          <w:sz w:val="24"/>
          <w:szCs w:val="32"/>
        </w:rPr>
        <w:t>9.1 对招标人的纪律要求</w:t>
      </w:r>
      <w:bookmarkEnd w:id="93"/>
    </w:p>
    <w:p w14:paraId="4E300D3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招标人不得泄露招标投标活动中应当保密的情况和资料，不得与投标人串通损害国家利益、社会公共利益或者他人合法权益。</w:t>
      </w:r>
    </w:p>
    <w:p w14:paraId="70DE5BF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z w:val="24"/>
          <w:szCs w:val="32"/>
        </w:rPr>
      </w:pPr>
      <w:bookmarkStart w:id="94" w:name="_Toc29323"/>
      <w:r>
        <w:rPr>
          <w:rFonts w:hint="eastAsia" w:ascii="宋体" w:hAnsi="宋体" w:eastAsia="宋体" w:cs="宋体"/>
          <w:b/>
          <w:bCs/>
          <w:color w:val="000000"/>
          <w:sz w:val="24"/>
          <w:szCs w:val="32"/>
        </w:rPr>
        <w:t>9.2 对投标人的纪律要求</w:t>
      </w:r>
      <w:bookmarkEnd w:id="94"/>
    </w:p>
    <w:p w14:paraId="6447849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796DCD2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z w:val="24"/>
          <w:szCs w:val="32"/>
        </w:rPr>
      </w:pPr>
      <w:bookmarkStart w:id="95" w:name="_Toc27077"/>
      <w:r>
        <w:rPr>
          <w:rFonts w:hint="eastAsia" w:ascii="宋体" w:hAnsi="宋体" w:eastAsia="宋体" w:cs="宋体"/>
          <w:b/>
          <w:bCs/>
          <w:color w:val="000000"/>
          <w:sz w:val="24"/>
          <w:szCs w:val="32"/>
        </w:rPr>
        <w:t>9.3 对评标委员会成员的纪律要求</w:t>
      </w:r>
      <w:bookmarkEnd w:id="95"/>
    </w:p>
    <w:p w14:paraId="213F9FF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w:t>
      </w:r>
    </w:p>
    <w:p w14:paraId="4B2F4AA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z w:val="24"/>
          <w:szCs w:val="32"/>
        </w:rPr>
      </w:pPr>
      <w:bookmarkStart w:id="96" w:name="_Toc19623"/>
      <w:r>
        <w:rPr>
          <w:rFonts w:hint="eastAsia" w:ascii="宋体" w:hAnsi="宋体" w:eastAsia="宋体" w:cs="宋体"/>
          <w:b/>
          <w:bCs/>
          <w:color w:val="000000"/>
          <w:sz w:val="24"/>
          <w:szCs w:val="32"/>
        </w:rPr>
        <w:t>9.4 对与评标活动有关的工作人员的纪律要求</w:t>
      </w:r>
      <w:bookmarkEnd w:id="96"/>
    </w:p>
    <w:p w14:paraId="5371F01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36A5CD9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z w:val="24"/>
          <w:szCs w:val="32"/>
        </w:rPr>
      </w:pPr>
      <w:bookmarkStart w:id="97" w:name="_Toc30720"/>
      <w:r>
        <w:rPr>
          <w:rFonts w:hint="eastAsia" w:ascii="宋体" w:hAnsi="宋体" w:eastAsia="宋体" w:cs="宋体"/>
          <w:b/>
          <w:bCs/>
          <w:color w:val="000000"/>
          <w:sz w:val="24"/>
          <w:szCs w:val="32"/>
        </w:rPr>
        <w:t>9.5 投诉</w:t>
      </w:r>
      <w:bookmarkEnd w:id="97"/>
    </w:p>
    <w:p w14:paraId="694F714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投标人和其他利害关系人认为本次招标活动违反法律、法规和规章规定的，有权向有关行政监督部门投诉。</w:t>
      </w:r>
    </w:p>
    <w:p w14:paraId="6297F588">
      <w:pPr>
        <w:pStyle w:val="4"/>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left="0" w:leftChars="0" w:right="1791" w:firstLine="0" w:firstLineChars="0"/>
        <w:jc w:val="left"/>
        <w:textAlignment w:val="auto"/>
        <w:rPr>
          <w:rFonts w:hint="eastAsia" w:ascii="宋体" w:hAnsi="宋体" w:eastAsia="宋体" w:cs="宋体"/>
          <w:color w:val="000000"/>
          <w:lang w:val="en-US"/>
        </w:rPr>
      </w:pPr>
      <w:bookmarkStart w:id="98" w:name="_Toc9168"/>
      <w:bookmarkStart w:id="99" w:name="_Toc466542213"/>
      <w:bookmarkStart w:id="100" w:name="_Toc1451"/>
      <w:bookmarkStart w:id="101" w:name="_Toc466542542"/>
      <w:r>
        <w:rPr>
          <w:rFonts w:hint="eastAsia" w:ascii="宋体" w:hAnsi="宋体" w:eastAsia="宋体" w:cs="宋体"/>
          <w:color w:val="000000"/>
          <w:lang w:val="en-US"/>
        </w:rPr>
        <w:t>10. 需要补充的其他内容</w:t>
      </w:r>
      <w:bookmarkEnd w:id="98"/>
      <w:bookmarkEnd w:id="99"/>
      <w:bookmarkEnd w:id="100"/>
      <w:bookmarkEnd w:id="101"/>
    </w:p>
    <w:p w14:paraId="6F2198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需要补充的其他内容：见投标人须知前附表。</w:t>
      </w:r>
    </w:p>
    <w:p w14:paraId="3E9446A0">
      <w:pPr>
        <w:pStyle w:val="3"/>
        <w:bidi w:val="0"/>
        <w:spacing w:line="360" w:lineRule="auto"/>
        <w:jc w:val="both"/>
        <w:rPr>
          <w:rFonts w:hint="eastAsia" w:ascii="宋体" w:hAnsi="宋体" w:eastAsia="宋体" w:cs="宋体"/>
          <w:color w:val="000000"/>
        </w:rPr>
      </w:pPr>
      <w:bookmarkStart w:id="102" w:name="_Toc15293"/>
      <w:bookmarkStart w:id="103" w:name="_Toc297801774"/>
      <w:bookmarkStart w:id="104" w:name="_Toc19702"/>
      <w:r>
        <w:rPr>
          <w:rFonts w:hint="eastAsia" w:ascii="宋体" w:hAnsi="宋体" w:eastAsia="宋体" w:cs="宋体"/>
          <w:color w:val="000000"/>
        </w:rPr>
        <w:t>第三章  评标办法</w:t>
      </w:r>
      <w:bookmarkEnd w:id="102"/>
    </w:p>
    <w:p w14:paraId="14B5594B">
      <w:pPr>
        <w:adjustRightInd w:val="0"/>
        <w:snapToGrid w:val="0"/>
        <w:spacing w:line="360" w:lineRule="auto"/>
        <w:ind w:firstLine="480" w:firstLineChars="200"/>
        <w:rPr>
          <w:rFonts w:hint="eastAsia" w:ascii="宋体" w:hAnsi="宋体" w:eastAsia="宋体" w:cs="宋体"/>
          <w:color w:val="000000"/>
          <w:sz w:val="24"/>
          <w:highlight w:val="none"/>
        </w:rPr>
      </w:pPr>
    </w:p>
    <w:p w14:paraId="2A5C3022">
      <w:pPr>
        <w:adjustRightInd w:val="0"/>
        <w:snapToGrid w:val="0"/>
        <w:spacing w:line="360" w:lineRule="auto"/>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为了规范本项目设计招标的评标工作，保证评标的各项活动做到公平、公正、科学、择优，依照《中华人民共和国招标投标法》和国家有关法规、招标文件的有关规定，制订本评标办法。</w:t>
      </w:r>
    </w:p>
    <w:p w14:paraId="63159429">
      <w:pPr>
        <w:pStyle w:val="4"/>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right="1791" w:firstLine="0" w:firstLineChars="0"/>
        <w:jc w:val="left"/>
        <w:textAlignment w:val="auto"/>
        <w:rPr>
          <w:rFonts w:hint="eastAsia" w:ascii="宋体" w:hAnsi="宋体" w:eastAsia="宋体" w:cs="宋体"/>
          <w:color w:val="000000"/>
          <w:lang w:val="en-US"/>
        </w:rPr>
      </w:pPr>
      <w:bookmarkStart w:id="105" w:name="_Toc28622"/>
      <w:bookmarkStart w:id="106" w:name="_Toc7975"/>
      <w:r>
        <w:rPr>
          <w:rFonts w:hint="eastAsia" w:ascii="宋体" w:hAnsi="宋体" w:eastAsia="宋体" w:cs="宋体"/>
          <w:color w:val="000000"/>
          <w:lang w:val="en-US"/>
        </w:rPr>
        <w:t>一、评标依据</w:t>
      </w:r>
      <w:bookmarkEnd w:id="105"/>
      <w:bookmarkEnd w:id="106"/>
    </w:p>
    <w:p w14:paraId="3004F6BB">
      <w:pPr>
        <w:keepNext w:val="0"/>
        <w:keepLines w:val="0"/>
        <w:pageBreakBefore w:val="0"/>
        <w:widowControl w:val="0"/>
        <w:kinsoku/>
        <w:wordWrap/>
        <w:overflowPunct/>
        <w:topLinePunct w:val="0"/>
        <w:autoSpaceDE/>
        <w:autoSpaceDN/>
        <w:bidi w:val="0"/>
        <w:adjustRightInd w:val="0"/>
        <w:snapToGrid/>
        <w:spacing w:line="360" w:lineRule="auto"/>
        <w:ind w:firstLine="540" w:firstLineChars="225"/>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(1)《中华人民共和国招标投标法》、《广东省实施&lt;招标投标法&gt;办法》、《韶关市工程建设项目招标投标管理暂行规定》；</w:t>
      </w:r>
    </w:p>
    <w:p w14:paraId="6593C91D">
      <w:pPr>
        <w:keepNext w:val="0"/>
        <w:keepLines w:val="0"/>
        <w:pageBreakBefore w:val="0"/>
        <w:widowControl w:val="0"/>
        <w:kinsoku/>
        <w:wordWrap/>
        <w:overflowPunct/>
        <w:topLinePunct w:val="0"/>
        <w:autoSpaceDE/>
        <w:autoSpaceDN/>
        <w:bidi w:val="0"/>
        <w:adjustRightInd w:val="0"/>
        <w:snapToGrid/>
        <w:spacing w:line="360" w:lineRule="auto"/>
        <w:ind w:firstLine="540" w:firstLineChars="225"/>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(2) 水利部14号令《水利工程建设项目招标投标管理规定》；</w:t>
      </w:r>
    </w:p>
    <w:p w14:paraId="53FF2259">
      <w:pPr>
        <w:keepNext w:val="0"/>
        <w:keepLines w:val="0"/>
        <w:pageBreakBefore w:val="0"/>
        <w:widowControl w:val="0"/>
        <w:kinsoku/>
        <w:wordWrap/>
        <w:overflowPunct/>
        <w:topLinePunct w:val="0"/>
        <w:autoSpaceDE/>
        <w:autoSpaceDN/>
        <w:bidi w:val="0"/>
        <w:adjustRightInd w:val="0"/>
        <w:snapToGrid/>
        <w:spacing w:line="360" w:lineRule="auto"/>
        <w:ind w:firstLine="540" w:firstLineChars="225"/>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(3) 国务院办公厅国办发[2000]34号《国务院办公厅印发国务院有关部门实施招标投标活动行政监督职责分工意见的通知》；</w:t>
      </w:r>
    </w:p>
    <w:p w14:paraId="4C6DA622">
      <w:pPr>
        <w:keepNext w:val="0"/>
        <w:keepLines w:val="0"/>
        <w:pageBreakBefore w:val="0"/>
        <w:widowControl w:val="0"/>
        <w:kinsoku/>
        <w:wordWrap/>
        <w:overflowPunct/>
        <w:topLinePunct w:val="0"/>
        <w:autoSpaceDE/>
        <w:autoSpaceDN/>
        <w:bidi w:val="0"/>
        <w:adjustRightInd w:val="0"/>
        <w:snapToGrid/>
        <w:spacing w:line="360" w:lineRule="auto"/>
        <w:ind w:firstLine="540" w:firstLineChars="225"/>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(4) 国家发展计划委员会第3号令《工程建设项目招标范围和规模标准规定》；</w:t>
      </w:r>
    </w:p>
    <w:p w14:paraId="1CE0BDAB">
      <w:pPr>
        <w:keepNext w:val="0"/>
        <w:keepLines w:val="0"/>
        <w:pageBreakBefore w:val="0"/>
        <w:widowControl w:val="0"/>
        <w:kinsoku/>
        <w:wordWrap/>
        <w:overflowPunct/>
        <w:topLinePunct w:val="0"/>
        <w:autoSpaceDE/>
        <w:autoSpaceDN/>
        <w:bidi w:val="0"/>
        <w:adjustRightInd w:val="0"/>
        <w:snapToGrid/>
        <w:spacing w:line="360" w:lineRule="auto"/>
        <w:ind w:firstLine="540" w:firstLineChars="225"/>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(5) 国家计委、水利部等七部委联合颁发的12号令《评标委员会和评标方法暂行规定》；</w:t>
      </w:r>
    </w:p>
    <w:p w14:paraId="032C9BFF">
      <w:pPr>
        <w:keepNext w:val="0"/>
        <w:keepLines w:val="0"/>
        <w:pageBreakBefore w:val="0"/>
        <w:widowControl w:val="0"/>
        <w:kinsoku/>
        <w:wordWrap/>
        <w:overflowPunct/>
        <w:topLinePunct w:val="0"/>
        <w:autoSpaceDE/>
        <w:autoSpaceDN/>
        <w:bidi w:val="0"/>
        <w:adjustRightInd w:val="0"/>
        <w:snapToGrid/>
        <w:spacing w:line="360" w:lineRule="auto"/>
        <w:ind w:firstLine="540" w:firstLineChars="225"/>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(6) 国家计委计政策[2001]1400号《关于进一步贯彻 &lt; 中华人民共和国招标投标法的通知&gt;》；</w:t>
      </w:r>
    </w:p>
    <w:p w14:paraId="404260C1">
      <w:pPr>
        <w:keepNext w:val="0"/>
        <w:keepLines w:val="0"/>
        <w:pageBreakBefore w:val="0"/>
        <w:widowControl w:val="0"/>
        <w:kinsoku/>
        <w:wordWrap/>
        <w:overflowPunct/>
        <w:topLinePunct w:val="0"/>
        <w:autoSpaceDE/>
        <w:autoSpaceDN/>
        <w:bidi w:val="0"/>
        <w:adjustRightInd w:val="0"/>
        <w:snapToGrid/>
        <w:spacing w:line="360" w:lineRule="auto"/>
        <w:ind w:firstLine="540" w:firstLineChars="225"/>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(7)《广东省实施&lt;中华人民共和国招标投标法&gt;办法》；</w:t>
      </w:r>
    </w:p>
    <w:p w14:paraId="019852BE">
      <w:pPr>
        <w:keepNext w:val="0"/>
        <w:keepLines w:val="0"/>
        <w:pageBreakBefore w:val="0"/>
        <w:widowControl w:val="0"/>
        <w:kinsoku/>
        <w:wordWrap/>
        <w:overflowPunct/>
        <w:topLinePunct w:val="0"/>
        <w:autoSpaceDE/>
        <w:autoSpaceDN/>
        <w:bidi w:val="0"/>
        <w:adjustRightInd w:val="0"/>
        <w:snapToGrid/>
        <w:spacing w:line="360" w:lineRule="auto"/>
        <w:ind w:firstLine="540" w:firstLineChars="225"/>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(8) 国家发改委、水利部等八部委联合颁发的2号令《工程建设项目勘察设计招标投标办法》；</w:t>
      </w:r>
    </w:p>
    <w:p w14:paraId="090A60EC">
      <w:pPr>
        <w:keepNext w:val="0"/>
        <w:keepLines w:val="0"/>
        <w:pageBreakBefore w:val="0"/>
        <w:widowControl w:val="0"/>
        <w:kinsoku/>
        <w:wordWrap/>
        <w:overflowPunct/>
        <w:topLinePunct w:val="0"/>
        <w:autoSpaceDE/>
        <w:autoSpaceDN/>
        <w:bidi w:val="0"/>
        <w:adjustRightInd w:val="0"/>
        <w:snapToGrid/>
        <w:spacing w:line="360" w:lineRule="auto"/>
        <w:ind w:firstLine="540" w:firstLineChars="225"/>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(9) 水利部颁发的《水利工程建设项目勘察设计招标投标管理办法》(水总[2004]511号)；</w:t>
      </w:r>
    </w:p>
    <w:p w14:paraId="12A82FD6">
      <w:pPr>
        <w:keepNext w:val="0"/>
        <w:keepLines w:val="0"/>
        <w:pageBreakBefore w:val="0"/>
        <w:widowControl w:val="0"/>
        <w:kinsoku/>
        <w:wordWrap/>
        <w:overflowPunct/>
        <w:topLinePunct w:val="0"/>
        <w:autoSpaceDE/>
        <w:autoSpaceDN/>
        <w:bidi w:val="0"/>
        <w:adjustRightInd w:val="0"/>
        <w:snapToGrid/>
        <w:spacing w:line="360" w:lineRule="auto"/>
        <w:ind w:firstLine="540" w:firstLineChars="225"/>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(10)</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广东省人民政府办公厅颁发的《广东省综合评标评审专家和评标评审专家库管理办法》；</w:t>
      </w:r>
    </w:p>
    <w:p w14:paraId="2D297B9C">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（11）国家和部颁有关技术规范和管理规定；</w:t>
      </w:r>
    </w:p>
    <w:p w14:paraId="5DC956B5">
      <w:pPr>
        <w:keepNext w:val="0"/>
        <w:keepLines w:val="0"/>
        <w:pageBreakBefore w:val="0"/>
        <w:widowControl w:val="0"/>
        <w:kinsoku/>
        <w:wordWrap/>
        <w:overflowPunct/>
        <w:topLinePunct w:val="0"/>
        <w:autoSpaceDE/>
        <w:autoSpaceDN/>
        <w:bidi w:val="0"/>
        <w:adjustRightInd w:val="0"/>
        <w:snapToGrid/>
        <w:spacing w:line="360" w:lineRule="auto"/>
        <w:ind w:firstLine="540" w:firstLineChars="225"/>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(12) 本工程招标文件及其补充通知、招标答疑会的答疑、投标文件的澄清问题书面资料等。</w:t>
      </w:r>
    </w:p>
    <w:p w14:paraId="172A1411">
      <w:pPr>
        <w:pStyle w:val="4"/>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right="1791" w:firstLine="0" w:firstLineChars="0"/>
        <w:jc w:val="left"/>
        <w:textAlignment w:val="auto"/>
        <w:rPr>
          <w:rFonts w:hint="eastAsia" w:ascii="宋体" w:hAnsi="宋体" w:eastAsia="宋体" w:cs="宋体"/>
          <w:color w:val="000000"/>
          <w:lang w:val="en-US"/>
        </w:rPr>
      </w:pPr>
      <w:bookmarkStart w:id="107" w:name="_Toc15014"/>
      <w:bookmarkStart w:id="108" w:name="_Toc10232"/>
      <w:r>
        <w:rPr>
          <w:rFonts w:hint="eastAsia" w:ascii="宋体" w:hAnsi="宋体" w:eastAsia="宋体" w:cs="宋体"/>
          <w:color w:val="000000"/>
          <w:lang w:val="en-US"/>
        </w:rPr>
        <w:t>二、评标委员会的组成</w:t>
      </w:r>
      <w:bookmarkEnd w:id="107"/>
      <w:bookmarkEnd w:id="108"/>
    </w:p>
    <w:p w14:paraId="1B5C8C36">
      <w:pPr>
        <w:adjustRightInd w:val="0"/>
        <w:snapToGrid w:val="0"/>
        <w:spacing w:before="93" w:beforeLines="30" w:after="93" w:afterLines="30" w:line="360" w:lineRule="auto"/>
        <w:ind w:firstLine="540" w:firstLineChars="225"/>
        <w:rPr>
          <w:rFonts w:hint="eastAsia" w:ascii="宋体" w:hAnsi="宋体" w:eastAsia="宋体" w:cs="宋体"/>
          <w:color w:val="000000"/>
          <w:sz w:val="24"/>
          <w:highlight w:val="none"/>
        </w:rPr>
      </w:pPr>
      <w:r>
        <w:rPr>
          <w:rFonts w:hint="eastAsia" w:ascii="宋体" w:hAnsi="宋体" w:eastAsia="宋体" w:cs="宋体"/>
          <w:color w:val="000000"/>
          <w:sz w:val="24"/>
          <w:highlight w:val="none"/>
        </w:rPr>
        <w:t>评标委员会根据国家计委、水利部等七部委12号令规定组建，招标人负责组织工作。评标委员会由有关技术、经济等方面的专家7人组成（经济专家不少于2人，其中招标人代表0人，</w:t>
      </w:r>
      <w:r>
        <w:rPr>
          <w:rFonts w:hint="eastAsia" w:ascii="宋体" w:hAnsi="宋体" w:eastAsia="宋体" w:cs="宋体"/>
          <w:color w:val="auto"/>
          <w:sz w:val="24"/>
          <w:highlight w:val="none"/>
        </w:rPr>
        <w:t>专家7人）</w:t>
      </w:r>
      <w:r>
        <w:rPr>
          <w:rFonts w:hint="eastAsia" w:ascii="宋体" w:hAnsi="宋体" w:eastAsia="宋体" w:cs="宋体"/>
          <w:color w:val="000000"/>
          <w:sz w:val="24"/>
          <w:highlight w:val="none"/>
        </w:rPr>
        <w:t>；评标专家确定方式：开标前招标人从</w:t>
      </w:r>
      <w:r>
        <w:rPr>
          <w:rFonts w:hint="eastAsia" w:ascii="宋体" w:hAnsi="宋体" w:eastAsia="宋体" w:cs="宋体"/>
          <w:b/>
          <w:bCs/>
          <w:color w:val="000000"/>
          <w:sz w:val="24"/>
          <w:highlight w:val="none"/>
        </w:rPr>
        <w:t>广东省综合评标评审专家库-韶关市区域</w:t>
      </w:r>
      <w:r>
        <w:rPr>
          <w:rFonts w:hint="eastAsia" w:ascii="宋体" w:hAnsi="宋体" w:eastAsia="宋体" w:cs="宋体"/>
          <w:b/>
          <w:bCs/>
          <w:color w:val="000000"/>
          <w:sz w:val="24"/>
          <w:highlight w:val="none"/>
          <w:lang w:val="en-US" w:eastAsia="zh-CN"/>
        </w:rPr>
        <w:t>中</w:t>
      </w:r>
      <w:r>
        <w:rPr>
          <w:rFonts w:hint="eastAsia" w:ascii="宋体" w:hAnsi="宋体" w:eastAsia="宋体" w:cs="宋体"/>
          <w:color w:val="000000"/>
          <w:sz w:val="24"/>
          <w:highlight w:val="none"/>
        </w:rPr>
        <w:t>随机抽取。</w:t>
      </w:r>
    </w:p>
    <w:p w14:paraId="5EC54710">
      <w:pPr>
        <w:pStyle w:val="4"/>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right="1791" w:firstLine="0" w:firstLineChars="0"/>
        <w:jc w:val="left"/>
        <w:textAlignment w:val="auto"/>
        <w:rPr>
          <w:rFonts w:hint="eastAsia" w:ascii="宋体" w:hAnsi="宋体" w:eastAsia="宋体" w:cs="宋体"/>
          <w:color w:val="000000"/>
          <w:lang w:val="en-US"/>
        </w:rPr>
      </w:pPr>
      <w:bookmarkStart w:id="109" w:name="_Toc26759"/>
      <w:bookmarkStart w:id="110" w:name="_Toc17618"/>
      <w:r>
        <w:rPr>
          <w:rFonts w:hint="eastAsia" w:ascii="宋体" w:hAnsi="宋体" w:eastAsia="宋体" w:cs="宋体"/>
          <w:color w:val="000000"/>
          <w:lang w:val="en-US"/>
        </w:rPr>
        <w:t>三、评标纪律</w:t>
      </w:r>
      <w:bookmarkEnd w:id="109"/>
      <w:bookmarkEnd w:id="110"/>
    </w:p>
    <w:p w14:paraId="128A433B">
      <w:pPr>
        <w:adjustRightInd w:val="0"/>
        <w:snapToGrid w:val="0"/>
        <w:spacing w:before="93" w:beforeLines="30" w:after="93" w:afterLines="30" w:line="360" w:lineRule="auto"/>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1、参加评标的所有评标委员均不代表原来各自的单位和组织，评标委员的名单在中标结果确定前保密。</w:t>
      </w:r>
    </w:p>
    <w:p w14:paraId="701FB00B">
      <w:pPr>
        <w:pStyle w:val="13"/>
        <w:adjustRightInd w:val="0"/>
        <w:snapToGrid w:val="0"/>
        <w:spacing w:before="93" w:beforeLines="30" w:after="93" w:afterLines="30" w:line="360" w:lineRule="auto"/>
        <w:ind w:firstLine="480" w:firstLineChars="200"/>
        <w:jc w:val="both"/>
        <w:rPr>
          <w:rFonts w:hint="eastAsia" w:ascii="宋体" w:hAnsi="宋体" w:eastAsia="宋体" w:cs="宋体"/>
          <w:color w:val="000000"/>
          <w:highlight w:val="none"/>
        </w:rPr>
      </w:pPr>
      <w:r>
        <w:rPr>
          <w:rFonts w:hint="eastAsia" w:ascii="宋体" w:hAnsi="宋体" w:eastAsia="宋体" w:cs="宋体"/>
          <w:color w:val="000000"/>
          <w:highlight w:val="none"/>
        </w:rPr>
        <w:t>2、评标委员会和与评标活动有关的工作人员不得透露对投标文件的评审和比较、中标候选人的推荐情况以及与评标有关的其它情况。</w:t>
      </w:r>
    </w:p>
    <w:p w14:paraId="709EEA44">
      <w:pPr>
        <w:pStyle w:val="13"/>
        <w:adjustRightInd w:val="0"/>
        <w:snapToGrid w:val="0"/>
        <w:spacing w:before="93" w:beforeLines="30" w:after="93" w:afterLines="30" w:line="360" w:lineRule="auto"/>
        <w:ind w:firstLine="480" w:firstLineChars="200"/>
        <w:jc w:val="both"/>
        <w:rPr>
          <w:rFonts w:hint="eastAsia" w:ascii="宋体" w:hAnsi="宋体" w:eastAsia="宋体" w:cs="宋体"/>
          <w:color w:val="000000"/>
          <w:highlight w:val="none"/>
        </w:rPr>
      </w:pPr>
      <w:r>
        <w:rPr>
          <w:rFonts w:hint="eastAsia" w:ascii="宋体" w:hAnsi="宋体" w:eastAsia="宋体" w:cs="宋体"/>
          <w:color w:val="000000"/>
          <w:highlight w:val="none"/>
        </w:rPr>
        <w:t>所称与评标活动有关的工作人员，是指评标委员会成员以外的因参与评标监督工作或者事务性工作而知悉有关评标情况的所有人员。</w:t>
      </w:r>
    </w:p>
    <w:p w14:paraId="33F6DFB4">
      <w:pPr>
        <w:pStyle w:val="13"/>
        <w:adjustRightInd w:val="0"/>
        <w:snapToGrid w:val="0"/>
        <w:spacing w:before="93" w:beforeLines="30" w:after="93" w:afterLines="30" w:line="360" w:lineRule="auto"/>
        <w:ind w:firstLine="480" w:firstLineChars="200"/>
        <w:jc w:val="both"/>
        <w:rPr>
          <w:rFonts w:hint="eastAsia" w:ascii="宋体" w:hAnsi="宋体" w:eastAsia="宋体" w:cs="宋体"/>
          <w:color w:val="000000"/>
          <w:highlight w:val="none"/>
        </w:rPr>
      </w:pPr>
      <w:r>
        <w:rPr>
          <w:rFonts w:hint="eastAsia" w:ascii="宋体" w:hAnsi="宋体" w:eastAsia="宋体" w:cs="宋体"/>
          <w:color w:val="000000"/>
          <w:highlight w:val="none"/>
        </w:rPr>
        <w:t>3、评标委员会成员应当客观、公正地履行职责，遵守职业道德，不得与任何投标人或者与招标结果有利害关系的人进行私下接触，对所提出的评审意见承担个人责任。</w:t>
      </w:r>
    </w:p>
    <w:p w14:paraId="6028EE71">
      <w:pPr>
        <w:adjustRightInd w:val="0"/>
        <w:snapToGrid w:val="0"/>
        <w:spacing w:before="93" w:beforeLines="30" w:after="93" w:afterLines="30" w:line="360" w:lineRule="auto"/>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4、评标委员应遵循公平、公正、科学、择优、诚实信用的原则，严格按照评标办法、招标文件和国家有关技术规范的规定进行，不得随意修改经评标委员会审议通过的评标办法。</w:t>
      </w:r>
    </w:p>
    <w:p w14:paraId="40CC7E64">
      <w:pPr>
        <w:pStyle w:val="4"/>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right="1791" w:firstLine="0" w:firstLineChars="0"/>
        <w:jc w:val="both"/>
        <w:textAlignment w:val="auto"/>
        <w:rPr>
          <w:rFonts w:hint="eastAsia" w:ascii="宋体" w:hAnsi="宋体" w:eastAsia="宋体" w:cs="宋体"/>
          <w:color w:val="000000"/>
          <w:lang w:val="en-US"/>
        </w:rPr>
      </w:pPr>
      <w:bookmarkStart w:id="111" w:name="_Toc16547"/>
      <w:bookmarkStart w:id="112" w:name="_Toc31045"/>
      <w:r>
        <w:rPr>
          <w:rFonts w:hint="eastAsia" w:ascii="宋体" w:hAnsi="宋体" w:eastAsia="宋体" w:cs="宋体"/>
          <w:color w:val="000000"/>
          <w:lang w:val="en-US"/>
        </w:rPr>
        <w:t>四、评标监督管理</w:t>
      </w:r>
      <w:bookmarkEnd w:id="111"/>
      <w:bookmarkEnd w:id="112"/>
    </w:p>
    <w:p w14:paraId="65B5C0A6">
      <w:pPr>
        <w:adjustRightInd w:val="0"/>
        <w:snapToGrid w:val="0"/>
        <w:spacing w:before="93" w:beforeLines="30" w:after="93" w:afterLines="30" w:line="360" w:lineRule="auto"/>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本次招标评标活动在有关行政主管部门等有关部门的监督下进行。</w:t>
      </w:r>
    </w:p>
    <w:p w14:paraId="4E12FC14">
      <w:pPr>
        <w:pStyle w:val="4"/>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right="1791" w:firstLine="0" w:firstLineChars="0"/>
        <w:jc w:val="left"/>
        <w:textAlignment w:val="auto"/>
        <w:rPr>
          <w:rFonts w:hint="eastAsia" w:ascii="宋体" w:hAnsi="宋体" w:eastAsia="宋体" w:cs="宋体"/>
          <w:color w:val="000000"/>
          <w:lang w:val="en-US"/>
        </w:rPr>
      </w:pPr>
      <w:bookmarkStart w:id="113" w:name="_Toc12003"/>
      <w:bookmarkStart w:id="114" w:name="_Toc25980"/>
      <w:r>
        <w:rPr>
          <w:rFonts w:hint="eastAsia" w:ascii="宋体" w:hAnsi="宋体" w:eastAsia="宋体" w:cs="宋体"/>
          <w:color w:val="000000"/>
          <w:lang w:val="en-US"/>
        </w:rPr>
        <w:t>五、评标程序</w:t>
      </w:r>
      <w:bookmarkEnd w:id="113"/>
      <w:bookmarkEnd w:id="114"/>
    </w:p>
    <w:p w14:paraId="30E51E61">
      <w:pPr>
        <w:spacing w:line="360" w:lineRule="auto"/>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1、评委召开预备会，宣布评标纪律，签订评标保密承诺书，熟悉招标文件，学习评标办法，选举评标委员会主任。</w:t>
      </w:r>
    </w:p>
    <w:p w14:paraId="0834EDD5">
      <w:pPr>
        <w:spacing w:line="460" w:lineRule="exact"/>
        <w:ind w:firstLine="480" w:firstLineChars="200"/>
        <w:rPr>
          <w:rFonts w:hint="eastAsia" w:ascii="宋体" w:hAnsi="宋体" w:eastAsia="宋体" w:cs="宋体"/>
          <w:color w:val="000000"/>
          <w:sz w:val="24"/>
          <w:szCs w:val="22"/>
          <w:highlight w:val="none"/>
        </w:rPr>
      </w:pPr>
      <w:r>
        <w:rPr>
          <w:rFonts w:hint="eastAsia" w:ascii="宋体" w:hAnsi="宋体" w:eastAsia="宋体" w:cs="宋体"/>
          <w:color w:val="000000"/>
          <w:sz w:val="24"/>
          <w:szCs w:val="22"/>
          <w:highlight w:val="none"/>
        </w:rPr>
        <w:t>2、评委在有关监督部门的监督下封闭评标，按照评标方法进行评审。</w:t>
      </w:r>
    </w:p>
    <w:p w14:paraId="0643B457">
      <w:pPr>
        <w:spacing w:line="460" w:lineRule="exact"/>
        <w:ind w:firstLine="480" w:firstLineChars="200"/>
        <w:rPr>
          <w:rFonts w:hint="eastAsia" w:ascii="宋体" w:hAnsi="宋体" w:eastAsia="宋体" w:cs="宋体"/>
          <w:color w:val="000000"/>
          <w:sz w:val="24"/>
          <w:szCs w:val="22"/>
          <w:highlight w:val="none"/>
        </w:rPr>
      </w:pPr>
      <w:r>
        <w:rPr>
          <w:rFonts w:hint="eastAsia" w:ascii="宋体" w:hAnsi="宋体" w:eastAsia="宋体" w:cs="宋体"/>
          <w:color w:val="000000"/>
          <w:sz w:val="24"/>
          <w:szCs w:val="22"/>
          <w:highlight w:val="none"/>
        </w:rPr>
        <w:t>3、对投标人进行初步评审；</w:t>
      </w:r>
    </w:p>
    <w:p w14:paraId="7A0E9B95">
      <w:pPr>
        <w:spacing w:line="460" w:lineRule="exact"/>
        <w:ind w:firstLine="480" w:firstLineChars="200"/>
        <w:rPr>
          <w:rFonts w:hint="eastAsia" w:ascii="宋体" w:hAnsi="宋体" w:eastAsia="宋体" w:cs="宋体"/>
          <w:color w:val="000000"/>
          <w:sz w:val="24"/>
          <w:szCs w:val="22"/>
          <w:highlight w:val="none"/>
        </w:rPr>
      </w:pPr>
      <w:r>
        <w:rPr>
          <w:rFonts w:hint="eastAsia" w:ascii="宋体" w:hAnsi="宋体" w:eastAsia="宋体" w:cs="宋体"/>
          <w:color w:val="000000"/>
          <w:sz w:val="24"/>
          <w:szCs w:val="22"/>
          <w:highlight w:val="none"/>
        </w:rPr>
        <w:t>4、对通过初步评审的投标人的投标文件进行评审；</w:t>
      </w:r>
    </w:p>
    <w:p w14:paraId="0459221C">
      <w:pPr>
        <w:spacing w:line="460" w:lineRule="exact"/>
        <w:ind w:firstLine="480" w:firstLineChars="200"/>
        <w:rPr>
          <w:rFonts w:hint="eastAsia" w:ascii="宋体" w:hAnsi="宋体" w:eastAsia="宋体" w:cs="宋体"/>
          <w:color w:val="000000"/>
          <w:sz w:val="24"/>
          <w:szCs w:val="22"/>
          <w:highlight w:val="none"/>
        </w:rPr>
      </w:pPr>
      <w:r>
        <w:rPr>
          <w:rFonts w:hint="eastAsia" w:ascii="宋体" w:hAnsi="宋体" w:eastAsia="宋体" w:cs="宋体"/>
          <w:color w:val="000000"/>
          <w:sz w:val="24"/>
          <w:szCs w:val="22"/>
          <w:highlight w:val="none"/>
        </w:rPr>
        <w:t>5、确定第一中标候选人、第二中标候选人、第三中标候选人。</w:t>
      </w:r>
    </w:p>
    <w:p w14:paraId="719B880A">
      <w:pPr>
        <w:spacing w:line="460" w:lineRule="exact"/>
        <w:ind w:firstLine="480" w:firstLineChars="200"/>
        <w:rPr>
          <w:rFonts w:hint="eastAsia" w:ascii="宋体" w:hAnsi="宋体" w:eastAsia="宋体" w:cs="宋体"/>
          <w:strike/>
          <w:color w:val="000000"/>
          <w:sz w:val="24"/>
          <w:szCs w:val="22"/>
          <w:highlight w:val="none"/>
        </w:rPr>
      </w:pPr>
    </w:p>
    <w:p w14:paraId="52455DEF">
      <w:pPr>
        <w:pStyle w:val="6"/>
        <w:keepNext w:val="0"/>
        <w:keepLines w:val="0"/>
        <w:pageBreakBefore w:val="0"/>
        <w:widowControl w:val="0"/>
        <w:kinsoku/>
        <w:wordWrap/>
        <w:overflowPunct/>
        <w:topLinePunct w:val="0"/>
        <w:autoSpaceDE/>
        <w:autoSpaceDN/>
        <w:bidi w:val="0"/>
        <w:adjustRightInd w:val="0"/>
        <w:snapToGrid/>
        <w:spacing w:before="157" w:beforeLines="50" w:after="157" w:afterLines="50"/>
        <w:textAlignment w:val="baseline"/>
        <w:outlineLvl w:val="1"/>
        <w:rPr>
          <w:rStyle w:val="19"/>
          <w:rFonts w:hint="eastAsia" w:ascii="宋体" w:hAnsi="宋体" w:eastAsia="宋体" w:cs="宋体"/>
          <w:color w:val="000000"/>
          <w:lang w:val="en-US" w:eastAsia="zh-CN"/>
        </w:rPr>
      </w:pPr>
      <w:r>
        <w:rPr>
          <w:rFonts w:hint="eastAsia" w:ascii="宋体" w:hAnsi="宋体" w:eastAsia="宋体" w:cs="宋体"/>
          <w:color w:val="000000"/>
          <w:szCs w:val="22"/>
          <w:highlight w:val="none"/>
        </w:rPr>
        <w:br w:type="page"/>
      </w:r>
      <w:bookmarkStart w:id="115" w:name="_Toc17518"/>
      <w:bookmarkStart w:id="116" w:name="_Toc27899"/>
      <w:r>
        <w:rPr>
          <w:rStyle w:val="19"/>
          <w:rFonts w:hint="eastAsia" w:ascii="宋体" w:hAnsi="宋体" w:eastAsia="宋体" w:cs="宋体"/>
          <w:color w:val="000000"/>
          <w:lang w:val="en-US" w:eastAsia="zh-CN"/>
        </w:rPr>
        <w:t>六、评标办法前附表</w:t>
      </w:r>
      <w:bookmarkEnd w:id="115"/>
      <w:bookmarkEnd w:id="116"/>
    </w:p>
    <w:tbl>
      <w:tblPr>
        <w:tblStyle w:val="15"/>
        <w:tblW w:w="981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45"/>
        <w:gridCol w:w="1107"/>
        <w:gridCol w:w="841"/>
        <w:gridCol w:w="899"/>
        <w:gridCol w:w="6323"/>
      </w:tblGrid>
      <w:tr w14:paraId="4E9A14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1752" w:type="dxa"/>
            <w:gridSpan w:val="2"/>
            <w:noWrap w:val="0"/>
            <w:vAlign w:val="center"/>
          </w:tcPr>
          <w:p w14:paraId="41265F69">
            <w:pPr>
              <w:pStyle w:val="20"/>
              <w:keepNext w:val="0"/>
              <w:keepLines w:val="0"/>
              <w:pageBreakBefore w:val="0"/>
              <w:widowControl w:val="0"/>
              <w:kinsoku/>
              <w:wordWrap/>
              <w:overflowPunct/>
              <w:topLinePunct w:val="0"/>
              <w:autoSpaceDE/>
              <w:autoSpaceDN/>
              <w:bidi w:val="0"/>
              <w:spacing w:line="500" w:lineRule="exact"/>
              <w:ind w:right="113"/>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条款号</w:t>
            </w:r>
          </w:p>
        </w:tc>
        <w:tc>
          <w:tcPr>
            <w:tcW w:w="1740" w:type="dxa"/>
            <w:gridSpan w:val="2"/>
            <w:noWrap w:val="0"/>
            <w:vAlign w:val="center"/>
          </w:tcPr>
          <w:p w14:paraId="4E15396F">
            <w:pPr>
              <w:pStyle w:val="20"/>
              <w:keepNext w:val="0"/>
              <w:keepLines w:val="0"/>
              <w:pageBreakBefore w:val="0"/>
              <w:widowControl w:val="0"/>
              <w:kinsoku/>
              <w:wordWrap/>
              <w:overflowPunct/>
              <w:topLinePunct w:val="0"/>
              <w:autoSpaceDE/>
              <w:autoSpaceDN/>
              <w:bidi w:val="0"/>
              <w:spacing w:line="500" w:lineRule="exact"/>
              <w:ind w:left="62" w:right="52"/>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评审因素</w:t>
            </w:r>
          </w:p>
        </w:tc>
        <w:tc>
          <w:tcPr>
            <w:tcW w:w="6323" w:type="dxa"/>
            <w:noWrap w:val="0"/>
            <w:vAlign w:val="center"/>
          </w:tcPr>
          <w:p w14:paraId="56286C97">
            <w:pPr>
              <w:pStyle w:val="20"/>
              <w:keepNext w:val="0"/>
              <w:keepLines w:val="0"/>
              <w:pageBreakBefore w:val="0"/>
              <w:widowControl w:val="0"/>
              <w:kinsoku/>
              <w:wordWrap/>
              <w:overflowPunct/>
              <w:topLinePunct w:val="0"/>
              <w:autoSpaceDE/>
              <w:autoSpaceDN/>
              <w:bidi w:val="0"/>
              <w:spacing w:line="500" w:lineRule="exact"/>
              <w:ind w:left="1900" w:right="1890"/>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评审标准</w:t>
            </w:r>
          </w:p>
        </w:tc>
      </w:tr>
      <w:tr w14:paraId="1CFA17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5" w:hRule="atLeast"/>
          <w:jc w:val="center"/>
        </w:trPr>
        <w:tc>
          <w:tcPr>
            <w:tcW w:w="645" w:type="dxa"/>
            <w:noWrap w:val="0"/>
            <w:vAlign w:val="center"/>
          </w:tcPr>
          <w:p w14:paraId="314FEA75">
            <w:pPr>
              <w:pStyle w:val="20"/>
              <w:keepNext w:val="0"/>
              <w:keepLines w:val="0"/>
              <w:pageBreakBefore w:val="0"/>
              <w:widowControl w:val="0"/>
              <w:kinsoku/>
              <w:wordWrap/>
              <w:overflowPunct/>
              <w:topLinePunct w:val="0"/>
              <w:autoSpaceDE/>
              <w:autoSpaceDN/>
              <w:bidi w:val="0"/>
              <w:spacing w:line="500" w:lineRule="exact"/>
              <w:ind w:left="7"/>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1</w:t>
            </w:r>
          </w:p>
        </w:tc>
        <w:tc>
          <w:tcPr>
            <w:tcW w:w="1107" w:type="dxa"/>
            <w:noWrap w:val="0"/>
            <w:vAlign w:val="center"/>
          </w:tcPr>
          <w:p w14:paraId="365B9F52">
            <w:pPr>
              <w:pStyle w:val="20"/>
              <w:keepNext w:val="0"/>
              <w:keepLines w:val="0"/>
              <w:pageBreakBefore w:val="0"/>
              <w:widowControl w:val="0"/>
              <w:kinsoku/>
              <w:wordWrap/>
              <w:overflowPunct/>
              <w:topLinePunct w:val="0"/>
              <w:autoSpaceDE/>
              <w:autoSpaceDN/>
              <w:bidi w:val="0"/>
              <w:spacing w:line="500" w:lineRule="exact"/>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评标方法</w:t>
            </w:r>
          </w:p>
        </w:tc>
        <w:tc>
          <w:tcPr>
            <w:tcW w:w="1740" w:type="dxa"/>
            <w:gridSpan w:val="2"/>
            <w:noWrap w:val="0"/>
            <w:vAlign w:val="center"/>
          </w:tcPr>
          <w:p w14:paraId="510F6741">
            <w:pPr>
              <w:pStyle w:val="20"/>
              <w:keepNext w:val="0"/>
              <w:keepLines w:val="0"/>
              <w:pageBreakBefore w:val="0"/>
              <w:widowControl w:val="0"/>
              <w:kinsoku/>
              <w:wordWrap/>
              <w:overflowPunct/>
              <w:topLinePunct w:val="0"/>
              <w:autoSpaceDE/>
              <w:autoSpaceDN/>
              <w:bidi w:val="0"/>
              <w:spacing w:line="500" w:lineRule="exact"/>
              <w:ind w:left="63" w:right="50"/>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中标候选人排序方法</w:t>
            </w:r>
          </w:p>
        </w:tc>
        <w:tc>
          <w:tcPr>
            <w:tcW w:w="6323" w:type="dxa"/>
            <w:noWrap w:val="0"/>
            <w:vAlign w:val="center"/>
          </w:tcPr>
          <w:p w14:paraId="421800FF">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rPr>
              <w:t>评标委员会根据评标办法对响应招标文件要求的投标文件进行综合评比，提出评标报告，</w:t>
            </w:r>
            <w:r>
              <w:rPr>
                <w:rFonts w:hint="eastAsia" w:ascii="宋体" w:hAnsi="宋体" w:eastAsia="宋体" w:cs="宋体"/>
                <w:color w:val="000000"/>
                <w:sz w:val="24"/>
                <w:highlight w:val="none"/>
              </w:rPr>
              <w:t>按总得分由高至低依次推荐三个中标候选人，并标明推荐顺序。</w:t>
            </w:r>
            <w:r>
              <w:rPr>
                <w:rFonts w:hint="eastAsia" w:ascii="宋体" w:hAnsi="宋体" w:eastAsia="宋体" w:cs="宋体"/>
                <w:color w:val="000000"/>
                <w:kern w:val="0"/>
                <w:sz w:val="24"/>
                <w:highlight w:val="none"/>
              </w:rPr>
              <w:t>如果出现两个或两个以上投标人得分相同且为最高分，则由评标委员会按照少数服从多数的原则投票决定中标候选顺序。</w:t>
            </w:r>
          </w:p>
        </w:tc>
      </w:tr>
      <w:tr w14:paraId="17211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1" w:hRule="atLeast"/>
          <w:jc w:val="center"/>
        </w:trPr>
        <w:tc>
          <w:tcPr>
            <w:tcW w:w="645" w:type="dxa"/>
            <w:vMerge w:val="restart"/>
            <w:noWrap w:val="0"/>
            <w:vAlign w:val="center"/>
          </w:tcPr>
          <w:p w14:paraId="1AF5B41F">
            <w:pPr>
              <w:pStyle w:val="20"/>
              <w:keepNext w:val="0"/>
              <w:keepLines w:val="0"/>
              <w:pageBreakBefore w:val="0"/>
              <w:widowControl w:val="0"/>
              <w:kinsoku/>
              <w:wordWrap/>
              <w:overflowPunct/>
              <w:topLinePunct w:val="0"/>
              <w:autoSpaceDE/>
              <w:autoSpaceDN/>
              <w:bidi w:val="0"/>
              <w:spacing w:line="500" w:lineRule="exact"/>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2.1.1</w:t>
            </w:r>
          </w:p>
        </w:tc>
        <w:tc>
          <w:tcPr>
            <w:tcW w:w="1107" w:type="dxa"/>
            <w:vMerge w:val="restart"/>
            <w:noWrap w:val="0"/>
            <w:vAlign w:val="center"/>
          </w:tcPr>
          <w:p w14:paraId="538E4789">
            <w:pPr>
              <w:pStyle w:val="20"/>
              <w:keepNext w:val="0"/>
              <w:keepLines w:val="0"/>
              <w:pageBreakBefore w:val="0"/>
              <w:widowControl w:val="0"/>
              <w:kinsoku/>
              <w:wordWrap/>
              <w:overflowPunct/>
              <w:topLinePunct w:val="0"/>
              <w:autoSpaceDE/>
              <w:autoSpaceDN/>
              <w:bidi w:val="0"/>
              <w:spacing w:line="500" w:lineRule="exact"/>
              <w:ind w:left="230" w:right="127" w:hanging="89"/>
              <w:rPr>
                <w:rFonts w:hint="eastAsia" w:ascii="宋体" w:hAnsi="宋体" w:eastAsia="宋体" w:cs="宋体"/>
                <w:color w:val="000000"/>
                <w:sz w:val="24"/>
                <w:highlight w:val="none"/>
              </w:rPr>
            </w:pPr>
            <w:r>
              <w:rPr>
                <w:rFonts w:hint="eastAsia" w:ascii="宋体" w:hAnsi="宋体" w:eastAsia="宋体" w:cs="宋体"/>
                <w:color w:val="000000"/>
                <w:sz w:val="24"/>
                <w:highlight w:val="none"/>
              </w:rPr>
              <w:t>形式评审标准</w:t>
            </w:r>
          </w:p>
        </w:tc>
        <w:tc>
          <w:tcPr>
            <w:tcW w:w="1740" w:type="dxa"/>
            <w:gridSpan w:val="2"/>
            <w:noWrap w:val="0"/>
            <w:vAlign w:val="center"/>
          </w:tcPr>
          <w:p w14:paraId="2316B493">
            <w:pPr>
              <w:pStyle w:val="20"/>
              <w:keepNext w:val="0"/>
              <w:keepLines w:val="0"/>
              <w:pageBreakBefore w:val="0"/>
              <w:widowControl w:val="0"/>
              <w:kinsoku/>
              <w:wordWrap/>
              <w:overflowPunct/>
              <w:topLinePunct w:val="0"/>
              <w:autoSpaceDE/>
              <w:autoSpaceDN/>
              <w:bidi w:val="0"/>
              <w:spacing w:line="500" w:lineRule="exact"/>
              <w:ind w:left="63" w:right="50"/>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投标人名称</w:t>
            </w:r>
          </w:p>
        </w:tc>
        <w:tc>
          <w:tcPr>
            <w:tcW w:w="6323" w:type="dxa"/>
            <w:noWrap w:val="0"/>
            <w:vAlign w:val="center"/>
          </w:tcPr>
          <w:p w14:paraId="7FD57704">
            <w:pPr>
              <w:pStyle w:val="20"/>
              <w:keepNext w:val="0"/>
              <w:keepLines w:val="0"/>
              <w:pageBreakBefore w:val="0"/>
              <w:widowControl w:val="0"/>
              <w:kinsoku/>
              <w:wordWrap/>
              <w:overflowPunct/>
              <w:topLinePunct w:val="0"/>
              <w:autoSpaceDE/>
              <w:autoSpaceDN/>
              <w:bidi w:val="0"/>
              <w:spacing w:line="500" w:lineRule="exact"/>
              <w:ind w:left="108"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与营业执照、资质证书一致</w:t>
            </w:r>
          </w:p>
        </w:tc>
      </w:tr>
      <w:tr w14:paraId="5AAC79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5" w:hRule="atLeast"/>
          <w:jc w:val="center"/>
        </w:trPr>
        <w:tc>
          <w:tcPr>
            <w:tcW w:w="645" w:type="dxa"/>
            <w:vMerge w:val="continue"/>
            <w:noWrap w:val="0"/>
            <w:vAlign w:val="center"/>
          </w:tcPr>
          <w:p w14:paraId="030C9E61">
            <w:pPr>
              <w:pStyle w:val="20"/>
              <w:keepNext w:val="0"/>
              <w:keepLines w:val="0"/>
              <w:pageBreakBefore w:val="0"/>
              <w:widowControl w:val="0"/>
              <w:kinsoku/>
              <w:wordWrap/>
              <w:overflowPunct/>
              <w:topLinePunct w:val="0"/>
              <w:autoSpaceDE/>
              <w:autoSpaceDN/>
              <w:bidi w:val="0"/>
              <w:spacing w:line="500" w:lineRule="exact"/>
              <w:ind w:left="239"/>
              <w:jc w:val="center"/>
              <w:rPr>
                <w:rFonts w:hint="eastAsia" w:ascii="宋体" w:hAnsi="宋体" w:eastAsia="宋体" w:cs="宋体"/>
                <w:color w:val="000000"/>
                <w:sz w:val="24"/>
                <w:highlight w:val="none"/>
              </w:rPr>
            </w:pPr>
          </w:p>
        </w:tc>
        <w:tc>
          <w:tcPr>
            <w:tcW w:w="1107" w:type="dxa"/>
            <w:vMerge w:val="continue"/>
            <w:noWrap w:val="0"/>
            <w:vAlign w:val="center"/>
          </w:tcPr>
          <w:p w14:paraId="00A449F6">
            <w:pPr>
              <w:pStyle w:val="20"/>
              <w:keepNext w:val="0"/>
              <w:keepLines w:val="0"/>
              <w:pageBreakBefore w:val="0"/>
              <w:widowControl w:val="0"/>
              <w:kinsoku/>
              <w:wordWrap/>
              <w:overflowPunct/>
              <w:topLinePunct w:val="0"/>
              <w:autoSpaceDE/>
              <w:autoSpaceDN/>
              <w:bidi w:val="0"/>
              <w:spacing w:line="500" w:lineRule="exact"/>
              <w:ind w:left="230" w:right="127" w:hanging="89"/>
              <w:rPr>
                <w:rFonts w:hint="eastAsia" w:ascii="宋体" w:hAnsi="宋体" w:eastAsia="宋体" w:cs="宋体"/>
                <w:color w:val="000000"/>
                <w:sz w:val="24"/>
                <w:highlight w:val="none"/>
              </w:rPr>
            </w:pPr>
          </w:p>
        </w:tc>
        <w:tc>
          <w:tcPr>
            <w:tcW w:w="1740" w:type="dxa"/>
            <w:gridSpan w:val="2"/>
            <w:noWrap w:val="0"/>
            <w:vAlign w:val="top"/>
          </w:tcPr>
          <w:p w14:paraId="5DFCF6D5">
            <w:pPr>
              <w:pStyle w:val="20"/>
              <w:keepNext w:val="0"/>
              <w:keepLines w:val="0"/>
              <w:pageBreakBefore w:val="0"/>
              <w:widowControl w:val="0"/>
              <w:kinsoku/>
              <w:wordWrap/>
              <w:overflowPunct/>
              <w:topLinePunct w:val="0"/>
              <w:autoSpaceDE/>
              <w:autoSpaceDN/>
              <w:bidi w:val="0"/>
              <w:spacing w:line="500" w:lineRule="exact"/>
              <w:ind w:left="63" w:right="50"/>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投标文件的签字盖章</w:t>
            </w:r>
          </w:p>
        </w:tc>
        <w:tc>
          <w:tcPr>
            <w:tcW w:w="6323" w:type="dxa"/>
            <w:noWrap w:val="0"/>
            <w:vAlign w:val="center"/>
          </w:tcPr>
          <w:p w14:paraId="4EECB3A8">
            <w:pPr>
              <w:pStyle w:val="20"/>
              <w:keepNext w:val="0"/>
              <w:keepLines w:val="0"/>
              <w:pageBreakBefore w:val="0"/>
              <w:widowControl w:val="0"/>
              <w:kinsoku/>
              <w:wordWrap/>
              <w:overflowPunct/>
              <w:topLinePunct w:val="0"/>
              <w:autoSpaceDE/>
              <w:autoSpaceDN/>
              <w:bidi w:val="0"/>
              <w:spacing w:line="500" w:lineRule="exact"/>
              <w:ind w:left="108"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符合第二章“投标人须知”第 </w:t>
            </w:r>
            <w:r>
              <w:rPr>
                <w:rFonts w:hint="eastAsia" w:ascii="宋体" w:hAnsi="宋体" w:eastAsia="宋体" w:cs="宋体"/>
                <w:color w:val="000000"/>
                <w:sz w:val="24"/>
                <w:highlight w:val="none"/>
                <w:lang w:val="en-US"/>
              </w:rPr>
              <w:t>3</w:t>
            </w:r>
            <w:r>
              <w:rPr>
                <w:rFonts w:hint="eastAsia" w:ascii="宋体" w:hAnsi="宋体" w:eastAsia="宋体" w:cs="宋体"/>
                <w:color w:val="000000"/>
                <w:sz w:val="24"/>
                <w:highlight w:val="none"/>
              </w:rPr>
              <w:t>.</w:t>
            </w:r>
            <w:r>
              <w:rPr>
                <w:rFonts w:hint="eastAsia" w:ascii="宋体" w:hAnsi="宋体" w:eastAsia="宋体" w:cs="宋体"/>
                <w:color w:val="000000"/>
                <w:sz w:val="24"/>
                <w:highlight w:val="none"/>
                <w:lang w:val="en-US"/>
              </w:rPr>
              <w:t>7</w:t>
            </w:r>
            <w:r>
              <w:rPr>
                <w:rFonts w:hint="eastAsia" w:ascii="宋体" w:hAnsi="宋体" w:eastAsia="宋体" w:cs="宋体"/>
                <w:color w:val="000000"/>
                <w:sz w:val="24"/>
                <w:highlight w:val="none"/>
              </w:rPr>
              <w:t>.</w:t>
            </w:r>
            <w:r>
              <w:rPr>
                <w:rFonts w:hint="eastAsia" w:ascii="宋体" w:hAnsi="宋体" w:eastAsia="宋体" w:cs="宋体"/>
                <w:color w:val="000000"/>
                <w:sz w:val="24"/>
                <w:highlight w:val="none"/>
                <w:lang w:val="en-US"/>
              </w:rPr>
              <w:t>2</w:t>
            </w:r>
            <w:r>
              <w:rPr>
                <w:rFonts w:hint="eastAsia" w:ascii="宋体" w:hAnsi="宋体" w:eastAsia="宋体" w:cs="宋体"/>
                <w:color w:val="000000"/>
                <w:sz w:val="24"/>
                <w:highlight w:val="none"/>
              </w:rPr>
              <w:t xml:space="preserve"> 项规定</w:t>
            </w:r>
          </w:p>
        </w:tc>
      </w:tr>
      <w:tr w14:paraId="4C468F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jc w:val="center"/>
        </w:trPr>
        <w:tc>
          <w:tcPr>
            <w:tcW w:w="645" w:type="dxa"/>
            <w:vMerge w:val="continue"/>
            <w:tcBorders>
              <w:top w:val="nil"/>
            </w:tcBorders>
            <w:noWrap w:val="0"/>
            <w:vAlign w:val="center"/>
          </w:tcPr>
          <w:p w14:paraId="5BEB14D7">
            <w:pPr>
              <w:keepNext w:val="0"/>
              <w:keepLines w:val="0"/>
              <w:pageBreakBefore w:val="0"/>
              <w:widowControl w:val="0"/>
              <w:kinsoku/>
              <w:wordWrap/>
              <w:overflowPunct/>
              <w:topLinePunct w:val="0"/>
              <w:autoSpaceDE/>
              <w:autoSpaceDN/>
              <w:bidi w:val="0"/>
              <w:spacing w:line="500" w:lineRule="exact"/>
              <w:jc w:val="center"/>
              <w:rPr>
                <w:rFonts w:hint="eastAsia" w:ascii="宋体" w:hAnsi="宋体" w:eastAsia="宋体" w:cs="宋体"/>
                <w:color w:val="000000"/>
                <w:sz w:val="24"/>
                <w:highlight w:val="none"/>
              </w:rPr>
            </w:pPr>
          </w:p>
        </w:tc>
        <w:tc>
          <w:tcPr>
            <w:tcW w:w="1107" w:type="dxa"/>
            <w:vMerge w:val="continue"/>
            <w:tcBorders>
              <w:top w:val="nil"/>
            </w:tcBorders>
            <w:noWrap w:val="0"/>
            <w:vAlign w:val="center"/>
          </w:tcPr>
          <w:p w14:paraId="3FC767ED">
            <w:pPr>
              <w:keepNext w:val="0"/>
              <w:keepLines w:val="0"/>
              <w:pageBreakBefore w:val="0"/>
              <w:widowControl w:val="0"/>
              <w:kinsoku/>
              <w:wordWrap/>
              <w:overflowPunct/>
              <w:topLinePunct w:val="0"/>
              <w:autoSpaceDE/>
              <w:autoSpaceDN/>
              <w:bidi w:val="0"/>
              <w:spacing w:line="500" w:lineRule="exact"/>
              <w:rPr>
                <w:rFonts w:hint="eastAsia" w:ascii="宋体" w:hAnsi="宋体" w:eastAsia="宋体" w:cs="宋体"/>
                <w:color w:val="000000"/>
                <w:sz w:val="24"/>
                <w:highlight w:val="none"/>
              </w:rPr>
            </w:pPr>
          </w:p>
        </w:tc>
        <w:tc>
          <w:tcPr>
            <w:tcW w:w="1740" w:type="dxa"/>
            <w:gridSpan w:val="2"/>
            <w:noWrap w:val="0"/>
            <w:vAlign w:val="center"/>
          </w:tcPr>
          <w:p w14:paraId="0C294599">
            <w:pPr>
              <w:pStyle w:val="20"/>
              <w:keepNext w:val="0"/>
              <w:keepLines w:val="0"/>
              <w:pageBreakBefore w:val="0"/>
              <w:widowControl w:val="0"/>
              <w:kinsoku/>
              <w:wordWrap/>
              <w:overflowPunct/>
              <w:topLinePunct w:val="0"/>
              <w:autoSpaceDE/>
              <w:autoSpaceDN/>
              <w:bidi w:val="0"/>
              <w:spacing w:line="500" w:lineRule="exact"/>
              <w:ind w:left="62" w:right="52"/>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投标文件格式</w:t>
            </w:r>
          </w:p>
        </w:tc>
        <w:tc>
          <w:tcPr>
            <w:tcW w:w="6323" w:type="dxa"/>
            <w:noWrap w:val="0"/>
            <w:vAlign w:val="center"/>
          </w:tcPr>
          <w:p w14:paraId="50D2B797">
            <w:pPr>
              <w:pStyle w:val="20"/>
              <w:keepNext w:val="0"/>
              <w:keepLines w:val="0"/>
              <w:pageBreakBefore w:val="0"/>
              <w:widowControl w:val="0"/>
              <w:kinsoku/>
              <w:wordWrap/>
              <w:overflowPunct/>
              <w:topLinePunct w:val="0"/>
              <w:autoSpaceDE/>
              <w:autoSpaceDN/>
              <w:bidi w:val="0"/>
              <w:spacing w:line="500" w:lineRule="exact"/>
              <w:ind w:left="108"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符合第六章“投标文件格式”的规定</w:t>
            </w:r>
          </w:p>
        </w:tc>
      </w:tr>
      <w:tr w14:paraId="45385F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jc w:val="center"/>
        </w:trPr>
        <w:tc>
          <w:tcPr>
            <w:tcW w:w="645" w:type="dxa"/>
            <w:vMerge w:val="restart"/>
            <w:noWrap w:val="0"/>
            <w:vAlign w:val="center"/>
          </w:tcPr>
          <w:p w14:paraId="16DB20D6">
            <w:pPr>
              <w:pStyle w:val="20"/>
              <w:keepNext w:val="0"/>
              <w:keepLines w:val="0"/>
              <w:pageBreakBefore w:val="0"/>
              <w:widowControl w:val="0"/>
              <w:kinsoku/>
              <w:wordWrap/>
              <w:overflowPunct/>
              <w:topLinePunct w:val="0"/>
              <w:autoSpaceDE/>
              <w:autoSpaceDN/>
              <w:bidi w:val="0"/>
              <w:spacing w:line="500" w:lineRule="exact"/>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2.1.2</w:t>
            </w:r>
          </w:p>
        </w:tc>
        <w:tc>
          <w:tcPr>
            <w:tcW w:w="1107" w:type="dxa"/>
            <w:vMerge w:val="restart"/>
            <w:noWrap w:val="0"/>
            <w:vAlign w:val="center"/>
          </w:tcPr>
          <w:p w14:paraId="4366B974">
            <w:pPr>
              <w:pStyle w:val="20"/>
              <w:keepNext w:val="0"/>
              <w:keepLines w:val="0"/>
              <w:pageBreakBefore w:val="0"/>
              <w:widowControl w:val="0"/>
              <w:kinsoku/>
              <w:wordWrap/>
              <w:overflowPunct/>
              <w:topLinePunct w:val="0"/>
              <w:autoSpaceDE/>
              <w:autoSpaceDN/>
              <w:bidi w:val="0"/>
              <w:spacing w:line="500" w:lineRule="exact"/>
              <w:ind w:left="230" w:right="127" w:hanging="89"/>
              <w:rPr>
                <w:rFonts w:hint="eastAsia" w:ascii="宋体" w:hAnsi="宋体" w:eastAsia="宋体" w:cs="宋体"/>
                <w:color w:val="000000"/>
                <w:sz w:val="24"/>
                <w:highlight w:val="none"/>
              </w:rPr>
            </w:pPr>
            <w:r>
              <w:rPr>
                <w:rFonts w:hint="eastAsia" w:ascii="宋体" w:hAnsi="宋体" w:eastAsia="宋体" w:cs="宋体"/>
                <w:color w:val="000000"/>
                <w:sz w:val="24"/>
                <w:highlight w:val="none"/>
              </w:rPr>
              <w:t>资格评审标准</w:t>
            </w:r>
          </w:p>
        </w:tc>
        <w:tc>
          <w:tcPr>
            <w:tcW w:w="1740" w:type="dxa"/>
            <w:gridSpan w:val="2"/>
            <w:noWrap w:val="0"/>
            <w:vAlign w:val="center"/>
          </w:tcPr>
          <w:p w14:paraId="092FD739">
            <w:pPr>
              <w:pStyle w:val="20"/>
              <w:keepNext w:val="0"/>
              <w:keepLines w:val="0"/>
              <w:pageBreakBefore w:val="0"/>
              <w:widowControl w:val="0"/>
              <w:kinsoku/>
              <w:wordWrap/>
              <w:overflowPunct/>
              <w:topLinePunct w:val="0"/>
              <w:autoSpaceDE/>
              <w:autoSpaceDN/>
              <w:bidi w:val="0"/>
              <w:spacing w:line="500" w:lineRule="exact"/>
              <w:ind w:left="1027" w:right="175" w:hanging="841"/>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营业执照</w:t>
            </w:r>
          </w:p>
        </w:tc>
        <w:tc>
          <w:tcPr>
            <w:tcW w:w="6323" w:type="dxa"/>
            <w:noWrap w:val="0"/>
            <w:vAlign w:val="center"/>
          </w:tcPr>
          <w:p w14:paraId="2335FFE4">
            <w:pPr>
              <w:pStyle w:val="20"/>
              <w:keepNext w:val="0"/>
              <w:keepLines w:val="0"/>
              <w:pageBreakBefore w:val="0"/>
              <w:widowControl w:val="0"/>
              <w:kinsoku/>
              <w:wordWrap/>
              <w:overflowPunct/>
              <w:topLinePunct w:val="0"/>
              <w:autoSpaceDE/>
              <w:autoSpaceDN/>
              <w:bidi w:val="0"/>
              <w:spacing w:line="500" w:lineRule="exact"/>
              <w:ind w:left="108" w:right="41"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具备有效的营业执照</w:t>
            </w:r>
          </w:p>
        </w:tc>
      </w:tr>
      <w:tr w14:paraId="4E1DD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jc w:val="center"/>
        </w:trPr>
        <w:tc>
          <w:tcPr>
            <w:tcW w:w="645" w:type="dxa"/>
            <w:vMerge w:val="continue"/>
            <w:noWrap w:val="0"/>
            <w:vAlign w:val="center"/>
          </w:tcPr>
          <w:p w14:paraId="245D3E2B">
            <w:pPr>
              <w:keepNext w:val="0"/>
              <w:keepLines w:val="0"/>
              <w:pageBreakBefore w:val="0"/>
              <w:widowControl w:val="0"/>
              <w:kinsoku/>
              <w:wordWrap/>
              <w:overflowPunct/>
              <w:topLinePunct w:val="0"/>
              <w:autoSpaceDE/>
              <w:autoSpaceDN/>
              <w:bidi w:val="0"/>
              <w:spacing w:line="500" w:lineRule="exact"/>
              <w:jc w:val="center"/>
              <w:rPr>
                <w:rFonts w:hint="eastAsia" w:ascii="宋体" w:hAnsi="宋体" w:eastAsia="宋体" w:cs="宋体"/>
                <w:color w:val="000000"/>
                <w:sz w:val="24"/>
                <w:highlight w:val="none"/>
              </w:rPr>
            </w:pPr>
          </w:p>
        </w:tc>
        <w:tc>
          <w:tcPr>
            <w:tcW w:w="1107" w:type="dxa"/>
            <w:vMerge w:val="continue"/>
            <w:noWrap w:val="0"/>
            <w:vAlign w:val="center"/>
          </w:tcPr>
          <w:p w14:paraId="09A71513">
            <w:pPr>
              <w:keepNext w:val="0"/>
              <w:keepLines w:val="0"/>
              <w:pageBreakBefore w:val="0"/>
              <w:widowControl w:val="0"/>
              <w:kinsoku/>
              <w:wordWrap/>
              <w:overflowPunct/>
              <w:topLinePunct w:val="0"/>
              <w:autoSpaceDE/>
              <w:autoSpaceDN/>
              <w:bidi w:val="0"/>
              <w:spacing w:line="500" w:lineRule="exact"/>
              <w:rPr>
                <w:rFonts w:hint="eastAsia" w:ascii="宋体" w:hAnsi="宋体" w:eastAsia="宋体" w:cs="宋体"/>
                <w:color w:val="000000"/>
                <w:sz w:val="24"/>
                <w:highlight w:val="none"/>
              </w:rPr>
            </w:pPr>
          </w:p>
        </w:tc>
        <w:tc>
          <w:tcPr>
            <w:tcW w:w="1740" w:type="dxa"/>
            <w:gridSpan w:val="2"/>
            <w:noWrap w:val="0"/>
            <w:vAlign w:val="center"/>
          </w:tcPr>
          <w:p w14:paraId="753B8BF7">
            <w:pPr>
              <w:pStyle w:val="20"/>
              <w:keepNext w:val="0"/>
              <w:keepLines w:val="0"/>
              <w:pageBreakBefore w:val="0"/>
              <w:widowControl w:val="0"/>
              <w:kinsoku/>
              <w:wordWrap/>
              <w:overflowPunct/>
              <w:topLinePunct w:val="0"/>
              <w:autoSpaceDE/>
              <w:autoSpaceDN/>
              <w:bidi w:val="0"/>
              <w:spacing w:line="500" w:lineRule="exact"/>
              <w:ind w:left="63" w:right="50"/>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资质要求</w:t>
            </w:r>
          </w:p>
        </w:tc>
        <w:tc>
          <w:tcPr>
            <w:tcW w:w="6323" w:type="dxa"/>
            <w:noWrap w:val="0"/>
            <w:vAlign w:val="center"/>
          </w:tcPr>
          <w:p w14:paraId="5BCDE041">
            <w:pPr>
              <w:pStyle w:val="20"/>
              <w:keepNext w:val="0"/>
              <w:keepLines w:val="0"/>
              <w:pageBreakBefore w:val="0"/>
              <w:widowControl w:val="0"/>
              <w:kinsoku/>
              <w:wordWrap/>
              <w:overflowPunct/>
              <w:topLinePunct w:val="0"/>
              <w:autoSpaceDE/>
              <w:autoSpaceDN/>
              <w:bidi w:val="0"/>
              <w:spacing w:line="500" w:lineRule="exact"/>
              <w:ind w:left="108"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符合第二章“投标人须知”第 1.4.1 项规定</w:t>
            </w:r>
          </w:p>
        </w:tc>
      </w:tr>
      <w:tr w14:paraId="46BDBF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jc w:val="center"/>
        </w:trPr>
        <w:tc>
          <w:tcPr>
            <w:tcW w:w="645" w:type="dxa"/>
            <w:vMerge w:val="continue"/>
            <w:noWrap w:val="0"/>
            <w:vAlign w:val="center"/>
          </w:tcPr>
          <w:p w14:paraId="3EDB888B">
            <w:pPr>
              <w:keepNext w:val="0"/>
              <w:keepLines w:val="0"/>
              <w:pageBreakBefore w:val="0"/>
              <w:widowControl w:val="0"/>
              <w:kinsoku/>
              <w:wordWrap/>
              <w:overflowPunct/>
              <w:topLinePunct w:val="0"/>
              <w:autoSpaceDE/>
              <w:autoSpaceDN/>
              <w:bidi w:val="0"/>
              <w:spacing w:line="500" w:lineRule="exact"/>
              <w:jc w:val="center"/>
              <w:rPr>
                <w:rFonts w:hint="eastAsia" w:ascii="宋体" w:hAnsi="宋体" w:eastAsia="宋体" w:cs="宋体"/>
                <w:color w:val="000000"/>
                <w:sz w:val="24"/>
                <w:highlight w:val="none"/>
              </w:rPr>
            </w:pPr>
          </w:p>
        </w:tc>
        <w:tc>
          <w:tcPr>
            <w:tcW w:w="1107" w:type="dxa"/>
            <w:vMerge w:val="continue"/>
            <w:noWrap w:val="0"/>
            <w:vAlign w:val="center"/>
          </w:tcPr>
          <w:p w14:paraId="38F8A154">
            <w:pPr>
              <w:keepNext w:val="0"/>
              <w:keepLines w:val="0"/>
              <w:pageBreakBefore w:val="0"/>
              <w:widowControl w:val="0"/>
              <w:kinsoku/>
              <w:wordWrap/>
              <w:overflowPunct/>
              <w:topLinePunct w:val="0"/>
              <w:autoSpaceDE/>
              <w:autoSpaceDN/>
              <w:bidi w:val="0"/>
              <w:spacing w:line="500" w:lineRule="exact"/>
              <w:rPr>
                <w:rFonts w:hint="eastAsia" w:ascii="宋体" w:hAnsi="宋体" w:eastAsia="宋体" w:cs="宋体"/>
                <w:color w:val="000000"/>
                <w:sz w:val="24"/>
                <w:highlight w:val="none"/>
              </w:rPr>
            </w:pPr>
          </w:p>
        </w:tc>
        <w:tc>
          <w:tcPr>
            <w:tcW w:w="1740" w:type="dxa"/>
            <w:gridSpan w:val="2"/>
            <w:noWrap w:val="0"/>
            <w:vAlign w:val="center"/>
          </w:tcPr>
          <w:p w14:paraId="3709669E">
            <w:pPr>
              <w:pStyle w:val="20"/>
              <w:keepNext w:val="0"/>
              <w:keepLines w:val="0"/>
              <w:pageBreakBefore w:val="0"/>
              <w:widowControl w:val="0"/>
              <w:kinsoku/>
              <w:wordWrap/>
              <w:overflowPunct/>
              <w:topLinePunct w:val="0"/>
              <w:autoSpaceDE/>
              <w:autoSpaceDN/>
              <w:bidi w:val="0"/>
              <w:spacing w:line="500" w:lineRule="exact"/>
              <w:ind w:left="63" w:right="50"/>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信誉要求</w:t>
            </w:r>
          </w:p>
        </w:tc>
        <w:tc>
          <w:tcPr>
            <w:tcW w:w="6323" w:type="dxa"/>
            <w:noWrap w:val="0"/>
            <w:vAlign w:val="center"/>
          </w:tcPr>
          <w:p w14:paraId="79E15DEE">
            <w:pPr>
              <w:pStyle w:val="20"/>
              <w:keepNext w:val="0"/>
              <w:keepLines w:val="0"/>
              <w:pageBreakBefore w:val="0"/>
              <w:widowControl w:val="0"/>
              <w:kinsoku/>
              <w:wordWrap/>
              <w:overflowPunct/>
              <w:topLinePunct w:val="0"/>
              <w:autoSpaceDE/>
              <w:autoSpaceDN/>
              <w:bidi w:val="0"/>
              <w:spacing w:line="500" w:lineRule="exact"/>
              <w:ind w:left="108"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符合第二章“投标人须知”第 1.4.1 项规定</w:t>
            </w:r>
          </w:p>
        </w:tc>
      </w:tr>
      <w:tr w14:paraId="12BDBA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8" w:hRule="atLeast"/>
          <w:jc w:val="center"/>
        </w:trPr>
        <w:tc>
          <w:tcPr>
            <w:tcW w:w="645" w:type="dxa"/>
            <w:vMerge w:val="continue"/>
            <w:noWrap w:val="0"/>
            <w:vAlign w:val="center"/>
          </w:tcPr>
          <w:p w14:paraId="64A490C0">
            <w:pPr>
              <w:keepNext w:val="0"/>
              <w:keepLines w:val="0"/>
              <w:pageBreakBefore w:val="0"/>
              <w:widowControl w:val="0"/>
              <w:kinsoku/>
              <w:wordWrap/>
              <w:overflowPunct/>
              <w:topLinePunct w:val="0"/>
              <w:autoSpaceDE/>
              <w:autoSpaceDN/>
              <w:bidi w:val="0"/>
              <w:spacing w:line="500" w:lineRule="exact"/>
              <w:jc w:val="center"/>
              <w:rPr>
                <w:rFonts w:hint="eastAsia" w:ascii="宋体" w:hAnsi="宋体" w:eastAsia="宋体" w:cs="宋体"/>
                <w:color w:val="000000"/>
                <w:sz w:val="24"/>
                <w:highlight w:val="none"/>
              </w:rPr>
            </w:pPr>
          </w:p>
        </w:tc>
        <w:tc>
          <w:tcPr>
            <w:tcW w:w="1107" w:type="dxa"/>
            <w:vMerge w:val="continue"/>
            <w:noWrap w:val="0"/>
            <w:vAlign w:val="center"/>
          </w:tcPr>
          <w:p w14:paraId="278C2ED3">
            <w:pPr>
              <w:keepNext w:val="0"/>
              <w:keepLines w:val="0"/>
              <w:pageBreakBefore w:val="0"/>
              <w:widowControl w:val="0"/>
              <w:kinsoku/>
              <w:wordWrap/>
              <w:overflowPunct/>
              <w:topLinePunct w:val="0"/>
              <w:autoSpaceDE/>
              <w:autoSpaceDN/>
              <w:bidi w:val="0"/>
              <w:spacing w:line="500" w:lineRule="exact"/>
              <w:rPr>
                <w:rFonts w:hint="eastAsia" w:ascii="宋体" w:hAnsi="宋体" w:eastAsia="宋体" w:cs="宋体"/>
                <w:color w:val="000000"/>
                <w:sz w:val="24"/>
                <w:highlight w:val="none"/>
              </w:rPr>
            </w:pPr>
          </w:p>
        </w:tc>
        <w:tc>
          <w:tcPr>
            <w:tcW w:w="1740" w:type="dxa"/>
            <w:gridSpan w:val="2"/>
            <w:noWrap w:val="0"/>
            <w:vAlign w:val="center"/>
          </w:tcPr>
          <w:p w14:paraId="5DE675F5">
            <w:pPr>
              <w:pStyle w:val="20"/>
              <w:keepNext w:val="0"/>
              <w:keepLines w:val="0"/>
              <w:pageBreakBefore w:val="0"/>
              <w:widowControl w:val="0"/>
              <w:kinsoku/>
              <w:wordWrap/>
              <w:overflowPunct/>
              <w:topLinePunct w:val="0"/>
              <w:autoSpaceDE/>
              <w:autoSpaceDN/>
              <w:bidi w:val="0"/>
              <w:spacing w:line="500" w:lineRule="exact"/>
              <w:ind w:left="230" w:right="127" w:hanging="89"/>
              <w:rPr>
                <w:rFonts w:hint="eastAsia" w:ascii="宋体" w:hAnsi="宋体" w:eastAsia="宋体" w:cs="宋体"/>
                <w:color w:val="000000"/>
                <w:sz w:val="24"/>
                <w:highlight w:val="none"/>
              </w:rPr>
            </w:pPr>
            <w:r>
              <w:rPr>
                <w:rFonts w:hint="eastAsia" w:ascii="宋体" w:hAnsi="宋体" w:eastAsia="宋体" w:cs="宋体"/>
                <w:color w:val="000000"/>
                <w:sz w:val="24"/>
                <w:highlight w:val="none"/>
              </w:rPr>
              <w:t>不存在禁止投标的情形</w:t>
            </w:r>
          </w:p>
        </w:tc>
        <w:tc>
          <w:tcPr>
            <w:tcW w:w="6323" w:type="dxa"/>
            <w:noWrap w:val="0"/>
            <w:vAlign w:val="center"/>
          </w:tcPr>
          <w:p w14:paraId="59856085">
            <w:pPr>
              <w:pStyle w:val="20"/>
              <w:keepNext w:val="0"/>
              <w:keepLines w:val="0"/>
              <w:pageBreakBefore w:val="0"/>
              <w:widowControl w:val="0"/>
              <w:kinsoku/>
              <w:wordWrap/>
              <w:overflowPunct/>
              <w:topLinePunct w:val="0"/>
              <w:autoSpaceDE/>
              <w:autoSpaceDN/>
              <w:bidi w:val="0"/>
              <w:spacing w:line="500" w:lineRule="exact"/>
              <w:ind w:left="108" w:right="41"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不存在第二章“投标人须知”第 1.4.3 项规定的任何一种情形</w:t>
            </w:r>
          </w:p>
        </w:tc>
      </w:tr>
      <w:tr w14:paraId="09BCF7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7" w:hRule="atLeast"/>
          <w:jc w:val="center"/>
        </w:trPr>
        <w:tc>
          <w:tcPr>
            <w:tcW w:w="645" w:type="dxa"/>
            <w:vMerge w:val="restart"/>
            <w:noWrap w:val="0"/>
            <w:vAlign w:val="center"/>
          </w:tcPr>
          <w:p w14:paraId="7C55DDC6">
            <w:pPr>
              <w:pStyle w:val="20"/>
              <w:keepNext w:val="0"/>
              <w:keepLines w:val="0"/>
              <w:pageBreakBefore w:val="0"/>
              <w:widowControl w:val="0"/>
              <w:kinsoku/>
              <w:wordWrap/>
              <w:overflowPunct/>
              <w:topLinePunct w:val="0"/>
              <w:autoSpaceDE/>
              <w:autoSpaceDN/>
              <w:bidi w:val="0"/>
              <w:spacing w:line="500" w:lineRule="exact"/>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2.1.3</w:t>
            </w:r>
          </w:p>
        </w:tc>
        <w:tc>
          <w:tcPr>
            <w:tcW w:w="1107" w:type="dxa"/>
            <w:vMerge w:val="restart"/>
            <w:noWrap w:val="0"/>
            <w:vAlign w:val="center"/>
          </w:tcPr>
          <w:p w14:paraId="08FD4550">
            <w:pPr>
              <w:pStyle w:val="20"/>
              <w:keepNext w:val="0"/>
              <w:keepLines w:val="0"/>
              <w:pageBreakBefore w:val="0"/>
              <w:widowControl w:val="0"/>
              <w:kinsoku/>
              <w:wordWrap/>
              <w:overflowPunct/>
              <w:topLinePunct w:val="0"/>
              <w:autoSpaceDE/>
              <w:autoSpaceDN/>
              <w:bidi w:val="0"/>
              <w:spacing w:line="500" w:lineRule="exact"/>
              <w:ind w:left="4" w:right="127" w:hanging="4"/>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响</w:t>
            </w:r>
            <w:r>
              <w:rPr>
                <w:rFonts w:hint="eastAsia" w:ascii="宋体" w:hAnsi="宋体" w:eastAsia="宋体" w:cs="宋体"/>
                <w:color w:val="000000"/>
                <w:sz w:val="24"/>
                <w:highlight w:val="none"/>
                <w:lang w:val="en-US"/>
              </w:rPr>
              <w:t xml:space="preserve"> </w:t>
            </w:r>
            <w:r>
              <w:rPr>
                <w:rFonts w:hint="eastAsia" w:ascii="宋体" w:hAnsi="宋体" w:eastAsia="宋体" w:cs="宋体"/>
                <w:color w:val="000000"/>
                <w:sz w:val="24"/>
                <w:highlight w:val="none"/>
              </w:rPr>
              <w:t>应</w:t>
            </w:r>
            <w:r>
              <w:rPr>
                <w:rFonts w:hint="eastAsia" w:ascii="宋体" w:hAnsi="宋体" w:eastAsia="宋体" w:cs="宋体"/>
                <w:color w:val="000000"/>
                <w:sz w:val="24"/>
                <w:highlight w:val="none"/>
                <w:lang w:val="en-US"/>
              </w:rPr>
              <w:t xml:space="preserve"> </w:t>
            </w:r>
            <w:r>
              <w:rPr>
                <w:rFonts w:hint="eastAsia" w:ascii="宋体" w:hAnsi="宋体" w:eastAsia="宋体" w:cs="宋体"/>
                <w:color w:val="000000"/>
                <w:sz w:val="24"/>
                <w:highlight w:val="none"/>
              </w:rPr>
              <w:t>性评审标准</w:t>
            </w:r>
          </w:p>
        </w:tc>
        <w:tc>
          <w:tcPr>
            <w:tcW w:w="1740" w:type="dxa"/>
            <w:gridSpan w:val="2"/>
            <w:noWrap w:val="0"/>
            <w:vAlign w:val="center"/>
          </w:tcPr>
          <w:p w14:paraId="6A704FF7">
            <w:pPr>
              <w:pStyle w:val="20"/>
              <w:keepNext w:val="0"/>
              <w:keepLines w:val="0"/>
              <w:pageBreakBefore w:val="0"/>
              <w:widowControl w:val="0"/>
              <w:kinsoku/>
              <w:wordWrap/>
              <w:overflowPunct/>
              <w:topLinePunct w:val="0"/>
              <w:autoSpaceDE/>
              <w:autoSpaceDN/>
              <w:bidi w:val="0"/>
              <w:spacing w:line="500" w:lineRule="exact"/>
              <w:ind w:left="63" w:right="50"/>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投标报价</w:t>
            </w:r>
          </w:p>
        </w:tc>
        <w:tc>
          <w:tcPr>
            <w:tcW w:w="6323" w:type="dxa"/>
            <w:noWrap w:val="0"/>
            <w:vAlign w:val="center"/>
          </w:tcPr>
          <w:p w14:paraId="520F19C1">
            <w:pPr>
              <w:pStyle w:val="20"/>
              <w:keepNext w:val="0"/>
              <w:keepLines w:val="0"/>
              <w:pageBreakBefore w:val="0"/>
              <w:widowControl w:val="0"/>
              <w:kinsoku/>
              <w:wordWrap/>
              <w:overflowPunct/>
              <w:topLinePunct w:val="0"/>
              <w:autoSpaceDE/>
              <w:autoSpaceDN/>
              <w:bidi w:val="0"/>
              <w:spacing w:line="500" w:lineRule="exact"/>
              <w:ind w:left="108"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符合第二章“投标人须知”第 3.2</w:t>
            </w:r>
            <w:r>
              <w:rPr>
                <w:rFonts w:hint="eastAsia" w:ascii="宋体" w:hAnsi="宋体" w:eastAsia="宋体" w:cs="宋体"/>
                <w:color w:val="000000"/>
                <w:sz w:val="24"/>
                <w:highlight w:val="none"/>
                <w:lang w:val="en-US" w:eastAsia="zh-CN"/>
              </w:rPr>
              <w:t>.2</w:t>
            </w:r>
            <w:r>
              <w:rPr>
                <w:rFonts w:hint="eastAsia" w:ascii="宋体" w:hAnsi="宋体" w:eastAsia="宋体" w:cs="宋体"/>
                <w:color w:val="000000"/>
                <w:sz w:val="24"/>
                <w:highlight w:val="none"/>
              </w:rPr>
              <w:t xml:space="preserve"> 款规定</w:t>
            </w:r>
          </w:p>
        </w:tc>
      </w:tr>
      <w:tr w14:paraId="404F8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jc w:val="center"/>
        </w:trPr>
        <w:tc>
          <w:tcPr>
            <w:tcW w:w="645" w:type="dxa"/>
            <w:vMerge w:val="continue"/>
            <w:tcBorders>
              <w:top w:val="nil"/>
            </w:tcBorders>
            <w:noWrap w:val="0"/>
            <w:vAlign w:val="top"/>
          </w:tcPr>
          <w:p w14:paraId="1B38FE70">
            <w:pPr>
              <w:keepNext w:val="0"/>
              <w:keepLines w:val="0"/>
              <w:pageBreakBefore w:val="0"/>
              <w:widowControl w:val="0"/>
              <w:kinsoku/>
              <w:wordWrap/>
              <w:overflowPunct/>
              <w:topLinePunct w:val="0"/>
              <w:autoSpaceDE/>
              <w:autoSpaceDN/>
              <w:bidi w:val="0"/>
              <w:spacing w:line="500" w:lineRule="exact"/>
              <w:rPr>
                <w:rFonts w:hint="eastAsia" w:ascii="宋体" w:hAnsi="宋体" w:eastAsia="宋体" w:cs="宋体"/>
                <w:color w:val="000000"/>
                <w:sz w:val="24"/>
                <w:highlight w:val="none"/>
              </w:rPr>
            </w:pPr>
          </w:p>
        </w:tc>
        <w:tc>
          <w:tcPr>
            <w:tcW w:w="1107" w:type="dxa"/>
            <w:vMerge w:val="continue"/>
            <w:tcBorders>
              <w:top w:val="nil"/>
            </w:tcBorders>
            <w:noWrap w:val="0"/>
            <w:vAlign w:val="top"/>
          </w:tcPr>
          <w:p w14:paraId="64AD3C67">
            <w:pPr>
              <w:keepNext w:val="0"/>
              <w:keepLines w:val="0"/>
              <w:pageBreakBefore w:val="0"/>
              <w:widowControl w:val="0"/>
              <w:kinsoku/>
              <w:wordWrap/>
              <w:overflowPunct/>
              <w:topLinePunct w:val="0"/>
              <w:autoSpaceDE/>
              <w:autoSpaceDN/>
              <w:bidi w:val="0"/>
              <w:spacing w:line="500" w:lineRule="exact"/>
              <w:rPr>
                <w:rFonts w:hint="eastAsia" w:ascii="宋体" w:hAnsi="宋体" w:eastAsia="宋体" w:cs="宋体"/>
                <w:color w:val="000000"/>
                <w:sz w:val="24"/>
                <w:highlight w:val="none"/>
              </w:rPr>
            </w:pPr>
          </w:p>
        </w:tc>
        <w:tc>
          <w:tcPr>
            <w:tcW w:w="1740" w:type="dxa"/>
            <w:gridSpan w:val="2"/>
            <w:noWrap w:val="0"/>
            <w:vAlign w:val="center"/>
          </w:tcPr>
          <w:p w14:paraId="0DBEF3D7">
            <w:pPr>
              <w:pStyle w:val="20"/>
              <w:keepNext w:val="0"/>
              <w:keepLines w:val="0"/>
              <w:pageBreakBefore w:val="0"/>
              <w:widowControl w:val="0"/>
              <w:kinsoku/>
              <w:wordWrap/>
              <w:overflowPunct/>
              <w:topLinePunct w:val="0"/>
              <w:autoSpaceDE/>
              <w:autoSpaceDN/>
              <w:bidi w:val="0"/>
              <w:spacing w:line="500" w:lineRule="exact"/>
              <w:ind w:left="62" w:right="52"/>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计划工期</w:t>
            </w:r>
          </w:p>
        </w:tc>
        <w:tc>
          <w:tcPr>
            <w:tcW w:w="6323" w:type="dxa"/>
            <w:noWrap w:val="0"/>
            <w:vAlign w:val="center"/>
          </w:tcPr>
          <w:p w14:paraId="6B076038">
            <w:pPr>
              <w:pStyle w:val="20"/>
              <w:keepNext w:val="0"/>
              <w:keepLines w:val="0"/>
              <w:pageBreakBefore w:val="0"/>
              <w:widowControl w:val="0"/>
              <w:kinsoku/>
              <w:wordWrap/>
              <w:overflowPunct/>
              <w:topLinePunct w:val="0"/>
              <w:autoSpaceDE/>
              <w:autoSpaceDN/>
              <w:bidi w:val="0"/>
              <w:spacing w:line="500" w:lineRule="exact"/>
              <w:ind w:left="108"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符合第二章“投标人须知”第 1.3.2 项规定</w:t>
            </w:r>
          </w:p>
        </w:tc>
      </w:tr>
      <w:tr w14:paraId="2A976A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1" w:hRule="atLeast"/>
          <w:jc w:val="center"/>
        </w:trPr>
        <w:tc>
          <w:tcPr>
            <w:tcW w:w="645" w:type="dxa"/>
            <w:vMerge w:val="continue"/>
            <w:tcBorders>
              <w:top w:val="nil"/>
            </w:tcBorders>
            <w:noWrap w:val="0"/>
            <w:vAlign w:val="top"/>
          </w:tcPr>
          <w:p w14:paraId="353A760D">
            <w:pPr>
              <w:keepNext w:val="0"/>
              <w:keepLines w:val="0"/>
              <w:pageBreakBefore w:val="0"/>
              <w:widowControl w:val="0"/>
              <w:kinsoku/>
              <w:wordWrap/>
              <w:overflowPunct/>
              <w:topLinePunct w:val="0"/>
              <w:autoSpaceDE/>
              <w:autoSpaceDN/>
              <w:bidi w:val="0"/>
              <w:spacing w:line="500" w:lineRule="exact"/>
              <w:rPr>
                <w:rFonts w:hint="eastAsia" w:ascii="宋体" w:hAnsi="宋体" w:eastAsia="宋体" w:cs="宋体"/>
                <w:color w:val="000000"/>
                <w:sz w:val="24"/>
                <w:highlight w:val="none"/>
              </w:rPr>
            </w:pPr>
          </w:p>
        </w:tc>
        <w:tc>
          <w:tcPr>
            <w:tcW w:w="1107" w:type="dxa"/>
            <w:vMerge w:val="continue"/>
            <w:tcBorders>
              <w:top w:val="nil"/>
            </w:tcBorders>
            <w:noWrap w:val="0"/>
            <w:vAlign w:val="top"/>
          </w:tcPr>
          <w:p w14:paraId="2190186A">
            <w:pPr>
              <w:keepNext w:val="0"/>
              <w:keepLines w:val="0"/>
              <w:pageBreakBefore w:val="0"/>
              <w:widowControl w:val="0"/>
              <w:kinsoku/>
              <w:wordWrap/>
              <w:overflowPunct/>
              <w:topLinePunct w:val="0"/>
              <w:autoSpaceDE/>
              <w:autoSpaceDN/>
              <w:bidi w:val="0"/>
              <w:spacing w:line="500" w:lineRule="exact"/>
              <w:rPr>
                <w:rFonts w:hint="eastAsia" w:ascii="宋体" w:hAnsi="宋体" w:eastAsia="宋体" w:cs="宋体"/>
                <w:color w:val="000000"/>
                <w:sz w:val="24"/>
                <w:highlight w:val="none"/>
              </w:rPr>
            </w:pPr>
          </w:p>
        </w:tc>
        <w:tc>
          <w:tcPr>
            <w:tcW w:w="1740" w:type="dxa"/>
            <w:gridSpan w:val="2"/>
            <w:noWrap w:val="0"/>
            <w:vAlign w:val="center"/>
          </w:tcPr>
          <w:p w14:paraId="2E7192F2">
            <w:pPr>
              <w:pStyle w:val="20"/>
              <w:keepNext w:val="0"/>
              <w:keepLines w:val="0"/>
              <w:pageBreakBefore w:val="0"/>
              <w:widowControl w:val="0"/>
              <w:kinsoku/>
              <w:wordWrap/>
              <w:overflowPunct/>
              <w:topLinePunct w:val="0"/>
              <w:autoSpaceDE/>
              <w:autoSpaceDN/>
              <w:bidi w:val="0"/>
              <w:spacing w:line="500" w:lineRule="exact"/>
              <w:ind w:left="63" w:right="50"/>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投标有效期</w:t>
            </w:r>
          </w:p>
        </w:tc>
        <w:tc>
          <w:tcPr>
            <w:tcW w:w="6323" w:type="dxa"/>
            <w:noWrap w:val="0"/>
            <w:vAlign w:val="center"/>
          </w:tcPr>
          <w:p w14:paraId="189B2C3B">
            <w:pPr>
              <w:pStyle w:val="20"/>
              <w:keepNext w:val="0"/>
              <w:keepLines w:val="0"/>
              <w:pageBreakBefore w:val="0"/>
              <w:widowControl w:val="0"/>
              <w:kinsoku/>
              <w:wordWrap/>
              <w:overflowPunct/>
              <w:topLinePunct w:val="0"/>
              <w:autoSpaceDE/>
              <w:autoSpaceDN/>
              <w:bidi w:val="0"/>
              <w:spacing w:line="500" w:lineRule="exact"/>
              <w:ind w:left="108"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符合第二章“投标人须知”第 3.3.1 项规定</w:t>
            </w:r>
          </w:p>
        </w:tc>
      </w:tr>
      <w:tr w14:paraId="466E80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1" w:hRule="atLeast"/>
          <w:jc w:val="center"/>
        </w:trPr>
        <w:tc>
          <w:tcPr>
            <w:tcW w:w="645" w:type="dxa"/>
            <w:vMerge w:val="continue"/>
            <w:tcBorders>
              <w:top w:val="nil"/>
            </w:tcBorders>
            <w:noWrap w:val="0"/>
            <w:vAlign w:val="top"/>
          </w:tcPr>
          <w:p w14:paraId="3CD45638">
            <w:pPr>
              <w:keepNext w:val="0"/>
              <w:keepLines w:val="0"/>
              <w:pageBreakBefore w:val="0"/>
              <w:widowControl w:val="0"/>
              <w:kinsoku/>
              <w:wordWrap/>
              <w:overflowPunct/>
              <w:topLinePunct w:val="0"/>
              <w:autoSpaceDE/>
              <w:autoSpaceDN/>
              <w:bidi w:val="0"/>
              <w:spacing w:line="500" w:lineRule="exact"/>
              <w:rPr>
                <w:rFonts w:hint="eastAsia" w:ascii="宋体" w:hAnsi="宋体" w:eastAsia="宋体" w:cs="宋体"/>
                <w:color w:val="000000"/>
                <w:sz w:val="24"/>
                <w:highlight w:val="none"/>
              </w:rPr>
            </w:pPr>
          </w:p>
        </w:tc>
        <w:tc>
          <w:tcPr>
            <w:tcW w:w="1107" w:type="dxa"/>
            <w:vMerge w:val="continue"/>
            <w:tcBorders>
              <w:top w:val="nil"/>
            </w:tcBorders>
            <w:noWrap w:val="0"/>
            <w:vAlign w:val="top"/>
          </w:tcPr>
          <w:p w14:paraId="42D22A41">
            <w:pPr>
              <w:keepNext w:val="0"/>
              <w:keepLines w:val="0"/>
              <w:pageBreakBefore w:val="0"/>
              <w:widowControl w:val="0"/>
              <w:kinsoku/>
              <w:wordWrap/>
              <w:overflowPunct/>
              <w:topLinePunct w:val="0"/>
              <w:autoSpaceDE/>
              <w:autoSpaceDN/>
              <w:bidi w:val="0"/>
              <w:spacing w:line="500" w:lineRule="exact"/>
              <w:rPr>
                <w:rFonts w:hint="eastAsia" w:ascii="宋体" w:hAnsi="宋体" w:eastAsia="宋体" w:cs="宋体"/>
                <w:color w:val="000000"/>
                <w:sz w:val="24"/>
                <w:highlight w:val="none"/>
              </w:rPr>
            </w:pPr>
          </w:p>
        </w:tc>
        <w:tc>
          <w:tcPr>
            <w:tcW w:w="1740" w:type="dxa"/>
            <w:gridSpan w:val="2"/>
            <w:noWrap w:val="0"/>
            <w:vAlign w:val="center"/>
          </w:tcPr>
          <w:p w14:paraId="16A6B007">
            <w:pPr>
              <w:pStyle w:val="20"/>
              <w:keepNext w:val="0"/>
              <w:keepLines w:val="0"/>
              <w:pageBreakBefore w:val="0"/>
              <w:widowControl w:val="0"/>
              <w:kinsoku/>
              <w:wordWrap/>
              <w:overflowPunct/>
              <w:topLinePunct w:val="0"/>
              <w:autoSpaceDE/>
              <w:autoSpaceDN/>
              <w:bidi w:val="0"/>
              <w:spacing w:line="500" w:lineRule="exact"/>
              <w:ind w:left="63" w:right="50"/>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投标保证金</w:t>
            </w:r>
          </w:p>
        </w:tc>
        <w:tc>
          <w:tcPr>
            <w:tcW w:w="6323" w:type="dxa"/>
            <w:noWrap w:val="0"/>
            <w:vAlign w:val="center"/>
          </w:tcPr>
          <w:p w14:paraId="36A25E02">
            <w:pPr>
              <w:pStyle w:val="20"/>
              <w:keepNext w:val="0"/>
              <w:keepLines w:val="0"/>
              <w:pageBreakBefore w:val="0"/>
              <w:widowControl w:val="0"/>
              <w:kinsoku/>
              <w:wordWrap/>
              <w:overflowPunct/>
              <w:topLinePunct w:val="0"/>
              <w:autoSpaceDE/>
              <w:autoSpaceDN/>
              <w:bidi w:val="0"/>
              <w:spacing w:line="500" w:lineRule="exact"/>
              <w:ind w:left="108"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符合第二章“投标人须知”第 3.4.1 项规定</w:t>
            </w:r>
          </w:p>
        </w:tc>
      </w:tr>
      <w:tr w14:paraId="0F0724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0" w:hRule="atLeast"/>
          <w:jc w:val="center"/>
        </w:trPr>
        <w:tc>
          <w:tcPr>
            <w:tcW w:w="9815" w:type="dxa"/>
            <w:gridSpan w:val="5"/>
            <w:tcBorders>
              <w:top w:val="nil"/>
            </w:tcBorders>
            <w:noWrap w:val="0"/>
            <w:vAlign w:val="top"/>
          </w:tcPr>
          <w:p w14:paraId="00EEEE1B">
            <w:pPr>
              <w:pStyle w:val="20"/>
              <w:keepNext w:val="0"/>
              <w:keepLines w:val="0"/>
              <w:pageBreakBefore w:val="0"/>
              <w:widowControl w:val="0"/>
              <w:kinsoku/>
              <w:wordWrap/>
              <w:overflowPunct/>
              <w:topLinePunct w:val="0"/>
              <w:autoSpaceDE/>
              <w:autoSpaceDN/>
              <w:bidi w:val="0"/>
              <w:spacing w:line="500" w:lineRule="exact"/>
              <w:ind w:left="108" w:firstLine="480" w:firstLineChars="200"/>
              <w:jc w:val="left"/>
              <w:rPr>
                <w:rFonts w:hint="eastAsia" w:ascii="宋体" w:hAnsi="宋体" w:eastAsia="宋体" w:cs="宋体"/>
                <w:color w:val="000000"/>
                <w:sz w:val="24"/>
                <w:highlight w:val="none"/>
              </w:rPr>
            </w:pPr>
            <w:r>
              <w:rPr>
                <w:rFonts w:hint="eastAsia" w:ascii="宋体" w:hAnsi="宋体" w:eastAsia="宋体" w:cs="宋体"/>
                <w:color w:val="000000"/>
                <w:sz w:val="24"/>
                <w:highlight w:val="none"/>
              </w:rPr>
              <w:t>评标委员会依据以上评审标准对投标人初步评审。有一项不符合评审标准的，作无效投标处理。如果评标委员会成员意见不一致时，通过记名投票表决方式(不得采用弃权方式)以少数服从多数的原则决定投标人是否通过审查。</w:t>
            </w:r>
          </w:p>
        </w:tc>
      </w:tr>
      <w:tr w14:paraId="10CFCD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jc w:val="center"/>
        </w:trPr>
        <w:tc>
          <w:tcPr>
            <w:tcW w:w="1752" w:type="dxa"/>
            <w:gridSpan w:val="2"/>
            <w:noWrap w:val="0"/>
            <w:vAlign w:val="center"/>
          </w:tcPr>
          <w:p w14:paraId="3FD812A4">
            <w:pPr>
              <w:pStyle w:val="20"/>
              <w:keepNext w:val="0"/>
              <w:keepLines w:val="0"/>
              <w:pageBreakBefore w:val="0"/>
              <w:widowControl w:val="0"/>
              <w:kinsoku/>
              <w:wordWrap/>
              <w:overflowPunct/>
              <w:topLinePunct w:val="0"/>
              <w:autoSpaceDE/>
              <w:autoSpaceDN/>
              <w:bidi w:val="0"/>
              <w:spacing w:line="500" w:lineRule="exact"/>
              <w:ind w:left="420" w:right="438"/>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条款号</w:t>
            </w:r>
          </w:p>
        </w:tc>
        <w:tc>
          <w:tcPr>
            <w:tcW w:w="1740" w:type="dxa"/>
            <w:gridSpan w:val="2"/>
            <w:noWrap w:val="0"/>
            <w:vAlign w:val="center"/>
          </w:tcPr>
          <w:p w14:paraId="5FE8BCF8">
            <w:pPr>
              <w:pStyle w:val="20"/>
              <w:keepNext w:val="0"/>
              <w:keepLines w:val="0"/>
              <w:pageBreakBefore w:val="0"/>
              <w:widowControl w:val="0"/>
              <w:kinsoku/>
              <w:wordWrap/>
              <w:overflowPunct/>
              <w:topLinePunct w:val="0"/>
              <w:autoSpaceDE/>
              <w:autoSpaceDN/>
              <w:bidi w:val="0"/>
              <w:spacing w:line="500" w:lineRule="exact"/>
              <w:ind w:left="62" w:right="5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条款内容</w:t>
            </w:r>
          </w:p>
        </w:tc>
        <w:tc>
          <w:tcPr>
            <w:tcW w:w="6323" w:type="dxa"/>
            <w:noWrap w:val="0"/>
            <w:vAlign w:val="center"/>
          </w:tcPr>
          <w:p w14:paraId="7323F409">
            <w:pPr>
              <w:pStyle w:val="20"/>
              <w:keepNext w:val="0"/>
              <w:keepLines w:val="0"/>
              <w:pageBreakBefore w:val="0"/>
              <w:widowControl w:val="0"/>
              <w:kinsoku/>
              <w:wordWrap/>
              <w:overflowPunct/>
              <w:topLinePunct w:val="0"/>
              <w:autoSpaceDE/>
              <w:autoSpaceDN/>
              <w:bidi w:val="0"/>
              <w:spacing w:line="500" w:lineRule="exact"/>
              <w:ind w:left="1900" w:right="189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编列内容</w:t>
            </w:r>
          </w:p>
        </w:tc>
      </w:tr>
      <w:tr w14:paraId="7B4F8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7" w:hRule="atLeast"/>
          <w:jc w:val="center"/>
        </w:trPr>
        <w:tc>
          <w:tcPr>
            <w:tcW w:w="1752" w:type="dxa"/>
            <w:gridSpan w:val="2"/>
            <w:noWrap w:val="0"/>
            <w:vAlign w:val="center"/>
          </w:tcPr>
          <w:p w14:paraId="7E4C7F25">
            <w:pPr>
              <w:pStyle w:val="20"/>
              <w:keepNext w:val="0"/>
              <w:keepLines w:val="0"/>
              <w:pageBreakBefore w:val="0"/>
              <w:widowControl w:val="0"/>
              <w:kinsoku/>
              <w:wordWrap/>
              <w:overflowPunct/>
              <w:topLinePunct w:val="0"/>
              <w:autoSpaceDE/>
              <w:autoSpaceDN/>
              <w:bidi w:val="0"/>
              <w:spacing w:line="500" w:lineRule="exact"/>
              <w:ind w:right="663"/>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2.2.1</w:t>
            </w:r>
          </w:p>
        </w:tc>
        <w:tc>
          <w:tcPr>
            <w:tcW w:w="1740" w:type="dxa"/>
            <w:gridSpan w:val="2"/>
            <w:noWrap w:val="0"/>
            <w:vAlign w:val="center"/>
          </w:tcPr>
          <w:p w14:paraId="0095FA09">
            <w:pPr>
              <w:pStyle w:val="20"/>
              <w:keepNext w:val="0"/>
              <w:keepLines w:val="0"/>
              <w:pageBreakBefore w:val="0"/>
              <w:widowControl w:val="0"/>
              <w:kinsoku/>
              <w:wordWrap/>
              <w:overflowPunct/>
              <w:topLinePunct w:val="0"/>
              <w:autoSpaceDE/>
              <w:autoSpaceDN/>
              <w:bidi w:val="0"/>
              <w:spacing w:line="500" w:lineRule="exact"/>
              <w:ind w:left="63" w:right="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分值构成</w:t>
            </w:r>
          </w:p>
          <w:p w14:paraId="7ABB2888">
            <w:pPr>
              <w:pStyle w:val="20"/>
              <w:keepNext w:val="0"/>
              <w:keepLines w:val="0"/>
              <w:pageBreakBefore w:val="0"/>
              <w:widowControl w:val="0"/>
              <w:kinsoku/>
              <w:wordWrap/>
              <w:overflowPunct/>
              <w:topLinePunct w:val="0"/>
              <w:autoSpaceDE/>
              <w:autoSpaceDN/>
              <w:bidi w:val="0"/>
              <w:spacing w:line="500" w:lineRule="exact"/>
              <w:ind w:left="63" w:right="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(总分100分)</w:t>
            </w:r>
          </w:p>
        </w:tc>
        <w:tc>
          <w:tcPr>
            <w:tcW w:w="6323" w:type="dxa"/>
            <w:noWrap w:val="0"/>
            <w:vAlign w:val="center"/>
          </w:tcPr>
          <w:p w14:paraId="17450CCE">
            <w:pPr>
              <w:pStyle w:val="20"/>
              <w:keepNext w:val="0"/>
              <w:keepLines w:val="0"/>
              <w:pageBreakBefore w:val="0"/>
              <w:widowControl w:val="0"/>
              <w:shd w:val="clear" w:color="auto" w:fill="auto"/>
              <w:kinsoku/>
              <w:wordWrap/>
              <w:overflowPunct/>
              <w:topLinePunct w:val="0"/>
              <w:autoSpaceDE/>
              <w:autoSpaceDN/>
              <w:bidi w:val="0"/>
              <w:spacing w:line="500" w:lineRule="exact"/>
              <w:ind w:left="108"/>
              <w:rPr>
                <w:rFonts w:hint="eastAsia" w:ascii="宋体" w:hAnsi="宋体" w:eastAsia="宋体" w:cs="宋体"/>
                <w:color w:val="auto"/>
                <w:sz w:val="24"/>
                <w:highlight w:val="none"/>
              </w:rPr>
            </w:pPr>
            <w:r>
              <w:rPr>
                <w:rFonts w:hint="eastAsia" w:ascii="宋体" w:hAnsi="宋体" w:eastAsia="宋体" w:cs="宋体"/>
                <w:color w:val="auto"/>
                <w:sz w:val="24"/>
                <w:highlight w:val="none"/>
              </w:rPr>
              <w:t>商务部分</w:t>
            </w:r>
            <w:r>
              <w:rPr>
                <w:rFonts w:hint="eastAsia" w:ascii="宋体" w:hAnsi="宋体" w:eastAsia="宋体" w:cs="宋体"/>
                <w:color w:val="auto"/>
                <w:kern w:val="0"/>
                <w:sz w:val="24"/>
                <w:highlight w:val="none"/>
              </w:rPr>
              <w:t>F1</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lang w:val="en-US" w:eastAsia="zh-CN"/>
              </w:rPr>
              <w:t>50</w:t>
            </w:r>
            <w:r>
              <w:rPr>
                <w:rFonts w:hint="eastAsia" w:ascii="宋体" w:hAnsi="宋体" w:eastAsia="宋体" w:cs="宋体"/>
                <w:color w:val="auto"/>
                <w:sz w:val="24"/>
                <w:highlight w:val="none"/>
              </w:rPr>
              <w:t>分</w:t>
            </w:r>
          </w:p>
          <w:p w14:paraId="065C4AD8">
            <w:pPr>
              <w:pStyle w:val="20"/>
              <w:keepNext w:val="0"/>
              <w:keepLines w:val="0"/>
              <w:pageBreakBefore w:val="0"/>
              <w:widowControl w:val="0"/>
              <w:shd w:val="clear" w:color="auto" w:fill="auto"/>
              <w:kinsoku/>
              <w:wordWrap/>
              <w:overflowPunct/>
              <w:topLinePunct w:val="0"/>
              <w:autoSpaceDE/>
              <w:autoSpaceDN/>
              <w:bidi w:val="0"/>
              <w:spacing w:line="500" w:lineRule="exact"/>
              <w:ind w:left="108"/>
              <w:rPr>
                <w:rFonts w:hint="eastAsia" w:ascii="宋体" w:hAnsi="宋体" w:eastAsia="宋体" w:cs="宋体"/>
                <w:color w:val="auto"/>
                <w:sz w:val="24"/>
                <w:highlight w:val="none"/>
              </w:rPr>
            </w:pPr>
            <w:r>
              <w:rPr>
                <w:rFonts w:hint="eastAsia" w:ascii="宋体" w:hAnsi="宋体" w:eastAsia="宋体" w:cs="宋体"/>
                <w:color w:val="auto"/>
                <w:sz w:val="24"/>
                <w:highlight w:val="none"/>
              </w:rPr>
              <w:t>技术部分</w:t>
            </w:r>
            <w:r>
              <w:rPr>
                <w:rFonts w:hint="eastAsia" w:ascii="宋体" w:hAnsi="宋体" w:eastAsia="宋体" w:cs="宋体"/>
                <w:color w:val="auto"/>
                <w:kern w:val="0"/>
                <w:sz w:val="24"/>
                <w:highlight w:val="none"/>
              </w:rPr>
              <w:t>F2</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lang w:val="en-US" w:eastAsia="zh-CN"/>
              </w:rPr>
              <w:t>40</w:t>
            </w:r>
            <w:r>
              <w:rPr>
                <w:rFonts w:hint="eastAsia" w:ascii="宋体" w:hAnsi="宋体" w:eastAsia="宋体" w:cs="宋体"/>
                <w:color w:val="auto"/>
                <w:sz w:val="24"/>
                <w:highlight w:val="none"/>
              </w:rPr>
              <w:t>分</w:t>
            </w:r>
          </w:p>
          <w:p w14:paraId="312EA7B2">
            <w:pPr>
              <w:pStyle w:val="20"/>
              <w:keepNext w:val="0"/>
              <w:keepLines w:val="0"/>
              <w:pageBreakBefore w:val="0"/>
              <w:widowControl w:val="0"/>
              <w:shd w:val="clear" w:color="auto" w:fill="auto"/>
              <w:kinsoku/>
              <w:wordWrap/>
              <w:overflowPunct/>
              <w:topLinePunct w:val="0"/>
              <w:autoSpaceDE/>
              <w:autoSpaceDN/>
              <w:bidi w:val="0"/>
              <w:spacing w:line="500" w:lineRule="exact"/>
              <w:ind w:left="108"/>
              <w:rPr>
                <w:rFonts w:hint="eastAsia" w:ascii="宋体" w:hAnsi="宋体" w:eastAsia="宋体" w:cs="宋体"/>
                <w:color w:val="auto"/>
                <w:sz w:val="24"/>
                <w:highlight w:val="none"/>
              </w:rPr>
            </w:pPr>
            <w:r>
              <w:rPr>
                <w:rFonts w:hint="eastAsia" w:ascii="宋体" w:hAnsi="宋体" w:eastAsia="宋体" w:cs="宋体"/>
                <w:color w:val="auto"/>
                <w:sz w:val="24"/>
                <w:highlight w:val="none"/>
              </w:rPr>
              <w:t>投标报价</w:t>
            </w:r>
            <w:r>
              <w:rPr>
                <w:rFonts w:hint="eastAsia" w:ascii="宋体" w:hAnsi="宋体" w:eastAsia="宋体" w:cs="宋体"/>
                <w:color w:val="auto"/>
                <w:kern w:val="0"/>
                <w:sz w:val="24"/>
                <w:highlight w:val="none"/>
              </w:rPr>
              <w:t>F3</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lang w:val="en-US" w:eastAsia="zh-CN"/>
              </w:rPr>
              <w:t>10</w:t>
            </w:r>
            <w:r>
              <w:rPr>
                <w:rFonts w:hint="eastAsia" w:ascii="宋体" w:hAnsi="宋体" w:eastAsia="宋体" w:cs="宋体"/>
                <w:color w:val="auto"/>
                <w:sz w:val="24"/>
                <w:highlight w:val="none"/>
              </w:rPr>
              <w:t>分</w:t>
            </w:r>
          </w:p>
        </w:tc>
      </w:tr>
      <w:tr w14:paraId="432E28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45" w:type="dxa"/>
            <w:vMerge w:val="restart"/>
            <w:noWrap w:val="0"/>
            <w:vAlign w:val="center"/>
          </w:tcPr>
          <w:p w14:paraId="7B4B2A75">
            <w:pPr>
              <w:pStyle w:val="20"/>
              <w:keepNext w:val="0"/>
              <w:keepLines w:val="0"/>
              <w:pageBreakBefore w:val="0"/>
              <w:widowControl w:val="0"/>
              <w:kinsoku/>
              <w:wordWrap/>
              <w:overflowPunct/>
              <w:topLinePunct w:val="0"/>
              <w:autoSpaceDE/>
              <w:autoSpaceDN/>
              <w:bidi w:val="0"/>
              <w:spacing w:line="500" w:lineRule="exact"/>
              <w:jc w:val="center"/>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2.2.2（1）</w:t>
            </w:r>
          </w:p>
        </w:tc>
        <w:tc>
          <w:tcPr>
            <w:tcW w:w="1107" w:type="dxa"/>
            <w:vMerge w:val="restart"/>
            <w:noWrap w:val="0"/>
            <w:vAlign w:val="center"/>
          </w:tcPr>
          <w:p w14:paraId="07982618">
            <w:pPr>
              <w:pStyle w:val="20"/>
              <w:keepNext w:val="0"/>
              <w:keepLines w:val="0"/>
              <w:pageBreakBefore w:val="0"/>
              <w:widowControl w:val="0"/>
              <w:kinsoku/>
              <w:wordWrap/>
              <w:overflowPunct/>
              <w:topLinePunct w:val="0"/>
              <w:autoSpaceDE/>
              <w:autoSpaceDN/>
              <w:bidi w:val="0"/>
              <w:spacing w:line="500" w:lineRule="exact"/>
              <w:ind w:right="127"/>
              <w:jc w:val="center"/>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商务部分F1</w:t>
            </w:r>
          </w:p>
          <w:p w14:paraId="17EE559D">
            <w:pPr>
              <w:pStyle w:val="20"/>
              <w:keepNext w:val="0"/>
              <w:keepLines w:val="0"/>
              <w:pageBreakBefore w:val="0"/>
              <w:widowControl w:val="0"/>
              <w:kinsoku/>
              <w:wordWrap/>
              <w:overflowPunct/>
              <w:topLinePunct w:val="0"/>
              <w:autoSpaceDE/>
              <w:autoSpaceDN/>
              <w:bidi w:val="0"/>
              <w:spacing w:line="500" w:lineRule="exact"/>
              <w:ind w:right="127"/>
              <w:jc w:val="center"/>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（50分）</w:t>
            </w:r>
          </w:p>
        </w:tc>
        <w:tc>
          <w:tcPr>
            <w:tcW w:w="1740" w:type="dxa"/>
            <w:gridSpan w:val="2"/>
            <w:noWrap w:val="0"/>
            <w:vAlign w:val="center"/>
          </w:tcPr>
          <w:p w14:paraId="216239D3">
            <w:pPr>
              <w:pStyle w:val="20"/>
              <w:keepNext w:val="0"/>
              <w:keepLines w:val="0"/>
              <w:pageBreakBefore w:val="0"/>
              <w:widowControl w:val="0"/>
              <w:kinsoku/>
              <w:wordWrap/>
              <w:overflowPunct/>
              <w:topLinePunct w:val="0"/>
              <w:autoSpaceDE/>
              <w:autoSpaceDN/>
              <w:bidi w:val="0"/>
              <w:spacing w:line="500" w:lineRule="exact"/>
              <w:ind w:left="62" w:right="52"/>
              <w:jc w:val="center"/>
              <w:rPr>
                <w:rFonts w:hint="eastAsia" w:ascii="宋体" w:hAnsi="宋体" w:eastAsia="宋体" w:cs="宋体"/>
                <w:b w:val="0"/>
                <w:bCs w:val="0"/>
                <w:color w:val="000000"/>
                <w:sz w:val="24"/>
                <w:szCs w:val="24"/>
                <w:lang w:val="en-US"/>
              </w:rPr>
            </w:pPr>
            <w:r>
              <w:rPr>
                <w:rFonts w:hint="eastAsia" w:ascii="宋体" w:hAnsi="宋体" w:eastAsia="宋体" w:cs="宋体"/>
                <w:b w:val="0"/>
                <w:bCs w:val="0"/>
                <w:color w:val="000000"/>
                <w:sz w:val="24"/>
                <w:szCs w:val="24"/>
                <w:lang w:val="en-US"/>
              </w:rPr>
              <w:t>信用信息评价</w:t>
            </w:r>
          </w:p>
          <w:p w14:paraId="6B3BF8F9">
            <w:pPr>
              <w:pStyle w:val="20"/>
              <w:keepNext w:val="0"/>
              <w:keepLines w:val="0"/>
              <w:pageBreakBefore w:val="0"/>
              <w:widowControl w:val="0"/>
              <w:kinsoku/>
              <w:wordWrap/>
              <w:overflowPunct/>
              <w:topLinePunct w:val="0"/>
              <w:autoSpaceDE/>
              <w:autoSpaceDN/>
              <w:bidi w:val="0"/>
              <w:spacing w:line="500" w:lineRule="exact"/>
              <w:ind w:left="62" w:leftChars="0" w:right="52" w:rightChars="0"/>
              <w:jc w:val="center"/>
              <w:rPr>
                <w:rFonts w:hint="eastAsia" w:ascii="宋体" w:hAnsi="宋体" w:eastAsia="宋体" w:cs="宋体"/>
                <w:b w:val="0"/>
                <w:bCs w:val="0"/>
                <w:color w:val="000000"/>
                <w:kern w:val="2"/>
                <w:sz w:val="24"/>
                <w:szCs w:val="24"/>
                <w:lang w:val="en-US" w:eastAsia="zh-CN" w:bidi="zh-CN"/>
              </w:rPr>
            </w:pPr>
            <w:r>
              <w:rPr>
                <w:rFonts w:hint="eastAsia" w:ascii="宋体" w:hAnsi="宋体" w:eastAsia="宋体" w:cs="宋体"/>
                <w:b w:val="0"/>
                <w:bCs w:val="0"/>
                <w:color w:val="000000"/>
                <w:sz w:val="24"/>
                <w:szCs w:val="24"/>
                <w:lang w:val="en-US"/>
              </w:rPr>
              <w:t>（10分）</w:t>
            </w:r>
          </w:p>
        </w:tc>
        <w:tc>
          <w:tcPr>
            <w:tcW w:w="6323" w:type="dxa"/>
            <w:noWrap w:val="0"/>
            <w:vAlign w:val="center"/>
          </w:tcPr>
          <w:p w14:paraId="7C7D3B7D">
            <w:pPr>
              <w:keepNext w:val="0"/>
              <w:keepLines w:val="0"/>
              <w:pageBreakBefore w:val="0"/>
              <w:widowControl w:val="0"/>
              <w:kinsoku/>
              <w:wordWrap/>
              <w:overflowPunct/>
              <w:topLinePunct w:val="0"/>
              <w:autoSpaceDE/>
              <w:autoSpaceDN/>
              <w:bidi w:val="0"/>
              <w:spacing w:line="500" w:lineRule="exact"/>
              <w:ind w:firstLine="480" w:firstLineChars="20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投标人（独立体或联合体</w:t>
            </w:r>
            <w:r>
              <w:rPr>
                <w:rFonts w:hint="eastAsia" w:ascii="宋体" w:hAnsi="宋体" w:eastAsia="宋体" w:cs="宋体"/>
                <w:b w:val="0"/>
                <w:bCs w:val="0"/>
                <w:color w:val="000000"/>
                <w:sz w:val="24"/>
                <w:szCs w:val="24"/>
                <w:lang w:val="en-US" w:eastAsia="zh-CN"/>
              </w:rPr>
              <w:t>各方</w:t>
            </w:r>
            <w:r>
              <w:rPr>
                <w:rFonts w:hint="eastAsia" w:ascii="宋体" w:hAnsi="宋体" w:eastAsia="宋体" w:cs="宋体"/>
                <w:b w:val="0"/>
                <w:bCs w:val="0"/>
                <w:color w:val="000000"/>
                <w:sz w:val="24"/>
                <w:szCs w:val="24"/>
              </w:rPr>
              <w:t>）根据广东省水利厅关于印发《广东省水利厅关于水利建设市场信用的管理办法》的通知[粤水规范字(2019)1号]及广东省水利厅关于延长《广东省水利厅关于水利建设市场信用的管理办法》有效期的通知，在广东省内依法建立了信用档案的水利建设市场主体初始信用分为100分，分值权重为10%，按照评标时查询的信用分值(超100分的按100分计算)乘以10%计算所得最终信用得分（两个或者两个以上水利建设市场主体组成联合体投标时，以信用分值较低主体的信用分值计算信用得分)。</w:t>
            </w:r>
          </w:p>
          <w:p w14:paraId="30200A5B">
            <w:pPr>
              <w:keepNext w:val="0"/>
              <w:keepLines w:val="0"/>
              <w:pageBreakBefore w:val="0"/>
              <w:widowControl w:val="0"/>
              <w:kinsoku/>
              <w:wordWrap/>
              <w:overflowPunct/>
              <w:topLinePunct w:val="0"/>
              <w:autoSpaceDE/>
              <w:autoSpaceDN/>
              <w:bidi w:val="0"/>
              <w:spacing w:line="500" w:lineRule="exact"/>
              <w:ind w:firstLine="480" w:firstLineChars="200"/>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sz w:val="24"/>
                <w:szCs w:val="24"/>
                <w:lang w:val="en-US" w:eastAsia="zh-CN"/>
              </w:rPr>
              <w:t>注：提供</w:t>
            </w:r>
            <w:r>
              <w:rPr>
                <w:rFonts w:hint="eastAsia" w:ascii="宋体" w:hAnsi="宋体" w:eastAsia="宋体" w:cs="宋体"/>
                <w:b w:val="0"/>
                <w:bCs w:val="0"/>
                <w:color w:val="000000"/>
                <w:sz w:val="24"/>
                <w:szCs w:val="24"/>
              </w:rPr>
              <w:t>广东省水利厅网站(首页-公共服务-水利建设市场信用信息平台-广东省水利建设市场信用信息平台-</w:t>
            </w:r>
            <w:r>
              <w:rPr>
                <w:rFonts w:hint="eastAsia" w:ascii="宋体" w:hAnsi="宋体" w:eastAsia="宋体" w:cs="宋体"/>
                <w:b w:val="0"/>
                <w:bCs w:val="0"/>
                <w:color w:val="000000"/>
                <w:sz w:val="24"/>
                <w:szCs w:val="24"/>
                <w:lang w:val="en-US" w:eastAsia="zh-CN"/>
              </w:rPr>
              <w:t>动态信用</w:t>
            </w:r>
            <w:r>
              <w:rPr>
                <w:rFonts w:hint="eastAsia" w:ascii="宋体" w:hAnsi="宋体" w:eastAsia="宋体" w:cs="宋体"/>
                <w:b w:val="0"/>
                <w:bCs w:val="0"/>
                <w:color w:val="000000"/>
                <w:sz w:val="24"/>
                <w:szCs w:val="24"/>
              </w:rPr>
              <w:t>）栏信息及企业信用分值的网页截图。以开标当天招标代理机构在监督单位的见证下并在交易中心网上实时截图打印的为准。</w:t>
            </w:r>
          </w:p>
        </w:tc>
      </w:tr>
      <w:tr w14:paraId="08D482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0" w:hRule="atLeast"/>
          <w:jc w:val="center"/>
        </w:trPr>
        <w:tc>
          <w:tcPr>
            <w:tcW w:w="645" w:type="dxa"/>
            <w:vMerge w:val="continue"/>
            <w:noWrap w:val="0"/>
            <w:vAlign w:val="center"/>
          </w:tcPr>
          <w:p w14:paraId="24D65D43">
            <w:pPr>
              <w:pStyle w:val="20"/>
              <w:keepNext w:val="0"/>
              <w:keepLines w:val="0"/>
              <w:pageBreakBefore w:val="0"/>
              <w:widowControl w:val="0"/>
              <w:kinsoku/>
              <w:wordWrap/>
              <w:overflowPunct/>
              <w:topLinePunct w:val="0"/>
              <w:autoSpaceDE/>
              <w:autoSpaceDN/>
              <w:bidi w:val="0"/>
              <w:spacing w:line="500" w:lineRule="exact"/>
              <w:jc w:val="center"/>
              <w:rPr>
                <w:rFonts w:hint="eastAsia" w:ascii="宋体" w:hAnsi="宋体" w:eastAsia="宋体" w:cs="宋体"/>
                <w:color w:val="000000"/>
                <w:sz w:val="24"/>
                <w:highlight w:val="none"/>
                <w:lang w:val="en-US" w:eastAsia="zh-CN"/>
              </w:rPr>
            </w:pPr>
          </w:p>
        </w:tc>
        <w:tc>
          <w:tcPr>
            <w:tcW w:w="1107" w:type="dxa"/>
            <w:vMerge w:val="continue"/>
            <w:noWrap w:val="0"/>
            <w:vAlign w:val="center"/>
          </w:tcPr>
          <w:p w14:paraId="3CCC9910">
            <w:pPr>
              <w:pStyle w:val="20"/>
              <w:keepNext w:val="0"/>
              <w:keepLines w:val="0"/>
              <w:pageBreakBefore w:val="0"/>
              <w:widowControl w:val="0"/>
              <w:kinsoku/>
              <w:wordWrap/>
              <w:overflowPunct/>
              <w:topLinePunct w:val="0"/>
              <w:autoSpaceDE/>
              <w:autoSpaceDN/>
              <w:bidi w:val="0"/>
              <w:spacing w:line="500" w:lineRule="exact"/>
              <w:ind w:right="127"/>
              <w:jc w:val="center"/>
              <w:rPr>
                <w:rFonts w:hint="eastAsia" w:ascii="宋体" w:hAnsi="宋体" w:eastAsia="宋体" w:cs="宋体"/>
                <w:color w:val="000000"/>
                <w:sz w:val="24"/>
                <w:highlight w:val="none"/>
                <w:lang w:val="en-US" w:eastAsia="zh-CN"/>
              </w:rPr>
            </w:pPr>
          </w:p>
        </w:tc>
        <w:tc>
          <w:tcPr>
            <w:tcW w:w="1740" w:type="dxa"/>
            <w:gridSpan w:val="2"/>
            <w:noWrap w:val="0"/>
            <w:vAlign w:val="center"/>
          </w:tcPr>
          <w:p w14:paraId="2B6B79E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lang w:val="en-US"/>
              </w:rPr>
              <w:t>投标人</w:t>
            </w:r>
            <w:r>
              <w:rPr>
                <w:rFonts w:hint="eastAsia" w:ascii="宋体" w:hAnsi="宋体" w:eastAsia="宋体" w:cs="宋体"/>
                <w:color w:val="auto"/>
                <w:sz w:val="24"/>
                <w:szCs w:val="24"/>
                <w:highlight w:val="none"/>
              </w:rPr>
              <w:t>业绩</w:t>
            </w:r>
          </w:p>
          <w:p w14:paraId="084DF304">
            <w:pPr>
              <w:pStyle w:val="20"/>
              <w:spacing w:line="276" w:lineRule="auto"/>
              <w:ind w:left="62" w:leftChars="0" w:right="52" w:rightChars="0"/>
              <w:jc w:val="center"/>
              <w:rPr>
                <w:rFonts w:hint="eastAsia" w:ascii="宋体" w:hAnsi="宋体" w:eastAsia="宋体" w:cs="宋体"/>
                <w:color w:val="000000"/>
                <w:kern w:val="2"/>
                <w:sz w:val="24"/>
                <w:szCs w:val="24"/>
                <w:highlight w:val="none"/>
                <w:lang w:val="en-US" w:eastAsia="zh-CN" w:bidi="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分）</w:t>
            </w:r>
          </w:p>
        </w:tc>
        <w:tc>
          <w:tcPr>
            <w:tcW w:w="6323" w:type="dxa"/>
            <w:noWrap w:val="0"/>
            <w:vAlign w:val="center"/>
          </w:tcPr>
          <w:p w14:paraId="7923E272">
            <w:pPr>
              <w:keepNext w:val="0"/>
              <w:keepLines w:val="0"/>
              <w:pageBreakBefore w:val="0"/>
              <w:widowControl w:val="0"/>
              <w:kinsoku/>
              <w:wordWrap/>
              <w:overflowPunct/>
              <w:topLinePunct w:val="0"/>
              <w:autoSpaceDE/>
              <w:autoSpaceDN/>
              <w:bidi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投标人</w:t>
            </w:r>
            <w:r>
              <w:rPr>
                <w:rFonts w:hint="eastAsia" w:ascii="宋体" w:hAnsi="宋体" w:eastAsia="宋体" w:cs="宋体"/>
                <w:color w:val="auto"/>
                <w:sz w:val="24"/>
                <w:szCs w:val="24"/>
                <w:highlight w:val="none"/>
                <w:lang w:eastAsia="zh-CN"/>
              </w:rPr>
              <w:t>自</w:t>
            </w:r>
            <w:r>
              <w:rPr>
                <w:rFonts w:hint="eastAsia" w:ascii="宋体" w:hAnsi="宋体" w:eastAsia="宋体" w:cs="宋体"/>
                <w:color w:val="auto"/>
                <w:sz w:val="24"/>
                <w:szCs w:val="24"/>
                <w:highlight w:val="none"/>
              </w:rPr>
              <w:t>202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年1月1日</w:t>
            </w:r>
            <w:r>
              <w:rPr>
                <w:rFonts w:hint="eastAsia" w:ascii="宋体" w:hAnsi="宋体" w:eastAsia="宋体" w:cs="宋体"/>
                <w:color w:val="auto"/>
                <w:sz w:val="24"/>
                <w:szCs w:val="24"/>
                <w:highlight w:val="none"/>
                <w:lang w:eastAsia="zh-CN"/>
              </w:rPr>
              <w:t>起</w:t>
            </w:r>
            <w:r>
              <w:rPr>
                <w:rFonts w:hint="eastAsia" w:ascii="宋体" w:hAnsi="宋体" w:eastAsia="宋体" w:cs="宋体"/>
                <w:color w:val="auto"/>
                <w:sz w:val="24"/>
                <w:szCs w:val="24"/>
                <w:highlight w:val="none"/>
              </w:rPr>
              <w:t>至投标文件递交截止之日止，承担过</w:t>
            </w:r>
            <w:r>
              <w:rPr>
                <w:rFonts w:hint="eastAsia" w:ascii="宋体" w:hAnsi="宋体" w:eastAsia="宋体" w:cs="宋体"/>
                <w:color w:val="auto"/>
                <w:sz w:val="24"/>
                <w:szCs w:val="24"/>
                <w:highlight w:val="none"/>
                <w:lang w:val="en-US" w:eastAsia="zh-CN"/>
              </w:rPr>
              <w:t>耕地恢复或土地整治类工程</w:t>
            </w:r>
            <w:r>
              <w:rPr>
                <w:rFonts w:hint="eastAsia" w:ascii="宋体" w:hAnsi="宋体" w:eastAsia="宋体" w:cs="宋体"/>
                <w:color w:val="auto"/>
                <w:sz w:val="24"/>
                <w:szCs w:val="24"/>
                <w:highlight w:val="none"/>
              </w:rPr>
              <w:t>设计业绩</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，每项得</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本项</w:t>
            </w:r>
            <w:r>
              <w:rPr>
                <w:rFonts w:hint="eastAsia" w:ascii="宋体" w:hAnsi="宋体" w:eastAsia="宋体" w:cs="宋体"/>
                <w:color w:val="auto"/>
                <w:sz w:val="24"/>
                <w:szCs w:val="24"/>
                <w:highlight w:val="none"/>
              </w:rPr>
              <w:t>最高得</w:t>
            </w:r>
            <w:r>
              <w:rPr>
                <w:rFonts w:hint="eastAsia" w:ascii="宋体" w:hAnsi="宋体" w:cs="宋体"/>
                <w:color w:val="auto"/>
                <w:sz w:val="24"/>
                <w:szCs w:val="24"/>
                <w:highlight w:val="none"/>
                <w:lang w:val="en-US" w:eastAsia="zh-CN"/>
              </w:rPr>
              <w:t>12</w:t>
            </w:r>
            <w:r>
              <w:rPr>
                <w:rFonts w:hint="eastAsia" w:ascii="宋体" w:hAnsi="宋体" w:eastAsia="宋体" w:cs="宋体"/>
                <w:color w:val="auto"/>
                <w:sz w:val="24"/>
                <w:szCs w:val="24"/>
                <w:highlight w:val="none"/>
              </w:rPr>
              <w:t>分。</w:t>
            </w:r>
          </w:p>
          <w:p w14:paraId="4341AC5B">
            <w:pPr>
              <w:keepNext w:val="0"/>
              <w:keepLines w:val="0"/>
              <w:pageBreakBefore w:val="0"/>
              <w:widowControl w:val="0"/>
              <w:kinsoku/>
              <w:wordWrap/>
              <w:overflowPunct/>
              <w:topLinePunct w:val="0"/>
              <w:autoSpaceDE/>
              <w:autoSpaceDN/>
              <w:bidi w:val="0"/>
              <w:spacing w:line="50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注：1.</w:t>
            </w:r>
            <w:r>
              <w:rPr>
                <w:rFonts w:hint="eastAsia" w:ascii="宋体" w:hAnsi="宋体" w:eastAsia="宋体" w:cs="宋体"/>
                <w:color w:val="auto"/>
                <w:sz w:val="24"/>
                <w:szCs w:val="24"/>
                <w:highlight w:val="none"/>
                <w:lang w:eastAsia="zh-CN"/>
              </w:rPr>
              <w:t>要求提供中标通知书或设计合同（关键页）</w:t>
            </w:r>
            <w:r>
              <w:rPr>
                <w:rFonts w:hint="eastAsia" w:ascii="宋体" w:hAnsi="宋体" w:cs="宋体"/>
                <w:color w:val="auto"/>
                <w:sz w:val="24"/>
                <w:szCs w:val="24"/>
                <w:highlight w:val="none"/>
                <w:lang w:eastAsia="zh-CN"/>
              </w:rPr>
              <w:t>彩色</w:t>
            </w:r>
            <w:r>
              <w:rPr>
                <w:rFonts w:hint="eastAsia" w:ascii="宋体" w:hAnsi="宋体" w:eastAsia="宋体" w:cs="宋体"/>
                <w:color w:val="auto"/>
                <w:sz w:val="24"/>
                <w:szCs w:val="24"/>
                <w:highlight w:val="none"/>
                <w:lang w:eastAsia="zh-CN"/>
              </w:rPr>
              <w:t>扫描件，并加盖公章。</w:t>
            </w:r>
          </w:p>
          <w:p w14:paraId="7C610ABA">
            <w:pPr>
              <w:keepNext w:val="0"/>
              <w:keepLines w:val="0"/>
              <w:pageBreakBefore w:val="0"/>
              <w:widowControl w:val="0"/>
              <w:kinsoku/>
              <w:wordWrap/>
              <w:overflowPunct/>
              <w:topLinePunct w:val="0"/>
              <w:autoSpaceDE/>
              <w:autoSpaceDN/>
              <w:bidi w:val="0"/>
              <w:spacing w:line="50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业绩时间以合同签订日期为准、业绩规模以合同注明或业主证明材料注明的规模为准。</w:t>
            </w:r>
          </w:p>
          <w:p w14:paraId="024C7AC5">
            <w:pPr>
              <w:keepNext w:val="0"/>
              <w:keepLines w:val="0"/>
              <w:pageBreakBefore w:val="0"/>
              <w:widowControl w:val="0"/>
              <w:kinsoku/>
              <w:wordWrap/>
              <w:overflowPunct/>
              <w:topLinePunct w:val="0"/>
              <w:autoSpaceDE/>
              <w:autoSpaceDN/>
              <w:bidi w:val="0"/>
              <w:spacing w:line="500" w:lineRule="exact"/>
              <w:ind w:firstLine="480" w:firstLineChars="200"/>
              <w:rPr>
                <w:rFonts w:hint="eastAsia" w:ascii="宋体" w:hAnsi="宋体" w:eastAsia="宋体" w:cs="宋体"/>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同一项目业绩不累计、不重复得分。</w:t>
            </w:r>
          </w:p>
        </w:tc>
      </w:tr>
      <w:tr w14:paraId="1E21C8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8" w:hRule="atLeast"/>
          <w:jc w:val="center"/>
        </w:trPr>
        <w:tc>
          <w:tcPr>
            <w:tcW w:w="645" w:type="dxa"/>
            <w:vMerge w:val="continue"/>
            <w:noWrap w:val="0"/>
            <w:vAlign w:val="center"/>
          </w:tcPr>
          <w:p w14:paraId="497D2946">
            <w:pPr>
              <w:pStyle w:val="20"/>
              <w:keepNext w:val="0"/>
              <w:keepLines w:val="0"/>
              <w:pageBreakBefore w:val="0"/>
              <w:widowControl w:val="0"/>
              <w:kinsoku/>
              <w:wordWrap/>
              <w:overflowPunct/>
              <w:topLinePunct w:val="0"/>
              <w:autoSpaceDE/>
              <w:autoSpaceDN/>
              <w:bidi w:val="0"/>
              <w:spacing w:line="500" w:lineRule="exact"/>
              <w:jc w:val="center"/>
              <w:rPr>
                <w:rFonts w:hint="eastAsia" w:ascii="宋体" w:hAnsi="宋体" w:eastAsia="宋体" w:cs="宋体"/>
                <w:color w:val="000000"/>
                <w:sz w:val="24"/>
                <w:highlight w:val="none"/>
                <w:lang w:val="en-US" w:eastAsia="zh-CN"/>
              </w:rPr>
            </w:pPr>
          </w:p>
        </w:tc>
        <w:tc>
          <w:tcPr>
            <w:tcW w:w="1107" w:type="dxa"/>
            <w:vMerge w:val="continue"/>
            <w:noWrap w:val="0"/>
            <w:vAlign w:val="center"/>
          </w:tcPr>
          <w:p w14:paraId="142972EB">
            <w:pPr>
              <w:pStyle w:val="20"/>
              <w:keepNext w:val="0"/>
              <w:keepLines w:val="0"/>
              <w:pageBreakBefore w:val="0"/>
              <w:widowControl w:val="0"/>
              <w:kinsoku/>
              <w:wordWrap/>
              <w:overflowPunct/>
              <w:topLinePunct w:val="0"/>
              <w:autoSpaceDE/>
              <w:autoSpaceDN/>
              <w:bidi w:val="0"/>
              <w:spacing w:line="500" w:lineRule="exact"/>
              <w:ind w:right="127"/>
              <w:jc w:val="center"/>
              <w:rPr>
                <w:rFonts w:hint="eastAsia" w:ascii="宋体" w:hAnsi="宋体" w:eastAsia="宋体" w:cs="宋体"/>
                <w:color w:val="000000"/>
                <w:sz w:val="24"/>
                <w:highlight w:val="none"/>
                <w:lang w:val="en-US" w:eastAsia="zh-CN"/>
              </w:rPr>
            </w:pPr>
          </w:p>
        </w:tc>
        <w:tc>
          <w:tcPr>
            <w:tcW w:w="1740" w:type="dxa"/>
            <w:gridSpan w:val="2"/>
            <w:noWrap w:val="0"/>
            <w:vAlign w:val="center"/>
          </w:tcPr>
          <w:p w14:paraId="22976DFF">
            <w:pPr>
              <w:pStyle w:val="20"/>
              <w:spacing w:line="276" w:lineRule="auto"/>
              <w:ind w:left="62" w:leftChars="0" w:right="52" w:rightChars="0"/>
              <w:jc w:val="center"/>
              <w:rPr>
                <w:rFonts w:hint="eastAsia" w:ascii="宋体" w:hAnsi="宋体" w:eastAsia="宋体" w:cs="宋体"/>
                <w:sz w:val="24"/>
                <w:szCs w:val="24"/>
              </w:rPr>
            </w:pPr>
            <w:r>
              <w:rPr>
                <w:rFonts w:hint="eastAsia" w:ascii="宋体" w:hAnsi="宋体" w:eastAsia="宋体" w:cs="宋体"/>
                <w:kern w:val="2"/>
                <w:sz w:val="24"/>
                <w:szCs w:val="24"/>
                <w:lang w:val="en-US" w:eastAsia="zh-CN" w:bidi="ar-SA"/>
              </w:rPr>
              <w:t>企业信用认证</w:t>
            </w:r>
            <w:r>
              <w:rPr>
                <w:rFonts w:hint="eastAsia" w:ascii="宋体" w:hAnsi="宋体" w:eastAsia="宋体" w:cs="宋体"/>
                <w:sz w:val="24"/>
                <w:szCs w:val="24"/>
                <w:lang w:eastAsia="zh-CN"/>
              </w:rPr>
              <w:t>（</w:t>
            </w:r>
            <w:r>
              <w:rPr>
                <w:rFonts w:hint="eastAsia" w:ascii="宋体" w:hAnsi="宋体" w:cs="宋体"/>
                <w:sz w:val="24"/>
                <w:szCs w:val="24"/>
                <w:lang w:val="en-US" w:eastAsia="zh-CN"/>
              </w:rPr>
              <w:t>3</w:t>
            </w:r>
            <w:r>
              <w:rPr>
                <w:rFonts w:hint="eastAsia" w:ascii="宋体" w:hAnsi="宋体" w:eastAsia="宋体" w:cs="宋体"/>
                <w:sz w:val="24"/>
                <w:szCs w:val="24"/>
                <w:lang w:val="en-US" w:eastAsia="zh-CN"/>
              </w:rPr>
              <w:t>分</w:t>
            </w:r>
            <w:r>
              <w:rPr>
                <w:rFonts w:hint="eastAsia" w:ascii="宋体" w:hAnsi="宋体" w:eastAsia="宋体" w:cs="宋体"/>
                <w:sz w:val="24"/>
                <w:szCs w:val="24"/>
                <w:lang w:eastAsia="zh-CN"/>
              </w:rPr>
              <w:t>）</w:t>
            </w:r>
          </w:p>
        </w:tc>
        <w:tc>
          <w:tcPr>
            <w:tcW w:w="6323" w:type="dxa"/>
            <w:noWrap w:val="0"/>
            <w:vAlign w:val="center"/>
          </w:tcPr>
          <w:p w14:paraId="3A75FE5B">
            <w:pPr>
              <w:spacing w:line="360" w:lineRule="auto"/>
              <w:rPr>
                <w:rFonts w:hint="eastAsia" w:ascii="宋体" w:hAnsi="宋体" w:eastAsia="宋体" w:cs="宋体"/>
                <w:sz w:val="24"/>
                <w:szCs w:val="24"/>
                <w:lang w:eastAsia="zh-CN"/>
              </w:rPr>
            </w:pPr>
            <w:r>
              <w:rPr>
                <w:rFonts w:hint="eastAsia" w:ascii="宋体" w:hAnsi="宋体" w:cs="宋体"/>
                <w:sz w:val="24"/>
                <w:szCs w:val="24"/>
                <w:lang w:val="en-US" w:eastAsia="zh-CN"/>
              </w:rPr>
              <w:t>企业获得AAA级信用证书</w:t>
            </w:r>
            <w:r>
              <w:rPr>
                <w:rFonts w:hint="eastAsia" w:ascii="宋体" w:hAnsi="宋体" w:eastAsia="宋体" w:cs="宋体"/>
                <w:sz w:val="24"/>
                <w:szCs w:val="24"/>
                <w:lang w:eastAsia="zh-CN"/>
              </w:rPr>
              <w:t>，</w:t>
            </w:r>
            <w:r>
              <w:rPr>
                <w:rFonts w:hint="eastAsia" w:ascii="宋体" w:hAnsi="宋体" w:eastAsia="宋体" w:cs="宋体"/>
                <w:sz w:val="24"/>
                <w:szCs w:val="24"/>
              </w:rPr>
              <w:t>得</w:t>
            </w:r>
            <w:r>
              <w:rPr>
                <w:rFonts w:hint="eastAsia" w:ascii="宋体" w:hAnsi="宋体" w:cs="宋体"/>
                <w:sz w:val="24"/>
                <w:szCs w:val="24"/>
                <w:lang w:val="en-US" w:eastAsia="zh-CN"/>
              </w:rPr>
              <w:t>3</w:t>
            </w:r>
            <w:r>
              <w:rPr>
                <w:rFonts w:hint="eastAsia" w:ascii="宋体" w:hAnsi="宋体" w:eastAsia="宋体" w:cs="宋体"/>
                <w:sz w:val="24"/>
                <w:szCs w:val="24"/>
              </w:rPr>
              <w:t>分</w:t>
            </w:r>
            <w:r>
              <w:rPr>
                <w:rFonts w:hint="eastAsia" w:ascii="宋体" w:hAnsi="宋体" w:eastAsia="宋体" w:cs="宋体"/>
                <w:sz w:val="24"/>
                <w:szCs w:val="24"/>
                <w:lang w:eastAsia="zh-CN"/>
              </w:rPr>
              <w:t>，</w:t>
            </w:r>
            <w:r>
              <w:rPr>
                <w:rFonts w:hint="eastAsia" w:ascii="宋体" w:hAnsi="宋体" w:eastAsia="宋体" w:cs="宋体"/>
                <w:sz w:val="24"/>
                <w:szCs w:val="24"/>
              </w:rPr>
              <w:t>本项最高得</w:t>
            </w:r>
            <w:r>
              <w:rPr>
                <w:rFonts w:hint="eastAsia" w:ascii="宋体" w:hAnsi="宋体" w:cs="宋体"/>
                <w:sz w:val="24"/>
                <w:szCs w:val="24"/>
                <w:lang w:val="en-US" w:eastAsia="zh-CN"/>
              </w:rPr>
              <w:t>3</w:t>
            </w:r>
            <w:r>
              <w:rPr>
                <w:rFonts w:hint="eastAsia" w:ascii="宋体" w:hAnsi="宋体" w:eastAsia="宋体" w:cs="宋体"/>
                <w:sz w:val="24"/>
                <w:szCs w:val="24"/>
              </w:rPr>
              <w:t>分</w:t>
            </w:r>
            <w:r>
              <w:rPr>
                <w:rFonts w:hint="eastAsia" w:ascii="宋体" w:hAnsi="宋体" w:eastAsia="宋体" w:cs="宋体"/>
                <w:sz w:val="24"/>
                <w:szCs w:val="24"/>
                <w:lang w:eastAsia="zh-CN"/>
              </w:rPr>
              <w:t>。</w:t>
            </w:r>
          </w:p>
          <w:p w14:paraId="67D1514F">
            <w:pPr>
              <w:spacing w:line="360" w:lineRule="auto"/>
              <w:rPr>
                <w:rFonts w:hint="eastAsia"/>
                <w:lang w:val="en-US" w:eastAsia="zh-CN"/>
              </w:rPr>
            </w:pPr>
            <w:r>
              <w:rPr>
                <w:rFonts w:hint="eastAsia" w:ascii="宋体" w:hAnsi="宋体" w:eastAsia="宋体" w:cs="宋体"/>
                <w:sz w:val="24"/>
                <w:szCs w:val="24"/>
                <w:lang w:eastAsia="zh-CN"/>
              </w:rPr>
              <w:t>注：</w:t>
            </w:r>
            <w:r>
              <w:rPr>
                <w:rFonts w:hint="eastAsia" w:ascii="宋体" w:hAnsi="宋体" w:cs="宋体"/>
                <w:sz w:val="24"/>
                <w:szCs w:val="24"/>
                <w:lang w:val="en-US" w:eastAsia="zh-CN"/>
              </w:rPr>
              <w:t>需提供证书彩色扫描件,及企业在全国信用企业公示平台的网址。</w:t>
            </w:r>
          </w:p>
        </w:tc>
      </w:tr>
      <w:tr w14:paraId="326A8E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jc w:val="center"/>
        </w:trPr>
        <w:tc>
          <w:tcPr>
            <w:tcW w:w="645" w:type="dxa"/>
            <w:vMerge w:val="continue"/>
            <w:tcBorders>
              <w:bottom w:val="single" w:color="auto" w:sz="4" w:space="0"/>
            </w:tcBorders>
            <w:noWrap w:val="0"/>
            <w:vAlign w:val="center"/>
          </w:tcPr>
          <w:p w14:paraId="5F4C3659">
            <w:pPr>
              <w:pStyle w:val="20"/>
              <w:keepNext w:val="0"/>
              <w:keepLines w:val="0"/>
              <w:pageBreakBefore w:val="0"/>
              <w:widowControl w:val="0"/>
              <w:kinsoku/>
              <w:wordWrap/>
              <w:overflowPunct/>
              <w:topLinePunct w:val="0"/>
              <w:autoSpaceDE/>
              <w:autoSpaceDN/>
              <w:bidi w:val="0"/>
              <w:spacing w:line="500" w:lineRule="exact"/>
              <w:jc w:val="center"/>
              <w:rPr>
                <w:rFonts w:hint="eastAsia" w:ascii="宋体" w:hAnsi="宋体" w:eastAsia="宋体" w:cs="宋体"/>
                <w:color w:val="000000"/>
                <w:sz w:val="24"/>
                <w:highlight w:val="none"/>
              </w:rPr>
            </w:pPr>
          </w:p>
        </w:tc>
        <w:tc>
          <w:tcPr>
            <w:tcW w:w="1107" w:type="dxa"/>
            <w:vMerge w:val="continue"/>
            <w:tcBorders>
              <w:bottom w:val="single" w:color="auto" w:sz="4" w:space="0"/>
            </w:tcBorders>
            <w:noWrap w:val="0"/>
            <w:vAlign w:val="center"/>
          </w:tcPr>
          <w:p w14:paraId="0B215FD3">
            <w:pPr>
              <w:pStyle w:val="20"/>
              <w:keepNext w:val="0"/>
              <w:keepLines w:val="0"/>
              <w:pageBreakBefore w:val="0"/>
              <w:widowControl w:val="0"/>
              <w:kinsoku/>
              <w:wordWrap/>
              <w:overflowPunct/>
              <w:topLinePunct w:val="0"/>
              <w:autoSpaceDE/>
              <w:autoSpaceDN/>
              <w:bidi w:val="0"/>
              <w:spacing w:line="500" w:lineRule="exact"/>
              <w:ind w:right="127"/>
              <w:jc w:val="center"/>
              <w:rPr>
                <w:rFonts w:hint="eastAsia" w:ascii="宋体" w:hAnsi="宋体" w:eastAsia="宋体" w:cs="宋体"/>
                <w:color w:val="000000"/>
                <w:sz w:val="24"/>
                <w:highlight w:val="none"/>
                <w:lang w:val="en-US"/>
              </w:rPr>
            </w:pPr>
          </w:p>
        </w:tc>
        <w:tc>
          <w:tcPr>
            <w:tcW w:w="841" w:type="dxa"/>
            <w:tcBorders>
              <w:bottom w:val="single" w:color="auto" w:sz="4" w:space="0"/>
            </w:tcBorders>
            <w:noWrap w:val="0"/>
            <w:vAlign w:val="center"/>
          </w:tcPr>
          <w:p w14:paraId="32DD4152">
            <w:pPr>
              <w:pStyle w:val="20"/>
              <w:keepNext w:val="0"/>
              <w:keepLines w:val="0"/>
              <w:pageBreakBefore w:val="0"/>
              <w:widowControl w:val="0"/>
              <w:kinsoku/>
              <w:wordWrap/>
              <w:overflowPunct/>
              <w:topLinePunct w:val="0"/>
              <w:autoSpaceDE/>
              <w:autoSpaceDN/>
              <w:bidi w:val="0"/>
              <w:spacing w:line="500" w:lineRule="exact"/>
              <w:ind w:left="62" w:right="52"/>
              <w:jc w:val="center"/>
              <w:rPr>
                <w:rFonts w:hint="eastAsia" w:ascii="宋体" w:hAnsi="宋体" w:eastAsia="宋体" w:cs="宋体"/>
                <w:color w:val="000000"/>
                <w:sz w:val="24"/>
                <w:highlight w:val="none"/>
                <w:lang w:val="en-US" w:eastAsia="zh-CN"/>
              </w:rPr>
            </w:pPr>
          </w:p>
        </w:tc>
        <w:tc>
          <w:tcPr>
            <w:tcW w:w="899" w:type="dxa"/>
            <w:tcBorders>
              <w:bottom w:val="single" w:color="auto" w:sz="4" w:space="0"/>
            </w:tcBorders>
            <w:noWrap w:val="0"/>
            <w:vAlign w:val="center"/>
          </w:tcPr>
          <w:p w14:paraId="063B684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项目人员要求</w:t>
            </w:r>
          </w:p>
          <w:p w14:paraId="4D00FFA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2"/>
                <w:sz w:val="24"/>
                <w:szCs w:val="24"/>
                <w:highlight w:val="none"/>
                <w:lang w:val="en-US" w:eastAsia="zh-CN" w:bidi="zh-CN"/>
              </w:rPr>
            </w:pPr>
            <w:r>
              <w:rPr>
                <w:rFonts w:hint="eastAsia" w:ascii="宋体" w:hAnsi="宋体" w:eastAsia="宋体" w:cs="宋体"/>
                <w:sz w:val="24"/>
                <w:szCs w:val="24"/>
              </w:rPr>
              <w:t>（</w:t>
            </w:r>
            <w:r>
              <w:rPr>
                <w:rFonts w:hint="eastAsia" w:ascii="宋体" w:hAnsi="宋体" w:cs="宋体"/>
                <w:sz w:val="24"/>
                <w:szCs w:val="24"/>
                <w:lang w:val="en-US" w:eastAsia="zh-CN"/>
              </w:rPr>
              <w:t>25</w:t>
            </w:r>
            <w:r>
              <w:rPr>
                <w:rFonts w:hint="eastAsia" w:ascii="宋体" w:hAnsi="宋体" w:eastAsia="宋体" w:cs="宋体"/>
                <w:sz w:val="24"/>
                <w:szCs w:val="24"/>
              </w:rPr>
              <w:t>分）</w:t>
            </w:r>
          </w:p>
        </w:tc>
        <w:tc>
          <w:tcPr>
            <w:tcW w:w="6323" w:type="dxa"/>
            <w:noWrap w:val="0"/>
            <w:vAlign w:val="center"/>
          </w:tcPr>
          <w:p w14:paraId="2DA86577">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拟投入本项目的人员（</w:t>
            </w:r>
            <w:r>
              <w:rPr>
                <w:rFonts w:hint="eastAsia" w:ascii="宋体" w:hAnsi="宋体" w:cs="宋体"/>
                <w:sz w:val="24"/>
                <w:szCs w:val="24"/>
                <w:lang w:val="en-US" w:eastAsia="zh-CN"/>
              </w:rPr>
              <w:t>项目</w:t>
            </w:r>
            <w:r>
              <w:rPr>
                <w:rFonts w:hint="eastAsia" w:ascii="宋体" w:hAnsi="宋体" w:eastAsia="宋体" w:cs="宋体"/>
                <w:sz w:val="24"/>
                <w:szCs w:val="24"/>
                <w:lang w:val="en-US" w:eastAsia="zh-CN"/>
              </w:rPr>
              <w:t>负责人除外）情况：</w:t>
            </w:r>
          </w:p>
          <w:p w14:paraId="3E91ADA8">
            <w:pPr>
              <w:numPr>
                <w:ilvl w:val="0"/>
                <w:numId w:val="0"/>
              </w:numPr>
              <w:spacing w:line="360" w:lineRule="auto"/>
              <w:ind w:firstLine="482" w:firstLineChars="200"/>
              <w:rPr>
                <w:rFonts w:hint="eastAsia" w:ascii="宋体" w:hAnsi="宋体" w:eastAsia="宋体" w:cs="宋体"/>
                <w:sz w:val="24"/>
                <w:szCs w:val="24"/>
                <w:lang w:eastAsia="zh-CN"/>
              </w:rPr>
            </w:pPr>
            <w:r>
              <w:rPr>
                <w:rFonts w:hint="eastAsia" w:ascii="宋体" w:hAnsi="宋体" w:eastAsia="宋体" w:cs="宋体"/>
                <w:b/>
                <w:bCs/>
                <w:kern w:val="2"/>
                <w:sz w:val="24"/>
                <w:szCs w:val="24"/>
                <w:lang w:val="en-US" w:eastAsia="zh-CN" w:bidi="ar-SA"/>
              </w:rPr>
              <w:t>1.</w:t>
            </w:r>
            <w:r>
              <w:rPr>
                <w:rFonts w:hint="eastAsia" w:ascii="宋体" w:hAnsi="宋体" w:cs="宋体"/>
                <w:b/>
                <w:bCs/>
                <w:sz w:val="24"/>
                <w:szCs w:val="24"/>
                <w:lang w:val="en-US" w:eastAsia="zh-CN"/>
              </w:rPr>
              <w:t>设计</w:t>
            </w:r>
            <w:r>
              <w:rPr>
                <w:rFonts w:hint="eastAsia" w:ascii="宋体" w:hAnsi="宋体" w:eastAsia="宋体" w:cs="宋体"/>
                <w:b/>
                <w:bCs/>
                <w:sz w:val="24"/>
                <w:szCs w:val="24"/>
              </w:rPr>
              <w:t>专业负责人</w:t>
            </w:r>
            <w:r>
              <w:rPr>
                <w:rFonts w:hint="eastAsia" w:ascii="宋体" w:hAnsi="宋体" w:eastAsia="宋体" w:cs="宋体"/>
                <w:sz w:val="24"/>
                <w:szCs w:val="24"/>
              </w:rPr>
              <w:t>：具有</w:t>
            </w:r>
            <w:r>
              <w:rPr>
                <w:rFonts w:hint="eastAsia" w:ascii="宋体" w:hAnsi="宋体" w:cs="宋体"/>
                <w:sz w:val="24"/>
                <w:szCs w:val="24"/>
                <w:lang w:val="en-US" w:eastAsia="zh-CN"/>
              </w:rPr>
              <w:t>一级注册结构工程师注册职业证书，得3分；并具有结构专业高级工程师，</w:t>
            </w:r>
            <w:r>
              <w:rPr>
                <w:rFonts w:hint="eastAsia" w:ascii="宋体" w:hAnsi="宋体" w:eastAsia="宋体" w:cs="宋体"/>
                <w:sz w:val="24"/>
                <w:szCs w:val="24"/>
              </w:rPr>
              <w:t>得</w:t>
            </w:r>
            <w:r>
              <w:rPr>
                <w:rFonts w:hint="eastAsia" w:ascii="宋体" w:hAnsi="宋体" w:eastAsia="宋体" w:cs="宋体"/>
                <w:sz w:val="24"/>
                <w:szCs w:val="24"/>
                <w:lang w:val="en-US" w:eastAsia="zh-CN"/>
              </w:rPr>
              <w:t>2</w:t>
            </w:r>
            <w:r>
              <w:rPr>
                <w:rFonts w:hint="eastAsia" w:ascii="宋体" w:hAnsi="宋体" w:eastAsia="宋体" w:cs="宋体"/>
                <w:sz w:val="24"/>
                <w:szCs w:val="24"/>
              </w:rPr>
              <w:t>分</w:t>
            </w:r>
            <w:r>
              <w:rPr>
                <w:rFonts w:hint="eastAsia" w:ascii="宋体" w:hAnsi="宋体" w:eastAsia="宋体" w:cs="宋体"/>
                <w:sz w:val="24"/>
                <w:szCs w:val="24"/>
                <w:lang w:eastAsia="zh-CN"/>
              </w:rPr>
              <w:t>，</w:t>
            </w:r>
            <w:r>
              <w:rPr>
                <w:rFonts w:hint="eastAsia" w:ascii="宋体" w:hAnsi="宋体" w:eastAsia="宋体" w:cs="宋体"/>
                <w:sz w:val="24"/>
                <w:szCs w:val="24"/>
              </w:rPr>
              <w:t>本小项最高得</w:t>
            </w:r>
            <w:r>
              <w:rPr>
                <w:rFonts w:hint="eastAsia" w:ascii="宋体" w:hAnsi="宋体" w:eastAsia="宋体" w:cs="宋体"/>
                <w:sz w:val="24"/>
                <w:szCs w:val="24"/>
                <w:lang w:val="en-US" w:eastAsia="zh-CN"/>
              </w:rPr>
              <w:t>5</w:t>
            </w:r>
            <w:r>
              <w:rPr>
                <w:rFonts w:hint="eastAsia" w:ascii="宋体" w:hAnsi="宋体" w:eastAsia="宋体" w:cs="宋体"/>
                <w:sz w:val="24"/>
                <w:szCs w:val="24"/>
              </w:rPr>
              <w:t>分</w:t>
            </w:r>
            <w:r>
              <w:rPr>
                <w:rFonts w:hint="eastAsia" w:ascii="宋体" w:hAnsi="宋体" w:eastAsia="宋体" w:cs="宋体"/>
                <w:sz w:val="24"/>
                <w:szCs w:val="24"/>
                <w:lang w:eastAsia="zh-CN"/>
              </w:rPr>
              <w:t>；</w:t>
            </w:r>
          </w:p>
          <w:p w14:paraId="6EBEA3BA">
            <w:pPr>
              <w:numPr>
                <w:ilvl w:val="0"/>
                <w:numId w:val="0"/>
              </w:numPr>
              <w:spacing w:line="360" w:lineRule="auto"/>
              <w:ind w:firstLine="482" w:firstLineChars="200"/>
              <w:rPr>
                <w:rFonts w:hint="eastAsia" w:ascii="宋体" w:hAnsi="宋体" w:eastAsia="宋体" w:cs="宋体"/>
                <w:sz w:val="24"/>
                <w:szCs w:val="24"/>
                <w:lang w:eastAsia="zh-CN"/>
              </w:rPr>
            </w:pPr>
            <w:r>
              <w:rPr>
                <w:rFonts w:hint="eastAsia" w:ascii="宋体" w:hAnsi="宋体" w:eastAsia="宋体" w:cs="宋体"/>
                <w:b/>
                <w:bCs/>
                <w:kern w:val="2"/>
                <w:sz w:val="24"/>
                <w:szCs w:val="24"/>
                <w:lang w:val="en-US" w:eastAsia="zh-CN" w:bidi="ar-SA"/>
              </w:rPr>
              <w:t>2.</w:t>
            </w:r>
            <w:r>
              <w:rPr>
                <w:rFonts w:hint="eastAsia" w:ascii="宋体" w:hAnsi="宋体" w:eastAsia="宋体" w:cs="宋体"/>
                <w:b/>
                <w:bCs/>
                <w:sz w:val="24"/>
                <w:szCs w:val="24"/>
              </w:rPr>
              <w:t>给</w:t>
            </w:r>
            <w:r>
              <w:rPr>
                <w:rFonts w:hint="eastAsia" w:ascii="宋体" w:hAnsi="宋体" w:eastAsia="宋体" w:cs="宋体"/>
                <w:b/>
                <w:bCs/>
                <w:sz w:val="24"/>
                <w:szCs w:val="24"/>
                <w:lang w:val="en-US" w:eastAsia="zh-CN"/>
              </w:rPr>
              <w:t>水排水</w:t>
            </w:r>
            <w:r>
              <w:rPr>
                <w:rFonts w:hint="eastAsia" w:ascii="宋体" w:hAnsi="宋体" w:eastAsia="宋体" w:cs="宋体"/>
                <w:b/>
                <w:bCs/>
                <w:sz w:val="24"/>
                <w:szCs w:val="24"/>
              </w:rPr>
              <w:t>专业负责人</w:t>
            </w:r>
            <w:r>
              <w:rPr>
                <w:rFonts w:hint="eastAsia" w:ascii="宋体" w:hAnsi="宋体" w:eastAsia="宋体" w:cs="宋体"/>
                <w:sz w:val="24"/>
                <w:szCs w:val="24"/>
              </w:rPr>
              <w:t>：具有</w:t>
            </w:r>
            <w:r>
              <w:rPr>
                <w:rFonts w:hint="eastAsia" w:ascii="宋体" w:hAnsi="宋体" w:cs="宋体"/>
                <w:sz w:val="24"/>
                <w:szCs w:val="24"/>
                <w:lang w:val="en-US" w:eastAsia="zh-CN"/>
              </w:rPr>
              <w:t>注册公用设备工程师（</w:t>
            </w:r>
            <w:r>
              <w:rPr>
                <w:rFonts w:hint="eastAsia" w:ascii="宋体" w:hAnsi="宋体" w:eastAsia="宋体" w:cs="宋体"/>
                <w:sz w:val="24"/>
                <w:szCs w:val="24"/>
              </w:rPr>
              <w:t>给</w:t>
            </w:r>
            <w:r>
              <w:rPr>
                <w:rFonts w:hint="eastAsia" w:ascii="宋体" w:hAnsi="宋体" w:cs="宋体"/>
                <w:sz w:val="24"/>
                <w:szCs w:val="24"/>
                <w:lang w:val="en-US" w:eastAsia="zh-CN"/>
              </w:rPr>
              <w:t>水</w:t>
            </w:r>
            <w:r>
              <w:rPr>
                <w:rFonts w:hint="eastAsia" w:ascii="宋体" w:hAnsi="宋体" w:eastAsia="宋体" w:cs="宋体"/>
                <w:sz w:val="24"/>
                <w:szCs w:val="24"/>
              </w:rPr>
              <w:t>排水</w:t>
            </w:r>
            <w:r>
              <w:rPr>
                <w:rFonts w:hint="eastAsia" w:ascii="宋体" w:hAnsi="宋体" w:cs="宋体"/>
                <w:sz w:val="24"/>
                <w:szCs w:val="24"/>
                <w:lang w:val="en-US" w:eastAsia="zh-CN"/>
              </w:rPr>
              <w:t>）注册职业证书，得3分；并具有给水排水专</w:t>
            </w:r>
            <w:r>
              <w:rPr>
                <w:rFonts w:hint="eastAsia" w:ascii="宋体" w:hAnsi="宋体" w:eastAsia="宋体" w:cs="宋体"/>
                <w:sz w:val="24"/>
                <w:szCs w:val="24"/>
              </w:rPr>
              <w:t>业高级工程师或以上职称，得</w:t>
            </w:r>
            <w:r>
              <w:rPr>
                <w:rFonts w:hint="eastAsia" w:ascii="宋体" w:hAnsi="宋体" w:eastAsia="宋体" w:cs="宋体"/>
                <w:sz w:val="24"/>
                <w:szCs w:val="24"/>
                <w:lang w:val="en-US" w:eastAsia="zh-CN"/>
              </w:rPr>
              <w:t>2</w:t>
            </w:r>
            <w:r>
              <w:rPr>
                <w:rFonts w:hint="eastAsia" w:ascii="宋体" w:hAnsi="宋体" w:eastAsia="宋体" w:cs="宋体"/>
                <w:sz w:val="24"/>
                <w:szCs w:val="24"/>
              </w:rPr>
              <w:t>分</w:t>
            </w:r>
            <w:r>
              <w:rPr>
                <w:rFonts w:hint="eastAsia" w:ascii="宋体" w:hAnsi="宋体" w:eastAsia="宋体" w:cs="宋体"/>
                <w:sz w:val="24"/>
                <w:szCs w:val="24"/>
                <w:lang w:eastAsia="zh-CN"/>
              </w:rPr>
              <w:t>，</w:t>
            </w:r>
            <w:r>
              <w:rPr>
                <w:rFonts w:hint="eastAsia" w:ascii="宋体" w:hAnsi="宋体" w:eastAsia="宋体" w:cs="宋体"/>
                <w:sz w:val="24"/>
                <w:szCs w:val="24"/>
              </w:rPr>
              <w:t>本小项最高得</w:t>
            </w:r>
            <w:r>
              <w:rPr>
                <w:rFonts w:hint="eastAsia" w:ascii="宋体" w:hAnsi="宋体" w:eastAsia="宋体" w:cs="宋体"/>
                <w:sz w:val="24"/>
                <w:szCs w:val="24"/>
                <w:lang w:val="en-US" w:eastAsia="zh-CN"/>
              </w:rPr>
              <w:t>5</w:t>
            </w:r>
            <w:r>
              <w:rPr>
                <w:rFonts w:hint="eastAsia" w:ascii="宋体" w:hAnsi="宋体" w:eastAsia="宋体" w:cs="宋体"/>
                <w:sz w:val="24"/>
                <w:szCs w:val="24"/>
              </w:rPr>
              <w:t>分</w:t>
            </w:r>
            <w:r>
              <w:rPr>
                <w:rFonts w:hint="eastAsia" w:ascii="宋体" w:hAnsi="宋体" w:eastAsia="宋体" w:cs="宋体"/>
                <w:sz w:val="24"/>
                <w:szCs w:val="24"/>
                <w:lang w:eastAsia="zh-CN"/>
              </w:rPr>
              <w:t>；</w:t>
            </w:r>
          </w:p>
          <w:p w14:paraId="027A1E55">
            <w:pPr>
              <w:spacing w:line="360" w:lineRule="auto"/>
              <w:ind w:firstLine="482" w:firstLineChars="200"/>
              <w:rPr>
                <w:rFonts w:hint="default" w:ascii="宋体" w:hAnsi="宋体" w:eastAsia="宋体" w:cs="宋体"/>
                <w:sz w:val="24"/>
                <w:szCs w:val="24"/>
                <w:lang w:val="en-US" w:eastAsia="zh-CN"/>
              </w:rPr>
            </w:pPr>
            <w:r>
              <w:rPr>
                <w:rFonts w:hint="eastAsia" w:ascii="宋体" w:hAnsi="宋体" w:cs="宋体"/>
                <w:b/>
                <w:bCs/>
                <w:sz w:val="24"/>
                <w:szCs w:val="24"/>
                <w:lang w:val="en-US" w:eastAsia="zh-CN"/>
              </w:rPr>
              <w:t>3.规划专业负责人：</w:t>
            </w:r>
            <w:r>
              <w:rPr>
                <w:rFonts w:hint="eastAsia" w:ascii="宋体" w:hAnsi="宋体" w:eastAsia="宋体" w:cs="宋体"/>
                <w:sz w:val="24"/>
                <w:szCs w:val="24"/>
              </w:rPr>
              <w:t>具有</w:t>
            </w:r>
            <w:r>
              <w:rPr>
                <w:rFonts w:hint="eastAsia" w:ascii="宋体" w:hAnsi="宋体" w:cs="宋体"/>
                <w:sz w:val="24"/>
                <w:szCs w:val="24"/>
                <w:lang w:val="en-US" w:eastAsia="zh-CN"/>
              </w:rPr>
              <w:t>注册城乡规划工程师注册职业证书，</w:t>
            </w:r>
            <w:r>
              <w:rPr>
                <w:rFonts w:hint="eastAsia" w:ascii="宋体" w:hAnsi="宋体" w:eastAsia="宋体" w:cs="宋体"/>
                <w:sz w:val="24"/>
                <w:szCs w:val="24"/>
              </w:rPr>
              <w:t>得</w:t>
            </w:r>
            <w:r>
              <w:rPr>
                <w:rFonts w:hint="eastAsia" w:ascii="宋体" w:hAnsi="宋体" w:eastAsia="宋体" w:cs="宋体"/>
                <w:sz w:val="24"/>
                <w:szCs w:val="24"/>
                <w:lang w:val="en-US" w:eastAsia="zh-CN"/>
              </w:rPr>
              <w:t>5</w:t>
            </w:r>
            <w:r>
              <w:rPr>
                <w:rFonts w:hint="eastAsia" w:ascii="宋体" w:hAnsi="宋体" w:eastAsia="宋体" w:cs="宋体"/>
                <w:sz w:val="24"/>
                <w:szCs w:val="24"/>
              </w:rPr>
              <w:t>分</w:t>
            </w:r>
            <w:r>
              <w:rPr>
                <w:rFonts w:hint="eastAsia" w:ascii="宋体" w:hAnsi="宋体" w:eastAsia="宋体" w:cs="宋体"/>
                <w:sz w:val="24"/>
                <w:szCs w:val="24"/>
                <w:lang w:eastAsia="zh-CN"/>
              </w:rPr>
              <w:t>，</w:t>
            </w:r>
            <w:r>
              <w:rPr>
                <w:rFonts w:hint="eastAsia" w:ascii="宋体" w:hAnsi="宋体" w:eastAsia="宋体" w:cs="宋体"/>
                <w:sz w:val="24"/>
                <w:szCs w:val="24"/>
              </w:rPr>
              <w:t>本小项最高得</w:t>
            </w:r>
            <w:r>
              <w:rPr>
                <w:rFonts w:hint="eastAsia" w:ascii="宋体" w:hAnsi="宋体" w:eastAsia="宋体" w:cs="宋体"/>
                <w:sz w:val="24"/>
                <w:szCs w:val="24"/>
                <w:lang w:val="en-US" w:eastAsia="zh-CN"/>
              </w:rPr>
              <w:t>5</w:t>
            </w:r>
            <w:r>
              <w:rPr>
                <w:rFonts w:hint="eastAsia" w:ascii="宋体" w:hAnsi="宋体" w:eastAsia="宋体" w:cs="宋体"/>
                <w:sz w:val="24"/>
                <w:szCs w:val="24"/>
              </w:rPr>
              <w:t>分</w:t>
            </w:r>
            <w:r>
              <w:rPr>
                <w:rFonts w:hint="eastAsia" w:ascii="宋体" w:hAnsi="宋体" w:eastAsia="宋体" w:cs="宋体"/>
                <w:sz w:val="24"/>
                <w:szCs w:val="24"/>
                <w:lang w:eastAsia="zh-CN"/>
              </w:rPr>
              <w:t>；</w:t>
            </w:r>
          </w:p>
          <w:p w14:paraId="5DC7B277">
            <w:pPr>
              <w:spacing w:line="360" w:lineRule="auto"/>
              <w:ind w:firstLine="482" w:firstLineChars="200"/>
              <w:rPr>
                <w:rFonts w:hint="eastAsia" w:ascii="宋体" w:hAnsi="宋体" w:eastAsia="宋体" w:cs="宋体"/>
                <w:sz w:val="24"/>
                <w:szCs w:val="24"/>
                <w:lang w:eastAsia="zh-CN"/>
              </w:rPr>
            </w:pPr>
            <w:r>
              <w:rPr>
                <w:rFonts w:hint="eastAsia" w:ascii="宋体" w:hAnsi="宋体" w:cs="宋体"/>
                <w:b/>
                <w:bCs/>
                <w:sz w:val="24"/>
                <w:szCs w:val="24"/>
                <w:lang w:val="en-US" w:eastAsia="zh-CN"/>
              </w:rPr>
              <w:t>4</w:t>
            </w:r>
            <w:r>
              <w:rPr>
                <w:rFonts w:hint="eastAsia" w:ascii="宋体" w:hAnsi="宋体" w:eastAsia="宋体" w:cs="宋体"/>
                <w:b/>
                <w:bCs/>
                <w:sz w:val="24"/>
                <w:szCs w:val="24"/>
                <w:lang w:val="en-US" w:eastAsia="zh-CN"/>
              </w:rPr>
              <w:t>.</w:t>
            </w:r>
            <w:r>
              <w:rPr>
                <w:rFonts w:hint="eastAsia" w:ascii="宋体" w:hAnsi="宋体" w:eastAsia="宋体" w:cs="宋体"/>
                <w:b/>
                <w:bCs/>
                <w:sz w:val="24"/>
                <w:szCs w:val="24"/>
              </w:rPr>
              <w:t>造价专业</w:t>
            </w:r>
            <w:r>
              <w:rPr>
                <w:rFonts w:hint="eastAsia" w:ascii="宋体" w:hAnsi="宋体" w:eastAsia="宋体" w:cs="宋体"/>
                <w:b/>
                <w:bCs/>
                <w:sz w:val="24"/>
                <w:szCs w:val="24"/>
                <w:lang w:val="en-US" w:eastAsia="zh-CN"/>
              </w:rPr>
              <w:t>负责人</w:t>
            </w:r>
            <w:r>
              <w:rPr>
                <w:rFonts w:hint="eastAsia" w:ascii="宋体" w:hAnsi="宋体" w:eastAsia="宋体" w:cs="宋体"/>
                <w:b/>
                <w:bCs/>
                <w:sz w:val="24"/>
                <w:szCs w:val="24"/>
              </w:rPr>
              <w:t>：</w:t>
            </w:r>
            <w:r>
              <w:rPr>
                <w:rFonts w:hint="eastAsia" w:ascii="宋体" w:hAnsi="宋体" w:eastAsia="宋体" w:cs="宋体"/>
                <w:sz w:val="24"/>
                <w:szCs w:val="24"/>
              </w:rPr>
              <w:t>具</w:t>
            </w:r>
            <w:r>
              <w:rPr>
                <w:rFonts w:hint="eastAsia" w:ascii="宋体" w:hAnsi="宋体" w:eastAsia="宋体" w:cs="宋体"/>
                <w:sz w:val="24"/>
                <w:szCs w:val="24"/>
                <w:lang w:val="en-US" w:eastAsia="zh-CN"/>
              </w:rPr>
              <w:t>有</w:t>
            </w:r>
            <w:r>
              <w:rPr>
                <w:rFonts w:hint="eastAsia" w:ascii="宋体" w:hAnsi="宋体" w:eastAsia="宋体" w:cs="宋体"/>
                <w:sz w:val="24"/>
                <w:szCs w:val="24"/>
              </w:rPr>
              <w:t>国家一级注册造价师（</w:t>
            </w:r>
            <w:r>
              <w:rPr>
                <w:rFonts w:hint="eastAsia" w:ascii="宋体" w:hAnsi="宋体" w:cs="宋体"/>
                <w:sz w:val="24"/>
                <w:szCs w:val="24"/>
                <w:lang w:val="en-US" w:eastAsia="zh-CN"/>
              </w:rPr>
              <w:t>水利类</w:t>
            </w:r>
            <w:r>
              <w:rPr>
                <w:rFonts w:hint="eastAsia" w:ascii="宋体" w:hAnsi="宋体" w:eastAsia="宋体" w:cs="宋体"/>
                <w:sz w:val="24"/>
                <w:szCs w:val="24"/>
              </w:rPr>
              <w:t>），得</w:t>
            </w:r>
            <w:r>
              <w:rPr>
                <w:rFonts w:hint="eastAsia" w:ascii="宋体" w:hAnsi="宋体" w:eastAsia="宋体" w:cs="宋体"/>
                <w:sz w:val="24"/>
                <w:szCs w:val="24"/>
                <w:lang w:val="en-US" w:eastAsia="zh-CN"/>
              </w:rPr>
              <w:t>5</w:t>
            </w:r>
            <w:r>
              <w:rPr>
                <w:rFonts w:hint="eastAsia" w:ascii="宋体" w:hAnsi="宋体" w:eastAsia="宋体" w:cs="宋体"/>
                <w:sz w:val="24"/>
                <w:szCs w:val="24"/>
              </w:rPr>
              <w:t>分</w:t>
            </w:r>
            <w:r>
              <w:rPr>
                <w:rFonts w:hint="eastAsia" w:ascii="宋体" w:hAnsi="宋体" w:eastAsia="宋体" w:cs="宋体"/>
                <w:sz w:val="24"/>
                <w:szCs w:val="24"/>
                <w:lang w:eastAsia="zh-CN"/>
              </w:rPr>
              <w:t>，</w:t>
            </w:r>
            <w:r>
              <w:rPr>
                <w:rFonts w:hint="eastAsia" w:ascii="宋体" w:hAnsi="宋体" w:eastAsia="宋体" w:cs="宋体"/>
                <w:sz w:val="24"/>
                <w:szCs w:val="24"/>
              </w:rPr>
              <w:t>本小项最高得</w:t>
            </w:r>
            <w:r>
              <w:rPr>
                <w:rFonts w:hint="eastAsia" w:ascii="宋体" w:hAnsi="宋体" w:eastAsia="宋体" w:cs="宋体"/>
                <w:sz w:val="24"/>
                <w:szCs w:val="24"/>
                <w:lang w:val="en-US" w:eastAsia="zh-CN"/>
              </w:rPr>
              <w:t>5</w:t>
            </w:r>
            <w:r>
              <w:rPr>
                <w:rFonts w:hint="eastAsia" w:ascii="宋体" w:hAnsi="宋体" w:eastAsia="宋体" w:cs="宋体"/>
                <w:sz w:val="24"/>
                <w:szCs w:val="24"/>
              </w:rPr>
              <w:t>分</w:t>
            </w:r>
            <w:r>
              <w:rPr>
                <w:rFonts w:hint="eastAsia" w:ascii="宋体" w:hAnsi="宋体" w:eastAsia="宋体" w:cs="宋体"/>
                <w:sz w:val="24"/>
                <w:szCs w:val="24"/>
                <w:lang w:eastAsia="zh-CN"/>
              </w:rPr>
              <w:t>。</w:t>
            </w:r>
          </w:p>
          <w:p w14:paraId="690B3862">
            <w:pPr>
              <w:spacing w:line="360" w:lineRule="auto"/>
              <w:ind w:firstLine="482" w:firstLineChars="200"/>
              <w:rPr>
                <w:rFonts w:hint="default" w:ascii="宋体" w:hAnsi="宋体" w:eastAsia="宋体" w:cs="宋体"/>
                <w:sz w:val="24"/>
                <w:szCs w:val="24"/>
                <w:lang w:val="en-US" w:eastAsia="zh-CN"/>
              </w:rPr>
            </w:pPr>
            <w:r>
              <w:rPr>
                <w:rFonts w:hint="eastAsia" w:ascii="宋体" w:hAnsi="宋体" w:cs="宋体"/>
                <w:b/>
                <w:bCs/>
                <w:sz w:val="24"/>
                <w:szCs w:val="24"/>
                <w:lang w:val="en-US" w:eastAsia="zh-CN"/>
              </w:rPr>
              <w:t>5.投入本项目中的其他设计人员：</w:t>
            </w:r>
            <w:r>
              <w:rPr>
                <w:rFonts w:hint="eastAsia" w:ascii="宋体" w:hAnsi="宋体" w:cs="宋体"/>
                <w:sz w:val="24"/>
                <w:szCs w:val="24"/>
                <w:lang w:val="en-US" w:eastAsia="zh-CN"/>
              </w:rPr>
              <w:t>具有农业或国土专业高级（含）或以上职称，</w:t>
            </w:r>
            <w:r>
              <w:rPr>
                <w:rFonts w:hint="eastAsia" w:ascii="宋体" w:hAnsi="宋体" w:eastAsia="宋体" w:cs="宋体"/>
                <w:sz w:val="24"/>
                <w:szCs w:val="24"/>
              </w:rPr>
              <w:t>得</w:t>
            </w:r>
            <w:r>
              <w:rPr>
                <w:rFonts w:hint="eastAsia" w:ascii="宋体" w:hAnsi="宋体" w:eastAsia="宋体" w:cs="宋体"/>
                <w:sz w:val="24"/>
                <w:szCs w:val="24"/>
                <w:lang w:val="en-US" w:eastAsia="zh-CN"/>
              </w:rPr>
              <w:t>5</w:t>
            </w:r>
            <w:r>
              <w:rPr>
                <w:rFonts w:hint="eastAsia" w:ascii="宋体" w:hAnsi="宋体" w:eastAsia="宋体" w:cs="宋体"/>
                <w:sz w:val="24"/>
                <w:szCs w:val="24"/>
              </w:rPr>
              <w:t>分</w:t>
            </w:r>
            <w:r>
              <w:rPr>
                <w:rFonts w:hint="eastAsia" w:ascii="宋体" w:hAnsi="宋体" w:eastAsia="宋体" w:cs="宋体"/>
                <w:sz w:val="24"/>
                <w:szCs w:val="24"/>
                <w:lang w:eastAsia="zh-CN"/>
              </w:rPr>
              <w:t>；</w:t>
            </w:r>
            <w:r>
              <w:rPr>
                <w:rFonts w:hint="eastAsia" w:ascii="宋体" w:hAnsi="宋体" w:cs="宋体"/>
                <w:sz w:val="24"/>
                <w:szCs w:val="24"/>
                <w:lang w:val="en-US" w:eastAsia="zh-CN"/>
              </w:rPr>
              <w:t>具有农业或国土专业</w:t>
            </w:r>
            <w:r>
              <w:rPr>
                <w:rFonts w:hint="eastAsia" w:ascii="宋体" w:hAnsi="宋体" w:eastAsia="宋体" w:cs="宋体"/>
                <w:sz w:val="24"/>
                <w:szCs w:val="24"/>
                <w:lang w:eastAsia="zh-CN"/>
              </w:rPr>
              <w:t>中级（含）或以上职称得</w:t>
            </w:r>
            <w:r>
              <w:rPr>
                <w:rFonts w:hint="eastAsia" w:ascii="宋体" w:hAnsi="宋体" w:eastAsia="宋体" w:cs="宋体"/>
                <w:sz w:val="24"/>
                <w:szCs w:val="24"/>
                <w:lang w:val="en-US" w:eastAsia="zh-CN"/>
              </w:rPr>
              <w:t>2分</w:t>
            </w:r>
            <w:r>
              <w:rPr>
                <w:rFonts w:hint="eastAsia" w:ascii="宋体" w:hAnsi="宋体" w:eastAsia="宋体" w:cs="宋体"/>
                <w:sz w:val="24"/>
                <w:szCs w:val="24"/>
                <w:lang w:eastAsia="zh-CN"/>
              </w:rPr>
              <w:t>，其他不得分。</w:t>
            </w:r>
            <w:r>
              <w:rPr>
                <w:rFonts w:hint="eastAsia" w:ascii="宋体" w:hAnsi="宋体" w:eastAsia="宋体" w:cs="宋体"/>
                <w:sz w:val="24"/>
                <w:szCs w:val="24"/>
              </w:rPr>
              <w:t>本小项最高得</w:t>
            </w:r>
            <w:r>
              <w:rPr>
                <w:rFonts w:hint="eastAsia" w:ascii="宋体" w:hAnsi="宋体" w:eastAsia="宋体" w:cs="宋体"/>
                <w:sz w:val="24"/>
                <w:szCs w:val="24"/>
                <w:lang w:val="en-US" w:eastAsia="zh-CN"/>
              </w:rPr>
              <w:t>5</w:t>
            </w:r>
            <w:r>
              <w:rPr>
                <w:rFonts w:hint="eastAsia" w:ascii="宋体" w:hAnsi="宋体" w:eastAsia="宋体" w:cs="宋体"/>
                <w:sz w:val="24"/>
                <w:szCs w:val="24"/>
              </w:rPr>
              <w:t>分</w:t>
            </w:r>
            <w:r>
              <w:rPr>
                <w:rFonts w:hint="eastAsia" w:ascii="宋体" w:hAnsi="宋体" w:eastAsia="宋体" w:cs="宋体"/>
                <w:sz w:val="24"/>
                <w:szCs w:val="24"/>
                <w:lang w:eastAsia="zh-CN"/>
              </w:rPr>
              <w:t>。</w:t>
            </w:r>
          </w:p>
          <w:p w14:paraId="4954439D">
            <w:pPr>
              <w:keepNext w:val="0"/>
              <w:keepLines w:val="0"/>
              <w:pageBreakBefore w:val="0"/>
              <w:widowControl w:val="0"/>
              <w:kinsoku/>
              <w:wordWrap/>
              <w:overflowPunct/>
              <w:topLinePunct w:val="0"/>
              <w:autoSpaceDE/>
              <w:autoSpaceDN/>
              <w:bidi w:val="0"/>
              <w:adjustRightInd/>
              <w:snapToGrid/>
              <w:spacing w:line="360" w:lineRule="auto"/>
              <w:ind w:right="202" w:rightChars="96" w:firstLine="240" w:firstLineChars="1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本项</w:t>
            </w:r>
            <w:r>
              <w:rPr>
                <w:rFonts w:hint="eastAsia" w:ascii="宋体" w:hAnsi="宋体" w:eastAsia="宋体" w:cs="宋体"/>
                <w:sz w:val="24"/>
                <w:szCs w:val="24"/>
              </w:rPr>
              <w:t>最高得</w:t>
            </w:r>
            <w:r>
              <w:rPr>
                <w:rFonts w:hint="eastAsia" w:ascii="宋体" w:hAnsi="宋体" w:cs="宋体"/>
                <w:sz w:val="24"/>
                <w:szCs w:val="24"/>
                <w:lang w:val="en-US" w:eastAsia="zh-CN"/>
              </w:rPr>
              <w:t>25</w:t>
            </w:r>
            <w:r>
              <w:rPr>
                <w:rFonts w:hint="eastAsia" w:ascii="宋体" w:hAnsi="宋体" w:eastAsia="宋体" w:cs="宋体"/>
                <w:sz w:val="24"/>
                <w:szCs w:val="24"/>
              </w:rPr>
              <w:t>分</w:t>
            </w:r>
            <w:r>
              <w:rPr>
                <w:rFonts w:hint="eastAsia" w:ascii="宋体" w:hAnsi="宋体" w:eastAsia="宋体" w:cs="宋体"/>
                <w:sz w:val="24"/>
                <w:szCs w:val="24"/>
                <w:lang w:eastAsia="zh-CN"/>
              </w:rPr>
              <w:t>。</w:t>
            </w:r>
          </w:p>
          <w:p w14:paraId="6F86E1D3">
            <w:pPr>
              <w:keepNext w:val="0"/>
              <w:keepLines w:val="0"/>
              <w:pageBreakBefore w:val="0"/>
              <w:widowControl w:val="0"/>
              <w:kinsoku/>
              <w:wordWrap/>
              <w:overflowPunct/>
              <w:topLinePunct w:val="0"/>
              <w:autoSpaceDE/>
              <w:autoSpaceDN/>
              <w:bidi w:val="0"/>
              <w:adjustRightInd/>
              <w:snapToGrid/>
              <w:spacing w:line="360" w:lineRule="auto"/>
              <w:ind w:right="202" w:rightChars="96" w:firstLine="240" w:firstLineChars="100"/>
              <w:textAlignment w:val="auto"/>
              <w:rPr>
                <w:rFonts w:hint="eastAsia" w:ascii="宋体" w:hAnsi="宋体" w:eastAsia="宋体" w:cs="宋体"/>
                <w:b/>
                <w:color w:val="000000"/>
                <w:kern w:val="2"/>
                <w:sz w:val="24"/>
                <w:szCs w:val="24"/>
                <w:highlight w:val="none"/>
                <w:lang w:val="en-US" w:eastAsia="zh-CN" w:bidi="ar"/>
              </w:rPr>
            </w:pPr>
            <w:r>
              <w:rPr>
                <w:rFonts w:hint="eastAsia" w:ascii="宋体" w:hAnsi="宋体" w:cs="宋体"/>
                <w:sz w:val="24"/>
                <w:szCs w:val="24"/>
                <w:lang w:val="en-US" w:eastAsia="zh-CN"/>
              </w:rPr>
              <w:t>注：须提供以上相关证书彩色扫描件及近三个月（其中必须有2025年12月）的社保证明彩色扫描件，并加盖投标人公章，否则不得分。</w:t>
            </w:r>
          </w:p>
        </w:tc>
      </w:tr>
      <w:tr w14:paraId="13A17F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5" w:hRule="atLeast"/>
          <w:jc w:val="center"/>
        </w:trPr>
        <w:tc>
          <w:tcPr>
            <w:tcW w:w="645" w:type="dxa"/>
            <w:vMerge w:val="restart"/>
            <w:tcBorders>
              <w:top w:val="single" w:color="auto" w:sz="4" w:space="0"/>
              <w:left w:val="single" w:color="auto" w:sz="4" w:space="0"/>
              <w:bottom w:val="single" w:color="auto" w:sz="4" w:space="0"/>
              <w:right w:val="single" w:color="auto" w:sz="4" w:space="0"/>
            </w:tcBorders>
            <w:noWrap w:val="0"/>
            <w:vAlign w:val="center"/>
          </w:tcPr>
          <w:p w14:paraId="440F0450">
            <w:pPr>
              <w:pStyle w:val="20"/>
              <w:keepNext w:val="0"/>
              <w:keepLines w:val="0"/>
              <w:pageBreakBefore w:val="0"/>
              <w:widowControl w:val="0"/>
              <w:kinsoku/>
              <w:wordWrap/>
              <w:overflowPunct/>
              <w:topLinePunct w:val="0"/>
              <w:autoSpaceDE/>
              <w:autoSpaceDN/>
              <w:bidi w:val="0"/>
              <w:spacing w:line="500" w:lineRule="exact"/>
              <w:rPr>
                <w:rFonts w:hint="eastAsia" w:ascii="宋体" w:hAnsi="宋体" w:eastAsia="宋体" w:cs="宋体"/>
                <w:color w:val="000000"/>
                <w:sz w:val="24"/>
                <w:highlight w:val="none"/>
              </w:rPr>
            </w:pPr>
            <w:r>
              <w:rPr>
                <w:rFonts w:hint="eastAsia" w:ascii="宋体" w:hAnsi="宋体" w:eastAsia="宋体" w:cs="宋体"/>
                <w:color w:val="000000"/>
                <w:sz w:val="24"/>
                <w:highlight w:val="none"/>
              </w:rPr>
              <w:t>2.2.</w:t>
            </w:r>
            <w:r>
              <w:rPr>
                <w:rFonts w:hint="eastAsia" w:ascii="宋体" w:hAnsi="宋体" w:eastAsia="宋体" w:cs="宋体"/>
                <w:color w:val="000000"/>
                <w:sz w:val="24"/>
                <w:highlight w:val="none"/>
                <w:lang w:val="en-US"/>
              </w:rPr>
              <w:t>2</w:t>
            </w:r>
            <w:r>
              <w:rPr>
                <w:rFonts w:hint="eastAsia" w:ascii="宋体" w:hAnsi="宋体" w:eastAsia="宋体" w:cs="宋体"/>
                <w:color w:val="000000"/>
                <w:sz w:val="24"/>
                <w:highlight w:val="none"/>
              </w:rPr>
              <w:t>（2）</w:t>
            </w:r>
          </w:p>
        </w:tc>
        <w:tc>
          <w:tcPr>
            <w:tcW w:w="1107" w:type="dxa"/>
            <w:vMerge w:val="restart"/>
            <w:tcBorders>
              <w:top w:val="single" w:color="auto" w:sz="4" w:space="0"/>
              <w:left w:val="single" w:color="auto" w:sz="4" w:space="0"/>
              <w:bottom w:val="single" w:color="auto" w:sz="4" w:space="0"/>
              <w:right w:val="single" w:color="auto" w:sz="4" w:space="0"/>
            </w:tcBorders>
            <w:noWrap w:val="0"/>
            <w:vAlign w:val="center"/>
          </w:tcPr>
          <w:p w14:paraId="332ED48B">
            <w:pPr>
              <w:pStyle w:val="20"/>
              <w:keepNext w:val="0"/>
              <w:keepLines w:val="0"/>
              <w:pageBreakBefore w:val="0"/>
              <w:widowControl w:val="0"/>
              <w:kinsoku/>
              <w:wordWrap/>
              <w:overflowPunct/>
              <w:topLinePunct w:val="0"/>
              <w:autoSpaceDE/>
              <w:autoSpaceDN/>
              <w:bidi w:val="0"/>
              <w:spacing w:line="500" w:lineRule="exact"/>
              <w:ind w:left="141" w:right="127"/>
              <w:jc w:val="center"/>
              <w:rPr>
                <w:rFonts w:hint="eastAsia" w:ascii="宋体" w:hAnsi="宋体" w:eastAsia="宋体" w:cs="宋体"/>
                <w:color w:val="000000"/>
                <w:kern w:val="0"/>
                <w:sz w:val="24"/>
                <w:highlight w:val="none"/>
              </w:rPr>
            </w:pPr>
            <w:r>
              <w:rPr>
                <w:rFonts w:hint="eastAsia" w:ascii="宋体" w:hAnsi="宋体" w:eastAsia="宋体" w:cs="宋体"/>
                <w:color w:val="000000"/>
                <w:sz w:val="24"/>
                <w:highlight w:val="none"/>
                <w:lang w:val="en-US"/>
              </w:rPr>
              <w:t>技术部分</w:t>
            </w:r>
            <w:r>
              <w:rPr>
                <w:rFonts w:hint="eastAsia" w:ascii="宋体" w:hAnsi="宋体" w:eastAsia="宋体" w:cs="宋体"/>
                <w:color w:val="000000"/>
                <w:kern w:val="0"/>
                <w:sz w:val="24"/>
                <w:highlight w:val="none"/>
              </w:rPr>
              <w:t>F2</w:t>
            </w:r>
          </w:p>
          <w:p w14:paraId="37E0AE7B">
            <w:pPr>
              <w:pStyle w:val="20"/>
              <w:keepNext w:val="0"/>
              <w:keepLines w:val="0"/>
              <w:pageBreakBefore w:val="0"/>
              <w:widowControl w:val="0"/>
              <w:kinsoku/>
              <w:wordWrap/>
              <w:overflowPunct/>
              <w:topLinePunct w:val="0"/>
              <w:autoSpaceDE/>
              <w:autoSpaceDN/>
              <w:bidi w:val="0"/>
              <w:spacing w:line="500" w:lineRule="exact"/>
              <w:ind w:left="141" w:right="127"/>
              <w:jc w:val="center"/>
              <w:rPr>
                <w:rFonts w:hint="eastAsia" w:ascii="宋体" w:hAnsi="宋体" w:eastAsia="宋体" w:cs="宋体"/>
                <w:color w:val="000000"/>
                <w:sz w:val="24"/>
                <w:highlight w:val="none"/>
                <w:lang w:val="en-US"/>
              </w:rPr>
            </w:pPr>
            <w:r>
              <w:rPr>
                <w:rFonts w:hint="eastAsia" w:ascii="宋体" w:hAnsi="宋体" w:eastAsia="宋体" w:cs="宋体"/>
                <w:color w:val="000000"/>
                <w:sz w:val="24"/>
                <w:highlight w:val="none"/>
                <w:lang w:val="en-US"/>
              </w:rPr>
              <w:t>(</w:t>
            </w:r>
            <w:r>
              <w:rPr>
                <w:rFonts w:hint="eastAsia" w:ascii="宋体" w:hAnsi="宋体" w:eastAsia="宋体" w:cs="宋体"/>
                <w:color w:val="000000"/>
                <w:sz w:val="24"/>
                <w:highlight w:val="none"/>
                <w:lang w:val="en-US" w:eastAsia="zh-CN"/>
              </w:rPr>
              <w:t>40</w:t>
            </w:r>
            <w:r>
              <w:rPr>
                <w:rFonts w:hint="eastAsia" w:ascii="宋体" w:hAnsi="宋体" w:eastAsia="宋体" w:cs="宋体"/>
                <w:color w:val="000000"/>
                <w:sz w:val="24"/>
                <w:highlight w:val="none"/>
                <w:lang w:val="en-US"/>
              </w:rPr>
              <w:t>分)</w:t>
            </w:r>
          </w:p>
        </w:tc>
        <w:tc>
          <w:tcPr>
            <w:tcW w:w="1740" w:type="dxa"/>
            <w:gridSpan w:val="2"/>
            <w:tcBorders>
              <w:top w:val="single" w:color="auto" w:sz="4" w:space="0"/>
              <w:left w:val="single" w:color="auto" w:sz="4" w:space="0"/>
              <w:bottom w:val="single" w:color="auto" w:sz="4" w:space="0"/>
              <w:right w:val="single" w:color="auto" w:sz="4" w:space="0"/>
            </w:tcBorders>
            <w:noWrap w:val="0"/>
            <w:vAlign w:val="center"/>
          </w:tcPr>
          <w:p w14:paraId="26A8B61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Cs/>
                <w:color w:val="000000"/>
                <w:spacing w:val="-2"/>
                <w:highlight w:val="none"/>
              </w:rPr>
            </w:pPr>
            <w:r>
              <w:rPr>
                <w:rFonts w:hint="eastAsia" w:ascii="宋体" w:hAnsi="宋体" w:eastAsia="宋体" w:cs="宋体"/>
                <w:color w:val="000000"/>
                <w:kern w:val="0"/>
                <w:sz w:val="24"/>
                <w:highlight w:val="none"/>
              </w:rPr>
              <w:t>项目设计重点、难点分析（10分）</w:t>
            </w:r>
          </w:p>
        </w:tc>
        <w:tc>
          <w:tcPr>
            <w:tcW w:w="6323" w:type="dxa"/>
            <w:tcBorders>
              <w:left w:val="single" w:color="auto" w:sz="4" w:space="0"/>
            </w:tcBorders>
            <w:noWrap w:val="0"/>
            <w:vAlign w:val="center"/>
          </w:tcPr>
          <w:p w14:paraId="717D37B8">
            <w:pPr>
              <w:keepNext w:val="0"/>
              <w:keepLines w:val="0"/>
              <w:pageBreakBefore w:val="0"/>
              <w:widowControl w:val="0"/>
              <w:kinsoku/>
              <w:wordWrap/>
              <w:overflowPunct/>
              <w:topLinePunct w:val="0"/>
              <w:autoSpaceDE/>
              <w:autoSpaceDN/>
              <w:bidi w:val="0"/>
              <w:adjustRightInd/>
              <w:snapToGrid/>
              <w:spacing w:line="500" w:lineRule="exact"/>
              <w:ind w:right="202" w:rightChars="96" w:firstLine="240" w:firstLineChars="100"/>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根据投标人对本招标项目的重点、难点的分析，以及相关应对措施对比评分。（</w:t>
            </w:r>
            <w:r>
              <w:rPr>
                <w:rFonts w:hint="eastAsia" w:ascii="宋体" w:hAnsi="宋体" w:eastAsia="宋体" w:cs="宋体"/>
                <w:color w:val="000000"/>
                <w:sz w:val="24"/>
                <w:highlight w:val="none"/>
                <w:lang w:val="en-US" w:eastAsia="zh-CN"/>
              </w:rPr>
              <w:t>8</w:t>
            </w:r>
            <w:r>
              <w:rPr>
                <w:rFonts w:hint="eastAsia" w:ascii="宋体" w:hAnsi="宋体" w:eastAsia="宋体" w:cs="宋体"/>
                <w:color w:val="000000"/>
                <w:sz w:val="24"/>
                <w:highlight w:val="none"/>
              </w:rPr>
              <w:t>≤X≤10，按优得10分、良得9分、合格得</w:t>
            </w:r>
            <w:r>
              <w:rPr>
                <w:rFonts w:hint="eastAsia" w:ascii="宋体" w:hAnsi="宋体" w:eastAsia="宋体" w:cs="宋体"/>
                <w:color w:val="000000"/>
                <w:sz w:val="24"/>
                <w:highlight w:val="none"/>
                <w:lang w:val="en-US" w:eastAsia="zh-CN"/>
              </w:rPr>
              <w:t>8</w:t>
            </w:r>
            <w:r>
              <w:rPr>
                <w:rFonts w:hint="eastAsia" w:ascii="宋体" w:hAnsi="宋体" w:eastAsia="宋体" w:cs="宋体"/>
                <w:color w:val="000000"/>
                <w:sz w:val="24"/>
                <w:highlight w:val="none"/>
              </w:rPr>
              <w:t>分计算，不提供不得分）</w:t>
            </w:r>
          </w:p>
        </w:tc>
      </w:tr>
      <w:tr w14:paraId="68A1B0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jc w:val="center"/>
        </w:trPr>
        <w:tc>
          <w:tcPr>
            <w:tcW w:w="645" w:type="dxa"/>
            <w:vMerge w:val="continue"/>
            <w:tcBorders>
              <w:top w:val="single" w:color="auto" w:sz="4" w:space="0"/>
              <w:left w:val="single" w:color="auto" w:sz="4" w:space="0"/>
              <w:bottom w:val="single" w:color="auto" w:sz="4" w:space="0"/>
              <w:right w:val="single" w:color="auto" w:sz="4" w:space="0"/>
            </w:tcBorders>
            <w:noWrap w:val="0"/>
            <w:vAlign w:val="center"/>
          </w:tcPr>
          <w:p w14:paraId="150A2ACC">
            <w:pPr>
              <w:keepNext w:val="0"/>
              <w:keepLines w:val="0"/>
              <w:pageBreakBefore w:val="0"/>
              <w:widowControl w:val="0"/>
              <w:kinsoku/>
              <w:wordWrap/>
              <w:overflowPunct/>
              <w:topLinePunct w:val="0"/>
              <w:autoSpaceDE/>
              <w:autoSpaceDN/>
              <w:bidi w:val="0"/>
              <w:spacing w:line="500" w:lineRule="exact"/>
              <w:rPr>
                <w:rFonts w:hint="eastAsia" w:ascii="宋体" w:hAnsi="宋体" w:eastAsia="宋体" w:cs="宋体"/>
                <w:color w:val="000000"/>
                <w:szCs w:val="21"/>
                <w:highlight w:val="none"/>
              </w:rPr>
            </w:pPr>
          </w:p>
        </w:tc>
        <w:tc>
          <w:tcPr>
            <w:tcW w:w="1107" w:type="dxa"/>
            <w:vMerge w:val="continue"/>
            <w:tcBorders>
              <w:top w:val="single" w:color="auto" w:sz="4" w:space="0"/>
              <w:left w:val="single" w:color="auto" w:sz="4" w:space="0"/>
              <w:bottom w:val="single" w:color="auto" w:sz="4" w:space="0"/>
              <w:right w:val="single" w:color="auto" w:sz="4" w:space="0"/>
            </w:tcBorders>
            <w:noWrap w:val="0"/>
            <w:vAlign w:val="center"/>
          </w:tcPr>
          <w:p w14:paraId="7EB2C72C">
            <w:pPr>
              <w:keepNext w:val="0"/>
              <w:keepLines w:val="0"/>
              <w:pageBreakBefore w:val="0"/>
              <w:widowControl w:val="0"/>
              <w:kinsoku/>
              <w:wordWrap/>
              <w:overflowPunct/>
              <w:topLinePunct w:val="0"/>
              <w:autoSpaceDE/>
              <w:autoSpaceDN/>
              <w:bidi w:val="0"/>
              <w:spacing w:line="500" w:lineRule="exact"/>
              <w:rPr>
                <w:rFonts w:hint="eastAsia" w:ascii="宋体" w:hAnsi="宋体" w:eastAsia="宋体" w:cs="宋体"/>
                <w:color w:val="000000"/>
                <w:szCs w:val="21"/>
                <w:highlight w:val="none"/>
              </w:rPr>
            </w:pPr>
          </w:p>
        </w:tc>
        <w:tc>
          <w:tcPr>
            <w:tcW w:w="1740" w:type="dxa"/>
            <w:gridSpan w:val="2"/>
            <w:tcBorders>
              <w:top w:val="single" w:color="auto" w:sz="4" w:space="0"/>
              <w:left w:val="single" w:color="auto" w:sz="4" w:space="0"/>
              <w:bottom w:val="single" w:color="auto" w:sz="4" w:space="0"/>
              <w:right w:val="single" w:color="auto" w:sz="4" w:space="0"/>
            </w:tcBorders>
            <w:noWrap w:val="0"/>
            <w:vAlign w:val="center"/>
          </w:tcPr>
          <w:p w14:paraId="5840D67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Cs/>
                <w:color w:val="000000"/>
                <w:spacing w:val="-2"/>
                <w:sz w:val="24"/>
                <w:highlight w:val="none"/>
              </w:rPr>
            </w:pPr>
            <w:r>
              <w:rPr>
                <w:rFonts w:hint="eastAsia" w:ascii="宋体" w:hAnsi="宋体" w:eastAsia="宋体" w:cs="宋体"/>
                <w:bCs/>
                <w:color w:val="000000"/>
                <w:spacing w:val="-2"/>
                <w:sz w:val="24"/>
                <w:highlight w:val="none"/>
              </w:rPr>
              <w:t>勘察设计大纲（10分）</w:t>
            </w:r>
          </w:p>
        </w:tc>
        <w:tc>
          <w:tcPr>
            <w:tcW w:w="6323" w:type="dxa"/>
            <w:tcBorders>
              <w:left w:val="single" w:color="auto" w:sz="4" w:space="0"/>
            </w:tcBorders>
            <w:noWrap w:val="0"/>
            <w:vAlign w:val="center"/>
          </w:tcPr>
          <w:p w14:paraId="6D01B1D4">
            <w:pPr>
              <w:keepNext w:val="0"/>
              <w:keepLines w:val="0"/>
              <w:pageBreakBefore w:val="0"/>
              <w:widowControl w:val="0"/>
              <w:kinsoku/>
              <w:wordWrap/>
              <w:overflowPunct/>
              <w:topLinePunct w:val="0"/>
              <w:autoSpaceDE/>
              <w:autoSpaceDN/>
              <w:bidi w:val="0"/>
              <w:adjustRightInd/>
              <w:snapToGrid/>
              <w:spacing w:line="500" w:lineRule="exact"/>
              <w:ind w:right="202" w:rightChars="96" w:firstLine="240" w:firstLineChars="100"/>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根据投标人的勘察设计大纲对比评分，考查、对比投标应人对本项目的总体技术方案，包括但不限于研究区域现状的分析、基础资料的掌握情况，对相关上层规划、本地现行技术工作大纲、规程等。（</w:t>
            </w:r>
            <w:r>
              <w:rPr>
                <w:rFonts w:hint="eastAsia" w:ascii="宋体" w:hAnsi="宋体" w:eastAsia="宋体" w:cs="宋体"/>
                <w:color w:val="000000"/>
                <w:sz w:val="24"/>
                <w:highlight w:val="none"/>
                <w:lang w:val="en-US" w:eastAsia="zh-CN"/>
              </w:rPr>
              <w:t>8</w:t>
            </w:r>
            <w:r>
              <w:rPr>
                <w:rFonts w:hint="eastAsia" w:ascii="宋体" w:hAnsi="宋体" w:eastAsia="宋体" w:cs="宋体"/>
                <w:color w:val="000000"/>
                <w:sz w:val="24"/>
                <w:highlight w:val="none"/>
              </w:rPr>
              <w:t>≤X≤10，按优得10分、良得9分、合格得</w:t>
            </w:r>
            <w:r>
              <w:rPr>
                <w:rFonts w:hint="eastAsia" w:ascii="宋体" w:hAnsi="宋体" w:eastAsia="宋体" w:cs="宋体"/>
                <w:color w:val="000000"/>
                <w:sz w:val="24"/>
                <w:highlight w:val="none"/>
                <w:lang w:val="en-US" w:eastAsia="zh-CN"/>
              </w:rPr>
              <w:t>8</w:t>
            </w:r>
            <w:r>
              <w:rPr>
                <w:rFonts w:hint="eastAsia" w:ascii="宋体" w:hAnsi="宋体" w:eastAsia="宋体" w:cs="宋体"/>
                <w:color w:val="000000"/>
                <w:sz w:val="24"/>
                <w:highlight w:val="none"/>
              </w:rPr>
              <w:t>分计算，不提供不得分）</w:t>
            </w:r>
          </w:p>
        </w:tc>
      </w:tr>
      <w:tr w14:paraId="632B51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jc w:val="center"/>
        </w:trPr>
        <w:tc>
          <w:tcPr>
            <w:tcW w:w="645" w:type="dxa"/>
            <w:vMerge w:val="continue"/>
            <w:tcBorders>
              <w:top w:val="single" w:color="auto" w:sz="4" w:space="0"/>
              <w:left w:val="single" w:color="auto" w:sz="4" w:space="0"/>
              <w:bottom w:val="single" w:color="auto" w:sz="4" w:space="0"/>
              <w:right w:val="single" w:color="auto" w:sz="4" w:space="0"/>
            </w:tcBorders>
            <w:noWrap w:val="0"/>
            <w:vAlign w:val="center"/>
          </w:tcPr>
          <w:p w14:paraId="101D1B2F">
            <w:pPr>
              <w:keepNext w:val="0"/>
              <w:keepLines w:val="0"/>
              <w:pageBreakBefore w:val="0"/>
              <w:widowControl w:val="0"/>
              <w:kinsoku/>
              <w:wordWrap/>
              <w:overflowPunct/>
              <w:topLinePunct w:val="0"/>
              <w:autoSpaceDE/>
              <w:autoSpaceDN/>
              <w:bidi w:val="0"/>
              <w:spacing w:line="500" w:lineRule="exact"/>
              <w:rPr>
                <w:rFonts w:hint="eastAsia" w:ascii="宋体" w:hAnsi="宋体" w:eastAsia="宋体" w:cs="宋体"/>
                <w:color w:val="000000"/>
                <w:szCs w:val="21"/>
                <w:highlight w:val="none"/>
              </w:rPr>
            </w:pPr>
          </w:p>
        </w:tc>
        <w:tc>
          <w:tcPr>
            <w:tcW w:w="1107" w:type="dxa"/>
            <w:vMerge w:val="continue"/>
            <w:tcBorders>
              <w:top w:val="single" w:color="auto" w:sz="4" w:space="0"/>
              <w:left w:val="single" w:color="auto" w:sz="4" w:space="0"/>
              <w:bottom w:val="single" w:color="auto" w:sz="4" w:space="0"/>
              <w:right w:val="single" w:color="auto" w:sz="4" w:space="0"/>
            </w:tcBorders>
            <w:noWrap w:val="0"/>
            <w:vAlign w:val="center"/>
          </w:tcPr>
          <w:p w14:paraId="78DDE819">
            <w:pPr>
              <w:keepNext w:val="0"/>
              <w:keepLines w:val="0"/>
              <w:pageBreakBefore w:val="0"/>
              <w:widowControl w:val="0"/>
              <w:kinsoku/>
              <w:wordWrap/>
              <w:overflowPunct/>
              <w:topLinePunct w:val="0"/>
              <w:autoSpaceDE/>
              <w:autoSpaceDN/>
              <w:bidi w:val="0"/>
              <w:spacing w:line="500" w:lineRule="exact"/>
              <w:rPr>
                <w:rFonts w:hint="eastAsia" w:ascii="宋体" w:hAnsi="宋体" w:eastAsia="宋体" w:cs="宋体"/>
                <w:color w:val="000000"/>
                <w:szCs w:val="21"/>
                <w:highlight w:val="none"/>
              </w:rPr>
            </w:pPr>
          </w:p>
        </w:tc>
        <w:tc>
          <w:tcPr>
            <w:tcW w:w="1740" w:type="dxa"/>
            <w:gridSpan w:val="2"/>
            <w:tcBorders>
              <w:top w:val="single" w:color="auto" w:sz="4" w:space="0"/>
              <w:left w:val="single" w:color="auto" w:sz="4" w:space="0"/>
              <w:bottom w:val="single" w:color="auto" w:sz="4" w:space="0"/>
              <w:right w:val="single" w:color="auto" w:sz="4" w:space="0"/>
            </w:tcBorders>
            <w:noWrap w:val="0"/>
            <w:vAlign w:val="center"/>
          </w:tcPr>
          <w:p w14:paraId="13F65B9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Cs/>
                <w:color w:val="000000"/>
                <w:spacing w:val="-2"/>
                <w:sz w:val="24"/>
                <w:highlight w:val="none"/>
              </w:rPr>
            </w:pPr>
            <w:r>
              <w:rPr>
                <w:rFonts w:hint="eastAsia" w:ascii="宋体" w:hAnsi="宋体" w:eastAsia="宋体" w:cs="宋体"/>
                <w:bCs/>
                <w:color w:val="000000"/>
                <w:spacing w:val="-2"/>
                <w:sz w:val="24"/>
                <w:highlight w:val="none"/>
              </w:rPr>
              <w:t>质量和进度保证措施（10分）</w:t>
            </w:r>
          </w:p>
        </w:tc>
        <w:tc>
          <w:tcPr>
            <w:tcW w:w="6323" w:type="dxa"/>
            <w:tcBorders>
              <w:left w:val="single" w:color="auto" w:sz="4" w:space="0"/>
            </w:tcBorders>
            <w:noWrap w:val="0"/>
            <w:vAlign w:val="center"/>
          </w:tcPr>
          <w:p w14:paraId="20AD7FBA">
            <w:pPr>
              <w:keepNext w:val="0"/>
              <w:keepLines w:val="0"/>
              <w:pageBreakBefore w:val="0"/>
              <w:widowControl w:val="0"/>
              <w:kinsoku/>
              <w:wordWrap/>
              <w:overflowPunct/>
              <w:topLinePunct w:val="0"/>
              <w:autoSpaceDE/>
              <w:autoSpaceDN/>
              <w:bidi w:val="0"/>
              <w:adjustRightInd/>
              <w:snapToGrid/>
              <w:spacing w:line="500" w:lineRule="exact"/>
              <w:ind w:right="202" w:rightChars="96" w:firstLine="240" w:firstLineChars="100"/>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对质量和进度保证措施对比评分，考查、对比投标人针对本项目的成果质量、进度保证措施是否全面、合理，保证措施是否得当。（</w:t>
            </w:r>
            <w:r>
              <w:rPr>
                <w:rFonts w:hint="eastAsia" w:ascii="宋体" w:hAnsi="宋体" w:eastAsia="宋体" w:cs="宋体"/>
                <w:color w:val="000000"/>
                <w:sz w:val="24"/>
                <w:highlight w:val="none"/>
                <w:lang w:val="en-US" w:eastAsia="zh-CN"/>
              </w:rPr>
              <w:t>8</w:t>
            </w:r>
            <w:r>
              <w:rPr>
                <w:rFonts w:hint="eastAsia" w:ascii="宋体" w:hAnsi="宋体" w:eastAsia="宋体" w:cs="宋体"/>
                <w:color w:val="000000"/>
                <w:sz w:val="24"/>
                <w:highlight w:val="none"/>
              </w:rPr>
              <w:t>≤X≤10，按优得10分、良得9分、合格得</w:t>
            </w:r>
            <w:r>
              <w:rPr>
                <w:rFonts w:hint="eastAsia" w:ascii="宋体" w:hAnsi="宋体" w:eastAsia="宋体" w:cs="宋体"/>
                <w:color w:val="000000"/>
                <w:sz w:val="24"/>
                <w:highlight w:val="none"/>
                <w:lang w:val="en-US" w:eastAsia="zh-CN"/>
              </w:rPr>
              <w:t>8</w:t>
            </w:r>
            <w:r>
              <w:rPr>
                <w:rFonts w:hint="eastAsia" w:ascii="宋体" w:hAnsi="宋体" w:eastAsia="宋体" w:cs="宋体"/>
                <w:color w:val="000000"/>
                <w:sz w:val="24"/>
                <w:highlight w:val="none"/>
              </w:rPr>
              <w:t>分计算，不提供不得分）</w:t>
            </w:r>
          </w:p>
        </w:tc>
      </w:tr>
      <w:tr w14:paraId="7B1831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42" w:hRule="atLeast"/>
          <w:jc w:val="center"/>
        </w:trPr>
        <w:tc>
          <w:tcPr>
            <w:tcW w:w="645" w:type="dxa"/>
            <w:vMerge w:val="continue"/>
            <w:tcBorders>
              <w:top w:val="single" w:color="auto" w:sz="4" w:space="0"/>
              <w:left w:val="single" w:color="auto" w:sz="4" w:space="0"/>
              <w:bottom w:val="single" w:color="auto" w:sz="4" w:space="0"/>
              <w:right w:val="single" w:color="auto" w:sz="4" w:space="0"/>
            </w:tcBorders>
            <w:noWrap w:val="0"/>
            <w:vAlign w:val="center"/>
          </w:tcPr>
          <w:p w14:paraId="566C52C3">
            <w:pPr>
              <w:keepNext w:val="0"/>
              <w:keepLines w:val="0"/>
              <w:pageBreakBefore w:val="0"/>
              <w:widowControl w:val="0"/>
              <w:kinsoku/>
              <w:wordWrap/>
              <w:overflowPunct/>
              <w:topLinePunct w:val="0"/>
              <w:autoSpaceDE/>
              <w:autoSpaceDN/>
              <w:bidi w:val="0"/>
              <w:spacing w:line="500" w:lineRule="exact"/>
              <w:rPr>
                <w:rFonts w:hint="eastAsia" w:ascii="宋体" w:hAnsi="宋体" w:eastAsia="宋体" w:cs="宋体"/>
                <w:color w:val="000000"/>
                <w:szCs w:val="21"/>
                <w:highlight w:val="none"/>
              </w:rPr>
            </w:pPr>
          </w:p>
        </w:tc>
        <w:tc>
          <w:tcPr>
            <w:tcW w:w="1107" w:type="dxa"/>
            <w:vMerge w:val="continue"/>
            <w:tcBorders>
              <w:top w:val="single" w:color="auto" w:sz="4" w:space="0"/>
              <w:left w:val="single" w:color="auto" w:sz="4" w:space="0"/>
              <w:bottom w:val="single" w:color="auto" w:sz="4" w:space="0"/>
              <w:right w:val="single" w:color="auto" w:sz="4" w:space="0"/>
            </w:tcBorders>
            <w:noWrap w:val="0"/>
            <w:vAlign w:val="center"/>
          </w:tcPr>
          <w:p w14:paraId="12DAED21">
            <w:pPr>
              <w:keepNext w:val="0"/>
              <w:keepLines w:val="0"/>
              <w:pageBreakBefore w:val="0"/>
              <w:widowControl w:val="0"/>
              <w:kinsoku/>
              <w:wordWrap/>
              <w:overflowPunct/>
              <w:topLinePunct w:val="0"/>
              <w:autoSpaceDE/>
              <w:autoSpaceDN/>
              <w:bidi w:val="0"/>
              <w:spacing w:line="500" w:lineRule="exact"/>
              <w:rPr>
                <w:rFonts w:hint="eastAsia" w:ascii="宋体" w:hAnsi="宋体" w:eastAsia="宋体" w:cs="宋体"/>
                <w:color w:val="000000"/>
                <w:szCs w:val="21"/>
                <w:highlight w:val="none"/>
              </w:rPr>
            </w:pPr>
          </w:p>
        </w:tc>
        <w:tc>
          <w:tcPr>
            <w:tcW w:w="1740" w:type="dxa"/>
            <w:gridSpan w:val="2"/>
            <w:tcBorders>
              <w:top w:val="single" w:color="auto" w:sz="4" w:space="0"/>
              <w:left w:val="single" w:color="auto" w:sz="4" w:space="0"/>
              <w:bottom w:val="single" w:color="auto" w:sz="4" w:space="0"/>
              <w:right w:val="single" w:color="auto" w:sz="4" w:space="0"/>
            </w:tcBorders>
            <w:noWrap w:val="0"/>
            <w:vAlign w:val="center"/>
          </w:tcPr>
          <w:p w14:paraId="726EC18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Cs/>
                <w:color w:val="000000"/>
                <w:spacing w:val="-2"/>
                <w:sz w:val="24"/>
                <w:highlight w:val="none"/>
              </w:rPr>
            </w:pPr>
            <w:r>
              <w:rPr>
                <w:rFonts w:hint="eastAsia" w:ascii="宋体" w:hAnsi="宋体" w:eastAsia="宋体" w:cs="宋体"/>
                <w:bCs/>
                <w:color w:val="000000"/>
                <w:spacing w:val="-2"/>
                <w:sz w:val="24"/>
                <w:highlight w:val="none"/>
              </w:rPr>
              <w:t>项目组织管理（10分）</w:t>
            </w:r>
          </w:p>
        </w:tc>
        <w:tc>
          <w:tcPr>
            <w:tcW w:w="6323" w:type="dxa"/>
            <w:tcBorders>
              <w:left w:val="single" w:color="auto" w:sz="4" w:space="0"/>
            </w:tcBorders>
            <w:noWrap w:val="0"/>
            <w:vAlign w:val="center"/>
          </w:tcPr>
          <w:p w14:paraId="34060BE1">
            <w:pPr>
              <w:keepNext w:val="0"/>
              <w:keepLines w:val="0"/>
              <w:pageBreakBefore w:val="0"/>
              <w:widowControl w:val="0"/>
              <w:kinsoku/>
              <w:wordWrap/>
              <w:overflowPunct/>
              <w:topLinePunct w:val="0"/>
              <w:autoSpaceDE/>
              <w:autoSpaceDN/>
              <w:bidi w:val="0"/>
              <w:adjustRightInd/>
              <w:snapToGrid/>
              <w:spacing w:line="500" w:lineRule="exact"/>
              <w:ind w:right="202" w:rightChars="96" w:firstLine="240" w:firstLineChars="100"/>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根据投标人的项目组织管理体系及承诺对比评分，考查、对比投标人的项目组织方案，包括但不限于针对本项目的总体部署、质量管理体系等是否全面、详细、合理、清晰。（</w:t>
            </w:r>
            <w:r>
              <w:rPr>
                <w:rFonts w:hint="eastAsia" w:ascii="宋体" w:hAnsi="宋体" w:eastAsia="宋体" w:cs="宋体"/>
                <w:color w:val="000000"/>
                <w:sz w:val="24"/>
                <w:highlight w:val="none"/>
                <w:lang w:val="en-US" w:eastAsia="zh-CN"/>
              </w:rPr>
              <w:t>8</w:t>
            </w:r>
            <w:r>
              <w:rPr>
                <w:rFonts w:hint="eastAsia" w:ascii="宋体" w:hAnsi="宋体" w:eastAsia="宋体" w:cs="宋体"/>
                <w:color w:val="000000"/>
                <w:sz w:val="24"/>
                <w:highlight w:val="none"/>
              </w:rPr>
              <w:t>≤X≤10，按优得10分、良得9分、合格得</w:t>
            </w:r>
            <w:r>
              <w:rPr>
                <w:rFonts w:hint="eastAsia" w:ascii="宋体" w:hAnsi="宋体" w:eastAsia="宋体" w:cs="宋体"/>
                <w:color w:val="000000"/>
                <w:sz w:val="24"/>
                <w:highlight w:val="none"/>
                <w:lang w:val="en-US" w:eastAsia="zh-CN"/>
              </w:rPr>
              <w:t>8</w:t>
            </w:r>
            <w:r>
              <w:rPr>
                <w:rFonts w:hint="eastAsia" w:ascii="宋体" w:hAnsi="宋体" w:eastAsia="宋体" w:cs="宋体"/>
                <w:color w:val="000000"/>
                <w:sz w:val="24"/>
                <w:highlight w:val="none"/>
              </w:rPr>
              <w:t>分计算，不提供不得分）</w:t>
            </w:r>
          </w:p>
        </w:tc>
      </w:tr>
      <w:tr w14:paraId="1AE9D2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4" w:hRule="atLeast"/>
          <w:jc w:val="center"/>
        </w:trPr>
        <w:tc>
          <w:tcPr>
            <w:tcW w:w="645" w:type="dxa"/>
            <w:tcBorders>
              <w:top w:val="single" w:color="auto" w:sz="4" w:space="0"/>
            </w:tcBorders>
            <w:noWrap w:val="0"/>
            <w:vAlign w:val="center"/>
          </w:tcPr>
          <w:p w14:paraId="1538C641">
            <w:pPr>
              <w:pStyle w:val="20"/>
              <w:keepNext w:val="0"/>
              <w:keepLines w:val="0"/>
              <w:pageBreakBefore w:val="0"/>
              <w:widowControl w:val="0"/>
              <w:kinsoku/>
              <w:wordWrap/>
              <w:overflowPunct/>
              <w:topLinePunct w:val="0"/>
              <w:autoSpaceDE/>
              <w:autoSpaceDN/>
              <w:bidi w:val="0"/>
              <w:spacing w:line="500" w:lineRule="exact"/>
              <w:rPr>
                <w:rFonts w:hint="eastAsia" w:ascii="宋体" w:hAnsi="宋体" w:eastAsia="宋体" w:cs="宋体"/>
                <w:color w:val="000000"/>
                <w:sz w:val="24"/>
                <w:highlight w:val="none"/>
              </w:rPr>
            </w:pPr>
            <w:r>
              <w:rPr>
                <w:rFonts w:hint="eastAsia" w:ascii="宋体" w:hAnsi="宋体" w:eastAsia="宋体" w:cs="宋体"/>
                <w:color w:val="000000"/>
                <w:sz w:val="24"/>
                <w:highlight w:val="none"/>
              </w:rPr>
              <w:t>2.2.</w:t>
            </w:r>
            <w:r>
              <w:rPr>
                <w:rFonts w:hint="eastAsia" w:ascii="宋体" w:hAnsi="宋体" w:eastAsia="宋体" w:cs="宋体"/>
                <w:color w:val="000000"/>
                <w:sz w:val="24"/>
                <w:highlight w:val="none"/>
                <w:lang w:val="en-US"/>
              </w:rPr>
              <w:t>2</w:t>
            </w:r>
            <w:r>
              <w:rPr>
                <w:rFonts w:hint="eastAsia" w:ascii="宋体" w:hAnsi="宋体" w:eastAsia="宋体" w:cs="宋体"/>
                <w:color w:val="000000"/>
                <w:sz w:val="24"/>
                <w:highlight w:val="none"/>
              </w:rPr>
              <w:t>（3）</w:t>
            </w:r>
          </w:p>
        </w:tc>
        <w:tc>
          <w:tcPr>
            <w:tcW w:w="1107" w:type="dxa"/>
            <w:tcBorders>
              <w:top w:val="single" w:color="auto" w:sz="4" w:space="0"/>
            </w:tcBorders>
            <w:noWrap w:val="0"/>
            <w:vAlign w:val="center"/>
          </w:tcPr>
          <w:p w14:paraId="22314A8D">
            <w:pPr>
              <w:keepNext w:val="0"/>
              <w:keepLines w:val="0"/>
              <w:pageBreakBefore w:val="0"/>
              <w:widowControl w:val="0"/>
              <w:kinsoku/>
              <w:wordWrap/>
              <w:overflowPunct/>
              <w:topLinePunct w:val="0"/>
              <w:autoSpaceDE/>
              <w:autoSpaceDN/>
              <w:bidi w:val="0"/>
              <w:spacing w:line="500" w:lineRule="exact"/>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报价部分</w:t>
            </w:r>
            <w:r>
              <w:rPr>
                <w:rFonts w:hint="eastAsia" w:ascii="宋体" w:hAnsi="宋体" w:eastAsia="宋体" w:cs="宋体"/>
                <w:color w:val="000000"/>
                <w:kern w:val="0"/>
                <w:sz w:val="24"/>
                <w:highlight w:val="none"/>
              </w:rPr>
              <w:t>F3</w:t>
            </w:r>
            <w:r>
              <w:rPr>
                <w:rFonts w:hint="eastAsia" w:ascii="宋体" w:hAnsi="宋体" w:eastAsia="宋体" w:cs="宋体"/>
                <w:color w:val="000000"/>
                <w:sz w:val="24"/>
                <w:highlight w:val="none"/>
              </w:rPr>
              <w:t>(</w:t>
            </w:r>
            <w:r>
              <w:rPr>
                <w:rFonts w:hint="eastAsia" w:ascii="宋体" w:hAnsi="宋体" w:eastAsia="宋体" w:cs="宋体"/>
                <w:color w:val="000000"/>
                <w:sz w:val="24"/>
                <w:highlight w:val="none"/>
                <w:lang w:val="en-US" w:eastAsia="zh-CN"/>
              </w:rPr>
              <w:t>10</w:t>
            </w:r>
            <w:r>
              <w:rPr>
                <w:rFonts w:hint="eastAsia" w:ascii="宋体" w:hAnsi="宋体" w:eastAsia="宋体" w:cs="宋体"/>
                <w:color w:val="000000"/>
                <w:sz w:val="24"/>
                <w:highlight w:val="none"/>
              </w:rPr>
              <w:t>分)</w:t>
            </w:r>
          </w:p>
        </w:tc>
        <w:tc>
          <w:tcPr>
            <w:tcW w:w="8063" w:type="dxa"/>
            <w:gridSpan w:val="3"/>
            <w:tcBorders>
              <w:top w:val="single" w:color="auto" w:sz="4" w:space="0"/>
            </w:tcBorders>
            <w:noWrap w:val="0"/>
            <w:vAlign w:val="center"/>
          </w:tcPr>
          <w:p w14:paraId="6941260D">
            <w:pPr>
              <w:keepNext w:val="0"/>
              <w:keepLines w:val="0"/>
              <w:pageBreakBefore w:val="0"/>
              <w:widowControl w:val="0"/>
              <w:kinsoku/>
              <w:wordWrap/>
              <w:overflowPunct/>
              <w:topLinePunct w:val="0"/>
              <w:autoSpaceDE/>
              <w:autoSpaceDN/>
              <w:bidi w:val="0"/>
              <w:spacing w:line="5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投标人仅需填报投标报价下浮率（有效投标报价下浮率</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0.000%，保留至小数点后</w:t>
            </w:r>
            <w:r>
              <w:rPr>
                <w:rFonts w:hint="eastAsia" w:ascii="宋体" w:hAnsi="宋体" w:eastAsia="宋体" w:cs="宋体"/>
                <w:color w:val="000000"/>
                <w:sz w:val="24"/>
                <w:highlight w:val="none"/>
                <w:lang w:eastAsia="zh-CN"/>
              </w:rPr>
              <w:t>3</w:t>
            </w:r>
            <w:r>
              <w:rPr>
                <w:rFonts w:hint="eastAsia" w:ascii="宋体" w:hAnsi="宋体" w:eastAsia="宋体" w:cs="宋体"/>
                <w:color w:val="000000"/>
                <w:sz w:val="24"/>
                <w:highlight w:val="none"/>
              </w:rPr>
              <w:t>位），不在此范围内的投标报价均为无效投标报价。</w:t>
            </w:r>
          </w:p>
          <w:p w14:paraId="4D633897">
            <w:pPr>
              <w:keepNext w:val="0"/>
              <w:keepLines w:val="0"/>
              <w:pageBreakBefore w:val="0"/>
              <w:widowControl w:val="0"/>
              <w:kinsoku/>
              <w:wordWrap/>
              <w:overflowPunct/>
              <w:topLinePunct w:val="0"/>
              <w:autoSpaceDE/>
              <w:autoSpaceDN/>
              <w:bidi w:val="0"/>
              <w:spacing w:line="500" w:lineRule="exact"/>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lang w:eastAsia="zh-CN"/>
              </w:rPr>
              <w:t>评标基准下浮率计算：A为所有有效投标人报价下浮率的算术平均值，计算A时，当有效报价下浮率的个数（n＞5）去掉一个最高值和一个最低值的算术平均值。</w:t>
            </w:r>
          </w:p>
          <w:p w14:paraId="4FE13A3E">
            <w:pPr>
              <w:keepNext w:val="0"/>
              <w:keepLines w:val="0"/>
              <w:pageBreakBefore w:val="0"/>
              <w:widowControl w:val="0"/>
              <w:kinsoku/>
              <w:wordWrap/>
              <w:overflowPunct/>
              <w:topLinePunct w:val="0"/>
              <w:autoSpaceDE/>
              <w:autoSpaceDN/>
              <w:bidi w:val="0"/>
              <w:spacing w:line="500" w:lineRule="exact"/>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lang w:eastAsia="zh-CN"/>
              </w:rPr>
              <w:t>投标报价计算方法：评标基准下浮率为A，投标人投标报价下浮率为B；投标报价得分计算系数为C（C取值范围为</w:t>
            </w:r>
            <w:r>
              <w:rPr>
                <w:rFonts w:hint="eastAsia" w:ascii="宋体" w:hAnsi="宋体" w:eastAsia="宋体" w:cs="宋体"/>
                <w:color w:val="000000"/>
                <w:sz w:val="24"/>
                <w:highlight w:val="none"/>
                <w:lang w:val="en-US" w:eastAsia="zh-CN"/>
              </w:rPr>
              <w:t>1</w:t>
            </w:r>
            <w:r>
              <w:rPr>
                <w:rFonts w:hint="eastAsia" w:ascii="宋体" w:hAnsi="宋体" w:eastAsia="宋体" w:cs="宋体"/>
                <w:color w:val="000000"/>
                <w:sz w:val="24"/>
                <w:highlight w:val="none"/>
                <w:lang w:eastAsia="zh-CN"/>
              </w:rPr>
              <w:t>00）。</w:t>
            </w:r>
          </w:p>
          <w:p w14:paraId="7855411C">
            <w:pPr>
              <w:keepNext w:val="0"/>
              <w:keepLines w:val="0"/>
              <w:pageBreakBefore w:val="0"/>
              <w:widowControl w:val="0"/>
              <w:kinsoku/>
              <w:wordWrap/>
              <w:overflowPunct/>
              <w:topLinePunct w:val="0"/>
              <w:autoSpaceDE/>
              <w:autoSpaceDN/>
              <w:bidi w:val="0"/>
              <w:spacing w:line="500" w:lineRule="exact"/>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lang w:eastAsia="zh-CN"/>
              </w:rPr>
              <w:t>投标报价得分=</w:t>
            </w:r>
            <w:r>
              <w:rPr>
                <w:rFonts w:hint="eastAsia" w:ascii="宋体" w:hAnsi="宋体" w:eastAsia="宋体" w:cs="宋体"/>
                <w:color w:val="000000"/>
                <w:sz w:val="24"/>
                <w:highlight w:val="none"/>
                <w:lang w:val="en-US" w:eastAsia="zh-CN"/>
              </w:rPr>
              <w:t>10</w:t>
            </w:r>
            <w:r>
              <w:rPr>
                <w:rFonts w:hint="eastAsia" w:ascii="宋体" w:hAnsi="宋体" w:eastAsia="宋体" w:cs="宋体"/>
                <w:color w:val="000000"/>
                <w:sz w:val="24"/>
                <w:highlight w:val="none"/>
                <w:lang w:eastAsia="zh-CN"/>
              </w:rPr>
              <w:t>-∣B-A∣×C（精确到小数点后3位，如最终计算结果为负值，则报价得分为0）。</w:t>
            </w:r>
          </w:p>
        </w:tc>
      </w:tr>
    </w:tbl>
    <w:p w14:paraId="4BAA2D66">
      <w:pPr>
        <w:pageBreakBefore w:val="0"/>
        <w:widowControl w:val="0"/>
        <w:kinsoku/>
        <w:wordWrap/>
        <w:overflowPunct/>
        <w:topLinePunct w:val="0"/>
        <w:autoSpaceDE/>
        <w:autoSpaceDN/>
        <w:bidi w:val="0"/>
        <w:adjustRightInd/>
        <w:snapToGrid/>
        <w:spacing w:line="500" w:lineRule="exact"/>
        <w:textAlignment w:val="auto"/>
        <w:outlineLvl w:val="9"/>
        <w:rPr>
          <w:rFonts w:hint="eastAsia" w:ascii="宋体" w:hAnsi="宋体" w:eastAsia="宋体" w:cs="宋体"/>
          <w:color w:val="000000"/>
          <w:sz w:val="24"/>
          <w:szCs w:val="24"/>
          <w:highlight w:val="none"/>
        </w:rPr>
      </w:pPr>
      <w:r>
        <w:rPr>
          <w:rFonts w:hint="eastAsia" w:ascii="宋体" w:hAnsi="宋体" w:eastAsia="宋体" w:cs="宋体"/>
          <w:b/>
          <w:color w:val="000000"/>
          <w:sz w:val="32"/>
          <w:highlight w:val="none"/>
        </w:rPr>
        <w:br w:type="page"/>
      </w:r>
      <w:bookmarkStart w:id="117" w:name="_Toc29931"/>
      <w:r>
        <w:rPr>
          <w:rFonts w:hint="eastAsia" w:ascii="宋体" w:hAnsi="宋体" w:eastAsia="宋体" w:cs="宋体"/>
          <w:b/>
          <w:color w:val="000000"/>
          <w:spacing w:val="-4"/>
          <w:kern w:val="0"/>
          <w:sz w:val="24"/>
          <w:szCs w:val="24"/>
          <w:highlight w:val="none"/>
        </w:rPr>
        <w:t>1.评标方法</w:t>
      </w:r>
      <w:bookmarkEnd w:id="117"/>
    </w:p>
    <w:p w14:paraId="1371FE29">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本次评标采用综合评估法。评标委员会对满足招标文件实质性要求的投标文件，按照本章第 2.2 款规定的评分标准进行打分，并按总得分由高至低依次推荐三个中标候选人，并标明推荐顺序。如果出现两个或两个以上投标人得分相同且为最高分，则由评标委员会按照少数服从多数的原则投票决定中标候选顺序。</w:t>
      </w:r>
    </w:p>
    <w:p w14:paraId="7E38C0BC">
      <w:pPr>
        <w:pageBreakBefore w:val="0"/>
        <w:widowControl w:val="0"/>
        <w:kinsoku/>
        <w:wordWrap/>
        <w:overflowPunct/>
        <w:topLinePunct w:val="0"/>
        <w:autoSpaceDE/>
        <w:autoSpaceDN/>
        <w:bidi w:val="0"/>
        <w:adjustRightInd/>
        <w:snapToGrid/>
        <w:spacing w:line="500" w:lineRule="exact"/>
        <w:textAlignment w:val="auto"/>
        <w:outlineLvl w:val="9"/>
        <w:rPr>
          <w:rFonts w:hint="eastAsia" w:ascii="宋体" w:hAnsi="宋体" w:eastAsia="宋体" w:cs="宋体"/>
          <w:b/>
          <w:color w:val="000000"/>
          <w:spacing w:val="-4"/>
          <w:kern w:val="0"/>
          <w:sz w:val="24"/>
          <w:szCs w:val="24"/>
          <w:highlight w:val="none"/>
        </w:rPr>
      </w:pPr>
      <w:bookmarkStart w:id="118" w:name="_Toc2958"/>
      <w:r>
        <w:rPr>
          <w:rFonts w:hint="eastAsia" w:ascii="宋体" w:hAnsi="宋体" w:eastAsia="宋体" w:cs="宋体"/>
          <w:b/>
          <w:color w:val="000000"/>
          <w:spacing w:val="-4"/>
          <w:kern w:val="0"/>
          <w:sz w:val="24"/>
          <w:szCs w:val="24"/>
          <w:highlight w:val="none"/>
        </w:rPr>
        <w:t>2.评审标准</w:t>
      </w:r>
      <w:bookmarkEnd w:id="118"/>
    </w:p>
    <w:p w14:paraId="5A28F3A4">
      <w:pPr>
        <w:pageBreakBefore w:val="0"/>
        <w:widowControl w:val="0"/>
        <w:numPr>
          <w:ilvl w:val="1"/>
          <w:numId w:val="2"/>
        </w:numPr>
        <w:tabs>
          <w:tab w:val="left" w:pos="620"/>
        </w:tabs>
        <w:kinsoku/>
        <w:wordWrap/>
        <w:overflowPunct/>
        <w:topLinePunct w:val="0"/>
        <w:autoSpaceDE/>
        <w:autoSpaceDN/>
        <w:bidi w:val="0"/>
        <w:adjustRightInd/>
        <w:snapToGrid/>
        <w:spacing w:line="500" w:lineRule="exact"/>
        <w:ind w:left="620" w:hanging="483"/>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初步评审标准</w:t>
      </w:r>
    </w:p>
    <w:p w14:paraId="7136E16B">
      <w:pPr>
        <w:pageBreakBefore w:val="0"/>
        <w:widowControl w:val="0"/>
        <w:numPr>
          <w:ilvl w:val="2"/>
          <w:numId w:val="2"/>
        </w:numPr>
        <w:tabs>
          <w:tab w:val="left" w:pos="940"/>
        </w:tabs>
        <w:kinsoku/>
        <w:wordWrap/>
        <w:overflowPunct/>
        <w:topLinePunct w:val="0"/>
        <w:autoSpaceDE/>
        <w:autoSpaceDN/>
        <w:bidi w:val="0"/>
        <w:adjustRightInd/>
        <w:snapToGrid/>
        <w:spacing w:line="500" w:lineRule="exact"/>
        <w:ind w:left="941" w:hanging="522"/>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形式评审标准：见评标办法前附表</w:t>
      </w:r>
      <w:r>
        <w:rPr>
          <w:rFonts w:hint="eastAsia" w:ascii="宋体" w:hAnsi="宋体" w:eastAsia="宋体" w:cs="宋体"/>
          <w:color w:val="000000"/>
          <w:sz w:val="24"/>
          <w:szCs w:val="24"/>
          <w:highlight w:val="none"/>
          <w:lang w:eastAsia="zh-CN"/>
        </w:rPr>
        <w:t>；</w:t>
      </w:r>
    </w:p>
    <w:p w14:paraId="1AC21686">
      <w:pPr>
        <w:pageBreakBefore w:val="0"/>
        <w:widowControl w:val="0"/>
        <w:numPr>
          <w:ilvl w:val="2"/>
          <w:numId w:val="2"/>
        </w:numPr>
        <w:tabs>
          <w:tab w:val="left" w:pos="940"/>
        </w:tabs>
        <w:kinsoku/>
        <w:wordWrap/>
        <w:overflowPunct/>
        <w:topLinePunct w:val="0"/>
        <w:autoSpaceDE/>
        <w:autoSpaceDN/>
        <w:bidi w:val="0"/>
        <w:adjustRightInd/>
        <w:snapToGrid/>
        <w:spacing w:line="500" w:lineRule="exact"/>
        <w:ind w:left="941" w:hanging="522"/>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资格评审标准：见评标办法前附表</w:t>
      </w:r>
      <w:r>
        <w:rPr>
          <w:rFonts w:hint="eastAsia" w:ascii="宋体" w:hAnsi="宋体" w:eastAsia="宋体" w:cs="宋体"/>
          <w:color w:val="000000"/>
          <w:sz w:val="24"/>
          <w:szCs w:val="24"/>
          <w:highlight w:val="none"/>
          <w:lang w:eastAsia="zh-CN"/>
        </w:rPr>
        <w:t>；</w:t>
      </w:r>
    </w:p>
    <w:p w14:paraId="660A1D9B">
      <w:pPr>
        <w:pageBreakBefore w:val="0"/>
        <w:widowControl w:val="0"/>
        <w:numPr>
          <w:ilvl w:val="2"/>
          <w:numId w:val="2"/>
        </w:numPr>
        <w:tabs>
          <w:tab w:val="left" w:pos="940"/>
        </w:tabs>
        <w:kinsoku/>
        <w:wordWrap/>
        <w:overflowPunct/>
        <w:topLinePunct w:val="0"/>
        <w:autoSpaceDE/>
        <w:autoSpaceDN/>
        <w:bidi w:val="0"/>
        <w:adjustRightInd/>
        <w:snapToGrid/>
        <w:spacing w:line="500" w:lineRule="exact"/>
        <w:ind w:left="941" w:hanging="522"/>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响应性评审标准：见评标办法前附表。</w:t>
      </w:r>
    </w:p>
    <w:p w14:paraId="6F78CB4F">
      <w:pPr>
        <w:pageBreakBefore w:val="0"/>
        <w:widowControl w:val="0"/>
        <w:numPr>
          <w:ilvl w:val="1"/>
          <w:numId w:val="2"/>
        </w:numPr>
        <w:tabs>
          <w:tab w:val="left" w:pos="620"/>
        </w:tabs>
        <w:kinsoku/>
        <w:wordWrap/>
        <w:overflowPunct/>
        <w:topLinePunct w:val="0"/>
        <w:autoSpaceDE/>
        <w:autoSpaceDN/>
        <w:bidi w:val="0"/>
        <w:adjustRightInd/>
        <w:snapToGrid/>
        <w:spacing w:line="500" w:lineRule="exact"/>
        <w:ind w:left="620" w:hanging="483"/>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分值构成与评分标准</w:t>
      </w:r>
    </w:p>
    <w:p w14:paraId="36628494">
      <w:pPr>
        <w:pageBreakBefore w:val="0"/>
        <w:widowControl w:val="0"/>
        <w:numPr>
          <w:ilvl w:val="2"/>
          <w:numId w:val="3"/>
        </w:numPr>
        <w:tabs>
          <w:tab w:val="left" w:pos="940"/>
        </w:tabs>
        <w:kinsoku/>
        <w:wordWrap/>
        <w:overflowPunct/>
        <w:topLinePunct w:val="0"/>
        <w:autoSpaceDE/>
        <w:autoSpaceDN/>
        <w:bidi w:val="0"/>
        <w:adjustRightInd/>
        <w:snapToGrid/>
        <w:spacing w:line="500" w:lineRule="exact"/>
        <w:ind w:left="940" w:hanging="52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分值构成</w:t>
      </w:r>
    </w:p>
    <w:p w14:paraId="2DCE84D1">
      <w:pPr>
        <w:pageBreakBefore w:val="0"/>
        <w:widowControl w:val="0"/>
        <w:kinsoku/>
        <w:wordWrap/>
        <w:overflowPunct/>
        <w:topLinePunct w:val="0"/>
        <w:autoSpaceDE/>
        <w:autoSpaceDN/>
        <w:bidi w:val="0"/>
        <w:adjustRightInd/>
        <w:snapToGrid/>
        <w:spacing w:line="500" w:lineRule="exact"/>
        <w:ind w:left="42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（1）商务部分：见评标办法前附表；</w:t>
      </w:r>
    </w:p>
    <w:p w14:paraId="18B428A5">
      <w:pPr>
        <w:pageBreakBefore w:val="0"/>
        <w:widowControl w:val="0"/>
        <w:kinsoku/>
        <w:wordWrap/>
        <w:overflowPunct/>
        <w:topLinePunct w:val="0"/>
        <w:autoSpaceDE/>
        <w:autoSpaceDN/>
        <w:bidi w:val="0"/>
        <w:adjustRightInd/>
        <w:snapToGrid/>
        <w:spacing w:line="500" w:lineRule="exact"/>
        <w:ind w:left="42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（2）技术部分：见评标办法前附表；</w:t>
      </w:r>
    </w:p>
    <w:p w14:paraId="1AE63DF8">
      <w:pPr>
        <w:pageBreakBefore w:val="0"/>
        <w:widowControl w:val="0"/>
        <w:kinsoku/>
        <w:wordWrap/>
        <w:overflowPunct/>
        <w:topLinePunct w:val="0"/>
        <w:autoSpaceDE/>
        <w:autoSpaceDN/>
        <w:bidi w:val="0"/>
        <w:adjustRightInd/>
        <w:snapToGrid/>
        <w:spacing w:line="500" w:lineRule="exact"/>
        <w:ind w:left="420"/>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（3）投标报价：见评标办法前附表</w:t>
      </w:r>
      <w:r>
        <w:rPr>
          <w:rFonts w:hint="eastAsia" w:ascii="宋体" w:hAnsi="宋体" w:eastAsia="宋体" w:cs="宋体"/>
          <w:color w:val="000000"/>
          <w:sz w:val="24"/>
          <w:szCs w:val="24"/>
          <w:highlight w:val="none"/>
          <w:lang w:eastAsia="zh-CN"/>
        </w:rPr>
        <w:t>。</w:t>
      </w:r>
    </w:p>
    <w:p w14:paraId="747F50B0">
      <w:pPr>
        <w:pageBreakBefore w:val="0"/>
        <w:widowControl w:val="0"/>
        <w:kinsoku/>
        <w:wordWrap/>
        <w:overflowPunct/>
        <w:topLinePunct w:val="0"/>
        <w:autoSpaceDE/>
        <w:autoSpaceDN/>
        <w:bidi w:val="0"/>
        <w:adjustRightInd/>
        <w:snapToGrid/>
        <w:spacing w:line="500" w:lineRule="exact"/>
        <w:ind w:left="42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2.2.2 评分标准</w:t>
      </w:r>
    </w:p>
    <w:p w14:paraId="330A20DE">
      <w:pPr>
        <w:pageBreakBefore w:val="0"/>
        <w:widowControl w:val="0"/>
        <w:kinsoku/>
        <w:wordWrap/>
        <w:overflowPunct/>
        <w:topLinePunct w:val="0"/>
        <w:autoSpaceDE/>
        <w:autoSpaceDN/>
        <w:bidi w:val="0"/>
        <w:adjustRightInd/>
        <w:snapToGrid/>
        <w:spacing w:line="500" w:lineRule="exact"/>
        <w:ind w:left="42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（1）商务评分标准：见评标办法前附表；</w:t>
      </w:r>
    </w:p>
    <w:p w14:paraId="2FB50222">
      <w:pPr>
        <w:pageBreakBefore w:val="0"/>
        <w:widowControl w:val="0"/>
        <w:kinsoku/>
        <w:wordWrap/>
        <w:overflowPunct/>
        <w:topLinePunct w:val="0"/>
        <w:autoSpaceDE/>
        <w:autoSpaceDN/>
        <w:bidi w:val="0"/>
        <w:adjustRightInd/>
        <w:snapToGrid/>
        <w:spacing w:line="500" w:lineRule="exact"/>
        <w:ind w:left="42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（2）技术部分标准：见评标办法前附表；</w:t>
      </w:r>
    </w:p>
    <w:p w14:paraId="700F98AE">
      <w:pPr>
        <w:pageBreakBefore w:val="0"/>
        <w:widowControl w:val="0"/>
        <w:kinsoku/>
        <w:wordWrap/>
        <w:overflowPunct/>
        <w:topLinePunct w:val="0"/>
        <w:autoSpaceDE/>
        <w:autoSpaceDN/>
        <w:bidi w:val="0"/>
        <w:adjustRightInd/>
        <w:snapToGrid/>
        <w:spacing w:line="500" w:lineRule="exact"/>
        <w:ind w:left="42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（3）投标报价评分标准：见评标办法前附表</w:t>
      </w:r>
      <w:r>
        <w:rPr>
          <w:rFonts w:hint="eastAsia" w:ascii="宋体" w:hAnsi="宋体" w:eastAsia="宋体" w:cs="宋体"/>
          <w:color w:val="000000"/>
          <w:sz w:val="24"/>
          <w:szCs w:val="24"/>
          <w:highlight w:val="none"/>
          <w:lang w:eastAsia="zh-CN"/>
        </w:rPr>
        <w:t>。</w:t>
      </w:r>
    </w:p>
    <w:p w14:paraId="1DBF0EBE">
      <w:pPr>
        <w:pageBreakBefore w:val="0"/>
        <w:widowControl w:val="0"/>
        <w:kinsoku/>
        <w:wordWrap/>
        <w:overflowPunct/>
        <w:topLinePunct w:val="0"/>
        <w:autoSpaceDE/>
        <w:autoSpaceDN/>
        <w:bidi w:val="0"/>
        <w:adjustRightInd/>
        <w:snapToGrid/>
        <w:spacing w:line="500" w:lineRule="exact"/>
        <w:textAlignment w:val="auto"/>
        <w:outlineLvl w:val="9"/>
        <w:rPr>
          <w:rFonts w:hint="eastAsia" w:ascii="宋体" w:hAnsi="宋体" w:eastAsia="宋体" w:cs="宋体"/>
          <w:b/>
          <w:color w:val="000000"/>
          <w:spacing w:val="-4"/>
          <w:kern w:val="0"/>
          <w:sz w:val="24"/>
          <w:szCs w:val="24"/>
          <w:highlight w:val="none"/>
        </w:rPr>
      </w:pPr>
      <w:bookmarkStart w:id="119" w:name="_Toc21322"/>
      <w:r>
        <w:rPr>
          <w:rFonts w:hint="eastAsia" w:ascii="宋体" w:hAnsi="宋体" w:eastAsia="宋体" w:cs="宋体"/>
          <w:b/>
          <w:color w:val="000000"/>
          <w:spacing w:val="-4"/>
          <w:kern w:val="0"/>
          <w:sz w:val="24"/>
          <w:szCs w:val="24"/>
          <w:highlight w:val="none"/>
        </w:rPr>
        <w:t>3.评标程序</w:t>
      </w:r>
      <w:bookmarkEnd w:id="119"/>
    </w:p>
    <w:p w14:paraId="3F3C8DDC">
      <w:pPr>
        <w:pageBreakBefore w:val="0"/>
        <w:widowControl w:val="0"/>
        <w:numPr>
          <w:ilvl w:val="1"/>
          <w:numId w:val="4"/>
        </w:numPr>
        <w:tabs>
          <w:tab w:val="left" w:pos="620"/>
        </w:tabs>
        <w:kinsoku/>
        <w:wordWrap/>
        <w:overflowPunct/>
        <w:topLinePunct w:val="0"/>
        <w:autoSpaceDE/>
        <w:autoSpaceDN/>
        <w:bidi w:val="0"/>
        <w:adjustRightInd/>
        <w:snapToGrid/>
        <w:spacing w:line="500" w:lineRule="exact"/>
        <w:ind w:left="620" w:hanging="483"/>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初步评审</w:t>
      </w:r>
    </w:p>
    <w:p w14:paraId="18BFDC62">
      <w:pPr>
        <w:pageBreakBefore w:val="0"/>
        <w:widowControl w:val="0"/>
        <w:numPr>
          <w:ilvl w:val="2"/>
          <w:numId w:val="4"/>
        </w:numPr>
        <w:tabs>
          <w:tab w:val="left" w:pos="946"/>
        </w:tabs>
        <w:kinsoku/>
        <w:wordWrap/>
        <w:overflowPunct/>
        <w:topLinePunct w:val="0"/>
        <w:autoSpaceDE/>
        <w:autoSpaceDN/>
        <w:bidi w:val="0"/>
        <w:adjustRightInd/>
        <w:snapToGrid/>
        <w:spacing w:line="500" w:lineRule="exact"/>
        <w:ind w:right="20" w:firstLine="42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评标委员会依据本章第 2.1 款规定的标准对投标文件进行初步评审。有一项不符合评审标准的，评标委员会应当否决其投标。如果评标委员会成员意见不一致时，通过记名投票表决方式(不得采用弃权方式)以少数服从多数的原则决定投标人是否通过审查。</w:t>
      </w:r>
    </w:p>
    <w:p w14:paraId="5B26BFB1">
      <w:pPr>
        <w:pageBreakBefore w:val="0"/>
        <w:widowControl w:val="0"/>
        <w:numPr>
          <w:ilvl w:val="2"/>
          <w:numId w:val="4"/>
        </w:numPr>
        <w:tabs>
          <w:tab w:val="left" w:pos="940"/>
        </w:tabs>
        <w:kinsoku/>
        <w:wordWrap/>
        <w:overflowPunct/>
        <w:topLinePunct w:val="0"/>
        <w:autoSpaceDE/>
        <w:autoSpaceDN/>
        <w:bidi w:val="0"/>
        <w:adjustRightInd/>
        <w:snapToGrid/>
        <w:spacing w:line="500" w:lineRule="exact"/>
        <w:ind w:left="940" w:hanging="52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投标人有以下情形之一的，评标委员会应当否决其投标：</w:t>
      </w:r>
    </w:p>
    <w:p w14:paraId="740E229A">
      <w:pPr>
        <w:pageBreakBefore w:val="0"/>
        <w:widowControl w:val="0"/>
        <w:kinsoku/>
        <w:wordWrap/>
        <w:overflowPunct/>
        <w:topLinePunct w:val="0"/>
        <w:autoSpaceDE/>
        <w:autoSpaceDN/>
        <w:bidi w:val="0"/>
        <w:adjustRightInd/>
        <w:snapToGrid/>
        <w:spacing w:line="500" w:lineRule="exact"/>
        <w:ind w:right="120"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（1）投标文件没有对招标文件的实质性要求和条件作出响应，或者对招标文件的偏差超出招标文件规定的偏差范围或最高项数；</w:t>
      </w:r>
    </w:p>
    <w:p w14:paraId="15A8FC00">
      <w:pPr>
        <w:pageBreakBefore w:val="0"/>
        <w:widowControl w:val="0"/>
        <w:kinsoku/>
        <w:wordWrap/>
        <w:overflowPunct/>
        <w:topLinePunct w:val="0"/>
        <w:autoSpaceDE/>
        <w:autoSpaceDN/>
        <w:bidi w:val="0"/>
        <w:adjustRightInd/>
        <w:snapToGrid/>
        <w:spacing w:line="500" w:lineRule="exact"/>
        <w:ind w:left="42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（2）有串通投标、弄虚作假、行贿等违法行为。</w:t>
      </w:r>
    </w:p>
    <w:p w14:paraId="1D468FAA">
      <w:pPr>
        <w:pageBreakBefore w:val="0"/>
        <w:widowControl w:val="0"/>
        <w:numPr>
          <w:ilvl w:val="1"/>
          <w:numId w:val="5"/>
        </w:numPr>
        <w:tabs>
          <w:tab w:val="left" w:pos="946"/>
        </w:tabs>
        <w:kinsoku/>
        <w:wordWrap/>
        <w:overflowPunct/>
        <w:topLinePunct w:val="0"/>
        <w:autoSpaceDE/>
        <w:autoSpaceDN/>
        <w:bidi w:val="0"/>
        <w:adjustRightInd/>
        <w:snapToGrid/>
        <w:spacing w:line="500" w:lineRule="exact"/>
        <w:ind w:right="120" w:firstLine="42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投标报价有算术错误及其他错误的，评标委员会按以下原则要求投标人对投标报价进行修正，并要求投标人书面澄清确认。投标人拒不澄清确认的，评标委员会应当否决其投标：</w:t>
      </w:r>
    </w:p>
    <w:p w14:paraId="5FF647B2">
      <w:pPr>
        <w:pageBreakBefore w:val="0"/>
        <w:widowControl w:val="0"/>
        <w:kinsoku/>
        <w:wordWrap/>
        <w:overflowPunct/>
        <w:topLinePunct w:val="0"/>
        <w:autoSpaceDE/>
        <w:autoSpaceDN/>
        <w:bidi w:val="0"/>
        <w:adjustRightInd/>
        <w:snapToGrid/>
        <w:spacing w:line="500" w:lineRule="exact"/>
        <w:ind w:right="120"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（1）投标文件中的大写金额与小写金额不一致的，以大写金额为准；</w:t>
      </w:r>
    </w:p>
    <w:p w14:paraId="6327179E">
      <w:pPr>
        <w:pageBreakBefore w:val="0"/>
        <w:widowControl w:val="0"/>
        <w:kinsoku/>
        <w:wordWrap/>
        <w:overflowPunct/>
        <w:topLinePunct w:val="0"/>
        <w:autoSpaceDE/>
        <w:autoSpaceDN/>
        <w:bidi w:val="0"/>
        <w:adjustRightInd/>
        <w:snapToGrid/>
        <w:spacing w:line="500" w:lineRule="exact"/>
        <w:ind w:right="120"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（2）总价金额与单价金额不一致的，以单价金额为准，但单价金额小数点有明显错误的除外。</w:t>
      </w:r>
    </w:p>
    <w:p w14:paraId="525BA09F">
      <w:pPr>
        <w:pageBreakBefore w:val="0"/>
        <w:widowControl w:val="0"/>
        <w:numPr>
          <w:ilvl w:val="0"/>
          <w:numId w:val="6"/>
        </w:numPr>
        <w:tabs>
          <w:tab w:val="left" w:pos="620"/>
        </w:tabs>
        <w:kinsoku/>
        <w:wordWrap/>
        <w:overflowPunct/>
        <w:topLinePunct w:val="0"/>
        <w:autoSpaceDE/>
        <w:autoSpaceDN/>
        <w:bidi w:val="0"/>
        <w:adjustRightInd/>
        <w:snapToGrid/>
        <w:spacing w:line="500" w:lineRule="exact"/>
        <w:ind w:left="620" w:hanging="483"/>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详细评审</w:t>
      </w:r>
    </w:p>
    <w:p w14:paraId="362655A5">
      <w:pPr>
        <w:pageBreakBefore w:val="0"/>
        <w:widowControl w:val="0"/>
        <w:tabs>
          <w:tab w:val="left" w:pos="946"/>
        </w:tabs>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3.2.1评标委员会按本章第 2.2 款规定的量化因素和分值进行打分，并计算出综合评估得分。</w:t>
      </w:r>
    </w:p>
    <w:p w14:paraId="4274A05B">
      <w:pPr>
        <w:pageBreakBefore w:val="0"/>
        <w:widowControl w:val="0"/>
        <w:numPr>
          <w:ilvl w:val="0"/>
          <w:numId w:val="7"/>
        </w:numPr>
        <w:tabs>
          <w:tab w:val="left" w:pos="946"/>
        </w:tabs>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按本章第 2.2.2（1）目规定的评审因素和分值对商务部分，</w:t>
      </w:r>
      <w:r>
        <w:rPr>
          <w:rFonts w:hint="eastAsia" w:ascii="宋体" w:hAnsi="宋体" w:eastAsia="宋体" w:cs="宋体"/>
          <w:color w:val="000000"/>
          <w:kern w:val="0"/>
          <w:sz w:val="24"/>
          <w:szCs w:val="24"/>
          <w:highlight w:val="none"/>
        </w:rPr>
        <w:t>F1得分分值为评标委员会中所有评标专家</w:t>
      </w:r>
      <w:r>
        <w:rPr>
          <w:rFonts w:hint="eastAsia" w:ascii="宋体" w:hAnsi="宋体" w:eastAsia="宋体" w:cs="宋体"/>
          <w:color w:val="000000"/>
          <w:sz w:val="24"/>
          <w:szCs w:val="24"/>
          <w:highlight w:val="none"/>
        </w:rPr>
        <w:t>的算术平均值（</w:t>
      </w:r>
      <w:r>
        <w:rPr>
          <w:rFonts w:hint="eastAsia" w:ascii="宋体" w:hAnsi="宋体" w:eastAsia="宋体" w:cs="宋体"/>
          <w:color w:val="000000"/>
          <w:kern w:val="0"/>
          <w:sz w:val="24"/>
          <w:szCs w:val="24"/>
          <w:highlight w:val="none"/>
        </w:rPr>
        <w:t>保留小数点后三位，小数点后第四位“四舍五入”</w:t>
      </w:r>
      <w:r>
        <w:rPr>
          <w:rFonts w:hint="eastAsia" w:ascii="宋体" w:hAnsi="宋体" w:eastAsia="宋体" w:cs="宋体"/>
          <w:color w:val="000000"/>
          <w:sz w:val="24"/>
          <w:szCs w:val="24"/>
          <w:highlight w:val="none"/>
        </w:rPr>
        <w:t>）；</w:t>
      </w:r>
    </w:p>
    <w:p w14:paraId="7A945220">
      <w:pPr>
        <w:pageBreakBefore w:val="0"/>
        <w:widowControl w:val="0"/>
        <w:numPr>
          <w:ilvl w:val="0"/>
          <w:numId w:val="7"/>
        </w:numPr>
        <w:tabs>
          <w:tab w:val="left" w:pos="946"/>
        </w:tabs>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按本章第 2.2.2（2）目规定的评审因素和分值对技术部分，</w:t>
      </w:r>
      <w:r>
        <w:rPr>
          <w:rFonts w:hint="eastAsia" w:ascii="宋体" w:hAnsi="宋体" w:eastAsia="宋体" w:cs="宋体"/>
          <w:color w:val="000000"/>
          <w:kern w:val="0"/>
          <w:sz w:val="24"/>
          <w:szCs w:val="24"/>
          <w:highlight w:val="none"/>
        </w:rPr>
        <w:t>F2得分分值为评标委员会中所有评标专家评分中去掉一个最高分、去掉一个最低分后的算术平均值</w:t>
      </w:r>
      <w:r>
        <w:rPr>
          <w:rFonts w:hint="eastAsia" w:ascii="宋体" w:hAnsi="宋体" w:eastAsia="宋体" w:cs="宋体"/>
          <w:color w:val="000000"/>
          <w:sz w:val="24"/>
          <w:szCs w:val="24"/>
          <w:highlight w:val="none"/>
        </w:rPr>
        <w:t>（</w:t>
      </w:r>
      <w:r>
        <w:rPr>
          <w:rFonts w:hint="eastAsia" w:ascii="宋体" w:hAnsi="宋体" w:eastAsia="宋体" w:cs="宋体"/>
          <w:color w:val="000000"/>
          <w:kern w:val="0"/>
          <w:sz w:val="24"/>
          <w:szCs w:val="24"/>
          <w:highlight w:val="none"/>
        </w:rPr>
        <w:t>保留小数点后三位，小数点后第四位“四舍五入”</w:t>
      </w:r>
      <w:r>
        <w:rPr>
          <w:rFonts w:hint="eastAsia" w:ascii="宋体" w:hAnsi="宋体" w:eastAsia="宋体" w:cs="宋体"/>
          <w:color w:val="000000"/>
          <w:sz w:val="24"/>
          <w:szCs w:val="24"/>
          <w:highlight w:val="none"/>
        </w:rPr>
        <w:t>）；</w:t>
      </w:r>
    </w:p>
    <w:p w14:paraId="6CE9E9F3">
      <w:pPr>
        <w:pageBreakBefore w:val="0"/>
        <w:widowControl w:val="0"/>
        <w:numPr>
          <w:ilvl w:val="0"/>
          <w:numId w:val="7"/>
        </w:numPr>
        <w:tabs>
          <w:tab w:val="left" w:pos="946"/>
        </w:tabs>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按本章第 2.2.2（3）目规定的评审因素和分值对投标报价，</w:t>
      </w:r>
      <w:r>
        <w:rPr>
          <w:rFonts w:hint="eastAsia" w:ascii="宋体" w:hAnsi="宋体" w:eastAsia="宋体" w:cs="宋体"/>
          <w:color w:val="000000"/>
          <w:kern w:val="0"/>
          <w:sz w:val="24"/>
          <w:szCs w:val="24"/>
          <w:highlight w:val="none"/>
        </w:rPr>
        <w:t>F3投标报价得分保留小数点后三位，小数点后第四位“四舍五入”</w:t>
      </w:r>
      <w:r>
        <w:rPr>
          <w:rFonts w:hint="eastAsia" w:ascii="宋体" w:hAnsi="宋体" w:eastAsia="宋体" w:cs="宋体"/>
          <w:color w:val="000000"/>
          <w:sz w:val="24"/>
          <w:szCs w:val="24"/>
          <w:highlight w:val="none"/>
        </w:rPr>
        <w:t>；</w:t>
      </w:r>
    </w:p>
    <w:p w14:paraId="59CB2578">
      <w:pPr>
        <w:pageBreakBefore w:val="0"/>
        <w:widowControl w:val="0"/>
        <w:tabs>
          <w:tab w:val="left" w:pos="940"/>
        </w:tabs>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3.2.2</w:t>
      </w:r>
      <w:r>
        <w:rPr>
          <w:rFonts w:hint="eastAsia" w:ascii="宋体" w:hAnsi="宋体" w:eastAsia="宋体" w:cs="宋体"/>
          <w:color w:val="000000"/>
          <w:kern w:val="0"/>
          <w:sz w:val="24"/>
          <w:szCs w:val="24"/>
          <w:highlight w:val="none"/>
        </w:rPr>
        <w:t xml:space="preserve">投标人总得分= F1 + F2+ F3 </w:t>
      </w:r>
      <w:r>
        <w:rPr>
          <w:rFonts w:hint="eastAsia" w:ascii="宋体" w:hAnsi="宋体" w:eastAsia="宋体" w:cs="宋体"/>
          <w:color w:val="000000"/>
          <w:sz w:val="24"/>
          <w:szCs w:val="24"/>
          <w:highlight w:val="none"/>
        </w:rPr>
        <w:t>（保留小数点后三位，小数点后第四位“四舍五入”）。</w:t>
      </w:r>
    </w:p>
    <w:p w14:paraId="7EEA62E5">
      <w:pPr>
        <w:pageBreakBefore w:val="0"/>
        <w:widowControl w:val="0"/>
        <w:tabs>
          <w:tab w:val="left" w:pos="940"/>
        </w:tabs>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3.2.3评标委员会发现投标人投标报价下浮率大于15%时，根据投标人所附说明及证明材料判断该投标人是否以低于成本报价竞标，当认定以低于成本报价竞标时其投标作废标处理；不能提供相应的书面说明及证明材料的，按低于成本报价竞标处理。</w:t>
      </w:r>
    </w:p>
    <w:p w14:paraId="09782E18">
      <w:pPr>
        <w:pageBreakBefore w:val="0"/>
        <w:widowControl w:val="0"/>
        <w:numPr>
          <w:ilvl w:val="0"/>
          <w:numId w:val="6"/>
        </w:numPr>
        <w:tabs>
          <w:tab w:val="left" w:pos="620"/>
        </w:tabs>
        <w:kinsoku/>
        <w:wordWrap/>
        <w:overflowPunct/>
        <w:topLinePunct w:val="0"/>
        <w:autoSpaceDE/>
        <w:autoSpaceDN/>
        <w:bidi w:val="0"/>
        <w:adjustRightInd/>
        <w:snapToGrid/>
        <w:spacing w:line="500" w:lineRule="exact"/>
        <w:ind w:left="620" w:hanging="483"/>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投标文件的澄清</w:t>
      </w:r>
    </w:p>
    <w:p w14:paraId="6DBE4C9A">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3.3.1在评标过程中，评标委员会可以书面形式要求投标人对投标文件中含义不明确、对同类问题表述不一致或者有明显文字和计算错误的内容作必要的澄清、说明或补正。澄清、说明或补正应以书面方式进行。评标委员会不接受投标人主动提出的澄清、说明或补正。</w:t>
      </w:r>
    </w:p>
    <w:p w14:paraId="2300853E">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3.3.2澄清、说明或补正不得超出投标文件的范围且不得改变投标文件的实质性内容，并构成投标文件的组成部分。</w:t>
      </w:r>
    </w:p>
    <w:p w14:paraId="0E72DEF6">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3.3.3评标委员会对投标人提交的澄清、说明或补正有疑问的，可以要求投标人进一步澄清、说明或补正，直至满足评标委员会的要求。</w:t>
      </w:r>
    </w:p>
    <w:p w14:paraId="243335A1">
      <w:pPr>
        <w:pageBreakBefore w:val="0"/>
        <w:widowControl w:val="0"/>
        <w:numPr>
          <w:ilvl w:val="0"/>
          <w:numId w:val="8"/>
        </w:numPr>
        <w:tabs>
          <w:tab w:val="left" w:pos="620"/>
        </w:tabs>
        <w:kinsoku/>
        <w:wordWrap/>
        <w:overflowPunct/>
        <w:topLinePunct w:val="0"/>
        <w:autoSpaceDE/>
        <w:autoSpaceDN/>
        <w:bidi w:val="0"/>
        <w:adjustRightInd/>
        <w:snapToGrid/>
        <w:spacing w:line="500" w:lineRule="exact"/>
        <w:ind w:left="620" w:hanging="483"/>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评标结果</w:t>
      </w:r>
    </w:p>
    <w:p w14:paraId="0CF39B19">
      <w:pPr>
        <w:pageBreakBefore w:val="0"/>
        <w:widowControl w:val="0"/>
        <w:tabs>
          <w:tab w:val="left" w:pos="946"/>
        </w:tabs>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3.4.1除第二章“投标人须知”前附表授权直接确定中标人外，评标委员会按照得分由高到低的顺序推荐三个中标候选人，并标明推荐顺序。如果出现两个或两个以上投标人得分相同且为最高分，则由评标委员会按照少数服从多数的原则投票决定中标候选顺序。</w:t>
      </w:r>
    </w:p>
    <w:p w14:paraId="45918E00">
      <w:pPr>
        <w:pageBreakBefore w:val="0"/>
        <w:widowControl w:val="0"/>
        <w:tabs>
          <w:tab w:val="left" w:pos="946"/>
        </w:tabs>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3.4.2评标委员会完成评标后，应当向招标人提交书面评标报告和中标候选人名单。</w:t>
      </w:r>
    </w:p>
    <w:p w14:paraId="112D53FD">
      <w:pPr>
        <w:pStyle w:val="3"/>
        <w:pageBreakBefore w:val="0"/>
        <w:widowControl w:val="0"/>
        <w:kinsoku/>
        <w:wordWrap/>
        <w:overflowPunct/>
        <w:topLinePunct w:val="0"/>
        <w:autoSpaceDE/>
        <w:autoSpaceDN/>
        <w:bidi w:val="0"/>
        <w:adjustRightInd/>
        <w:snapToGrid/>
        <w:spacing w:line="500" w:lineRule="exact"/>
        <w:jc w:val="center"/>
        <w:textAlignment w:val="auto"/>
        <w:outlineLvl w:val="0"/>
        <w:rPr>
          <w:rStyle w:val="21"/>
          <w:rFonts w:hint="eastAsia" w:ascii="宋体" w:hAnsi="宋体" w:eastAsia="宋体" w:cs="宋体"/>
          <w:b/>
          <w:bCs/>
          <w:color w:val="000000"/>
        </w:rPr>
      </w:pPr>
      <w:r>
        <w:rPr>
          <w:rFonts w:hint="eastAsia" w:ascii="宋体" w:hAnsi="宋体" w:eastAsia="宋体" w:cs="宋体"/>
          <w:color w:val="000000"/>
          <w:sz w:val="24"/>
          <w:szCs w:val="24"/>
          <w:highlight w:val="none"/>
        </w:rPr>
        <w:br w:type="page"/>
      </w:r>
      <w:bookmarkStart w:id="120" w:name="_Toc3"/>
      <w:r>
        <w:rPr>
          <w:rStyle w:val="21"/>
          <w:rFonts w:hint="eastAsia" w:ascii="宋体" w:hAnsi="宋体" w:eastAsia="宋体" w:cs="宋体"/>
          <w:b/>
          <w:bCs/>
          <w:color w:val="000000"/>
        </w:rPr>
        <w:t>第四章</w:t>
      </w:r>
      <w:bookmarkEnd w:id="103"/>
      <w:r>
        <w:rPr>
          <w:rStyle w:val="21"/>
          <w:rFonts w:hint="eastAsia" w:ascii="宋体" w:hAnsi="宋体" w:eastAsia="宋体" w:cs="宋体"/>
          <w:b/>
          <w:bCs/>
          <w:color w:val="000000"/>
          <w:lang w:val="en-US"/>
        </w:rPr>
        <w:t xml:space="preserve">  </w:t>
      </w:r>
      <w:r>
        <w:rPr>
          <w:rStyle w:val="21"/>
          <w:rFonts w:hint="eastAsia" w:ascii="宋体" w:hAnsi="宋体" w:eastAsia="宋体" w:cs="宋体"/>
          <w:b/>
          <w:bCs/>
          <w:color w:val="000000"/>
        </w:rPr>
        <w:t>合同条款及格式</w:t>
      </w:r>
      <w:bookmarkEnd w:id="120"/>
    </w:p>
    <w:p w14:paraId="529D59F2">
      <w:pPr>
        <w:pStyle w:val="4"/>
        <w:bidi w:val="0"/>
        <w:spacing w:line="360" w:lineRule="auto"/>
        <w:rPr>
          <w:rFonts w:hint="eastAsia" w:ascii="宋体" w:hAnsi="宋体" w:eastAsia="宋体" w:cs="宋体"/>
          <w:color w:val="000000"/>
          <w:sz w:val="28"/>
          <w:szCs w:val="28"/>
        </w:rPr>
      </w:pPr>
      <w:bookmarkStart w:id="121" w:name="_Toc14964"/>
      <w:r>
        <w:rPr>
          <w:rFonts w:hint="eastAsia" w:ascii="宋体" w:hAnsi="宋体" w:eastAsia="宋体" w:cs="宋体"/>
          <w:color w:val="000000"/>
          <w:sz w:val="28"/>
          <w:szCs w:val="28"/>
        </w:rPr>
        <w:t>第一节</w:t>
      </w:r>
      <w:r>
        <w:rPr>
          <w:rFonts w:hint="eastAsia" w:ascii="宋体" w:hAnsi="宋体" w:eastAsia="宋体" w:cs="宋体"/>
          <w:color w:val="000000"/>
          <w:sz w:val="28"/>
          <w:szCs w:val="28"/>
          <w:lang w:val="en-US"/>
        </w:rPr>
        <w:t xml:space="preserve">  </w:t>
      </w:r>
      <w:r>
        <w:rPr>
          <w:rFonts w:hint="eastAsia" w:ascii="宋体" w:hAnsi="宋体" w:eastAsia="宋体" w:cs="宋体"/>
          <w:color w:val="000000"/>
          <w:sz w:val="28"/>
          <w:szCs w:val="28"/>
        </w:rPr>
        <w:t>通用合同条款</w:t>
      </w:r>
      <w:bookmarkEnd w:id="121"/>
    </w:p>
    <w:p w14:paraId="6F969C16">
      <w:pPr>
        <w:spacing w:line="360" w:lineRule="auto"/>
        <w:ind w:firstLine="480" w:firstLineChars="200"/>
        <w:rPr>
          <w:rFonts w:hint="eastAsia" w:ascii="宋体" w:hAnsi="宋体" w:eastAsia="宋体" w:cs="宋体"/>
          <w:b/>
          <w:bCs/>
          <w:color w:val="000000"/>
          <w:sz w:val="24"/>
          <w:highlight w:val="none"/>
        </w:rPr>
      </w:pPr>
      <w:r>
        <w:rPr>
          <w:rFonts w:hint="eastAsia" w:ascii="宋体" w:hAnsi="宋体" w:eastAsia="宋体" w:cs="宋体"/>
          <w:color w:val="000000"/>
          <w:sz w:val="24"/>
          <w:highlight w:val="none"/>
        </w:rPr>
        <w:t>通用合同条款按《中华人民共和国标准勘察招标文件》（2017 年版）和《中华人民共和国标准设计招标文件》（2017 年版）执行。</w:t>
      </w:r>
    </w:p>
    <w:p w14:paraId="4D57AB8D">
      <w:pPr>
        <w:spacing w:line="360" w:lineRule="auto"/>
        <w:rPr>
          <w:rFonts w:hint="eastAsia" w:ascii="宋体" w:hAnsi="宋体" w:eastAsia="宋体" w:cs="宋体"/>
          <w:color w:val="000000"/>
          <w:highlight w:val="none"/>
        </w:rPr>
      </w:pPr>
    </w:p>
    <w:p w14:paraId="30695ACD">
      <w:pPr>
        <w:rPr>
          <w:rFonts w:hint="eastAsia" w:ascii="宋体" w:hAnsi="宋体" w:eastAsia="宋体" w:cs="宋体"/>
          <w:color w:val="000000"/>
          <w:highlight w:val="none"/>
        </w:rPr>
      </w:pPr>
    </w:p>
    <w:p w14:paraId="32026A02">
      <w:pPr>
        <w:rPr>
          <w:rFonts w:hint="eastAsia" w:ascii="宋体" w:hAnsi="宋体" w:eastAsia="宋体" w:cs="宋体"/>
          <w:color w:val="000000"/>
          <w:highlight w:val="none"/>
        </w:rPr>
      </w:pPr>
    </w:p>
    <w:p w14:paraId="3002BBD0">
      <w:pPr>
        <w:rPr>
          <w:rFonts w:hint="eastAsia" w:ascii="宋体" w:hAnsi="宋体" w:eastAsia="宋体" w:cs="宋体"/>
          <w:color w:val="000000"/>
          <w:highlight w:val="none"/>
        </w:rPr>
      </w:pPr>
    </w:p>
    <w:p w14:paraId="277B297A">
      <w:pPr>
        <w:rPr>
          <w:rFonts w:hint="eastAsia" w:ascii="宋体" w:hAnsi="宋体" w:eastAsia="宋体" w:cs="宋体"/>
          <w:color w:val="000000"/>
          <w:highlight w:val="none"/>
        </w:rPr>
      </w:pPr>
    </w:p>
    <w:p w14:paraId="60271E35">
      <w:pPr>
        <w:rPr>
          <w:rFonts w:hint="eastAsia" w:ascii="宋体" w:hAnsi="宋体" w:eastAsia="宋体" w:cs="宋体"/>
          <w:color w:val="000000"/>
          <w:highlight w:val="none"/>
        </w:rPr>
      </w:pPr>
    </w:p>
    <w:p w14:paraId="7A53E46D">
      <w:pPr>
        <w:rPr>
          <w:rFonts w:hint="eastAsia" w:ascii="宋体" w:hAnsi="宋体" w:eastAsia="宋体" w:cs="宋体"/>
          <w:color w:val="000000"/>
          <w:highlight w:val="none"/>
        </w:rPr>
      </w:pPr>
    </w:p>
    <w:p w14:paraId="3D434E70">
      <w:pPr>
        <w:rPr>
          <w:rFonts w:hint="eastAsia" w:ascii="宋体" w:hAnsi="宋体" w:eastAsia="宋体" w:cs="宋体"/>
          <w:color w:val="000000"/>
          <w:highlight w:val="none"/>
        </w:rPr>
      </w:pPr>
    </w:p>
    <w:p w14:paraId="59F01D6E">
      <w:pPr>
        <w:rPr>
          <w:rFonts w:hint="eastAsia" w:ascii="宋体" w:hAnsi="宋体" w:eastAsia="宋体" w:cs="宋体"/>
          <w:color w:val="000000"/>
          <w:highlight w:val="none"/>
        </w:rPr>
      </w:pPr>
    </w:p>
    <w:p w14:paraId="26B7D4F2">
      <w:pPr>
        <w:rPr>
          <w:rFonts w:hint="eastAsia" w:ascii="宋体" w:hAnsi="宋体" w:eastAsia="宋体" w:cs="宋体"/>
          <w:color w:val="000000"/>
          <w:highlight w:val="none"/>
        </w:rPr>
      </w:pPr>
    </w:p>
    <w:p w14:paraId="24C8BAF0">
      <w:pPr>
        <w:rPr>
          <w:rFonts w:hint="eastAsia" w:ascii="宋体" w:hAnsi="宋体" w:eastAsia="宋体" w:cs="宋体"/>
          <w:color w:val="000000"/>
          <w:highlight w:val="none"/>
        </w:rPr>
      </w:pPr>
    </w:p>
    <w:p w14:paraId="5BBC2F0D">
      <w:pPr>
        <w:rPr>
          <w:rFonts w:hint="eastAsia" w:ascii="宋体" w:hAnsi="宋体" w:eastAsia="宋体" w:cs="宋体"/>
          <w:color w:val="000000"/>
          <w:highlight w:val="none"/>
        </w:rPr>
      </w:pPr>
    </w:p>
    <w:p w14:paraId="512DDDC6">
      <w:pPr>
        <w:rPr>
          <w:rFonts w:hint="eastAsia" w:ascii="宋体" w:hAnsi="宋体" w:eastAsia="宋体" w:cs="宋体"/>
          <w:color w:val="000000"/>
          <w:highlight w:val="none"/>
        </w:rPr>
      </w:pPr>
    </w:p>
    <w:p w14:paraId="48F936EC">
      <w:pPr>
        <w:rPr>
          <w:rFonts w:hint="eastAsia" w:ascii="宋体" w:hAnsi="宋体" w:eastAsia="宋体" w:cs="宋体"/>
          <w:color w:val="000000"/>
          <w:highlight w:val="none"/>
        </w:rPr>
      </w:pPr>
    </w:p>
    <w:p w14:paraId="4D18DB38">
      <w:pPr>
        <w:rPr>
          <w:rFonts w:hint="eastAsia" w:ascii="宋体" w:hAnsi="宋体" w:eastAsia="宋体" w:cs="宋体"/>
          <w:color w:val="000000"/>
          <w:highlight w:val="none"/>
        </w:rPr>
      </w:pPr>
    </w:p>
    <w:p w14:paraId="16AF3150">
      <w:pPr>
        <w:rPr>
          <w:rFonts w:hint="eastAsia" w:ascii="宋体" w:hAnsi="宋体" w:eastAsia="宋体" w:cs="宋体"/>
          <w:color w:val="000000"/>
          <w:highlight w:val="none"/>
        </w:rPr>
      </w:pPr>
    </w:p>
    <w:p w14:paraId="4388842E">
      <w:pPr>
        <w:rPr>
          <w:rFonts w:hint="eastAsia" w:ascii="宋体" w:hAnsi="宋体" w:eastAsia="宋体" w:cs="宋体"/>
          <w:color w:val="000000"/>
          <w:highlight w:val="none"/>
        </w:rPr>
      </w:pPr>
    </w:p>
    <w:p w14:paraId="27A24E28">
      <w:pPr>
        <w:pStyle w:val="4"/>
        <w:jc w:val="center"/>
        <w:outlineLvl w:val="1"/>
        <w:rPr>
          <w:rStyle w:val="19"/>
          <w:rFonts w:hint="eastAsia" w:ascii="宋体" w:hAnsi="宋体" w:eastAsia="宋体" w:cs="宋体"/>
          <w:b/>
          <w:bCs/>
          <w:color w:val="000000"/>
          <w:sz w:val="28"/>
          <w:szCs w:val="28"/>
        </w:rPr>
      </w:pPr>
      <w:r>
        <w:rPr>
          <w:rFonts w:hint="eastAsia" w:ascii="宋体" w:hAnsi="宋体" w:eastAsia="宋体" w:cs="宋体"/>
          <w:color w:val="000000"/>
          <w:szCs w:val="32"/>
          <w:highlight w:val="none"/>
        </w:rPr>
        <w:br w:type="page"/>
      </w:r>
      <w:bookmarkStart w:id="122" w:name="_Toc8259"/>
      <w:r>
        <w:rPr>
          <w:rStyle w:val="19"/>
          <w:rFonts w:hint="eastAsia" w:ascii="宋体" w:hAnsi="宋体" w:eastAsia="宋体" w:cs="宋体"/>
          <w:b/>
          <w:bCs/>
          <w:color w:val="000000"/>
          <w:sz w:val="28"/>
          <w:szCs w:val="28"/>
        </w:rPr>
        <w:t>第二节</w:t>
      </w:r>
      <w:r>
        <w:rPr>
          <w:rStyle w:val="19"/>
          <w:rFonts w:hint="eastAsia" w:ascii="宋体" w:hAnsi="宋体" w:eastAsia="宋体" w:cs="宋体"/>
          <w:b/>
          <w:bCs/>
          <w:color w:val="000000"/>
          <w:sz w:val="28"/>
          <w:szCs w:val="28"/>
          <w:lang w:val="en-US"/>
        </w:rPr>
        <w:t xml:space="preserve">  </w:t>
      </w:r>
      <w:r>
        <w:rPr>
          <w:rStyle w:val="19"/>
          <w:rFonts w:hint="eastAsia" w:ascii="宋体" w:hAnsi="宋体" w:eastAsia="宋体" w:cs="宋体"/>
          <w:b/>
          <w:bCs/>
          <w:color w:val="000000"/>
          <w:sz w:val="28"/>
          <w:szCs w:val="28"/>
        </w:rPr>
        <w:t>合同</w:t>
      </w:r>
      <w:r>
        <w:rPr>
          <w:rStyle w:val="19"/>
          <w:rFonts w:hint="eastAsia" w:ascii="宋体" w:hAnsi="宋体" w:eastAsia="宋体" w:cs="宋体"/>
          <w:b/>
          <w:bCs/>
          <w:color w:val="000000"/>
          <w:sz w:val="28"/>
          <w:szCs w:val="28"/>
          <w:lang w:val="en-US"/>
        </w:rPr>
        <w:t>主要条款</w:t>
      </w:r>
      <w:bookmarkEnd w:id="104"/>
      <w:bookmarkEnd w:id="122"/>
    </w:p>
    <w:p w14:paraId="67D14F2F">
      <w:pPr>
        <w:adjustRightInd w:val="0"/>
        <w:snapToGrid w:val="0"/>
        <w:spacing w:line="300" w:lineRule="auto"/>
        <w:jc w:val="center"/>
        <w:outlineLvl w:val="9"/>
        <w:rPr>
          <w:rFonts w:hint="eastAsia" w:ascii="宋体" w:hAnsi="宋体" w:eastAsia="宋体" w:cs="宋体"/>
          <w:b/>
          <w:bCs/>
          <w:color w:val="000000"/>
          <w:sz w:val="28"/>
          <w:szCs w:val="28"/>
          <w:highlight w:val="none"/>
        </w:rPr>
      </w:pPr>
      <w:bookmarkStart w:id="123" w:name="_Toc17818"/>
      <w:r>
        <w:rPr>
          <w:rFonts w:hint="eastAsia" w:ascii="宋体" w:hAnsi="宋体" w:eastAsia="宋体" w:cs="宋体"/>
          <w:b/>
          <w:bCs/>
          <w:color w:val="000000"/>
          <w:sz w:val="28"/>
          <w:szCs w:val="28"/>
          <w:highlight w:val="none"/>
        </w:rPr>
        <w:t>工程</w:t>
      </w:r>
      <w:r>
        <w:rPr>
          <w:rFonts w:hint="eastAsia" w:ascii="宋体" w:hAnsi="宋体" w:eastAsia="宋体" w:cs="宋体"/>
          <w:b/>
          <w:bCs/>
          <w:color w:val="000000"/>
          <w:sz w:val="28"/>
          <w:szCs w:val="28"/>
          <w:highlight w:val="none"/>
          <w:lang w:val="en-US" w:eastAsia="zh-CN"/>
        </w:rPr>
        <w:t>勘察</w:t>
      </w:r>
      <w:r>
        <w:rPr>
          <w:rFonts w:hint="eastAsia" w:ascii="宋体" w:hAnsi="宋体" w:eastAsia="宋体" w:cs="宋体"/>
          <w:b/>
          <w:bCs/>
          <w:color w:val="000000"/>
          <w:sz w:val="28"/>
          <w:szCs w:val="28"/>
          <w:highlight w:val="none"/>
        </w:rPr>
        <w:t>设计合同（格式）</w:t>
      </w:r>
      <w:bookmarkEnd w:id="123"/>
    </w:p>
    <w:p w14:paraId="3239E948">
      <w:pPr>
        <w:keepNext w:val="0"/>
        <w:keepLines w:val="0"/>
        <w:pageBreakBefore w:val="0"/>
        <w:kinsoku/>
        <w:wordWrap/>
        <w:overflowPunct/>
        <w:topLinePunct w:val="0"/>
        <w:autoSpaceDE/>
        <w:autoSpaceDN/>
        <w:bidi w:val="0"/>
        <w:adjustRightInd/>
        <w:snapToGrid/>
        <w:spacing w:before="156" w:beforeLines="50" w:line="500" w:lineRule="exact"/>
        <w:textAlignment w:val="auto"/>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发包方（以下简称甲方）：</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w:t>
      </w:r>
    </w:p>
    <w:p w14:paraId="5C675470">
      <w:pPr>
        <w:keepNext w:val="0"/>
        <w:keepLines w:val="0"/>
        <w:pageBreakBefore w:val="0"/>
        <w:kinsoku/>
        <w:wordWrap/>
        <w:overflowPunct/>
        <w:topLinePunct w:val="0"/>
        <w:autoSpaceDE/>
        <w:autoSpaceDN/>
        <w:bidi w:val="0"/>
        <w:adjustRightInd/>
        <w:snapToGrid/>
        <w:spacing w:line="500" w:lineRule="exact"/>
        <w:textAlignment w:val="auto"/>
        <w:outlineLvl w:val="9"/>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承包方（以下简称乙方）：</w:t>
      </w:r>
      <w:r>
        <w:rPr>
          <w:rFonts w:hint="eastAsia" w:ascii="宋体" w:hAnsi="宋体" w:eastAsia="宋体" w:cs="宋体"/>
          <w:color w:val="000000"/>
          <w:sz w:val="24"/>
          <w:szCs w:val="24"/>
          <w:highlight w:val="none"/>
          <w:u w:val="single"/>
        </w:rPr>
        <w:t xml:space="preserve">                               </w:t>
      </w:r>
    </w:p>
    <w:p w14:paraId="177EDDCE">
      <w:pPr>
        <w:keepNext w:val="0"/>
        <w:keepLines w:val="0"/>
        <w:pageBreakBefore w:val="0"/>
        <w:kinsoku/>
        <w:wordWrap/>
        <w:overflowPunct/>
        <w:topLinePunct w:val="0"/>
        <w:autoSpaceDE/>
        <w:autoSpaceDN/>
        <w:bidi w:val="0"/>
        <w:adjustRightInd/>
        <w:snapToGrid/>
        <w:spacing w:line="500" w:lineRule="exact"/>
        <w:ind w:firstLine="480" w:firstLineChars="200"/>
        <w:jc w:val="left"/>
        <w:textAlignment w:val="auto"/>
        <w:outlineLvl w:val="9"/>
        <w:rPr>
          <w:rFonts w:hint="eastAsia" w:ascii="宋体" w:hAnsi="宋体" w:eastAsia="宋体" w:cs="宋体"/>
          <w:color w:val="000000"/>
          <w:sz w:val="24"/>
          <w:szCs w:val="24"/>
          <w:highlight w:val="none"/>
        </w:rPr>
      </w:pPr>
    </w:p>
    <w:p w14:paraId="74279693">
      <w:pPr>
        <w:keepNext w:val="0"/>
        <w:keepLines w:val="0"/>
        <w:pageBreakBefore w:val="0"/>
        <w:kinsoku/>
        <w:wordWrap/>
        <w:overflowPunct/>
        <w:topLinePunct w:val="0"/>
        <w:autoSpaceDE/>
        <w:autoSpaceDN/>
        <w:bidi w:val="0"/>
        <w:adjustRightInd/>
        <w:snapToGrid/>
        <w:spacing w:line="500" w:lineRule="exact"/>
        <w:ind w:firstLine="480" w:firstLineChars="200"/>
        <w:jc w:val="left"/>
        <w:textAlignment w:val="auto"/>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甲方委托乙方承担</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工程</w:t>
      </w:r>
      <w:r>
        <w:rPr>
          <w:rFonts w:hint="eastAsia" w:ascii="宋体" w:hAnsi="宋体" w:eastAsia="宋体" w:cs="宋体"/>
          <w:color w:val="000000"/>
          <w:sz w:val="24"/>
          <w:szCs w:val="24"/>
          <w:highlight w:val="none"/>
          <w:lang w:val="en-US" w:eastAsia="zh-CN"/>
        </w:rPr>
        <w:t>勘察</w:t>
      </w:r>
      <w:r>
        <w:rPr>
          <w:rFonts w:hint="eastAsia" w:ascii="宋体" w:hAnsi="宋体" w:eastAsia="宋体" w:cs="宋体"/>
          <w:color w:val="000000"/>
          <w:sz w:val="24"/>
          <w:szCs w:val="24"/>
          <w:highlight w:val="none"/>
        </w:rPr>
        <w:t>设计工作，工程地点为</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，经双方协商一致，签订本合同，共同执行。</w:t>
      </w:r>
    </w:p>
    <w:p w14:paraId="7EA520FA">
      <w:pPr>
        <w:keepNext w:val="0"/>
        <w:keepLines w:val="0"/>
        <w:pageBreakBefore w:val="0"/>
        <w:kinsoku/>
        <w:wordWrap/>
        <w:overflowPunct/>
        <w:topLinePunct w:val="0"/>
        <w:autoSpaceDE/>
        <w:autoSpaceDN/>
        <w:bidi w:val="0"/>
        <w:adjustRightInd/>
        <w:snapToGrid/>
        <w:spacing w:before="156" w:beforeLines="50" w:line="500" w:lineRule="exact"/>
        <w:ind w:firstLine="482" w:firstLineChars="200"/>
        <w:textAlignment w:val="auto"/>
        <w:outlineLvl w:val="9"/>
        <w:rPr>
          <w:rFonts w:hint="eastAsia" w:ascii="宋体" w:hAnsi="宋体" w:eastAsia="宋体" w:cs="宋体"/>
          <w:color w:val="000000"/>
          <w:sz w:val="24"/>
          <w:szCs w:val="24"/>
          <w:highlight w:val="none"/>
        </w:rPr>
      </w:pPr>
      <w:bookmarkStart w:id="124" w:name="_Toc7060"/>
      <w:r>
        <w:rPr>
          <w:rFonts w:hint="eastAsia" w:ascii="宋体" w:hAnsi="宋体" w:eastAsia="宋体" w:cs="宋体"/>
          <w:b/>
          <w:bCs/>
          <w:color w:val="000000"/>
          <w:sz w:val="24"/>
          <w:szCs w:val="24"/>
          <w:highlight w:val="none"/>
        </w:rPr>
        <w:t>第一条  本合同签订依据</w:t>
      </w:r>
      <w:bookmarkEnd w:id="124"/>
    </w:p>
    <w:p w14:paraId="66E07DDC">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  《中华人民共和国民法典》</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《建设工程勘察设计管理条例》。</w:t>
      </w:r>
    </w:p>
    <w:p w14:paraId="21AC3B31">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  国家及地方有关建设工程勘察设计管理法规和规章。</w:t>
      </w:r>
    </w:p>
    <w:p w14:paraId="1BC94614">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1.3  建设工程批准文件。</w:t>
      </w:r>
    </w:p>
    <w:p w14:paraId="4B27AE4E">
      <w:pPr>
        <w:keepNext w:val="0"/>
        <w:keepLines w:val="0"/>
        <w:pageBreakBefore w:val="0"/>
        <w:kinsoku/>
        <w:wordWrap/>
        <w:overflowPunct/>
        <w:topLinePunct w:val="0"/>
        <w:autoSpaceDE/>
        <w:autoSpaceDN/>
        <w:bidi w:val="0"/>
        <w:adjustRightInd/>
        <w:snapToGrid/>
        <w:spacing w:before="156" w:beforeLines="50" w:line="500" w:lineRule="exact"/>
        <w:ind w:firstLine="482" w:firstLineChars="200"/>
        <w:textAlignment w:val="auto"/>
        <w:outlineLvl w:val="9"/>
        <w:rPr>
          <w:rFonts w:hint="eastAsia" w:ascii="宋体" w:hAnsi="宋体" w:eastAsia="宋体" w:cs="宋体"/>
          <w:color w:val="000000"/>
          <w:sz w:val="24"/>
          <w:szCs w:val="24"/>
          <w:highlight w:val="none"/>
        </w:rPr>
      </w:pPr>
      <w:bookmarkStart w:id="125" w:name="_Toc5096"/>
      <w:r>
        <w:rPr>
          <w:rFonts w:hint="eastAsia" w:ascii="宋体" w:hAnsi="宋体" w:eastAsia="宋体" w:cs="宋体"/>
          <w:b/>
          <w:bCs/>
          <w:color w:val="000000"/>
          <w:sz w:val="24"/>
          <w:szCs w:val="24"/>
          <w:highlight w:val="none"/>
        </w:rPr>
        <w:t>第二条  设计依据</w:t>
      </w:r>
      <w:bookmarkEnd w:id="125"/>
    </w:p>
    <w:p w14:paraId="39215E83">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2.1  甲方给乙方的委托书或</w:t>
      </w:r>
      <w:r>
        <w:rPr>
          <w:rFonts w:hint="eastAsia" w:ascii="宋体" w:hAnsi="宋体" w:eastAsia="宋体" w:cs="宋体"/>
          <w:color w:val="000000"/>
          <w:sz w:val="24"/>
          <w:szCs w:val="24"/>
          <w:highlight w:val="none"/>
          <w:lang w:val="en-US" w:eastAsia="zh-CN"/>
        </w:rPr>
        <w:t>勘察</w:t>
      </w:r>
      <w:r>
        <w:rPr>
          <w:rFonts w:hint="eastAsia" w:ascii="宋体" w:hAnsi="宋体" w:eastAsia="宋体" w:cs="宋体"/>
          <w:color w:val="000000"/>
          <w:sz w:val="24"/>
          <w:szCs w:val="24"/>
          <w:highlight w:val="none"/>
        </w:rPr>
        <w:t>设计中标文件。</w:t>
      </w:r>
    </w:p>
    <w:p w14:paraId="0F7CFE3A">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2.2  甲方提交的基础资料。</w:t>
      </w:r>
    </w:p>
    <w:p w14:paraId="1855BA2E">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2.3  乙方采用的主要技术标准是：</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14:paraId="70A3AAED">
      <w:pPr>
        <w:keepNext w:val="0"/>
        <w:keepLines w:val="0"/>
        <w:pageBreakBefore w:val="0"/>
        <w:kinsoku/>
        <w:wordWrap/>
        <w:overflowPunct/>
        <w:topLinePunct w:val="0"/>
        <w:autoSpaceDE/>
        <w:autoSpaceDN/>
        <w:bidi w:val="0"/>
        <w:adjustRightInd/>
        <w:snapToGrid/>
        <w:spacing w:before="156" w:beforeLines="50" w:line="500" w:lineRule="exact"/>
        <w:ind w:firstLine="482" w:firstLineChars="200"/>
        <w:textAlignment w:val="auto"/>
        <w:outlineLvl w:val="9"/>
        <w:rPr>
          <w:rFonts w:hint="eastAsia" w:ascii="宋体" w:hAnsi="宋体" w:eastAsia="宋体" w:cs="宋体"/>
          <w:color w:val="000000"/>
          <w:sz w:val="24"/>
          <w:szCs w:val="24"/>
          <w:highlight w:val="none"/>
        </w:rPr>
      </w:pPr>
      <w:bookmarkStart w:id="126" w:name="_Toc29521"/>
      <w:r>
        <w:rPr>
          <w:rFonts w:hint="eastAsia" w:ascii="宋体" w:hAnsi="宋体" w:eastAsia="宋体" w:cs="宋体"/>
          <w:b/>
          <w:bCs/>
          <w:color w:val="000000"/>
          <w:sz w:val="24"/>
          <w:szCs w:val="24"/>
          <w:highlight w:val="none"/>
        </w:rPr>
        <w:t>第三条  合同文件的优先次序</w:t>
      </w:r>
      <w:bookmarkEnd w:id="126"/>
    </w:p>
    <w:p w14:paraId="5F9D7AA7">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构成本合同的文件可视为是能互相说明的，如果合同文件存在歧义或不一致，则根据如下优先次序来判断：</w:t>
      </w:r>
    </w:p>
    <w:p w14:paraId="3DF45CB8">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3.1协议书（包括补充协议）；</w:t>
      </w:r>
    </w:p>
    <w:p w14:paraId="1CD0306F">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3.2中标通知书；</w:t>
      </w:r>
    </w:p>
    <w:p w14:paraId="68F2BD14">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3.3投标文件及其附件；</w:t>
      </w:r>
    </w:p>
    <w:p w14:paraId="1E503A7D">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3.4合同条款；</w:t>
      </w:r>
    </w:p>
    <w:p w14:paraId="64BFA80C">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3.5承诺书；</w:t>
      </w:r>
    </w:p>
    <w:p w14:paraId="2DE9CDC5">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3.6技术规范；</w:t>
      </w:r>
    </w:p>
    <w:p w14:paraId="5D713A7B">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3.7经双方确认进入合同的其它文件。</w:t>
      </w:r>
    </w:p>
    <w:p w14:paraId="02B38615">
      <w:pPr>
        <w:keepNext w:val="0"/>
        <w:keepLines w:val="0"/>
        <w:pageBreakBefore w:val="0"/>
        <w:numPr>
          <w:ilvl w:val="0"/>
          <w:numId w:val="9"/>
        </w:numPr>
        <w:kinsoku/>
        <w:wordWrap/>
        <w:overflowPunct/>
        <w:topLinePunct w:val="0"/>
        <w:autoSpaceDE/>
        <w:autoSpaceDN/>
        <w:bidi w:val="0"/>
        <w:adjustRightInd/>
        <w:snapToGrid/>
        <w:spacing w:after="156" w:afterLines="50" w:line="500" w:lineRule="exact"/>
        <w:ind w:firstLine="482" w:firstLineChars="200"/>
        <w:textAlignment w:val="auto"/>
        <w:outlineLvl w:val="9"/>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 xml:space="preserve"> </w:t>
      </w:r>
      <w:bookmarkStart w:id="127" w:name="_Toc5723"/>
      <w:r>
        <w:rPr>
          <w:rFonts w:hint="eastAsia" w:ascii="宋体" w:hAnsi="宋体" w:eastAsia="宋体" w:cs="宋体"/>
          <w:b/>
          <w:bCs/>
          <w:color w:val="000000"/>
          <w:sz w:val="24"/>
          <w:szCs w:val="24"/>
          <w:highlight w:val="none"/>
        </w:rPr>
        <w:t>本合同设计项目的名称、阶段、设计内容及标准：</w:t>
      </w:r>
      <w:bookmarkEnd w:id="127"/>
    </w:p>
    <w:p w14:paraId="07554562">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本项目乙方的任务主要是完成工程勘察、工程测量、编制初步设计、设计概算、施工图设计、施工图预算、招标图工程量计算、招标图工程量清单等文件、工程实施到竣工验收全过程的设计服务（包括设计变更报告和施工现场指导等）。</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
        <w:gridCol w:w="3050"/>
        <w:gridCol w:w="2415"/>
        <w:gridCol w:w="2989"/>
      </w:tblGrid>
      <w:tr w14:paraId="7230F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824" w:type="dxa"/>
            <w:noWrap w:val="0"/>
            <w:vAlign w:val="center"/>
          </w:tcPr>
          <w:p w14:paraId="398977C6">
            <w:pPr>
              <w:jc w:val="center"/>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序号</w:t>
            </w:r>
          </w:p>
        </w:tc>
        <w:tc>
          <w:tcPr>
            <w:tcW w:w="3050" w:type="dxa"/>
            <w:noWrap w:val="0"/>
            <w:vAlign w:val="center"/>
          </w:tcPr>
          <w:p w14:paraId="726EC723">
            <w:pPr>
              <w:jc w:val="center"/>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项 目 名 称</w:t>
            </w:r>
          </w:p>
        </w:tc>
        <w:tc>
          <w:tcPr>
            <w:tcW w:w="2415" w:type="dxa"/>
            <w:noWrap w:val="0"/>
            <w:vAlign w:val="center"/>
          </w:tcPr>
          <w:p w14:paraId="0B3F8E2C">
            <w:pPr>
              <w:jc w:val="center"/>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阶 段</w:t>
            </w:r>
          </w:p>
        </w:tc>
        <w:tc>
          <w:tcPr>
            <w:tcW w:w="2989" w:type="dxa"/>
            <w:noWrap w:val="0"/>
            <w:vAlign w:val="center"/>
          </w:tcPr>
          <w:p w14:paraId="0435D4E7">
            <w:pPr>
              <w:jc w:val="center"/>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设 计 内 容 及 标 准</w:t>
            </w:r>
          </w:p>
        </w:tc>
      </w:tr>
      <w:tr w14:paraId="26C3E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24" w:type="dxa"/>
            <w:noWrap w:val="0"/>
            <w:vAlign w:val="center"/>
          </w:tcPr>
          <w:p w14:paraId="50A08E60">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1</w:t>
            </w:r>
          </w:p>
        </w:tc>
        <w:tc>
          <w:tcPr>
            <w:tcW w:w="3050" w:type="dxa"/>
            <w:vMerge w:val="restart"/>
            <w:noWrap w:val="0"/>
            <w:vAlign w:val="center"/>
          </w:tcPr>
          <w:p w14:paraId="46451667">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宋体" w:hAnsi="宋体" w:eastAsia="宋体" w:cs="宋体"/>
                <w:color w:val="000000"/>
                <w:sz w:val="24"/>
                <w:highlight w:val="none"/>
                <w:lang w:val="en-US" w:eastAsia="zh-CN"/>
              </w:rPr>
            </w:pPr>
            <w:r>
              <w:rPr>
                <w:rFonts w:hint="eastAsia" w:ascii="宋体" w:hAnsi="宋体" w:cs="宋体"/>
                <w:color w:val="000000"/>
                <w:sz w:val="24"/>
                <w:highlight w:val="none"/>
                <w:lang w:val="en-US" w:eastAsia="zh-CN"/>
              </w:rPr>
              <w:t>广东省韶关市武江区农业产业基础设施建设项目-武江区2026年农业产业基础设施建设项目（江湾镇）勘察设计</w:t>
            </w:r>
          </w:p>
        </w:tc>
        <w:tc>
          <w:tcPr>
            <w:tcW w:w="2415" w:type="dxa"/>
            <w:noWrap w:val="0"/>
            <w:vAlign w:val="center"/>
          </w:tcPr>
          <w:p w14:paraId="325D653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rPr>
              <w:t>初步设计</w:t>
            </w:r>
          </w:p>
        </w:tc>
        <w:tc>
          <w:tcPr>
            <w:tcW w:w="2989" w:type="dxa"/>
            <w:noWrap w:val="0"/>
            <w:vAlign w:val="center"/>
          </w:tcPr>
          <w:p w14:paraId="339B0CA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rPr>
              <w:t>国家和部颁相关规范要求</w:t>
            </w:r>
          </w:p>
        </w:tc>
      </w:tr>
      <w:tr w14:paraId="73853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824" w:type="dxa"/>
            <w:noWrap w:val="0"/>
            <w:vAlign w:val="center"/>
          </w:tcPr>
          <w:p w14:paraId="6905E12E">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2</w:t>
            </w:r>
          </w:p>
        </w:tc>
        <w:tc>
          <w:tcPr>
            <w:tcW w:w="3050" w:type="dxa"/>
            <w:vMerge w:val="continue"/>
            <w:noWrap w:val="0"/>
            <w:vAlign w:val="center"/>
          </w:tcPr>
          <w:p w14:paraId="7DD3CF89">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宋体" w:hAnsi="宋体" w:eastAsia="宋体" w:cs="宋体"/>
                <w:color w:val="000000"/>
                <w:sz w:val="24"/>
                <w:highlight w:val="none"/>
              </w:rPr>
            </w:pPr>
          </w:p>
        </w:tc>
        <w:tc>
          <w:tcPr>
            <w:tcW w:w="2415" w:type="dxa"/>
            <w:noWrap w:val="0"/>
            <w:vAlign w:val="center"/>
          </w:tcPr>
          <w:p w14:paraId="18D6403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招标设计</w:t>
            </w:r>
          </w:p>
        </w:tc>
        <w:tc>
          <w:tcPr>
            <w:tcW w:w="2989" w:type="dxa"/>
            <w:noWrap w:val="0"/>
            <w:vAlign w:val="center"/>
          </w:tcPr>
          <w:p w14:paraId="11A19ED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同上</w:t>
            </w:r>
          </w:p>
        </w:tc>
      </w:tr>
      <w:tr w14:paraId="2BC22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24" w:type="dxa"/>
            <w:noWrap w:val="0"/>
            <w:vAlign w:val="center"/>
          </w:tcPr>
          <w:p w14:paraId="447FE04E">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lang w:val="en-US" w:eastAsia="zh-CN"/>
              </w:rPr>
              <w:t>4</w:t>
            </w:r>
          </w:p>
        </w:tc>
        <w:tc>
          <w:tcPr>
            <w:tcW w:w="3050" w:type="dxa"/>
            <w:vMerge w:val="continue"/>
            <w:noWrap w:val="0"/>
            <w:vAlign w:val="center"/>
          </w:tcPr>
          <w:p w14:paraId="6DCBA057">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宋体" w:hAnsi="宋体" w:eastAsia="宋体" w:cs="宋体"/>
                <w:color w:val="000000"/>
                <w:sz w:val="24"/>
                <w:highlight w:val="none"/>
              </w:rPr>
            </w:pPr>
          </w:p>
        </w:tc>
        <w:tc>
          <w:tcPr>
            <w:tcW w:w="2415" w:type="dxa"/>
            <w:noWrap w:val="0"/>
            <w:vAlign w:val="center"/>
          </w:tcPr>
          <w:p w14:paraId="0537483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施工图设计</w:t>
            </w:r>
          </w:p>
        </w:tc>
        <w:tc>
          <w:tcPr>
            <w:tcW w:w="2989" w:type="dxa"/>
            <w:noWrap w:val="0"/>
            <w:vAlign w:val="center"/>
          </w:tcPr>
          <w:p w14:paraId="731F9C0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同上</w:t>
            </w:r>
          </w:p>
        </w:tc>
      </w:tr>
      <w:tr w14:paraId="3B04F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824" w:type="dxa"/>
            <w:noWrap w:val="0"/>
            <w:vAlign w:val="center"/>
          </w:tcPr>
          <w:p w14:paraId="69DFE520">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lang w:val="en-US" w:eastAsia="zh-CN"/>
              </w:rPr>
              <w:t>5</w:t>
            </w:r>
          </w:p>
        </w:tc>
        <w:tc>
          <w:tcPr>
            <w:tcW w:w="3050" w:type="dxa"/>
            <w:vMerge w:val="continue"/>
            <w:noWrap w:val="0"/>
            <w:vAlign w:val="center"/>
          </w:tcPr>
          <w:p w14:paraId="51213BBD">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宋体" w:hAnsi="宋体" w:eastAsia="宋体" w:cs="宋体"/>
                <w:color w:val="000000"/>
                <w:sz w:val="24"/>
                <w:highlight w:val="none"/>
              </w:rPr>
            </w:pPr>
          </w:p>
        </w:tc>
        <w:tc>
          <w:tcPr>
            <w:tcW w:w="2415" w:type="dxa"/>
            <w:noWrap w:val="0"/>
            <w:vAlign w:val="center"/>
          </w:tcPr>
          <w:p w14:paraId="723F7D5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施工图工程量计算及清单编制</w:t>
            </w:r>
          </w:p>
        </w:tc>
        <w:tc>
          <w:tcPr>
            <w:tcW w:w="2989" w:type="dxa"/>
            <w:noWrap w:val="0"/>
            <w:vAlign w:val="center"/>
          </w:tcPr>
          <w:p w14:paraId="4FC1385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同上</w:t>
            </w:r>
          </w:p>
        </w:tc>
      </w:tr>
      <w:tr w14:paraId="3DC23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824" w:type="dxa"/>
            <w:noWrap w:val="0"/>
            <w:vAlign w:val="center"/>
          </w:tcPr>
          <w:p w14:paraId="1CDA12B5">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lang w:val="en-US" w:eastAsia="zh-CN"/>
              </w:rPr>
              <w:t>6</w:t>
            </w:r>
          </w:p>
        </w:tc>
        <w:tc>
          <w:tcPr>
            <w:tcW w:w="3050" w:type="dxa"/>
            <w:vMerge w:val="continue"/>
            <w:noWrap w:val="0"/>
            <w:vAlign w:val="center"/>
          </w:tcPr>
          <w:p w14:paraId="219D7272">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宋体" w:hAnsi="宋体" w:eastAsia="宋体" w:cs="宋体"/>
                <w:color w:val="000000"/>
                <w:sz w:val="24"/>
                <w:highlight w:val="none"/>
              </w:rPr>
            </w:pPr>
          </w:p>
        </w:tc>
        <w:tc>
          <w:tcPr>
            <w:tcW w:w="2415" w:type="dxa"/>
            <w:noWrap w:val="0"/>
            <w:vAlign w:val="center"/>
          </w:tcPr>
          <w:p w14:paraId="66C8C38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施工期设计服务</w:t>
            </w:r>
          </w:p>
        </w:tc>
        <w:tc>
          <w:tcPr>
            <w:tcW w:w="2989" w:type="dxa"/>
            <w:noWrap w:val="0"/>
            <w:vAlign w:val="center"/>
          </w:tcPr>
          <w:p w14:paraId="64566BD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同上</w:t>
            </w:r>
          </w:p>
        </w:tc>
      </w:tr>
      <w:tr w14:paraId="1187C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824" w:type="dxa"/>
            <w:noWrap w:val="0"/>
            <w:vAlign w:val="center"/>
          </w:tcPr>
          <w:p w14:paraId="6676B413">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7</w:t>
            </w:r>
          </w:p>
        </w:tc>
        <w:tc>
          <w:tcPr>
            <w:tcW w:w="3050" w:type="dxa"/>
            <w:vMerge w:val="continue"/>
            <w:noWrap w:val="0"/>
            <w:vAlign w:val="center"/>
          </w:tcPr>
          <w:p w14:paraId="408DC33E">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宋体" w:hAnsi="宋体" w:eastAsia="宋体" w:cs="宋体"/>
                <w:color w:val="000000"/>
                <w:sz w:val="24"/>
                <w:highlight w:val="none"/>
              </w:rPr>
            </w:pPr>
          </w:p>
        </w:tc>
        <w:tc>
          <w:tcPr>
            <w:tcW w:w="2415" w:type="dxa"/>
            <w:noWrap w:val="0"/>
            <w:vAlign w:val="center"/>
          </w:tcPr>
          <w:p w14:paraId="50D9232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lang w:val="en-US" w:eastAsia="zh-CN"/>
              </w:rPr>
              <w:t>工程完工</w:t>
            </w:r>
            <w:r>
              <w:rPr>
                <w:rFonts w:hint="eastAsia" w:ascii="宋体" w:hAnsi="宋体" w:eastAsia="宋体" w:cs="宋体"/>
                <w:color w:val="000000"/>
                <w:sz w:val="24"/>
                <w:highlight w:val="none"/>
              </w:rPr>
              <w:t>验收服务</w:t>
            </w:r>
          </w:p>
        </w:tc>
        <w:tc>
          <w:tcPr>
            <w:tcW w:w="2989" w:type="dxa"/>
            <w:noWrap w:val="0"/>
            <w:vAlign w:val="center"/>
          </w:tcPr>
          <w:p w14:paraId="6A0F9D6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同上</w:t>
            </w:r>
          </w:p>
        </w:tc>
      </w:tr>
      <w:tr w14:paraId="7BE7B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824" w:type="dxa"/>
            <w:noWrap w:val="0"/>
            <w:vAlign w:val="center"/>
          </w:tcPr>
          <w:p w14:paraId="3336621E">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8</w:t>
            </w:r>
          </w:p>
        </w:tc>
        <w:tc>
          <w:tcPr>
            <w:tcW w:w="3050" w:type="dxa"/>
            <w:vMerge w:val="continue"/>
            <w:noWrap w:val="0"/>
            <w:vAlign w:val="center"/>
          </w:tcPr>
          <w:p w14:paraId="4402C43D">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宋体" w:hAnsi="宋体" w:eastAsia="宋体" w:cs="宋体"/>
                <w:color w:val="000000"/>
                <w:sz w:val="24"/>
                <w:highlight w:val="none"/>
              </w:rPr>
            </w:pPr>
          </w:p>
        </w:tc>
        <w:tc>
          <w:tcPr>
            <w:tcW w:w="2415" w:type="dxa"/>
            <w:noWrap w:val="0"/>
            <w:vAlign w:val="center"/>
          </w:tcPr>
          <w:p w14:paraId="6FB8D49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lang w:val="en-US" w:eastAsia="zh-CN"/>
              </w:rPr>
              <w:t>航拍或其他视频格式文件</w:t>
            </w:r>
          </w:p>
        </w:tc>
        <w:tc>
          <w:tcPr>
            <w:tcW w:w="2989" w:type="dxa"/>
            <w:noWrap w:val="0"/>
            <w:vAlign w:val="center"/>
          </w:tcPr>
          <w:p w14:paraId="0629DEC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同上</w:t>
            </w:r>
          </w:p>
        </w:tc>
      </w:tr>
    </w:tbl>
    <w:p w14:paraId="52AF7FC3">
      <w:pPr>
        <w:keepNext w:val="0"/>
        <w:keepLines w:val="0"/>
        <w:pageBreakBefore w:val="0"/>
        <w:widowControl w:val="0"/>
        <w:numPr>
          <w:ilvl w:val="0"/>
          <w:numId w:val="9"/>
        </w:numPr>
        <w:kinsoku/>
        <w:wordWrap/>
        <w:overflowPunct/>
        <w:topLinePunct w:val="0"/>
        <w:autoSpaceDE/>
        <w:autoSpaceDN/>
        <w:bidi w:val="0"/>
        <w:spacing w:before="312" w:beforeLines="100" w:line="500" w:lineRule="exact"/>
        <w:ind w:firstLine="482" w:firstLineChars="200"/>
        <w:textAlignment w:val="auto"/>
        <w:outlineLvl w:val="9"/>
        <w:rPr>
          <w:rFonts w:hint="eastAsia" w:ascii="宋体" w:hAnsi="宋体" w:eastAsia="宋体" w:cs="宋体"/>
          <w:color w:val="000000"/>
          <w:sz w:val="24"/>
          <w:highlight w:val="none"/>
        </w:rPr>
      </w:pPr>
      <w:r>
        <w:rPr>
          <w:rFonts w:hint="eastAsia" w:ascii="宋体" w:hAnsi="宋体" w:eastAsia="宋体" w:cs="宋体"/>
          <w:b/>
          <w:bCs/>
          <w:color w:val="000000"/>
          <w:sz w:val="24"/>
          <w:highlight w:val="none"/>
        </w:rPr>
        <w:t xml:space="preserve"> </w:t>
      </w:r>
      <w:bookmarkStart w:id="128" w:name="_Toc23072"/>
      <w:r>
        <w:rPr>
          <w:rFonts w:hint="eastAsia" w:ascii="宋体" w:hAnsi="宋体" w:eastAsia="宋体" w:cs="宋体"/>
          <w:b/>
          <w:bCs/>
          <w:color w:val="000000"/>
          <w:sz w:val="24"/>
          <w:highlight w:val="none"/>
        </w:rPr>
        <w:t>甲方向乙方提交的有关资料、文件及时间：</w:t>
      </w:r>
      <w:bookmarkEnd w:id="128"/>
      <w:r>
        <w:rPr>
          <w:rFonts w:hint="eastAsia" w:ascii="宋体" w:hAnsi="宋体" w:eastAsia="宋体" w:cs="宋体"/>
          <w:color w:val="000000"/>
          <w:sz w:val="24"/>
          <w:highlight w:val="none"/>
        </w:rPr>
        <w:t xml:space="preserve"> </w:t>
      </w:r>
    </w:p>
    <w:p w14:paraId="77DB29DF">
      <w:pPr>
        <w:keepNext w:val="0"/>
        <w:keepLines w:val="0"/>
        <w:pageBreakBefore w:val="0"/>
        <w:widowControl w:val="0"/>
        <w:kinsoku/>
        <w:wordWrap/>
        <w:overflowPunct/>
        <w:topLinePunct w:val="0"/>
        <w:autoSpaceDE/>
        <w:autoSpaceDN/>
        <w:bidi w:val="0"/>
        <w:adjustRightInd w:val="0"/>
        <w:snapToGrid w:val="0"/>
        <w:spacing w:line="500" w:lineRule="exact"/>
        <w:ind w:left="600"/>
        <w:textAlignment w:val="auto"/>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5.1发包人向承包人提交的有关资料及文件：</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
        <w:gridCol w:w="2751"/>
        <w:gridCol w:w="833"/>
        <w:gridCol w:w="4956"/>
      </w:tblGrid>
      <w:tr w14:paraId="05694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858" w:type="dxa"/>
            <w:noWrap w:val="0"/>
            <w:vAlign w:val="center"/>
          </w:tcPr>
          <w:p w14:paraId="68734478">
            <w:pPr>
              <w:keepNext w:val="0"/>
              <w:keepLines w:val="0"/>
              <w:pageBreakBefore w:val="0"/>
              <w:widowControl w:val="0"/>
              <w:kinsoku/>
              <w:wordWrap/>
              <w:overflowPunct/>
              <w:topLinePunct w:val="0"/>
              <w:autoSpaceDE/>
              <w:autoSpaceDN/>
              <w:bidi w:val="0"/>
              <w:spacing w:line="500" w:lineRule="exact"/>
              <w:jc w:val="center"/>
              <w:textAlignment w:val="auto"/>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序号</w:t>
            </w:r>
          </w:p>
        </w:tc>
        <w:tc>
          <w:tcPr>
            <w:tcW w:w="2751" w:type="dxa"/>
            <w:noWrap w:val="0"/>
            <w:vAlign w:val="center"/>
          </w:tcPr>
          <w:p w14:paraId="4CA57558">
            <w:pPr>
              <w:keepNext w:val="0"/>
              <w:keepLines w:val="0"/>
              <w:pageBreakBefore w:val="0"/>
              <w:widowControl w:val="0"/>
              <w:kinsoku/>
              <w:wordWrap/>
              <w:overflowPunct/>
              <w:topLinePunct w:val="0"/>
              <w:autoSpaceDE/>
              <w:autoSpaceDN/>
              <w:bidi w:val="0"/>
              <w:spacing w:line="500" w:lineRule="exact"/>
              <w:jc w:val="center"/>
              <w:textAlignment w:val="auto"/>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资料及文件名称</w:t>
            </w:r>
          </w:p>
        </w:tc>
        <w:tc>
          <w:tcPr>
            <w:tcW w:w="833" w:type="dxa"/>
            <w:noWrap w:val="0"/>
            <w:vAlign w:val="center"/>
          </w:tcPr>
          <w:p w14:paraId="16A48D00">
            <w:pPr>
              <w:keepNext w:val="0"/>
              <w:keepLines w:val="0"/>
              <w:pageBreakBefore w:val="0"/>
              <w:widowControl w:val="0"/>
              <w:kinsoku/>
              <w:wordWrap/>
              <w:overflowPunct/>
              <w:topLinePunct w:val="0"/>
              <w:autoSpaceDE/>
              <w:autoSpaceDN/>
              <w:bidi w:val="0"/>
              <w:spacing w:line="500" w:lineRule="exact"/>
              <w:jc w:val="center"/>
              <w:textAlignment w:val="auto"/>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份数</w:t>
            </w:r>
          </w:p>
        </w:tc>
        <w:tc>
          <w:tcPr>
            <w:tcW w:w="4956" w:type="dxa"/>
            <w:noWrap w:val="0"/>
            <w:vAlign w:val="center"/>
          </w:tcPr>
          <w:p w14:paraId="14A87724">
            <w:pPr>
              <w:keepNext w:val="0"/>
              <w:keepLines w:val="0"/>
              <w:pageBreakBefore w:val="0"/>
              <w:widowControl w:val="0"/>
              <w:kinsoku/>
              <w:wordWrap/>
              <w:overflowPunct/>
              <w:topLinePunct w:val="0"/>
              <w:autoSpaceDE/>
              <w:autoSpaceDN/>
              <w:bidi w:val="0"/>
              <w:spacing w:line="500" w:lineRule="exact"/>
              <w:jc w:val="center"/>
              <w:textAlignment w:val="auto"/>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提 交 时 间</w:t>
            </w:r>
          </w:p>
        </w:tc>
      </w:tr>
      <w:tr w14:paraId="5B127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858" w:type="dxa"/>
            <w:noWrap w:val="0"/>
            <w:vAlign w:val="center"/>
          </w:tcPr>
          <w:p w14:paraId="0B375B30">
            <w:pPr>
              <w:keepNext w:val="0"/>
              <w:keepLines w:val="0"/>
              <w:pageBreakBefore w:val="0"/>
              <w:widowControl w:val="0"/>
              <w:kinsoku/>
              <w:wordWrap/>
              <w:overflowPunct/>
              <w:topLinePunct w:val="0"/>
              <w:autoSpaceDE/>
              <w:autoSpaceDN/>
              <w:bidi w:val="0"/>
              <w:spacing w:line="500" w:lineRule="exact"/>
              <w:jc w:val="center"/>
              <w:textAlignment w:val="auto"/>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1</w:t>
            </w:r>
          </w:p>
        </w:tc>
        <w:tc>
          <w:tcPr>
            <w:tcW w:w="2751" w:type="dxa"/>
            <w:noWrap w:val="0"/>
            <w:vAlign w:val="center"/>
          </w:tcPr>
          <w:p w14:paraId="48628698">
            <w:pPr>
              <w:keepNext w:val="0"/>
              <w:keepLines w:val="0"/>
              <w:pageBreakBefore w:val="0"/>
              <w:widowControl w:val="0"/>
              <w:kinsoku/>
              <w:wordWrap/>
              <w:overflowPunct/>
              <w:topLinePunct w:val="0"/>
              <w:autoSpaceDE/>
              <w:autoSpaceDN/>
              <w:bidi w:val="0"/>
              <w:spacing w:line="500" w:lineRule="exact"/>
              <w:textAlignment w:val="auto"/>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省、市有关批文</w:t>
            </w:r>
          </w:p>
        </w:tc>
        <w:tc>
          <w:tcPr>
            <w:tcW w:w="833" w:type="dxa"/>
            <w:noWrap w:val="0"/>
            <w:vAlign w:val="center"/>
          </w:tcPr>
          <w:p w14:paraId="70DDA0AB">
            <w:pPr>
              <w:keepNext w:val="0"/>
              <w:keepLines w:val="0"/>
              <w:pageBreakBefore w:val="0"/>
              <w:widowControl w:val="0"/>
              <w:kinsoku/>
              <w:wordWrap/>
              <w:overflowPunct/>
              <w:topLinePunct w:val="0"/>
              <w:autoSpaceDE/>
              <w:autoSpaceDN/>
              <w:bidi w:val="0"/>
              <w:spacing w:line="500" w:lineRule="exact"/>
              <w:ind w:left="-107" w:leftChars="-51" w:right="-107" w:rightChars="-51"/>
              <w:jc w:val="center"/>
              <w:textAlignment w:val="auto"/>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1</w:t>
            </w:r>
          </w:p>
        </w:tc>
        <w:tc>
          <w:tcPr>
            <w:tcW w:w="4956" w:type="dxa"/>
            <w:noWrap w:val="0"/>
            <w:vAlign w:val="center"/>
          </w:tcPr>
          <w:p w14:paraId="18554C40">
            <w:pPr>
              <w:keepNext w:val="0"/>
              <w:keepLines w:val="0"/>
              <w:pageBreakBefore w:val="0"/>
              <w:widowControl w:val="0"/>
              <w:kinsoku/>
              <w:wordWrap/>
              <w:overflowPunct/>
              <w:topLinePunct w:val="0"/>
              <w:autoSpaceDE/>
              <w:autoSpaceDN/>
              <w:bidi w:val="0"/>
              <w:spacing w:line="500" w:lineRule="exact"/>
              <w:textAlignment w:val="auto"/>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根据审批部门的审批情况，双方另行协商。</w:t>
            </w:r>
          </w:p>
        </w:tc>
      </w:tr>
      <w:tr w14:paraId="1F773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858" w:type="dxa"/>
            <w:noWrap w:val="0"/>
            <w:vAlign w:val="center"/>
          </w:tcPr>
          <w:p w14:paraId="543E4FEB">
            <w:pPr>
              <w:keepNext w:val="0"/>
              <w:keepLines w:val="0"/>
              <w:pageBreakBefore w:val="0"/>
              <w:widowControl w:val="0"/>
              <w:kinsoku/>
              <w:wordWrap/>
              <w:overflowPunct/>
              <w:topLinePunct w:val="0"/>
              <w:autoSpaceDE/>
              <w:autoSpaceDN/>
              <w:bidi w:val="0"/>
              <w:spacing w:line="500" w:lineRule="exact"/>
              <w:jc w:val="center"/>
              <w:textAlignment w:val="auto"/>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2</w:t>
            </w:r>
          </w:p>
        </w:tc>
        <w:tc>
          <w:tcPr>
            <w:tcW w:w="2751" w:type="dxa"/>
            <w:noWrap w:val="0"/>
            <w:vAlign w:val="center"/>
          </w:tcPr>
          <w:p w14:paraId="46984E3C">
            <w:pPr>
              <w:keepNext w:val="0"/>
              <w:keepLines w:val="0"/>
              <w:pageBreakBefore w:val="0"/>
              <w:widowControl w:val="0"/>
              <w:kinsoku/>
              <w:wordWrap/>
              <w:overflowPunct/>
              <w:topLinePunct w:val="0"/>
              <w:autoSpaceDE/>
              <w:autoSpaceDN/>
              <w:bidi w:val="0"/>
              <w:spacing w:line="500" w:lineRule="exact"/>
              <w:textAlignment w:val="auto"/>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水文资料（若有）</w:t>
            </w:r>
          </w:p>
        </w:tc>
        <w:tc>
          <w:tcPr>
            <w:tcW w:w="833" w:type="dxa"/>
            <w:noWrap w:val="0"/>
            <w:vAlign w:val="center"/>
          </w:tcPr>
          <w:p w14:paraId="1392BCB6">
            <w:pPr>
              <w:keepNext w:val="0"/>
              <w:keepLines w:val="0"/>
              <w:pageBreakBefore w:val="0"/>
              <w:widowControl w:val="0"/>
              <w:kinsoku/>
              <w:wordWrap/>
              <w:overflowPunct/>
              <w:topLinePunct w:val="0"/>
              <w:autoSpaceDE/>
              <w:autoSpaceDN/>
              <w:bidi w:val="0"/>
              <w:spacing w:line="500" w:lineRule="exact"/>
              <w:ind w:left="-107" w:leftChars="-51" w:right="-107" w:rightChars="-51"/>
              <w:jc w:val="center"/>
              <w:textAlignment w:val="auto"/>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1</w:t>
            </w:r>
          </w:p>
        </w:tc>
        <w:tc>
          <w:tcPr>
            <w:tcW w:w="4956" w:type="dxa"/>
            <w:noWrap w:val="0"/>
            <w:vAlign w:val="center"/>
          </w:tcPr>
          <w:p w14:paraId="37857F31">
            <w:pPr>
              <w:keepNext w:val="0"/>
              <w:keepLines w:val="0"/>
              <w:pageBreakBefore w:val="0"/>
              <w:widowControl w:val="0"/>
              <w:kinsoku/>
              <w:wordWrap/>
              <w:overflowPunct/>
              <w:topLinePunct w:val="0"/>
              <w:autoSpaceDE/>
              <w:autoSpaceDN/>
              <w:bidi w:val="0"/>
              <w:spacing w:line="500" w:lineRule="exact"/>
              <w:textAlignment w:val="auto"/>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乙方可向甲方借用(签订合同后三天内)</w:t>
            </w:r>
          </w:p>
        </w:tc>
      </w:tr>
      <w:tr w14:paraId="50222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atLeast"/>
          <w:jc w:val="center"/>
        </w:trPr>
        <w:tc>
          <w:tcPr>
            <w:tcW w:w="858" w:type="dxa"/>
            <w:noWrap w:val="0"/>
            <w:vAlign w:val="center"/>
          </w:tcPr>
          <w:p w14:paraId="73BDFAD5">
            <w:pPr>
              <w:keepNext w:val="0"/>
              <w:keepLines w:val="0"/>
              <w:pageBreakBefore w:val="0"/>
              <w:widowControl w:val="0"/>
              <w:kinsoku/>
              <w:wordWrap/>
              <w:overflowPunct/>
              <w:topLinePunct w:val="0"/>
              <w:autoSpaceDE/>
              <w:autoSpaceDN/>
              <w:bidi w:val="0"/>
              <w:spacing w:line="500" w:lineRule="exact"/>
              <w:jc w:val="center"/>
              <w:textAlignment w:val="auto"/>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3</w:t>
            </w:r>
          </w:p>
        </w:tc>
        <w:tc>
          <w:tcPr>
            <w:tcW w:w="2751" w:type="dxa"/>
            <w:noWrap w:val="0"/>
            <w:vAlign w:val="center"/>
          </w:tcPr>
          <w:p w14:paraId="365EF68A">
            <w:pPr>
              <w:keepNext w:val="0"/>
              <w:keepLines w:val="0"/>
              <w:pageBreakBefore w:val="0"/>
              <w:widowControl w:val="0"/>
              <w:kinsoku/>
              <w:wordWrap/>
              <w:overflowPunct/>
              <w:topLinePunct w:val="0"/>
              <w:autoSpaceDE/>
              <w:autoSpaceDN/>
              <w:bidi w:val="0"/>
              <w:spacing w:line="500" w:lineRule="exact"/>
              <w:textAlignment w:val="auto"/>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地质资料</w:t>
            </w:r>
          </w:p>
        </w:tc>
        <w:tc>
          <w:tcPr>
            <w:tcW w:w="833" w:type="dxa"/>
            <w:noWrap w:val="0"/>
            <w:vAlign w:val="center"/>
          </w:tcPr>
          <w:p w14:paraId="4DE353F2">
            <w:pPr>
              <w:keepNext w:val="0"/>
              <w:keepLines w:val="0"/>
              <w:pageBreakBefore w:val="0"/>
              <w:widowControl w:val="0"/>
              <w:kinsoku/>
              <w:wordWrap/>
              <w:overflowPunct/>
              <w:topLinePunct w:val="0"/>
              <w:autoSpaceDE/>
              <w:autoSpaceDN/>
              <w:bidi w:val="0"/>
              <w:spacing w:line="500" w:lineRule="exact"/>
              <w:ind w:left="-107" w:leftChars="-51" w:right="-107" w:rightChars="-51"/>
              <w:jc w:val="center"/>
              <w:textAlignment w:val="auto"/>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1</w:t>
            </w:r>
          </w:p>
        </w:tc>
        <w:tc>
          <w:tcPr>
            <w:tcW w:w="4956" w:type="dxa"/>
            <w:noWrap w:val="0"/>
            <w:vAlign w:val="center"/>
          </w:tcPr>
          <w:p w14:paraId="1211361D">
            <w:pPr>
              <w:keepNext w:val="0"/>
              <w:keepLines w:val="0"/>
              <w:pageBreakBefore w:val="0"/>
              <w:widowControl w:val="0"/>
              <w:kinsoku/>
              <w:wordWrap/>
              <w:overflowPunct/>
              <w:topLinePunct w:val="0"/>
              <w:autoSpaceDE/>
              <w:autoSpaceDN/>
              <w:bidi w:val="0"/>
              <w:spacing w:line="500" w:lineRule="exact"/>
              <w:textAlignment w:val="auto"/>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另行协商。</w:t>
            </w:r>
          </w:p>
        </w:tc>
      </w:tr>
    </w:tbl>
    <w:p w14:paraId="5F1456DE">
      <w:pPr>
        <w:keepNext w:val="0"/>
        <w:keepLines w:val="0"/>
        <w:pageBreakBefore w:val="0"/>
        <w:kinsoku/>
        <w:wordWrap/>
        <w:overflowPunct/>
        <w:topLinePunct w:val="0"/>
        <w:autoSpaceDE/>
        <w:autoSpaceDN/>
        <w:bidi w:val="0"/>
        <w:adjustRightInd w:val="0"/>
        <w:snapToGrid w:val="0"/>
        <w:spacing w:line="500" w:lineRule="exact"/>
        <w:ind w:firstLine="480" w:firstLineChars="200"/>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5.2发包人按合同第5.1条规定的内容，在规定的时间内向承包人提交资料及文件，并对其完整性，正确性及时限负责。</w:t>
      </w:r>
    </w:p>
    <w:p w14:paraId="08493CCC">
      <w:pPr>
        <w:keepNext w:val="0"/>
        <w:keepLines w:val="0"/>
        <w:pageBreakBefore w:val="0"/>
        <w:kinsoku/>
        <w:wordWrap/>
        <w:overflowPunct/>
        <w:topLinePunct w:val="0"/>
        <w:autoSpaceDE/>
        <w:autoSpaceDN/>
        <w:bidi w:val="0"/>
        <w:adjustRightInd w:val="0"/>
        <w:snapToGrid w:val="0"/>
        <w:spacing w:line="500" w:lineRule="exact"/>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5.3由于承包人自身的原因引起的勘察设计修改，发包人不再支付任何费用。</w:t>
      </w:r>
    </w:p>
    <w:p w14:paraId="61CDA81F">
      <w:pPr>
        <w:keepNext w:val="0"/>
        <w:keepLines w:val="0"/>
        <w:pageBreakBefore w:val="0"/>
        <w:kinsoku/>
        <w:wordWrap/>
        <w:overflowPunct/>
        <w:topLinePunct w:val="0"/>
        <w:autoSpaceDE/>
        <w:autoSpaceDN/>
        <w:bidi w:val="0"/>
        <w:adjustRightInd w:val="0"/>
        <w:snapToGrid w:val="0"/>
        <w:spacing w:line="500" w:lineRule="exact"/>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5.4在合同履行期间，发包人要求终止或解除合同，承包人未开始勘察设计工作的，发包人双倍退还承包人已付的履约保证金；已开始勘察设计工作的，发包人除了退还承包人的履约保证金外，还应根据承包人已进行的阶段实际工作量，不足一半时，按该阶段勘察设计费的一半支付，超过一半时，按该阶段勘察设计费的全部支付。</w:t>
      </w:r>
    </w:p>
    <w:p w14:paraId="6C004123">
      <w:pPr>
        <w:keepNext w:val="0"/>
        <w:keepLines w:val="0"/>
        <w:pageBreakBefore w:val="0"/>
        <w:kinsoku/>
        <w:wordWrap/>
        <w:overflowPunct/>
        <w:topLinePunct w:val="0"/>
        <w:autoSpaceDE/>
        <w:autoSpaceDN/>
        <w:bidi w:val="0"/>
        <w:adjustRightInd w:val="0"/>
        <w:snapToGrid w:val="0"/>
        <w:spacing w:line="500" w:lineRule="exact"/>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5.5发包人应按合同规定的金额和时间向承包人支付勘察设计费用。每逾期超过30天以上时，承包人有权暂停履行下阶段工作，并书面通知发包人。</w:t>
      </w:r>
    </w:p>
    <w:p w14:paraId="62B31F23">
      <w:pPr>
        <w:keepNext w:val="0"/>
        <w:keepLines w:val="0"/>
        <w:pageBreakBefore w:val="0"/>
        <w:kinsoku/>
        <w:wordWrap/>
        <w:overflowPunct/>
        <w:topLinePunct w:val="0"/>
        <w:autoSpaceDE/>
        <w:autoSpaceDN/>
        <w:bidi w:val="0"/>
        <w:adjustRightInd w:val="0"/>
        <w:snapToGrid w:val="0"/>
        <w:spacing w:line="500" w:lineRule="exact"/>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5.6发包人按本合同规定为承包人进行工程勘察设计提供必要的协助，并协助承包人进行外部关系的协调，协助承包人办理有关人员在当地的安全、劳动管理等其他有关手续。但发包人不为承包人任何工作人员提供工作、生活、交通及通讯等方便条件。因勘察设计工作需要所发生的一切费用已包含在承包人的投标报价中。</w:t>
      </w:r>
    </w:p>
    <w:p w14:paraId="0DED8F50">
      <w:pPr>
        <w:keepNext w:val="0"/>
        <w:keepLines w:val="0"/>
        <w:pageBreakBefore w:val="0"/>
        <w:kinsoku/>
        <w:wordWrap/>
        <w:overflowPunct/>
        <w:topLinePunct w:val="0"/>
        <w:autoSpaceDE/>
        <w:autoSpaceDN/>
        <w:bidi w:val="0"/>
        <w:adjustRightInd w:val="0"/>
        <w:snapToGrid w:val="0"/>
        <w:spacing w:line="500" w:lineRule="exact"/>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5.7发包人有权对承包人的工作进行监督，包括检查其工作质量及进度、提出质疑、要求承包人就某一问题提出报告等。</w:t>
      </w:r>
    </w:p>
    <w:p w14:paraId="2A128076">
      <w:pPr>
        <w:keepNext w:val="0"/>
        <w:keepLines w:val="0"/>
        <w:pageBreakBefore w:val="0"/>
        <w:kinsoku/>
        <w:wordWrap/>
        <w:overflowPunct/>
        <w:topLinePunct w:val="0"/>
        <w:autoSpaceDE/>
        <w:autoSpaceDN/>
        <w:bidi w:val="0"/>
        <w:adjustRightInd w:val="0"/>
        <w:snapToGrid w:val="0"/>
        <w:spacing w:line="500" w:lineRule="exact"/>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5.8发包人对技术方案有最后的决定权。经符合资质要求的水利水电咨询公司咨询或上级技术审查部门审查后，发包人对技术方案提出的修改为最终决定。</w:t>
      </w:r>
    </w:p>
    <w:p w14:paraId="7C6F82BD">
      <w:pPr>
        <w:keepNext w:val="0"/>
        <w:keepLines w:val="0"/>
        <w:pageBreakBefore w:val="0"/>
        <w:kinsoku/>
        <w:wordWrap/>
        <w:overflowPunct/>
        <w:topLinePunct w:val="0"/>
        <w:autoSpaceDE/>
        <w:autoSpaceDN/>
        <w:bidi w:val="0"/>
        <w:adjustRightInd w:val="0"/>
        <w:snapToGrid w:val="0"/>
        <w:spacing w:line="500" w:lineRule="exact"/>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5.9承包人为本合同项目所采用的国家或地方标准图，由承包人自费向有关出版部门购买。</w:t>
      </w:r>
    </w:p>
    <w:p w14:paraId="63506E37">
      <w:pPr>
        <w:keepNext w:val="0"/>
        <w:keepLines w:val="0"/>
        <w:pageBreakBefore w:val="0"/>
        <w:kinsoku/>
        <w:wordWrap/>
        <w:overflowPunct/>
        <w:topLinePunct w:val="0"/>
        <w:autoSpaceDE/>
        <w:autoSpaceDN/>
        <w:bidi w:val="0"/>
        <w:adjustRightInd w:val="0"/>
        <w:snapToGrid w:val="0"/>
        <w:spacing w:line="500" w:lineRule="exact"/>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5.10超过本合同规定承包人交付的勘察设计文件份数，发包人另付工本费。</w:t>
      </w:r>
    </w:p>
    <w:p w14:paraId="6211B57E">
      <w:pPr>
        <w:keepNext w:val="0"/>
        <w:keepLines w:val="0"/>
        <w:pageBreakBefore w:val="0"/>
        <w:kinsoku/>
        <w:wordWrap/>
        <w:overflowPunct/>
        <w:topLinePunct w:val="0"/>
        <w:autoSpaceDE/>
        <w:autoSpaceDN/>
        <w:bidi w:val="0"/>
        <w:adjustRightInd w:val="0"/>
        <w:snapToGrid w:val="0"/>
        <w:spacing w:line="500" w:lineRule="exact"/>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5.11发包人无须对承包人派出的人员伤亡或遭受意外在法律上获得的赔偿承担责任。</w:t>
      </w:r>
    </w:p>
    <w:p w14:paraId="6EA8397C">
      <w:pPr>
        <w:keepNext w:val="0"/>
        <w:keepLines w:val="0"/>
        <w:pageBreakBefore w:val="0"/>
        <w:kinsoku/>
        <w:wordWrap/>
        <w:overflowPunct/>
        <w:topLinePunct w:val="0"/>
        <w:autoSpaceDE/>
        <w:autoSpaceDN/>
        <w:bidi w:val="0"/>
        <w:adjustRightInd w:val="0"/>
        <w:snapToGrid w:val="0"/>
        <w:spacing w:line="500" w:lineRule="exact"/>
        <w:ind w:firstLine="480" w:firstLineChars="200"/>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5.12发包人应在合同工程完工验收后一个月内一次性退还履约保证金。</w:t>
      </w:r>
    </w:p>
    <w:p w14:paraId="5C5D44E0">
      <w:pPr>
        <w:keepNext w:val="0"/>
        <w:keepLines w:val="0"/>
        <w:pageBreakBefore w:val="0"/>
        <w:kinsoku/>
        <w:wordWrap/>
        <w:overflowPunct/>
        <w:topLinePunct w:val="0"/>
        <w:autoSpaceDE/>
        <w:autoSpaceDN/>
        <w:bidi w:val="0"/>
        <w:adjustRightInd w:val="0"/>
        <w:snapToGrid w:val="0"/>
        <w:spacing w:line="500" w:lineRule="exact"/>
        <w:ind w:firstLine="480" w:firstLineChars="200"/>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5.13所有合同内要求提交的勘察设计文件版权均属于发包人所有。</w:t>
      </w:r>
    </w:p>
    <w:p w14:paraId="2D4E4161">
      <w:pPr>
        <w:keepNext w:val="0"/>
        <w:keepLines w:val="0"/>
        <w:pageBreakBefore w:val="0"/>
        <w:kinsoku/>
        <w:wordWrap/>
        <w:overflowPunct/>
        <w:topLinePunct w:val="0"/>
        <w:autoSpaceDE/>
        <w:autoSpaceDN/>
        <w:bidi w:val="0"/>
        <w:spacing w:before="156" w:beforeLines="50" w:line="500" w:lineRule="exact"/>
        <w:ind w:left="420" w:leftChars="200"/>
        <w:outlineLvl w:val="9"/>
        <w:rPr>
          <w:rFonts w:hint="eastAsia" w:ascii="宋体" w:hAnsi="宋体" w:eastAsia="宋体" w:cs="宋体"/>
          <w:b/>
          <w:bCs/>
          <w:color w:val="000000"/>
          <w:sz w:val="24"/>
          <w:szCs w:val="24"/>
          <w:highlight w:val="none"/>
        </w:rPr>
      </w:pPr>
      <w:bookmarkStart w:id="129" w:name="_Toc30233"/>
      <w:r>
        <w:rPr>
          <w:rFonts w:hint="eastAsia" w:ascii="宋体" w:hAnsi="宋体" w:eastAsia="宋体" w:cs="宋体"/>
          <w:b/>
          <w:bCs/>
          <w:color w:val="000000"/>
          <w:sz w:val="24"/>
          <w:szCs w:val="24"/>
          <w:highlight w:val="none"/>
        </w:rPr>
        <w:t>第六条 乙方向甲方交付的设计文件、份数及时间：</w:t>
      </w:r>
      <w:bookmarkEnd w:id="129"/>
    </w:p>
    <w:p w14:paraId="7E040CDB">
      <w:pPr>
        <w:pStyle w:val="6"/>
        <w:keepNext w:val="0"/>
        <w:keepLines w:val="0"/>
        <w:pageBreakBefore w:val="0"/>
        <w:kinsoku/>
        <w:wordWrap/>
        <w:overflowPunct/>
        <w:topLinePunct w:val="0"/>
        <w:autoSpaceDE/>
        <w:autoSpaceDN/>
        <w:bidi w:val="0"/>
        <w:spacing w:line="500" w:lineRule="exact"/>
        <w:ind w:left="420" w:leftChars="200"/>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6.1项目</w:t>
      </w:r>
      <w:r>
        <w:rPr>
          <w:rFonts w:hint="eastAsia" w:ascii="宋体" w:hAnsi="宋体" w:eastAsia="宋体" w:cs="宋体"/>
          <w:color w:val="000000"/>
          <w:sz w:val="24"/>
          <w:szCs w:val="24"/>
          <w:highlight w:val="none"/>
          <w:lang w:val="en-US" w:eastAsia="zh-CN"/>
        </w:rPr>
        <w:t>勘察</w:t>
      </w:r>
      <w:r>
        <w:rPr>
          <w:rFonts w:hint="eastAsia" w:ascii="宋体" w:hAnsi="宋体" w:eastAsia="宋体" w:cs="宋体"/>
          <w:color w:val="000000"/>
          <w:sz w:val="24"/>
          <w:szCs w:val="24"/>
          <w:highlight w:val="none"/>
        </w:rPr>
        <w:t>设计工作进度</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3509"/>
        <w:gridCol w:w="783"/>
        <w:gridCol w:w="1220"/>
        <w:gridCol w:w="3174"/>
      </w:tblGrid>
      <w:tr w14:paraId="38435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675" w:type="dxa"/>
            <w:noWrap w:val="0"/>
            <w:vAlign w:val="center"/>
          </w:tcPr>
          <w:p w14:paraId="215DA4E2">
            <w:pPr>
              <w:keepNext w:val="0"/>
              <w:keepLines w:val="0"/>
              <w:pageBreakBefore w:val="0"/>
              <w:kinsoku/>
              <w:wordWrap/>
              <w:overflowPunct/>
              <w:topLinePunct w:val="0"/>
              <w:autoSpaceDE/>
              <w:autoSpaceDN/>
              <w:bidi w:val="0"/>
              <w:spacing w:line="500" w:lineRule="exact"/>
              <w:jc w:val="center"/>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序号</w:t>
            </w:r>
          </w:p>
        </w:tc>
        <w:tc>
          <w:tcPr>
            <w:tcW w:w="3509" w:type="dxa"/>
            <w:noWrap w:val="0"/>
            <w:vAlign w:val="center"/>
          </w:tcPr>
          <w:p w14:paraId="608E7ABA">
            <w:pPr>
              <w:keepNext w:val="0"/>
              <w:keepLines w:val="0"/>
              <w:pageBreakBefore w:val="0"/>
              <w:kinsoku/>
              <w:wordWrap/>
              <w:overflowPunct/>
              <w:topLinePunct w:val="0"/>
              <w:autoSpaceDE/>
              <w:autoSpaceDN/>
              <w:bidi w:val="0"/>
              <w:spacing w:line="500" w:lineRule="exact"/>
              <w:jc w:val="center"/>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资料及文件名称</w:t>
            </w:r>
          </w:p>
        </w:tc>
        <w:tc>
          <w:tcPr>
            <w:tcW w:w="783" w:type="dxa"/>
            <w:noWrap w:val="0"/>
            <w:vAlign w:val="center"/>
          </w:tcPr>
          <w:p w14:paraId="586683C2">
            <w:pPr>
              <w:keepNext w:val="0"/>
              <w:keepLines w:val="0"/>
              <w:pageBreakBefore w:val="0"/>
              <w:kinsoku/>
              <w:wordWrap/>
              <w:overflowPunct/>
              <w:topLinePunct w:val="0"/>
              <w:autoSpaceDE/>
              <w:autoSpaceDN/>
              <w:bidi w:val="0"/>
              <w:spacing w:line="500" w:lineRule="exact"/>
              <w:jc w:val="center"/>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份数</w:t>
            </w:r>
          </w:p>
        </w:tc>
        <w:tc>
          <w:tcPr>
            <w:tcW w:w="1220" w:type="dxa"/>
            <w:noWrap w:val="0"/>
            <w:vAlign w:val="center"/>
          </w:tcPr>
          <w:p w14:paraId="681BEA9B">
            <w:pPr>
              <w:keepNext w:val="0"/>
              <w:keepLines w:val="0"/>
              <w:pageBreakBefore w:val="0"/>
              <w:kinsoku/>
              <w:wordWrap/>
              <w:overflowPunct/>
              <w:topLinePunct w:val="0"/>
              <w:autoSpaceDE/>
              <w:autoSpaceDN/>
              <w:bidi w:val="0"/>
              <w:spacing w:line="500" w:lineRule="exact"/>
              <w:ind w:hanging="1"/>
              <w:jc w:val="center"/>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内容要求</w:t>
            </w:r>
          </w:p>
        </w:tc>
        <w:tc>
          <w:tcPr>
            <w:tcW w:w="3174" w:type="dxa"/>
            <w:noWrap w:val="0"/>
            <w:vAlign w:val="center"/>
          </w:tcPr>
          <w:p w14:paraId="316B2A43">
            <w:pPr>
              <w:keepNext w:val="0"/>
              <w:keepLines w:val="0"/>
              <w:pageBreakBefore w:val="0"/>
              <w:kinsoku/>
              <w:wordWrap/>
              <w:overflowPunct/>
              <w:topLinePunct w:val="0"/>
              <w:autoSpaceDE/>
              <w:autoSpaceDN/>
              <w:bidi w:val="0"/>
              <w:spacing w:line="500" w:lineRule="exact"/>
              <w:ind w:firstLine="198"/>
              <w:jc w:val="center"/>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提交时间</w:t>
            </w:r>
          </w:p>
        </w:tc>
      </w:tr>
      <w:tr w14:paraId="2AB92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675" w:type="dxa"/>
            <w:noWrap w:val="0"/>
            <w:vAlign w:val="center"/>
          </w:tcPr>
          <w:p w14:paraId="3DF3498C">
            <w:pPr>
              <w:keepNext w:val="0"/>
              <w:keepLines w:val="0"/>
              <w:pageBreakBefore w:val="0"/>
              <w:kinsoku/>
              <w:wordWrap/>
              <w:overflowPunct/>
              <w:topLinePunct w:val="0"/>
              <w:autoSpaceDE/>
              <w:autoSpaceDN/>
              <w:bidi w:val="0"/>
              <w:spacing w:line="500" w:lineRule="exact"/>
              <w:jc w:val="center"/>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p>
        </w:tc>
        <w:tc>
          <w:tcPr>
            <w:tcW w:w="3509" w:type="dxa"/>
            <w:noWrap w:val="0"/>
            <w:vAlign w:val="center"/>
          </w:tcPr>
          <w:p w14:paraId="190A0272">
            <w:pPr>
              <w:keepNext w:val="0"/>
              <w:keepLines w:val="0"/>
              <w:pageBreakBefore w:val="0"/>
              <w:kinsoku/>
              <w:wordWrap/>
              <w:overflowPunct/>
              <w:topLinePunct w:val="0"/>
              <w:autoSpaceDE/>
              <w:autoSpaceDN/>
              <w:bidi w:val="0"/>
              <w:spacing w:line="500" w:lineRule="exact"/>
              <w:ind w:left="-2" w:leftChars="0" w:right="-107" w:rightChars="-51" w:firstLine="2" w:firstLineChars="0"/>
              <w:rPr>
                <w:rFonts w:hint="eastAsia" w:ascii="宋体" w:hAnsi="宋体" w:eastAsia="宋体" w:cs="宋体"/>
                <w:b/>
                <w:color w:val="000000"/>
                <w:sz w:val="24"/>
                <w:szCs w:val="24"/>
                <w:highlight w:val="none"/>
                <w:lang w:val="en-US" w:eastAsia="zh-CN"/>
              </w:rPr>
            </w:pPr>
            <w:r>
              <w:rPr>
                <w:rFonts w:hint="eastAsia" w:ascii="宋体" w:hAnsi="宋体" w:eastAsia="宋体" w:cs="宋体"/>
                <w:color w:val="000000"/>
                <w:sz w:val="24"/>
                <w:szCs w:val="24"/>
                <w:highlight w:val="none"/>
              </w:rPr>
              <w:t>初步设计报告及图纸、工程概算书</w:t>
            </w:r>
          </w:p>
        </w:tc>
        <w:tc>
          <w:tcPr>
            <w:tcW w:w="783" w:type="dxa"/>
            <w:noWrap w:val="0"/>
            <w:vAlign w:val="center"/>
          </w:tcPr>
          <w:p w14:paraId="2B1FDFBE">
            <w:pPr>
              <w:keepNext w:val="0"/>
              <w:keepLines w:val="0"/>
              <w:pageBreakBefore w:val="0"/>
              <w:kinsoku/>
              <w:wordWrap/>
              <w:overflowPunct/>
              <w:topLinePunct w:val="0"/>
              <w:autoSpaceDE/>
              <w:autoSpaceDN/>
              <w:bidi w:val="0"/>
              <w:adjustRightInd w:val="0"/>
              <w:snapToGrid w:val="0"/>
              <w:spacing w:line="500" w:lineRule="exact"/>
              <w:ind w:hanging="2"/>
              <w:jc w:val="center"/>
              <w:outlineLvl w:val="9"/>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w:t>
            </w:r>
          </w:p>
        </w:tc>
        <w:tc>
          <w:tcPr>
            <w:tcW w:w="1220" w:type="dxa"/>
            <w:noWrap w:val="0"/>
            <w:vAlign w:val="center"/>
          </w:tcPr>
          <w:p w14:paraId="3FA20871">
            <w:pPr>
              <w:keepNext w:val="0"/>
              <w:keepLines w:val="0"/>
              <w:pageBreakBefore w:val="0"/>
              <w:kinsoku/>
              <w:wordWrap/>
              <w:overflowPunct/>
              <w:topLinePunct w:val="0"/>
              <w:autoSpaceDE/>
              <w:autoSpaceDN/>
              <w:bidi w:val="0"/>
              <w:adjustRightInd w:val="0"/>
              <w:snapToGrid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按国家和</w:t>
            </w:r>
          </w:p>
          <w:p w14:paraId="3EA5A4CA">
            <w:pPr>
              <w:keepNext w:val="0"/>
              <w:keepLines w:val="0"/>
              <w:pageBreakBefore w:val="0"/>
              <w:kinsoku/>
              <w:wordWrap/>
              <w:overflowPunct/>
              <w:topLinePunct w:val="0"/>
              <w:autoSpaceDE/>
              <w:autoSpaceDN/>
              <w:bidi w:val="0"/>
              <w:adjustRightInd w:val="0"/>
              <w:snapToGrid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部颁规范</w:t>
            </w:r>
          </w:p>
        </w:tc>
        <w:tc>
          <w:tcPr>
            <w:tcW w:w="3174" w:type="dxa"/>
            <w:noWrap w:val="0"/>
            <w:vAlign w:val="center"/>
          </w:tcPr>
          <w:p w14:paraId="0E3AD7C2">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以双方约定为准。</w:t>
            </w:r>
          </w:p>
        </w:tc>
      </w:tr>
      <w:tr w14:paraId="3B3C1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1B03ECB3">
            <w:pPr>
              <w:keepNext w:val="0"/>
              <w:keepLines w:val="0"/>
              <w:pageBreakBefore w:val="0"/>
              <w:kinsoku/>
              <w:wordWrap/>
              <w:overflowPunct/>
              <w:topLinePunct w:val="0"/>
              <w:autoSpaceDE/>
              <w:autoSpaceDN/>
              <w:bidi w:val="0"/>
              <w:spacing w:line="500" w:lineRule="exact"/>
              <w:jc w:val="center"/>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w:t>
            </w:r>
          </w:p>
        </w:tc>
        <w:tc>
          <w:tcPr>
            <w:tcW w:w="3509" w:type="dxa"/>
            <w:noWrap w:val="0"/>
            <w:vAlign w:val="center"/>
          </w:tcPr>
          <w:p w14:paraId="40D4C105">
            <w:pPr>
              <w:keepNext w:val="0"/>
              <w:keepLines w:val="0"/>
              <w:pageBreakBefore w:val="0"/>
              <w:kinsoku/>
              <w:wordWrap/>
              <w:overflowPunct/>
              <w:topLinePunct w:val="0"/>
              <w:autoSpaceDE/>
              <w:autoSpaceDN/>
              <w:bidi w:val="0"/>
              <w:spacing w:line="500" w:lineRule="exact"/>
              <w:ind w:left="-2" w:leftChars="0" w:right="-107" w:rightChars="-51" w:firstLine="2" w:firstLineChars="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招标设计图纸、招标工程量清单、招标预算及相应的技术规范和技术条款</w:t>
            </w:r>
          </w:p>
        </w:tc>
        <w:tc>
          <w:tcPr>
            <w:tcW w:w="783" w:type="dxa"/>
            <w:noWrap w:val="0"/>
            <w:vAlign w:val="center"/>
          </w:tcPr>
          <w:p w14:paraId="3C0387ED">
            <w:pPr>
              <w:keepNext w:val="0"/>
              <w:keepLines w:val="0"/>
              <w:pageBreakBefore w:val="0"/>
              <w:kinsoku/>
              <w:wordWrap/>
              <w:overflowPunct/>
              <w:topLinePunct w:val="0"/>
              <w:autoSpaceDE/>
              <w:autoSpaceDN/>
              <w:bidi w:val="0"/>
              <w:spacing w:line="500" w:lineRule="exact"/>
              <w:ind w:left="-1" w:leftChars="-52" w:right="-107" w:rightChars="-51" w:hanging="108"/>
              <w:jc w:val="center"/>
              <w:outlineLvl w:val="9"/>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1</w:t>
            </w:r>
            <w:r>
              <w:rPr>
                <w:rFonts w:hint="eastAsia" w:ascii="宋体" w:hAnsi="宋体" w:eastAsia="宋体" w:cs="宋体"/>
                <w:color w:val="000000"/>
                <w:sz w:val="24"/>
                <w:szCs w:val="24"/>
                <w:highlight w:val="none"/>
                <w:lang w:val="en-US" w:eastAsia="zh-CN"/>
              </w:rPr>
              <w:t>0</w:t>
            </w:r>
          </w:p>
        </w:tc>
        <w:tc>
          <w:tcPr>
            <w:tcW w:w="1220" w:type="dxa"/>
            <w:noWrap w:val="0"/>
            <w:vAlign w:val="center"/>
          </w:tcPr>
          <w:p w14:paraId="1F32CCD2">
            <w:pPr>
              <w:keepNext w:val="0"/>
              <w:keepLines w:val="0"/>
              <w:pageBreakBefore w:val="0"/>
              <w:kinsoku/>
              <w:wordWrap/>
              <w:overflowPunct/>
              <w:topLinePunct w:val="0"/>
              <w:autoSpaceDE/>
              <w:autoSpaceDN/>
              <w:bidi w:val="0"/>
              <w:adjustRightInd w:val="0"/>
              <w:snapToGrid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达到招</w:t>
            </w:r>
          </w:p>
          <w:p w14:paraId="77B01B61">
            <w:pPr>
              <w:keepNext w:val="0"/>
              <w:keepLines w:val="0"/>
              <w:pageBreakBefore w:val="0"/>
              <w:kinsoku/>
              <w:wordWrap/>
              <w:overflowPunct/>
              <w:topLinePunct w:val="0"/>
              <w:autoSpaceDE/>
              <w:autoSpaceDN/>
              <w:bidi w:val="0"/>
              <w:adjustRightInd w:val="0"/>
              <w:snapToGrid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标要求</w:t>
            </w:r>
          </w:p>
        </w:tc>
        <w:tc>
          <w:tcPr>
            <w:tcW w:w="3174" w:type="dxa"/>
            <w:noWrap w:val="0"/>
            <w:vAlign w:val="center"/>
          </w:tcPr>
          <w:p w14:paraId="3776D49F">
            <w:pPr>
              <w:keepNext w:val="0"/>
              <w:keepLines w:val="0"/>
              <w:pageBreakBefore w:val="0"/>
              <w:shd w:val="clear" w:color="auto" w:fill="FFFFFF"/>
              <w:kinsoku/>
              <w:wordWrap/>
              <w:overflowPunct/>
              <w:topLinePunct w:val="0"/>
              <w:autoSpaceDE/>
              <w:autoSpaceDN/>
              <w:bidi w:val="0"/>
              <w:spacing w:before="0" w:beforeAutospacing="0" w:after="0" w:afterAutospacing="0" w:line="500" w:lineRule="exact"/>
              <w:ind w:firstLine="480" w:firstLineChars="20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以双方约定为准。</w:t>
            </w:r>
          </w:p>
        </w:tc>
      </w:tr>
      <w:tr w14:paraId="1274F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675" w:type="dxa"/>
            <w:noWrap w:val="0"/>
            <w:vAlign w:val="center"/>
          </w:tcPr>
          <w:p w14:paraId="4DAE009E">
            <w:pPr>
              <w:keepNext w:val="0"/>
              <w:keepLines w:val="0"/>
              <w:pageBreakBefore w:val="0"/>
              <w:kinsoku/>
              <w:wordWrap/>
              <w:overflowPunct/>
              <w:topLinePunct w:val="0"/>
              <w:autoSpaceDE/>
              <w:autoSpaceDN/>
              <w:bidi w:val="0"/>
              <w:spacing w:line="500" w:lineRule="exact"/>
              <w:jc w:val="center"/>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w:t>
            </w:r>
          </w:p>
        </w:tc>
        <w:tc>
          <w:tcPr>
            <w:tcW w:w="3509" w:type="dxa"/>
            <w:noWrap w:val="0"/>
            <w:vAlign w:val="center"/>
          </w:tcPr>
          <w:p w14:paraId="3D1E182E">
            <w:pPr>
              <w:keepNext w:val="0"/>
              <w:keepLines w:val="0"/>
              <w:pageBreakBefore w:val="0"/>
              <w:kinsoku/>
              <w:wordWrap/>
              <w:overflowPunct/>
              <w:topLinePunct w:val="0"/>
              <w:autoSpaceDE/>
              <w:autoSpaceDN/>
              <w:bidi w:val="0"/>
              <w:spacing w:line="500" w:lineRule="exact"/>
              <w:ind w:left="-2" w:leftChars="0" w:right="-107" w:rightChars="-51" w:firstLine="2" w:firstLineChars="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施工图设计阶段施工图纸</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施工图预算</w:t>
            </w:r>
          </w:p>
        </w:tc>
        <w:tc>
          <w:tcPr>
            <w:tcW w:w="783" w:type="dxa"/>
            <w:noWrap w:val="0"/>
            <w:vAlign w:val="center"/>
          </w:tcPr>
          <w:p w14:paraId="036A2299">
            <w:pPr>
              <w:keepNext w:val="0"/>
              <w:keepLines w:val="0"/>
              <w:pageBreakBefore w:val="0"/>
              <w:kinsoku/>
              <w:wordWrap/>
              <w:overflowPunct/>
              <w:topLinePunct w:val="0"/>
              <w:autoSpaceDE/>
              <w:autoSpaceDN/>
              <w:bidi w:val="0"/>
              <w:spacing w:line="500" w:lineRule="exact"/>
              <w:ind w:left="-1" w:leftChars="-52" w:right="-107" w:rightChars="-51" w:hanging="108"/>
              <w:jc w:val="center"/>
              <w:outlineLvl w:val="9"/>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1</w:t>
            </w:r>
            <w:r>
              <w:rPr>
                <w:rFonts w:hint="eastAsia" w:ascii="宋体" w:hAnsi="宋体" w:eastAsia="宋体" w:cs="宋体"/>
                <w:color w:val="000000"/>
                <w:sz w:val="24"/>
                <w:szCs w:val="24"/>
                <w:highlight w:val="none"/>
                <w:lang w:val="en-US" w:eastAsia="zh-CN"/>
              </w:rPr>
              <w:t>0</w:t>
            </w:r>
          </w:p>
        </w:tc>
        <w:tc>
          <w:tcPr>
            <w:tcW w:w="1220" w:type="dxa"/>
            <w:noWrap w:val="0"/>
            <w:vAlign w:val="center"/>
          </w:tcPr>
          <w:p w14:paraId="6C5444FA">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按国家和</w:t>
            </w:r>
          </w:p>
          <w:p w14:paraId="7EF50FC2">
            <w:pPr>
              <w:keepNext w:val="0"/>
              <w:keepLines w:val="0"/>
              <w:pageBreakBefore w:val="0"/>
              <w:kinsoku/>
              <w:wordWrap/>
              <w:overflowPunct/>
              <w:topLinePunct w:val="0"/>
              <w:autoSpaceDE/>
              <w:autoSpaceDN/>
              <w:bidi w:val="0"/>
              <w:adjustRightInd w:val="0"/>
              <w:snapToGrid w:val="0"/>
              <w:spacing w:line="500" w:lineRule="exact"/>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部颁规范</w:t>
            </w:r>
          </w:p>
        </w:tc>
        <w:tc>
          <w:tcPr>
            <w:tcW w:w="3174" w:type="dxa"/>
            <w:noWrap w:val="0"/>
            <w:vAlign w:val="center"/>
          </w:tcPr>
          <w:p w14:paraId="0DC65B88">
            <w:pPr>
              <w:keepNext w:val="0"/>
              <w:keepLines w:val="0"/>
              <w:pageBreakBefore w:val="0"/>
              <w:shd w:val="clear" w:color="auto" w:fill="FFFFFF"/>
              <w:kinsoku/>
              <w:wordWrap/>
              <w:overflowPunct/>
              <w:topLinePunct w:val="0"/>
              <w:autoSpaceDE/>
              <w:autoSpaceDN/>
              <w:bidi w:val="0"/>
              <w:spacing w:before="0" w:beforeAutospacing="0" w:after="0" w:afterAutospacing="0" w:line="500" w:lineRule="exact"/>
              <w:ind w:firstLine="480" w:firstLineChars="20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以双方约定为准。</w:t>
            </w:r>
          </w:p>
        </w:tc>
      </w:tr>
      <w:tr w14:paraId="2FFFC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675" w:type="dxa"/>
            <w:noWrap w:val="0"/>
            <w:vAlign w:val="center"/>
          </w:tcPr>
          <w:p w14:paraId="559232A0">
            <w:pPr>
              <w:keepNext w:val="0"/>
              <w:keepLines w:val="0"/>
              <w:pageBreakBefore w:val="0"/>
              <w:kinsoku/>
              <w:wordWrap/>
              <w:overflowPunct/>
              <w:topLinePunct w:val="0"/>
              <w:autoSpaceDE/>
              <w:autoSpaceDN/>
              <w:bidi w:val="0"/>
              <w:spacing w:line="500" w:lineRule="exact"/>
              <w:jc w:val="center"/>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w:t>
            </w:r>
          </w:p>
        </w:tc>
        <w:tc>
          <w:tcPr>
            <w:tcW w:w="3509" w:type="dxa"/>
            <w:noWrap w:val="0"/>
            <w:vAlign w:val="center"/>
          </w:tcPr>
          <w:p w14:paraId="61574BDF">
            <w:pPr>
              <w:keepNext w:val="0"/>
              <w:keepLines w:val="0"/>
              <w:pageBreakBefore w:val="0"/>
              <w:kinsoku/>
              <w:wordWrap/>
              <w:overflowPunct/>
              <w:topLinePunct w:val="0"/>
              <w:autoSpaceDE/>
              <w:autoSpaceDN/>
              <w:bidi w:val="0"/>
              <w:spacing w:line="500" w:lineRule="exact"/>
              <w:ind w:left="-2" w:leftChars="0" w:right="-107" w:rightChars="-51" w:firstLine="2" w:firstLineChars="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施工图工程量计算及清单编制</w:t>
            </w:r>
          </w:p>
        </w:tc>
        <w:tc>
          <w:tcPr>
            <w:tcW w:w="783" w:type="dxa"/>
            <w:noWrap w:val="0"/>
            <w:vAlign w:val="center"/>
          </w:tcPr>
          <w:p w14:paraId="2E76C2C9">
            <w:pPr>
              <w:keepNext w:val="0"/>
              <w:keepLines w:val="0"/>
              <w:pageBreakBefore w:val="0"/>
              <w:kinsoku/>
              <w:wordWrap/>
              <w:overflowPunct/>
              <w:topLinePunct w:val="0"/>
              <w:autoSpaceDE/>
              <w:autoSpaceDN/>
              <w:bidi w:val="0"/>
              <w:spacing w:line="500" w:lineRule="exact"/>
              <w:ind w:left="-1" w:leftChars="-52" w:right="-107" w:rightChars="-51" w:hanging="108"/>
              <w:jc w:val="center"/>
              <w:outlineLvl w:val="9"/>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6</w:t>
            </w:r>
          </w:p>
        </w:tc>
        <w:tc>
          <w:tcPr>
            <w:tcW w:w="1220" w:type="dxa"/>
            <w:noWrap w:val="0"/>
            <w:vAlign w:val="center"/>
          </w:tcPr>
          <w:p w14:paraId="319D5ED1">
            <w:pPr>
              <w:keepNext w:val="0"/>
              <w:keepLines w:val="0"/>
              <w:pageBreakBefore w:val="0"/>
              <w:kinsoku/>
              <w:wordWrap/>
              <w:overflowPunct/>
              <w:topLinePunct w:val="0"/>
              <w:autoSpaceDE/>
              <w:autoSpaceDN/>
              <w:bidi w:val="0"/>
              <w:adjustRightInd w:val="0"/>
              <w:snapToGrid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按有关规范规定</w:t>
            </w:r>
          </w:p>
        </w:tc>
        <w:tc>
          <w:tcPr>
            <w:tcW w:w="3174" w:type="dxa"/>
            <w:noWrap w:val="0"/>
            <w:vAlign w:val="center"/>
          </w:tcPr>
          <w:p w14:paraId="14FC17E8">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以双方约定为准。</w:t>
            </w:r>
          </w:p>
        </w:tc>
      </w:tr>
      <w:tr w14:paraId="067BD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675" w:type="dxa"/>
            <w:noWrap w:val="0"/>
            <w:vAlign w:val="center"/>
          </w:tcPr>
          <w:p w14:paraId="50BEAA59">
            <w:pPr>
              <w:keepNext w:val="0"/>
              <w:keepLines w:val="0"/>
              <w:pageBreakBefore w:val="0"/>
              <w:kinsoku/>
              <w:wordWrap/>
              <w:overflowPunct/>
              <w:topLinePunct w:val="0"/>
              <w:autoSpaceDE/>
              <w:autoSpaceDN/>
              <w:bidi w:val="0"/>
              <w:spacing w:line="500" w:lineRule="exact"/>
              <w:jc w:val="center"/>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w:t>
            </w:r>
          </w:p>
        </w:tc>
        <w:tc>
          <w:tcPr>
            <w:tcW w:w="3509" w:type="dxa"/>
            <w:noWrap w:val="0"/>
            <w:vAlign w:val="center"/>
          </w:tcPr>
          <w:p w14:paraId="4A12C4FF">
            <w:pPr>
              <w:keepNext w:val="0"/>
              <w:keepLines w:val="0"/>
              <w:pageBreakBefore w:val="0"/>
              <w:kinsoku/>
              <w:wordWrap/>
              <w:overflowPunct/>
              <w:topLinePunct w:val="0"/>
              <w:autoSpaceDE/>
              <w:autoSpaceDN/>
              <w:bidi w:val="0"/>
              <w:adjustRightInd w:val="0"/>
              <w:snapToGrid w:val="0"/>
              <w:spacing w:line="500" w:lineRule="exact"/>
              <w:ind w:right="-107" w:rightChars="-51"/>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以上</w:t>
            </w:r>
            <w:r>
              <w:rPr>
                <w:rFonts w:hint="eastAsia" w:ascii="宋体" w:hAnsi="宋体" w:eastAsia="宋体" w:cs="宋体"/>
                <w:color w:val="000000"/>
                <w:sz w:val="24"/>
                <w:szCs w:val="24"/>
                <w:highlight w:val="none"/>
                <w:lang w:val="en-US" w:eastAsia="zh-CN"/>
              </w:rPr>
              <w:t>勘察</w:t>
            </w:r>
            <w:r>
              <w:rPr>
                <w:rFonts w:hint="eastAsia" w:ascii="宋体" w:hAnsi="宋体" w:eastAsia="宋体" w:cs="宋体"/>
                <w:color w:val="000000"/>
                <w:sz w:val="24"/>
                <w:szCs w:val="24"/>
                <w:highlight w:val="none"/>
              </w:rPr>
              <w:t>设计文件、航拍视频及图纸光盘</w:t>
            </w:r>
          </w:p>
        </w:tc>
        <w:tc>
          <w:tcPr>
            <w:tcW w:w="783" w:type="dxa"/>
            <w:noWrap w:val="0"/>
            <w:vAlign w:val="center"/>
          </w:tcPr>
          <w:p w14:paraId="28579BB2">
            <w:pPr>
              <w:keepNext w:val="0"/>
              <w:keepLines w:val="0"/>
              <w:pageBreakBefore w:val="0"/>
              <w:kinsoku/>
              <w:wordWrap/>
              <w:overflowPunct/>
              <w:topLinePunct w:val="0"/>
              <w:autoSpaceDE/>
              <w:autoSpaceDN/>
              <w:bidi w:val="0"/>
              <w:adjustRightInd w:val="0"/>
              <w:snapToGrid w:val="0"/>
              <w:spacing w:line="500" w:lineRule="exact"/>
              <w:ind w:left="-109" w:leftChars="-52" w:right="-107" w:rightChars="-51" w:firstLine="1"/>
              <w:jc w:val="center"/>
              <w:outlineLvl w:val="9"/>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2</w:t>
            </w:r>
          </w:p>
        </w:tc>
        <w:tc>
          <w:tcPr>
            <w:tcW w:w="1220" w:type="dxa"/>
            <w:noWrap w:val="0"/>
            <w:vAlign w:val="center"/>
          </w:tcPr>
          <w:p w14:paraId="11DC19B5">
            <w:pPr>
              <w:keepNext w:val="0"/>
              <w:keepLines w:val="0"/>
              <w:pageBreakBefore w:val="0"/>
              <w:kinsoku/>
              <w:wordWrap/>
              <w:overflowPunct/>
              <w:topLinePunct w:val="0"/>
              <w:autoSpaceDE/>
              <w:autoSpaceDN/>
              <w:bidi w:val="0"/>
              <w:adjustRightInd w:val="0"/>
              <w:snapToGrid w:val="0"/>
              <w:spacing w:line="500" w:lineRule="exact"/>
              <w:ind w:firstLine="198"/>
              <w:jc w:val="center"/>
              <w:outlineLvl w:val="9"/>
              <w:rPr>
                <w:rFonts w:hint="eastAsia" w:ascii="宋体" w:hAnsi="宋体" w:eastAsia="宋体" w:cs="宋体"/>
                <w:color w:val="000000"/>
                <w:sz w:val="24"/>
                <w:szCs w:val="24"/>
                <w:highlight w:val="none"/>
              </w:rPr>
            </w:pPr>
          </w:p>
        </w:tc>
        <w:tc>
          <w:tcPr>
            <w:tcW w:w="3174" w:type="dxa"/>
            <w:noWrap w:val="0"/>
            <w:vAlign w:val="center"/>
          </w:tcPr>
          <w:p w14:paraId="2958B22C">
            <w:pPr>
              <w:keepNext w:val="0"/>
              <w:keepLines w:val="0"/>
              <w:pageBreakBefore w:val="0"/>
              <w:kinsoku/>
              <w:wordWrap/>
              <w:overflowPunct/>
              <w:topLinePunct w:val="0"/>
              <w:autoSpaceDE/>
              <w:autoSpaceDN/>
              <w:bidi w:val="0"/>
              <w:adjustRightInd w:val="0"/>
              <w:snapToGrid w:val="0"/>
              <w:spacing w:line="500" w:lineRule="exact"/>
              <w:jc w:val="center"/>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以双方约定为准。</w:t>
            </w:r>
          </w:p>
        </w:tc>
      </w:tr>
      <w:tr w14:paraId="66AE2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675" w:type="dxa"/>
            <w:noWrap w:val="0"/>
            <w:vAlign w:val="center"/>
          </w:tcPr>
          <w:p w14:paraId="5CE87643">
            <w:pPr>
              <w:keepNext w:val="0"/>
              <w:keepLines w:val="0"/>
              <w:pageBreakBefore w:val="0"/>
              <w:kinsoku/>
              <w:wordWrap/>
              <w:overflowPunct/>
              <w:topLinePunct w:val="0"/>
              <w:autoSpaceDE/>
              <w:autoSpaceDN/>
              <w:bidi w:val="0"/>
              <w:spacing w:line="50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6</w:t>
            </w:r>
          </w:p>
        </w:tc>
        <w:tc>
          <w:tcPr>
            <w:tcW w:w="3509" w:type="dxa"/>
            <w:noWrap w:val="0"/>
            <w:vAlign w:val="center"/>
          </w:tcPr>
          <w:p w14:paraId="769B284E">
            <w:pPr>
              <w:keepNext w:val="0"/>
              <w:keepLines w:val="0"/>
              <w:pageBreakBefore w:val="0"/>
              <w:kinsoku/>
              <w:wordWrap/>
              <w:overflowPunct/>
              <w:topLinePunct w:val="0"/>
              <w:autoSpaceDE/>
              <w:autoSpaceDN/>
              <w:bidi w:val="0"/>
              <w:adjustRightInd w:val="0"/>
              <w:snapToGrid w:val="0"/>
              <w:spacing w:line="500" w:lineRule="exact"/>
              <w:ind w:left="-107" w:leftChars="-51" w:right="-107" w:rightChars="-51" w:firstLine="120" w:firstLineChars="5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完成初步设计与施工图设计阶段必要的勘察工作</w:t>
            </w:r>
            <w:r>
              <w:rPr>
                <w:rFonts w:hint="eastAsia" w:ascii="宋体" w:hAnsi="宋体" w:eastAsia="宋体" w:cs="宋体"/>
                <w:color w:val="000000"/>
                <w:sz w:val="24"/>
                <w:szCs w:val="24"/>
                <w:highlight w:val="none"/>
                <w:lang w:eastAsia="zh-CN"/>
              </w:rPr>
              <w:t>，以及上级要求的其他必要的设计工作</w:t>
            </w:r>
          </w:p>
        </w:tc>
        <w:tc>
          <w:tcPr>
            <w:tcW w:w="783" w:type="dxa"/>
            <w:noWrap w:val="0"/>
            <w:vAlign w:val="center"/>
          </w:tcPr>
          <w:p w14:paraId="49B778EF">
            <w:pPr>
              <w:keepNext w:val="0"/>
              <w:keepLines w:val="0"/>
              <w:pageBreakBefore w:val="0"/>
              <w:kinsoku/>
              <w:wordWrap/>
              <w:overflowPunct/>
              <w:topLinePunct w:val="0"/>
              <w:autoSpaceDE/>
              <w:autoSpaceDN/>
              <w:bidi w:val="0"/>
              <w:adjustRightInd w:val="0"/>
              <w:snapToGrid w:val="0"/>
              <w:spacing w:line="500" w:lineRule="exact"/>
              <w:ind w:left="-109" w:leftChars="-52" w:right="-107" w:rightChars="-51" w:firstLine="1"/>
              <w:jc w:val="center"/>
              <w:outlineLvl w:val="9"/>
              <w:rPr>
                <w:rFonts w:hint="eastAsia" w:ascii="宋体" w:hAnsi="宋体" w:eastAsia="宋体" w:cs="宋体"/>
                <w:color w:val="000000"/>
                <w:sz w:val="24"/>
                <w:szCs w:val="24"/>
                <w:highlight w:val="none"/>
                <w:lang w:val="en-US" w:eastAsia="zh-CN"/>
              </w:rPr>
            </w:pPr>
          </w:p>
        </w:tc>
        <w:tc>
          <w:tcPr>
            <w:tcW w:w="1220" w:type="dxa"/>
            <w:noWrap w:val="0"/>
            <w:vAlign w:val="center"/>
          </w:tcPr>
          <w:p w14:paraId="5F61E697">
            <w:pPr>
              <w:keepNext w:val="0"/>
              <w:keepLines w:val="0"/>
              <w:pageBreakBefore w:val="0"/>
              <w:kinsoku/>
              <w:wordWrap/>
              <w:overflowPunct/>
              <w:topLinePunct w:val="0"/>
              <w:autoSpaceDE/>
              <w:autoSpaceDN/>
              <w:bidi w:val="0"/>
              <w:adjustRightInd w:val="0"/>
              <w:snapToGrid w:val="0"/>
              <w:spacing w:line="500" w:lineRule="exact"/>
              <w:ind w:firstLine="198"/>
              <w:jc w:val="center"/>
              <w:outlineLvl w:val="9"/>
              <w:rPr>
                <w:rFonts w:hint="eastAsia" w:ascii="宋体" w:hAnsi="宋体" w:eastAsia="宋体" w:cs="宋体"/>
                <w:color w:val="000000"/>
                <w:sz w:val="24"/>
                <w:szCs w:val="24"/>
                <w:highlight w:val="none"/>
              </w:rPr>
            </w:pPr>
          </w:p>
        </w:tc>
        <w:tc>
          <w:tcPr>
            <w:tcW w:w="3174" w:type="dxa"/>
            <w:noWrap w:val="0"/>
            <w:vAlign w:val="center"/>
          </w:tcPr>
          <w:p w14:paraId="440EBDBD">
            <w:pPr>
              <w:keepNext w:val="0"/>
              <w:keepLines w:val="0"/>
              <w:pageBreakBefore w:val="0"/>
              <w:kinsoku/>
              <w:wordWrap/>
              <w:overflowPunct/>
              <w:topLinePunct w:val="0"/>
              <w:autoSpaceDE/>
              <w:autoSpaceDN/>
              <w:bidi w:val="0"/>
              <w:adjustRightInd w:val="0"/>
              <w:snapToGrid w:val="0"/>
              <w:spacing w:line="500" w:lineRule="exact"/>
              <w:jc w:val="center"/>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以双方约定为准。</w:t>
            </w:r>
          </w:p>
        </w:tc>
      </w:tr>
    </w:tbl>
    <w:p w14:paraId="674D0D92">
      <w:pPr>
        <w:keepNext w:val="0"/>
        <w:keepLines w:val="0"/>
        <w:pageBreakBefore w:val="0"/>
        <w:widowControl w:val="0"/>
        <w:kinsoku/>
        <w:wordWrap/>
        <w:overflowPunct/>
        <w:topLinePunct w:val="0"/>
        <w:autoSpaceDE/>
        <w:autoSpaceDN/>
        <w:bidi w:val="0"/>
        <w:spacing w:line="500" w:lineRule="exact"/>
        <w:ind w:firstLine="480" w:firstLineChars="200"/>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注：提交的设计文件应包含但不限于以上内容</w:t>
      </w:r>
    </w:p>
    <w:p w14:paraId="1453DDC6">
      <w:pPr>
        <w:keepNext w:val="0"/>
        <w:keepLines w:val="0"/>
        <w:pageBreakBefore w:val="0"/>
        <w:widowControl w:val="0"/>
        <w:kinsoku/>
        <w:wordWrap/>
        <w:overflowPunct/>
        <w:topLinePunct w:val="0"/>
        <w:autoSpaceDE/>
        <w:autoSpaceDN/>
        <w:bidi w:val="0"/>
        <w:spacing w:line="500" w:lineRule="exact"/>
        <w:ind w:firstLine="480" w:firstLineChars="200"/>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6.2工期延误。发生以下情况造成工期延误时，由发包人承担责任。</w:t>
      </w:r>
    </w:p>
    <w:p w14:paraId="3E41DEB1">
      <w:pPr>
        <w:keepNext w:val="0"/>
        <w:keepLines w:val="0"/>
        <w:pageBreakBefore w:val="0"/>
        <w:widowControl w:val="0"/>
        <w:kinsoku/>
        <w:wordWrap/>
        <w:overflowPunct/>
        <w:topLinePunct w:val="0"/>
        <w:autoSpaceDE/>
        <w:autoSpaceDN/>
        <w:bidi w:val="0"/>
        <w:spacing w:line="500" w:lineRule="exact"/>
        <w:ind w:firstLine="480" w:firstLineChars="200"/>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6.2.1合同中涉及的由发包人责任引起的工期延误。</w:t>
      </w:r>
    </w:p>
    <w:p w14:paraId="6D7DAE21">
      <w:pPr>
        <w:keepNext w:val="0"/>
        <w:keepLines w:val="0"/>
        <w:pageBreakBefore w:val="0"/>
        <w:widowControl w:val="0"/>
        <w:kinsoku/>
        <w:wordWrap/>
        <w:overflowPunct/>
        <w:topLinePunct w:val="0"/>
        <w:autoSpaceDE/>
        <w:autoSpaceDN/>
        <w:bidi w:val="0"/>
        <w:spacing w:line="500" w:lineRule="exact"/>
        <w:ind w:firstLine="480" w:firstLineChars="200"/>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6.2.2不可抗力。</w:t>
      </w:r>
    </w:p>
    <w:p w14:paraId="3BD0C1AE">
      <w:pPr>
        <w:keepNext w:val="0"/>
        <w:keepLines w:val="0"/>
        <w:pageBreakBefore w:val="0"/>
        <w:widowControl w:val="0"/>
        <w:kinsoku/>
        <w:wordWrap/>
        <w:overflowPunct/>
        <w:topLinePunct w:val="0"/>
        <w:autoSpaceDE/>
        <w:autoSpaceDN/>
        <w:bidi w:val="0"/>
        <w:spacing w:line="500" w:lineRule="exact"/>
        <w:ind w:firstLine="480" w:firstLineChars="200"/>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说明：表中文件按照</w:t>
      </w:r>
      <w:r>
        <w:rPr>
          <w:rFonts w:hint="eastAsia" w:ascii="宋体" w:hAnsi="宋体" w:cs="宋体"/>
          <w:color w:val="000000"/>
          <w:sz w:val="24"/>
          <w:highlight w:val="none"/>
          <w:lang w:eastAsia="zh-CN"/>
        </w:rPr>
        <w:t>广东省韶关市武江区农业产业基础设施建设项目-武江区2026年农业产业基础设施建设项目（江湾镇）勘察设计</w:t>
      </w:r>
      <w:r>
        <w:rPr>
          <w:rFonts w:hint="eastAsia" w:ascii="宋体" w:hAnsi="宋体" w:eastAsia="宋体" w:cs="宋体"/>
          <w:color w:val="000000"/>
          <w:sz w:val="24"/>
          <w:highlight w:val="none"/>
        </w:rPr>
        <w:t>；所有设计成果需附电子版，图纸CAD格式、文档Word格式或Excel格式；招标设计图纸PDF格式。</w:t>
      </w:r>
    </w:p>
    <w:p w14:paraId="372B553D">
      <w:pPr>
        <w:keepNext w:val="0"/>
        <w:keepLines w:val="0"/>
        <w:pageBreakBefore w:val="0"/>
        <w:widowControl w:val="0"/>
        <w:shd w:val="clear" w:color="auto" w:fill="auto"/>
        <w:kinsoku/>
        <w:wordWrap/>
        <w:overflowPunct/>
        <w:topLinePunct w:val="0"/>
        <w:autoSpaceDE/>
        <w:autoSpaceDN/>
        <w:bidi w:val="0"/>
        <w:spacing w:before="156" w:beforeLines="50" w:line="500" w:lineRule="exact"/>
        <w:ind w:firstLine="482" w:firstLineChars="200"/>
        <w:outlineLvl w:val="9"/>
        <w:rPr>
          <w:rFonts w:hint="eastAsia" w:ascii="宋体" w:hAnsi="宋体" w:eastAsia="宋体" w:cs="宋体"/>
          <w:b/>
          <w:bCs/>
          <w:color w:val="000000"/>
          <w:sz w:val="24"/>
          <w:highlight w:val="none"/>
        </w:rPr>
      </w:pPr>
      <w:bookmarkStart w:id="130" w:name="_Toc25221"/>
      <w:r>
        <w:rPr>
          <w:rFonts w:hint="eastAsia" w:ascii="宋体" w:hAnsi="宋体" w:eastAsia="宋体" w:cs="宋体"/>
          <w:b/>
          <w:bCs/>
          <w:color w:val="000000"/>
          <w:sz w:val="24"/>
          <w:highlight w:val="none"/>
        </w:rPr>
        <w:t>第七条  勘察设计费的计算</w:t>
      </w:r>
      <w:bookmarkEnd w:id="130"/>
    </w:p>
    <w:p w14:paraId="76D1202A">
      <w:pPr>
        <w:keepNext w:val="0"/>
        <w:keepLines w:val="0"/>
        <w:pageBreakBefore w:val="0"/>
        <w:widowControl w:val="0"/>
        <w:shd w:val="clear" w:color="auto" w:fill="auto"/>
        <w:kinsoku/>
        <w:wordWrap/>
        <w:overflowPunct/>
        <w:topLinePunct w:val="0"/>
        <w:autoSpaceDE/>
        <w:autoSpaceDN/>
        <w:bidi w:val="0"/>
        <w:spacing w:line="500" w:lineRule="exact"/>
        <w:ind w:firstLine="482" w:firstLineChars="200"/>
        <w:outlineLvl w:val="9"/>
        <w:rPr>
          <w:rFonts w:hint="eastAsia" w:ascii="宋体" w:hAnsi="宋体" w:eastAsia="宋体" w:cs="宋体"/>
          <w:b/>
          <w:bCs/>
          <w:color w:val="000000"/>
          <w:kern w:val="0"/>
          <w:sz w:val="24"/>
          <w:highlight w:val="none"/>
        </w:rPr>
      </w:pPr>
      <w:r>
        <w:rPr>
          <w:rFonts w:hint="eastAsia" w:ascii="宋体" w:hAnsi="宋体" w:eastAsia="宋体" w:cs="宋体"/>
          <w:b/>
          <w:bCs/>
          <w:color w:val="000000"/>
          <w:sz w:val="24"/>
          <w:highlight w:val="none"/>
          <w:lang w:val="en-US" w:eastAsia="zh-CN"/>
        </w:rPr>
        <w:t>本次招标最高限价：叁拾万元整（¥300,000.00元），</w:t>
      </w:r>
      <w:r>
        <w:rPr>
          <w:rFonts w:hint="eastAsia" w:ascii="宋体" w:hAnsi="宋体" w:eastAsia="宋体" w:cs="宋体"/>
          <w:b/>
          <w:bCs/>
          <w:color w:val="000000"/>
          <w:sz w:val="24"/>
          <w:highlight w:val="none"/>
        </w:rPr>
        <w:t>勘察设计费结算价=初步设计批复的勘察设计费×(1-下浮率)。</w:t>
      </w:r>
    </w:p>
    <w:p w14:paraId="4DE3007C">
      <w:pPr>
        <w:keepNext w:val="0"/>
        <w:keepLines w:val="0"/>
        <w:pageBreakBefore w:val="0"/>
        <w:widowControl w:val="0"/>
        <w:shd w:val="clear" w:color="auto" w:fill="auto"/>
        <w:kinsoku/>
        <w:wordWrap/>
        <w:overflowPunct/>
        <w:topLinePunct w:val="0"/>
        <w:autoSpaceDE/>
        <w:autoSpaceDN/>
        <w:bidi w:val="0"/>
        <w:spacing w:line="500" w:lineRule="exact"/>
        <w:ind w:firstLine="482" w:firstLineChars="200"/>
        <w:outlineLvl w:val="9"/>
        <w:rPr>
          <w:rFonts w:hint="eastAsia" w:ascii="宋体" w:hAnsi="宋体" w:eastAsia="宋体" w:cs="宋体"/>
          <w:color w:val="000000"/>
          <w:sz w:val="24"/>
          <w:highlight w:val="none"/>
        </w:rPr>
      </w:pPr>
      <w:r>
        <w:rPr>
          <w:rFonts w:hint="eastAsia" w:ascii="宋体" w:hAnsi="宋体" w:eastAsia="宋体" w:cs="宋体"/>
          <w:b/>
          <w:bCs/>
          <w:color w:val="000000"/>
          <w:sz w:val="24"/>
          <w:highlight w:val="none"/>
        </w:rPr>
        <w:t>若计算的最终勘察设计费(结算价)超过本次招标的勘察设计费最高限价人民币</w:t>
      </w:r>
      <w:r>
        <w:rPr>
          <w:rFonts w:hint="eastAsia" w:ascii="宋体" w:hAnsi="宋体" w:eastAsia="宋体" w:cs="宋体"/>
          <w:b/>
          <w:bCs/>
          <w:color w:val="000000"/>
          <w:sz w:val="24"/>
          <w:highlight w:val="none"/>
          <w:lang w:val="en-US" w:eastAsia="zh-CN"/>
        </w:rPr>
        <w:t>300,000.00</w:t>
      </w:r>
      <w:r>
        <w:rPr>
          <w:rFonts w:hint="eastAsia" w:ascii="宋体" w:hAnsi="宋体" w:eastAsia="宋体" w:cs="宋体"/>
          <w:b/>
          <w:bCs/>
          <w:color w:val="000000"/>
          <w:sz w:val="24"/>
          <w:highlight w:val="none"/>
        </w:rPr>
        <w:t>元×(1-下浮率)，则最终勘察设计费(结算价)按人民币</w:t>
      </w:r>
      <w:r>
        <w:rPr>
          <w:rFonts w:hint="eastAsia" w:ascii="宋体" w:hAnsi="宋体" w:eastAsia="宋体" w:cs="宋体"/>
          <w:b/>
          <w:bCs/>
          <w:color w:val="000000"/>
          <w:sz w:val="24"/>
          <w:highlight w:val="none"/>
          <w:lang w:val="en-US" w:eastAsia="zh-CN"/>
        </w:rPr>
        <w:t>300,000.00元</w:t>
      </w:r>
      <w:r>
        <w:rPr>
          <w:rFonts w:hint="eastAsia" w:ascii="宋体" w:hAnsi="宋体" w:eastAsia="宋体" w:cs="宋体"/>
          <w:b/>
          <w:bCs/>
          <w:color w:val="000000"/>
          <w:sz w:val="24"/>
          <w:highlight w:val="none"/>
        </w:rPr>
        <w:t>×(1-下浮率)结算。</w:t>
      </w:r>
    </w:p>
    <w:p w14:paraId="5C68603A">
      <w:pPr>
        <w:keepNext w:val="0"/>
        <w:keepLines w:val="0"/>
        <w:pageBreakBefore w:val="0"/>
        <w:widowControl w:val="0"/>
        <w:shd w:val="clear" w:color="auto" w:fill="auto"/>
        <w:kinsoku/>
        <w:wordWrap/>
        <w:overflowPunct/>
        <w:topLinePunct w:val="0"/>
        <w:autoSpaceDE/>
        <w:autoSpaceDN/>
        <w:bidi w:val="0"/>
        <w:spacing w:line="500" w:lineRule="exact"/>
        <w:ind w:firstLine="480" w:firstLineChars="200"/>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lang w:val="en-US" w:eastAsia="zh-CN"/>
        </w:rPr>
        <w:t>备注：</w:t>
      </w:r>
      <w:r>
        <w:rPr>
          <w:rFonts w:hint="eastAsia" w:ascii="宋体" w:hAnsi="宋体" w:eastAsia="宋体" w:cs="宋体"/>
          <w:color w:val="000000"/>
          <w:sz w:val="24"/>
          <w:highlight w:val="none"/>
        </w:rPr>
        <w:t xml:space="preserve">上述下浮率为中标人的投标报价下浮率。招标合同价格包括所有税收、单位应交的保险、应承担的风险及应提供的服务等，甲方不再为本合同范围内的工作支付额外的费用。 </w:t>
      </w:r>
    </w:p>
    <w:p w14:paraId="4022E740">
      <w:pPr>
        <w:keepNext w:val="0"/>
        <w:keepLines w:val="0"/>
        <w:pageBreakBefore w:val="0"/>
        <w:widowControl w:val="0"/>
        <w:kinsoku/>
        <w:wordWrap/>
        <w:overflowPunct/>
        <w:topLinePunct w:val="0"/>
        <w:autoSpaceDE/>
        <w:autoSpaceDN/>
        <w:bidi w:val="0"/>
        <w:spacing w:before="156" w:beforeLines="50" w:line="500" w:lineRule="exact"/>
        <w:ind w:firstLine="482" w:firstLineChars="200"/>
        <w:outlineLvl w:val="9"/>
        <w:rPr>
          <w:rFonts w:hint="eastAsia" w:ascii="宋体" w:hAnsi="宋体" w:eastAsia="宋体" w:cs="宋体"/>
          <w:b/>
          <w:bCs/>
          <w:color w:val="000000"/>
          <w:sz w:val="24"/>
          <w:highlight w:val="none"/>
        </w:rPr>
      </w:pPr>
      <w:bookmarkStart w:id="131" w:name="_Toc14760"/>
      <w:r>
        <w:rPr>
          <w:rFonts w:hint="eastAsia" w:ascii="宋体" w:hAnsi="宋体" w:eastAsia="宋体" w:cs="宋体"/>
          <w:b/>
          <w:bCs/>
          <w:color w:val="000000"/>
          <w:sz w:val="24"/>
          <w:highlight w:val="none"/>
        </w:rPr>
        <w:t>第八条  勘察设计费的支付方式</w:t>
      </w:r>
      <w:bookmarkEnd w:id="131"/>
    </w:p>
    <w:p w14:paraId="115D833C">
      <w:pPr>
        <w:keepNext w:val="0"/>
        <w:keepLines w:val="0"/>
        <w:pageBreakBefore w:val="0"/>
        <w:widowControl w:val="0"/>
        <w:shd w:val="clear" w:color="auto" w:fill="auto"/>
        <w:kinsoku/>
        <w:wordWrap/>
        <w:overflowPunct/>
        <w:topLinePunct w:val="0"/>
        <w:autoSpaceDE/>
        <w:autoSpaceDN/>
        <w:bidi w:val="0"/>
        <w:adjustRightInd w:val="0"/>
        <w:snapToGrid w:val="0"/>
        <w:spacing w:line="500" w:lineRule="exact"/>
        <w:ind w:firstLine="480" w:firstLineChars="200"/>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8.1勘察设计费的支付方法为：</w:t>
      </w:r>
    </w:p>
    <w:p w14:paraId="641277A2">
      <w:pPr>
        <w:keepNext w:val="0"/>
        <w:keepLines w:val="0"/>
        <w:pageBreakBefore w:val="0"/>
        <w:widowControl w:val="0"/>
        <w:shd w:val="clear" w:color="auto" w:fill="auto"/>
        <w:kinsoku/>
        <w:wordWrap/>
        <w:overflowPunct/>
        <w:topLinePunct w:val="0"/>
        <w:autoSpaceDE/>
        <w:autoSpaceDN/>
        <w:bidi w:val="0"/>
        <w:adjustRightInd w:val="0"/>
        <w:snapToGrid w:val="0"/>
        <w:spacing w:line="500" w:lineRule="exact"/>
        <w:ind w:firstLine="480" w:firstLineChars="200"/>
        <w:outlineLvl w:val="9"/>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lang w:val="en-US" w:eastAsia="zh-CN"/>
        </w:rPr>
        <w:t>1</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乙方提交初步设计报告</w:t>
      </w:r>
      <w:r>
        <w:rPr>
          <w:rFonts w:hint="eastAsia" w:ascii="宋体" w:hAnsi="宋体" w:eastAsia="宋体" w:cs="宋体"/>
          <w:color w:val="000000"/>
          <w:sz w:val="24"/>
          <w:highlight w:val="none"/>
          <w:lang w:val="en-US" w:eastAsia="zh-CN"/>
        </w:rPr>
        <w:t>成果文件</w:t>
      </w:r>
      <w:r>
        <w:rPr>
          <w:rFonts w:hint="eastAsia" w:ascii="宋体" w:hAnsi="宋体" w:eastAsia="宋体" w:cs="宋体"/>
          <w:color w:val="000000"/>
          <w:sz w:val="24"/>
          <w:highlight w:val="none"/>
        </w:rPr>
        <w:t>后，甲方支付本合同价款的</w:t>
      </w:r>
      <w:r>
        <w:rPr>
          <w:rFonts w:hint="eastAsia" w:ascii="宋体" w:hAnsi="宋体" w:eastAsia="宋体" w:cs="宋体"/>
          <w:color w:val="000000"/>
          <w:sz w:val="24"/>
          <w:highlight w:val="none"/>
          <w:lang w:val="en-US" w:eastAsia="zh-CN"/>
        </w:rPr>
        <w:t>3</w:t>
      </w:r>
      <w:r>
        <w:rPr>
          <w:rFonts w:hint="eastAsia" w:ascii="宋体" w:hAnsi="宋体" w:eastAsia="宋体" w:cs="宋体"/>
          <w:color w:val="000000"/>
          <w:sz w:val="24"/>
          <w:highlight w:val="none"/>
        </w:rPr>
        <w:t>0%，累计支付至合同价款的</w:t>
      </w:r>
      <w:r>
        <w:rPr>
          <w:rFonts w:hint="eastAsia" w:ascii="宋体" w:hAnsi="宋体" w:eastAsia="宋体" w:cs="宋体"/>
          <w:color w:val="000000"/>
          <w:sz w:val="24"/>
          <w:highlight w:val="none"/>
          <w:lang w:val="en-US" w:eastAsia="zh-CN"/>
        </w:rPr>
        <w:t>3</w:t>
      </w:r>
      <w:r>
        <w:rPr>
          <w:rFonts w:hint="eastAsia" w:ascii="宋体" w:hAnsi="宋体" w:eastAsia="宋体" w:cs="宋体"/>
          <w:color w:val="000000"/>
          <w:sz w:val="24"/>
          <w:highlight w:val="none"/>
        </w:rPr>
        <w:t>0%</w:t>
      </w:r>
      <w:r>
        <w:rPr>
          <w:rFonts w:hint="eastAsia" w:ascii="宋体" w:hAnsi="宋体" w:eastAsia="宋体" w:cs="宋体"/>
          <w:color w:val="000000"/>
          <w:sz w:val="24"/>
          <w:highlight w:val="none"/>
          <w:lang w:eastAsia="zh-CN"/>
        </w:rPr>
        <w:t>。</w:t>
      </w:r>
    </w:p>
    <w:p w14:paraId="27356B1D">
      <w:pPr>
        <w:keepNext w:val="0"/>
        <w:keepLines w:val="0"/>
        <w:pageBreakBefore w:val="0"/>
        <w:widowControl w:val="0"/>
        <w:shd w:val="clear" w:color="auto" w:fill="auto"/>
        <w:kinsoku/>
        <w:wordWrap/>
        <w:overflowPunct/>
        <w:topLinePunct w:val="0"/>
        <w:autoSpaceDE/>
        <w:autoSpaceDN/>
        <w:bidi w:val="0"/>
        <w:adjustRightInd w:val="0"/>
        <w:snapToGrid w:val="0"/>
        <w:spacing w:line="500" w:lineRule="exact"/>
        <w:ind w:firstLine="480" w:firstLineChars="200"/>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lang w:val="en-US" w:eastAsia="zh-CN"/>
        </w:rPr>
        <w:t>2</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乙方提交</w:t>
      </w:r>
      <w:r>
        <w:rPr>
          <w:rFonts w:hint="eastAsia" w:ascii="宋体" w:hAnsi="宋体" w:eastAsia="宋体" w:cs="宋体"/>
          <w:color w:val="000000"/>
          <w:sz w:val="24"/>
          <w:highlight w:val="none"/>
          <w:lang w:val="en-US" w:eastAsia="zh-CN"/>
        </w:rPr>
        <w:t>的初步设计报告经批复后</w:t>
      </w:r>
      <w:r>
        <w:rPr>
          <w:rFonts w:hint="eastAsia" w:ascii="宋体" w:hAnsi="宋体" w:eastAsia="宋体" w:cs="宋体"/>
          <w:color w:val="000000"/>
          <w:sz w:val="24"/>
          <w:highlight w:val="none"/>
        </w:rPr>
        <w:t>，</w:t>
      </w:r>
      <w:r>
        <w:rPr>
          <w:rFonts w:hint="eastAsia" w:ascii="宋体" w:hAnsi="宋体" w:eastAsia="宋体" w:cs="宋体"/>
          <w:color w:val="000000"/>
          <w:sz w:val="24"/>
          <w:highlight w:val="none"/>
          <w:lang w:val="en-US" w:eastAsia="zh-CN"/>
        </w:rPr>
        <w:t>甲方</w:t>
      </w:r>
      <w:r>
        <w:rPr>
          <w:rFonts w:hint="eastAsia" w:ascii="宋体" w:hAnsi="宋体" w:eastAsia="宋体" w:cs="宋体"/>
          <w:color w:val="000000"/>
          <w:sz w:val="24"/>
          <w:highlight w:val="none"/>
        </w:rPr>
        <w:t>支付合同价的</w:t>
      </w:r>
      <w:r>
        <w:rPr>
          <w:rFonts w:hint="eastAsia" w:ascii="宋体" w:hAnsi="宋体" w:eastAsia="宋体" w:cs="宋体"/>
          <w:color w:val="000000"/>
          <w:sz w:val="24"/>
          <w:highlight w:val="none"/>
          <w:lang w:val="en-US" w:eastAsia="zh-CN"/>
        </w:rPr>
        <w:t>3</w:t>
      </w:r>
      <w:r>
        <w:rPr>
          <w:rFonts w:hint="eastAsia" w:ascii="宋体" w:hAnsi="宋体" w:eastAsia="宋体" w:cs="宋体"/>
          <w:color w:val="000000"/>
          <w:sz w:val="24"/>
          <w:highlight w:val="none"/>
        </w:rPr>
        <w:t>0%</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累计支付至合同价款的</w:t>
      </w:r>
      <w:r>
        <w:rPr>
          <w:rFonts w:hint="eastAsia" w:ascii="宋体" w:hAnsi="宋体" w:eastAsia="宋体" w:cs="宋体"/>
          <w:color w:val="000000"/>
          <w:sz w:val="24"/>
          <w:highlight w:val="none"/>
          <w:lang w:val="en-US" w:eastAsia="zh-CN"/>
        </w:rPr>
        <w:t>6</w:t>
      </w:r>
      <w:r>
        <w:rPr>
          <w:rFonts w:hint="eastAsia" w:ascii="宋体" w:hAnsi="宋体" w:eastAsia="宋体" w:cs="宋体"/>
          <w:color w:val="000000"/>
          <w:sz w:val="24"/>
          <w:highlight w:val="none"/>
        </w:rPr>
        <w:t>0%。</w:t>
      </w:r>
    </w:p>
    <w:p w14:paraId="568980D7">
      <w:pPr>
        <w:keepNext w:val="0"/>
        <w:keepLines w:val="0"/>
        <w:pageBreakBefore w:val="0"/>
        <w:widowControl w:val="0"/>
        <w:shd w:val="clear" w:color="auto" w:fill="auto"/>
        <w:kinsoku/>
        <w:wordWrap/>
        <w:overflowPunct/>
        <w:topLinePunct w:val="0"/>
        <w:autoSpaceDE/>
        <w:autoSpaceDN/>
        <w:bidi w:val="0"/>
        <w:adjustRightInd w:val="0"/>
        <w:snapToGrid w:val="0"/>
        <w:spacing w:line="500" w:lineRule="exact"/>
        <w:ind w:firstLine="480" w:firstLineChars="200"/>
        <w:outlineLvl w:val="9"/>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lang w:val="en-US" w:eastAsia="zh-CN"/>
        </w:rPr>
        <w:t>3</w:t>
      </w:r>
      <w:r>
        <w:rPr>
          <w:rFonts w:hint="eastAsia" w:ascii="宋体" w:hAnsi="宋体" w:eastAsia="宋体" w:cs="宋体"/>
          <w:color w:val="000000"/>
          <w:sz w:val="24"/>
          <w:highlight w:val="none"/>
          <w:lang w:eastAsia="zh-CN"/>
        </w:rPr>
        <w:t>）乙方提交技施阶段设计文件(图纸、预算书等)，甲方再支付本合同价款的</w:t>
      </w:r>
      <w:r>
        <w:rPr>
          <w:rFonts w:hint="eastAsia" w:ascii="宋体" w:hAnsi="宋体" w:eastAsia="宋体" w:cs="宋体"/>
          <w:color w:val="000000"/>
          <w:sz w:val="24"/>
          <w:highlight w:val="none"/>
          <w:lang w:val="en-US" w:eastAsia="zh-CN"/>
        </w:rPr>
        <w:t>3</w:t>
      </w:r>
      <w:r>
        <w:rPr>
          <w:rFonts w:hint="eastAsia" w:ascii="宋体" w:hAnsi="宋体" w:eastAsia="宋体" w:cs="宋体"/>
          <w:color w:val="000000"/>
          <w:sz w:val="24"/>
          <w:highlight w:val="none"/>
          <w:lang w:eastAsia="zh-CN"/>
        </w:rPr>
        <w:t>0%，累计支付至合同价款的</w:t>
      </w:r>
      <w:r>
        <w:rPr>
          <w:rFonts w:hint="eastAsia" w:ascii="宋体" w:hAnsi="宋体" w:eastAsia="宋体" w:cs="宋体"/>
          <w:color w:val="000000"/>
          <w:sz w:val="24"/>
          <w:highlight w:val="none"/>
          <w:lang w:val="en-US" w:eastAsia="zh-CN"/>
        </w:rPr>
        <w:t>9</w:t>
      </w:r>
      <w:r>
        <w:rPr>
          <w:rFonts w:hint="eastAsia" w:ascii="宋体" w:hAnsi="宋体" w:eastAsia="宋体" w:cs="宋体"/>
          <w:color w:val="000000"/>
          <w:sz w:val="24"/>
          <w:highlight w:val="none"/>
          <w:lang w:eastAsia="zh-CN"/>
        </w:rPr>
        <w:t>0%。</w:t>
      </w:r>
    </w:p>
    <w:p w14:paraId="26D61ED5">
      <w:pPr>
        <w:keepNext w:val="0"/>
        <w:keepLines w:val="0"/>
        <w:pageBreakBefore w:val="0"/>
        <w:widowControl w:val="0"/>
        <w:shd w:val="clear" w:color="auto" w:fill="auto"/>
        <w:kinsoku/>
        <w:wordWrap/>
        <w:overflowPunct/>
        <w:topLinePunct w:val="0"/>
        <w:autoSpaceDE/>
        <w:autoSpaceDN/>
        <w:bidi w:val="0"/>
        <w:adjustRightInd w:val="0"/>
        <w:snapToGrid w:val="0"/>
        <w:spacing w:line="500" w:lineRule="exact"/>
        <w:ind w:firstLine="480" w:firstLineChars="200"/>
        <w:outlineLvl w:val="9"/>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lang w:val="en-US" w:eastAsia="zh-CN"/>
        </w:rPr>
        <w:t>4</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工程施工期间，甲方根据工程施工进度情况支付勘察设计费，</w:t>
      </w:r>
      <w:r>
        <w:rPr>
          <w:rFonts w:hint="eastAsia" w:ascii="宋体" w:hAnsi="宋体" w:eastAsia="宋体" w:cs="宋体"/>
          <w:color w:val="000000"/>
          <w:sz w:val="24"/>
          <w:highlight w:val="none"/>
          <w:lang w:val="en-US" w:eastAsia="zh-CN"/>
        </w:rPr>
        <w:t>累计支付至合同价款（结算价）的100%。</w:t>
      </w:r>
    </w:p>
    <w:p w14:paraId="52ABEDCF">
      <w:pPr>
        <w:keepNext w:val="0"/>
        <w:keepLines w:val="0"/>
        <w:pageBreakBefore w:val="0"/>
        <w:widowControl w:val="0"/>
        <w:shd w:val="clear" w:color="auto" w:fill="auto"/>
        <w:kinsoku/>
        <w:wordWrap/>
        <w:overflowPunct/>
        <w:topLinePunct w:val="0"/>
        <w:autoSpaceDE/>
        <w:autoSpaceDN/>
        <w:bidi w:val="0"/>
        <w:adjustRightInd w:val="0"/>
        <w:snapToGrid w:val="0"/>
        <w:spacing w:line="500" w:lineRule="exact"/>
        <w:ind w:firstLine="480" w:firstLineChars="200"/>
        <w:outlineLvl w:val="9"/>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lang w:val="en-US" w:eastAsia="zh-CN"/>
        </w:rPr>
        <w:t>注：</w:t>
      </w:r>
      <w:r>
        <w:rPr>
          <w:rFonts w:hint="eastAsia" w:ascii="宋体" w:hAnsi="宋体" w:eastAsia="宋体" w:cs="宋体"/>
          <w:color w:val="000000"/>
          <w:sz w:val="24"/>
          <w:highlight w:val="none"/>
        </w:rPr>
        <w:t>本项目费用要根据财政资金已安排到位后进行支付，甲方不对财政的审核方式和付款时间作具体规定。投标人需承担相应风险</w:t>
      </w:r>
      <w:r>
        <w:rPr>
          <w:rFonts w:hint="eastAsia" w:ascii="宋体" w:hAnsi="宋体" w:eastAsia="宋体" w:cs="宋体"/>
          <w:color w:val="000000"/>
          <w:sz w:val="24"/>
          <w:highlight w:val="none"/>
          <w:lang w:eastAsia="zh-CN"/>
        </w:rPr>
        <w:t>。</w:t>
      </w:r>
    </w:p>
    <w:p w14:paraId="420530A1">
      <w:pPr>
        <w:keepNext w:val="0"/>
        <w:keepLines w:val="0"/>
        <w:pageBreakBefore w:val="0"/>
        <w:widowControl w:val="0"/>
        <w:kinsoku/>
        <w:wordWrap/>
        <w:overflowPunct/>
        <w:topLinePunct w:val="0"/>
        <w:autoSpaceDE/>
        <w:autoSpaceDN/>
        <w:bidi w:val="0"/>
        <w:adjustRightInd w:val="0"/>
        <w:snapToGrid w:val="0"/>
        <w:spacing w:before="156" w:beforeLines="50" w:line="500" w:lineRule="exact"/>
        <w:ind w:firstLine="482" w:firstLineChars="200"/>
        <w:outlineLvl w:val="9"/>
        <w:rPr>
          <w:rFonts w:hint="eastAsia" w:ascii="宋体" w:hAnsi="宋体" w:eastAsia="宋体" w:cs="宋体"/>
          <w:b/>
          <w:bCs/>
          <w:color w:val="000000"/>
          <w:sz w:val="24"/>
          <w:highlight w:val="none"/>
        </w:rPr>
      </w:pPr>
      <w:bookmarkStart w:id="132" w:name="_Toc1724"/>
      <w:r>
        <w:rPr>
          <w:rFonts w:hint="eastAsia" w:ascii="宋体" w:hAnsi="宋体" w:eastAsia="宋体" w:cs="宋体"/>
          <w:b/>
          <w:bCs/>
          <w:color w:val="000000"/>
          <w:sz w:val="24"/>
          <w:highlight w:val="none"/>
        </w:rPr>
        <w:t>第九条  承包人主要责任和义务</w:t>
      </w:r>
      <w:bookmarkEnd w:id="132"/>
    </w:p>
    <w:p w14:paraId="2BBA6332">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9.1投标单位在中标后按有关规定办理相关备案手续。</w:t>
      </w:r>
    </w:p>
    <w:p w14:paraId="2225F6AB">
      <w:pPr>
        <w:keepNext w:val="0"/>
        <w:keepLines w:val="0"/>
        <w:pageBreakBefore w:val="0"/>
        <w:widowControl w:val="0"/>
        <w:kinsoku/>
        <w:wordWrap/>
        <w:overflowPunct/>
        <w:topLinePunct w:val="0"/>
        <w:autoSpaceDE/>
        <w:autoSpaceDN/>
        <w:bidi w:val="0"/>
        <w:adjustRightInd w:val="0"/>
        <w:snapToGrid w:val="0"/>
        <w:spacing w:line="500" w:lineRule="exact"/>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    9.2承包人应按照发包人的具体要求，提交勘察设计文件。</w:t>
      </w:r>
    </w:p>
    <w:p w14:paraId="79204A3E">
      <w:pPr>
        <w:keepNext w:val="0"/>
        <w:keepLines w:val="0"/>
        <w:pageBreakBefore w:val="0"/>
        <w:widowControl w:val="0"/>
        <w:kinsoku/>
        <w:wordWrap/>
        <w:overflowPunct/>
        <w:topLinePunct w:val="0"/>
        <w:autoSpaceDE/>
        <w:autoSpaceDN/>
        <w:bidi w:val="0"/>
        <w:adjustRightInd w:val="0"/>
        <w:snapToGrid w:val="0"/>
        <w:spacing w:line="500" w:lineRule="exact"/>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    9.3承包人应按本合同规定的内容、时间及份数向发包人交付勘察设计成果。</w:t>
      </w:r>
    </w:p>
    <w:p w14:paraId="061289CF">
      <w:pPr>
        <w:keepNext w:val="0"/>
        <w:keepLines w:val="0"/>
        <w:pageBreakBefore w:val="0"/>
        <w:widowControl w:val="0"/>
        <w:kinsoku/>
        <w:wordWrap/>
        <w:overflowPunct/>
        <w:topLinePunct w:val="0"/>
        <w:autoSpaceDE/>
        <w:autoSpaceDN/>
        <w:bidi w:val="0"/>
        <w:adjustRightInd w:val="0"/>
        <w:snapToGrid w:val="0"/>
        <w:spacing w:line="500" w:lineRule="exact"/>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    9.4承包人对勘察设计文件出现的遗漏或错误负责修改或补充。由于承包人勘察设计错误造成工程质量问题和投资损失，承包人除负责采取补救措施外，应免收受损失部分的勘察设计费，并根据损失程度向发包人偿付赔偿金，赔偿金最多与免收的勘察设计费金额相等。</w:t>
      </w:r>
    </w:p>
    <w:p w14:paraId="4ABAFB8C">
      <w:pPr>
        <w:keepNext w:val="0"/>
        <w:keepLines w:val="0"/>
        <w:pageBreakBefore w:val="0"/>
        <w:widowControl w:val="0"/>
        <w:kinsoku/>
        <w:wordWrap/>
        <w:overflowPunct/>
        <w:topLinePunct w:val="0"/>
        <w:autoSpaceDE/>
        <w:autoSpaceDN/>
        <w:bidi w:val="0"/>
        <w:adjustRightInd w:val="0"/>
        <w:snapToGrid w:val="0"/>
        <w:spacing w:line="500" w:lineRule="exact"/>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    9.5由于承包人自身原因，延误了按本合同第7条规定的勘察设计成果交付时间，每延误一天，应减收该项目应收勘察设计费的千分之二。</w:t>
      </w:r>
    </w:p>
    <w:p w14:paraId="3CCA4214">
      <w:pPr>
        <w:keepNext w:val="0"/>
        <w:keepLines w:val="0"/>
        <w:pageBreakBefore w:val="0"/>
        <w:widowControl w:val="0"/>
        <w:kinsoku/>
        <w:wordWrap/>
        <w:overflowPunct/>
        <w:topLinePunct w:val="0"/>
        <w:autoSpaceDE/>
        <w:autoSpaceDN/>
        <w:bidi w:val="0"/>
        <w:adjustRightInd w:val="0"/>
        <w:snapToGrid w:val="0"/>
        <w:spacing w:line="500" w:lineRule="exact"/>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    9.6合同生效后，承包人要求终止或解除合同，发包人将没收其履约保证金，但因发包人未能按合同的规定履行其义务，而导致或可能导致承包人无法继续履行合同或承包人的合法权益受到严重侵害的情形除外。</w:t>
      </w:r>
    </w:p>
    <w:p w14:paraId="47ACE5CE">
      <w:pPr>
        <w:keepNext w:val="0"/>
        <w:keepLines w:val="0"/>
        <w:pageBreakBefore w:val="0"/>
        <w:widowControl w:val="0"/>
        <w:kinsoku/>
        <w:wordWrap/>
        <w:overflowPunct/>
        <w:topLinePunct w:val="0"/>
        <w:autoSpaceDE/>
        <w:autoSpaceDN/>
        <w:bidi w:val="0"/>
        <w:adjustRightInd w:val="0"/>
        <w:snapToGrid w:val="0"/>
        <w:spacing w:line="500" w:lineRule="exact"/>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    9.7承包人应按本合同第5.9条规定执行。</w:t>
      </w:r>
    </w:p>
    <w:p w14:paraId="71464FE5">
      <w:pPr>
        <w:keepNext w:val="0"/>
        <w:keepLines w:val="0"/>
        <w:pageBreakBefore w:val="0"/>
        <w:widowControl w:val="0"/>
        <w:kinsoku/>
        <w:wordWrap/>
        <w:overflowPunct/>
        <w:topLinePunct w:val="0"/>
        <w:autoSpaceDE/>
        <w:autoSpaceDN/>
        <w:bidi w:val="0"/>
        <w:adjustRightInd w:val="0"/>
        <w:snapToGrid w:val="0"/>
        <w:spacing w:line="500" w:lineRule="exact"/>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    9.8阶段性勘察设计任务的审查及返工。承包人提交的勘察设计成果，如须经过符合资质要求的水利水电咨询公司咨询或上级技术审查部门审查，承包人须按照审查意见对合同内工程勘察设计进行修改和返工。发包人不再为修改或返工支付费用。</w:t>
      </w:r>
    </w:p>
    <w:p w14:paraId="3AE4F005">
      <w:pPr>
        <w:keepNext w:val="0"/>
        <w:keepLines w:val="0"/>
        <w:pageBreakBefore w:val="0"/>
        <w:widowControl w:val="0"/>
        <w:kinsoku/>
        <w:wordWrap/>
        <w:overflowPunct/>
        <w:topLinePunct w:val="0"/>
        <w:autoSpaceDE/>
        <w:autoSpaceDN/>
        <w:bidi w:val="0"/>
        <w:adjustRightInd w:val="0"/>
        <w:snapToGrid w:val="0"/>
        <w:spacing w:line="500" w:lineRule="exact"/>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    9.9承包人负责向施工单位进行设计交底、现场施工服务及处理有关设计变更问题和参加各阶段验收等。</w:t>
      </w:r>
    </w:p>
    <w:p w14:paraId="7ACF868A">
      <w:pPr>
        <w:keepNext w:val="0"/>
        <w:keepLines w:val="0"/>
        <w:pageBreakBefore w:val="0"/>
        <w:widowControl w:val="0"/>
        <w:kinsoku/>
        <w:wordWrap/>
        <w:overflowPunct/>
        <w:topLinePunct w:val="0"/>
        <w:autoSpaceDE/>
        <w:autoSpaceDN/>
        <w:bidi w:val="0"/>
        <w:adjustRightInd w:val="0"/>
        <w:snapToGrid w:val="0"/>
        <w:spacing w:line="500" w:lineRule="exact"/>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    9.10工程施工过程中，一般勘察设计修改，发包人应以书面形式通知承包人，承包人应在自收到通知之日起3天内回复。重大勘察设计修改由双方共同协商解决。</w:t>
      </w:r>
    </w:p>
    <w:p w14:paraId="33995FB1">
      <w:pPr>
        <w:keepNext w:val="0"/>
        <w:keepLines w:val="0"/>
        <w:pageBreakBefore w:val="0"/>
        <w:widowControl w:val="0"/>
        <w:kinsoku/>
        <w:wordWrap/>
        <w:overflowPunct/>
        <w:topLinePunct w:val="0"/>
        <w:autoSpaceDE/>
        <w:autoSpaceDN/>
        <w:bidi w:val="0"/>
        <w:adjustRightInd w:val="0"/>
        <w:snapToGrid w:val="0"/>
        <w:spacing w:line="500" w:lineRule="exact"/>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    9.11承包人不得随便更换投标文件中所列本项目的专业技术人员。如需更换，承包人须提出书面申请，得到发包人批准后才可更换。</w:t>
      </w:r>
    </w:p>
    <w:p w14:paraId="02CE184A">
      <w:pPr>
        <w:keepNext w:val="0"/>
        <w:keepLines w:val="0"/>
        <w:pageBreakBefore w:val="0"/>
        <w:widowControl w:val="0"/>
        <w:kinsoku/>
        <w:wordWrap/>
        <w:overflowPunct/>
        <w:topLinePunct w:val="0"/>
        <w:autoSpaceDE/>
        <w:autoSpaceDN/>
        <w:bidi w:val="0"/>
        <w:adjustRightInd w:val="0"/>
        <w:snapToGrid w:val="0"/>
        <w:spacing w:line="500" w:lineRule="exact"/>
        <w:ind w:firstLine="480"/>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9.12承包人不得向第三方扩散、转让本工程中所有技术经济资料。如发生以上情况，发包人有权索赔。   </w:t>
      </w:r>
    </w:p>
    <w:p w14:paraId="12117240">
      <w:pPr>
        <w:keepNext w:val="0"/>
        <w:keepLines w:val="0"/>
        <w:pageBreakBefore w:val="0"/>
        <w:widowControl w:val="0"/>
        <w:kinsoku/>
        <w:wordWrap/>
        <w:overflowPunct/>
        <w:topLinePunct w:val="0"/>
        <w:autoSpaceDE/>
        <w:autoSpaceDN/>
        <w:bidi w:val="0"/>
        <w:adjustRightInd w:val="0"/>
        <w:snapToGrid w:val="0"/>
        <w:spacing w:line="500" w:lineRule="exact"/>
        <w:ind w:firstLine="480"/>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9.13档案要求</w:t>
      </w:r>
    </w:p>
    <w:p w14:paraId="05ABBF4E">
      <w:pPr>
        <w:keepNext w:val="0"/>
        <w:keepLines w:val="0"/>
        <w:pageBreakBefore w:val="0"/>
        <w:widowControl w:val="0"/>
        <w:kinsoku/>
        <w:wordWrap/>
        <w:overflowPunct/>
        <w:topLinePunct w:val="0"/>
        <w:autoSpaceDE/>
        <w:autoSpaceDN/>
        <w:bidi w:val="0"/>
        <w:adjustRightInd w:val="0"/>
        <w:snapToGrid w:val="0"/>
        <w:spacing w:line="500" w:lineRule="exact"/>
        <w:ind w:firstLine="480"/>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9.13.1 承包人需设立专门的档案管理机构，明确相关人员的主要职责。</w:t>
      </w:r>
    </w:p>
    <w:p w14:paraId="45BB9819">
      <w:pPr>
        <w:keepNext w:val="0"/>
        <w:keepLines w:val="0"/>
        <w:pageBreakBefore w:val="0"/>
        <w:widowControl w:val="0"/>
        <w:kinsoku/>
        <w:wordWrap/>
        <w:overflowPunct/>
        <w:topLinePunct w:val="0"/>
        <w:autoSpaceDE/>
        <w:autoSpaceDN/>
        <w:bidi w:val="0"/>
        <w:adjustRightInd w:val="0"/>
        <w:snapToGrid w:val="0"/>
        <w:spacing w:line="500" w:lineRule="exact"/>
        <w:ind w:firstLine="480"/>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9.13.2 承包人需按《水利基本建设项目(工程)档案资料管理规定》及《水利水电建设工程验收规范》里所列勘察设计归档文件材料进行档案资料的收集及整理工作。</w:t>
      </w:r>
    </w:p>
    <w:p w14:paraId="3DC0561E">
      <w:pPr>
        <w:keepNext w:val="0"/>
        <w:keepLines w:val="0"/>
        <w:pageBreakBefore w:val="0"/>
        <w:widowControl w:val="0"/>
        <w:kinsoku/>
        <w:wordWrap/>
        <w:overflowPunct/>
        <w:topLinePunct w:val="0"/>
        <w:autoSpaceDE/>
        <w:autoSpaceDN/>
        <w:bidi w:val="0"/>
        <w:adjustRightInd w:val="0"/>
        <w:snapToGrid w:val="0"/>
        <w:spacing w:line="500" w:lineRule="exact"/>
        <w:ind w:firstLine="480"/>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9.13.3 设计过程中重要阶段或事件的材料、设计变更文件等必须数字化（不可编辑电子材料）。</w:t>
      </w:r>
    </w:p>
    <w:p w14:paraId="7041121C">
      <w:pPr>
        <w:keepNext w:val="0"/>
        <w:keepLines w:val="0"/>
        <w:pageBreakBefore w:val="0"/>
        <w:widowControl w:val="0"/>
        <w:kinsoku/>
        <w:wordWrap/>
        <w:overflowPunct/>
        <w:topLinePunct w:val="0"/>
        <w:autoSpaceDE/>
        <w:autoSpaceDN/>
        <w:bidi w:val="0"/>
        <w:adjustRightInd w:val="0"/>
        <w:snapToGrid w:val="0"/>
        <w:spacing w:line="500" w:lineRule="exact"/>
        <w:ind w:firstLine="480"/>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9.13.4 承包人于合同工程完工验收后一个月内提交符合归档要求的纸质材料四份及电子版设计文档(招标范围内容的设计报告及设计图纸等资料)给建设单位。</w:t>
      </w:r>
    </w:p>
    <w:p w14:paraId="60D1DE22">
      <w:pPr>
        <w:pStyle w:val="6"/>
        <w:keepNext w:val="0"/>
        <w:keepLines w:val="0"/>
        <w:pageBreakBefore w:val="0"/>
        <w:widowControl w:val="0"/>
        <w:kinsoku/>
        <w:wordWrap/>
        <w:overflowPunct/>
        <w:topLinePunct w:val="0"/>
        <w:autoSpaceDE/>
        <w:autoSpaceDN/>
        <w:bidi w:val="0"/>
        <w:spacing w:line="500" w:lineRule="exact"/>
        <w:ind w:firstLine="480" w:firstLineChars="200"/>
        <w:outlineLvl w:val="9"/>
        <w:rPr>
          <w:rFonts w:hint="eastAsia" w:ascii="宋体" w:hAnsi="宋体" w:eastAsia="宋体" w:cs="宋体"/>
          <w:color w:val="000000"/>
          <w:highlight w:val="none"/>
        </w:rPr>
      </w:pPr>
      <w:r>
        <w:rPr>
          <w:rFonts w:hint="eastAsia" w:ascii="宋体" w:hAnsi="宋体" w:eastAsia="宋体" w:cs="宋体"/>
          <w:color w:val="000000"/>
          <w:kern w:val="2"/>
          <w:highlight w:val="none"/>
        </w:rPr>
        <w:t xml:space="preserve">9.13.5 </w:t>
      </w:r>
      <w:r>
        <w:rPr>
          <w:rFonts w:hint="eastAsia" w:ascii="宋体" w:hAnsi="宋体" w:eastAsia="宋体" w:cs="宋体"/>
          <w:color w:val="000000"/>
          <w:highlight w:val="none"/>
        </w:rPr>
        <w:t>如承包人未能按期提交符合要求的档案资料，将扣违约金</w:t>
      </w:r>
      <w:r>
        <w:rPr>
          <w:rFonts w:hint="eastAsia" w:hAnsi="宋体" w:eastAsia="宋体" w:cs="宋体"/>
          <w:color w:val="000000"/>
          <w:highlight w:val="none"/>
          <w:lang w:val="en-US" w:eastAsia="zh-CN"/>
        </w:rPr>
        <w:t>5</w:t>
      </w:r>
      <w:r>
        <w:rPr>
          <w:rFonts w:hint="eastAsia" w:ascii="宋体" w:hAnsi="宋体" w:eastAsia="宋体" w:cs="宋体"/>
          <w:color w:val="000000"/>
          <w:highlight w:val="none"/>
        </w:rPr>
        <w:t>000元。</w:t>
      </w:r>
    </w:p>
    <w:p w14:paraId="1BC6BF00">
      <w:pPr>
        <w:keepNext w:val="0"/>
        <w:keepLines w:val="0"/>
        <w:pageBreakBefore w:val="0"/>
        <w:widowControl w:val="0"/>
        <w:kinsoku/>
        <w:wordWrap/>
        <w:overflowPunct/>
        <w:topLinePunct w:val="0"/>
        <w:autoSpaceDE/>
        <w:autoSpaceDN/>
        <w:bidi w:val="0"/>
        <w:adjustRightInd w:val="0"/>
        <w:snapToGrid w:val="0"/>
        <w:spacing w:before="156" w:beforeLines="50" w:line="500" w:lineRule="exact"/>
        <w:ind w:firstLine="482" w:firstLineChars="200"/>
        <w:outlineLvl w:val="9"/>
        <w:rPr>
          <w:rFonts w:hint="eastAsia" w:ascii="宋体" w:hAnsi="宋体" w:eastAsia="宋体" w:cs="宋体"/>
          <w:b/>
          <w:bCs/>
          <w:color w:val="000000"/>
          <w:sz w:val="24"/>
          <w:highlight w:val="none"/>
        </w:rPr>
      </w:pPr>
      <w:bookmarkStart w:id="133" w:name="_Toc28920"/>
      <w:r>
        <w:rPr>
          <w:rFonts w:hint="eastAsia" w:ascii="宋体" w:hAnsi="宋体" w:eastAsia="宋体" w:cs="宋体"/>
          <w:b/>
          <w:bCs/>
          <w:color w:val="000000"/>
          <w:sz w:val="24"/>
          <w:highlight w:val="none"/>
        </w:rPr>
        <w:t>第十条 质量与验收</w:t>
      </w:r>
      <w:bookmarkEnd w:id="133"/>
    </w:p>
    <w:p w14:paraId="082831D5">
      <w:pPr>
        <w:keepNext w:val="0"/>
        <w:keepLines w:val="0"/>
        <w:pageBreakBefore w:val="0"/>
        <w:widowControl w:val="0"/>
        <w:kinsoku/>
        <w:wordWrap/>
        <w:overflowPunct/>
        <w:topLinePunct w:val="0"/>
        <w:autoSpaceDE/>
        <w:autoSpaceDN/>
        <w:bidi w:val="0"/>
        <w:adjustRightInd w:val="0"/>
        <w:snapToGrid w:val="0"/>
        <w:spacing w:line="500" w:lineRule="exact"/>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    勘察设计文件应满足有关规范要求，并满足审查批准的技术要求。</w:t>
      </w:r>
    </w:p>
    <w:p w14:paraId="14A5903C">
      <w:pPr>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outlineLvl w:val="9"/>
        <w:rPr>
          <w:rFonts w:hint="eastAsia" w:ascii="宋体" w:hAnsi="宋体" w:eastAsia="宋体" w:cs="宋体"/>
          <w:b/>
          <w:bCs/>
          <w:color w:val="000000"/>
          <w:sz w:val="24"/>
          <w:highlight w:val="none"/>
        </w:rPr>
      </w:pPr>
      <w:bookmarkStart w:id="134" w:name="_Toc8974"/>
      <w:r>
        <w:rPr>
          <w:rFonts w:hint="eastAsia" w:ascii="宋体" w:hAnsi="宋体" w:eastAsia="宋体" w:cs="宋体"/>
          <w:b/>
          <w:bCs/>
          <w:color w:val="000000"/>
          <w:sz w:val="24"/>
          <w:highlight w:val="none"/>
        </w:rPr>
        <w:t>第十一条 变更</w:t>
      </w:r>
      <w:bookmarkEnd w:id="134"/>
    </w:p>
    <w:p w14:paraId="708613AB">
      <w:pPr>
        <w:keepNext w:val="0"/>
        <w:keepLines w:val="0"/>
        <w:pageBreakBefore w:val="0"/>
        <w:widowControl w:val="0"/>
        <w:kinsoku/>
        <w:wordWrap/>
        <w:overflowPunct/>
        <w:topLinePunct w:val="0"/>
        <w:autoSpaceDE/>
        <w:autoSpaceDN/>
        <w:bidi w:val="0"/>
        <w:adjustRightInd w:val="0"/>
        <w:snapToGrid w:val="0"/>
        <w:spacing w:line="500" w:lineRule="exact"/>
        <w:ind w:firstLine="612"/>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承包人不得对经评审批准的勘察设计文件及图纸随便进行修改。施工现场一般设计变更须经区级水行政主管部门同意和批准；施工现场重大设计变更须经原设计批复部门同意和批准。由于承包人原因造成的设计变更需要第三方评审的一切费用由承包方承担。</w:t>
      </w:r>
    </w:p>
    <w:p w14:paraId="7CC9F2A8">
      <w:pPr>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outlineLvl w:val="9"/>
        <w:rPr>
          <w:rFonts w:hint="eastAsia" w:ascii="宋体" w:hAnsi="宋体" w:eastAsia="宋体" w:cs="宋体"/>
          <w:color w:val="000000"/>
          <w:sz w:val="24"/>
          <w:highlight w:val="none"/>
        </w:rPr>
      </w:pPr>
      <w:bookmarkStart w:id="135" w:name="_Toc19166"/>
      <w:r>
        <w:rPr>
          <w:rFonts w:hint="eastAsia" w:ascii="宋体" w:hAnsi="宋体" w:eastAsia="宋体" w:cs="宋体"/>
          <w:b/>
          <w:bCs/>
          <w:color w:val="000000"/>
          <w:sz w:val="24"/>
          <w:highlight w:val="none"/>
        </w:rPr>
        <w:t>第十二条</w:t>
      </w:r>
      <w:r>
        <w:rPr>
          <w:rFonts w:hint="eastAsia" w:ascii="宋体" w:hAnsi="宋体" w:eastAsia="宋体" w:cs="宋体"/>
          <w:color w:val="000000"/>
          <w:sz w:val="24"/>
          <w:highlight w:val="none"/>
        </w:rPr>
        <w:t xml:space="preserve"> </w:t>
      </w:r>
      <w:r>
        <w:rPr>
          <w:rFonts w:hint="eastAsia" w:ascii="宋体" w:hAnsi="宋体" w:eastAsia="宋体" w:cs="宋体"/>
          <w:b/>
          <w:bCs/>
          <w:color w:val="000000"/>
          <w:sz w:val="24"/>
          <w:highlight w:val="none"/>
        </w:rPr>
        <w:t>完工与保修</w:t>
      </w:r>
      <w:bookmarkEnd w:id="135"/>
    </w:p>
    <w:p w14:paraId="6EE8075D">
      <w:pPr>
        <w:keepNext w:val="0"/>
        <w:keepLines w:val="0"/>
        <w:pageBreakBefore w:val="0"/>
        <w:widowControl w:val="0"/>
        <w:kinsoku/>
        <w:wordWrap/>
        <w:overflowPunct/>
        <w:topLinePunct w:val="0"/>
        <w:autoSpaceDE/>
        <w:autoSpaceDN/>
        <w:bidi w:val="0"/>
        <w:adjustRightInd w:val="0"/>
        <w:snapToGrid w:val="0"/>
        <w:spacing w:line="500" w:lineRule="exact"/>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    承包人应在保修期内负责由于设计原因而引起的相关工作。</w:t>
      </w:r>
    </w:p>
    <w:p w14:paraId="5B03044E">
      <w:pPr>
        <w:keepNext w:val="0"/>
        <w:keepLines w:val="0"/>
        <w:pageBreakBefore w:val="0"/>
        <w:widowControl w:val="0"/>
        <w:kinsoku/>
        <w:wordWrap/>
        <w:overflowPunct/>
        <w:topLinePunct w:val="0"/>
        <w:autoSpaceDE/>
        <w:autoSpaceDN/>
        <w:bidi w:val="0"/>
        <w:spacing w:before="156" w:beforeLines="50" w:line="500" w:lineRule="exact"/>
        <w:ind w:firstLine="482" w:firstLineChars="200"/>
        <w:outlineLvl w:val="9"/>
        <w:rPr>
          <w:rFonts w:hint="eastAsia" w:ascii="宋体" w:hAnsi="宋体" w:eastAsia="宋体" w:cs="宋体"/>
          <w:color w:val="000000"/>
          <w:sz w:val="24"/>
          <w:highlight w:val="none"/>
        </w:rPr>
      </w:pPr>
      <w:bookmarkStart w:id="136" w:name="_Toc10211"/>
      <w:r>
        <w:rPr>
          <w:rFonts w:hint="eastAsia" w:ascii="宋体" w:hAnsi="宋体" w:eastAsia="宋体" w:cs="宋体"/>
          <w:b/>
          <w:bCs/>
          <w:color w:val="000000"/>
          <w:sz w:val="24"/>
          <w:highlight w:val="none"/>
        </w:rPr>
        <w:t>第十三条 保密</w:t>
      </w:r>
      <w:bookmarkEnd w:id="136"/>
    </w:p>
    <w:p w14:paraId="064B6AE2">
      <w:pPr>
        <w:keepNext w:val="0"/>
        <w:keepLines w:val="0"/>
        <w:pageBreakBefore w:val="0"/>
        <w:widowControl w:val="0"/>
        <w:kinsoku/>
        <w:wordWrap/>
        <w:overflowPunct/>
        <w:topLinePunct w:val="0"/>
        <w:autoSpaceDE/>
        <w:autoSpaceDN/>
        <w:bidi w:val="0"/>
        <w:spacing w:line="500" w:lineRule="exact"/>
        <w:ind w:firstLine="480" w:firstLineChars="200"/>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双方均应保护对方的知识产权，未经对方同意，任何一方均不得对对方的资料及文件擅自修改、复制或向第三人转让或用于本合同项目外的项目。如发生以上情况，泄密方承担一切由此引起的后果并承担赔偿责任。</w:t>
      </w:r>
    </w:p>
    <w:p w14:paraId="5F6C2281">
      <w:pPr>
        <w:keepNext w:val="0"/>
        <w:keepLines w:val="0"/>
        <w:pageBreakBefore w:val="0"/>
        <w:widowControl w:val="0"/>
        <w:kinsoku/>
        <w:wordWrap/>
        <w:overflowPunct/>
        <w:topLinePunct w:val="0"/>
        <w:autoSpaceDE/>
        <w:autoSpaceDN/>
        <w:bidi w:val="0"/>
        <w:spacing w:before="156" w:beforeLines="50" w:line="500" w:lineRule="exact"/>
        <w:ind w:firstLine="482" w:firstLineChars="200"/>
        <w:outlineLvl w:val="9"/>
        <w:rPr>
          <w:rFonts w:hint="eastAsia" w:ascii="宋体" w:hAnsi="宋体" w:eastAsia="宋体" w:cs="宋体"/>
          <w:color w:val="000000"/>
          <w:sz w:val="24"/>
          <w:highlight w:val="none"/>
        </w:rPr>
      </w:pPr>
      <w:bookmarkStart w:id="137" w:name="_Toc10087"/>
      <w:r>
        <w:rPr>
          <w:rFonts w:hint="eastAsia" w:ascii="宋体" w:hAnsi="宋体" w:eastAsia="宋体" w:cs="宋体"/>
          <w:b/>
          <w:bCs/>
          <w:color w:val="000000"/>
          <w:sz w:val="24"/>
          <w:highlight w:val="none"/>
        </w:rPr>
        <w:t>第十四条 仲裁</w:t>
      </w:r>
      <w:bookmarkEnd w:id="137"/>
    </w:p>
    <w:p w14:paraId="6FC6943C">
      <w:pPr>
        <w:keepNext w:val="0"/>
        <w:keepLines w:val="0"/>
        <w:pageBreakBefore w:val="0"/>
        <w:widowControl w:val="0"/>
        <w:kinsoku/>
        <w:wordWrap/>
        <w:overflowPunct/>
        <w:topLinePunct w:val="0"/>
        <w:autoSpaceDE/>
        <w:autoSpaceDN/>
        <w:bidi w:val="0"/>
        <w:spacing w:line="500" w:lineRule="exact"/>
        <w:ind w:firstLine="480" w:firstLineChars="200"/>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本合同在履行过程中发生的争议，由双方协商解决并请水行政主管部门调解，调解不成的，按下列第（一）种方式解决：</w:t>
      </w:r>
    </w:p>
    <w:p w14:paraId="039B843C">
      <w:pPr>
        <w:keepNext w:val="0"/>
        <w:keepLines w:val="0"/>
        <w:pageBreakBefore w:val="0"/>
        <w:widowControl w:val="0"/>
        <w:kinsoku/>
        <w:wordWrap/>
        <w:overflowPunct/>
        <w:topLinePunct w:val="0"/>
        <w:autoSpaceDE/>
        <w:autoSpaceDN/>
        <w:bidi w:val="0"/>
        <w:spacing w:line="500" w:lineRule="exact"/>
        <w:ind w:firstLine="480" w:firstLineChars="200"/>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（一）提交工程所在地仲裁委员会仲裁；</w:t>
      </w:r>
    </w:p>
    <w:p w14:paraId="6EAB88CC">
      <w:pPr>
        <w:keepNext w:val="0"/>
        <w:keepLines w:val="0"/>
        <w:pageBreakBefore w:val="0"/>
        <w:widowControl w:val="0"/>
        <w:kinsoku/>
        <w:wordWrap/>
        <w:overflowPunct/>
        <w:topLinePunct w:val="0"/>
        <w:autoSpaceDE/>
        <w:autoSpaceDN/>
        <w:bidi w:val="0"/>
        <w:spacing w:line="500" w:lineRule="exact"/>
        <w:ind w:firstLine="480" w:firstLineChars="200"/>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（二）依法向</w:t>
      </w:r>
      <w:r>
        <w:rPr>
          <w:rFonts w:hint="eastAsia" w:ascii="宋体" w:hAnsi="宋体" w:eastAsia="宋体" w:cs="宋体"/>
          <w:color w:val="000000"/>
          <w:sz w:val="24"/>
          <w:highlight w:val="none"/>
          <w:lang w:val="en-US" w:eastAsia="zh-CN"/>
        </w:rPr>
        <w:t>工程所在地</w:t>
      </w:r>
      <w:r>
        <w:rPr>
          <w:rFonts w:hint="eastAsia" w:ascii="宋体" w:hAnsi="宋体" w:eastAsia="宋体" w:cs="宋体"/>
          <w:color w:val="000000"/>
          <w:sz w:val="24"/>
          <w:highlight w:val="none"/>
        </w:rPr>
        <w:t>人民法院起诉。</w:t>
      </w:r>
    </w:p>
    <w:p w14:paraId="6BAA1727">
      <w:pPr>
        <w:keepNext w:val="0"/>
        <w:keepLines w:val="0"/>
        <w:pageBreakBefore w:val="0"/>
        <w:widowControl w:val="0"/>
        <w:kinsoku/>
        <w:wordWrap/>
        <w:overflowPunct/>
        <w:topLinePunct w:val="0"/>
        <w:autoSpaceDE/>
        <w:autoSpaceDN/>
        <w:bidi w:val="0"/>
        <w:spacing w:before="156" w:beforeLines="50" w:line="500" w:lineRule="exact"/>
        <w:ind w:firstLine="482" w:firstLineChars="200"/>
        <w:outlineLvl w:val="9"/>
        <w:rPr>
          <w:rFonts w:hint="eastAsia" w:ascii="宋体" w:hAnsi="宋体" w:eastAsia="宋体" w:cs="宋体"/>
          <w:b/>
          <w:bCs/>
          <w:color w:val="000000"/>
          <w:sz w:val="24"/>
          <w:highlight w:val="none"/>
        </w:rPr>
      </w:pPr>
      <w:bookmarkStart w:id="138" w:name="_Toc26961"/>
      <w:r>
        <w:rPr>
          <w:rFonts w:hint="eastAsia" w:ascii="宋体" w:hAnsi="宋体" w:eastAsia="宋体" w:cs="宋体"/>
          <w:b/>
          <w:bCs/>
          <w:color w:val="000000"/>
          <w:sz w:val="24"/>
          <w:highlight w:val="none"/>
        </w:rPr>
        <w:t>第十五条  合同生效与其他</w:t>
      </w:r>
      <w:bookmarkEnd w:id="138"/>
    </w:p>
    <w:p w14:paraId="5EEE95D7">
      <w:pPr>
        <w:keepNext w:val="0"/>
        <w:keepLines w:val="0"/>
        <w:pageBreakBefore w:val="0"/>
        <w:widowControl w:val="0"/>
        <w:kinsoku/>
        <w:wordWrap/>
        <w:overflowPunct/>
        <w:topLinePunct w:val="0"/>
        <w:autoSpaceDE/>
        <w:autoSpaceDN/>
        <w:bidi w:val="0"/>
        <w:spacing w:line="500" w:lineRule="exact"/>
        <w:ind w:firstLine="480" w:firstLineChars="200"/>
        <w:outlineLvl w:val="9"/>
        <w:rPr>
          <w:rFonts w:hint="eastAsia" w:ascii="宋体" w:hAnsi="宋体" w:eastAsia="宋体" w:cs="宋体"/>
          <w:b/>
          <w:bCs/>
          <w:color w:val="000000"/>
          <w:sz w:val="24"/>
          <w:highlight w:val="none"/>
        </w:rPr>
      </w:pPr>
      <w:r>
        <w:rPr>
          <w:rFonts w:hint="eastAsia" w:ascii="宋体" w:hAnsi="宋体" w:eastAsia="宋体" w:cs="宋体"/>
          <w:color w:val="000000"/>
          <w:sz w:val="24"/>
          <w:highlight w:val="none"/>
        </w:rPr>
        <w:t>15.1工程开工后，乙方应派现场设计代表负责解决施工过程中的设计问题，并参加隐蔽工程及重要工序的验收工作。若乙方在工程开工后未派现场代表或在工程未完工之前撤回现场代表的，将对其进行</w:t>
      </w:r>
      <w:r>
        <w:rPr>
          <w:rFonts w:hint="eastAsia" w:ascii="宋体" w:hAnsi="宋体" w:eastAsia="宋体" w:cs="宋体"/>
          <w:color w:val="000000"/>
          <w:sz w:val="24"/>
          <w:highlight w:val="none"/>
          <w:lang w:val="en-US" w:eastAsia="zh-CN"/>
        </w:rPr>
        <w:t>5000</w:t>
      </w:r>
      <w:r>
        <w:rPr>
          <w:rFonts w:hint="eastAsia" w:ascii="宋体" w:hAnsi="宋体" w:eastAsia="宋体" w:cs="宋体"/>
          <w:color w:val="000000"/>
          <w:sz w:val="24"/>
          <w:highlight w:val="none"/>
        </w:rPr>
        <w:t>元罚款。</w:t>
      </w:r>
    </w:p>
    <w:p w14:paraId="7FCF804F">
      <w:pPr>
        <w:keepNext w:val="0"/>
        <w:keepLines w:val="0"/>
        <w:pageBreakBefore w:val="0"/>
        <w:widowControl w:val="0"/>
        <w:kinsoku/>
        <w:wordWrap/>
        <w:overflowPunct/>
        <w:topLinePunct w:val="0"/>
        <w:autoSpaceDE/>
        <w:autoSpaceDN/>
        <w:bidi w:val="0"/>
        <w:spacing w:line="500" w:lineRule="exact"/>
        <w:ind w:firstLine="480" w:firstLineChars="200"/>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15.2 甲方委托乙方承担本合同内容以外的工作服务，另行签订协议并支付费用。</w:t>
      </w:r>
    </w:p>
    <w:p w14:paraId="142D640F">
      <w:pPr>
        <w:keepNext w:val="0"/>
        <w:keepLines w:val="0"/>
        <w:pageBreakBefore w:val="0"/>
        <w:widowControl w:val="0"/>
        <w:kinsoku/>
        <w:wordWrap/>
        <w:overflowPunct/>
        <w:topLinePunct w:val="0"/>
        <w:autoSpaceDE/>
        <w:autoSpaceDN/>
        <w:bidi w:val="0"/>
        <w:spacing w:line="500" w:lineRule="exact"/>
        <w:ind w:firstLine="480" w:firstLineChars="200"/>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15.3遇不可抗力因素，如战争、地震、洪水等灾害，致使合同无法履行时，由双方协商解决。</w:t>
      </w:r>
    </w:p>
    <w:p w14:paraId="2C299BE9">
      <w:pPr>
        <w:keepNext w:val="0"/>
        <w:keepLines w:val="0"/>
        <w:pageBreakBefore w:val="0"/>
        <w:widowControl w:val="0"/>
        <w:kinsoku/>
        <w:wordWrap/>
        <w:overflowPunct/>
        <w:topLinePunct w:val="0"/>
        <w:autoSpaceDE/>
        <w:autoSpaceDN/>
        <w:bidi w:val="0"/>
        <w:spacing w:line="500" w:lineRule="exact"/>
        <w:ind w:firstLine="480" w:firstLineChars="200"/>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15.4本合同自双方法定代表人或授权代表签字并加盖单位公章之日起生效，正本两份，双方各执一份；副本六份，双方各执三份。</w:t>
      </w:r>
    </w:p>
    <w:p w14:paraId="353F01EE">
      <w:pPr>
        <w:keepNext w:val="0"/>
        <w:keepLines w:val="0"/>
        <w:pageBreakBefore w:val="0"/>
        <w:widowControl w:val="0"/>
        <w:kinsoku/>
        <w:wordWrap/>
        <w:overflowPunct/>
        <w:topLinePunct w:val="0"/>
        <w:autoSpaceDE/>
        <w:autoSpaceDN/>
        <w:bidi w:val="0"/>
        <w:spacing w:line="500" w:lineRule="exact"/>
        <w:ind w:firstLine="480" w:firstLineChars="200"/>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15.5 在工程竣工验收、甲方支付完毕，本合同即告终止。</w:t>
      </w:r>
    </w:p>
    <w:p w14:paraId="6B6371A8">
      <w:pPr>
        <w:keepNext w:val="0"/>
        <w:keepLines w:val="0"/>
        <w:pageBreakBefore w:val="0"/>
        <w:widowControl w:val="0"/>
        <w:kinsoku/>
        <w:wordWrap/>
        <w:overflowPunct/>
        <w:topLinePunct w:val="0"/>
        <w:autoSpaceDE/>
        <w:autoSpaceDN/>
        <w:bidi w:val="0"/>
        <w:spacing w:line="500" w:lineRule="exact"/>
        <w:ind w:firstLine="480" w:firstLineChars="200"/>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15.6 双方认可的来往传真、邮件、会议纪要等，均为合同的组成部分，与本合同具有同等法律效力。</w:t>
      </w:r>
    </w:p>
    <w:p w14:paraId="5CF316D4">
      <w:pPr>
        <w:keepNext w:val="0"/>
        <w:keepLines w:val="0"/>
        <w:pageBreakBefore w:val="0"/>
        <w:widowControl w:val="0"/>
        <w:kinsoku/>
        <w:wordWrap/>
        <w:overflowPunct/>
        <w:topLinePunct w:val="0"/>
        <w:autoSpaceDE/>
        <w:autoSpaceDN/>
        <w:bidi w:val="0"/>
        <w:spacing w:line="500" w:lineRule="exact"/>
        <w:ind w:firstLine="480" w:firstLineChars="200"/>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15.7 本合同未尽事宜，双方可签订补充协议，补充协议与本合同具有同等效力。</w:t>
      </w:r>
    </w:p>
    <w:p w14:paraId="74116C52">
      <w:pPr>
        <w:keepNext w:val="0"/>
        <w:keepLines w:val="0"/>
        <w:pageBreakBefore w:val="0"/>
        <w:widowControl w:val="0"/>
        <w:kinsoku/>
        <w:wordWrap/>
        <w:overflowPunct/>
        <w:topLinePunct w:val="0"/>
        <w:autoSpaceDE/>
        <w:autoSpaceDN/>
        <w:bidi w:val="0"/>
        <w:spacing w:line="500" w:lineRule="exact"/>
        <w:outlineLvl w:val="9"/>
        <w:rPr>
          <w:rFonts w:hint="eastAsia" w:ascii="宋体" w:hAnsi="宋体" w:eastAsia="宋体" w:cs="宋体"/>
          <w:color w:val="000000"/>
          <w:sz w:val="24"/>
          <w:highlight w:val="none"/>
        </w:rPr>
      </w:pPr>
    </w:p>
    <w:p w14:paraId="45AA15C1">
      <w:pPr>
        <w:keepNext w:val="0"/>
        <w:keepLines w:val="0"/>
        <w:pageBreakBefore w:val="0"/>
        <w:widowControl w:val="0"/>
        <w:kinsoku/>
        <w:wordWrap/>
        <w:overflowPunct/>
        <w:topLinePunct w:val="0"/>
        <w:autoSpaceDE/>
        <w:autoSpaceDN/>
        <w:bidi w:val="0"/>
        <w:spacing w:line="500" w:lineRule="exact"/>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甲  方：                        乙  方：</w:t>
      </w:r>
    </w:p>
    <w:p w14:paraId="430923FB">
      <w:pPr>
        <w:keepNext w:val="0"/>
        <w:keepLines w:val="0"/>
        <w:pageBreakBefore w:val="0"/>
        <w:widowControl w:val="0"/>
        <w:kinsoku/>
        <w:wordWrap/>
        <w:overflowPunct/>
        <w:topLinePunct w:val="0"/>
        <w:autoSpaceDE/>
        <w:autoSpaceDN/>
        <w:bidi w:val="0"/>
        <w:spacing w:line="500" w:lineRule="exact"/>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法定代表人：                    法定代表人：</w:t>
      </w:r>
    </w:p>
    <w:p w14:paraId="7948CF93">
      <w:pPr>
        <w:keepNext w:val="0"/>
        <w:keepLines w:val="0"/>
        <w:pageBreakBefore w:val="0"/>
        <w:widowControl w:val="0"/>
        <w:kinsoku/>
        <w:wordWrap/>
        <w:overflowPunct/>
        <w:topLinePunct w:val="0"/>
        <w:autoSpaceDE/>
        <w:autoSpaceDN/>
        <w:bidi w:val="0"/>
        <w:spacing w:line="500" w:lineRule="exact"/>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或委托代理人：                  或委托代理人：</w:t>
      </w:r>
    </w:p>
    <w:p w14:paraId="33B8816A">
      <w:pPr>
        <w:keepNext w:val="0"/>
        <w:keepLines w:val="0"/>
        <w:pageBreakBefore w:val="0"/>
        <w:widowControl w:val="0"/>
        <w:kinsoku/>
        <w:wordWrap/>
        <w:overflowPunct/>
        <w:topLinePunct w:val="0"/>
        <w:autoSpaceDE/>
        <w:autoSpaceDN/>
        <w:bidi w:val="0"/>
        <w:spacing w:line="500" w:lineRule="exact"/>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邮编：                          邮编：</w:t>
      </w:r>
    </w:p>
    <w:p w14:paraId="5B80BDAE">
      <w:pPr>
        <w:keepNext w:val="0"/>
        <w:keepLines w:val="0"/>
        <w:pageBreakBefore w:val="0"/>
        <w:widowControl w:val="0"/>
        <w:kinsoku/>
        <w:wordWrap/>
        <w:overflowPunct/>
        <w:topLinePunct w:val="0"/>
        <w:autoSpaceDE/>
        <w:autoSpaceDN/>
        <w:bidi w:val="0"/>
        <w:spacing w:line="500" w:lineRule="exact"/>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电话：                          电话：</w:t>
      </w:r>
    </w:p>
    <w:p w14:paraId="015247F2">
      <w:pPr>
        <w:keepNext w:val="0"/>
        <w:keepLines w:val="0"/>
        <w:pageBreakBefore w:val="0"/>
        <w:widowControl w:val="0"/>
        <w:kinsoku/>
        <w:wordWrap/>
        <w:overflowPunct/>
        <w:topLinePunct w:val="0"/>
        <w:autoSpaceDE/>
        <w:autoSpaceDN/>
        <w:bidi w:val="0"/>
        <w:spacing w:line="500" w:lineRule="exact"/>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传真：                          传真：</w:t>
      </w:r>
    </w:p>
    <w:p w14:paraId="56E99BBB">
      <w:pPr>
        <w:keepNext w:val="0"/>
        <w:keepLines w:val="0"/>
        <w:pageBreakBefore w:val="0"/>
        <w:widowControl w:val="0"/>
        <w:kinsoku/>
        <w:wordWrap/>
        <w:overflowPunct/>
        <w:topLinePunct w:val="0"/>
        <w:autoSpaceDE/>
        <w:autoSpaceDN/>
        <w:bidi w:val="0"/>
        <w:spacing w:line="500" w:lineRule="exact"/>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开户银行：                      开户银行：</w:t>
      </w:r>
    </w:p>
    <w:p w14:paraId="36D1D6E4">
      <w:pPr>
        <w:keepNext w:val="0"/>
        <w:keepLines w:val="0"/>
        <w:pageBreakBefore w:val="0"/>
        <w:widowControl w:val="0"/>
        <w:kinsoku/>
        <w:wordWrap/>
        <w:overflowPunct/>
        <w:topLinePunct w:val="0"/>
        <w:autoSpaceDE/>
        <w:autoSpaceDN/>
        <w:bidi w:val="0"/>
        <w:spacing w:line="500" w:lineRule="exact"/>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账号：                          账号：</w:t>
      </w:r>
    </w:p>
    <w:p w14:paraId="35545894">
      <w:pPr>
        <w:spacing w:line="360" w:lineRule="auto"/>
        <w:jc w:val="center"/>
        <w:outlineLvl w:val="0"/>
        <w:rPr>
          <w:rStyle w:val="21"/>
          <w:rFonts w:hint="eastAsia" w:ascii="宋体" w:hAnsi="宋体" w:eastAsia="宋体" w:cs="宋体"/>
          <w:color w:val="000000"/>
          <w:sz w:val="36"/>
          <w:szCs w:val="48"/>
        </w:rPr>
      </w:pPr>
      <w:r>
        <w:rPr>
          <w:rFonts w:hint="eastAsia" w:ascii="宋体" w:hAnsi="宋体" w:eastAsia="宋体" w:cs="宋体"/>
          <w:color w:val="000000"/>
          <w:highlight w:val="none"/>
        </w:rPr>
        <w:br w:type="page"/>
      </w:r>
      <w:bookmarkStart w:id="139" w:name="_Toc22882"/>
      <w:r>
        <w:rPr>
          <w:rStyle w:val="21"/>
          <w:rFonts w:hint="eastAsia" w:ascii="宋体" w:hAnsi="宋体" w:eastAsia="宋体" w:cs="宋体"/>
          <w:color w:val="000000"/>
          <w:sz w:val="36"/>
          <w:szCs w:val="48"/>
        </w:rPr>
        <w:t>第五章  技术标准及规范</w:t>
      </w:r>
    </w:p>
    <w:bookmarkEnd w:id="139"/>
    <w:p w14:paraId="0CDF7550">
      <w:pPr>
        <w:keepNext w:val="0"/>
        <w:keepLines w:val="0"/>
        <w:pageBreakBefore w:val="0"/>
        <w:widowControl w:val="0"/>
        <w:kinsoku/>
        <w:wordWrap/>
        <w:overflowPunct/>
        <w:topLinePunct w:val="0"/>
        <w:autoSpaceDE/>
        <w:autoSpaceDN/>
        <w:bidi w:val="0"/>
        <w:spacing w:line="500" w:lineRule="exact"/>
        <w:textAlignment w:val="auto"/>
        <w:outlineLvl w:val="9"/>
        <w:rPr>
          <w:rFonts w:hint="eastAsia" w:ascii="宋体" w:hAnsi="宋体" w:eastAsia="宋体" w:cs="宋体"/>
          <w:b/>
          <w:bCs/>
          <w:color w:val="000000"/>
          <w:sz w:val="28"/>
          <w:szCs w:val="28"/>
          <w:highlight w:val="none"/>
        </w:rPr>
      </w:pPr>
      <w:bookmarkStart w:id="140" w:name="_Toc24632"/>
      <w:bookmarkStart w:id="141" w:name="_Toc255981662"/>
      <w:r>
        <w:rPr>
          <w:rFonts w:hint="eastAsia" w:ascii="宋体" w:hAnsi="宋体" w:eastAsia="宋体" w:cs="宋体"/>
          <w:b/>
          <w:bCs/>
          <w:color w:val="000000"/>
          <w:sz w:val="28"/>
          <w:szCs w:val="28"/>
          <w:highlight w:val="none"/>
          <w:lang w:val="en-US" w:eastAsia="zh-CN"/>
        </w:rPr>
        <w:t>勘察</w:t>
      </w:r>
      <w:r>
        <w:rPr>
          <w:rFonts w:hint="eastAsia" w:ascii="宋体" w:hAnsi="宋体" w:eastAsia="宋体" w:cs="宋体"/>
          <w:b/>
          <w:bCs/>
          <w:color w:val="000000"/>
          <w:sz w:val="28"/>
          <w:szCs w:val="28"/>
          <w:highlight w:val="none"/>
        </w:rPr>
        <w:t>设计规范清单</w:t>
      </w:r>
      <w:bookmarkEnd w:id="140"/>
      <w:bookmarkEnd w:id="141"/>
    </w:p>
    <w:p w14:paraId="31960B8B">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宋体" w:hAnsi="宋体" w:eastAsia="宋体" w:cs="宋体"/>
          <w:b/>
          <w:color w:val="000000"/>
          <w:sz w:val="24"/>
          <w:highlight w:val="none"/>
        </w:rPr>
      </w:pPr>
      <w:r>
        <w:rPr>
          <w:rFonts w:hint="eastAsia" w:ascii="宋体" w:hAnsi="宋体" w:eastAsia="宋体" w:cs="宋体"/>
          <w:color w:val="000000"/>
          <w:sz w:val="24"/>
          <w:highlight w:val="none"/>
        </w:rPr>
        <w:t xml:space="preserve">   </w:t>
      </w:r>
      <w:r>
        <w:rPr>
          <w:rFonts w:hint="eastAsia" w:ascii="宋体" w:hAnsi="宋体" w:eastAsia="宋体" w:cs="宋体"/>
          <w:b/>
          <w:color w:val="000000"/>
          <w:sz w:val="24"/>
          <w:highlight w:val="none"/>
        </w:rPr>
        <w:t xml:space="preserve"> 本工程</w:t>
      </w:r>
      <w:r>
        <w:rPr>
          <w:rFonts w:hint="eastAsia" w:ascii="宋体" w:hAnsi="宋体" w:eastAsia="宋体" w:cs="宋体"/>
          <w:b/>
          <w:color w:val="000000"/>
          <w:sz w:val="24"/>
          <w:highlight w:val="none"/>
          <w:lang w:val="en-US" w:eastAsia="zh-CN"/>
        </w:rPr>
        <w:t>勘察</w:t>
      </w:r>
      <w:r>
        <w:rPr>
          <w:rFonts w:hint="eastAsia" w:ascii="宋体" w:hAnsi="宋体" w:eastAsia="宋体" w:cs="宋体"/>
          <w:b/>
          <w:color w:val="000000"/>
          <w:sz w:val="24"/>
          <w:highlight w:val="none"/>
        </w:rPr>
        <w:t>设计须按照下列规范(不仅限于)进行：</w:t>
      </w:r>
    </w:p>
    <w:p w14:paraId="45430BB0">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500" w:lineRule="exact"/>
        <w:ind w:leftChars="200"/>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lang w:val="en-US" w:eastAsia="zh-CN"/>
        </w:rPr>
        <w:t>1）</w:t>
      </w:r>
      <w:r>
        <w:rPr>
          <w:rFonts w:hint="eastAsia" w:ascii="宋体" w:hAnsi="宋体" w:eastAsia="宋体" w:cs="宋体"/>
          <w:color w:val="000000"/>
          <w:sz w:val="24"/>
          <w:highlight w:val="none"/>
        </w:rPr>
        <w:t>《水利工程水利计算规范》（SL104-2015）；</w:t>
      </w:r>
    </w:p>
    <w:p w14:paraId="63206F75">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500" w:lineRule="exact"/>
        <w:ind w:leftChars="200"/>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2）《水利水电工程等级划分及洪水标准》（SL252-2017）；</w:t>
      </w:r>
    </w:p>
    <w:p w14:paraId="699337E4">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500" w:lineRule="exact"/>
        <w:ind w:leftChars="200"/>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3）《建筑地基基础设计规范》（GB5007-2011）；</w:t>
      </w:r>
    </w:p>
    <w:p w14:paraId="5EDEC6A1">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500" w:lineRule="exact"/>
        <w:ind w:leftChars="200"/>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4）《水利水电工程水文计算规范》（SL278-2020）；</w:t>
      </w:r>
    </w:p>
    <w:p w14:paraId="0B258618">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500" w:lineRule="exact"/>
        <w:ind w:leftChars="200"/>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5）《水利水电工程设计洪水计算规范》（SL44-2006）；</w:t>
      </w:r>
    </w:p>
    <w:p w14:paraId="1C0FC6FB">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500" w:lineRule="exact"/>
        <w:ind w:leftChars="200"/>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6）《水工挡土墙设计规范》（SL379-2007）；</w:t>
      </w:r>
    </w:p>
    <w:p w14:paraId="0CC0B0BC">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500" w:lineRule="exact"/>
        <w:ind w:leftChars="200"/>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7）《水工混凝土结构设计规范》（SL191-2008）；</w:t>
      </w:r>
    </w:p>
    <w:p w14:paraId="0CE09D7E">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500" w:lineRule="exact"/>
        <w:ind w:leftChars="200"/>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8）《灌溉与排水工程设计标准》（GB52088-2018）；</w:t>
      </w:r>
    </w:p>
    <w:p w14:paraId="70334DDB">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500" w:lineRule="exact"/>
        <w:ind w:leftChars="200"/>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9）《堤防工程设计规范》（GB50286-2013）；</w:t>
      </w:r>
    </w:p>
    <w:p w14:paraId="24616092">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500" w:lineRule="exact"/>
        <w:ind w:leftChars="200"/>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10）《防洪标准》（GB50201-2014）；</w:t>
      </w:r>
    </w:p>
    <w:p w14:paraId="4473CED1">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500" w:lineRule="exact"/>
        <w:ind w:leftChars="200"/>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11）《灌溉排水工程项目可行性研究报告编制规程》（SL560-2012）；</w:t>
      </w:r>
    </w:p>
    <w:p w14:paraId="64AD7DDB">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500" w:lineRule="exact"/>
        <w:ind w:leftChars="200"/>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12）《节水灌溉工程技术标准》（GB/T50363-2018）；</w:t>
      </w:r>
    </w:p>
    <w:p w14:paraId="5E7C9270">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500" w:lineRule="exact"/>
        <w:ind w:leftChars="200"/>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13）《灌区规划规范》（GB/T 50509-2009）；</w:t>
      </w:r>
    </w:p>
    <w:p w14:paraId="3846E7DE">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500" w:lineRule="exact"/>
        <w:ind w:leftChars="200"/>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14）《渠道防渗工程技术规范》（SL18-2004）；</w:t>
      </w:r>
    </w:p>
    <w:p w14:paraId="3ECDDE88">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500" w:lineRule="exact"/>
        <w:ind w:leftChars="200"/>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15）《渠道防渗衬砌工程技术标准》（GB/T50600-2020）；</w:t>
      </w:r>
    </w:p>
    <w:p w14:paraId="2B87D166">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500" w:lineRule="exact"/>
        <w:ind w:leftChars="200"/>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16）《灌区改造技术标准》（GB/T50599-2020）；</w:t>
      </w:r>
    </w:p>
    <w:p w14:paraId="4E31B0F2">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500" w:lineRule="exact"/>
        <w:ind w:leftChars="200"/>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17）《农田灌溉水质标准》（GB 5084-2021）；</w:t>
      </w:r>
    </w:p>
    <w:p w14:paraId="6D00E93F">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500" w:lineRule="exact"/>
        <w:ind w:leftChars="200"/>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18）《灌溉与排水工程技术管理规程》（SL/T 246-2019）；</w:t>
      </w:r>
    </w:p>
    <w:p w14:paraId="0D315FBD">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500" w:lineRule="exact"/>
        <w:ind w:leftChars="200"/>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19）《灌溉与排水渠系建筑物设计规范》（SL 482-2011）；</w:t>
      </w:r>
    </w:p>
    <w:p w14:paraId="7D26C17D">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500" w:lineRule="exact"/>
        <w:ind w:leftChars="200"/>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20）《水闸设计规范》（SL265-2016）；</w:t>
      </w:r>
    </w:p>
    <w:p w14:paraId="3A97DCAC">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500" w:lineRule="exact"/>
        <w:ind w:leftChars="200"/>
        <w:textAlignment w:val="auto"/>
        <w:rPr>
          <w:rFonts w:hint="eastAsia" w:ascii="宋体" w:hAnsi="宋体" w:eastAsia="宋体" w:cs="宋体"/>
          <w:color w:val="000000"/>
          <w:sz w:val="24"/>
          <w:highlight w:val="none"/>
          <w:lang w:val="zh-CN"/>
        </w:rPr>
      </w:pPr>
      <w:r>
        <w:rPr>
          <w:rFonts w:hint="eastAsia" w:ascii="宋体" w:hAnsi="宋体" w:eastAsia="宋体" w:cs="宋体"/>
          <w:color w:val="000000"/>
          <w:sz w:val="24"/>
          <w:highlight w:val="none"/>
        </w:rPr>
        <w:t>21）《水利水电工程可行性研究报告编制规程》（SL/T618-2021）；</w:t>
      </w:r>
    </w:p>
    <w:p w14:paraId="23FEDC61">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500" w:lineRule="exact"/>
        <w:ind w:leftChars="200"/>
        <w:textAlignment w:val="auto"/>
        <w:rPr>
          <w:rFonts w:hint="eastAsia" w:ascii="宋体" w:hAnsi="宋体" w:eastAsia="宋体" w:cs="宋体"/>
          <w:color w:val="000000"/>
          <w:sz w:val="24"/>
          <w:highlight w:val="none"/>
          <w:lang w:val="zh-CN"/>
        </w:rPr>
      </w:pPr>
      <w:r>
        <w:rPr>
          <w:rStyle w:val="22"/>
          <w:rFonts w:hint="eastAsia" w:ascii="宋体" w:hAnsi="宋体" w:eastAsia="宋体" w:cs="宋体"/>
          <w:bCs/>
          <w:color w:val="000000"/>
          <w:sz w:val="24"/>
          <w:highlight w:val="none"/>
          <w:lang w:val="en-US" w:eastAsia="zh-CN"/>
        </w:rPr>
        <w:t>22）</w:t>
      </w:r>
      <w:r>
        <w:rPr>
          <w:rStyle w:val="22"/>
          <w:rFonts w:hint="eastAsia" w:ascii="宋体" w:hAnsi="宋体" w:eastAsia="宋体" w:cs="宋体"/>
          <w:bCs/>
          <w:color w:val="000000"/>
          <w:sz w:val="24"/>
          <w:highlight w:val="none"/>
        </w:rPr>
        <w:t>《岩土工程勘察规范》(GB50021－2001)</w:t>
      </w:r>
      <w:r>
        <w:rPr>
          <w:rStyle w:val="22"/>
          <w:rFonts w:hint="eastAsia" w:ascii="宋体" w:hAnsi="宋体" w:eastAsia="宋体" w:cs="宋体"/>
          <w:bCs/>
          <w:color w:val="000000"/>
          <w:sz w:val="24"/>
          <w:highlight w:val="none"/>
          <w:lang w:eastAsia="zh-CN"/>
        </w:rPr>
        <w:t>。</w:t>
      </w:r>
    </w:p>
    <w:p w14:paraId="2D220A1D">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000000"/>
          <w:lang w:eastAsia="zh-CN"/>
        </w:rPr>
      </w:pPr>
    </w:p>
    <w:p w14:paraId="219270C1">
      <w:pPr>
        <w:bidi w:val="0"/>
        <w:rPr>
          <w:rFonts w:hint="eastAsia" w:ascii="宋体" w:hAnsi="宋体" w:eastAsia="宋体" w:cs="宋体"/>
          <w:color w:val="000000"/>
          <w:lang w:val="zh-CN"/>
        </w:rPr>
      </w:pPr>
    </w:p>
    <w:p w14:paraId="2E0D6A48">
      <w:pPr>
        <w:bidi w:val="0"/>
        <w:rPr>
          <w:rFonts w:hint="eastAsia" w:ascii="宋体" w:hAnsi="宋体" w:eastAsia="宋体" w:cs="宋体"/>
          <w:color w:val="000000"/>
          <w:lang w:val="zh-CN"/>
        </w:rPr>
      </w:pPr>
    </w:p>
    <w:p w14:paraId="70926F7B">
      <w:pPr>
        <w:bidi w:val="0"/>
        <w:rPr>
          <w:rFonts w:hint="eastAsia" w:ascii="宋体" w:hAnsi="宋体" w:eastAsia="宋体" w:cs="宋体"/>
          <w:color w:val="000000"/>
          <w:lang w:val="zh-CN"/>
        </w:rPr>
      </w:pPr>
    </w:p>
    <w:p w14:paraId="049A23E0">
      <w:pPr>
        <w:pStyle w:val="3"/>
        <w:bidi w:val="0"/>
        <w:jc w:val="center"/>
        <w:rPr>
          <w:rFonts w:hint="eastAsia" w:ascii="宋体" w:hAnsi="宋体" w:eastAsia="宋体" w:cs="宋体"/>
          <w:color w:val="000000"/>
        </w:rPr>
      </w:pPr>
      <w:bookmarkStart w:id="142" w:name="_Toc12437"/>
      <w:r>
        <w:rPr>
          <w:rFonts w:hint="eastAsia" w:ascii="宋体" w:hAnsi="宋体" w:eastAsia="宋体" w:cs="宋体"/>
          <w:color w:val="000000"/>
        </w:rPr>
        <w:t>第六章  投标文件格式</w:t>
      </w:r>
      <w:bookmarkEnd w:id="142"/>
    </w:p>
    <w:p w14:paraId="4EDA65E7">
      <w:pPr>
        <w:rPr>
          <w:rFonts w:hint="eastAsia" w:ascii="宋体" w:hAnsi="宋体" w:eastAsia="宋体" w:cs="宋体"/>
          <w:color w:val="000000"/>
          <w:highlight w:val="none"/>
          <w:lang w:val="zh-CN"/>
        </w:rPr>
      </w:pPr>
    </w:p>
    <w:p w14:paraId="13DA9B7E">
      <w:pPr>
        <w:pStyle w:val="4"/>
        <w:ind w:left="0" w:leftChars="0" w:firstLine="0" w:firstLineChars="0"/>
        <w:jc w:val="left"/>
        <w:outlineLvl w:val="1"/>
        <w:rPr>
          <w:rFonts w:hint="eastAsia" w:ascii="宋体" w:hAnsi="宋体" w:eastAsia="宋体" w:cs="宋体"/>
          <w:color w:val="000000"/>
          <w:sz w:val="28"/>
          <w:szCs w:val="28"/>
          <w:highlight w:val="none"/>
        </w:rPr>
      </w:pPr>
      <w:bookmarkStart w:id="143" w:name="_Toc465627488"/>
      <w:bookmarkStart w:id="144" w:name="_Toc7356"/>
      <w:bookmarkStart w:id="145" w:name="_Toc466542228"/>
      <w:bookmarkStart w:id="146" w:name="_Toc466542557"/>
      <w:bookmarkStart w:id="147" w:name="_Toc20059"/>
      <w:bookmarkStart w:id="148" w:name="_Toc29319"/>
      <w:bookmarkStart w:id="149" w:name="_Toc11715"/>
      <w:r>
        <w:rPr>
          <w:rFonts w:hint="eastAsia" w:ascii="宋体" w:hAnsi="宋体" w:eastAsia="宋体" w:cs="宋体"/>
          <w:color w:val="000000"/>
          <w:sz w:val="28"/>
          <w:szCs w:val="28"/>
          <w:highlight w:val="none"/>
        </w:rPr>
        <w:t>格式1：</w:t>
      </w:r>
      <w:bookmarkEnd w:id="143"/>
      <w:bookmarkEnd w:id="144"/>
      <w:bookmarkEnd w:id="145"/>
      <w:bookmarkEnd w:id="146"/>
      <w:bookmarkEnd w:id="147"/>
      <w:r>
        <w:rPr>
          <w:rFonts w:hint="eastAsia" w:ascii="宋体" w:hAnsi="宋体" w:eastAsia="宋体" w:cs="宋体"/>
          <w:color w:val="000000"/>
          <w:sz w:val="28"/>
          <w:szCs w:val="28"/>
          <w:highlight w:val="none"/>
          <w:lang w:val="en-US"/>
        </w:rPr>
        <w:t xml:space="preserve">                                              </w:t>
      </w:r>
      <w:bookmarkEnd w:id="148"/>
      <w:bookmarkEnd w:id="149"/>
    </w:p>
    <w:p w14:paraId="449F700D">
      <w:pPr>
        <w:spacing w:line="360" w:lineRule="auto"/>
        <w:jc w:val="center"/>
        <w:rPr>
          <w:rFonts w:hint="eastAsia" w:ascii="宋体" w:hAnsi="宋体" w:eastAsia="宋体" w:cs="宋体"/>
          <w:b/>
          <w:color w:val="000000"/>
          <w:sz w:val="48"/>
          <w:szCs w:val="48"/>
          <w:highlight w:val="none"/>
        </w:rPr>
      </w:pPr>
    </w:p>
    <w:p w14:paraId="00F9409D">
      <w:pPr>
        <w:spacing w:line="360" w:lineRule="auto"/>
        <w:jc w:val="center"/>
        <w:outlineLvl w:val="9"/>
        <w:rPr>
          <w:rFonts w:hint="eastAsia" w:ascii="宋体" w:hAnsi="宋体" w:eastAsia="宋体" w:cs="宋体"/>
          <w:b/>
          <w:color w:val="000000"/>
          <w:spacing w:val="-6"/>
          <w:sz w:val="32"/>
          <w:szCs w:val="32"/>
          <w:highlight w:val="none"/>
        </w:rPr>
      </w:pPr>
      <w:r>
        <w:rPr>
          <w:rFonts w:hint="eastAsia" w:ascii="宋体" w:hAnsi="宋体" w:cs="宋体"/>
          <w:b/>
          <w:color w:val="000000"/>
          <w:sz w:val="48"/>
          <w:szCs w:val="48"/>
          <w:highlight w:val="none"/>
          <w:lang w:eastAsia="zh-CN"/>
        </w:rPr>
        <w:t>广东省韶关市武江区农业产业基础设施建设项目-武江区2026年农业产业基础设施建设项目（江湾镇）勘察设计</w:t>
      </w:r>
    </w:p>
    <w:p w14:paraId="6F847A4E">
      <w:pPr>
        <w:pStyle w:val="6"/>
        <w:outlineLvl w:val="9"/>
        <w:rPr>
          <w:rFonts w:hint="eastAsia" w:ascii="宋体" w:hAnsi="宋体" w:eastAsia="宋体" w:cs="宋体"/>
          <w:b/>
          <w:color w:val="000000"/>
          <w:spacing w:val="-6"/>
          <w:sz w:val="44"/>
          <w:szCs w:val="44"/>
          <w:highlight w:val="none"/>
        </w:rPr>
      </w:pPr>
    </w:p>
    <w:p w14:paraId="7B8AC062">
      <w:pPr>
        <w:rPr>
          <w:rFonts w:hint="eastAsia" w:ascii="宋体" w:hAnsi="宋体" w:eastAsia="宋体" w:cs="宋体"/>
          <w:b/>
          <w:color w:val="000000"/>
          <w:spacing w:val="-6"/>
          <w:sz w:val="44"/>
          <w:szCs w:val="44"/>
          <w:highlight w:val="none"/>
        </w:rPr>
      </w:pPr>
    </w:p>
    <w:p w14:paraId="40EBB908">
      <w:pPr>
        <w:pStyle w:val="2"/>
        <w:rPr>
          <w:rFonts w:hint="eastAsia"/>
        </w:rPr>
      </w:pPr>
    </w:p>
    <w:p w14:paraId="2A0F358D">
      <w:pPr>
        <w:pStyle w:val="6"/>
        <w:outlineLvl w:val="9"/>
        <w:rPr>
          <w:rFonts w:hint="eastAsia" w:ascii="宋体" w:hAnsi="宋体" w:eastAsia="宋体" w:cs="宋体"/>
          <w:b/>
          <w:color w:val="000000"/>
          <w:spacing w:val="-6"/>
          <w:sz w:val="44"/>
          <w:szCs w:val="44"/>
          <w:highlight w:val="none"/>
        </w:rPr>
      </w:pPr>
    </w:p>
    <w:p w14:paraId="485E9BA2">
      <w:pPr>
        <w:snapToGrid w:val="0"/>
        <w:spacing w:before="480" w:after="360"/>
        <w:jc w:val="center"/>
        <w:outlineLvl w:val="9"/>
        <w:rPr>
          <w:rFonts w:hint="eastAsia" w:ascii="宋体" w:hAnsi="宋体" w:eastAsia="宋体" w:cs="宋体"/>
          <w:b/>
          <w:bCs/>
          <w:color w:val="000000"/>
          <w:spacing w:val="-16"/>
          <w:sz w:val="72"/>
          <w:szCs w:val="72"/>
          <w:highlight w:val="none"/>
        </w:rPr>
      </w:pPr>
      <w:r>
        <w:rPr>
          <w:rFonts w:hint="eastAsia" w:ascii="宋体" w:hAnsi="宋体" w:eastAsia="宋体" w:cs="宋体"/>
          <w:b/>
          <w:bCs/>
          <w:color w:val="000000"/>
          <w:spacing w:val="-16"/>
          <w:sz w:val="72"/>
          <w:szCs w:val="72"/>
          <w:highlight w:val="none"/>
        </w:rPr>
        <w:t>投  标  文  件</w:t>
      </w:r>
    </w:p>
    <w:p w14:paraId="21F36DA8">
      <w:pPr>
        <w:snapToGrid w:val="0"/>
        <w:spacing w:before="480" w:after="360"/>
        <w:jc w:val="center"/>
        <w:outlineLvl w:val="9"/>
        <w:rPr>
          <w:rFonts w:hint="eastAsia" w:ascii="宋体" w:hAnsi="宋体" w:eastAsia="宋体" w:cs="宋体"/>
          <w:b/>
          <w:bCs/>
          <w:color w:val="000000"/>
          <w:spacing w:val="-16"/>
          <w:sz w:val="72"/>
          <w:szCs w:val="72"/>
          <w:highlight w:val="none"/>
        </w:rPr>
      </w:pPr>
      <w:r>
        <w:rPr>
          <w:rFonts w:hint="eastAsia" w:ascii="宋体" w:hAnsi="宋体" w:eastAsia="宋体" w:cs="宋体"/>
          <w:b/>
          <w:bCs/>
          <w:color w:val="000000"/>
          <w:sz w:val="44"/>
          <w:szCs w:val="44"/>
          <w:highlight w:val="none"/>
        </w:rPr>
        <w:t>（第一册 投标报价书）</w:t>
      </w:r>
    </w:p>
    <w:p w14:paraId="7CA3ED20">
      <w:pPr>
        <w:snapToGrid w:val="0"/>
        <w:spacing w:before="480" w:after="360"/>
        <w:jc w:val="both"/>
        <w:outlineLvl w:val="9"/>
        <w:rPr>
          <w:rFonts w:hint="eastAsia" w:ascii="宋体" w:hAnsi="宋体" w:eastAsia="宋体" w:cs="宋体"/>
          <w:b/>
          <w:bCs/>
          <w:color w:val="000000"/>
          <w:spacing w:val="-16"/>
          <w:sz w:val="72"/>
          <w:szCs w:val="72"/>
          <w:highlight w:val="none"/>
        </w:rPr>
      </w:pPr>
    </w:p>
    <w:p w14:paraId="0D36E775">
      <w:pPr>
        <w:pStyle w:val="2"/>
        <w:rPr>
          <w:rFonts w:hint="eastAsia"/>
        </w:rPr>
      </w:pPr>
    </w:p>
    <w:p w14:paraId="46B6FF2C">
      <w:pPr>
        <w:pStyle w:val="23"/>
        <w:jc w:val="center"/>
        <w:outlineLvl w:val="9"/>
        <w:rPr>
          <w:rFonts w:hint="eastAsia" w:ascii="宋体" w:hAnsi="宋体" w:eastAsia="宋体" w:cs="宋体"/>
          <w:b/>
          <w:color w:val="000000"/>
          <w:sz w:val="30"/>
          <w:szCs w:val="30"/>
          <w:highlight w:val="none"/>
          <w:u w:val="single"/>
        </w:rPr>
      </w:pPr>
      <w:r>
        <w:rPr>
          <w:rFonts w:hint="eastAsia" w:ascii="宋体" w:hAnsi="宋体" w:eastAsia="宋体" w:cs="宋体"/>
          <w:b/>
          <w:color w:val="000000"/>
          <w:sz w:val="30"/>
          <w:szCs w:val="30"/>
          <w:highlight w:val="none"/>
        </w:rPr>
        <w:t>投标人：</w:t>
      </w:r>
      <w:r>
        <w:rPr>
          <w:rFonts w:hint="eastAsia" w:ascii="宋体" w:hAnsi="宋体" w:eastAsia="宋体" w:cs="宋体"/>
          <w:b/>
          <w:color w:val="000000"/>
          <w:sz w:val="30"/>
          <w:szCs w:val="30"/>
          <w:highlight w:val="none"/>
          <w:u w:val="single"/>
        </w:rPr>
        <w:t xml:space="preserve">     (投标人名称)</w:t>
      </w:r>
      <w:r>
        <w:rPr>
          <w:rFonts w:hint="eastAsia" w:ascii="宋体" w:hAnsi="宋体" w:eastAsia="宋体" w:cs="宋体"/>
          <w:b/>
          <w:color w:val="000000"/>
          <w:sz w:val="30"/>
          <w:szCs w:val="30"/>
          <w:highlight w:val="none"/>
        </w:rPr>
        <w:t xml:space="preserve">  (盖单位章)</w:t>
      </w:r>
    </w:p>
    <w:p w14:paraId="0A6EC923">
      <w:pPr>
        <w:pStyle w:val="25"/>
        <w:tabs>
          <w:tab w:val="left" w:pos="3600"/>
        </w:tabs>
        <w:autoSpaceDE w:val="0"/>
        <w:autoSpaceDN w:val="0"/>
        <w:spacing w:line="360" w:lineRule="auto"/>
        <w:jc w:val="center"/>
        <w:textAlignment w:val="bottom"/>
        <w:outlineLvl w:val="9"/>
        <w:rPr>
          <w:rFonts w:hint="eastAsia" w:ascii="宋体" w:hAnsi="宋体" w:eastAsia="宋体" w:cs="宋体"/>
          <w:b/>
          <w:bCs/>
          <w:color w:val="000000"/>
          <w:kern w:val="2"/>
          <w:sz w:val="30"/>
          <w:szCs w:val="30"/>
          <w:highlight w:val="none"/>
          <w:u w:val="single"/>
        </w:rPr>
      </w:pPr>
      <w:r>
        <w:rPr>
          <w:rFonts w:hint="eastAsia" w:ascii="宋体" w:hAnsi="宋体" w:eastAsia="宋体" w:cs="宋体"/>
          <w:b/>
          <w:color w:val="000000"/>
          <w:sz w:val="30"/>
          <w:szCs w:val="30"/>
          <w:highlight w:val="none"/>
        </w:rPr>
        <w:t>法定代表人或其委托代理人：</w:t>
      </w:r>
      <w:r>
        <w:rPr>
          <w:rFonts w:hint="eastAsia" w:ascii="宋体" w:hAnsi="宋体" w:eastAsia="宋体" w:cs="宋体"/>
          <w:b/>
          <w:bCs/>
          <w:color w:val="000000"/>
          <w:kern w:val="2"/>
          <w:sz w:val="30"/>
          <w:szCs w:val="30"/>
          <w:highlight w:val="none"/>
          <w:u w:val="single"/>
        </w:rPr>
        <w:t xml:space="preserve">     (签字或盖章)</w:t>
      </w:r>
    </w:p>
    <w:p w14:paraId="64A98F0E">
      <w:pPr>
        <w:spacing w:line="360" w:lineRule="auto"/>
        <w:jc w:val="center"/>
        <w:outlineLvl w:val="9"/>
        <w:rPr>
          <w:rFonts w:hint="eastAsia" w:ascii="宋体" w:hAnsi="宋体" w:eastAsia="宋体" w:cs="宋体"/>
          <w:lang w:val="zh-CN"/>
        </w:rPr>
      </w:pPr>
      <w:r>
        <w:rPr>
          <w:rFonts w:hint="eastAsia" w:ascii="宋体" w:hAnsi="宋体" w:eastAsia="宋体" w:cs="宋体"/>
          <w:b/>
          <w:bCs/>
          <w:color w:val="000000"/>
          <w:sz w:val="32"/>
          <w:szCs w:val="32"/>
          <w:highlight w:val="none"/>
          <w:u w:val="single"/>
        </w:rPr>
        <w:t xml:space="preserve">       </w:t>
      </w:r>
      <w:r>
        <w:rPr>
          <w:rFonts w:hint="eastAsia" w:ascii="宋体" w:hAnsi="宋体" w:eastAsia="宋体" w:cs="宋体"/>
          <w:b/>
          <w:bCs/>
          <w:color w:val="000000"/>
          <w:sz w:val="32"/>
          <w:szCs w:val="32"/>
          <w:highlight w:val="none"/>
        </w:rPr>
        <w:t>年</w:t>
      </w:r>
      <w:r>
        <w:rPr>
          <w:rFonts w:hint="eastAsia" w:ascii="宋体" w:hAnsi="宋体" w:eastAsia="宋体" w:cs="宋体"/>
          <w:b/>
          <w:bCs/>
          <w:color w:val="000000"/>
          <w:sz w:val="32"/>
          <w:szCs w:val="32"/>
          <w:highlight w:val="none"/>
          <w:u w:val="single"/>
        </w:rPr>
        <w:t xml:space="preserve">    </w:t>
      </w:r>
      <w:r>
        <w:rPr>
          <w:rFonts w:hint="eastAsia" w:ascii="宋体" w:hAnsi="宋体" w:eastAsia="宋体" w:cs="宋体"/>
          <w:b/>
          <w:bCs/>
          <w:color w:val="000000"/>
          <w:sz w:val="32"/>
          <w:szCs w:val="32"/>
          <w:highlight w:val="none"/>
        </w:rPr>
        <w:t>月</w:t>
      </w:r>
      <w:r>
        <w:rPr>
          <w:rFonts w:hint="eastAsia" w:ascii="宋体" w:hAnsi="宋体" w:eastAsia="宋体" w:cs="宋体"/>
          <w:b/>
          <w:bCs/>
          <w:color w:val="000000"/>
          <w:sz w:val="32"/>
          <w:szCs w:val="32"/>
          <w:highlight w:val="none"/>
          <w:u w:val="single"/>
        </w:rPr>
        <w:t xml:space="preserve">    </w:t>
      </w:r>
      <w:r>
        <w:rPr>
          <w:rFonts w:hint="eastAsia" w:ascii="宋体" w:hAnsi="宋体" w:eastAsia="宋体" w:cs="宋体"/>
          <w:b/>
          <w:bCs/>
          <w:color w:val="000000"/>
          <w:sz w:val="32"/>
          <w:szCs w:val="32"/>
          <w:highlight w:val="none"/>
        </w:rPr>
        <w:t>日</w:t>
      </w:r>
    </w:p>
    <w:p w14:paraId="71842D1C">
      <w:pPr>
        <w:jc w:val="center"/>
        <w:outlineLvl w:val="9"/>
        <w:rPr>
          <w:rFonts w:hint="eastAsia" w:ascii="宋体" w:hAnsi="宋体" w:eastAsia="宋体" w:cs="宋体"/>
          <w:b/>
          <w:color w:val="000000"/>
          <w:sz w:val="32"/>
          <w:szCs w:val="32"/>
          <w:highlight w:val="none"/>
        </w:rPr>
      </w:pPr>
      <w:bookmarkStart w:id="150" w:name="_Toc464198578"/>
    </w:p>
    <w:p w14:paraId="173CD152">
      <w:pPr>
        <w:jc w:val="center"/>
        <w:outlineLvl w:val="9"/>
        <w:rPr>
          <w:rFonts w:hint="eastAsia" w:ascii="宋体" w:hAnsi="宋体" w:eastAsia="宋体" w:cs="宋体"/>
          <w:b/>
          <w:color w:val="000000"/>
          <w:sz w:val="32"/>
          <w:szCs w:val="32"/>
          <w:highlight w:val="none"/>
        </w:rPr>
      </w:pPr>
    </w:p>
    <w:p w14:paraId="30FE1D1E">
      <w:pPr>
        <w:jc w:val="center"/>
        <w:outlineLvl w:val="9"/>
        <w:rPr>
          <w:rFonts w:hint="eastAsia" w:ascii="宋体" w:hAnsi="宋体" w:eastAsia="宋体" w:cs="宋体"/>
          <w:b/>
          <w:color w:val="000000"/>
          <w:sz w:val="32"/>
          <w:szCs w:val="32"/>
          <w:highlight w:val="none"/>
        </w:rPr>
      </w:pPr>
      <w:r>
        <w:rPr>
          <w:rFonts w:hint="eastAsia" w:ascii="宋体" w:hAnsi="宋体" w:eastAsia="宋体" w:cs="宋体"/>
          <w:b/>
          <w:color w:val="000000"/>
          <w:sz w:val="32"/>
          <w:szCs w:val="32"/>
          <w:highlight w:val="none"/>
        </w:rPr>
        <w:t>投标报价书</w:t>
      </w:r>
      <w:bookmarkEnd w:id="150"/>
    </w:p>
    <w:p w14:paraId="5C621D40">
      <w:pPr>
        <w:outlineLvl w:val="9"/>
        <w:rPr>
          <w:rFonts w:hint="eastAsia" w:ascii="宋体" w:hAnsi="宋体" w:eastAsia="宋体" w:cs="宋体"/>
          <w:color w:val="000000"/>
          <w:kern w:val="0"/>
          <w:szCs w:val="21"/>
          <w:highlight w:val="none"/>
          <w:u w:val="single"/>
        </w:rPr>
      </w:pPr>
    </w:p>
    <w:p w14:paraId="3B22345B">
      <w:pPr>
        <w:outlineLvl w:val="9"/>
        <w:rPr>
          <w:rFonts w:hint="eastAsia" w:ascii="宋体" w:hAnsi="宋体" w:eastAsia="宋体" w:cs="宋体"/>
          <w:color w:val="000000"/>
          <w:sz w:val="28"/>
          <w:szCs w:val="28"/>
          <w:highlight w:val="none"/>
          <w:u w:val="single"/>
        </w:rPr>
      </w:pPr>
      <w:r>
        <w:rPr>
          <w:rFonts w:hint="eastAsia" w:ascii="宋体" w:hAnsi="宋体" w:eastAsia="宋体" w:cs="宋体"/>
          <w:color w:val="000000"/>
          <w:kern w:val="0"/>
          <w:sz w:val="28"/>
          <w:szCs w:val="28"/>
          <w:highlight w:val="none"/>
          <w:u w:val="single"/>
        </w:rPr>
        <w:t xml:space="preserve">      （招标人名称）    ：</w:t>
      </w:r>
    </w:p>
    <w:p w14:paraId="463D6EC5">
      <w:pPr>
        <w:adjustRightInd w:val="0"/>
        <w:snapToGrid w:val="0"/>
        <w:spacing w:line="480" w:lineRule="auto"/>
        <w:ind w:firstLine="560" w:firstLineChars="200"/>
        <w:outlineLvl w:val="9"/>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 xml:space="preserve">   </w:t>
      </w:r>
    </w:p>
    <w:p w14:paraId="0724FD24">
      <w:pPr>
        <w:spacing w:line="360" w:lineRule="auto"/>
        <w:ind w:firstLine="560" w:firstLineChars="200"/>
        <w:jc w:val="left"/>
        <w:outlineLvl w:val="9"/>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我方已仔细研究了</w:t>
      </w:r>
      <w:r>
        <w:rPr>
          <w:rFonts w:hint="eastAsia" w:ascii="宋体" w:hAnsi="宋体" w:cs="宋体"/>
          <w:b w:val="0"/>
          <w:bCs/>
          <w:color w:val="000000"/>
          <w:sz w:val="28"/>
          <w:szCs w:val="28"/>
          <w:highlight w:val="none"/>
          <w:u w:val="single"/>
          <w:lang w:eastAsia="zh-CN"/>
        </w:rPr>
        <w:t>广东省韶关市武江区农业产业基础设施建设项目-武江区2026年农业产业基础设施建设项目（江湾镇）勘察设计</w:t>
      </w:r>
      <w:r>
        <w:rPr>
          <w:rFonts w:hint="eastAsia" w:ascii="宋体" w:hAnsi="宋体" w:eastAsia="宋体" w:cs="宋体"/>
          <w:color w:val="000000"/>
          <w:sz w:val="28"/>
          <w:szCs w:val="28"/>
          <w:highlight w:val="none"/>
        </w:rPr>
        <w:t>招标文件的全部内容，愿意以下浮率</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 （大写：百分之</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）投标。</w:t>
      </w:r>
    </w:p>
    <w:p w14:paraId="29C08105">
      <w:pPr>
        <w:adjustRightInd w:val="0"/>
        <w:snapToGrid w:val="0"/>
        <w:ind w:firstLine="560" w:firstLineChars="200"/>
        <w:outlineLvl w:val="9"/>
        <w:rPr>
          <w:rFonts w:hint="eastAsia" w:ascii="宋体" w:hAnsi="宋体" w:eastAsia="宋体" w:cs="宋体"/>
          <w:color w:val="000000"/>
          <w:sz w:val="28"/>
          <w:szCs w:val="28"/>
          <w:highlight w:val="none"/>
        </w:rPr>
      </w:pPr>
    </w:p>
    <w:p w14:paraId="51CE1CA5">
      <w:pPr>
        <w:adjustRightInd w:val="0"/>
        <w:snapToGrid w:val="0"/>
        <w:ind w:firstLine="560" w:firstLineChars="200"/>
        <w:outlineLvl w:val="9"/>
        <w:rPr>
          <w:rFonts w:hint="eastAsia" w:ascii="宋体" w:hAnsi="宋体" w:eastAsia="宋体" w:cs="宋体"/>
          <w:color w:val="000000"/>
          <w:sz w:val="28"/>
          <w:szCs w:val="28"/>
          <w:highlight w:val="none"/>
        </w:rPr>
      </w:pPr>
    </w:p>
    <w:p w14:paraId="3FE9F01F">
      <w:pPr>
        <w:adjustRightInd w:val="0"/>
        <w:snapToGrid w:val="0"/>
        <w:ind w:firstLine="560" w:firstLineChars="200"/>
        <w:outlineLvl w:val="9"/>
        <w:rPr>
          <w:rFonts w:hint="eastAsia" w:ascii="宋体" w:hAnsi="宋体" w:eastAsia="宋体" w:cs="宋体"/>
          <w:color w:val="000000"/>
          <w:sz w:val="28"/>
          <w:szCs w:val="28"/>
          <w:highlight w:val="none"/>
        </w:rPr>
      </w:pPr>
    </w:p>
    <w:p w14:paraId="3A71B6C3">
      <w:pPr>
        <w:adjustRightInd w:val="0"/>
        <w:snapToGrid w:val="0"/>
        <w:ind w:firstLine="560" w:firstLineChars="200"/>
        <w:outlineLvl w:val="9"/>
        <w:rPr>
          <w:rFonts w:hint="eastAsia" w:ascii="宋体" w:hAnsi="宋体" w:eastAsia="宋体" w:cs="宋体"/>
          <w:color w:val="000000"/>
          <w:sz w:val="28"/>
          <w:szCs w:val="28"/>
          <w:highlight w:val="none"/>
        </w:rPr>
      </w:pPr>
    </w:p>
    <w:p w14:paraId="5835435D">
      <w:pPr>
        <w:adjustRightInd w:val="0"/>
        <w:snapToGrid w:val="0"/>
        <w:ind w:firstLine="560" w:firstLineChars="200"/>
        <w:outlineLvl w:val="9"/>
        <w:rPr>
          <w:rFonts w:hint="eastAsia" w:ascii="宋体" w:hAnsi="宋体" w:eastAsia="宋体" w:cs="宋体"/>
          <w:color w:val="000000"/>
          <w:sz w:val="28"/>
          <w:szCs w:val="28"/>
          <w:highlight w:val="none"/>
        </w:rPr>
      </w:pPr>
    </w:p>
    <w:p w14:paraId="56C440AC">
      <w:pPr>
        <w:adjustRightInd w:val="0"/>
        <w:snapToGrid w:val="0"/>
        <w:ind w:firstLine="560" w:firstLineChars="200"/>
        <w:outlineLvl w:val="9"/>
        <w:rPr>
          <w:rFonts w:hint="eastAsia" w:ascii="宋体" w:hAnsi="宋体" w:eastAsia="宋体" w:cs="宋体"/>
          <w:color w:val="000000"/>
          <w:sz w:val="28"/>
          <w:szCs w:val="28"/>
          <w:highlight w:val="none"/>
        </w:rPr>
      </w:pPr>
    </w:p>
    <w:p w14:paraId="65670682">
      <w:pPr>
        <w:adjustRightInd w:val="0"/>
        <w:snapToGrid w:val="0"/>
        <w:ind w:firstLine="560" w:firstLineChars="200"/>
        <w:outlineLvl w:val="9"/>
        <w:rPr>
          <w:rFonts w:hint="eastAsia" w:ascii="宋体" w:hAnsi="宋体" w:eastAsia="宋体" w:cs="宋体"/>
          <w:color w:val="000000"/>
          <w:sz w:val="28"/>
          <w:szCs w:val="28"/>
          <w:highlight w:val="none"/>
        </w:rPr>
      </w:pPr>
    </w:p>
    <w:p w14:paraId="386A6B3A">
      <w:pPr>
        <w:adjustRightInd w:val="0"/>
        <w:snapToGrid w:val="0"/>
        <w:ind w:firstLine="560" w:firstLineChars="200"/>
        <w:outlineLvl w:val="9"/>
        <w:rPr>
          <w:rFonts w:hint="eastAsia" w:ascii="宋体" w:hAnsi="宋体" w:eastAsia="宋体" w:cs="宋体"/>
          <w:color w:val="000000"/>
          <w:sz w:val="28"/>
          <w:szCs w:val="28"/>
          <w:highlight w:val="none"/>
        </w:rPr>
      </w:pPr>
    </w:p>
    <w:p w14:paraId="37A6C7CE">
      <w:pPr>
        <w:adjustRightInd w:val="0"/>
        <w:snapToGrid w:val="0"/>
        <w:ind w:firstLine="560" w:firstLineChars="200"/>
        <w:outlineLvl w:val="9"/>
        <w:rPr>
          <w:rFonts w:hint="eastAsia" w:ascii="宋体" w:hAnsi="宋体" w:eastAsia="宋体" w:cs="宋体"/>
          <w:color w:val="000000"/>
          <w:sz w:val="28"/>
          <w:szCs w:val="28"/>
          <w:highlight w:val="none"/>
        </w:rPr>
      </w:pPr>
    </w:p>
    <w:p w14:paraId="5F60ED2F">
      <w:pPr>
        <w:tabs>
          <w:tab w:val="left" w:pos="5970"/>
        </w:tabs>
        <w:adjustRightInd w:val="0"/>
        <w:snapToGrid w:val="0"/>
        <w:ind w:firstLine="560" w:firstLineChars="200"/>
        <w:outlineLvl w:val="9"/>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ab/>
      </w:r>
    </w:p>
    <w:p w14:paraId="57D8C10F">
      <w:pPr>
        <w:adjustRightInd w:val="0"/>
        <w:snapToGrid w:val="0"/>
        <w:spacing w:line="480" w:lineRule="auto"/>
        <w:ind w:firstLine="3080" w:firstLineChars="1100"/>
        <w:outlineLvl w:val="9"/>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投  标  人：</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（盖单位章）</w:t>
      </w:r>
    </w:p>
    <w:p w14:paraId="18ED0E6F">
      <w:pPr>
        <w:adjustRightInd w:val="0"/>
        <w:snapToGrid w:val="0"/>
        <w:spacing w:line="480" w:lineRule="auto"/>
        <w:ind w:firstLine="3080" w:firstLineChars="1100"/>
        <w:outlineLvl w:val="9"/>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法定代表人（委托代理人）：</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（签字或盖章）</w:t>
      </w:r>
    </w:p>
    <w:p w14:paraId="436ADB04">
      <w:pPr>
        <w:adjustRightInd w:val="0"/>
        <w:snapToGrid w:val="0"/>
        <w:spacing w:line="480" w:lineRule="auto"/>
        <w:ind w:firstLine="6804" w:firstLineChars="2430"/>
        <w:outlineLvl w:val="9"/>
        <w:rPr>
          <w:rFonts w:hint="eastAsia" w:ascii="宋体" w:hAnsi="宋体" w:eastAsia="宋体" w:cs="宋体"/>
          <w:color w:val="000000"/>
          <w:sz w:val="28"/>
          <w:szCs w:val="28"/>
          <w:highlight w:val="none"/>
        </w:rPr>
      </w:pPr>
    </w:p>
    <w:p w14:paraId="257BE90B">
      <w:pPr>
        <w:adjustRightInd w:val="0"/>
        <w:snapToGrid w:val="0"/>
        <w:spacing w:line="480" w:lineRule="auto"/>
        <w:ind w:firstLine="5880" w:firstLineChars="2100"/>
        <w:outlineLvl w:val="9"/>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年</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月</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日</w:t>
      </w:r>
    </w:p>
    <w:p w14:paraId="43F7A997">
      <w:pPr>
        <w:outlineLvl w:val="9"/>
        <w:rPr>
          <w:rFonts w:hint="eastAsia" w:ascii="宋体" w:hAnsi="宋体" w:eastAsia="宋体" w:cs="宋体"/>
          <w:color w:val="000000"/>
          <w:highlight w:val="none"/>
          <w:lang w:val="zh-CN"/>
        </w:rPr>
      </w:pPr>
    </w:p>
    <w:p w14:paraId="4C65D047">
      <w:pPr>
        <w:outlineLvl w:val="9"/>
        <w:rPr>
          <w:rFonts w:hint="eastAsia" w:ascii="宋体" w:hAnsi="宋体" w:eastAsia="宋体" w:cs="宋体"/>
          <w:color w:val="000000"/>
          <w:highlight w:val="none"/>
          <w:lang w:val="zh-CN"/>
        </w:rPr>
      </w:pPr>
    </w:p>
    <w:p w14:paraId="6CE47E53">
      <w:pPr>
        <w:outlineLvl w:val="9"/>
        <w:rPr>
          <w:rFonts w:hint="eastAsia" w:ascii="宋体" w:hAnsi="宋体" w:eastAsia="宋体" w:cs="宋体"/>
          <w:color w:val="000000"/>
          <w:highlight w:val="none"/>
          <w:lang w:val="zh-CN"/>
        </w:rPr>
      </w:pPr>
    </w:p>
    <w:p w14:paraId="67BB1960">
      <w:pPr>
        <w:outlineLvl w:val="9"/>
        <w:rPr>
          <w:rFonts w:hint="eastAsia" w:ascii="宋体" w:hAnsi="宋体" w:eastAsia="宋体" w:cs="宋体"/>
          <w:color w:val="000000"/>
          <w:highlight w:val="none"/>
          <w:lang w:val="zh-CN"/>
        </w:rPr>
      </w:pPr>
    </w:p>
    <w:p w14:paraId="0DDF329E">
      <w:pPr>
        <w:outlineLvl w:val="9"/>
        <w:rPr>
          <w:rFonts w:hint="eastAsia" w:ascii="宋体" w:hAnsi="宋体" w:eastAsia="宋体" w:cs="宋体"/>
          <w:color w:val="000000"/>
          <w:highlight w:val="none"/>
          <w:lang w:val="zh-CN"/>
        </w:rPr>
      </w:pPr>
    </w:p>
    <w:p w14:paraId="4B0524BB">
      <w:pPr>
        <w:outlineLvl w:val="9"/>
        <w:rPr>
          <w:rFonts w:hint="eastAsia" w:ascii="宋体" w:hAnsi="宋体" w:eastAsia="宋体" w:cs="宋体"/>
          <w:color w:val="000000"/>
          <w:highlight w:val="none"/>
          <w:lang w:val="zh-CN"/>
        </w:rPr>
      </w:pPr>
    </w:p>
    <w:p w14:paraId="315D34EE">
      <w:pPr>
        <w:outlineLvl w:val="9"/>
        <w:rPr>
          <w:rFonts w:hint="eastAsia" w:ascii="宋体" w:hAnsi="宋体" w:eastAsia="宋体" w:cs="宋体"/>
          <w:color w:val="000000"/>
          <w:highlight w:val="none"/>
          <w:lang w:val="zh-CN"/>
        </w:rPr>
      </w:pPr>
    </w:p>
    <w:p w14:paraId="791DC011">
      <w:pPr>
        <w:pStyle w:val="4"/>
        <w:ind w:left="0" w:leftChars="0" w:firstLine="0" w:firstLineChars="0"/>
        <w:jc w:val="both"/>
        <w:outlineLvl w:val="1"/>
        <w:rPr>
          <w:rFonts w:hint="eastAsia" w:ascii="宋体" w:hAnsi="宋体" w:eastAsia="宋体" w:cs="宋体"/>
          <w:color w:val="000000"/>
          <w:sz w:val="28"/>
          <w:szCs w:val="28"/>
          <w:highlight w:val="none"/>
          <w:lang w:val="en-US"/>
        </w:rPr>
      </w:pPr>
      <w:bookmarkStart w:id="151" w:name="_Toc466542229"/>
      <w:bookmarkStart w:id="152" w:name="_Toc22195"/>
      <w:bookmarkStart w:id="153" w:name="_Toc466542558"/>
      <w:bookmarkStart w:id="154" w:name="_Toc29873"/>
      <w:bookmarkStart w:id="155" w:name="_Toc13570"/>
      <w:bookmarkStart w:id="156" w:name="_Toc20615"/>
      <w:r>
        <w:rPr>
          <w:rFonts w:hint="eastAsia" w:ascii="宋体" w:hAnsi="宋体" w:eastAsia="宋体" w:cs="宋体"/>
          <w:color w:val="000000"/>
          <w:sz w:val="28"/>
          <w:szCs w:val="28"/>
          <w:highlight w:val="none"/>
        </w:rPr>
        <w:t>格式2：</w:t>
      </w:r>
      <w:bookmarkEnd w:id="151"/>
      <w:bookmarkEnd w:id="152"/>
      <w:bookmarkEnd w:id="153"/>
      <w:bookmarkEnd w:id="154"/>
      <w:r>
        <w:rPr>
          <w:rFonts w:hint="eastAsia" w:ascii="宋体" w:hAnsi="宋体" w:eastAsia="宋体" w:cs="宋体"/>
          <w:color w:val="000000"/>
          <w:sz w:val="28"/>
          <w:szCs w:val="28"/>
          <w:highlight w:val="none"/>
          <w:lang w:val="en-US"/>
        </w:rPr>
        <w:t xml:space="preserve">                                       </w:t>
      </w:r>
      <w:bookmarkEnd w:id="155"/>
      <w:bookmarkEnd w:id="156"/>
    </w:p>
    <w:p w14:paraId="2DE9F870">
      <w:pPr>
        <w:spacing w:line="360" w:lineRule="auto"/>
        <w:jc w:val="center"/>
        <w:rPr>
          <w:rFonts w:hint="eastAsia" w:ascii="宋体" w:hAnsi="宋体" w:eastAsia="宋体" w:cs="宋体"/>
          <w:b/>
          <w:color w:val="000000"/>
          <w:sz w:val="48"/>
          <w:szCs w:val="48"/>
          <w:highlight w:val="none"/>
        </w:rPr>
      </w:pPr>
    </w:p>
    <w:p w14:paraId="638DFE29">
      <w:pPr>
        <w:spacing w:line="360" w:lineRule="auto"/>
        <w:jc w:val="center"/>
        <w:rPr>
          <w:rFonts w:hint="eastAsia" w:ascii="宋体" w:hAnsi="宋体" w:eastAsia="宋体" w:cs="宋体"/>
          <w:b/>
          <w:color w:val="000000"/>
          <w:sz w:val="36"/>
          <w:szCs w:val="36"/>
          <w:highlight w:val="none"/>
        </w:rPr>
      </w:pPr>
      <w:r>
        <w:rPr>
          <w:rFonts w:hint="eastAsia" w:ascii="宋体" w:hAnsi="宋体" w:cs="宋体"/>
          <w:b/>
          <w:color w:val="000000"/>
          <w:sz w:val="48"/>
          <w:szCs w:val="48"/>
          <w:highlight w:val="none"/>
          <w:lang w:eastAsia="zh-CN"/>
        </w:rPr>
        <w:t>广东省韶关市武江区农业产业基础设施建设项目-武江区2026年农业产业基础设施建设项目（江湾镇）勘察设计</w:t>
      </w:r>
    </w:p>
    <w:p w14:paraId="7B155712">
      <w:pPr>
        <w:snapToGrid w:val="0"/>
        <w:spacing w:before="480" w:after="360"/>
        <w:jc w:val="center"/>
        <w:rPr>
          <w:rFonts w:hint="eastAsia" w:ascii="宋体" w:hAnsi="宋体" w:eastAsia="宋体" w:cs="宋体"/>
          <w:b/>
          <w:color w:val="000000"/>
          <w:spacing w:val="-6"/>
          <w:sz w:val="44"/>
          <w:szCs w:val="44"/>
          <w:highlight w:val="none"/>
        </w:rPr>
      </w:pPr>
    </w:p>
    <w:p w14:paraId="77FA159B">
      <w:pPr>
        <w:pStyle w:val="6"/>
        <w:rPr>
          <w:rFonts w:hint="eastAsia" w:ascii="宋体" w:hAnsi="宋体" w:eastAsia="宋体" w:cs="宋体"/>
          <w:b/>
          <w:color w:val="000000"/>
          <w:spacing w:val="-6"/>
          <w:sz w:val="44"/>
          <w:szCs w:val="44"/>
          <w:highlight w:val="none"/>
        </w:rPr>
      </w:pPr>
    </w:p>
    <w:p w14:paraId="61AA7E85">
      <w:pPr>
        <w:pStyle w:val="6"/>
        <w:rPr>
          <w:rFonts w:hint="eastAsia" w:ascii="宋体" w:hAnsi="宋体" w:eastAsia="宋体" w:cs="宋体"/>
          <w:b/>
          <w:color w:val="000000"/>
          <w:spacing w:val="-6"/>
          <w:sz w:val="44"/>
          <w:szCs w:val="44"/>
          <w:highlight w:val="none"/>
        </w:rPr>
      </w:pPr>
    </w:p>
    <w:p w14:paraId="58CBE330">
      <w:pPr>
        <w:snapToGrid w:val="0"/>
        <w:spacing w:before="480" w:after="360"/>
        <w:jc w:val="center"/>
        <w:rPr>
          <w:rFonts w:hint="eastAsia" w:ascii="宋体" w:hAnsi="宋体" w:eastAsia="宋体" w:cs="宋体"/>
          <w:b/>
          <w:bCs/>
          <w:color w:val="000000"/>
          <w:spacing w:val="-16"/>
          <w:sz w:val="72"/>
          <w:szCs w:val="72"/>
          <w:highlight w:val="none"/>
        </w:rPr>
      </w:pPr>
      <w:r>
        <w:rPr>
          <w:rFonts w:hint="eastAsia" w:ascii="宋体" w:hAnsi="宋体" w:eastAsia="宋体" w:cs="宋体"/>
          <w:b/>
          <w:bCs/>
          <w:color w:val="000000"/>
          <w:spacing w:val="-16"/>
          <w:sz w:val="72"/>
          <w:szCs w:val="72"/>
          <w:highlight w:val="none"/>
        </w:rPr>
        <w:t>投  标  文  件</w:t>
      </w:r>
    </w:p>
    <w:p w14:paraId="612B60AB">
      <w:pPr>
        <w:spacing w:line="360" w:lineRule="auto"/>
        <w:jc w:val="center"/>
        <w:rPr>
          <w:rFonts w:hint="eastAsia" w:ascii="宋体" w:hAnsi="宋体" w:eastAsia="宋体" w:cs="宋体"/>
          <w:color w:val="000000"/>
          <w:sz w:val="44"/>
          <w:szCs w:val="44"/>
          <w:highlight w:val="none"/>
        </w:rPr>
      </w:pPr>
      <w:r>
        <w:rPr>
          <w:rFonts w:hint="eastAsia" w:ascii="宋体" w:hAnsi="宋体" w:eastAsia="宋体" w:cs="宋体"/>
          <w:b/>
          <w:bCs/>
          <w:color w:val="000000"/>
          <w:sz w:val="44"/>
          <w:szCs w:val="44"/>
          <w:highlight w:val="none"/>
        </w:rPr>
        <w:t>（第二册 商务标书）</w:t>
      </w:r>
    </w:p>
    <w:p w14:paraId="1A86DC9D">
      <w:pPr>
        <w:snapToGrid w:val="0"/>
        <w:spacing w:before="480" w:after="360"/>
        <w:jc w:val="center"/>
        <w:rPr>
          <w:rFonts w:hint="eastAsia" w:ascii="宋体" w:hAnsi="宋体" w:eastAsia="宋体" w:cs="宋体"/>
          <w:b/>
          <w:bCs/>
          <w:color w:val="000000"/>
          <w:spacing w:val="-16"/>
          <w:sz w:val="72"/>
          <w:szCs w:val="72"/>
          <w:highlight w:val="none"/>
        </w:rPr>
      </w:pPr>
    </w:p>
    <w:p w14:paraId="0C11B47D">
      <w:pPr>
        <w:snapToGrid w:val="0"/>
        <w:spacing w:before="480" w:after="360"/>
        <w:jc w:val="center"/>
        <w:rPr>
          <w:rFonts w:hint="eastAsia" w:ascii="宋体" w:hAnsi="宋体" w:eastAsia="宋体" w:cs="宋体"/>
          <w:b/>
          <w:bCs/>
          <w:color w:val="000000"/>
          <w:spacing w:val="-16"/>
          <w:sz w:val="72"/>
          <w:szCs w:val="72"/>
          <w:highlight w:val="none"/>
        </w:rPr>
      </w:pPr>
    </w:p>
    <w:p w14:paraId="23D7A9F6">
      <w:pPr>
        <w:pStyle w:val="23"/>
        <w:jc w:val="center"/>
        <w:rPr>
          <w:rFonts w:hint="eastAsia" w:ascii="宋体" w:hAnsi="宋体" w:eastAsia="宋体" w:cs="宋体"/>
          <w:b/>
          <w:color w:val="000000"/>
          <w:sz w:val="30"/>
          <w:szCs w:val="30"/>
          <w:highlight w:val="none"/>
          <w:u w:val="single"/>
        </w:rPr>
      </w:pPr>
      <w:r>
        <w:rPr>
          <w:rFonts w:hint="eastAsia" w:ascii="宋体" w:hAnsi="宋体" w:eastAsia="宋体" w:cs="宋体"/>
          <w:b/>
          <w:color w:val="000000"/>
          <w:sz w:val="30"/>
          <w:szCs w:val="30"/>
          <w:highlight w:val="none"/>
        </w:rPr>
        <w:t>投标人：</w:t>
      </w:r>
      <w:r>
        <w:rPr>
          <w:rFonts w:hint="eastAsia" w:ascii="宋体" w:hAnsi="宋体" w:eastAsia="宋体" w:cs="宋体"/>
          <w:b/>
          <w:color w:val="000000"/>
          <w:sz w:val="30"/>
          <w:szCs w:val="30"/>
          <w:highlight w:val="none"/>
          <w:u w:val="single"/>
        </w:rPr>
        <w:t xml:space="preserve">     (投标人名称)</w:t>
      </w:r>
      <w:r>
        <w:rPr>
          <w:rFonts w:hint="eastAsia" w:ascii="宋体" w:hAnsi="宋体" w:eastAsia="宋体" w:cs="宋体"/>
          <w:b/>
          <w:color w:val="000000"/>
          <w:sz w:val="30"/>
          <w:szCs w:val="30"/>
          <w:highlight w:val="none"/>
        </w:rPr>
        <w:t xml:space="preserve">  (盖单位章)</w:t>
      </w:r>
    </w:p>
    <w:p w14:paraId="0C86FA83">
      <w:pPr>
        <w:pStyle w:val="25"/>
        <w:tabs>
          <w:tab w:val="left" w:pos="3600"/>
        </w:tabs>
        <w:autoSpaceDE w:val="0"/>
        <w:autoSpaceDN w:val="0"/>
        <w:spacing w:line="360" w:lineRule="auto"/>
        <w:jc w:val="center"/>
        <w:textAlignment w:val="bottom"/>
        <w:rPr>
          <w:rFonts w:hint="eastAsia" w:ascii="宋体" w:hAnsi="宋体" w:eastAsia="宋体" w:cs="宋体"/>
          <w:b/>
          <w:bCs/>
          <w:color w:val="000000"/>
          <w:kern w:val="2"/>
          <w:sz w:val="30"/>
          <w:szCs w:val="30"/>
          <w:highlight w:val="none"/>
          <w:u w:val="single"/>
        </w:rPr>
      </w:pPr>
      <w:r>
        <w:rPr>
          <w:rFonts w:hint="eastAsia" w:ascii="宋体" w:hAnsi="宋体" w:eastAsia="宋体" w:cs="宋体"/>
          <w:b/>
          <w:color w:val="000000"/>
          <w:sz w:val="30"/>
          <w:szCs w:val="30"/>
          <w:highlight w:val="none"/>
        </w:rPr>
        <w:t>法定代表人或其委托代理人：</w:t>
      </w:r>
      <w:r>
        <w:rPr>
          <w:rFonts w:hint="eastAsia" w:ascii="宋体" w:hAnsi="宋体" w:eastAsia="宋体" w:cs="宋体"/>
          <w:b/>
          <w:bCs/>
          <w:color w:val="000000"/>
          <w:kern w:val="2"/>
          <w:sz w:val="30"/>
          <w:szCs w:val="30"/>
          <w:highlight w:val="none"/>
          <w:u w:val="single"/>
        </w:rPr>
        <w:t xml:space="preserve">     (签字或盖章)</w:t>
      </w:r>
    </w:p>
    <w:p w14:paraId="5296D44F">
      <w:pPr>
        <w:spacing w:line="360" w:lineRule="auto"/>
        <w:jc w:val="center"/>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u w:val="single"/>
        </w:rPr>
        <w:t xml:space="preserve">       </w:t>
      </w:r>
      <w:r>
        <w:rPr>
          <w:rFonts w:hint="eastAsia" w:ascii="宋体" w:hAnsi="宋体" w:eastAsia="宋体" w:cs="宋体"/>
          <w:b/>
          <w:bCs/>
          <w:color w:val="000000"/>
          <w:sz w:val="32"/>
          <w:szCs w:val="32"/>
          <w:highlight w:val="none"/>
        </w:rPr>
        <w:t>年</w:t>
      </w:r>
      <w:r>
        <w:rPr>
          <w:rFonts w:hint="eastAsia" w:ascii="宋体" w:hAnsi="宋体" w:eastAsia="宋体" w:cs="宋体"/>
          <w:b/>
          <w:bCs/>
          <w:color w:val="000000"/>
          <w:sz w:val="32"/>
          <w:szCs w:val="32"/>
          <w:highlight w:val="none"/>
          <w:u w:val="single"/>
        </w:rPr>
        <w:t xml:space="preserve">    </w:t>
      </w:r>
      <w:r>
        <w:rPr>
          <w:rFonts w:hint="eastAsia" w:ascii="宋体" w:hAnsi="宋体" w:eastAsia="宋体" w:cs="宋体"/>
          <w:b/>
          <w:bCs/>
          <w:color w:val="000000"/>
          <w:sz w:val="32"/>
          <w:szCs w:val="32"/>
          <w:highlight w:val="none"/>
        </w:rPr>
        <w:t>月</w:t>
      </w:r>
      <w:r>
        <w:rPr>
          <w:rFonts w:hint="eastAsia" w:ascii="宋体" w:hAnsi="宋体" w:eastAsia="宋体" w:cs="宋体"/>
          <w:b/>
          <w:bCs/>
          <w:color w:val="000000"/>
          <w:sz w:val="32"/>
          <w:szCs w:val="32"/>
          <w:highlight w:val="none"/>
          <w:u w:val="single"/>
        </w:rPr>
        <w:t xml:space="preserve">    </w:t>
      </w:r>
      <w:r>
        <w:rPr>
          <w:rFonts w:hint="eastAsia" w:ascii="宋体" w:hAnsi="宋体" w:eastAsia="宋体" w:cs="宋体"/>
          <w:b/>
          <w:bCs/>
          <w:color w:val="000000"/>
          <w:sz w:val="32"/>
          <w:szCs w:val="32"/>
          <w:highlight w:val="none"/>
        </w:rPr>
        <w:t>日</w:t>
      </w:r>
    </w:p>
    <w:p w14:paraId="63255EB6">
      <w:pPr>
        <w:pStyle w:val="24"/>
        <w:spacing w:line="540" w:lineRule="atLeast"/>
        <w:ind w:right="71"/>
        <w:jc w:val="center"/>
        <w:rPr>
          <w:rFonts w:hint="eastAsia" w:ascii="宋体" w:hAnsi="宋体" w:eastAsia="宋体" w:cs="宋体"/>
          <w:b/>
          <w:bCs/>
          <w:color w:val="000000"/>
          <w:sz w:val="32"/>
          <w:szCs w:val="32"/>
          <w:highlight w:val="none"/>
        </w:rPr>
      </w:pPr>
    </w:p>
    <w:p w14:paraId="441B94A1">
      <w:pPr>
        <w:pStyle w:val="24"/>
        <w:spacing w:line="540" w:lineRule="atLeast"/>
        <w:ind w:right="71"/>
        <w:jc w:val="center"/>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rPr>
        <w:t>目  录</w:t>
      </w:r>
    </w:p>
    <w:p w14:paraId="13F96B3D">
      <w:pPr>
        <w:spacing w:line="480" w:lineRule="auto"/>
        <w:ind w:firstLine="480" w:firstLineChars="200"/>
        <w:rPr>
          <w:rFonts w:hint="eastAsia" w:ascii="宋体" w:hAnsi="宋体" w:eastAsia="宋体" w:cs="宋体"/>
          <w:color w:val="000000"/>
          <w:sz w:val="24"/>
          <w:highlight w:val="none"/>
          <w:lang w:val="zh-CN"/>
        </w:rPr>
      </w:pPr>
    </w:p>
    <w:p w14:paraId="16E089CE">
      <w:pPr>
        <w:spacing w:line="480" w:lineRule="auto"/>
        <w:ind w:firstLine="480" w:firstLineChars="200"/>
        <w:rPr>
          <w:rFonts w:hint="eastAsia" w:ascii="宋体" w:hAnsi="宋体" w:eastAsia="宋体" w:cs="宋体"/>
          <w:color w:val="000000"/>
          <w:sz w:val="24"/>
          <w:highlight w:val="none"/>
          <w:lang w:val="zh-CN"/>
        </w:rPr>
      </w:pPr>
      <w:r>
        <w:rPr>
          <w:rFonts w:hint="eastAsia" w:ascii="宋体" w:hAnsi="宋体" w:eastAsia="宋体" w:cs="宋体"/>
          <w:color w:val="000000"/>
          <w:sz w:val="24"/>
          <w:highlight w:val="none"/>
          <w:lang w:val="zh-CN"/>
        </w:rPr>
        <w:t>一、投标函</w:t>
      </w:r>
    </w:p>
    <w:p w14:paraId="5BE4A770">
      <w:pPr>
        <w:spacing w:line="480" w:lineRule="auto"/>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lang w:val="zh-CN"/>
        </w:rPr>
        <w:t>二、法定代表人证明书</w:t>
      </w:r>
    </w:p>
    <w:p w14:paraId="00DE5CBE">
      <w:pPr>
        <w:spacing w:line="480" w:lineRule="auto"/>
        <w:ind w:firstLine="480" w:firstLineChars="200"/>
        <w:rPr>
          <w:rFonts w:hint="eastAsia" w:ascii="宋体" w:hAnsi="宋体" w:eastAsia="宋体" w:cs="宋体"/>
          <w:color w:val="000000"/>
          <w:sz w:val="24"/>
          <w:highlight w:val="none"/>
          <w:lang w:val="zh-CN"/>
        </w:rPr>
      </w:pPr>
      <w:r>
        <w:rPr>
          <w:rFonts w:hint="eastAsia" w:ascii="宋体" w:hAnsi="宋体" w:eastAsia="宋体" w:cs="宋体"/>
          <w:color w:val="000000"/>
          <w:sz w:val="24"/>
          <w:highlight w:val="none"/>
          <w:lang w:val="zh-CN"/>
        </w:rPr>
        <w:t>三、授权委托书</w:t>
      </w:r>
    </w:p>
    <w:p w14:paraId="32E658E1">
      <w:pPr>
        <w:spacing w:line="480" w:lineRule="auto"/>
        <w:ind w:firstLine="480" w:firstLineChars="200"/>
        <w:rPr>
          <w:rFonts w:hint="eastAsia" w:ascii="宋体" w:hAnsi="宋体" w:eastAsia="宋体" w:cs="宋体"/>
          <w:color w:val="000000"/>
          <w:sz w:val="24"/>
          <w:highlight w:val="none"/>
          <w:lang w:val="zh-CN"/>
        </w:rPr>
      </w:pPr>
      <w:r>
        <w:rPr>
          <w:rFonts w:hint="eastAsia" w:ascii="宋体" w:hAnsi="宋体" w:eastAsia="宋体" w:cs="宋体"/>
          <w:color w:val="000000"/>
          <w:sz w:val="24"/>
          <w:highlight w:val="none"/>
          <w:lang w:val="zh-CN"/>
        </w:rPr>
        <w:t>四、资格审查资料</w:t>
      </w:r>
    </w:p>
    <w:p w14:paraId="36495D98">
      <w:pPr>
        <w:spacing w:line="480" w:lineRule="auto"/>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lang w:val="zh-CN"/>
        </w:rPr>
        <w:t>五、缴纳投标保证的凭证</w:t>
      </w:r>
    </w:p>
    <w:p w14:paraId="4BE2D604">
      <w:pPr>
        <w:spacing w:line="480" w:lineRule="auto"/>
        <w:ind w:firstLine="480" w:firstLineChars="200"/>
        <w:rPr>
          <w:rFonts w:hint="eastAsia" w:ascii="宋体" w:hAnsi="宋体" w:eastAsia="宋体" w:cs="宋体"/>
          <w:color w:val="000000"/>
          <w:sz w:val="24"/>
          <w:highlight w:val="none"/>
          <w:lang w:val="zh-CN"/>
        </w:rPr>
      </w:pPr>
      <w:r>
        <w:rPr>
          <w:rFonts w:hint="eastAsia" w:ascii="宋体" w:hAnsi="宋体" w:eastAsia="宋体" w:cs="宋体"/>
          <w:color w:val="000000"/>
          <w:sz w:val="24"/>
          <w:highlight w:val="none"/>
          <w:lang w:val="zh-CN"/>
        </w:rPr>
        <w:t>六、投标辅助资料</w:t>
      </w:r>
    </w:p>
    <w:p w14:paraId="61D4A415">
      <w:pPr>
        <w:spacing w:line="480" w:lineRule="auto"/>
        <w:ind w:firstLine="480" w:firstLineChars="200"/>
        <w:rPr>
          <w:rFonts w:hint="eastAsia" w:ascii="宋体" w:hAnsi="宋体" w:eastAsia="宋体" w:cs="宋体"/>
          <w:color w:val="000000"/>
          <w:sz w:val="24"/>
          <w:highlight w:val="none"/>
          <w:lang w:val="zh-CN"/>
        </w:rPr>
      </w:pPr>
      <w:r>
        <w:rPr>
          <w:rFonts w:hint="eastAsia" w:ascii="宋体" w:hAnsi="宋体" w:eastAsia="宋体" w:cs="宋体"/>
          <w:color w:val="000000"/>
          <w:sz w:val="24"/>
          <w:highlight w:val="none"/>
          <w:lang w:val="zh-CN"/>
        </w:rPr>
        <w:t>七、其他材料</w:t>
      </w:r>
    </w:p>
    <w:p w14:paraId="15ABFD41">
      <w:pPr>
        <w:spacing w:line="360" w:lineRule="auto"/>
        <w:ind w:firstLine="420" w:firstLineChars="200"/>
        <w:rPr>
          <w:rFonts w:hint="eastAsia" w:ascii="宋体" w:hAnsi="宋体" w:eastAsia="宋体" w:cs="宋体"/>
          <w:color w:val="000000"/>
          <w:szCs w:val="21"/>
          <w:highlight w:val="none"/>
          <w:lang w:val="zh-CN"/>
        </w:rPr>
      </w:pPr>
      <w:r>
        <w:rPr>
          <w:rFonts w:hint="eastAsia" w:ascii="宋体" w:hAnsi="宋体" w:eastAsia="宋体" w:cs="宋体"/>
          <w:color w:val="000000"/>
          <w:szCs w:val="21"/>
          <w:highlight w:val="none"/>
        </w:rPr>
        <w:t>本目录不作为格式目录，为便于评标委员会评审，</w:t>
      </w:r>
      <w:r>
        <w:rPr>
          <w:rFonts w:hint="eastAsia" w:ascii="宋体" w:hAnsi="宋体" w:eastAsia="宋体" w:cs="宋体"/>
          <w:color w:val="000000"/>
          <w:szCs w:val="21"/>
          <w:highlight w:val="none"/>
          <w:lang w:val="zh-CN"/>
        </w:rPr>
        <w:t>投标人可自行编制目录并编制页码。</w:t>
      </w:r>
    </w:p>
    <w:p w14:paraId="5914B5D2">
      <w:pPr>
        <w:rPr>
          <w:rFonts w:hint="eastAsia" w:ascii="宋体" w:hAnsi="宋体" w:eastAsia="宋体" w:cs="宋体"/>
          <w:color w:val="000000"/>
          <w:highlight w:val="none"/>
        </w:rPr>
      </w:pPr>
    </w:p>
    <w:p w14:paraId="2863A4C6">
      <w:pPr>
        <w:rPr>
          <w:rFonts w:hint="eastAsia" w:ascii="宋体" w:hAnsi="宋体" w:eastAsia="宋体" w:cs="宋体"/>
          <w:color w:val="000000"/>
          <w:highlight w:val="none"/>
        </w:rPr>
      </w:pPr>
    </w:p>
    <w:p w14:paraId="7FBE469D">
      <w:pPr>
        <w:rPr>
          <w:rFonts w:hint="eastAsia" w:ascii="宋体" w:hAnsi="宋体" w:eastAsia="宋体" w:cs="宋体"/>
          <w:color w:val="000000"/>
          <w:highlight w:val="none"/>
        </w:rPr>
      </w:pPr>
    </w:p>
    <w:p w14:paraId="15939BC3">
      <w:pPr>
        <w:rPr>
          <w:rFonts w:hint="eastAsia" w:ascii="宋体" w:hAnsi="宋体" w:eastAsia="宋体" w:cs="宋体"/>
          <w:color w:val="000000"/>
          <w:highlight w:val="none"/>
        </w:rPr>
      </w:pPr>
    </w:p>
    <w:p w14:paraId="413A7D0E">
      <w:pPr>
        <w:rPr>
          <w:rFonts w:hint="eastAsia" w:ascii="宋体" w:hAnsi="宋体" w:eastAsia="宋体" w:cs="宋体"/>
          <w:color w:val="000000"/>
          <w:highlight w:val="none"/>
        </w:rPr>
      </w:pPr>
    </w:p>
    <w:p w14:paraId="064BD4CC">
      <w:pPr>
        <w:rPr>
          <w:rFonts w:hint="eastAsia" w:ascii="宋体" w:hAnsi="宋体" w:eastAsia="宋体" w:cs="宋体"/>
          <w:color w:val="000000"/>
          <w:highlight w:val="none"/>
        </w:rPr>
      </w:pPr>
    </w:p>
    <w:p w14:paraId="2D91A35A">
      <w:pPr>
        <w:bidi w:val="0"/>
        <w:rPr>
          <w:rFonts w:hint="eastAsia" w:ascii="宋体" w:hAnsi="宋体" w:eastAsia="宋体" w:cs="宋体"/>
          <w:color w:val="000000"/>
        </w:rPr>
      </w:pPr>
    </w:p>
    <w:p w14:paraId="452A58A3">
      <w:pPr>
        <w:bidi w:val="0"/>
        <w:rPr>
          <w:rFonts w:hint="eastAsia" w:ascii="宋体" w:hAnsi="宋体" w:eastAsia="宋体" w:cs="宋体"/>
          <w:color w:val="000000"/>
        </w:rPr>
      </w:pPr>
    </w:p>
    <w:p w14:paraId="428A526F">
      <w:pPr>
        <w:bidi w:val="0"/>
        <w:rPr>
          <w:rFonts w:hint="eastAsia" w:ascii="宋体" w:hAnsi="宋体" w:eastAsia="宋体" w:cs="宋体"/>
          <w:color w:val="000000"/>
        </w:rPr>
      </w:pPr>
    </w:p>
    <w:p w14:paraId="6CA2972C">
      <w:pPr>
        <w:bidi w:val="0"/>
        <w:rPr>
          <w:rFonts w:hint="eastAsia" w:ascii="宋体" w:hAnsi="宋体" w:eastAsia="宋体" w:cs="宋体"/>
          <w:color w:val="000000"/>
        </w:rPr>
      </w:pPr>
    </w:p>
    <w:p w14:paraId="4C83D3A9">
      <w:pPr>
        <w:bidi w:val="0"/>
        <w:rPr>
          <w:rFonts w:hint="eastAsia" w:ascii="宋体" w:hAnsi="宋体" w:eastAsia="宋体" w:cs="宋体"/>
          <w:color w:val="000000"/>
        </w:rPr>
      </w:pPr>
    </w:p>
    <w:p w14:paraId="0E8F53AA">
      <w:pPr>
        <w:bidi w:val="0"/>
        <w:rPr>
          <w:rFonts w:hint="eastAsia" w:ascii="宋体" w:hAnsi="宋体" w:eastAsia="宋体" w:cs="宋体"/>
          <w:color w:val="000000"/>
        </w:rPr>
      </w:pPr>
    </w:p>
    <w:p w14:paraId="5A4CE243">
      <w:pPr>
        <w:bidi w:val="0"/>
        <w:rPr>
          <w:rFonts w:hint="eastAsia" w:ascii="宋体" w:hAnsi="宋体" w:eastAsia="宋体" w:cs="宋体"/>
          <w:color w:val="000000"/>
        </w:rPr>
      </w:pPr>
    </w:p>
    <w:p w14:paraId="1CA99AEB">
      <w:pPr>
        <w:bidi w:val="0"/>
        <w:rPr>
          <w:rFonts w:hint="eastAsia" w:ascii="宋体" w:hAnsi="宋体" w:eastAsia="宋体" w:cs="宋体"/>
          <w:color w:val="000000"/>
        </w:rPr>
      </w:pPr>
    </w:p>
    <w:p w14:paraId="0DE4A905">
      <w:pPr>
        <w:bidi w:val="0"/>
        <w:rPr>
          <w:rFonts w:hint="eastAsia" w:ascii="宋体" w:hAnsi="宋体" w:eastAsia="宋体" w:cs="宋体"/>
          <w:color w:val="000000"/>
        </w:rPr>
      </w:pPr>
    </w:p>
    <w:p w14:paraId="24B58A2D">
      <w:pPr>
        <w:bidi w:val="0"/>
        <w:rPr>
          <w:rFonts w:hint="eastAsia" w:ascii="宋体" w:hAnsi="宋体" w:eastAsia="宋体" w:cs="宋体"/>
          <w:color w:val="000000"/>
        </w:rPr>
      </w:pPr>
    </w:p>
    <w:p w14:paraId="05F4F3E8">
      <w:pPr>
        <w:bidi w:val="0"/>
        <w:rPr>
          <w:rFonts w:hint="eastAsia" w:ascii="宋体" w:hAnsi="宋体" w:eastAsia="宋体" w:cs="宋体"/>
          <w:color w:val="000000"/>
        </w:rPr>
      </w:pPr>
    </w:p>
    <w:p w14:paraId="38D90CBE">
      <w:pPr>
        <w:bidi w:val="0"/>
        <w:rPr>
          <w:rFonts w:hint="eastAsia" w:ascii="宋体" w:hAnsi="宋体" w:eastAsia="宋体" w:cs="宋体"/>
          <w:color w:val="000000"/>
        </w:rPr>
      </w:pPr>
    </w:p>
    <w:p w14:paraId="337ACB67">
      <w:pPr>
        <w:bidi w:val="0"/>
        <w:rPr>
          <w:rFonts w:hint="eastAsia" w:ascii="宋体" w:hAnsi="宋体" w:eastAsia="宋体" w:cs="宋体"/>
          <w:color w:val="000000"/>
        </w:rPr>
      </w:pPr>
    </w:p>
    <w:p w14:paraId="51B6C849">
      <w:pPr>
        <w:bidi w:val="0"/>
        <w:rPr>
          <w:rFonts w:hint="eastAsia" w:ascii="宋体" w:hAnsi="宋体" w:eastAsia="宋体" w:cs="宋体"/>
          <w:color w:val="000000"/>
        </w:rPr>
      </w:pPr>
    </w:p>
    <w:p w14:paraId="20979EA6">
      <w:pPr>
        <w:bidi w:val="0"/>
        <w:rPr>
          <w:rFonts w:hint="eastAsia" w:ascii="宋体" w:hAnsi="宋体" w:eastAsia="宋体" w:cs="宋体"/>
          <w:color w:val="000000"/>
        </w:rPr>
      </w:pPr>
    </w:p>
    <w:p w14:paraId="37557A2D">
      <w:pPr>
        <w:bidi w:val="0"/>
        <w:rPr>
          <w:rFonts w:hint="eastAsia" w:ascii="宋体" w:hAnsi="宋体" w:eastAsia="宋体" w:cs="宋体"/>
          <w:color w:val="000000"/>
        </w:rPr>
      </w:pPr>
    </w:p>
    <w:p w14:paraId="48BE315E">
      <w:pPr>
        <w:spacing w:before="156" w:beforeLines="50" w:after="156" w:afterLines="50" w:line="540" w:lineRule="exact"/>
        <w:jc w:val="center"/>
        <w:outlineLvl w:val="9"/>
        <w:rPr>
          <w:rFonts w:hint="eastAsia" w:ascii="宋体" w:hAnsi="宋体" w:eastAsia="宋体" w:cs="宋体"/>
          <w:b/>
          <w:color w:val="000000"/>
          <w:sz w:val="30"/>
          <w:szCs w:val="30"/>
          <w:highlight w:val="none"/>
        </w:rPr>
      </w:pPr>
      <w:bookmarkStart w:id="157" w:name="_Toc5492"/>
    </w:p>
    <w:p w14:paraId="4FE8207E">
      <w:pPr>
        <w:spacing w:before="156" w:beforeLines="50" w:after="156" w:afterLines="50" w:line="540" w:lineRule="exact"/>
        <w:jc w:val="center"/>
        <w:outlineLvl w:val="9"/>
        <w:rPr>
          <w:rFonts w:hint="eastAsia" w:ascii="宋体" w:hAnsi="宋体" w:eastAsia="宋体" w:cs="宋体"/>
          <w:b/>
          <w:color w:val="000000"/>
          <w:sz w:val="30"/>
          <w:szCs w:val="30"/>
          <w:highlight w:val="none"/>
        </w:rPr>
      </w:pPr>
      <w:r>
        <w:rPr>
          <w:rFonts w:hint="eastAsia" w:ascii="宋体" w:hAnsi="宋体" w:eastAsia="宋体" w:cs="宋体"/>
          <w:b/>
          <w:color w:val="000000"/>
          <w:sz w:val="30"/>
          <w:szCs w:val="30"/>
          <w:highlight w:val="none"/>
        </w:rPr>
        <w:t>一、投标函</w:t>
      </w:r>
      <w:bookmarkEnd w:id="157"/>
    </w:p>
    <w:p w14:paraId="2C2A3912">
      <w:pPr>
        <w:spacing w:line="500" w:lineRule="exact"/>
        <w:outlineLvl w:val="9"/>
        <w:rPr>
          <w:rFonts w:hint="eastAsia" w:ascii="宋体" w:hAnsi="宋体" w:eastAsia="宋体" w:cs="宋体"/>
          <w:color w:val="000000"/>
          <w:spacing w:val="2"/>
          <w:sz w:val="24"/>
          <w:highlight w:val="none"/>
        </w:rPr>
      </w:pPr>
      <w:r>
        <w:rPr>
          <w:rFonts w:hint="eastAsia" w:ascii="宋体" w:hAnsi="宋体" w:eastAsia="宋体" w:cs="宋体"/>
          <w:color w:val="000000"/>
          <w:spacing w:val="2"/>
          <w:sz w:val="24"/>
          <w:highlight w:val="none"/>
          <w:u w:val="single"/>
        </w:rPr>
        <w:t xml:space="preserve">                    （招标人）</w:t>
      </w:r>
      <w:r>
        <w:rPr>
          <w:rFonts w:hint="eastAsia" w:ascii="宋体" w:hAnsi="宋体" w:eastAsia="宋体" w:cs="宋体"/>
          <w:color w:val="000000"/>
          <w:spacing w:val="2"/>
          <w:sz w:val="24"/>
          <w:highlight w:val="none"/>
        </w:rPr>
        <w:t>：</w:t>
      </w:r>
    </w:p>
    <w:p w14:paraId="258359BB">
      <w:pPr>
        <w:spacing w:line="500" w:lineRule="exact"/>
        <w:ind w:firstLine="567"/>
        <w:jc w:val="left"/>
        <w:outlineLvl w:val="9"/>
        <w:rPr>
          <w:rFonts w:hint="eastAsia" w:ascii="宋体" w:hAnsi="宋体" w:eastAsia="宋体" w:cs="宋体"/>
          <w:color w:val="000000"/>
          <w:spacing w:val="2"/>
          <w:sz w:val="24"/>
          <w:highlight w:val="none"/>
        </w:rPr>
      </w:pPr>
      <w:r>
        <w:rPr>
          <w:rFonts w:hint="eastAsia" w:ascii="宋体" w:hAnsi="宋体" w:eastAsia="宋体" w:cs="宋体"/>
          <w:color w:val="000000"/>
          <w:sz w:val="24"/>
          <w:highlight w:val="none"/>
        </w:rPr>
        <w:t>1</w:t>
      </w:r>
      <w:r>
        <w:rPr>
          <w:rFonts w:hint="eastAsia" w:ascii="宋体" w:hAnsi="宋体" w:eastAsia="宋体" w:cs="宋体"/>
          <w:color w:val="000000"/>
          <w:spacing w:val="2"/>
          <w:sz w:val="24"/>
          <w:highlight w:val="none"/>
        </w:rPr>
        <w:t>.我方已仔细研究了</w:t>
      </w:r>
      <w:r>
        <w:rPr>
          <w:rFonts w:hint="eastAsia" w:ascii="宋体" w:hAnsi="宋体" w:eastAsia="宋体" w:cs="宋体"/>
          <w:color w:val="000000"/>
          <w:spacing w:val="2"/>
          <w:sz w:val="24"/>
          <w:highlight w:val="none"/>
          <w:u w:val="single"/>
        </w:rPr>
        <w:t xml:space="preserve">   </w:t>
      </w:r>
      <w:r>
        <w:rPr>
          <w:rFonts w:hint="eastAsia" w:ascii="宋体" w:hAnsi="宋体" w:eastAsia="宋体" w:cs="宋体"/>
          <w:color w:val="000000"/>
          <w:sz w:val="24"/>
          <w:highlight w:val="none"/>
          <w:u w:val="single"/>
        </w:rPr>
        <w:t>（项目名称）</w:t>
      </w:r>
      <w:r>
        <w:rPr>
          <w:rFonts w:hint="eastAsia" w:ascii="宋体" w:hAnsi="宋体" w:eastAsia="宋体" w:cs="宋体"/>
          <w:color w:val="000000"/>
          <w:spacing w:val="2"/>
          <w:sz w:val="24"/>
          <w:highlight w:val="none"/>
          <w:u w:val="single"/>
        </w:rPr>
        <w:t xml:space="preserve">              </w:t>
      </w:r>
      <w:r>
        <w:rPr>
          <w:rFonts w:hint="eastAsia" w:ascii="宋体" w:hAnsi="宋体" w:eastAsia="宋体" w:cs="宋体"/>
          <w:color w:val="000000"/>
          <w:spacing w:val="2"/>
          <w:sz w:val="24"/>
          <w:highlight w:val="none"/>
        </w:rPr>
        <w:t>招标文件的全部内容并察勘了现场，决定参与该工程的投标，勘察</w:t>
      </w:r>
      <w:r>
        <w:rPr>
          <w:rFonts w:hint="eastAsia" w:ascii="宋体" w:hAnsi="宋体" w:eastAsia="宋体" w:cs="宋体"/>
          <w:color w:val="000000"/>
          <w:spacing w:val="-3"/>
          <w:sz w:val="24"/>
          <w:highlight w:val="none"/>
        </w:rPr>
        <w:t>设</w:t>
      </w:r>
      <w:r>
        <w:rPr>
          <w:rFonts w:hint="eastAsia" w:ascii="宋体" w:hAnsi="宋体" w:eastAsia="宋体" w:cs="宋体"/>
          <w:color w:val="000000"/>
          <w:sz w:val="24"/>
          <w:highlight w:val="none"/>
        </w:rPr>
        <w:t>计</w:t>
      </w:r>
      <w:r>
        <w:rPr>
          <w:rFonts w:hint="eastAsia" w:ascii="宋体" w:hAnsi="宋体" w:eastAsia="宋体" w:cs="宋体"/>
          <w:color w:val="000000"/>
          <w:spacing w:val="-3"/>
          <w:sz w:val="24"/>
          <w:highlight w:val="none"/>
        </w:rPr>
        <w:t>服</w:t>
      </w:r>
      <w:r>
        <w:rPr>
          <w:rFonts w:hint="eastAsia" w:ascii="宋体" w:hAnsi="宋体" w:eastAsia="宋体" w:cs="宋体"/>
          <w:color w:val="000000"/>
          <w:sz w:val="24"/>
          <w:highlight w:val="none"/>
        </w:rPr>
        <w:t>务期</w:t>
      </w:r>
      <w:r>
        <w:rPr>
          <w:rFonts w:hint="eastAsia" w:ascii="宋体" w:hAnsi="宋体" w:eastAsia="宋体" w:cs="宋体"/>
          <w:color w:val="000000"/>
          <w:spacing w:val="-3"/>
          <w:sz w:val="24"/>
          <w:highlight w:val="none"/>
        </w:rPr>
        <w:t>限</w:t>
      </w:r>
      <w:r>
        <w:rPr>
          <w:rFonts w:hint="eastAsia" w:ascii="宋体" w:hAnsi="宋体" w:eastAsia="宋体" w:cs="宋体"/>
          <w:color w:val="000000"/>
          <w:sz w:val="24"/>
          <w:highlight w:val="none"/>
        </w:rPr>
        <w:t>：</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u w:val="single"/>
        </w:rPr>
        <w:tab/>
      </w:r>
      <w:r>
        <w:rPr>
          <w:rFonts w:hint="eastAsia" w:ascii="宋体" w:hAnsi="宋体" w:eastAsia="宋体" w:cs="宋体"/>
          <w:color w:val="000000"/>
          <w:sz w:val="24"/>
          <w:highlight w:val="none"/>
        </w:rPr>
        <w:t>日</w:t>
      </w:r>
      <w:r>
        <w:rPr>
          <w:rFonts w:hint="eastAsia" w:ascii="宋体" w:hAnsi="宋体" w:eastAsia="宋体" w:cs="宋体"/>
          <w:color w:val="000000"/>
          <w:spacing w:val="-3"/>
          <w:sz w:val="24"/>
          <w:highlight w:val="none"/>
        </w:rPr>
        <w:t>历</w:t>
      </w:r>
      <w:r>
        <w:rPr>
          <w:rFonts w:hint="eastAsia" w:ascii="宋体" w:hAnsi="宋体" w:eastAsia="宋体" w:cs="宋体"/>
          <w:color w:val="000000"/>
          <w:sz w:val="24"/>
          <w:highlight w:val="none"/>
        </w:rPr>
        <w:t>天</w:t>
      </w:r>
      <w:r>
        <w:rPr>
          <w:rFonts w:hint="eastAsia" w:ascii="宋体" w:hAnsi="宋体" w:eastAsia="宋体" w:cs="宋体"/>
          <w:color w:val="000000"/>
          <w:spacing w:val="-3"/>
          <w:sz w:val="24"/>
          <w:highlight w:val="none"/>
        </w:rPr>
        <w:t>。</w:t>
      </w:r>
      <w:r>
        <w:rPr>
          <w:rFonts w:hint="eastAsia" w:ascii="宋体" w:hAnsi="宋体" w:eastAsia="宋体" w:cs="宋体"/>
          <w:color w:val="000000"/>
          <w:spacing w:val="2"/>
          <w:sz w:val="24"/>
          <w:highlight w:val="none"/>
        </w:rPr>
        <w:t>我方将按照招标文件的有关规定完成合同规定的全部工作，并承担相关责任。</w:t>
      </w:r>
    </w:p>
    <w:p w14:paraId="129E27B5">
      <w:pPr>
        <w:spacing w:line="500" w:lineRule="exact"/>
        <w:ind w:firstLine="567"/>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2.我方提交的投标文件（包括投标报价书和其他投标文件）直至投标有效期满，在此期间被你方接受的上述文件对我方一直具有约束力。我方保证在投标文件有效期内不撤回投标文件，除招标文件另有规定外，不修改投标文件。</w:t>
      </w:r>
    </w:p>
    <w:p w14:paraId="68335E0A">
      <w:pPr>
        <w:spacing w:line="500" w:lineRule="exact"/>
        <w:ind w:firstLine="567"/>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3.随同本投标函递交投标保证金一份，金额为人民币（大写</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元 （¥</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元）。</w:t>
      </w:r>
    </w:p>
    <w:p w14:paraId="6F50CDDD">
      <w:pPr>
        <w:spacing w:line="500" w:lineRule="exact"/>
        <w:ind w:firstLine="567"/>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4.若我方中标，我方保证在收到中标通知书后，按中标通知规定的期限，及时派代表前去签订合同</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lang w:val="en-US" w:eastAsia="zh-CN"/>
        </w:rPr>
        <w:t>并承诺在合同签订时不向你方提出附加条件，在合同规定的期限内完成合同规定的全部义务</w:t>
      </w:r>
      <w:r>
        <w:rPr>
          <w:rFonts w:hint="eastAsia" w:ascii="宋体" w:hAnsi="宋体" w:eastAsia="宋体" w:cs="宋体"/>
          <w:color w:val="000000"/>
          <w:sz w:val="24"/>
          <w:highlight w:val="none"/>
        </w:rPr>
        <w:t>。</w:t>
      </w:r>
    </w:p>
    <w:p w14:paraId="0F838210">
      <w:pPr>
        <w:spacing w:line="500" w:lineRule="exact"/>
        <w:ind w:firstLine="567"/>
        <w:outlineLvl w:val="9"/>
        <w:rPr>
          <w:rFonts w:hint="eastAsia" w:ascii="宋体" w:hAnsi="宋体" w:eastAsia="宋体" w:cs="宋体"/>
          <w:color w:val="000000"/>
          <w:sz w:val="24"/>
          <w:highlight w:val="none"/>
        </w:rPr>
      </w:pPr>
      <w:bookmarkStart w:id="158" w:name="_Toc2260"/>
      <w:r>
        <w:rPr>
          <w:rFonts w:hint="eastAsia" w:ascii="宋体" w:hAnsi="宋体" w:eastAsia="宋体" w:cs="宋体"/>
          <w:color w:val="000000"/>
          <w:sz w:val="24"/>
          <w:highlight w:val="none"/>
        </w:rPr>
        <w:t>5.我方完全理解你方不保证投标价最低的投标人中标。</w:t>
      </w:r>
      <w:bookmarkEnd w:id="158"/>
    </w:p>
    <w:p w14:paraId="1C3B368C">
      <w:pPr>
        <w:spacing w:line="500" w:lineRule="exact"/>
        <w:ind w:firstLine="567"/>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6.我方在此声明，所递交的投标文件及有关资料内容完整、真实和准确，且不存在第二章“投标人须知”第 1.4.3 项规定的任何一种情形。</w:t>
      </w:r>
    </w:p>
    <w:p w14:paraId="50C1B47A">
      <w:pPr>
        <w:spacing w:line="500" w:lineRule="exact"/>
        <w:ind w:firstLine="567"/>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lang w:val="en-US" w:eastAsia="zh-CN"/>
        </w:rPr>
        <w:t>7.</w:t>
      </w:r>
      <w:r>
        <w:rPr>
          <w:rFonts w:hint="eastAsia" w:ascii="宋体" w:hAnsi="宋体" w:eastAsia="宋体" w:cs="宋体"/>
          <w:color w:val="000000"/>
          <w:sz w:val="24"/>
          <w:highlight w:val="none"/>
          <w:u w:val="single"/>
        </w:rPr>
        <w:t>（其它补充说明）</w:t>
      </w:r>
      <w:r>
        <w:rPr>
          <w:rFonts w:hint="eastAsia" w:ascii="宋体" w:hAnsi="宋体" w:eastAsia="宋体" w:cs="宋体"/>
          <w:color w:val="000000"/>
          <w:sz w:val="24"/>
          <w:highlight w:val="none"/>
        </w:rPr>
        <w:t>。</w:t>
      </w:r>
    </w:p>
    <w:p w14:paraId="048FD6C3">
      <w:pPr>
        <w:pStyle w:val="7"/>
        <w:tabs>
          <w:tab w:val="left" w:pos="7381"/>
        </w:tabs>
        <w:wordWrap w:val="0"/>
        <w:adjustRightInd w:val="0"/>
        <w:snapToGrid w:val="0"/>
        <w:spacing w:before="7"/>
        <w:ind w:left="2761"/>
        <w:outlineLvl w:val="9"/>
        <w:rPr>
          <w:rFonts w:hint="eastAsia" w:ascii="宋体" w:hAnsi="宋体" w:eastAsia="宋体" w:cs="宋体"/>
          <w:color w:val="000000"/>
          <w:sz w:val="24"/>
          <w:szCs w:val="24"/>
          <w:highlight w:val="none"/>
        </w:rPr>
      </w:pPr>
    </w:p>
    <w:p w14:paraId="4539500A">
      <w:pPr>
        <w:pStyle w:val="7"/>
        <w:tabs>
          <w:tab w:val="left" w:pos="7381"/>
        </w:tabs>
        <w:wordWrap w:val="0"/>
        <w:adjustRightInd w:val="0"/>
        <w:snapToGrid w:val="0"/>
        <w:spacing w:before="7"/>
        <w:ind w:left="2761"/>
        <w:outlineLvl w:val="9"/>
        <w:rPr>
          <w:rFonts w:hint="eastAsia" w:ascii="宋体" w:hAnsi="宋体" w:eastAsia="宋体" w:cs="宋体"/>
          <w:color w:val="000000"/>
          <w:sz w:val="24"/>
          <w:szCs w:val="24"/>
          <w:highlight w:val="none"/>
        </w:rPr>
      </w:pPr>
    </w:p>
    <w:p w14:paraId="7F338BDF">
      <w:pPr>
        <w:pStyle w:val="7"/>
        <w:tabs>
          <w:tab w:val="left" w:pos="7381"/>
        </w:tabs>
        <w:wordWrap w:val="0"/>
        <w:adjustRightInd w:val="0"/>
        <w:snapToGrid w:val="0"/>
        <w:spacing w:before="7"/>
        <w:ind w:left="2761"/>
        <w:outlineLvl w:val="9"/>
        <w:rPr>
          <w:rFonts w:hint="eastAsia" w:ascii="宋体" w:hAnsi="宋体" w:eastAsia="宋体" w:cs="宋体"/>
          <w:color w:val="000000"/>
          <w:sz w:val="24"/>
          <w:szCs w:val="24"/>
          <w:highlight w:val="none"/>
        </w:rPr>
      </w:pPr>
    </w:p>
    <w:p w14:paraId="270D9589">
      <w:pPr>
        <w:pStyle w:val="7"/>
        <w:tabs>
          <w:tab w:val="left" w:pos="7381"/>
        </w:tabs>
        <w:wordWrap w:val="0"/>
        <w:adjustRightInd w:val="0"/>
        <w:snapToGrid w:val="0"/>
        <w:spacing w:before="7"/>
        <w:ind w:left="2761"/>
        <w:outlineLvl w:val="9"/>
        <w:rPr>
          <w:rFonts w:hint="eastAsia" w:ascii="宋体" w:hAnsi="宋体" w:eastAsia="宋体" w:cs="宋体"/>
          <w:color w:val="000000"/>
          <w:sz w:val="24"/>
          <w:szCs w:val="24"/>
          <w:highlight w:val="none"/>
        </w:rPr>
      </w:pPr>
    </w:p>
    <w:p w14:paraId="347B9B99">
      <w:pPr>
        <w:pStyle w:val="7"/>
        <w:tabs>
          <w:tab w:val="left" w:pos="7381"/>
        </w:tabs>
        <w:wordWrap w:val="0"/>
        <w:adjustRightInd w:val="0"/>
        <w:snapToGrid w:val="0"/>
        <w:spacing w:before="7" w:line="360" w:lineRule="auto"/>
        <w:ind w:left="2761"/>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  标</w:t>
      </w:r>
      <w:r>
        <w:rPr>
          <w:rFonts w:hint="eastAsia" w:ascii="宋体" w:hAnsi="宋体" w:eastAsia="宋体" w:cs="宋体"/>
          <w:color w:val="000000"/>
          <w:spacing w:val="45"/>
          <w:sz w:val="24"/>
          <w:szCs w:val="24"/>
          <w:highlight w:val="none"/>
        </w:rPr>
        <w:t xml:space="preserve"> </w:t>
      </w:r>
      <w:r>
        <w:rPr>
          <w:rFonts w:hint="eastAsia" w:ascii="宋体" w:hAnsi="宋体" w:eastAsia="宋体" w:cs="宋体"/>
          <w:color w:val="000000"/>
          <w:sz w:val="24"/>
          <w:szCs w:val="24"/>
          <w:highlight w:val="none"/>
        </w:rPr>
        <w:t>人</w:t>
      </w:r>
      <w:r>
        <w:rPr>
          <w:rFonts w:hint="eastAsia" w:ascii="宋体" w:hAnsi="宋体" w:eastAsia="宋体" w:cs="宋体"/>
          <w:color w:val="000000"/>
          <w:spacing w:val="-3"/>
          <w:sz w:val="24"/>
          <w:szCs w:val="24"/>
          <w:highlight w:val="none"/>
        </w:rPr>
        <w:t>：</w:t>
      </w:r>
      <w:r>
        <w:rPr>
          <w:rFonts w:hint="eastAsia" w:ascii="宋体" w:hAnsi="宋体" w:eastAsia="宋体" w:cs="宋体"/>
          <w:color w:val="000000"/>
          <w:spacing w:val="-3"/>
          <w:sz w:val="24"/>
          <w:szCs w:val="24"/>
          <w:highlight w:val="none"/>
          <w:u w:val="single"/>
        </w:rPr>
        <w:t xml:space="preserve"> </w:t>
      </w:r>
      <w:r>
        <w:rPr>
          <w:rFonts w:hint="eastAsia" w:ascii="宋体" w:hAnsi="宋体" w:eastAsia="宋体" w:cs="宋体"/>
          <w:color w:val="000000"/>
          <w:spacing w:val="-3"/>
          <w:sz w:val="24"/>
          <w:szCs w:val="24"/>
          <w:highlight w:val="none"/>
          <w:u w:val="single"/>
        </w:rPr>
        <w:tab/>
      </w:r>
      <w:r>
        <w:rPr>
          <w:rFonts w:hint="eastAsia" w:ascii="宋体" w:hAnsi="宋体" w:eastAsia="宋体" w:cs="宋体"/>
          <w:color w:val="000000"/>
          <w:sz w:val="24"/>
          <w:szCs w:val="24"/>
          <w:highlight w:val="none"/>
        </w:rPr>
        <w:t>（盖</w:t>
      </w:r>
      <w:r>
        <w:rPr>
          <w:rFonts w:hint="eastAsia" w:ascii="宋体" w:hAnsi="宋体" w:eastAsia="宋体" w:cs="宋体"/>
          <w:color w:val="000000"/>
          <w:spacing w:val="-3"/>
          <w:sz w:val="24"/>
          <w:szCs w:val="24"/>
          <w:highlight w:val="none"/>
        </w:rPr>
        <w:t>单</w:t>
      </w:r>
      <w:r>
        <w:rPr>
          <w:rFonts w:hint="eastAsia" w:ascii="宋体" w:hAnsi="宋体" w:eastAsia="宋体" w:cs="宋体"/>
          <w:color w:val="000000"/>
          <w:sz w:val="24"/>
          <w:szCs w:val="24"/>
          <w:highlight w:val="none"/>
        </w:rPr>
        <w:t>位</w:t>
      </w:r>
      <w:r>
        <w:rPr>
          <w:rFonts w:hint="eastAsia" w:ascii="宋体" w:hAnsi="宋体" w:eastAsia="宋体" w:cs="宋体"/>
          <w:color w:val="000000"/>
          <w:spacing w:val="-3"/>
          <w:sz w:val="24"/>
          <w:szCs w:val="24"/>
          <w:highlight w:val="none"/>
        </w:rPr>
        <w:t>章</w:t>
      </w:r>
      <w:r>
        <w:rPr>
          <w:rFonts w:hint="eastAsia" w:ascii="宋体" w:hAnsi="宋体" w:eastAsia="宋体" w:cs="宋体"/>
          <w:color w:val="000000"/>
          <w:sz w:val="24"/>
          <w:szCs w:val="24"/>
          <w:highlight w:val="none"/>
        </w:rPr>
        <w:t>）</w:t>
      </w:r>
    </w:p>
    <w:p w14:paraId="4081B99B">
      <w:pPr>
        <w:pStyle w:val="7"/>
        <w:tabs>
          <w:tab w:val="left" w:pos="7360"/>
        </w:tabs>
        <w:wordWrap w:val="0"/>
        <w:adjustRightInd w:val="0"/>
        <w:snapToGrid w:val="0"/>
        <w:spacing w:before="18" w:line="360" w:lineRule="auto"/>
        <w:ind w:firstLine="2498" w:firstLineChars="1041"/>
        <w:outlineLvl w:val="9"/>
        <w:rPr>
          <w:rFonts w:hint="eastAsia" w:ascii="宋体" w:hAnsi="宋体" w:eastAsia="宋体" w:cs="宋体"/>
          <w:color w:val="000000"/>
          <w:sz w:val="24"/>
          <w:szCs w:val="24"/>
          <w:highlight w:val="none"/>
        </w:rPr>
      </w:pPr>
      <w:bookmarkStart w:id="159" w:name="_Toc2714"/>
      <w:r>
        <w:rPr>
          <w:rFonts w:hint="eastAsia" w:ascii="宋体" w:hAnsi="宋体" w:eastAsia="宋体" w:cs="宋体"/>
          <w:color w:val="000000"/>
          <w:sz w:val="24"/>
          <w:szCs w:val="24"/>
          <w:highlight w:val="none"/>
        </w:rPr>
        <w:t>法</w:t>
      </w:r>
      <w:r>
        <w:rPr>
          <w:rFonts w:hint="eastAsia" w:ascii="宋体" w:hAnsi="宋体" w:eastAsia="宋体" w:cs="宋体"/>
          <w:color w:val="000000"/>
          <w:spacing w:val="-3"/>
          <w:sz w:val="24"/>
          <w:szCs w:val="24"/>
          <w:highlight w:val="none"/>
        </w:rPr>
        <w:t>定</w:t>
      </w:r>
      <w:r>
        <w:rPr>
          <w:rFonts w:hint="eastAsia" w:ascii="宋体" w:hAnsi="宋体" w:eastAsia="宋体" w:cs="宋体"/>
          <w:color w:val="000000"/>
          <w:sz w:val="24"/>
          <w:szCs w:val="24"/>
          <w:highlight w:val="none"/>
        </w:rPr>
        <w:t>代</w:t>
      </w:r>
      <w:r>
        <w:rPr>
          <w:rFonts w:hint="eastAsia" w:ascii="宋体" w:hAnsi="宋体" w:eastAsia="宋体" w:cs="宋体"/>
          <w:color w:val="000000"/>
          <w:spacing w:val="-3"/>
          <w:sz w:val="24"/>
          <w:szCs w:val="24"/>
          <w:highlight w:val="none"/>
        </w:rPr>
        <w:t>表</w:t>
      </w:r>
      <w:r>
        <w:rPr>
          <w:rFonts w:hint="eastAsia" w:ascii="宋体" w:hAnsi="宋体" w:eastAsia="宋体" w:cs="宋体"/>
          <w:color w:val="000000"/>
          <w:sz w:val="24"/>
          <w:szCs w:val="24"/>
          <w:highlight w:val="none"/>
        </w:rPr>
        <w:t>人</w:t>
      </w:r>
      <w:r>
        <w:rPr>
          <w:rFonts w:hint="eastAsia" w:ascii="宋体" w:hAnsi="宋体" w:eastAsia="宋体" w:cs="宋体"/>
          <w:color w:val="000000"/>
          <w:spacing w:val="-3"/>
          <w:sz w:val="24"/>
          <w:szCs w:val="24"/>
          <w:highlight w:val="none"/>
        </w:rPr>
        <w:t>或</w:t>
      </w:r>
      <w:r>
        <w:rPr>
          <w:rFonts w:hint="eastAsia" w:ascii="宋体" w:hAnsi="宋体" w:eastAsia="宋体" w:cs="宋体"/>
          <w:color w:val="000000"/>
          <w:sz w:val="24"/>
          <w:szCs w:val="24"/>
          <w:highlight w:val="none"/>
        </w:rPr>
        <w:t>其</w:t>
      </w:r>
      <w:r>
        <w:rPr>
          <w:rFonts w:hint="eastAsia" w:ascii="宋体" w:hAnsi="宋体" w:eastAsia="宋体" w:cs="宋体"/>
          <w:color w:val="000000"/>
          <w:spacing w:val="-3"/>
          <w:sz w:val="24"/>
          <w:szCs w:val="24"/>
          <w:highlight w:val="none"/>
        </w:rPr>
        <w:t>委</w:t>
      </w:r>
      <w:r>
        <w:rPr>
          <w:rFonts w:hint="eastAsia" w:ascii="宋体" w:hAnsi="宋体" w:eastAsia="宋体" w:cs="宋体"/>
          <w:color w:val="000000"/>
          <w:sz w:val="24"/>
          <w:szCs w:val="24"/>
          <w:highlight w:val="none"/>
        </w:rPr>
        <w:t>托</w:t>
      </w:r>
      <w:r>
        <w:rPr>
          <w:rFonts w:hint="eastAsia" w:ascii="宋体" w:hAnsi="宋体" w:eastAsia="宋体" w:cs="宋体"/>
          <w:color w:val="000000"/>
          <w:spacing w:val="-3"/>
          <w:sz w:val="24"/>
          <w:szCs w:val="24"/>
          <w:highlight w:val="none"/>
        </w:rPr>
        <w:t>代理</w:t>
      </w:r>
      <w:r>
        <w:rPr>
          <w:rFonts w:hint="eastAsia" w:ascii="宋体" w:hAnsi="宋体" w:eastAsia="宋体" w:cs="宋体"/>
          <w:color w:val="000000"/>
          <w:sz w:val="24"/>
          <w:szCs w:val="24"/>
          <w:highlight w:val="none"/>
        </w:rPr>
        <w:t>人：</w:t>
      </w:r>
      <w:r>
        <w:rPr>
          <w:rFonts w:hint="eastAsia" w:ascii="宋体" w:hAnsi="宋体" w:eastAsia="宋体" w:cs="宋体"/>
          <w:color w:val="000000"/>
          <w:sz w:val="24"/>
          <w:szCs w:val="24"/>
          <w:highlight w:val="none"/>
          <w:u w:val="single"/>
        </w:rPr>
        <w:tab/>
      </w:r>
      <w:r>
        <w:rPr>
          <w:rFonts w:hint="eastAsia" w:ascii="宋体" w:hAnsi="宋体" w:eastAsia="宋体" w:cs="宋体"/>
          <w:color w:val="000000"/>
          <w:sz w:val="24"/>
          <w:szCs w:val="24"/>
          <w:highlight w:val="none"/>
        </w:rPr>
        <w:t>（签字或盖章）</w:t>
      </w:r>
      <w:bookmarkEnd w:id="159"/>
    </w:p>
    <w:p w14:paraId="6B2C7B67">
      <w:pPr>
        <w:pStyle w:val="7"/>
        <w:tabs>
          <w:tab w:val="left" w:pos="3392"/>
          <w:tab w:val="left" w:pos="8689"/>
        </w:tabs>
        <w:wordWrap w:val="0"/>
        <w:adjustRightInd w:val="0"/>
        <w:snapToGrid w:val="0"/>
        <w:spacing w:before="53" w:line="360" w:lineRule="auto"/>
        <w:ind w:left="2761"/>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地</w:t>
      </w:r>
      <w:r>
        <w:rPr>
          <w:rFonts w:hint="eastAsia" w:ascii="宋体" w:hAnsi="宋体" w:eastAsia="宋体" w:cs="宋体"/>
          <w:color w:val="000000"/>
          <w:sz w:val="24"/>
          <w:szCs w:val="24"/>
          <w:highlight w:val="none"/>
        </w:rPr>
        <w:tab/>
      </w:r>
      <w:r>
        <w:rPr>
          <w:rFonts w:hint="eastAsia" w:ascii="宋体" w:hAnsi="宋体" w:eastAsia="宋体" w:cs="宋体"/>
          <w:color w:val="000000"/>
          <w:sz w:val="24"/>
          <w:szCs w:val="24"/>
          <w:highlight w:val="none"/>
        </w:rPr>
        <w:t>址</w:t>
      </w:r>
      <w:r>
        <w:rPr>
          <w:rFonts w:hint="eastAsia" w:ascii="宋体" w:hAnsi="宋体" w:eastAsia="宋体" w:cs="宋体"/>
          <w:color w:val="000000"/>
          <w:spacing w:val="-3"/>
          <w:sz w:val="24"/>
          <w:szCs w:val="24"/>
          <w:highlight w:val="none"/>
        </w:rPr>
        <w:t>：</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u w:val="single"/>
        </w:rPr>
        <w:tab/>
      </w:r>
    </w:p>
    <w:p w14:paraId="4A651C0E">
      <w:pPr>
        <w:pStyle w:val="7"/>
        <w:tabs>
          <w:tab w:val="left" w:pos="3392"/>
          <w:tab w:val="left" w:pos="8689"/>
        </w:tabs>
        <w:wordWrap w:val="0"/>
        <w:adjustRightInd w:val="0"/>
        <w:snapToGrid w:val="0"/>
        <w:spacing w:before="55" w:line="360" w:lineRule="auto"/>
        <w:ind w:left="2761"/>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网</w:t>
      </w:r>
      <w:r>
        <w:rPr>
          <w:rFonts w:hint="eastAsia" w:ascii="宋体" w:hAnsi="宋体" w:eastAsia="宋体" w:cs="宋体"/>
          <w:color w:val="000000"/>
          <w:sz w:val="24"/>
          <w:szCs w:val="24"/>
          <w:highlight w:val="none"/>
        </w:rPr>
        <w:tab/>
      </w:r>
      <w:r>
        <w:rPr>
          <w:rFonts w:hint="eastAsia" w:ascii="宋体" w:hAnsi="宋体" w:eastAsia="宋体" w:cs="宋体"/>
          <w:color w:val="000000"/>
          <w:sz w:val="24"/>
          <w:szCs w:val="24"/>
          <w:highlight w:val="none"/>
        </w:rPr>
        <w:t>址</w:t>
      </w:r>
      <w:r>
        <w:rPr>
          <w:rFonts w:hint="eastAsia" w:ascii="宋体" w:hAnsi="宋体" w:eastAsia="宋体" w:cs="宋体"/>
          <w:color w:val="000000"/>
          <w:spacing w:val="-3"/>
          <w:sz w:val="24"/>
          <w:szCs w:val="24"/>
          <w:highlight w:val="none"/>
        </w:rPr>
        <w:t>：</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u w:val="single"/>
        </w:rPr>
        <w:tab/>
      </w:r>
    </w:p>
    <w:p w14:paraId="769BBA54">
      <w:pPr>
        <w:pStyle w:val="7"/>
        <w:tabs>
          <w:tab w:val="left" w:pos="3392"/>
          <w:tab w:val="left" w:pos="8689"/>
        </w:tabs>
        <w:wordWrap w:val="0"/>
        <w:adjustRightInd w:val="0"/>
        <w:snapToGrid w:val="0"/>
        <w:spacing w:before="53" w:line="360" w:lineRule="auto"/>
        <w:ind w:left="2761"/>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电</w:t>
      </w:r>
      <w:r>
        <w:rPr>
          <w:rFonts w:hint="eastAsia" w:ascii="宋体" w:hAnsi="宋体" w:eastAsia="宋体" w:cs="宋体"/>
          <w:color w:val="000000"/>
          <w:sz w:val="24"/>
          <w:szCs w:val="24"/>
          <w:highlight w:val="none"/>
        </w:rPr>
        <w:tab/>
      </w:r>
      <w:r>
        <w:rPr>
          <w:rFonts w:hint="eastAsia" w:ascii="宋体" w:hAnsi="宋体" w:eastAsia="宋体" w:cs="宋体"/>
          <w:color w:val="000000"/>
          <w:sz w:val="24"/>
          <w:szCs w:val="24"/>
          <w:highlight w:val="none"/>
        </w:rPr>
        <w:t>话</w:t>
      </w:r>
      <w:r>
        <w:rPr>
          <w:rFonts w:hint="eastAsia" w:ascii="宋体" w:hAnsi="宋体" w:eastAsia="宋体" w:cs="宋体"/>
          <w:color w:val="000000"/>
          <w:spacing w:val="-3"/>
          <w:sz w:val="24"/>
          <w:szCs w:val="24"/>
          <w:highlight w:val="none"/>
        </w:rPr>
        <w:t>：</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u w:val="single"/>
        </w:rPr>
        <w:tab/>
      </w:r>
    </w:p>
    <w:p w14:paraId="731E51B7">
      <w:pPr>
        <w:pStyle w:val="7"/>
        <w:tabs>
          <w:tab w:val="left" w:pos="3392"/>
          <w:tab w:val="left" w:pos="8689"/>
        </w:tabs>
        <w:wordWrap w:val="0"/>
        <w:adjustRightInd w:val="0"/>
        <w:snapToGrid w:val="0"/>
        <w:spacing w:before="53" w:line="360" w:lineRule="auto"/>
        <w:ind w:left="2761"/>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传</w:t>
      </w:r>
      <w:r>
        <w:rPr>
          <w:rFonts w:hint="eastAsia" w:ascii="宋体" w:hAnsi="宋体" w:eastAsia="宋体" w:cs="宋体"/>
          <w:color w:val="000000"/>
          <w:sz w:val="24"/>
          <w:szCs w:val="24"/>
          <w:highlight w:val="none"/>
        </w:rPr>
        <w:tab/>
      </w:r>
      <w:r>
        <w:rPr>
          <w:rFonts w:hint="eastAsia" w:ascii="宋体" w:hAnsi="宋体" w:eastAsia="宋体" w:cs="宋体"/>
          <w:color w:val="000000"/>
          <w:sz w:val="24"/>
          <w:szCs w:val="24"/>
          <w:highlight w:val="none"/>
        </w:rPr>
        <w:t>真</w:t>
      </w:r>
      <w:r>
        <w:rPr>
          <w:rFonts w:hint="eastAsia" w:ascii="宋体" w:hAnsi="宋体" w:eastAsia="宋体" w:cs="宋体"/>
          <w:color w:val="000000"/>
          <w:spacing w:val="-3"/>
          <w:sz w:val="24"/>
          <w:szCs w:val="24"/>
          <w:highlight w:val="none"/>
        </w:rPr>
        <w:t>：</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u w:val="single"/>
        </w:rPr>
        <w:tab/>
      </w:r>
    </w:p>
    <w:p w14:paraId="34A539EB">
      <w:pPr>
        <w:pStyle w:val="7"/>
        <w:tabs>
          <w:tab w:val="left" w:pos="8689"/>
        </w:tabs>
        <w:wordWrap w:val="0"/>
        <w:adjustRightInd w:val="0"/>
        <w:snapToGrid w:val="0"/>
        <w:spacing w:before="55" w:line="360" w:lineRule="auto"/>
        <w:ind w:left="2761"/>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邮政</w:t>
      </w:r>
      <w:r>
        <w:rPr>
          <w:rFonts w:hint="eastAsia" w:ascii="宋体" w:hAnsi="宋体" w:eastAsia="宋体" w:cs="宋体"/>
          <w:color w:val="000000"/>
          <w:spacing w:val="-3"/>
          <w:sz w:val="24"/>
          <w:szCs w:val="24"/>
          <w:highlight w:val="none"/>
        </w:rPr>
        <w:t>编</w:t>
      </w:r>
      <w:r>
        <w:rPr>
          <w:rFonts w:hint="eastAsia" w:ascii="宋体" w:hAnsi="宋体" w:eastAsia="宋体" w:cs="宋体"/>
          <w:color w:val="000000"/>
          <w:sz w:val="24"/>
          <w:szCs w:val="24"/>
          <w:highlight w:val="none"/>
        </w:rPr>
        <w:t>码</w:t>
      </w:r>
      <w:r>
        <w:rPr>
          <w:rFonts w:hint="eastAsia" w:ascii="宋体" w:hAnsi="宋体" w:eastAsia="宋体" w:cs="宋体"/>
          <w:color w:val="000000"/>
          <w:spacing w:val="-3"/>
          <w:sz w:val="24"/>
          <w:szCs w:val="24"/>
          <w:highlight w:val="none"/>
        </w:rPr>
        <w:t>：</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u w:val="single"/>
        </w:rPr>
        <w:tab/>
      </w:r>
    </w:p>
    <w:p w14:paraId="695BC922">
      <w:pPr>
        <w:wordWrap w:val="0"/>
        <w:adjustRightInd w:val="0"/>
        <w:snapToGrid w:val="0"/>
        <w:spacing w:line="360" w:lineRule="auto"/>
        <w:jc w:val="right"/>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u w:val="single"/>
        </w:rPr>
        <w:tab/>
      </w:r>
      <w:r>
        <w:rPr>
          <w:rFonts w:hint="eastAsia" w:ascii="宋体" w:hAnsi="宋体" w:eastAsia="宋体" w:cs="宋体"/>
          <w:color w:val="000000"/>
          <w:sz w:val="24"/>
          <w:highlight w:val="none"/>
        </w:rPr>
        <w:t>年</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u w:val="single"/>
        </w:rPr>
        <w:tab/>
      </w:r>
      <w:r>
        <w:rPr>
          <w:rFonts w:hint="eastAsia" w:ascii="宋体" w:hAnsi="宋体" w:eastAsia="宋体" w:cs="宋体"/>
          <w:color w:val="000000"/>
          <w:sz w:val="24"/>
          <w:highlight w:val="none"/>
        </w:rPr>
        <w:t>月</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u w:val="single"/>
        </w:rPr>
        <w:tab/>
      </w:r>
      <w:r>
        <w:rPr>
          <w:rFonts w:hint="eastAsia" w:ascii="宋体" w:hAnsi="宋体" w:eastAsia="宋体" w:cs="宋体"/>
          <w:color w:val="000000"/>
          <w:sz w:val="24"/>
          <w:highlight w:val="none"/>
        </w:rPr>
        <w:t>日</w:t>
      </w:r>
    </w:p>
    <w:p w14:paraId="69952804">
      <w:pPr>
        <w:bidi w:val="0"/>
        <w:rPr>
          <w:rFonts w:hint="eastAsia" w:ascii="宋体" w:hAnsi="宋体" w:eastAsia="宋体" w:cs="宋体"/>
          <w:color w:val="000000"/>
        </w:rPr>
      </w:pPr>
    </w:p>
    <w:p w14:paraId="78C0DFA7">
      <w:pPr>
        <w:bidi w:val="0"/>
        <w:rPr>
          <w:rFonts w:hint="eastAsia" w:ascii="宋体" w:hAnsi="宋体" w:eastAsia="宋体" w:cs="宋体"/>
          <w:color w:val="000000"/>
        </w:rPr>
      </w:pPr>
    </w:p>
    <w:p w14:paraId="21CF6F35">
      <w:pPr>
        <w:autoSpaceDE w:val="0"/>
        <w:autoSpaceDN w:val="0"/>
        <w:adjustRightInd w:val="0"/>
        <w:snapToGrid w:val="0"/>
        <w:spacing w:before="156" w:beforeLines="50" w:after="156" w:afterLines="50" w:line="300" w:lineRule="auto"/>
        <w:jc w:val="center"/>
        <w:outlineLvl w:val="9"/>
        <w:rPr>
          <w:rFonts w:hint="eastAsia" w:ascii="宋体" w:hAnsi="宋体" w:eastAsia="宋体" w:cs="宋体"/>
          <w:b/>
          <w:color w:val="000000"/>
          <w:sz w:val="30"/>
          <w:szCs w:val="30"/>
          <w:highlight w:val="none"/>
        </w:rPr>
      </w:pPr>
      <w:bookmarkStart w:id="160" w:name="_Toc21831"/>
      <w:r>
        <w:rPr>
          <w:rFonts w:hint="eastAsia" w:ascii="宋体" w:hAnsi="宋体" w:eastAsia="宋体" w:cs="宋体"/>
          <w:b/>
          <w:color w:val="000000"/>
          <w:sz w:val="30"/>
          <w:szCs w:val="30"/>
          <w:highlight w:val="none"/>
        </w:rPr>
        <w:t>二、法定代表人身份证明书</w:t>
      </w:r>
      <w:bookmarkEnd w:id="160"/>
    </w:p>
    <w:p w14:paraId="5EC75891">
      <w:pPr>
        <w:adjustRightInd w:val="0"/>
        <w:snapToGrid w:val="0"/>
        <w:jc w:val="center"/>
        <w:outlineLvl w:val="9"/>
        <w:rPr>
          <w:rFonts w:hint="eastAsia" w:ascii="宋体" w:hAnsi="宋体" w:eastAsia="宋体" w:cs="宋体"/>
          <w:b/>
          <w:color w:val="000000"/>
          <w:sz w:val="36"/>
          <w:highlight w:val="none"/>
          <w:u w:val="single"/>
        </w:rPr>
      </w:pPr>
    </w:p>
    <w:p w14:paraId="1E10BB2B">
      <w:pPr>
        <w:snapToGrid w:val="0"/>
        <w:spacing w:line="560" w:lineRule="exact"/>
        <w:jc w:val="left"/>
        <w:outlineLvl w:val="9"/>
        <w:rPr>
          <w:rFonts w:hint="eastAsia" w:ascii="宋体" w:hAnsi="宋体" w:eastAsia="宋体" w:cs="宋体"/>
          <w:color w:val="000000"/>
          <w:highlight w:val="none"/>
          <w:u w:val="single"/>
        </w:rPr>
      </w:pPr>
    </w:p>
    <w:p w14:paraId="5F927D05">
      <w:pPr>
        <w:pStyle w:val="26"/>
        <w:snapToGrid w:val="0"/>
        <w:spacing w:after="100" w:afterAutospacing="1" w:line="360" w:lineRule="auto"/>
        <w:ind w:firstLine="600" w:firstLineChars="250"/>
        <w:jc w:val="both"/>
        <w:outlineLvl w:val="9"/>
        <w:rPr>
          <w:rFonts w:hint="eastAsia" w:ascii="宋体" w:hAnsi="宋体" w:eastAsia="宋体" w:cs="宋体"/>
          <w:color w:val="000000"/>
          <w:highlight w:val="none"/>
        </w:rPr>
      </w:pPr>
      <w:r>
        <w:rPr>
          <w:rFonts w:hint="eastAsia" w:ascii="宋体" w:hAnsi="宋体" w:eastAsia="宋体" w:cs="宋体"/>
          <w:color w:val="000000"/>
          <w:highlight w:val="none"/>
        </w:rPr>
        <w:t>投标人名称：</w:t>
      </w:r>
      <w:r>
        <w:rPr>
          <w:rFonts w:hint="eastAsia" w:ascii="宋体" w:hAnsi="宋体" w:eastAsia="宋体" w:cs="宋体"/>
          <w:color w:val="000000"/>
          <w:highlight w:val="none"/>
          <w:u w:val="single"/>
        </w:rPr>
        <w:t xml:space="preserve">                          </w:t>
      </w:r>
    </w:p>
    <w:p w14:paraId="41270E62">
      <w:pPr>
        <w:pStyle w:val="26"/>
        <w:snapToGrid w:val="0"/>
        <w:spacing w:after="100" w:afterAutospacing="1" w:line="360" w:lineRule="auto"/>
        <w:ind w:firstLine="616" w:firstLineChars="257"/>
        <w:outlineLvl w:val="9"/>
        <w:rPr>
          <w:rFonts w:hint="eastAsia" w:ascii="宋体" w:hAnsi="宋体" w:eastAsia="宋体" w:cs="宋体"/>
          <w:color w:val="000000"/>
          <w:highlight w:val="none"/>
        </w:rPr>
      </w:pPr>
      <w:r>
        <w:rPr>
          <w:rFonts w:hint="eastAsia" w:ascii="宋体" w:hAnsi="宋体" w:eastAsia="宋体" w:cs="宋体"/>
          <w:color w:val="000000"/>
          <w:highlight w:val="none"/>
        </w:rPr>
        <w:t>单位性质：</w:t>
      </w:r>
      <w:r>
        <w:rPr>
          <w:rFonts w:hint="eastAsia" w:ascii="宋体" w:hAnsi="宋体" w:eastAsia="宋体" w:cs="宋体"/>
          <w:color w:val="000000"/>
          <w:highlight w:val="none"/>
          <w:u w:val="single"/>
        </w:rPr>
        <w:t xml:space="preserve">                            </w:t>
      </w:r>
    </w:p>
    <w:p w14:paraId="287AACE0">
      <w:pPr>
        <w:pStyle w:val="27"/>
        <w:snapToGrid w:val="0"/>
        <w:spacing w:after="100" w:afterAutospacing="1" w:line="360" w:lineRule="auto"/>
        <w:ind w:firstLine="616" w:firstLineChars="257"/>
        <w:outlineLvl w:val="9"/>
        <w:rPr>
          <w:rFonts w:hint="eastAsia" w:ascii="宋体" w:hAnsi="宋体" w:eastAsia="宋体" w:cs="宋体"/>
          <w:color w:val="000000"/>
          <w:highlight w:val="none"/>
          <w:u w:val="single"/>
        </w:rPr>
      </w:pPr>
      <w:r>
        <w:rPr>
          <w:rFonts w:hint="eastAsia" w:ascii="宋体" w:hAnsi="宋体" w:eastAsia="宋体" w:cs="宋体"/>
          <w:color w:val="000000"/>
          <w:highlight w:val="none"/>
        </w:rPr>
        <w:t>地    址：</w:t>
      </w:r>
      <w:r>
        <w:rPr>
          <w:rFonts w:hint="eastAsia" w:ascii="宋体" w:hAnsi="宋体" w:eastAsia="宋体" w:cs="宋体"/>
          <w:color w:val="000000"/>
          <w:highlight w:val="none"/>
          <w:u w:val="single"/>
        </w:rPr>
        <w:t xml:space="preserve">                            </w:t>
      </w:r>
    </w:p>
    <w:p w14:paraId="762EA9D5">
      <w:pPr>
        <w:pStyle w:val="24"/>
        <w:snapToGrid w:val="0"/>
        <w:spacing w:after="100" w:afterAutospacing="1" w:line="360" w:lineRule="auto"/>
        <w:ind w:firstLine="616" w:firstLineChars="257"/>
        <w:outlineLvl w:val="9"/>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成立时间：</w:t>
      </w:r>
      <w:r>
        <w:rPr>
          <w:rFonts w:hint="eastAsia" w:ascii="宋体" w:hAnsi="宋体" w:eastAsia="宋体" w:cs="宋体"/>
          <w:color w:val="000000"/>
          <w:szCs w:val="24"/>
          <w:highlight w:val="none"/>
          <w:u w:val="single"/>
        </w:rPr>
        <w:t xml:space="preserve">        </w:t>
      </w:r>
      <w:r>
        <w:rPr>
          <w:rFonts w:hint="eastAsia" w:ascii="宋体" w:hAnsi="宋体" w:eastAsia="宋体" w:cs="宋体"/>
          <w:color w:val="000000"/>
          <w:szCs w:val="24"/>
          <w:highlight w:val="none"/>
        </w:rPr>
        <w:t>年</w:t>
      </w:r>
      <w:r>
        <w:rPr>
          <w:rFonts w:hint="eastAsia" w:ascii="宋体" w:hAnsi="宋体" w:eastAsia="宋体" w:cs="宋体"/>
          <w:color w:val="000000"/>
          <w:szCs w:val="24"/>
          <w:highlight w:val="none"/>
          <w:u w:val="single"/>
        </w:rPr>
        <w:t xml:space="preserve">       </w:t>
      </w:r>
      <w:r>
        <w:rPr>
          <w:rFonts w:hint="eastAsia" w:ascii="宋体" w:hAnsi="宋体" w:eastAsia="宋体" w:cs="宋体"/>
          <w:color w:val="000000"/>
          <w:szCs w:val="24"/>
          <w:highlight w:val="none"/>
        </w:rPr>
        <w:t>月</w:t>
      </w:r>
      <w:r>
        <w:rPr>
          <w:rFonts w:hint="eastAsia" w:ascii="宋体" w:hAnsi="宋体" w:eastAsia="宋体" w:cs="宋体"/>
          <w:color w:val="000000"/>
          <w:szCs w:val="24"/>
          <w:highlight w:val="none"/>
          <w:u w:val="single"/>
        </w:rPr>
        <w:t xml:space="preserve">       </w:t>
      </w:r>
      <w:r>
        <w:rPr>
          <w:rFonts w:hint="eastAsia" w:ascii="宋体" w:hAnsi="宋体" w:eastAsia="宋体" w:cs="宋体"/>
          <w:color w:val="000000"/>
          <w:szCs w:val="24"/>
          <w:highlight w:val="none"/>
        </w:rPr>
        <w:t>日</w:t>
      </w:r>
    </w:p>
    <w:p w14:paraId="718970A2">
      <w:pPr>
        <w:pStyle w:val="24"/>
        <w:snapToGrid w:val="0"/>
        <w:spacing w:after="100" w:afterAutospacing="1" w:line="360" w:lineRule="auto"/>
        <w:ind w:firstLine="616" w:firstLineChars="257"/>
        <w:outlineLvl w:val="9"/>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经营期限：</w:t>
      </w:r>
      <w:r>
        <w:rPr>
          <w:rFonts w:hint="eastAsia" w:ascii="宋体" w:hAnsi="宋体" w:eastAsia="宋体" w:cs="宋体"/>
          <w:color w:val="000000"/>
          <w:szCs w:val="24"/>
          <w:highlight w:val="none"/>
          <w:u w:val="single"/>
        </w:rPr>
        <w:t xml:space="preserve">                            </w:t>
      </w:r>
    </w:p>
    <w:p w14:paraId="4E5D0AFA">
      <w:pPr>
        <w:pStyle w:val="24"/>
        <w:snapToGrid w:val="0"/>
        <w:spacing w:after="100" w:afterAutospacing="1" w:line="360" w:lineRule="auto"/>
        <w:ind w:firstLine="616" w:firstLineChars="257"/>
        <w:outlineLvl w:val="9"/>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姓名：</w:t>
      </w:r>
      <w:r>
        <w:rPr>
          <w:rFonts w:hint="eastAsia" w:ascii="宋体" w:hAnsi="宋体" w:eastAsia="宋体" w:cs="宋体"/>
          <w:color w:val="000000"/>
          <w:szCs w:val="24"/>
          <w:highlight w:val="none"/>
          <w:u w:val="single"/>
        </w:rPr>
        <w:t xml:space="preserve">        </w:t>
      </w:r>
      <w:r>
        <w:rPr>
          <w:rFonts w:hint="eastAsia" w:ascii="宋体" w:hAnsi="宋体" w:eastAsia="宋体" w:cs="宋体"/>
          <w:color w:val="000000"/>
          <w:szCs w:val="24"/>
          <w:highlight w:val="none"/>
        </w:rPr>
        <w:t xml:space="preserve"> 性别：</w:t>
      </w:r>
      <w:r>
        <w:rPr>
          <w:rFonts w:hint="eastAsia" w:ascii="宋体" w:hAnsi="宋体" w:eastAsia="宋体" w:cs="宋体"/>
          <w:color w:val="000000"/>
          <w:szCs w:val="24"/>
          <w:highlight w:val="none"/>
          <w:u w:val="single"/>
        </w:rPr>
        <w:t xml:space="preserve">        </w:t>
      </w:r>
      <w:r>
        <w:rPr>
          <w:rFonts w:hint="eastAsia" w:ascii="宋体" w:hAnsi="宋体" w:eastAsia="宋体" w:cs="宋体"/>
          <w:color w:val="000000"/>
          <w:szCs w:val="24"/>
          <w:highlight w:val="none"/>
        </w:rPr>
        <w:t xml:space="preserve"> 年龄：</w:t>
      </w:r>
      <w:r>
        <w:rPr>
          <w:rFonts w:hint="eastAsia" w:ascii="宋体" w:hAnsi="宋体" w:eastAsia="宋体" w:cs="宋体"/>
          <w:color w:val="000000"/>
          <w:szCs w:val="24"/>
          <w:highlight w:val="none"/>
          <w:u w:val="single"/>
        </w:rPr>
        <w:t xml:space="preserve">        </w:t>
      </w:r>
      <w:r>
        <w:rPr>
          <w:rFonts w:hint="eastAsia" w:ascii="宋体" w:hAnsi="宋体" w:eastAsia="宋体" w:cs="宋体"/>
          <w:color w:val="000000"/>
          <w:szCs w:val="24"/>
          <w:highlight w:val="none"/>
        </w:rPr>
        <w:t xml:space="preserve"> </w:t>
      </w:r>
    </w:p>
    <w:p w14:paraId="74C2BF01">
      <w:pPr>
        <w:pStyle w:val="24"/>
        <w:snapToGrid w:val="0"/>
        <w:spacing w:after="100" w:afterAutospacing="1" w:line="360" w:lineRule="auto"/>
        <w:ind w:firstLine="616" w:firstLineChars="257"/>
        <w:outlineLvl w:val="9"/>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身份证号码：</w:t>
      </w:r>
      <w:r>
        <w:rPr>
          <w:rFonts w:hint="eastAsia" w:ascii="宋体" w:hAnsi="宋体" w:eastAsia="宋体" w:cs="宋体"/>
          <w:color w:val="000000"/>
          <w:szCs w:val="24"/>
          <w:highlight w:val="none"/>
          <w:u w:val="single"/>
        </w:rPr>
        <w:t xml:space="preserve">        </w:t>
      </w:r>
      <w:r>
        <w:rPr>
          <w:rFonts w:hint="eastAsia" w:ascii="宋体" w:hAnsi="宋体" w:eastAsia="宋体" w:cs="宋体"/>
          <w:color w:val="000000"/>
          <w:szCs w:val="24"/>
          <w:highlight w:val="none"/>
        </w:rPr>
        <w:t>职务：</w:t>
      </w:r>
      <w:r>
        <w:rPr>
          <w:rFonts w:hint="eastAsia" w:ascii="宋体" w:hAnsi="宋体" w:eastAsia="宋体" w:cs="宋体"/>
          <w:color w:val="000000"/>
          <w:szCs w:val="24"/>
          <w:highlight w:val="none"/>
          <w:u w:val="single"/>
        </w:rPr>
        <w:t xml:space="preserve">         </w:t>
      </w:r>
      <w:r>
        <w:rPr>
          <w:rFonts w:hint="eastAsia" w:ascii="宋体" w:hAnsi="宋体" w:eastAsia="宋体" w:cs="宋体"/>
          <w:color w:val="000000"/>
          <w:szCs w:val="24"/>
          <w:highlight w:val="none"/>
        </w:rPr>
        <w:t>系</w:t>
      </w:r>
      <w:r>
        <w:rPr>
          <w:rFonts w:hint="eastAsia" w:ascii="宋体" w:hAnsi="宋体" w:eastAsia="宋体" w:cs="宋体"/>
          <w:color w:val="000000"/>
          <w:szCs w:val="24"/>
          <w:highlight w:val="none"/>
          <w:u w:val="single"/>
        </w:rPr>
        <w:t xml:space="preserve">               </w:t>
      </w:r>
      <w:r>
        <w:rPr>
          <w:rFonts w:hint="eastAsia" w:ascii="宋体" w:hAnsi="宋体" w:eastAsia="宋体" w:cs="宋体"/>
          <w:color w:val="000000"/>
          <w:szCs w:val="24"/>
          <w:highlight w:val="none"/>
        </w:rPr>
        <w:t>(投标人名称)的法定代表人。</w:t>
      </w:r>
    </w:p>
    <w:p w14:paraId="01B623B3">
      <w:pPr>
        <w:pStyle w:val="24"/>
        <w:snapToGrid w:val="0"/>
        <w:spacing w:after="100" w:afterAutospacing="1" w:line="360" w:lineRule="auto"/>
        <w:ind w:firstLine="1027" w:firstLineChars="428"/>
        <w:outlineLvl w:val="9"/>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特此证明。</w:t>
      </w:r>
    </w:p>
    <w:p w14:paraId="3BC8F0C7">
      <w:pPr>
        <w:pStyle w:val="24"/>
        <w:snapToGrid w:val="0"/>
        <w:spacing w:after="100" w:afterAutospacing="1" w:line="360" w:lineRule="auto"/>
        <w:outlineLvl w:val="9"/>
        <w:rPr>
          <w:rFonts w:hint="eastAsia" w:ascii="宋体" w:hAnsi="宋体" w:eastAsia="宋体" w:cs="宋体"/>
          <w:b/>
          <w:bCs/>
          <w:color w:val="000000"/>
          <w:sz w:val="28"/>
          <w:szCs w:val="28"/>
          <w:highlight w:val="none"/>
        </w:rPr>
      </w:pPr>
      <w:bookmarkStart w:id="161" w:name="_Toc6704"/>
      <w:r>
        <w:rPr>
          <w:rFonts w:hint="eastAsia" w:ascii="宋体" w:hAnsi="宋体" w:eastAsia="宋体" w:cs="宋体"/>
          <w:color w:val="000000"/>
          <w:highlight w:val="none"/>
        </w:rPr>
        <w:t>附：法定代表人身份证正面及背面</w:t>
      </w:r>
      <w:r>
        <w:rPr>
          <w:rFonts w:hint="eastAsia" w:ascii="宋体" w:hAnsi="宋体" w:eastAsia="宋体" w:cs="宋体"/>
          <w:b/>
          <w:bCs/>
          <w:color w:val="000000"/>
          <w:highlight w:val="none"/>
        </w:rPr>
        <w:t>彩色扫描件</w:t>
      </w:r>
      <w:bookmarkEnd w:id="161"/>
    </w:p>
    <w:p w14:paraId="24872306">
      <w:pPr>
        <w:pStyle w:val="24"/>
        <w:outlineLvl w:val="9"/>
        <w:rPr>
          <w:rFonts w:hint="eastAsia" w:ascii="宋体" w:hAnsi="宋体" w:eastAsia="宋体" w:cs="宋体"/>
          <w:b w:val="0"/>
          <w:bCs w:val="0"/>
          <w:color w:val="000000"/>
          <w:highlight w:val="none"/>
        </w:rPr>
      </w:pPr>
    </w:p>
    <w:tbl>
      <w:tblPr>
        <w:tblStyle w:val="15"/>
        <w:tblW w:w="0" w:type="auto"/>
        <w:tblInd w:w="1932"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5229"/>
      </w:tblGrid>
      <w:tr w14:paraId="49911C1D">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657" w:hRule="atLeast"/>
        </w:trPr>
        <w:tc>
          <w:tcPr>
            <w:tcW w:w="5229" w:type="dxa"/>
            <w:noWrap w:val="0"/>
            <w:vAlign w:val="top"/>
          </w:tcPr>
          <w:p w14:paraId="18955296">
            <w:pPr>
              <w:adjustRightInd w:val="0"/>
              <w:ind w:firstLine="502"/>
              <w:jc w:val="center"/>
              <w:outlineLvl w:val="9"/>
              <w:rPr>
                <w:rFonts w:hint="eastAsia" w:ascii="宋体" w:hAnsi="宋体" w:eastAsia="宋体" w:cs="宋体"/>
                <w:b w:val="0"/>
                <w:bCs w:val="0"/>
                <w:color w:val="000000"/>
                <w:highlight w:val="none"/>
              </w:rPr>
            </w:pPr>
          </w:p>
          <w:p w14:paraId="610E1306">
            <w:pPr>
              <w:adjustRightInd w:val="0"/>
              <w:ind w:firstLine="502"/>
              <w:jc w:val="center"/>
              <w:outlineLvl w:val="9"/>
              <w:rPr>
                <w:rFonts w:hint="eastAsia" w:ascii="宋体" w:hAnsi="宋体" w:eastAsia="宋体" w:cs="宋体"/>
                <w:b w:val="0"/>
                <w:bCs w:val="0"/>
                <w:color w:val="000000"/>
                <w:highlight w:val="none"/>
              </w:rPr>
            </w:pPr>
          </w:p>
          <w:p w14:paraId="57C6134C">
            <w:pPr>
              <w:pStyle w:val="24"/>
              <w:spacing w:after="100" w:afterAutospacing="1" w:line="360" w:lineRule="auto"/>
              <w:jc w:val="center"/>
              <w:outlineLvl w:val="9"/>
              <w:rPr>
                <w:rFonts w:hint="eastAsia" w:ascii="宋体" w:hAnsi="宋体" w:eastAsia="宋体" w:cs="宋体"/>
                <w:b/>
                <w:bCs/>
                <w:color w:val="000000"/>
                <w:highlight w:val="none"/>
              </w:rPr>
            </w:pPr>
            <w:r>
              <w:rPr>
                <w:rFonts w:hint="eastAsia" w:ascii="宋体" w:hAnsi="宋体" w:eastAsia="宋体" w:cs="宋体"/>
                <w:b w:val="0"/>
                <w:bCs w:val="0"/>
                <w:color w:val="000000"/>
                <w:highlight w:val="none"/>
              </w:rPr>
              <w:t>附法定代表人身份证正面及背面</w:t>
            </w:r>
            <w:r>
              <w:rPr>
                <w:rFonts w:hint="eastAsia" w:ascii="宋体" w:hAnsi="宋体" w:eastAsia="宋体" w:cs="宋体"/>
                <w:b/>
                <w:bCs/>
                <w:color w:val="000000"/>
                <w:highlight w:val="none"/>
              </w:rPr>
              <w:t>彩色扫描件</w:t>
            </w:r>
          </w:p>
          <w:p w14:paraId="533766C0">
            <w:pPr>
              <w:adjustRightInd w:val="0"/>
              <w:jc w:val="center"/>
              <w:outlineLvl w:val="9"/>
              <w:rPr>
                <w:rFonts w:hint="eastAsia" w:ascii="宋体" w:hAnsi="宋体" w:eastAsia="宋体" w:cs="宋体"/>
                <w:b w:val="0"/>
                <w:bCs w:val="0"/>
                <w:color w:val="000000"/>
                <w:highlight w:val="none"/>
              </w:rPr>
            </w:pPr>
          </w:p>
        </w:tc>
      </w:tr>
    </w:tbl>
    <w:p w14:paraId="629C8606">
      <w:pPr>
        <w:pStyle w:val="24"/>
        <w:outlineLvl w:val="9"/>
        <w:rPr>
          <w:rFonts w:hint="eastAsia" w:ascii="宋体" w:hAnsi="宋体" w:eastAsia="宋体" w:cs="宋体"/>
          <w:color w:val="000000"/>
          <w:highlight w:val="none"/>
        </w:rPr>
      </w:pPr>
    </w:p>
    <w:p w14:paraId="464697BA">
      <w:pPr>
        <w:pStyle w:val="28"/>
        <w:widowControl w:val="0"/>
        <w:adjustRightInd w:val="0"/>
        <w:spacing w:before="0" w:beforeAutospacing="0" w:after="0" w:afterAutospacing="0" w:line="300" w:lineRule="auto"/>
        <w:outlineLvl w:val="9"/>
        <w:rPr>
          <w:rFonts w:hint="eastAsia" w:ascii="宋体" w:hAnsi="宋体" w:eastAsia="宋体" w:cs="宋体"/>
          <w:color w:val="000000"/>
          <w:kern w:val="2"/>
          <w:highlight w:val="none"/>
        </w:rPr>
      </w:pPr>
    </w:p>
    <w:p w14:paraId="59D0B982">
      <w:pPr>
        <w:pStyle w:val="24"/>
        <w:spacing w:line="360" w:lineRule="auto"/>
        <w:ind w:firstLine="5280" w:firstLineChars="2200"/>
        <w:outlineLvl w:val="9"/>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投标人：</w:t>
      </w:r>
      <w:r>
        <w:rPr>
          <w:rFonts w:hint="eastAsia" w:ascii="宋体" w:hAnsi="宋体" w:eastAsia="宋体" w:cs="宋体"/>
          <w:color w:val="000000"/>
          <w:szCs w:val="24"/>
          <w:highlight w:val="none"/>
          <w:u w:val="single"/>
        </w:rPr>
        <w:t xml:space="preserve">              </w:t>
      </w:r>
      <w:r>
        <w:rPr>
          <w:rFonts w:hint="eastAsia" w:ascii="宋体" w:hAnsi="宋体" w:eastAsia="宋体" w:cs="宋体"/>
          <w:color w:val="000000"/>
          <w:szCs w:val="24"/>
          <w:highlight w:val="none"/>
        </w:rPr>
        <w:t>(盖单位章)</w:t>
      </w:r>
    </w:p>
    <w:p w14:paraId="45958E54">
      <w:pPr>
        <w:adjustRightInd w:val="0"/>
        <w:spacing w:line="360" w:lineRule="auto"/>
        <w:ind w:firstLine="5280" w:firstLineChars="2200"/>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日  期：</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年</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月</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日</w:t>
      </w:r>
    </w:p>
    <w:p w14:paraId="14C3AE45">
      <w:pPr>
        <w:snapToGrid w:val="0"/>
        <w:spacing w:line="560" w:lineRule="exact"/>
        <w:jc w:val="center"/>
        <w:outlineLvl w:val="9"/>
        <w:rPr>
          <w:rFonts w:hint="eastAsia" w:ascii="宋体" w:hAnsi="宋体" w:eastAsia="宋体" w:cs="宋体"/>
          <w:color w:val="000000"/>
          <w:szCs w:val="28"/>
          <w:highlight w:val="none"/>
        </w:rPr>
      </w:pPr>
      <w:r>
        <w:rPr>
          <w:rFonts w:hint="eastAsia" w:ascii="宋体" w:hAnsi="宋体" w:eastAsia="宋体" w:cs="宋体"/>
          <w:b/>
          <w:color w:val="000000"/>
          <w:sz w:val="24"/>
          <w:szCs w:val="24"/>
          <w:highlight w:val="none"/>
        </w:rPr>
        <w:br w:type="page"/>
      </w:r>
      <w:bookmarkStart w:id="162" w:name="_Toc24025"/>
      <w:r>
        <w:rPr>
          <w:rFonts w:hint="eastAsia" w:ascii="宋体" w:hAnsi="宋体" w:eastAsia="宋体" w:cs="宋体"/>
          <w:b/>
          <w:color w:val="000000"/>
          <w:sz w:val="30"/>
          <w:szCs w:val="30"/>
          <w:highlight w:val="none"/>
        </w:rPr>
        <w:t>三、授权委托书</w:t>
      </w:r>
      <w:bookmarkEnd w:id="162"/>
    </w:p>
    <w:p w14:paraId="15EE6BD8">
      <w:pPr>
        <w:snapToGrid w:val="0"/>
        <w:spacing w:after="312" w:afterLines="100" w:line="560" w:lineRule="exact"/>
        <w:jc w:val="left"/>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u w:val="single"/>
        </w:rPr>
        <w:t>（招标人）</w:t>
      </w:r>
      <w:r>
        <w:rPr>
          <w:rFonts w:hint="eastAsia" w:ascii="宋体" w:hAnsi="宋体" w:eastAsia="宋体" w:cs="宋体"/>
          <w:color w:val="000000"/>
          <w:sz w:val="24"/>
          <w:highlight w:val="none"/>
        </w:rPr>
        <w:t>：</w:t>
      </w:r>
    </w:p>
    <w:p w14:paraId="358F78D0">
      <w:pPr>
        <w:snapToGrid w:val="0"/>
        <w:spacing w:line="480" w:lineRule="auto"/>
        <w:ind w:firstLine="460" w:firstLineChars="192"/>
        <w:jc w:val="left"/>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本人 </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 xml:space="preserve">（姓名）系 </w:t>
      </w:r>
      <w:r>
        <w:rPr>
          <w:rFonts w:hint="eastAsia" w:ascii="宋体" w:hAnsi="宋体" w:eastAsia="宋体" w:cs="宋体"/>
          <w:color w:val="000000"/>
          <w:sz w:val="24"/>
          <w:highlight w:val="none"/>
          <w:u w:val="single"/>
        </w:rPr>
        <w:t xml:space="preserve">       （投标人名称）</w:t>
      </w:r>
      <w:r>
        <w:rPr>
          <w:rFonts w:hint="eastAsia" w:ascii="宋体" w:hAnsi="宋体" w:eastAsia="宋体" w:cs="宋体"/>
          <w:color w:val="000000"/>
          <w:sz w:val="24"/>
          <w:highlight w:val="none"/>
        </w:rPr>
        <w:t>的法定代表人，现委托</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（姓名）为我方代理人。代表我单位就</w:t>
      </w:r>
      <w:r>
        <w:rPr>
          <w:rFonts w:hint="eastAsia" w:ascii="宋体" w:hAnsi="宋体" w:eastAsia="宋体" w:cs="宋体"/>
          <w:color w:val="000000"/>
          <w:sz w:val="24"/>
          <w:highlight w:val="none"/>
          <w:u w:val="single"/>
        </w:rPr>
        <w:t xml:space="preserve">                （项目名称）</w:t>
      </w:r>
      <w:r>
        <w:rPr>
          <w:rFonts w:hint="eastAsia" w:ascii="宋体" w:hAnsi="宋体" w:eastAsia="宋体" w:cs="宋体"/>
          <w:color w:val="000000"/>
          <w:sz w:val="24"/>
          <w:highlight w:val="none"/>
        </w:rPr>
        <w:t>签署、澄清、说明、补正、递交、撤回、修改该项目投标文件、进行谈判、签订合同和处理与之有关的一切事务，其法律后果由我方承担。</w:t>
      </w:r>
    </w:p>
    <w:p w14:paraId="3DCA4B1E">
      <w:pPr>
        <w:spacing w:line="360" w:lineRule="auto"/>
        <w:ind w:firstLine="588"/>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委托期限：</w:t>
      </w:r>
      <w:r>
        <w:rPr>
          <w:rFonts w:hint="eastAsia" w:ascii="宋体" w:hAnsi="宋体" w:eastAsia="宋体" w:cs="宋体"/>
          <w:color w:val="000000"/>
          <w:sz w:val="24"/>
          <w:highlight w:val="none"/>
          <w:u w:val="single"/>
        </w:rPr>
        <w:t>至投标有效期的期满之日止。</w:t>
      </w:r>
    </w:p>
    <w:p w14:paraId="4E0CB37F">
      <w:pPr>
        <w:spacing w:line="360" w:lineRule="auto"/>
        <w:ind w:firstLine="588"/>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代理人无转委托权。</w:t>
      </w:r>
    </w:p>
    <w:p w14:paraId="19AACA20">
      <w:pPr>
        <w:spacing w:line="360" w:lineRule="auto"/>
        <w:ind w:firstLine="588"/>
        <w:outlineLvl w:val="9"/>
        <w:rPr>
          <w:rFonts w:hint="eastAsia" w:ascii="宋体" w:hAnsi="宋体" w:eastAsia="宋体" w:cs="宋体"/>
          <w:b/>
          <w:bCs/>
          <w:color w:val="000000"/>
          <w:sz w:val="24"/>
          <w:highlight w:val="none"/>
        </w:rPr>
      </w:pPr>
      <w:bookmarkStart w:id="163" w:name="_Toc6178"/>
      <w:r>
        <w:rPr>
          <w:rFonts w:hint="eastAsia" w:ascii="宋体" w:hAnsi="宋体" w:eastAsia="宋体" w:cs="宋体"/>
          <w:color w:val="000000"/>
          <w:sz w:val="24"/>
          <w:highlight w:val="none"/>
        </w:rPr>
        <w:t>附：法定代表人证明书、授权委托人身份证</w:t>
      </w:r>
      <w:r>
        <w:rPr>
          <w:rFonts w:hint="eastAsia" w:ascii="宋体" w:hAnsi="宋体" w:eastAsia="宋体" w:cs="宋体"/>
          <w:b/>
          <w:bCs/>
          <w:color w:val="000000"/>
          <w:sz w:val="24"/>
          <w:highlight w:val="none"/>
        </w:rPr>
        <w:t>彩色扫描件</w:t>
      </w:r>
      <w:bookmarkEnd w:id="163"/>
    </w:p>
    <w:tbl>
      <w:tblPr>
        <w:tblStyle w:val="15"/>
        <w:tblpPr w:leftFromText="180" w:rightFromText="180" w:vertAnchor="text" w:horzAnchor="page" w:tblpX="3522" w:tblpY="1105"/>
        <w:tblOverlap w:val="never"/>
        <w:tblW w:w="0" w:type="auto"/>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5229"/>
      </w:tblGrid>
      <w:tr w14:paraId="7924768A">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657" w:hRule="atLeast"/>
        </w:trPr>
        <w:tc>
          <w:tcPr>
            <w:tcW w:w="5229" w:type="dxa"/>
            <w:noWrap w:val="0"/>
            <w:vAlign w:val="top"/>
          </w:tcPr>
          <w:p w14:paraId="0BC476A8">
            <w:pPr>
              <w:ind w:firstLine="502"/>
              <w:jc w:val="center"/>
              <w:outlineLvl w:val="9"/>
              <w:rPr>
                <w:rFonts w:hint="eastAsia" w:ascii="宋体" w:hAnsi="宋体" w:eastAsia="宋体" w:cs="宋体"/>
                <w:b w:val="0"/>
                <w:bCs w:val="0"/>
                <w:color w:val="000000"/>
                <w:highlight w:val="none"/>
              </w:rPr>
            </w:pPr>
          </w:p>
          <w:p w14:paraId="5F64D0B4">
            <w:pPr>
              <w:ind w:firstLine="502"/>
              <w:jc w:val="center"/>
              <w:outlineLvl w:val="9"/>
              <w:rPr>
                <w:rFonts w:hint="eastAsia" w:ascii="宋体" w:hAnsi="宋体" w:eastAsia="宋体" w:cs="宋体"/>
                <w:b w:val="0"/>
                <w:bCs w:val="0"/>
                <w:color w:val="000000"/>
                <w:highlight w:val="none"/>
              </w:rPr>
            </w:pPr>
          </w:p>
          <w:p w14:paraId="0798287C">
            <w:pPr>
              <w:pStyle w:val="24"/>
              <w:spacing w:after="100" w:afterAutospacing="1" w:line="360" w:lineRule="auto"/>
              <w:jc w:val="center"/>
              <w:outlineLvl w:val="9"/>
              <w:rPr>
                <w:rFonts w:hint="eastAsia" w:ascii="宋体" w:hAnsi="宋体" w:eastAsia="宋体" w:cs="宋体"/>
                <w:b w:val="0"/>
                <w:bCs w:val="0"/>
                <w:color w:val="000000"/>
                <w:highlight w:val="none"/>
              </w:rPr>
            </w:pPr>
            <w:r>
              <w:rPr>
                <w:rFonts w:hint="eastAsia" w:ascii="宋体" w:hAnsi="宋体" w:eastAsia="宋体" w:cs="宋体"/>
                <w:b w:val="0"/>
                <w:bCs w:val="0"/>
                <w:color w:val="000000"/>
                <w:highlight w:val="none"/>
              </w:rPr>
              <w:t>附委托代理人身份证正面及背面</w:t>
            </w:r>
            <w:r>
              <w:rPr>
                <w:rFonts w:hint="eastAsia" w:ascii="宋体" w:hAnsi="宋体" w:eastAsia="宋体" w:cs="宋体"/>
                <w:b/>
                <w:bCs/>
                <w:color w:val="000000"/>
                <w:highlight w:val="none"/>
              </w:rPr>
              <w:t>彩色扫描件</w:t>
            </w:r>
          </w:p>
          <w:p w14:paraId="3C8D847F">
            <w:pPr>
              <w:jc w:val="center"/>
              <w:outlineLvl w:val="9"/>
              <w:rPr>
                <w:rFonts w:hint="eastAsia" w:ascii="宋体" w:hAnsi="宋体" w:eastAsia="宋体" w:cs="宋体"/>
                <w:b w:val="0"/>
                <w:bCs w:val="0"/>
                <w:color w:val="000000"/>
                <w:highlight w:val="none"/>
              </w:rPr>
            </w:pPr>
          </w:p>
        </w:tc>
      </w:tr>
    </w:tbl>
    <w:p w14:paraId="543B13B2">
      <w:pPr>
        <w:snapToGrid w:val="0"/>
        <w:spacing w:line="560" w:lineRule="exact"/>
        <w:ind w:firstLine="616" w:firstLineChars="257"/>
        <w:jc w:val="left"/>
        <w:outlineLvl w:val="9"/>
        <w:rPr>
          <w:rFonts w:hint="eastAsia" w:ascii="宋体" w:hAnsi="宋体" w:eastAsia="宋体" w:cs="宋体"/>
          <w:color w:val="000000"/>
          <w:sz w:val="24"/>
          <w:highlight w:val="none"/>
        </w:rPr>
      </w:pPr>
    </w:p>
    <w:p w14:paraId="2F96ED11">
      <w:pPr>
        <w:snapToGrid w:val="0"/>
        <w:spacing w:line="560" w:lineRule="exact"/>
        <w:jc w:val="left"/>
        <w:outlineLvl w:val="9"/>
        <w:rPr>
          <w:rFonts w:hint="eastAsia" w:ascii="宋体" w:hAnsi="宋体" w:eastAsia="宋体" w:cs="宋体"/>
          <w:color w:val="000000"/>
          <w:sz w:val="24"/>
          <w:highlight w:val="none"/>
        </w:rPr>
      </w:pPr>
    </w:p>
    <w:p w14:paraId="71D7231F">
      <w:pPr>
        <w:snapToGrid w:val="0"/>
        <w:spacing w:line="560" w:lineRule="exact"/>
        <w:ind w:firstLine="616" w:firstLineChars="257"/>
        <w:jc w:val="left"/>
        <w:outlineLvl w:val="9"/>
        <w:rPr>
          <w:rFonts w:hint="eastAsia" w:ascii="宋体" w:hAnsi="宋体" w:eastAsia="宋体" w:cs="宋体"/>
          <w:color w:val="000000"/>
          <w:sz w:val="24"/>
          <w:highlight w:val="none"/>
        </w:rPr>
      </w:pPr>
    </w:p>
    <w:p w14:paraId="36BD8425">
      <w:pPr>
        <w:pStyle w:val="24"/>
        <w:snapToGrid w:val="0"/>
        <w:spacing w:line="480" w:lineRule="auto"/>
        <w:ind w:firstLine="3496" w:firstLineChars="1457"/>
        <w:outlineLvl w:val="9"/>
        <w:rPr>
          <w:rFonts w:hint="eastAsia" w:ascii="宋体" w:hAnsi="宋体" w:eastAsia="宋体" w:cs="宋体"/>
          <w:color w:val="000000"/>
          <w:highlight w:val="none"/>
        </w:rPr>
      </w:pPr>
      <w:r>
        <w:rPr>
          <w:rFonts w:hint="eastAsia" w:ascii="宋体" w:hAnsi="宋体" w:eastAsia="宋体" w:cs="宋体"/>
          <w:color w:val="000000"/>
          <w:highlight w:val="none"/>
        </w:rPr>
        <w:t>投  标  人：</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(盖单位章)</w:t>
      </w:r>
    </w:p>
    <w:p w14:paraId="419D131E">
      <w:pPr>
        <w:pStyle w:val="24"/>
        <w:snapToGrid w:val="0"/>
        <w:spacing w:line="480" w:lineRule="auto"/>
        <w:ind w:firstLine="3496" w:firstLineChars="1457"/>
        <w:outlineLvl w:val="9"/>
        <w:rPr>
          <w:rFonts w:hint="eastAsia" w:ascii="宋体" w:hAnsi="宋体" w:eastAsia="宋体" w:cs="宋体"/>
          <w:color w:val="000000"/>
          <w:highlight w:val="none"/>
        </w:rPr>
      </w:pPr>
      <w:r>
        <w:rPr>
          <w:rFonts w:hint="eastAsia" w:ascii="宋体" w:hAnsi="宋体" w:eastAsia="宋体" w:cs="宋体"/>
          <w:color w:val="000000"/>
          <w:highlight w:val="none"/>
        </w:rPr>
        <w:t>法定代表人：</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 xml:space="preserve">(签字或盖章)  </w:t>
      </w:r>
    </w:p>
    <w:p w14:paraId="763270A9">
      <w:pPr>
        <w:pStyle w:val="24"/>
        <w:snapToGrid w:val="0"/>
        <w:spacing w:line="480" w:lineRule="auto"/>
        <w:ind w:firstLine="3496" w:firstLineChars="1457"/>
        <w:outlineLvl w:val="9"/>
        <w:rPr>
          <w:rFonts w:hint="eastAsia" w:ascii="宋体" w:hAnsi="宋体" w:eastAsia="宋体" w:cs="宋体"/>
          <w:color w:val="000000"/>
          <w:highlight w:val="none"/>
        </w:rPr>
      </w:pPr>
      <w:r>
        <w:rPr>
          <w:rFonts w:hint="eastAsia" w:ascii="宋体" w:hAnsi="宋体" w:eastAsia="宋体" w:cs="宋体"/>
          <w:color w:val="000000"/>
          <w:highlight w:val="none"/>
        </w:rPr>
        <w:t>身份证号码：</w:t>
      </w:r>
      <w:r>
        <w:rPr>
          <w:rFonts w:hint="eastAsia" w:ascii="宋体" w:hAnsi="宋体" w:eastAsia="宋体" w:cs="宋体"/>
          <w:color w:val="000000"/>
          <w:highlight w:val="none"/>
          <w:u w:val="single"/>
        </w:rPr>
        <w:t xml:space="preserve">                           </w:t>
      </w:r>
    </w:p>
    <w:p w14:paraId="155CA610">
      <w:pPr>
        <w:pStyle w:val="24"/>
        <w:snapToGrid w:val="0"/>
        <w:spacing w:line="480" w:lineRule="auto"/>
        <w:ind w:firstLine="3496" w:firstLineChars="1457"/>
        <w:outlineLvl w:val="9"/>
        <w:rPr>
          <w:rFonts w:hint="eastAsia" w:ascii="宋体" w:hAnsi="宋体" w:eastAsia="宋体" w:cs="宋体"/>
          <w:color w:val="000000"/>
          <w:highlight w:val="none"/>
        </w:rPr>
      </w:pPr>
      <w:r>
        <w:rPr>
          <w:rFonts w:hint="eastAsia" w:ascii="宋体" w:hAnsi="宋体" w:eastAsia="宋体" w:cs="宋体"/>
          <w:color w:val="000000"/>
          <w:highlight w:val="none"/>
        </w:rPr>
        <w:t>委托代理人：</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(签字或盖章)</w:t>
      </w:r>
    </w:p>
    <w:p w14:paraId="7F125BCF">
      <w:pPr>
        <w:pStyle w:val="24"/>
        <w:snapToGrid w:val="0"/>
        <w:spacing w:line="480" w:lineRule="auto"/>
        <w:ind w:firstLine="3496" w:firstLineChars="1457"/>
        <w:outlineLvl w:val="9"/>
        <w:rPr>
          <w:rFonts w:hint="eastAsia" w:ascii="宋体" w:hAnsi="宋体" w:eastAsia="宋体" w:cs="宋体"/>
          <w:color w:val="000000"/>
          <w:highlight w:val="none"/>
        </w:rPr>
      </w:pPr>
      <w:r>
        <w:rPr>
          <w:rFonts w:hint="eastAsia" w:ascii="宋体" w:hAnsi="宋体" w:eastAsia="宋体" w:cs="宋体"/>
          <w:color w:val="000000"/>
          <w:highlight w:val="none"/>
        </w:rPr>
        <w:t>身份证号码：</w:t>
      </w:r>
      <w:r>
        <w:rPr>
          <w:rFonts w:hint="eastAsia" w:ascii="宋体" w:hAnsi="宋体" w:eastAsia="宋体" w:cs="宋体"/>
          <w:color w:val="000000"/>
          <w:highlight w:val="none"/>
          <w:u w:val="single"/>
        </w:rPr>
        <w:t xml:space="preserve">                           </w:t>
      </w:r>
    </w:p>
    <w:p w14:paraId="1CD719F7">
      <w:pPr>
        <w:pStyle w:val="24"/>
        <w:snapToGrid w:val="0"/>
        <w:spacing w:line="480" w:lineRule="auto"/>
        <w:ind w:firstLine="3480" w:firstLineChars="1450"/>
        <w:outlineLvl w:val="9"/>
        <w:rPr>
          <w:rFonts w:hint="eastAsia" w:ascii="宋体" w:hAnsi="宋体" w:eastAsia="宋体" w:cs="宋体"/>
          <w:color w:val="000000"/>
          <w:highlight w:val="none"/>
        </w:rPr>
      </w:pPr>
      <w:r>
        <w:rPr>
          <w:rFonts w:hint="eastAsia" w:ascii="宋体" w:hAnsi="宋体" w:eastAsia="宋体" w:cs="宋体"/>
          <w:color w:val="000000"/>
          <w:highlight w:val="none"/>
        </w:rPr>
        <w:t>日      期：</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年</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月</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日</w:t>
      </w:r>
    </w:p>
    <w:p w14:paraId="4E9E4475">
      <w:pPr>
        <w:autoSpaceDE w:val="0"/>
        <w:autoSpaceDN w:val="0"/>
        <w:adjustRightInd w:val="0"/>
        <w:snapToGrid w:val="0"/>
        <w:spacing w:before="156" w:beforeLines="50" w:after="156" w:afterLines="50" w:line="300" w:lineRule="auto"/>
        <w:jc w:val="left"/>
        <w:outlineLvl w:val="9"/>
        <w:rPr>
          <w:rFonts w:hint="eastAsia" w:ascii="宋体" w:hAnsi="宋体" w:eastAsia="宋体" w:cs="宋体"/>
          <w:b/>
          <w:bCs/>
          <w:color w:val="000000"/>
          <w:szCs w:val="28"/>
          <w:highlight w:val="none"/>
        </w:rPr>
      </w:pPr>
      <w:r>
        <w:rPr>
          <w:rFonts w:hint="eastAsia" w:ascii="宋体" w:hAnsi="宋体" w:eastAsia="宋体" w:cs="宋体"/>
          <w:color w:val="000000"/>
          <w:szCs w:val="21"/>
          <w:highlight w:val="none"/>
        </w:rPr>
        <w:t>注：如法人负责投标相关事宜，则无需提供授权委托书。</w:t>
      </w:r>
    </w:p>
    <w:p w14:paraId="7030AE8B">
      <w:pPr>
        <w:autoSpaceDE w:val="0"/>
        <w:autoSpaceDN w:val="0"/>
        <w:adjustRightInd w:val="0"/>
        <w:snapToGrid w:val="0"/>
        <w:spacing w:before="156" w:beforeLines="50" w:after="156" w:afterLines="50" w:line="300" w:lineRule="auto"/>
        <w:jc w:val="center"/>
        <w:outlineLvl w:val="9"/>
        <w:rPr>
          <w:rFonts w:hint="eastAsia" w:ascii="宋体" w:hAnsi="宋体" w:eastAsia="宋体" w:cs="宋体"/>
          <w:b/>
          <w:bCs/>
          <w:color w:val="000000"/>
          <w:szCs w:val="28"/>
          <w:highlight w:val="none"/>
        </w:rPr>
      </w:pPr>
    </w:p>
    <w:p w14:paraId="6BA80B50">
      <w:pPr>
        <w:autoSpaceDE w:val="0"/>
        <w:autoSpaceDN w:val="0"/>
        <w:adjustRightInd w:val="0"/>
        <w:snapToGrid w:val="0"/>
        <w:spacing w:before="156" w:beforeLines="50" w:after="156" w:afterLines="50" w:line="300" w:lineRule="auto"/>
        <w:jc w:val="center"/>
        <w:outlineLvl w:val="9"/>
        <w:rPr>
          <w:rFonts w:hint="eastAsia" w:ascii="宋体" w:hAnsi="宋体" w:eastAsia="宋体" w:cs="宋体"/>
          <w:b/>
          <w:bCs/>
          <w:color w:val="000000"/>
          <w:sz w:val="30"/>
          <w:szCs w:val="30"/>
          <w:highlight w:val="none"/>
        </w:rPr>
      </w:pPr>
      <w:r>
        <w:rPr>
          <w:rFonts w:hint="eastAsia" w:ascii="宋体" w:hAnsi="宋体" w:eastAsia="宋体" w:cs="宋体"/>
          <w:b/>
          <w:bCs/>
          <w:color w:val="000000"/>
          <w:szCs w:val="28"/>
          <w:highlight w:val="none"/>
        </w:rPr>
        <w:br w:type="page"/>
      </w:r>
      <w:bookmarkStart w:id="164" w:name="_Toc25647"/>
      <w:bookmarkStart w:id="165" w:name="_Toc280255580"/>
      <w:bookmarkStart w:id="166" w:name="_Toc199156281"/>
      <w:bookmarkStart w:id="167" w:name="_Toc189386302"/>
      <w:r>
        <w:rPr>
          <w:rFonts w:hint="eastAsia" w:ascii="宋体" w:hAnsi="宋体" w:eastAsia="宋体" w:cs="宋体"/>
          <w:b/>
          <w:bCs/>
          <w:color w:val="000000"/>
          <w:sz w:val="30"/>
          <w:szCs w:val="30"/>
          <w:highlight w:val="none"/>
        </w:rPr>
        <w:t>四、资格审查资料</w:t>
      </w:r>
      <w:bookmarkEnd w:id="164"/>
    </w:p>
    <w:p w14:paraId="3BB11601">
      <w:pPr>
        <w:autoSpaceDE w:val="0"/>
        <w:autoSpaceDN w:val="0"/>
        <w:adjustRightInd w:val="0"/>
        <w:snapToGrid w:val="0"/>
        <w:spacing w:before="156" w:beforeLines="50" w:after="156" w:afterLines="50" w:line="300" w:lineRule="auto"/>
        <w:jc w:val="center"/>
        <w:outlineLvl w:val="9"/>
        <w:rPr>
          <w:rFonts w:hint="eastAsia" w:ascii="宋体" w:hAnsi="宋体" w:eastAsia="宋体" w:cs="宋体"/>
          <w:b/>
          <w:bCs/>
          <w:color w:val="000000"/>
          <w:sz w:val="24"/>
          <w:highlight w:val="none"/>
        </w:rPr>
      </w:pPr>
      <w:bookmarkStart w:id="168" w:name="_Toc12098"/>
      <w:r>
        <w:rPr>
          <w:rFonts w:hint="eastAsia" w:ascii="宋体" w:hAnsi="宋体" w:eastAsia="宋体" w:cs="宋体"/>
          <w:b/>
          <w:bCs/>
          <w:color w:val="000000"/>
          <w:sz w:val="24"/>
          <w:highlight w:val="none"/>
        </w:rPr>
        <w:t>4.1  投标人基本情况表</w:t>
      </w:r>
      <w:bookmarkEnd w:id="165"/>
      <w:bookmarkEnd w:id="166"/>
      <w:bookmarkEnd w:id="167"/>
      <w:bookmarkEnd w:id="168"/>
    </w:p>
    <w:tbl>
      <w:tblPr>
        <w:tblStyle w:val="15"/>
        <w:tblW w:w="0" w:type="auto"/>
        <w:jc w:val="center"/>
        <w:tblLayout w:type="fixed"/>
        <w:tblCellMar>
          <w:top w:w="0" w:type="dxa"/>
          <w:left w:w="108" w:type="dxa"/>
          <w:bottom w:w="0" w:type="dxa"/>
          <w:right w:w="108" w:type="dxa"/>
        </w:tblCellMar>
      </w:tblPr>
      <w:tblGrid>
        <w:gridCol w:w="1919"/>
        <w:gridCol w:w="1112"/>
        <w:gridCol w:w="939"/>
        <w:gridCol w:w="395"/>
        <w:gridCol w:w="494"/>
        <w:gridCol w:w="840"/>
        <w:gridCol w:w="1525"/>
        <w:gridCol w:w="70"/>
        <w:gridCol w:w="911"/>
        <w:gridCol w:w="1274"/>
      </w:tblGrid>
      <w:tr w14:paraId="71E277F0">
        <w:tblPrEx>
          <w:tblCellMar>
            <w:top w:w="0" w:type="dxa"/>
            <w:left w:w="108" w:type="dxa"/>
            <w:bottom w:w="0" w:type="dxa"/>
            <w:right w:w="108" w:type="dxa"/>
          </w:tblCellMar>
        </w:tblPrEx>
        <w:trPr>
          <w:trHeight w:val="691" w:hRule="atLeast"/>
          <w:jc w:val="center"/>
        </w:trPr>
        <w:tc>
          <w:tcPr>
            <w:tcW w:w="1919" w:type="dxa"/>
            <w:tcBorders>
              <w:top w:val="single" w:color="000000" w:sz="4" w:space="0"/>
              <w:left w:val="single" w:color="000000" w:sz="4" w:space="0"/>
              <w:bottom w:val="single" w:color="000000" w:sz="4" w:space="0"/>
              <w:right w:val="single" w:color="000000" w:sz="4" w:space="0"/>
            </w:tcBorders>
            <w:noWrap w:val="0"/>
            <w:vAlign w:val="center"/>
          </w:tcPr>
          <w:p w14:paraId="09AC141E">
            <w:pPr>
              <w:pStyle w:val="24"/>
              <w:spacing w:line="300" w:lineRule="auto"/>
              <w:jc w:val="center"/>
              <w:outlineLvl w:val="9"/>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投标人名称</w:t>
            </w:r>
          </w:p>
        </w:tc>
        <w:tc>
          <w:tcPr>
            <w:tcW w:w="7560" w:type="dxa"/>
            <w:gridSpan w:val="9"/>
            <w:tcBorders>
              <w:top w:val="single" w:color="000000" w:sz="4" w:space="0"/>
              <w:left w:val="single" w:color="000000" w:sz="4" w:space="0"/>
              <w:bottom w:val="single" w:color="000000" w:sz="4" w:space="0"/>
              <w:right w:val="single" w:color="000000" w:sz="4" w:space="0"/>
            </w:tcBorders>
            <w:noWrap w:val="0"/>
            <w:vAlign w:val="center"/>
          </w:tcPr>
          <w:p w14:paraId="37C1FB2C">
            <w:pPr>
              <w:pStyle w:val="24"/>
              <w:spacing w:line="300" w:lineRule="auto"/>
              <w:jc w:val="center"/>
              <w:outlineLvl w:val="9"/>
              <w:rPr>
                <w:rFonts w:hint="eastAsia" w:ascii="宋体" w:hAnsi="宋体" w:eastAsia="宋体" w:cs="宋体"/>
                <w:color w:val="000000"/>
                <w:szCs w:val="24"/>
                <w:highlight w:val="none"/>
              </w:rPr>
            </w:pPr>
          </w:p>
        </w:tc>
      </w:tr>
      <w:tr w14:paraId="76902F4D">
        <w:tblPrEx>
          <w:tblCellMar>
            <w:top w:w="0" w:type="dxa"/>
            <w:left w:w="108" w:type="dxa"/>
            <w:bottom w:w="0" w:type="dxa"/>
            <w:right w:w="108" w:type="dxa"/>
          </w:tblCellMar>
        </w:tblPrEx>
        <w:trPr>
          <w:trHeight w:val="691" w:hRule="atLeast"/>
          <w:jc w:val="center"/>
        </w:trPr>
        <w:tc>
          <w:tcPr>
            <w:tcW w:w="1919" w:type="dxa"/>
            <w:tcBorders>
              <w:top w:val="single" w:color="000000" w:sz="4" w:space="0"/>
              <w:left w:val="single" w:color="000000" w:sz="4" w:space="0"/>
              <w:bottom w:val="single" w:color="000000" w:sz="4" w:space="0"/>
              <w:right w:val="single" w:color="000000" w:sz="4" w:space="0"/>
            </w:tcBorders>
            <w:noWrap w:val="0"/>
            <w:vAlign w:val="center"/>
          </w:tcPr>
          <w:p w14:paraId="6876AF6F">
            <w:pPr>
              <w:pStyle w:val="24"/>
              <w:spacing w:line="300" w:lineRule="auto"/>
              <w:jc w:val="center"/>
              <w:outlineLvl w:val="9"/>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注册地址</w:t>
            </w:r>
          </w:p>
        </w:tc>
        <w:tc>
          <w:tcPr>
            <w:tcW w:w="3780" w:type="dxa"/>
            <w:gridSpan w:val="5"/>
            <w:tcBorders>
              <w:top w:val="single" w:color="000000" w:sz="4" w:space="0"/>
              <w:left w:val="single" w:color="000000" w:sz="4" w:space="0"/>
              <w:bottom w:val="single" w:color="000000" w:sz="4" w:space="0"/>
              <w:right w:val="single" w:color="000000" w:sz="4" w:space="0"/>
            </w:tcBorders>
            <w:noWrap w:val="0"/>
            <w:vAlign w:val="center"/>
          </w:tcPr>
          <w:p w14:paraId="4862F536">
            <w:pPr>
              <w:pStyle w:val="24"/>
              <w:spacing w:line="300" w:lineRule="auto"/>
              <w:jc w:val="center"/>
              <w:outlineLvl w:val="9"/>
              <w:rPr>
                <w:rFonts w:hint="eastAsia" w:ascii="宋体" w:hAnsi="宋体" w:eastAsia="宋体" w:cs="宋体"/>
                <w:color w:val="000000"/>
                <w:szCs w:val="24"/>
                <w:highlight w:val="none"/>
              </w:rPr>
            </w:pPr>
          </w:p>
        </w:tc>
        <w:tc>
          <w:tcPr>
            <w:tcW w:w="1525" w:type="dxa"/>
            <w:tcBorders>
              <w:top w:val="single" w:color="000000" w:sz="4" w:space="0"/>
              <w:left w:val="single" w:color="000000" w:sz="4" w:space="0"/>
              <w:bottom w:val="single" w:color="000000" w:sz="4" w:space="0"/>
              <w:right w:val="single" w:color="000000" w:sz="4" w:space="0"/>
            </w:tcBorders>
            <w:noWrap w:val="0"/>
            <w:vAlign w:val="center"/>
          </w:tcPr>
          <w:p w14:paraId="577661A0">
            <w:pPr>
              <w:pStyle w:val="24"/>
              <w:spacing w:line="300" w:lineRule="auto"/>
              <w:jc w:val="center"/>
              <w:outlineLvl w:val="9"/>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邮政编码</w:t>
            </w:r>
          </w:p>
        </w:tc>
        <w:tc>
          <w:tcPr>
            <w:tcW w:w="2255" w:type="dxa"/>
            <w:gridSpan w:val="3"/>
            <w:tcBorders>
              <w:top w:val="single" w:color="000000" w:sz="4" w:space="0"/>
              <w:left w:val="single" w:color="000000" w:sz="4" w:space="0"/>
              <w:bottom w:val="single" w:color="000000" w:sz="4" w:space="0"/>
              <w:right w:val="single" w:color="000000" w:sz="4" w:space="0"/>
            </w:tcBorders>
            <w:noWrap w:val="0"/>
            <w:vAlign w:val="center"/>
          </w:tcPr>
          <w:p w14:paraId="1B907A3D">
            <w:pPr>
              <w:pStyle w:val="24"/>
              <w:spacing w:line="300" w:lineRule="auto"/>
              <w:jc w:val="center"/>
              <w:outlineLvl w:val="9"/>
              <w:rPr>
                <w:rFonts w:hint="eastAsia" w:ascii="宋体" w:hAnsi="宋体" w:eastAsia="宋体" w:cs="宋体"/>
                <w:color w:val="000000"/>
                <w:szCs w:val="24"/>
                <w:highlight w:val="none"/>
              </w:rPr>
            </w:pPr>
          </w:p>
        </w:tc>
      </w:tr>
      <w:tr w14:paraId="005FB073">
        <w:tblPrEx>
          <w:tblCellMar>
            <w:top w:w="0" w:type="dxa"/>
            <w:left w:w="108" w:type="dxa"/>
            <w:bottom w:w="0" w:type="dxa"/>
            <w:right w:w="108" w:type="dxa"/>
          </w:tblCellMar>
        </w:tblPrEx>
        <w:trPr>
          <w:cantSplit/>
          <w:trHeight w:val="691" w:hRule="atLeast"/>
          <w:jc w:val="center"/>
        </w:trPr>
        <w:tc>
          <w:tcPr>
            <w:tcW w:w="1919" w:type="dxa"/>
            <w:vMerge w:val="restart"/>
            <w:tcBorders>
              <w:top w:val="single" w:color="000000" w:sz="4" w:space="0"/>
              <w:left w:val="single" w:color="000000" w:sz="4" w:space="0"/>
              <w:bottom w:val="single" w:color="000000" w:sz="4" w:space="0"/>
              <w:right w:val="single" w:color="000000" w:sz="4" w:space="0"/>
            </w:tcBorders>
            <w:noWrap w:val="0"/>
            <w:vAlign w:val="center"/>
          </w:tcPr>
          <w:p w14:paraId="6E08C993">
            <w:pPr>
              <w:pStyle w:val="24"/>
              <w:spacing w:line="300" w:lineRule="auto"/>
              <w:jc w:val="center"/>
              <w:outlineLvl w:val="9"/>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联系方式</w:t>
            </w:r>
          </w:p>
        </w:tc>
        <w:tc>
          <w:tcPr>
            <w:tcW w:w="1112" w:type="dxa"/>
            <w:tcBorders>
              <w:top w:val="single" w:color="000000" w:sz="4" w:space="0"/>
              <w:left w:val="single" w:color="000000" w:sz="4" w:space="0"/>
              <w:bottom w:val="single" w:color="000000" w:sz="4" w:space="0"/>
              <w:right w:val="single" w:color="000000" w:sz="4" w:space="0"/>
            </w:tcBorders>
            <w:noWrap w:val="0"/>
            <w:vAlign w:val="center"/>
          </w:tcPr>
          <w:p w14:paraId="0B641517">
            <w:pPr>
              <w:pStyle w:val="24"/>
              <w:spacing w:line="300" w:lineRule="auto"/>
              <w:jc w:val="center"/>
              <w:outlineLvl w:val="9"/>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联系人</w:t>
            </w:r>
          </w:p>
        </w:tc>
        <w:tc>
          <w:tcPr>
            <w:tcW w:w="2668" w:type="dxa"/>
            <w:gridSpan w:val="4"/>
            <w:tcBorders>
              <w:top w:val="single" w:color="000000" w:sz="4" w:space="0"/>
              <w:left w:val="single" w:color="000000" w:sz="4" w:space="0"/>
              <w:bottom w:val="single" w:color="000000" w:sz="4" w:space="0"/>
              <w:right w:val="single" w:color="000000" w:sz="4" w:space="0"/>
            </w:tcBorders>
            <w:noWrap w:val="0"/>
            <w:vAlign w:val="center"/>
          </w:tcPr>
          <w:p w14:paraId="233FC620">
            <w:pPr>
              <w:pStyle w:val="24"/>
              <w:spacing w:line="300" w:lineRule="auto"/>
              <w:jc w:val="center"/>
              <w:outlineLvl w:val="9"/>
              <w:rPr>
                <w:rFonts w:hint="eastAsia" w:ascii="宋体" w:hAnsi="宋体" w:eastAsia="宋体" w:cs="宋体"/>
                <w:color w:val="000000"/>
                <w:szCs w:val="24"/>
                <w:highlight w:val="none"/>
              </w:rPr>
            </w:pPr>
          </w:p>
        </w:tc>
        <w:tc>
          <w:tcPr>
            <w:tcW w:w="1525" w:type="dxa"/>
            <w:tcBorders>
              <w:top w:val="single" w:color="000000" w:sz="4" w:space="0"/>
              <w:left w:val="single" w:color="000000" w:sz="4" w:space="0"/>
              <w:bottom w:val="single" w:color="000000" w:sz="4" w:space="0"/>
              <w:right w:val="single" w:color="000000" w:sz="4" w:space="0"/>
            </w:tcBorders>
            <w:noWrap w:val="0"/>
            <w:vAlign w:val="center"/>
          </w:tcPr>
          <w:p w14:paraId="33B7212A">
            <w:pPr>
              <w:pStyle w:val="24"/>
              <w:spacing w:line="300" w:lineRule="auto"/>
              <w:jc w:val="center"/>
              <w:outlineLvl w:val="9"/>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电话</w:t>
            </w:r>
          </w:p>
        </w:tc>
        <w:tc>
          <w:tcPr>
            <w:tcW w:w="2255" w:type="dxa"/>
            <w:gridSpan w:val="3"/>
            <w:tcBorders>
              <w:top w:val="single" w:color="000000" w:sz="4" w:space="0"/>
              <w:left w:val="single" w:color="000000" w:sz="4" w:space="0"/>
              <w:bottom w:val="single" w:color="000000" w:sz="4" w:space="0"/>
              <w:right w:val="single" w:color="000000" w:sz="4" w:space="0"/>
            </w:tcBorders>
            <w:noWrap w:val="0"/>
            <w:vAlign w:val="center"/>
          </w:tcPr>
          <w:p w14:paraId="31BA1052">
            <w:pPr>
              <w:pStyle w:val="24"/>
              <w:spacing w:line="300" w:lineRule="auto"/>
              <w:jc w:val="center"/>
              <w:outlineLvl w:val="9"/>
              <w:rPr>
                <w:rFonts w:hint="eastAsia" w:ascii="宋体" w:hAnsi="宋体" w:eastAsia="宋体" w:cs="宋体"/>
                <w:color w:val="000000"/>
                <w:szCs w:val="24"/>
                <w:highlight w:val="none"/>
              </w:rPr>
            </w:pPr>
          </w:p>
        </w:tc>
      </w:tr>
      <w:tr w14:paraId="4B19F842">
        <w:tblPrEx>
          <w:tblCellMar>
            <w:top w:w="0" w:type="dxa"/>
            <w:left w:w="108" w:type="dxa"/>
            <w:bottom w:w="0" w:type="dxa"/>
            <w:right w:w="108" w:type="dxa"/>
          </w:tblCellMar>
        </w:tblPrEx>
        <w:trPr>
          <w:cantSplit/>
          <w:trHeight w:val="691" w:hRule="atLeast"/>
          <w:jc w:val="center"/>
        </w:trPr>
        <w:tc>
          <w:tcPr>
            <w:tcW w:w="19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274D6D">
            <w:pPr>
              <w:pStyle w:val="24"/>
              <w:spacing w:line="300" w:lineRule="auto"/>
              <w:jc w:val="center"/>
              <w:outlineLvl w:val="9"/>
              <w:rPr>
                <w:rFonts w:hint="eastAsia" w:ascii="宋体" w:hAnsi="宋体" w:eastAsia="宋体" w:cs="宋体"/>
                <w:color w:val="000000"/>
                <w:szCs w:val="24"/>
                <w:highlight w:val="none"/>
              </w:rPr>
            </w:pPr>
          </w:p>
        </w:tc>
        <w:tc>
          <w:tcPr>
            <w:tcW w:w="1112" w:type="dxa"/>
            <w:tcBorders>
              <w:top w:val="single" w:color="000000" w:sz="4" w:space="0"/>
              <w:left w:val="single" w:color="000000" w:sz="4" w:space="0"/>
              <w:bottom w:val="single" w:color="000000" w:sz="4" w:space="0"/>
              <w:right w:val="single" w:color="000000" w:sz="4" w:space="0"/>
            </w:tcBorders>
            <w:noWrap w:val="0"/>
            <w:vAlign w:val="center"/>
          </w:tcPr>
          <w:p w14:paraId="6BF7BBCC">
            <w:pPr>
              <w:pStyle w:val="24"/>
              <w:spacing w:line="300" w:lineRule="auto"/>
              <w:jc w:val="center"/>
              <w:outlineLvl w:val="9"/>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传真</w:t>
            </w:r>
          </w:p>
        </w:tc>
        <w:tc>
          <w:tcPr>
            <w:tcW w:w="2668" w:type="dxa"/>
            <w:gridSpan w:val="4"/>
            <w:tcBorders>
              <w:top w:val="single" w:color="000000" w:sz="4" w:space="0"/>
              <w:left w:val="single" w:color="000000" w:sz="4" w:space="0"/>
              <w:bottom w:val="single" w:color="000000" w:sz="4" w:space="0"/>
              <w:right w:val="single" w:color="000000" w:sz="4" w:space="0"/>
            </w:tcBorders>
            <w:noWrap w:val="0"/>
            <w:vAlign w:val="center"/>
          </w:tcPr>
          <w:p w14:paraId="3106577B">
            <w:pPr>
              <w:pStyle w:val="24"/>
              <w:spacing w:line="300" w:lineRule="auto"/>
              <w:jc w:val="center"/>
              <w:outlineLvl w:val="9"/>
              <w:rPr>
                <w:rFonts w:hint="eastAsia" w:ascii="宋体" w:hAnsi="宋体" w:eastAsia="宋体" w:cs="宋体"/>
                <w:color w:val="000000"/>
                <w:szCs w:val="24"/>
                <w:highlight w:val="none"/>
              </w:rPr>
            </w:pPr>
          </w:p>
        </w:tc>
        <w:tc>
          <w:tcPr>
            <w:tcW w:w="1525" w:type="dxa"/>
            <w:tcBorders>
              <w:top w:val="single" w:color="000000" w:sz="4" w:space="0"/>
              <w:left w:val="single" w:color="000000" w:sz="4" w:space="0"/>
              <w:bottom w:val="single" w:color="000000" w:sz="4" w:space="0"/>
              <w:right w:val="single" w:color="000000" w:sz="4" w:space="0"/>
            </w:tcBorders>
            <w:noWrap w:val="0"/>
            <w:vAlign w:val="center"/>
          </w:tcPr>
          <w:p w14:paraId="31886BDE">
            <w:pPr>
              <w:pStyle w:val="24"/>
              <w:spacing w:line="300" w:lineRule="auto"/>
              <w:jc w:val="center"/>
              <w:outlineLvl w:val="9"/>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网址</w:t>
            </w:r>
          </w:p>
        </w:tc>
        <w:tc>
          <w:tcPr>
            <w:tcW w:w="2255" w:type="dxa"/>
            <w:gridSpan w:val="3"/>
            <w:tcBorders>
              <w:top w:val="single" w:color="000000" w:sz="4" w:space="0"/>
              <w:left w:val="single" w:color="000000" w:sz="4" w:space="0"/>
              <w:bottom w:val="single" w:color="000000" w:sz="4" w:space="0"/>
              <w:right w:val="single" w:color="000000" w:sz="4" w:space="0"/>
            </w:tcBorders>
            <w:noWrap w:val="0"/>
            <w:vAlign w:val="center"/>
          </w:tcPr>
          <w:p w14:paraId="59428A2F">
            <w:pPr>
              <w:pStyle w:val="24"/>
              <w:spacing w:line="300" w:lineRule="auto"/>
              <w:jc w:val="center"/>
              <w:outlineLvl w:val="9"/>
              <w:rPr>
                <w:rFonts w:hint="eastAsia" w:ascii="宋体" w:hAnsi="宋体" w:eastAsia="宋体" w:cs="宋体"/>
                <w:color w:val="000000"/>
                <w:szCs w:val="24"/>
                <w:highlight w:val="none"/>
              </w:rPr>
            </w:pPr>
          </w:p>
        </w:tc>
      </w:tr>
      <w:tr w14:paraId="00D4C8EC">
        <w:tblPrEx>
          <w:tblCellMar>
            <w:top w:w="0" w:type="dxa"/>
            <w:left w:w="108" w:type="dxa"/>
            <w:bottom w:w="0" w:type="dxa"/>
            <w:right w:w="108" w:type="dxa"/>
          </w:tblCellMar>
        </w:tblPrEx>
        <w:trPr>
          <w:trHeight w:val="691" w:hRule="atLeast"/>
          <w:jc w:val="center"/>
        </w:trPr>
        <w:tc>
          <w:tcPr>
            <w:tcW w:w="1919" w:type="dxa"/>
            <w:tcBorders>
              <w:top w:val="single" w:color="000000" w:sz="4" w:space="0"/>
              <w:left w:val="single" w:color="000000" w:sz="4" w:space="0"/>
              <w:bottom w:val="single" w:color="000000" w:sz="4" w:space="0"/>
              <w:right w:val="single" w:color="000000" w:sz="4" w:space="0"/>
            </w:tcBorders>
            <w:noWrap w:val="0"/>
            <w:vAlign w:val="center"/>
          </w:tcPr>
          <w:p w14:paraId="59A348FD">
            <w:pPr>
              <w:pStyle w:val="24"/>
              <w:spacing w:line="300" w:lineRule="auto"/>
              <w:jc w:val="center"/>
              <w:outlineLvl w:val="9"/>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法定代表人</w:t>
            </w:r>
          </w:p>
        </w:tc>
        <w:tc>
          <w:tcPr>
            <w:tcW w:w="1112" w:type="dxa"/>
            <w:tcBorders>
              <w:top w:val="single" w:color="000000" w:sz="4" w:space="0"/>
              <w:left w:val="single" w:color="000000" w:sz="4" w:space="0"/>
              <w:bottom w:val="single" w:color="000000" w:sz="4" w:space="0"/>
              <w:right w:val="single" w:color="000000" w:sz="4" w:space="0"/>
            </w:tcBorders>
            <w:noWrap w:val="0"/>
            <w:vAlign w:val="center"/>
          </w:tcPr>
          <w:p w14:paraId="6892CE0C">
            <w:pPr>
              <w:pStyle w:val="24"/>
              <w:spacing w:line="300" w:lineRule="auto"/>
              <w:jc w:val="center"/>
              <w:outlineLvl w:val="9"/>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姓名</w:t>
            </w:r>
          </w:p>
        </w:tc>
        <w:tc>
          <w:tcPr>
            <w:tcW w:w="1334" w:type="dxa"/>
            <w:gridSpan w:val="2"/>
            <w:tcBorders>
              <w:top w:val="single" w:color="000000" w:sz="4" w:space="0"/>
              <w:left w:val="single" w:color="000000" w:sz="4" w:space="0"/>
              <w:bottom w:val="single" w:color="000000" w:sz="4" w:space="0"/>
              <w:right w:val="single" w:color="000000" w:sz="4" w:space="0"/>
            </w:tcBorders>
            <w:noWrap w:val="0"/>
            <w:vAlign w:val="center"/>
          </w:tcPr>
          <w:p w14:paraId="29EB97E7">
            <w:pPr>
              <w:pStyle w:val="24"/>
              <w:spacing w:line="300" w:lineRule="auto"/>
              <w:jc w:val="center"/>
              <w:outlineLvl w:val="9"/>
              <w:rPr>
                <w:rFonts w:hint="eastAsia" w:ascii="宋体" w:hAnsi="宋体" w:eastAsia="宋体" w:cs="宋体"/>
                <w:color w:val="000000"/>
                <w:szCs w:val="24"/>
                <w:highlight w:val="none"/>
              </w:rPr>
            </w:pPr>
          </w:p>
        </w:tc>
        <w:tc>
          <w:tcPr>
            <w:tcW w:w="1334" w:type="dxa"/>
            <w:gridSpan w:val="2"/>
            <w:tcBorders>
              <w:top w:val="single" w:color="000000" w:sz="4" w:space="0"/>
              <w:left w:val="single" w:color="000000" w:sz="4" w:space="0"/>
              <w:bottom w:val="single" w:color="000000" w:sz="4" w:space="0"/>
              <w:right w:val="single" w:color="000000" w:sz="4" w:space="0"/>
            </w:tcBorders>
            <w:noWrap w:val="0"/>
            <w:vAlign w:val="center"/>
          </w:tcPr>
          <w:p w14:paraId="69BF9800">
            <w:pPr>
              <w:pStyle w:val="24"/>
              <w:spacing w:line="300" w:lineRule="auto"/>
              <w:jc w:val="center"/>
              <w:outlineLvl w:val="9"/>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技术职称</w:t>
            </w:r>
          </w:p>
        </w:tc>
        <w:tc>
          <w:tcPr>
            <w:tcW w:w="1525" w:type="dxa"/>
            <w:tcBorders>
              <w:top w:val="single" w:color="000000" w:sz="4" w:space="0"/>
              <w:left w:val="single" w:color="000000" w:sz="4" w:space="0"/>
              <w:bottom w:val="single" w:color="000000" w:sz="4" w:space="0"/>
              <w:right w:val="single" w:color="000000" w:sz="4" w:space="0"/>
            </w:tcBorders>
            <w:noWrap w:val="0"/>
            <w:vAlign w:val="center"/>
          </w:tcPr>
          <w:p w14:paraId="4D213D17">
            <w:pPr>
              <w:pStyle w:val="24"/>
              <w:spacing w:line="300" w:lineRule="auto"/>
              <w:jc w:val="center"/>
              <w:outlineLvl w:val="9"/>
              <w:rPr>
                <w:rFonts w:hint="eastAsia" w:ascii="宋体" w:hAnsi="宋体" w:eastAsia="宋体" w:cs="宋体"/>
                <w:color w:val="000000"/>
                <w:szCs w:val="24"/>
                <w:highlight w:val="none"/>
              </w:rPr>
            </w:pPr>
          </w:p>
        </w:tc>
        <w:tc>
          <w:tcPr>
            <w:tcW w:w="981" w:type="dxa"/>
            <w:gridSpan w:val="2"/>
            <w:tcBorders>
              <w:top w:val="single" w:color="000000" w:sz="4" w:space="0"/>
              <w:left w:val="single" w:color="000000" w:sz="4" w:space="0"/>
              <w:bottom w:val="single" w:color="000000" w:sz="4" w:space="0"/>
              <w:right w:val="single" w:color="000000" w:sz="4" w:space="0"/>
            </w:tcBorders>
            <w:noWrap w:val="0"/>
            <w:vAlign w:val="center"/>
          </w:tcPr>
          <w:p w14:paraId="0CC2A9C0">
            <w:pPr>
              <w:pStyle w:val="24"/>
              <w:spacing w:line="300" w:lineRule="auto"/>
              <w:jc w:val="center"/>
              <w:outlineLvl w:val="9"/>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电话</w:t>
            </w:r>
          </w:p>
        </w:tc>
        <w:tc>
          <w:tcPr>
            <w:tcW w:w="1274" w:type="dxa"/>
            <w:tcBorders>
              <w:top w:val="single" w:color="000000" w:sz="4" w:space="0"/>
              <w:left w:val="single" w:color="000000" w:sz="4" w:space="0"/>
              <w:bottom w:val="single" w:color="000000" w:sz="4" w:space="0"/>
              <w:right w:val="single" w:color="000000" w:sz="4" w:space="0"/>
            </w:tcBorders>
            <w:noWrap w:val="0"/>
            <w:vAlign w:val="center"/>
          </w:tcPr>
          <w:p w14:paraId="2714BC14">
            <w:pPr>
              <w:pStyle w:val="24"/>
              <w:spacing w:line="300" w:lineRule="auto"/>
              <w:jc w:val="center"/>
              <w:outlineLvl w:val="9"/>
              <w:rPr>
                <w:rFonts w:hint="eastAsia" w:ascii="宋体" w:hAnsi="宋体" w:eastAsia="宋体" w:cs="宋体"/>
                <w:color w:val="000000"/>
                <w:szCs w:val="24"/>
                <w:highlight w:val="none"/>
              </w:rPr>
            </w:pPr>
          </w:p>
        </w:tc>
      </w:tr>
      <w:tr w14:paraId="20FEAEA1">
        <w:tblPrEx>
          <w:tblCellMar>
            <w:top w:w="0" w:type="dxa"/>
            <w:left w:w="108" w:type="dxa"/>
            <w:bottom w:w="0" w:type="dxa"/>
            <w:right w:w="108" w:type="dxa"/>
          </w:tblCellMar>
        </w:tblPrEx>
        <w:trPr>
          <w:trHeight w:val="691" w:hRule="atLeast"/>
          <w:jc w:val="center"/>
        </w:trPr>
        <w:tc>
          <w:tcPr>
            <w:tcW w:w="1919" w:type="dxa"/>
            <w:tcBorders>
              <w:top w:val="single" w:color="000000" w:sz="4" w:space="0"/>
              <w:left w:val="single" w:color="000000" w:sz="4" w:space="0"/>
              <w:bottom w:val="single" w:color="000000" w:sz="4" w:space="0"/>
              <w:right w:val="single" w:color="000000" w:sz="4" w:space="0"/>
            </w:tcBorders>
            <w:noWrap w:val="0"/>
            <w:vAlign w:val="center"/>
          </w:tcPr>
          <w:p w14:paraId="4EF9C49B">
            <w:pPr>
              <w:pStyle w:val="24"/>
              <w:spacing w:line="300" w:lineRule="auto"/>
              <w:jc w:val="center"/>
              <w:outlineLvl w:val="9"/>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技术负责人</w:t>
            </w:r>
          </w:p>
        </w:tc>
        <w:tc>
          <w:tcPr>
            <w:tcW w:w="1112" w:type="dxa"/>
            <w:tcBorders>
              <w:top w:val="single" w:color="000000" w:sz="4" w:space="0"/>
              <w:left w:val="single" w:color="000000" w:sz="4" w:space="0"/>
              <w:bottom w:val="single" w:color="000000" w:sz="4" w:space="0"/>
              <w:right w:val="single" w:color="000000" w:sz="4" w:space="0"/>
            </w:tcBorders>
            <w:noWrap w:val="0"/>
            <w:vAlign w:val="center"/>
          </w:tcPr>
          <w:p w14:paraId="4C1598BA">
            <w:pPr>
              <w:pStyle w:val="24"/>
              <w:spacing w:line="300" w:lineRule="auto"/>
              <w:jc w:val="center"/>
              <w:outlineLvl w:val="9"/>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姓名</w:t>
            </w:r>
          </w:p>
        </w:tc>
        <w:tc>
          <w:tcPr>
            <w:tcW w:w="1334" w:type="dxa"/>
            <w:gridSpan w:val="2"/>
            <w:tcBorders>
              <w:top w:val="single" w:color="000000" w:sz="4" w:space="0"/>
              <w:left w:val="single" w:color="000000" w:sz="4" w:space="0"/>
              <w:bottom w:val="single" w:color="000000" w:sz="4" w:space="0"/>
              <w:right w:val="single" w:color="000000" w:sz="4" w:space="0"/>
            </w:tcBorders>
            <w:noWrap w:val="0"/>
            <w:vAlign w:val="center"/>
          </w:tcPr>
          <w:p w14:paraId="24B12D24">
            <w:pPr>
              <w:pStyle w:val="24"/>
              <w:spacing w:line="300" w:lineRule="auto"/>
              <w:jc w:val="center"/>
              <w:outlineLvl w:val="9"/>
              <w:rPr>
                <w:rFonts w:hint="eastAsia" w:ascii="宋体" w:hAnsi="宋体" w:eastAsia="宋体" w:cs="宋体"/>
                <w:color w:val="000000"/>
                <w:szCs w:val="24"/>
                <w:highlight w:val="none"/>
              </w:rPr>
            </w:pPr>
          </w:p>
        </w:tc>
        <w:tc>
          <w:tcPr>
            <w:tcW w:w="1334" w:type="dxa"/>
            <w:gridSpan w:val="2"/>
            <w:tcBorders>
              <w:top w:val="single" w:color="000000" w:sz="4" w:space="0"/>
              <w:left w:val="single" w:color="000000" w:sz="4" w:space="0"/>
              <w:bottom w:val="single" w:color="000000" w:sz="4" w:space="0"/>
              <w:right w:val="single" w:color="000000" w:sz="4" w:space="0"/>
            </w:tcBorders>
            <w:noWrap w:val="0"/>
            <w:vAlign w:val="center"/>
          </w:tcPr>
          <w:p w14:paraId="1CEA3E6A">
            <w:pPr>
              <w:pStyle w:val="24"/>
              <w:spacing w:line="300" w:lineRule="auto"/>
              <w:jc w:val="center"/>
              <w:outlineLvl w:val="9"/>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技术职称</w:t>
            </w:r>
          </w:p>
        </w:tc>
        <w:tc>
          <w:tcPr>
            <w:tcW w:w="1525" w:type="dxa"/>
            <w:tcBorders>
              <w:top w:val="single" w:color="000000" w:sz="4" w:space="0"/>
              <w:left w:val="single" w:color="000000" w:sz="4" w:space="0"/>
              <w:bottom w:val="single" w:color="000000" w:sz="4" w:space="0"/>
              <w:right w:val="single" w:color="000000" w:sz="4" w:space="0"/>
            </w:tcBorders>
            <w:noWrap w:val="0"/>
            <w:vAlign w:val="center"/>
          </w:tcPr>
          <w:p w14:paraId="79AED29E">
            <w:pPr>
              <w:pStyle w:val="24"/>
              <w:spacing w:line="300" w:lineRule="auto"/>
              <w:jc w:val="center"/>
              <w:outlineLvl w:val="9"/>
              <w:rPr>
                <w:rFonts w:hint="eastAsia" w:ascii="宋体" w:hAnsi="宋体" w:eastAsia="宋体" w:cs="宋体"/>
                <w:color w:val="000000"/>
                <w:szCs w:val="24"/>
                <w:highlight w:val="none"/>
              </w:rPr>
            </w:pPr>
          </w:p>
        </w:tc>
        <w:tc>
          <w:tcPr>
            <w:tcW w:w="981" w:type="dxa"/>
            <w:gridSpan w:val="2"/>
            <w:tcBorders>
              <w:top w:val="single" w:color="000000" w:sz="4" w:space="0"/>
              <w:left w:val="single" w:color="000000" w:sz="4" w:space="0"/>
              <w:bottom w:val="single" w:color="000000" w:sz="4" w:space="0"/>
              <w:right w:val="single" w:color="000000" w:sz="4" w:space="0"/>
            </w:tcBorders>
            <w:noWrap w:val="0"/>
            <w:vAlign w:val="center"/>
          </w:tcPr>
          <w:p w14:paraId="6CEEAAAC">
            <w:pPr>
              <w:pStyle w:val="24"/>
              <w:spacing w:line="300" w:lineRule="auto"/>
              <w:jc w:val="center"/>
              <w:outlineLvl w:val="9"/>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电话</w:t>
            </w:r>
          </w:p>
        </w:tc>
        <w:tc>
          <w:tcPr>
            <w:tcW w:w="1274" w:type="dxa"/>
            <w:tcBorders>
              <w:top w:val="single" w:color="000000" w:sz="4" w:space="0"/>
              <w:left w:val="single" w:color="000000" w:sz="4" w:space="0"/>
              <w:bottom w:val="single" w:color="000000" w:sz="4" w:space="0"/>
              <w:right w:val="single" w:color="000000" w:sz="4" w:space="0"/>
            </w:tcBorders>
            <w:noWrap w:val="0"/>
            <w:vAlign w:val="center"/>
          </w:tcPr>
          <w:p w14:paraId="34C8BE34">
            <w:pPr>
              <w:pStyle w:val="24"/>
              <w:spacing w:line="300" w:lineRule="auto"/>
              <w:jc w:val="center"/>
              <w:outlineLvl w:val="9"/>
              <w:rPr>
                <w:rFonts w:hint="eastAsia" w:ascii="宋体" w:hAnsi="宋体" w:eastAsia="宋体" w:cs="宋体"/>
                <w:color w:val="000000"/>
                <w:szCs w:val="24"/>
                <w:highlight w:val="none"/>
              </w:rPr>
            </w:pPr>
          </w:p>
        </w:tc>
      </w:tr>
      <w:tr w14:paraId="5649148E">
        <w:tblPrEx>
          <w:tblCellMar>
            <w:top w:w="0" w:type="dxa"/>
            <w:left w:w="108" w:type="dxa"/>
            <w:bottom w:w="0" w:type="dxa"/>
            <w:right w:w="108" w:type="dxa"/>
          </w:tblCellMar>
        </w:tblPrEx>
        <w:trPr>
          <w:trHeight w:val="691" w:hRule="atLeast"/>
          <w:jc w:val="center"/>
        </w:trPr>
        <w:tc>
          <w:tcPr>
            <w:tcW w:w="1919" w:type="dxa"/>
            <w:tcBorders>
              <w:top w:val="single" w:color="000000" w:sz="4" w:space="0"/>
              <w:left w:val="single" w:color="000000" w:sz="4" w:space="0"/>
              <w:bottom w:val="single" w:color="000000" w:sz="4" w:space="0"/>
              <w:right w:val="single" w:color="000000" w:sz="4" w:space="0"/>
            </w:tcBorders>
            <w:noWrap w:val="0"/>
            <w:vAlign w:val="center"/>
          </w:tcPr>
          <w:p w14:paraId="0C9E113E">
            <w:pPr>
              <w:pStyle w:val="24"/>
              <w:spacing w:line="300" w:lineRule="auto"/>
              <w:jc w:val="center"/>
              <w:outlineLvl w:val="9"/>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成立时间</w:t>
            </w:r>
          </w:p>
        </w:tc>
        <w:tc>
          <w:tcPr>
            <w:tcW w:w="2051" w:type="dxa"/>
            <w:gridSpan w:val="2"/>
            <w:tcBorders>
              <w:top w:val="single" w:color="000000" w:sz="4" w:space="0"/>
              <w:left w:val="single" w:color="000000" w:sz="4" w:space="0"/>
              <w:bottom w:val="single" w:color="000000" w:sz="4" w:space="0"/>
              <w:right w:val="single" w:color="000000" w:sz="4" w:space="0"/>
            </w:tcBorders>
            <w:noWrap w:val="0"/>
            <w:vAlign w:val="center"/>
          </w:tcPr>
          <w:p w14:paraId="3C8FC63F">
            <w:pPr>
              <w:pStyle w:val="24"/>
              <w:spacing w:line="300" w:lineRule="auto"/>
              <w:jc w:val="center"/>
              <w:outlineLvl w:val="9"/>
              <w:rPr>
                <w:rFonts w:hint="eastAsia" w:ascii="宋体" w:hAnsi="宋体" w:eastAsia="宋体" w:cs="宋体"/>
                <w:color w:val="000000"/>
                <w:szCs w:val="24"/>
                <w:highlight w:val="none"/>
              </w:rPr>
            </w:pPr>
          </w:p>
        </w:tc>
        <w:tc>
          <w:tcPr>
            <w:tcW w:w="5509" w:type="dxa"/>
            <w:gridSpan w:val="7"/>
            <w:tcBorders>
              <w:top w:val="single" w:color="000000" w:sz="4" w:space="0"/>
              <w:left w:val="single" w:color="000000" w:sz="4" w:space="0"/>
              <w:bottom w:val="single" w:color="000000" w:sz="4" w:space="0"/>
              <w:right w:val="single" w:color="000000" w:sz="4" w:space="0"/>
            </w:tcBorders>
            <w:noWrap w:val="0"/>
            <w:vAlign w:val="center"/>
          </w:tcPr>
          <w:p w14:paraId="3162D748">
            <w:pPr>
              <w:pStyle w:val="24"/>
              <w:spacing w:line="300" w:lineRule="auto"/>
              <w:jc w:val="center"/>
              <w:outlineLvl w:val="9"/>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员工总人数：</w:t>
            </w:r>
          </w:p>
        </w:tc>
      </w:tr>
      <w:tr w14:paraId="5E3B8E6C">
        <w:tblPrEx>
          <w:tblCellMar>
            <w:top w:w="0" w:type="dxa"/>
            <w:left w:w="108" w:type="dxa"/>
            <w:bottom w:w="0" w:type="dxa"/>
            <w:right w:w="108" w:type="dxa"/>
          </w:tblCellMar>
        </w:tblPrEx>
        <w:trPr>
          <w:cantSplit/>
          <w:trHeight w:val="691" w:hRule="atLeast"/>
          <w:jc w:val="center"/>
        </w:trPr>
        <w:tc>
          <w:tcPr>
            <w:tcW w:w="1919" w:type="dxa"/>
            <w:tcBorders>
              <w:top w:val="single" w:color="000000" w:sz="4" w:space="0"/>
              <w:left w:val="single" w:color="000000" w:sz="4" w:space="0"/>
              <w:bottom w:val="single" w:color="000000" w:sz="4" w:space="0"/>
              <w:right w:val="single" w:color="000000" w:sz="4" w:space="0"/>
            </w:tcBorders>
            <w:noWrap w:val="0"/>
            <w:vAlign w:val="center"/>
          </w:tcPr>
          <w:p w14:paraId="2E48007E">
            <w:pPr>
              <w:pStyle w:val="24"/>
              <w:spacing w:line="300" w:lineRule="auto"/>
              <w:jc w:val="center"/>
              <w:outlineLvl w:val="9"/>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企业资质等级</w:t>
            </w:r>
          </w:p>
        </w:tc>
        <w:tc>
          <w:tcPr>
            <w:tcW w:w="2051" w:type="dxa"/>
            <w:gridSpan w:val="2"/>
            <w:tcBorders>
              <w:top w:val="single" w:color="000000" w:sz="4" w:space="0"/>
              <w:left w:val="single" w:color="000000" w:sz="4" w:space="0"/>
              <w:bottom w:val="single" w:color="000000" w:sz="4" w:space="0"/>
              <w:right w:val="single" w:color="000000" w:sz="4" w:space="0"/>
            </w:tcBorders>
            <w:noWrap w:val="0"/>
            <w:vAlign w:val="center"/>
          </w:tcPr>
          <w:p w14:paraId="7C3A68CC">
            <w:pPr>
              <w:pStyle w:val="24"/>
              <w:spacing w:line="300" w:lineRule="auto"/>
              <w:jc w:val="center"/>
              <w:outlineLvl w:val="9"/>
              <w:rPr>
                <w:rFonts w:hint="eastAsia" w:ascii="宋体" w:hAnsi="宋体" w:eastAsia="宋体" w:cs="宋体"/>
                <w:color w:val="000000"/>
                <w:szCs w:val="24"/>
                <w:highlight w:val="none"/>
              </w:rPr>
            </w:pPr>
          </w:p>
        </w:tc>
        <w:tc>
          <w:tcPr>
            <w:tcW w:w="889" w:type="dxa"/>
            <w:gridSpan w:val="2"/>
            <w:vMerge w:val="restart"/>
            <w:tcBorders>
              <w:top w:val="single" w:color="000000" w:sz="4" w:space="0"/>
              <w:left w:val="single" w:color="000000" w:sz="4" w:space="0"/>
              <w:right w:val="single" w:color="000000" w:sz="4" w:space="0"/>
            </w:tcBorders>
            <w:noWrap w:val="0"/>
            <w:vAlign w:val="center"/>
          </w:tcPr>
          <w:p w14:paraId="2C3ED238">
            <w:pPr>
              <w:pStyle w:val="24"/>
              <w:spacing w:line="300" w:lineRule="auto"/>
              <w:jc w:val="center"/>
              <w:outlineLvl w:val="9"/>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其中</w:t>
            </w:r>
          </w:p>
        </w:tc>
        <w:tc>
          <w:tcPr>
            <w:tcW w:w="2435" w:type="dxa"/>
            <w:gridSpan w:val="3"/>
            <w:tcBorders>
              <w:top w:val="single" w:color="000000" w:sz="4" w:space="0"/>
              <w:left w:val="single" w:color="000000" w:sz="4" w:space="0"/>
              <w:bottom w:val="single" w:color="000000" w:sz="4" w:space="0"/>
              <w:right w:val="single" w:color="000000" w:sz="4" w:space="0"/>
            </w:tcBorders>
            <w:noWrap w:val="0"/>
            <w:vAlign w:val="center"/>
          </w:tcPr>
          <w:p w14:paraId="14A7DC05">
            <w:pPr>
              <w:pStyle w:val="24"/>
              <w:spacing w:line="300" w:lineRule="auto"/>
              <w:jc w:val="center"/>
              <w:outlineLvl w:val="9"/>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高级职称人员</w:t>
            </w:r>
          </w:p>
        </w:tc>
        <w:tc>
          <w:tcPr>
            <w:tcW w:w="2185" w:type="dxa"/>
            <w:gridSpan w:val="2"/>
            <w:tcBorders>
              <w:top w:val="single" w:color="000000" w:sz="4" w:space="0"/>
              <w:left w:val="single" w:color="000000" w:sz="4" w:space="0"/>
              <w:bottom w:val="single" w:color="000000" w:sz="4" w:space="0"/>
              <w:right w:val="single" w:color="000000" w:sz="4" w:space="0"/>
            </w:tcBorders>
            <w:noWrap w:val="0"/>
            <w:vAlign w:val="center"/>
          </w:tcPr>
          <w:p w14:paraId="70ED55CA">
            <w:pPr>
              <w:pStyle w:val="24"/>
              <w:spacing w:line="300" w:lineRule="auto"/>
              <w:jc w:val="center"/>
              <w:outlineLvl w:val="9"/>
              <w:rPr>
                <w:rFonts w:hint="eastAsia" w:ascii="宋体" w:hAnsi="宋体" w:eastAsia="宋体" w:cs="宋体"/>
                <w:color w:val="000000"/>
                <w:szCs w:val="24"/>
                <w:highlight w:val="none"/>
              </w:rPr>
            </w:pPr>
          </w:p>
        </w:tc>
      </w:tr>
      <w:tr w14:paraId="157FF957">
        <w:tblPrEx>
          <w:tblCellMar>
            <w:top w:w="0" w:type="dxa"/>
            <w:left w:w="108" w:type="dxa"/>
            <w:bottom w:w="0" w:type="dxa"/>
            <w:right w:w="108" w:type="dxa"/>
          </w:tblCellMar>
        </w:tblPrEx>
        <w:trPr>
          <w:cantSplit/>
          <w:trHeight w:val="691" w:hRule="atLeast"/>
          <w:jc w:val="center"/>
        </w:trPr>
        <w:tc>
          <w:tcPr>
            <w:tcW w:w="1919" w:type="dxa"/>
            <w:tcBorders>
              <w:top w:val="single" w:color="000000" w:sz="4" w:space="0"/>
              <w:left w:val="single" w:color="000000" w:sz="4" w:space="0"/>
              <w:bottom w:val="single" w:color="000000" w:sz="4" w:space="0"/>
              <w:right w:val="single" w:color="000000" w:sz="4" w:space="0"/>
            </w:tcBorders>
            <w:noWrap w:val="0"/>
            <w:vAlign w:val="center"/>
          </w:tcPr>
          <w:p w14:paraId="0FE93FE2">
            <w:pPr>
              <w:pStyle w:val="24"/>
              <w:spacing w:line="300" w:lineRule="auto"/>
              <w:jc w:val="center"/>
              <w:outlineLvl w:val="9"/>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营业执照号</w:t>
            </w:r>
          </w:p>
        </w:tc>
        <w:tc>
          <w:tcPr>
            <w:tcW w:w="2051" w:type="dxa"/>
            <w:gridSpan w:val="2"/>
            <w:tcBorders>
              <w:top w:val="single" w:color="000000" w:sz="4" w:space="0"/>
              <w:left w:val="single" w:color="000000" w:sz="4" w:space="0"/>
              <w:bottom w:val="single" w:color="000000" w:sz="4" w:space="0"/>
              <w:right w:val="single" w:color="000000" w:sz="4" w:space="0"/>
            </w:tcBorders>
            <w:noWrap w:val="0"/>
            <w:vAlign w:val="center"/>
          </w:tcPr>
          <w:p w14:paraId="3F22D471">
            <w:pPr>
              <w:pStyle w:val="24"/>
              <w:spacing w:line="300" w:lineRule="auto"/>
              <w:jc w:val="center"/>
              <w:outlineLvl w:val="9"/>
              <w:rPr>
                <w:rFonts w:hint="eastAsia" w:ascii="宋体" w:hAnsi="宋体" w:eastAsia="宋体" w:cs="宋体"/>
                <w:color w:val="000000"/>
                <w:szCs w:val="24"/>
                <w:highlight w:val="none"/>
              </w:rPr>
            </w:pPr>
          </w:p>
        </w:tc>
        <w:tc>
          <w:tcPr>
            <w:tcW w:w="889" w:type="dxa"/>
            <w:gridSpan w:val="2"/>
            <w:vMerge w:val="continue"/>
            <w:tcBorders>
              <w:left w:val="single" w:color="000000" w:sz="4" w:space="0"/>
              <w:right w:val="single" w:color="000000" w:sz="4" w:space="0"/>
            </w:tcBorders>
            <w:noWrap w:val="0"/>
            <w:vAlign w:val="center"/>
          </w:tcPr>
          <w:p w14:paraId="0B2A71F7">
            <w:pPr>
              <w:pStyle w:val="24"/>
              <w:spacing w:line="300" w:lineRule="auto"/>
              <w:jc w:val="center"/>
              <w:outlineLvl w:val="9"/>
              <w:rPr>
                <w:rFonts w:hint="eastAsia" w:ascii="宋体" w:hAnsi="宋体" w:eastAsia="宋体" w:cs="宋体"/>
                <w:color w:val="000000"/>
                <w:szCs w:val="24"/>
                <w:highlight w:val="none"/>
              </w:rPr>
            </w:pPr>
          </w:p>
        </w:tc>
        <w:tc>
          <w:tcPr>
            <w:tcW w:w="2435" w:type="dxa"/>
            <w:gridSpan w:val="3"/>
            <w:tcBorders>
              <w:top w:val="single" w:color="000000" w:sz="4" w:space="0"/>
              <w:left w:val="single" w:color="000000" w:sz="4" w:space="0"/>
              <w:bottom w:val="single" w:color="000000" w:sz="4" w:space="0"/>
              <w:right w:val="single" w:color="000000" w:sz="4" w:space="0"/>
            </w:tcBorders>
            <w:noWrap w:val="0"/>
            <w:vAlign w:val="center"/>
          </w:tcPr>
          <w:p w14:paraId="34104264">
            <w:pPr>
              <w:pStyle w:val="24"/>
              <w:spacing w:line="300" w:lineRule="auto"/>
              <w:jc w:val="center"/>
              <w:outlineLvl w:val="9"/>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中级职称人员</w:t>
            </w:r>
          </w:p>
        </w:tc>
        <w:tc>
          <w:tcPr>
            <w:tcW w:w="2185" w:type="dxa"/>
            <w:gridSpan w:val="2"/>
            <w:tcBorders>
              <w:top w:val="single" w:color="000000" w:sz="4" w:space="0"/>
              <w:left w:val="single" w:color="000000" w:sz="4" w:space="0"/>
              <w:bottom w:val="single" w:color="000000" w:sz="4" w:space="0"/>
              <w:right w:val="single" w:color="000000" w:sz="4" w:space="0"/>
            </w:tcBorders>
            <w:noWrap w:val="0"/>
            <w:vAlign w:val="center"/>
          </w:tcPr>
          <w:p w14:paraId="13DDAF2B">
            <w:pPr>
              <w:pStyle w:val="24"/>
              <w:spacing w:line="300" w:lineRule="auto"/>
              <w:jc w:val="center"/>
              <w:outlineLvl w:val="9"/>
              <w:rPr>
                <w:rFonts w:hint="eastAsia" w:ascii="宋体" w:hAnsi="宋体" w:eastAsia="宋体" w:cs="宋体"/>
                <w:color w:val="000000"/>
                <w:szCs w:val="24"/>
                <w:highlight w:val="none"/>
              </w:rPr>
            </w:pPr>
          </w:p>
        </w:tc>
      </w:tr>
      <w:tr w14:paraId="2E4CFB51">
        <w:tblPrEx>
          <w:tblCellMar>
            <w:top w:w="0" w:type="dxa"/>
            <w:left w:w="108" w:type="dxa"/>
            <w:bottom w:w="0" w:type="dxa"/>
            <w:right w:w="108" w:type="dxa"/>
          </w:tblCellMar>
        </w:tblPrEx>
        <w:trPr>
          <w:cantSplit/>
          <w:trHeight w:val="691" w:hRule="atLeast"/>
          <w:jc w:val="center"/>
        </w:trPr>
        <w:tc>
          <w:tcPr>
            <w:tcW w:w="1919" w:type="dxa"/>
            <w:tcBorders>
              <w:top w:val="single" w:color="000000" w:sz="4" w:space="0"/>
              <w:left w:val="single" w:color="000000" w:sz="4" w:space="0"/>
              <w:bottom w:val="single" w:color="000000" w:sz="4" w:space="0"/>
              <w:right w:val="single" w:color="000000" w:sz="4" w:space="0"/>
            </w:tcBorders>
            <w:noWrap w:val="0"/>
            <w:vAlign w:val="center"/>
          </w:tcPr>
          <w:p w14:paraId="1B852042">
            <w:pPr>
              <w:pStyle w:val="24"/>
              <w:spacing w:line="300" w:lineRule="auto"/>
              <w:jc w:val="center"/>
              <w:outlineLvl w:val="9"/>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注册资金</w:t>
            </w:r>
          </w:p>
        </w:tc>
        <w:tc>
          <w:tcPr>
            <w:tcW w:w="2051" w:type="dxa"/>
            <w:gridSpan w:val="2"/>
            <w:tcBorders>
              <w:top w:val="single" w:color="000000" w:sz="4" w:space="0"/>
              <w:left w:val="single" w:color="000000" w:sz="4" w:space="0"/>
              <w:bottom w:val="single" w:color="000000" w:sz="4" w:space="0"/>
              <w:right w:val="single" w:color="000000" w:sz="4" w:space="0"/>
            </w:tcBorders>
            <w:noWrap w:val="0"/>
            <w:vAlign w:val="center"/>
          </w:tcPr>
          <w:p w14:paraId="4F5AB3E2">
            <w:pPr>
              <w:pStyle w:val="24"/>
              <w:spacing w:line="300" w:lineRule="auto"/>
              <w:jc w:val="center"/>
              <w:outlineLvl w:val="9"/>
              <w:rPr>
                <w:rFonts w:hint="eastAsia" w:ascii="宋体" w:hAnsi="宋体" w:eastAsia="宋体" w:cs="宋体"/>
                <w:color w:val="000000"/>
                <w:szCs w:val="24"/>
                <w:highlight w:val="none"/>
              </w:rPr>
            </w:pPr>
          </w:p>
        </w:tc>
        <w:tc>
          <w:tcPr>
            <w:tcW w:w="889" w:type="dxa"/>
            <w:gridSpan w:val="2"/>
            <w:vMerge w:val="continue"/>
            <w:tcBorders>
              <w:left w:val="single" w:color="000000" w:sz="4" w:space="0"/>
              <w:right w:val="single" w:color="000000" w:sz="4" w:space="0"/>
            </w:tcBorders>
            <w:noWrap w:val="0"/>
            <w:vAlign w:val="center"/>
          </w:tcPr>
          <w:p w14:paraId="628E061F">
            <w:pPr>
              <w:pStyle w:val="24"/>
              <w:spacing w:line="300" w:lineRule="auto"/>
              <w:jc w:val="center"/>
              <w:outlineLvl w:val="9"/>
              <w:rPr>
                <w:rFonts w:hint="eastAsia" w:ascii="宋体" w:hAnsi="宋体" w:eastAsia="宋体" w:cs="宋体"/>
                <w:color w:val="000000"/>
                <w:szCs w:val="24"/>
                <w:highlight w:val="none"/>
              </w:rPr>
            </w:pPr>
          </w:p>
        </w:tc>
        <w:tc>
          <w:tcPr>
            <w:tcW w:w="2435" w:type="dxa"/>
            <w:gridSpan w:val="3"/>
            <w:tcBorders>
              <w:top w:val="single" w:color="000000" w:sz="4" w:space="0"/>
              <w:left w:val="single" w:color="000000" w:sz="4" w:space="0"/>
              <w:bottom w:val="single" w:color="000000" w:sz="4" w:space="0"/>
              <w:right w:val="single" w:color="000000" w:sz="4" w:space="0"/>
            </w:tcBorders>
            <w:noWrap w:val="0"/>
            <w:vAlign w:val="center"/>
          </w:tcPr>
          <w:p w14:paraId="61E9616A">
            <w:pPr>
              <w:pStyle w:val="24"/>
              <w:spacing w:line="300" w:lineRule="auto"/>
              <w:jc w:val="center"/>
              <w:outlineLvl w:val="9"/>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初级职称人员</w:t>
            </w:r>
          </w:p>
        </w:tc>
        <w:tc>
          <w:tcPr>
            <w:tcW w:w="2185" w:type="dxa"/>
            <w:gridSpan w:val="2"/>
            <w:tcBorders>
              <w:top w:val="single" w:color="000000" w:sz="4" w:space="0"/>
              <w:left w:val="single" w:color="000000" w:sz="4" w:space="0"/>
              <w:bottom w:val="single" w:color="000000" w:sz="4" w:space="0"/>
              <w:right w:val="single" w:color="000000" w:sz="4" w:space="0"/>
            </w:tcBorders>
            <w:noWrap w:val="0"/>
            <w:vAlign w:val="center"/>
          </w:tcPr>
          <w:p w14:paraId="72B3A730">
            <w:pPr>
              <w:pStyle w:val="24"/>
              <w:spacing w:line="300" w:lineRule="auto"/>
              <w:jc w:val="center"/>
              <w:outlineLvl w:val="9"/>
              <w:rPr>
                <w:rFonts w:hint="eastAsia" w:ascii="宋体" w:hAnsi="宋体" w:eastAsia="宋体" w:cs="宋体"/>
                <w:color w:val="000000"/>
                <w:szCs w:val="24"/>
                <w:highlight w:val="none"/>
              </w:rPr>
            </w:pPr>
          </w:p>
        </w:tc>
      </w:tr>
      <w:tr w14:paraId="6160435F">
        <w:tblPrEx>
          <w:tblCellMar>
            <w:top w:w="0" w:type="dxa"/>
            <w:left w:w="108" w:type="dxa"/>
            <w:bottom w:w="0" w:type="dxa"/>
            <w:right w:w="108" w:type="dxa"/>
          </w:tblCellMar>
        </w:tblPrEx>
        <w:trPr>
          <w:trHeight w:val="691" w:hRule="atLeast"/>
          <w:jc w:val="center"/>
        </w:trPr>
        <w:tc>
          <w:tcPr>
            <w:tcW w:w="1919" w:type="dxa"/>
            <w:tcBorders>
              <w:top w:val="single" w:color="000000" w:sz="4" w:space="0"/>
              <w:left w:val="single" w:color="000000" w:sz="4" w:space="0"/>
              <w:bottom w:val="single" w:color="000000" w:sz="4" w:space="0"/>
              <w:right w:val="single" w:color="000000" w:sz="4" w:space="0"/>
            </w:tcBorders>
            <w:noWrap w:val="0"/>
            <w:vAlign w:val="center"/>
          </w:tcPr>
          <w:p w14:paraId="51353887">
            <w:pPr>
              <w:pStyle w:val="24"/>
              <w:spacing w:line="300" w:lineRule="auto"/>
              <w:jc w:val="center"/>
              <w:outlineLvl w:val="9"/>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经营范围</w:t>
            </w:r>
          </w:p>
        </w:tc>
        <w:tc>
          <w:tcPr>
            <w:tcW w:w="7560" w:type="dxa"/>
            <w:gridSpan w:val="9"/>
            <w:tcBorders>
              <w:top w:val="single" w:color="000000" w:sz="4" w:space="0"/>
              <w:left w:val="single" w:color="000000" w:sz="4" w:space="0"/>
              <w:bottom w:val="single" w:color="000000" w:sz="4" w:space="0"/>
              <w:right w:val="single" w:color="000000" w:sz="4" w:space="0"/>
            </w:tcBorders>
            <w:noWrap w:val="0"/>
            <w:vAlign w:val="center"/>
          </w:tcPr>
          <w:p w14:paraId="390BCFC0">
            <w:pPr>
              <w:pStyle w:val="24"/>
              <w:spacing w:line="300" w:lineRule="auto"/>
              <w:jc w:val="center"/>
              <w:outlineLvl w:val="9"/>
              <w:rPr>
                <w:rFonts w:hint="eastAsia" w:ascii="宋体" w:hAnsi="宋体" w:eastAsia="宋体" w:cs="宋体"/>
                <w:color w:val="000000"/>
                <w:szCs w:val="24"/>
                <w:highlight w:val="none"/>
              </w:rPr>
            </w:pPr>
          </w:p>
        </w:tc>
      </w:tr>
      <w:tr w14:paraId="533FD3D5">
        <w:tblPrEx>
          <w:tblCellMar>
            <w:top w:w="0" w:type="dxa"/>
            <w:left w:w="108" w:type="dxa"/>
            <w:bottom w:w="0" w:type="dxa"/>
            <w:right w:w="108" w:type="dxa"/>
          </w:tblCellMar>
        </w:tblPrEx>
        <w:trPr>
          <w:trHeight w:val="701" w:hRule="atLeast"/>
          <w:jc w:val="center"/>
        </w:trPr>
        <w:tc>
          <w:tcPr>
            <w:tcW w:w="1919" w:type="dxa"/>
            <w:tcBorders>
              <w:top w:val="single" w:color="000000" w:sz="4" w:space="0"/>
              <w:left w:val="single" w:color="000000" w:sz="4" w:space="0"/>
              <w:bottom w:val="single" w:color="000000" w:sz="4" w:space="0"/>
              <w:right w:val="single" w:color="000000" w:sz="4" w:space="0"/>
            </w:tcBorders>
            <w:noWrap w:val="0"/>
            <w:vAlign w:val="center"/>
          </w:tcPr>
          <w:p w14:paraId="60C1C044">
            <w:pPr>
              <w:pStyle w:val="24"/>
              <w:spacing w:line="300" w:lineRule="auto"/>
              <w:jc w:val="center"/>
              <w:outlineLvl w:val="9"/>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备注</w:t>
            </w:r>
          </w:p>
        </w:tc>
        <w:tc>
          <w:tcPr>
            <w:tcW w:w="7560" w:type="dxa"/>
            <w:gridSpan w:val="9"/>
            <w:tcBorders>
              <w:top w:val="single" w:color="000000" w:sz="4" w:space="0"/>
              <w:left w:val="single" w:color="000000" w:sz="4" w:space="0"/>
              <w:bottom w:val="single" w:color="000000" w:sz="4" w:space="0"/>
              <w:right w:val="single" w:color="000000" w:sz="4" w:space="0"/>
            </w:tcBorders>
            <w:noWrap w:val="0"/>
            <w:vAlign w:val="center"/>
          </w:tcPr>
          <w:p w14:paraId="3A2539BB">
            <w:pPr>
              <w:pStyle w:val="24"/>
              <w:spacing w:line="300" w:lineRule="auto"/>
              <w:jc w:val="center"/>
              <w:outlineLvl w:val="9"/>
              <w:rPr>
                <w:rFonts w:hint="eastAsia" w:ascii="宋体" w:hAnsi="宋体" w:eastAsia="宋体" w:cs="宋体"/>
                <w:color w:val="000000"/>
                <w:szCs w:val="24"/>
                <w:highlight w:val="none"/>
              </w:rPr>
            </w:pPr>
          </w:p>
        </w:tc>
      </w:tr>
    </w:tbl>
    <w:p w14:paraId="14F6A61F">
      <w:pPr>
        <w:spacing w:line="360" w:lineRule="auto"/>
        <w:outlineLvl w:val="9"/>
        <w:rPr>
          <w:rFonts w:hint="eastAsia" w:ascii="宋体" w:hAnsi="宋体" w:eastAsia="宋体" w:cs="宋体"/>
          <w:color w:val="000000"/>
          <w:sz w:val="24"/>
          <w:highlight w:val="none"/>
        </w:rPr>
      </w:pPr>
    </w:p>
    <w:p w14:paraId="1962A5AC">
      <w:pPr>
        <w:spacing w:line="360" w:lineRule="auto"/>
        <w:jc w:val="center"/>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           投标人：</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 xml:space="preserve">(盖单位章)                  </w:t>
      </w:r>
    </w:p>
    <w:p w14:paraId="46B1C058">
      <w:pPr>
        <w:spacing w:line="360" w:lineRule="auto"/>
        <w:jc w:val="center"/>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                 法定代表人或其委托代理人：</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 xml:space="preserve">(签字或盖章)  </w:t>
      </w:r>
    </w:p>
    <w:p w14:paraId="20E0E88E">
      <w:pPr>
        <w:spacing w:line="360" w:lineRule="auto"/>
        <w:jc w:val="center"/>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                                  </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年</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月</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日</w:t>
      </w:r>
    </w:p>
    <w:p w14:paraId="7EF087B9">
      <w:pPr>
        <w:bidi w:val="0"/>
        <w:rPr>
          <w:rFonts w:hint="eastAsia" w:ascii="宋体" w:hAnsi="宋体" w:eastAsia="宋体" w:cs="宋体"/>
          <w:color w:val="000000"/>
        </w:rPr>
      </w:pPr>
    </w:p>
    <w:p w14:paraId="2D5267A2">
      <w:pPr>
        <w:bidi w:val="0"/>
        <w:rPr>
          <w:rFonts w:hint="eastAsia" w:ascii="宋体" w:hAnsi="宋体" w:eastAsia="宋体" w:cs="宋体"/>
          <w:color w:val="000000"/>
        </w:rPr>
      </w:pPr>
    </w:p>
    <w:p w14:paraId="70A4678A">
      <w:pPr>
        <w:bidi w:val="0"/>
        <w:rPr>
          <w:rFonts w:hint="eastAsia" w:ascii="宋体" w:hAnsi="宋体" w:eastAsia="宋体" w:cs="宋体"/>
          <w:color w:val="000000"/>
        </w:rPr>
      </w:pPr>
    </w:p>
    <w:p w14:paraId="70C188BB">
      <w:pPr>
        <w:bidi w:val="0"/>
        <w:rPr>
          <w:rFonts w:hint="eastAsia" w:ascii="宋体" w:hAnsi="宋体" w:eastAsia="宋体" w:cs="宋体"/>
          <w:color w:val="000000"/>
        </w:rPr>
      </w:pPr>
    </w:p>
    <w:p w14:paraId="199DD161">
      <w:pPr>
        <w:bidi w:val="0"/>
        <w:rPr>
          <w:rFonts w:hint="eastAsia" w:ascii="宋体" w:hAnsi="宋体" w:eastAsia="宋体" w:cs="宋体"/>
          <w:color w:val="000000"/>
        </w:rPr>
      </w:pPr>
    </w:p>
    <w:p w14:paraId="14001D80">
      <w:pPr>
        <w:bidi w:val="0"/>
        <w:rPr>
          <w:rFonts w:hint="eastAsia" w:ascii="宋体" w:hAnsi="宋体" w:eastAsia="宋体" w:cs="宋体"/>
          <w:color w:val="000000"/>
        </w:rPr>
      </w:pPr>
    </w:p>
    <w:p w14:paraId="6A362A73">
      <w:pPr>
        <w:bidi w:val="0"/>
        <w:rPr>
          <w:rFonts w:hint="eastAsia" w:ascii="宋体" w:hAnsi="宋体" w:eastAsia="宋体" w:cs="宋体"/>
          <w:color w:val="000000"/>
        </w:rPr>
      </w:pPr>
    </w:p>
    <w:p w14:paraId="49EB2C18">
      <w:pPr>
        <w:bidi w:val="0"/>
        <w:rPr>
          <w:rFonts w:hint="eastAsia" w:ascii="宋体" w:hAnsi="宋体" w:eastAsia="宋体" w:cs="宋体"/>
          <w:color w:val="000000"/>
        </w:rPr>
      </w:pPr>
    </w:p>
    <w:p w14:paraId="3047980D">
      <w:pPr>
        <w:autoSpaceDE w:val="0"/>
        <w:autoSpaceDN w:val="0"/>
        <w:adjustRightInd w:val="0"/>
        <w:snapToGrid w:val="0"/>
        <w:spacing w:before="156" w:beforeLines="50" w:after="156" w:afterLines="50" w:line="300" w:lineRule="auto"/>
        <w:jc w:val="center"/>
        <w:outlineLvl w:val="9"/>
        <w:rPr>
          <w:rFonts w:hint="eastAsia" w:ascii="宋体" w:hAnsi="宋体" w:eastAsia="宋体" w:cs="宋体"/>
          <w:b/>
          <w:bCs/>
          <w:color w:val="000000"/>
          <w:sz w:val="24"/>
          <w:highlight w:val="none"/>
        </w:rPr>
      </w:pPr>
      <w:bookmarkStart w:id="169" w:name="_Toc8330"/>
      <w:r>
        <w:rPr>
          <w:rFonts w:hint="eastAsia" w:ascii="宋体" w:hAnsi="宋体" w:eastAsia="宋体" w:cs="宋体"/>
          <w:b/>
          <w:bCs/>
          <w:color w:val="000000"/>
          <w:sz w:val="24"/>
          <w:highlight w:val="none"/>
        </w:rPr>
        <w:t>4.2  营业执照、组织机构代码证、资质证书等</w:t>
      </w:r>
      <w:bookmarkEnd w:id="169"/>
    </w:p>
    <w:p w14:paraId="3A62E905">
      <w:pPr>
        <w:spacing w:line="360" w:lineRule="auto"/>
        <w:ind w:firstLine="480" w:firstLineChars="200"/>
        <w:outlineLvl w:val="9"/>
        <w:rPr>
          <w:rFonts w:hint="eastAsia" w:ascii="宋体" w:hAnsi="宋体" w:eastAsia="宋体" w:cs="宋体"/>
          <w:color w:val="000000"/>
          <w:sz w:val="24"/>
          <w:highlight w:val="none"/>
        </w:rPr>
      </w:pPr>
    </w:p>
    <w:p w14:paraId="783CA8B8">
      <w:pPr>
        <w:spacing w:line="360" w:lineRule="auto"/>
        <w:ind w:firstLine="480" w:firstLineChars="200"/>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附：投标人营业执照、组织机构代码证（已更换三证合一营业执照的，无需再提供组织机构代码证）、勘察资质证书、设计资质证书的</w:t>
      </w:r>
      <w:r>
        <w:rPr>
          <w:rFonts w:hint="eastAsia" w:ascii="宋体" w:hAnsi="宋体" w:eastAsia="宋体" w:cs="宋体"/>
          <w:b/>
          <w:bCs/>
          <w:color w:val="000000"/>
          <w:sz w:val="24"/>
          <w:highlight w:val="none"/>
        </w:rPr>
        <w:t>彩色扫描件</w:t>
      </w:r>
      <w:r>
        <w:rPr>
          <w:rFonts w:hint="eastAsia" w:ascii="宋体" w:hAnsi="宋体" w:eastAsia="宋体" w:cs="宋体"/>
          <w:color w:val="000000"/>
          <w:sz w:val="24"/>
          <w:highlight w:val="none"/>
        </w:rPr>
        <w:t>等。</w:t>
      </w:r>
    </w:p>
    <w:p w14:paraId="20E39978">
      <w:pPr>
        <w:spacing w:line="360" w:lineRule="auto"/>
        <w:ind w:firstLine="480" w:firstLineChars="200"/>
        <w:outlineLvl w:val="9"/>
        <w:rPr>
          <w:rFonts w:hint="eastAsia" w:ascii="宋体" w:hAnsi="宋体" w:eastAsia="宋体" w:cs="宋体"/>
          <w:color w:val="000000"/>
          <w:sz w:val="24"/>
          <w:highlight w:val="none"/>
        </w:rPr>
      </w:pPr>
    </w:p>
    <w:p w14:paraId="47378DA7">
      <w:pPr>
        <w:autoSpaceDE w:val="0"/>
        <w:autoSpaceDN w:val="0"/>
        <w:adjustRightInd w:val="0"/>
        <w:snapToGrid w:val="0"/>
        <w:spacing w:before="156" w:beforeLines="50" w:after="156" w:afterLines="50" w:line="300" w:lineRule="auto"/>
        <w:jc w:val="center"/>
        <w:outlineLvl w:val="9"/>
        <w:rPr>
          <w:rFonts w:hint="eastAsia" w:ascii="宋体" w:hAnsi="宋体" w:eastAsia="宋体" w:cs="宋体"/>
          <w:b/>
          <w:bCs/>
          <w:color w:val="000000"/>
          <w:szCs w:val="28"/>
          <w:highlight w:val="none"/>
        </w:rPr>
      </w:pPr>
    </w:p>
    <w:p w14:paraId="4ADC99D6">
      <w:pPr>
        <w:autoSpaceDE w:val="0"/>
        <w:autoSpaceDN w:val="0"/>
        <w:adjustRightInd w:val="0"/>
        <w:snapToGrid w:val="0"/>
        <w:spacing w:before="156" w:beforeLines="50" w:after="156" w:afterLines="50" w:line="300" w:lineRule="auto"/>
        <w:jc w:val="center"/>
        <w:outlineLvl w:val="9"/>
        <w:rPr>
          <w:rFonts w:hint="eastAsia" w:ascii="宋体" w:hAnsi="宋体" w:eastAsia="宋体" w:cs="宋体"/>
          <w:b/>
          <w:bCs/>
          <w:color w:val="000000"/>
          <w:szCs w:val="28"/>
          <w:highlight w:val="none"/>
        </w:rPr>
      </w:pPr>
    </w:p>
    <w:p w14:paraId="088CD1DB">
      <w:pPr>
        <w:bidi w:val="0"/>
        <w:rPr>
          <w:rFonts w:hint="eastAsia" w:ascii="宋体" w:hAnsi="宋体" w:eastAsia="宋体" w:cs="宋体"/>
          <w:color w:val="000000"/>
        </w:rPr>
      </w:pPr>
    </w:p>
    <w:p w14:paraId="0428567D">
      <w:pPr>
        <w:bidi w:val="0"/>
        <w:rPr>
          <w:rFonts w:hint="eastAsia" w:ascii="宋体" w:hAnsi="宋体" w:eastAsia="宋体" w:cs="宋体"/>
          <w:color w:val="000000"/>
        </w:rPr>
      </w:pPr>
    </w:p>
    <w:p w14:paraId="4BE6057B">
      <w:pPr>
        <w:bidi w:val="0"/>
        <w:rPr>
          <w:rFonts w:hint="eastAsia" w:ascii="宋体" w:hAnsi="宋体" w:eastAsia="宋体" w:cs="宋体"/>
          <w:color w:val="000000"/>
        </w:rPr>
      </w:pPr>
    </w:p>
    <w:p w14:paraId="19F34763">
      <w:pPr>
        <w:bidi w:val="0"/>
        <w:rPr>
          <w:rFonts w:hint="eastAsia" w:ascii="宋体" w:hAnsi="宋体" w:eastAsia="宋体" w:cs="宋体"/>
          <w:color w:val="000000"/>
        </w:rPr>
      </w:pPr>
    </w:p>
    <w:p w14:paraId="4E758F05">
      <w:pPr>
        <w:bidi w:val="0"/>
        <w:rPr>
          <w:rFonts w:hint="eastAsia" w:ascii="宋体" w:hAnsi="宋体" w:eastAsia="宋体" w:cs="宋体"/>
          <w:color w:val="000000"/>
        </w:rPr>
      </w:pPr>
    </w:p>
    <w:p w14:paraId="0EDF1212">
      <w:pPr>
        <w:bidi w:val="0"/>
        <w:rPr>
          <w:rFonts w:hint="eastAsia" w:ascii="宋体" w:hAnsi="宋体" w:eastAsia="宋体" w:cs="宋体"/>
          <w:color w:val="000000"/>
        </w:rPr>
      </w:pPr>
    </w:p>
    <w:p w14:paraId="6B25F21E">
      <w:pPr>
        <w:bidi w:val="0"/>
        <w:rPr>
          <w:rFonts w:hint="eastAsia" w:ascii="宋体" w:hAnsi="宋体" w:eastAsia="宋体" w:cs="宋体"/>
          <w:color w:val="000000"/>
        </w:rPr>
      </w:pPr>
    </w:p>
    <w:p w14:paraId="6A1EA8F2">
      <w:pPr>
        <w:bidi w:val="0"/>
        <w:rPr>
          <w:rFonts w:hint="eastAsia" w:ascii="宋体" w:hAnsi="宋体" w:eastAsia="宋体" w:cs="宋体"/>
          <w:color w:val="000000"/>
        </w:rPr>
      </w:pPr>
    </w:p>
    <w:p w14:paraId="2874D43F">
      <w:pPr>
        <w:bidi w:val="0"/>
        <w:rPr>
          <w:rFonts w:hint="eastAsia" w:ascii="宋体" w:hAnsi="宋体" w:eastAsia="宋体" w:cs="宋体"/>
          <w:color w:val="000000"/>
        </w:rPr>
      </w:pPr>
    </w:p>
    <w:p w14:paraId="2690C114">
      <w:pPr>
        <w:bidi w:val="0"/>
        <w:rPr>
          <w:rFonts w:hint="eastAsia" w:ascii="宋体" w:hAnsi="宋体" w:eastAsia="宋体" w:cs="宋体"/>
          <w:color w:val="000000"/>
        </w:rPr>
      </w:pPr>
    </w:p>
    <w:p w14:paraId="7EB1E51C">
      <w:pPr>
        <w:bidi w:val="0"/>
        <w:rPr>
          <w:rFonts w:hint="eastAsia" w:ascii="宋体" w:hAnsi="宋体" w:eastAsia="宋体" w:cs="宋体"/>
          <w:color w:val="000000"/>
        </w:rPr>
      </w:pPr>
    </w:p>
    <w:p w14:paraId="02416CC7">
      <w:pPr>
        <w:bidi w:val="0"/>
        <w:rPr>
          <w:rFonts w:hint="eastAsia" w:ascii="宋体" w:hAnsi="宋体" w:eastAsia="宋体" w:cs="宋体"/>
          <w:color w:val="000000"/>
        </w:rPr>
      </w:pPr>
    </w:p>
    <w:p w14:paraId="516519D0">
      <w:pPr>
        <w:bidi w:val="0"/>
        <w:rPr>
          <w:rFonts w:hint="eastAsia" w:ascii="宋体" w:hAnsi="宋体" w:eastAsia="宋体" w:cs="宋体"/>
          <w:color w:val="000000"/>
        </w:rPr>
      </w:pPr>
    </w:p>
    <w:p w14:paraId="02CA9A3E">
      <w:pPr>
        <w:bidi w:val="0"/>
        <w:rPr>
          <w:rFonts w:hint="eastAsia" w:ascii="宋体" w:hAnsi="宋体" w:eastAsia="宋体" w:cs="宋体"/>
          <w:color w:val="000000"/>
        </w:rPr>
      </w:pPr>
    </w:p>
    <w:p w14:paraId="47923A29">
      <w:pPr>
        <w:bidi w:val="0"/>
        <w:rPr>
          <w:rFonts w:hint="eastAsia" w:ascii="宋体" w:hAnsi="宋体" w:eastAsia="宋体" w:cs="宋体"/>
          <w:color w:val="000000"/>
        </w:rPr>
      </w:pPr>
    </w:p>
    <w:p w14:paraId="4A0196D2">
      <w:pPr>
        <w:bidi w:val="0"/>
        <w:rPr>
          <w:rFonts w:hint="eastAsia" w:ascii="宋体" w:hAnsi="宋体" w:eastAsia="宋体" w:cs="宋体"/>
          <w:color w:val="000000"/>
        </w:rPr>
      </w:pPr>
    </w:p>
    <w:p w14:paraId="0AE5882D">
      <w:pPr>
        <w:bidi w:val="0"/>
        <w:rPr>
          <w:rFonts w:hint="eastAsia" w:ascii="宋体" w:hAnsi="宋体" w:eastAsia="宋体" w:cs="宋体"/>
          <w:color w:val="000000"/>
        </w:rPr>
      </w:pPr>
    </w:p>
    <w:p w14:paraId="0B80E893">
      <w:pPr>
        <w:bidi w:val="0"/>
        <w:rPr>
          <w:rFonts w:hint="eastAsia" w:ascii="宋体" w:hAnsi="宋体" w:eastAsia="宋体" w:cs="宋体"/>
          <w:color w:val="000000"/>
        </w:rPr>
      </w:pPr>
    </w:p>
    <w:p w14:paraId="0CEA3D91">
      <w:pPr>
        <w:bidi w:val="0"/>
        <w:rPr>
          <w:rFonts w:hint="eastAsia" w:ascii="宋体" w:hAnsi="宋体" w:eastAsia="宋体" w:cs="宋体"/>
          <w:color w:val="000000"/>
        </w:rPr>
      </w:pPr>
    </w:p>
    <w:p w14:paraId="4A1AE4C9">
      <w:pPr>
        <w:bidi w:val="0"/>
        <w:rPr>
          <w:rFonts w:hint="eastAsia" w:ascii="宋体" w:hAnsi="宋体" w:eastAsia="宋体" w:cs="宋体"/>
          <w:color w:val="000000"/>
        </w:rPr>
      </w:pPr>
    </w:p>
    <w:p w14:paraId="110B6306">
      <w:pPr>
        <w:bidi w:val="0"/>
        <w:rPr>
          <w:rFonts w:hint="eastAsia" w:ascii="宋体" w:hAnsi="宋体" w:eastAsia="宋体" w:cs="宋体"/>
          <w:color w:val="000000"/>
        </w:rPr>
      </w:pPr>
    </w:p>
    <w:p w14:paraId="5A839953">
      <w:pPr>
        <w:bidi w:val="0"/>
        <w:rPr>
          <w:rFonts w:hint="eastAsia" w:ascii="宋体" w:hAnsi="宋体" w:eastAsia="宋体" w:cs="宋体"/>
          <w:color w:val="000000"/>
        </w:rPr>
      </w:pPr>
    </w:p>
    <w:p w14:paraId="69A21319">
      <w:pPr>
        <w:bidi w:val="0"/>
        <w:rPr>
          <w:rFonts w:hint="eastAsia" w:ascii="宋体" w:hAnsi="宋体" w:eastAsia="宋体" w:cs="宋体"/>
          <w:color w:val="000000"/>
        </w:rPr>
      </w:pPr>
    </w:p>
    <w:p w14:paraId="7DEB46DE">
      <w:pPr>
        <w:bidi w:val="0"/>
        <w:rPr>
          <w:rFonts w:hint="eastAsia" w:ascii="宋体" w:hAnsi="宋体" w:eastAsia="宋体" w:cs="宋体"/>
          <w:color w:val="000000"/>
        </w:rPr>
      </w:pPr>
    </w:p>
    <w:p w14:paraId="0BD30429">
      <w:pPr>
        <w:bidi w:val="0"/>
        <w:rPr>
          <w:rFonts w:hint="eastAsia" w:ascii="宋体" w:hAnsi="宋体" w:eastAsia="宋体" w:cs="宋体"/>
          <w:color w:val="000000"/>
        </w:rPr>
      </w:pPr>
    </w:p>
    <w:p w14:paraId="1D51EB24">
      <w:pPr>
        <w:bidi w:val="0"/>
        <w:rPr>
          <w:rFonts w:hint="eastAsia" w:ascii="宋体" w:hAnsi="宋体" w:eastAsia="宋体" w:cs="宋体"/>
          <w:color w:val="000000"/>
        </w:rPr>
      </w:pPr>
    </w:p>
    <w:p w14:paraId="7998A97C">
      <w:pPr>
        <w:bidi w:val="0"/>
        <w:rPr>
          <w:rFonts w:hint="eastAsia" w:ascii="宋体" w:hAnsi="宋体" w:eastAsia="宋体" w:cs="宋体"/>
          <w:color w:val="000000"/>
        </w:rPr>
      </w:pPr>
    </w:p>
    <w:p w14:paraId="48ADE2CB">
      <w:pPr>
        <w:bidi w:val="0"/>
        <w:rPr>
          <w:rFonts w:hint="eastAsia" w:ascii="宋体" w:hAnsi="宋体" w:eastAsia="宋体" w:cs="宋体"/>
          <w:color w:val="000000"/>
        </w:rPr>
      </w:pPr>
    </w:p>
    <w:p w14:paraId="37B384D4">
      <w:pPr>
        <w:bidi w:val="0"/>
        <w:rPr>
          <w:rFonts w:hint="eastAsia" w:ascii="宋体" w:hAnsi="宋体" w:eastAsia="宋体" w:cs="宋体"/>
          <w:color w:val="000000"/>
        </w:rPr>
      </w:pPr>
    </w:p>
    <w:p w14:paraId="00BD65D5">
      <w:pPr>
        <w:bidi w:val="0"/>
        <w:rPr>
          <w:rFonts w:hint="eastAsia" w:ascii="宋体" w:hAnsi="宋体" w:eastAsia="宋体" w:cs="宋体"/>
          <w:color w:val="000000"/>
        </w:rPr>
      </w:pPr>
    </w:p>
    <w:p w14:paraId="59E16E64">
      <w:pPr>
        <w:bidi w:val="0"/>
        <w:rPr>
          <w:rFonts w:hint="eastAsia" w:ascii="宋体" w:hAnsi="宋体" w:eastAsia="宋体" w:cs="宋体"/>
          <w:color w:val="000000"/>
        </w:rPr>
      </w:pPr>
    </w:p>
    <w:p w14:paraId="1159CB2C">
      <w:pPr>
        <w:bidi w:val="0"/>
        <w:rPr>
          <w:rFonts w:hint="eastAsia" w:ascii="宋体" w:hAnsi="宋体" w:eastAsia="宋体" w:cs="宋体"/>
          <w:color w:val="000000"/>
        </w:rPr>
      </w:pPr>
    </w:p>
    <w:p w14:paraId="4029916D">
      <w:pPr>
        <w:bidi w:val="0"/>
        <w:rPr>
          <w:rFonts w:hint="eastAsia" w:ascii="宋体" w:hAnsi="宋体" w:eastAsia="宋体" w:cs="宋体"/>
          <w:color w:val="000000"/>
        </w:rPr>
      </w:pPr>
    </w:p>
    <w:p w14:paraId="199CE340">
      <w:pPr>
        <w:autoSpaceDE w:val="0"/>
        <w:autoSpaceDN w:val="0"/>
        <w:adjustRightInd w:val="0"/>
        <w:snapToGrid w:val="0"/>
        <w:spacing w:before="156" w:beforeLines="50" w:after="156" w:afterLines="50" w:line="300" w:lineRule="auto"/>
        <w:jc w:val="center"/>
        <w:outlineLvl w:val="9"/>
        <w:rPr>
          <w:rFonts w:hint="eastAsia" w:ascii="宋体" w:hAnsi="宋体" w:eastAsia="宋体" w:cs="宋体"/>
          <w:color w:val="000000"/>
          <w:highlight w:val="none"/>
        </w:rPr>
      </w:pPr>
      <w:bookmarkStart w:id="170" w:name="_Toc29855"/>
      <w:r>
        <w:rPr>
          <w:rFonts w:hint="eastAsia" w:ascii="宋体" w:hAnsi="宋体" w:eastAsia="宋体" w:cs="宋体"/>
          <w:b/>
          <w:bCs/>
          <w:color w:val="000000"/>
          <w:sz w:val="24"/>
          <w:highlight w:val="none"/>
        </w:rPr>
        <w:t>4.</w:t>
      </w:r>
      <w:r>
        <w:rPr>
          <w:rFonts w:hint="eastAsia" w:ascii="宋体" w:hAnsi="宋体" w:eastAsia="宋体" w:cs="宋体"/>
          <w:b/>
          <w:bCs/>
          <w:color w:val="000000"/>
          <w:sz w:val="24"/>
          <w:highlight w:val="none"/>
          <w:lang w:val="en-US"/>
        </w:rPr>
        <w:t>3</w:t>
      </w:r>
      <w:r>
        <w:rPr>
          <w:rFonts w:hint="eastAsia" w:ascii="宋体" w:hAnsi="宋体" w:eastAsia="宋体" w:cs="宋体"/>
          <w:b/>
          <w:bCs/>
          <w:color w:val="000000"/>
          <w:sz w:val="24"/>
          <w:highlight w:val="none"/>
        </w:rPr>
        <w:t xml:space="preserve">  联合体共同投标协议书（</w:t>
      </w:r>
      <w:r>
        <w:rPr>
          <w:rFonts w:hint="eastAsia" w:ascii="宋体" w:hAnsi="宋体" w:eastAsia="宋体" w:cs="宋体"/>
          <w:b/>
          <w:bCs/>
          <w:color w:val="000000"/>
          <w:sz w:val="24"/>
          <w:highlight w:val="none"/>
          <w:lang w:val="en-US"/>
        </w:rPr>
        <w:t>如需）</w:t>
      </w:r>
      <w:bookmarkEnd w:id="170"/>
    </w:p>
    <w:p w14:paraId="7DFCBD2C">
      <w:pPr>
        <w:pStyle w:val="7"/>
        <w:spacing w:line="360" w:lineRule="auto"/>
        <w:ind w:left="490"/>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甲方： </w:t>
      </w:r>
    </w:p>
    <w:p w14:paraId="29C7F5C7">
      <w:pPr>
        <w:pStyle w:val="7"/>
        <w:spacing w:line="360" w:lineRule="auto"/>
        <w:ind w:left="490"/>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乙方： </w:t>
      </w:r>
    </w:p>
    <w:p w14:paraId="2BCB5F85">
      <w:pPr>
        <w:pStyle w:val="7"/>
        <w:spacing w:line="360" w:lineRule="auto"/>
        <w:ind w:left="490" w:firstLine="480" w:firstLineChars="200"/>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甲乙双方自愿组成联合体，决定联合投标</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项目，双方本着优势互补、真诚合作的原则，经共同协商，签订如下协议。</w:t>
      </w:r>
    </w:p>
    <w:p w14:paraId="27F22D5A">
      <w:pPr>
        <w:pStyle w:val="7"/>
        <w:spacing w:line="360" w:lineRule="auto"/>
        <w:ind w:left="490" w:firstLine="480" w:firstLineChars="200"/>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1、联合投标体双方一致同意甲方为联合体牵头单位，代表联合体双方负责投标和合同签订工作。</w:t>
      </w:r>
    </w:p>
    <w:p w14:paraId="71326552">
      <w:pPr>
        <w:pStyle w:val="7"/>
        <w:spacing w:line="360" w:lineRule="auto"/>
        <w:ind w:left="490" w:firstLine="480" w:firstLineChars="200"/>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rPr>
        <w:t>2</w:t>
      </w:r>
      <w:r>
        <w:rPr>
          <w:rFonts w:hint="eastAsia" w:ascii="宋体" w:hAnsi="宋体" w:eastAsia="宋体" w:cs="宋体"/>
          <w:color w:val="000000"/>
          <w:sz w:val="24"/>
          <w:szCs w:val="24"/>
          <w:highlight w:val="none"/>
        </w:rPr>
        <w:t>、联合体的投标文件、招标人的招标文件、联合体与招标人签订的合同均对双方具有约束力。</w:t>
      </w:r>
    </w:p>
    <w:p w14:paraId="36D97223">
      <w:pPr>
        <w:pStyle w:val="7"/>
        <w:spacing w:line="360" w:lineRule="auto"/>
        <w:ind w:left="490" w:firstLine="480" w:firstLineChars="200"/>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rPr>
        <w:t>3</w:t>
      </w:r>
      <w:r>
        <w:rPr>
          <w:rFonts w:hint="eastAsia" w:ascii="宋体" w:hAnsi="宋体" w:eastAsia="宋体" w:cs="宋体"/>
          <w:color w:val="000000"/>
          <w:sz w:val="24"/>
          <w:szCs w:val="24"/>
          <w:highlight w:val="none"/>
        </w:rPr>
        <w:t>、如果联合体中标，甲方负责</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等技术工作，乙方负责</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等技术工作。具体工作任务、分工以中标后双方协商签订的合同为准。</w:t>
      </w:r>
    </w:p>
    <w:p w14:paraId="491A831B">
      <w:pPr>
        <w:pStyle w:val="7"/>
        <w:spacing w:line="360" w:lineRule="auto"/>
        <w:ind w:left="490" w:firstLine="480" w:firstLineChars="200"/>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rPr>
        <w:t>4</w:t>
      </w:r>
      <w:r>
        <w:rPr>
          <w:rFonts w:hint="eastAsia" w:ascii="宋体" w:hAnsi="宋体" w:eastAsia="宋体" w:cs="宋体"/>
          <w:color w:val="000000"/>
          <w:sz w:val="24"/>
          <w:szCs w:val="24"/>
          <w:highlight w:val="none"/>
        </w:rPr>
        <w:t>、甲乙双方将共同享有和承担完成本项目的权利和义务，并获得由此而得到的收益和承担相关的责任。双方具体合同金额以中标后双方协商签订的合同为准。</w:t>
      </w:r>
    </w:p>
    <w:p w14:paraId="3B2B749D">
      <w:pPr>
        <w:pStyle w:val="7"/>
        <w:spacing w:line="360" w:lineRule="auto"/>
        <w:ind w:left="490" w:firstLine="480" w:firstLineChars="200"/>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rPr>
        <w:t>5</w:t>
      </w:r>
      <w:r>
        <w:rPr>
          <w:rFonts w:hint="eastAsia" w:ascii="宋体" w:hAnsi="宋体" w:eastAsia="宋体" w:cs="宋体"/>
          <w:color w:val="000000"/>
          <w:sz w:val="24"/>
          <w:szCs w:val="24"/>
          <w:highlight w:val="none"/>
        </w:rPr>
        <w:t>、联合体形成后，各方不得再以自己名义在本项目中单独投标，联合投标的项目负责人不能作为其它联合体或单独投标单位的项目组成员。因发生上述问题导致联合体投标成为废标，联合体的另一方可追究其违约行为。</w:t>
      </w:r>
    </w:p>
    <w:p w14:paraId="3C7D8ED8">
      <w:pPr>
        <w:pStyle w:val="7"/>
        <w:spacing w:line="360" w:lineRule="auto"/>
        <w:ind w:left="490" w:firstLine="480" w:firstLineChars="200"/>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rPr>
        <w:t>6</w:t>
      </w:r>
      <w:r>
        <w:rPr>
          <w:rFonts w:hint="eastAsia" w:ascii="宋体" w:hAnsi="宋体" w:eastAsia="宋体" w:cs="宋体"/>
          <w:color w:val="000000"/>
          <w:sz w:val="24"/>
          <w:szCs w:val="24"/>
          <w:highlight w:val="none"/>
        </w:rPr>
        <w:t>、在实施工程中，本协议未竟事宜，由双方协商解决。</w:t>
      </w:r>
    </w:p>
    <w:p w14:paraId="4792911D">
      <w:pPr>
        <w:pStyle w:val="7"/>
        <w:spacing w:line="360" w:lineRule="auto"/>
        <w:ind w:left="490" w:firstLine="480" w:firstLineChars="200"/>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rPr>
        <w:t>7</w:t>
      </w:r>
      <w:r>
        <w:rPr>
          <w:rFonts w:hint="eastAsia" w:ascii="宋体" w:hAnsi="宋体" w:eastAsia="宋体" w:cs="宋体"/>
          <w:color w:val="000000"/>
          <w:sz w:val="24"/>
          <w:szCs w:val="24"/>
          <w:highlight w:val="none"/>
        </w:rPr>
        <w:t>、因履行本协议所引起的一切争议，双方应在诚信原则基础上协商解决。如协商不成，可向项目所在地人民法院起诉。</w:t>
      </w:r>
    </w:p>
    <w:p w14:paraId="00EB6DE6">
      <w:pPr>
        <w:pStyle w:val="7"/>
        <w:spacing w:line="360" w:lineRule="auto"/>
        <w:ind w:left="490" w:firstLine="480" w:firstLineChars="200"/>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rPr>
        <w:t>8</w:t>
      </w:r>
      <w:r>
        <w:rPr>
          <w:rFonts w:hint="eastAsia" w:ascii="宋体" w:hAnsi="宋体" w:eastAsia="宋体" w:cs="宋体"/>
          <w:color w:val="000000"/>
          <w:sz w:val="24"/>
          <w:szCs w:val="24"/>
          <w:highlight w:val="none"/>
        </w:rPr>
        <w:t>、本协议经双方签字盖章后生效，履行完协议约定的全部义务、结算项目费用或者该项目未能中标，则本协议自动终止。</w:t>
      </w:r>
    </w:p>
    <w:p w14:paraId="49E80A90">
      <w:pPr>
        <w:pStyle w:val="7"/>
        <w:spacing w:line="360" w:lineRule="auto"/>
        <w:ind w:left="490" w:firstLine="480" w:firstLineChars="200"/>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rPr>
        <w:t>9</w:t>
      </w:r>
      <w:r>
        <w:rPr>
          <w:rFonts w:hint="eastAsia" w:ascii="宋体" w:hAnsi="宋体" w:eastAsia="宋体" w:cs="宋体"/>
          <w:color w:val="000000"/>
          <w:sz w:val="24"/>
          <w:szCs w:val="24"/>
          <w:highlight w:val="none"/>
        </w:rPr>
        <w:t>、本协议壹式</w:t>
      </w:r>
      <w:r>
        <w:rPr>
          <w:rFonts w:hint="eastAsia" w:ascii="宋体" w:hAnsi="宋体" w:eastAsia="宋体" w:cs="宋体"/>
          <w:color w:val="000000"/>
          <w:sz w:val="24"/>
          <w:szCs w:val="24"/>
          <w:highlight w:val="none"/>
          <w:lang w:val="en-US"/>
        </w:rPr>
        <w:t>伍</w:t>
      </w:r>
      <w:r>
        <w:rPr>
          <w:rFonts w:hint="eastAsia" w:ascii="宋体" w:hAnsi="宋体" w:eastAsia="宋体" w:cs="宋体"/>
          <w:color w:val="000000"/>
          <w:sz w:val="24"/>
          <w:szCs w:val="24"/>
          <w:highlight w:val="none"/>
        </w:rPr>
        <w:t>份，联合投标双方各执二份，投标书正本一份。</w:t>
      </w:r>
    </w:p>
    <w:p w14:paraId="74E73D3B">
      <w:pPr>
        <w:pStyle w:val="7"/>
        <w:spacing w:line="360" w:lineRule="auto"/>
        <w:ind w:left="490"/>
        <w:outlineLvl w:val="9"/>
        <w:rPr>
          <w:rFonts w:hint="eastAsia" w:ascii="宋体" w:hAnsi="宋体" w:eastAsia="宋体" w:cs="宋体"/>
          <w:color w:val="000000"/>
          <w:sz w:val="24"/>
          <w:szCs w:val="24"/>
          <w:highlight w:val="none"/>
        </w:rPr>
      </w:pPr>
    </w:p>
    <w:p w14:paraId="05E51C81">
      <w:pPr>
        <w:pStyle w:val="7"/>
        <w:spacing w:line="360" w:lineRule="auto"/>
        <w:ind w:left="490"/>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甲方</w:t>
      </w:r>
      <w:r>
        <w:rPr>
          <w:rFonts w:hint="eastAsia" w:ascii="宋体" w:hAnsi="宋体" w:eastAsia="宋体" w:cs="宋体"/>
          <w:color w:val="000000"/>
          <w:sz w:val="24"/>
          <w:szCs w:val="24"/>
          <w:highlight w:val="none"/>
          <w:lang w:val="en-US"/>
        </w:rPr>
        <w:t>名称 ：</w:t>
      </w:r>
      <w:r>
        <w:rPr>
          <w:rFonts w:hint="eastAsia" w:ascii="宋体" w:hAnsi="宋体" w:eastAsia="宋体" w:cs="宋体"/>
          <w:color w:val="000000"/>
          <w:sz w:val="24"/>
          <w:szCs w:val="24"/>
          <w:highlight w:val="none"/>
          <w:u w:val="single"/>
          <w:lang w:val="en-US"/>
        </w:rPr>
        <w:t xml:space="preserve">           </w:t>
      </w:r>
      <w:r>
        <w:rPr>
          <w:rFonts w:hint="eastAsia" w:ascii="宋体" w:hAnsi="宋体" w:eastAsia="宋体" w:cs="宋体"/>
          <w:color w:val="000000"/>
          <w:sz w:val="24"/>
          <w:szCs w:val="24"/>
          <w:highlight w:val="none"/>
        </w:rPr>
        <w:t xml:space="preserve">(甲方公章)              </w:t>
      </w:r>
      <w:r>
        <w:rPr>
          <w:rFonts w:hint="eastAsia" w:ascii="宋体" w:hAnsi="宋体" w:eastAsia="宋体" w:cs="宋体"/>
          <w:color w:val="000000"/>
          <w:sz w:val="24"/>
          <w:szCs w:val="24"/>
          <w:highlight w:val="none"/>
          <w:lang w:val="en-US"/>
        </w:rPr>
        <w:t xml:space="preserve">    </w:t>
      </w:r>
      <w:r>
        <w:rPr>
          <w:rFonts w:hint="eastAsia" w:ascii="宋体" w:hAnsi="宋体" w:eastAsia="宋体" w:cs="宋体"/>
          <w:color w:val="000000"/>
          <w:sz w:val="24"/>
          <w:szCs w:val="24"/>
          <w:highlight w:val="none"/>
        </w:rPr>
        <w:t>日  期：    年   月   日　</w:t>
      </w:r>
    </w:p>
    <w:p w14:paraId="4480953F">
      <w:pPr>
        <w:pStyle w:val="7"/>
        <w:spacing w:line="360" w:lineRule="auto"/>
        <w:ind w:left="490"/>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法定代表人(或委托代理人)：</w:t>
      </w:r>
      <w:r>
        <w:rPr>
          <w:rFonts w:hint="eastAsia" w:ascii="宋体" w:hAnsi="宋体" w:eastAsia="宋体" w:cs="宋体"/>
          <w:color w:val="000000"/>
          <w:sz w:val="24"/>
          <w:szCs w:val="24"/>
          <w:highlight w:val="none"/>
          <w:u w:val="single"/>
          <w:lang w:val="en-US"/>
        </w:rPr>
        <w:t xml:space="preserve">      </w:t>
      </w:r>
      <w:r>
        <w:rPr>
          <w:rFonts w:hint="eastAsia" w:ascii="宋体" w:hAnsi="宋体" w:eastAsia="宋体" w:cs="宋体"/>
          <w:color w:val="000000"/>
          <w:sz w:val="24"/>
          <w:szCs w:val="24"/>
          <w:highlight w:val="none"/>
        </w:rPr>
        <w:t>(签字或盖章)</w:t>
      </w:r>
    </w:p>
    <w:p w14:paraId="641C4280">
      <w:pPr>
        <w:pStyle w:val="7"/>
        <w:spacing w:line="360" w:lineRule="auto"/>
        <w:outlineLvl w:val="9"/>
        <w:rPr>
          <w:rFonts w:hint="eastAsia" w:ascii="宋体" w:hAnsi="宋体" w:eastAsia="宋体" w:cs="宋体"/>
          <w:color w:val="000000"/>
          <w:sz w:val="24"/>
          <w:szCs w:val="24"/>
          <w:highlight w:val="none"/>
        </w:rPr>
      </w:pPr>
    </w:p>
    <w:p w14:paraId="76592222">
      <w:pPr>
        <w:pStyle w:val="7"/>
        <w:spacing w:line="360" w:lineRule="auto"/>
        <w:ind w:left="490"/>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rPr>
        <w:t>乙</w:t>
      </w:r>
      <w:r>
        <w:rPr>
          <w:rFonts w:hint="eastAsia" w:ascii="宋体" w:hAnsi="宋体" w:eastAsia="宋体" w:cs="宋体"/>
          <w:color w:val="000000"/>
          <w:sz w:val="24"/>
          <w:szCs w:val="24"/>
          <w:highlight w:val="none"/>
        </w:rPr>
        <w:t>方</w:t>
      </w:r>
      <w:r>
        <w:rPr>
          <w:rFonts w:hint="eastAsia" w:ascii="宋体" w:hAnsi="宋体" w:eastAsia="宋体" w:cs="宋体"/>
          <w:color w:val="000000"/>
          <w:sz w:val="24"/>
          <w:szCs w:val="24"/>
          <w:highlight w:val="none"/>
          <w:lang w:val="en-US"/>
        </w:rPr>
        <w:t>名称：</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u w:val="single"/>
          <w:lang w:val="en-US"/>
        </w:rPr>
        <w:t xml:space="preserve">            </w:t>
      </w:r>
      <w:r>
        <w:rPr>
          <w:rFonts w:hint="eastAsia" w:ascii="宋体" w:hAnsi="宋体" w:eastAsia="宋体" w:cs="宋体"/>
          <w:color w:val="000000"/>
          <w:sz w:val="24"/>
          <w:szCs w:val="24"/>
          <w:highlight w:val="none"/>
          <w:lang w:val="en-US"/>
        </w:rPr>
        <w:t xml:space="preserve"> </w:t>
      </w:r>
      <w:r>
        <w:rPr>
          <w:rFonts w:hint="eastAsia" w:ascii="宋体" w:hAnsi="宋体" w:eastAsia="宋体" w:cs="宋体"/>
          <w:color w:val="000000"/>
          <w:sz w:val="24"/>
          <w:szCs w:val="24"/>
          <w:highlight w:val="none"/>
        </w:rPr>
        <w:t xml:space="preserve">(乙方公章)             </w:t>
      </w:r>
      <w:r>
        <w:rPr>
          <w:rFonts w:hint="eastAsia" w:ascii="宋体" w:hAnsi="宋体" w:eastAsia="宋体" w:cs="宋体"/>
          <w:color w:val="000000"/>
          <w:sz w:val="24"/>
          <w:szCs w:val="24"/>
          <w:highlight w:val="none"/>
          <w:lang w:val="en-US"/>
        </w:rPr>
        <w:t xml:space="preserve">  </w:t>
      </w:r>
      <w:r>
        <w:rPr>
          <w:rFonts w:hint="eastAsia" w:ascii="宋体" w:hAnsi="宋体" w:eastAsia="宋体" w:cs="宋体"/>
          <w:color w:val="000000"/>
          <w:sz w:val="24"/>
          <w:szCs w:val="24"/>
          <w:highlight w:val="none"/>
        </w:rPr>
        <w:t xml:space="preserve"> 日  期：    年   月   日</w:t>
      </w:r>
    </w:p>
    <w:p w14:paraId="2426B3D5">
      <w:pPr>
        <w:pStyle w:val="7"/>
        <w:spacing w:line="360" w:lineRule="auto"/>
        <w:ind w:left="490"/>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法定代表人(或委托代理人)：</w:t>
      </w:r>
      <w:r>
        <w:rPr>
          <w:rFonts w:hint="eastAsia" w:ascii="宋体" w:hAnsi="宋体" w:eastAsia="宋体" w:cs="宋体"/>
          <w:color w:val="000000"/>
          <w:sz w:val="24"/>
          <w:szCs w:val="24"/>
          <w:highlight w:val="none"/>
          <w:u w:val="single"/>
          <w:lang w:val="en-US"/>
        </w:rPr>
        <w:t xml:space="preserve">      </w:t>
      </w:r>
      <w:r>
        <w:rPr>
          <w:rFonts w:hint="eastAsia" w:ascii="宋体" w:hAnsi="宋体" w:eastAsia="宋体" w:cs="宋体"/>
          <w:color w:val="000000"/>
          <w:sz w:val="24"/>
          <w:szCs w:val="24"/>
          <w:highlight w:val="none"/>
        </w:rPr>
        <w:t>(签字或盖章)</w:t>
      </w:r>
    </w:p>
    <w:p w14:paraId="1B02B7B3">
      <w:pPr>
        <w:spacing w:line="480" w:lineRule="exact"/>
        <w:jc w:val="center"/>
        <w:outlineLvl w:val="9"/>
        <w:rPr>
          <w:rFonts w:hint="eastAsia" w:ascii="宋体" w:hAnsi="宋体" w:eastAsia="宋体" w:cs="宋体"/>
          <w:b/>
          <w:color w:val="000000"/>
          <w:sz w:val="30"/>
          <w:szCs w:val="30"/>
          <w:highlight w:val="none"/>
        </w:rPr>
      </w:pPr>
      <w:r>
        <w:rPr>
          <w:rFonts w:hint="eastAsia" w:ascii="宋体" w:hAnsi="宋体" w:eastAsia="宋体" w:cs="宋体"/>
          <w:b/>
          <w:bCs/>
          <w:color w:val="000000"/>
          <w:szCs w:val="28"/>
          <w:highlight w:val="none"/>
        </w:rPr>
        <w:br w:type="page"/>
      </w:r>
      <w:bookmarkStart w:id="171" w:name="_Toc456966065"/>
      <w:bookmarkStart w:id="172" w:name="_Toc456953787"/>
      <w:bookmarkStart w:id="173" w:name="_Toc256773238"/>
      <w:bookmarkStart w:id="174" w:name="_Toc459446232"/>
      <w:bookmarkStart w:id="175" w:name="_Toc456951624"/>
      <w:bookmarkStart w:id="176" w:name="_Toc263413237"/>
      <w:r>
        <w:rPr>
          <w:rFonts w:hint="eastAsia" w:ascii="宋体" w:hAnsi="宋体" w:eastAsia="宋体" w:cs="宋体"/>
          <w:b/>
          <w:bCs/>
          <w:color w:val="000000"/>
          <w:sz w:val="30"/>
          <w:szCs w:val="30"/>
          <w:highlight w:val="none"/>
        </w:rPr>
        <w:t>五、</w:t>
      </w:r>
      <w:bookmarkEnd w:id="171"/>
      <w:bookmarkEnd w:id="172"/>
      <w:bookmarkEnd w:id="173"/>
      <w:bookmarkEnd w:id="174"/>
      <w:bookmarkEnd w:id="175"/>
      <w:bookmarkEnd w:id="176"/>
      <w:r>
        <w:rPr>
          <w:rFonts w:hint="eastAsia" w:ascii="宋体" w:hAnsi="宋体" w:eastAsia="宋体" w:cs="宋体"/>
          <w:b/>
          <w:color w:val="000000"/>
          <w:sz w:val="30"/>
          <w:szCs w:val="30"/>
          <w:highlight w:val="none"/>
        </w:rPr>
        <w:t>缴纳投标保证的凭证</w:t>
      </w:r>
    </w:p>
    <w:p w14:paraId="36508095">
      <w:pPr>
        <w:keepNext w:val="0"/>
        <w:keepLines w:val="0"/>
        <w:pageBreakBefore w:val="0"/>
        <w:widowControl w:val="0"/>
        <w:kinsoku/>
        <w:wordWrap/>
        <w:overflowPunct/>
        <w:topLinePunct w:val="0"/>
        <w:autoSpaceDE w:val="0"/>
        <w:autoSpaceDN w:val="0"/>
        <w:bidi w:val="0"/>
        <w:adjustRightInd w:val="0"/>
        <w:snapToGrid w:val="0"/>
        <w:spacing w:before="156" w:beforeLines="50" w:after="156" w:afterLines="50" w:line="500" w:lineRule="exact"/>
        <w:jc w:val="left"/>
        <w:textAlignment w:val="auto"/>
        <w:outlineLvl w:val="9"/>
        <w:rPr>
          <w:rFonts w:hint="eastAsia" w:ascii="宋体" w:hAnsi="宋体" w:eastAsia="宋体" w:cs="宋体"/>
          <w:b w:val="0"/>
          <w:bCs w:val="0"/>
          <w:color w:val="000000"/>
          <w:sz w:val="24"/>
          <w:szCs w:val="24"/>
          <w:highlight w:val="none"/>
        </w:rPr>
      </w:pPr>
      <w:r>
        <w:rPr>
          <w:rFonts w:hint="eastAsia" w:ascii="宋体" w:hAnsi="宋体" w:eastAsia="宋体" w:cs="宋体"/>
          <w:b/>
          <w:bCs/>
          <w:color w:val="000000"/>
          <w:sz w:val="30"/>
          <w:szCs w:val="30"/>
          <w:highlight w:val="none"/>
          <w:lang w:val="en-US" w:eastAsia="zh-CN"/>
        </w:rPr>
        <w:t xml:space="preserve">  </w:t>
      </w:r>
      <w:r>
        <w:rPr>
          <w:rFonts w:hint="eastAsia" w:ascii="宋体" w:hAnsi="宋体" w:eastAsia="宋体" w:cs="宋体"/>
          <w:b w:val="0"/>
          <w:bCs w:val="0"/>
          <w:color w:val="000000"/>
          <w:sz w:val="24"/>
          <w:szCs w:val="24"/>
          <w:highlight w:val="none"/>
          <w:lang w:val="en-US" w:eastAsia="zh-CN"/>
        </w:rPr>
        <w:t xml:space="preserve"> 投标保证缴纳证明（投标人采用投标保证金的，附建设工程交易系统《缴纳投标保证金通知书》页面截图和银行转账单</w:t>
      </w:r>
      <w:r>
        <w:rPr>
          <w:rFonts w:hint="eastAsia" w:ascii="宋体" w:hAnsi="宋体" w:eastAsia="宋体" w:cs="宋体"/>
          <w:b/>
          <w:bCs/>
          <w:color w:val="000000"/>
          <w:sz w:val="24"/>
          <w:szCs w:val="24"/>
          <w:highlight w:val="none"/>
          <w:lang w:val="en-US" w:eastAsia="zh-CN"/>
        </w:rPr>
        <w:t>彩色扫描件</w:t>
      </w:r>
      <w:r>
        <w:rPr>
          <w:rFonts w:hint="eastAsia" w:ascii="宋体" w:hAnsi="宋体" w:eastAsia="宋体" w:cs="宋体"/>
          <w:b w:val="0"/>
          <w:bCs w:val="0"/>
          <w:color w:val="000000"/>
          <w:sz w:val="24"/>
          <w:szCs w:val="24"/>
          <w:highlight w:val="none"/>
          <w:lang w:val="en-US" w:eastAsia="zh-CN"/>
        </w:rPr>
        <w:t>；采用投标保证担保的，附银行保函</w:t>
      </w:r>
      <w:r>
        <w:rPr>
          <w:rFonts w:hint="eastAsia" w:ascii="宋体" w:hAnsi="宋体" w:eastAsia="宋体" w:cs="宋体"/>
          <w:b/>
          <w:bCs/>
          <w:color w:val="000000"/>
          <w:sz w:val="24"/>
          <w:szCs w:val="24"/>
          <w:highlight w:val="none"/>
          <w:lang w:val="en-US" w:eastAsia="zh-CN"/>
        </w:rPr>
        <w:t>彩色扫描件</w:t>
      </w:r>
      <w:r>
        <w:rPr>
          <w:rFonts w:hint="eastAsia" w:ascii="宋体" w:hAnsi="宋体" w:eastAsia="宋体" w:cs="宋体"/>
          <w:b w:val="0"/>
          <w:bCs w:val="0"/>
          <w:color w:val="000000"/>
          <w:sz w:val="24"/>
          <w:szCs w:val="24"/>
          <w:highlight w:val="none"/>
          <w:lang w:val="en-US" w:eastAsia="zh-CN"/>
        </w:rPr>
        <w:t>；采用投标保证保险的，附电子保单和《韶关市公共资源交易一体化平台保证金缴纳信息》页面截图）</w:t>
      </w:r>
      <w:r>
        <w:rPr>
          <w:rFonts w:hint="eastAsia" w:ascii="宋体" w:hAnsi="宋体" w:eastAsia="宋体" w:cs="宋体"/>
          <w:b w:val="0"/>
          <w:bCs w:val="0"/>
          <w:color w:val="000000"/>
          <w:sz w:val="24"/>
          <w:szCs w:val="24"/>
          <w:highlight w:val="none"/>
        </w:rPr>
        <w:t>。</w:t>
      </w:r>
    </w:p>
    <w:p w14:paraId="714AB2F4">
      <w:pPr>
        <w:outlineLvl w:val="9"/>
        <w:rPr>
          <w:rFonts w:hint="eastAsia" w:ascii="宋体" w:hAnsi="宋体" w:eastAsia="宋体" w:cs="宋体"/>
          <w:color w:val="000000"/>
          <w:szCs w:val="28"/>
          <w:highlight w:val="none"/>
        </w:rPr>
      </w:pPr>
    </w:p>
    <w:p w14:paraId="279A0FBE">
      <w:pPr>
        <w:spacing w:line="480" w:lineRule="exact"/>
        <w:outlineLvl w:val="9"/>
        <w:rPr>
          <w:rFonts w:hint="eastAsia" w:ascii="宋体" w:hAnsi="宋体" w:eastAsia="宋体" w:cs="宋体"/>
          <w:color w:val="000000"/>
          <w:sz w:val="24"/>
          <w:highlight w:val="none"/>
        </w:rPr>
      </w:pPr>
    </w:p>
    <w:p w14:paraId="70F2A1A2">
      <w:pPr>
        <w:spacing w:line="480" w:lineRule="exact"/>
        <w:outlineLvl w:val="9"/>
        <w:rPr>
          <w:rFonts w:hint="eastAsia" w:ascii="宋体" w:hAnsi="宋体" w:eastAsia="宋体" w:cs="宋体"/>
          <w:color w:val="000000"/>
          <w:sz w:val="24"/>
          <w:highlight w:val="none"/>
        </w:rPr>
      </w:pPr>
    </w:p>
    <w:p w14:paraId="6F81A1E1">
      <w:pPr>
        <w:spacing w:line="480" w:lineRule="exact"/>
        <w:outlineLvl w:val="9"/>
        <w:rPr>
          <w:rFonts w:hint="eastAsia" w:ascii="宋体" w:hAnsi="宋体" w:eastAsia="宋体" w:cs="宋体"/>
          <w:color w:val="000000"/>
          <w:sz w:val="24"/>
          <w:highlight w:val="none"/>
        </w:rPr>
      </w:pPr>
    </w:p>
    <w:p w14:paraId="27E5F190">
      <w:pPr>
        <w:spacing w:line="480" w:lineRule="exact"/>
        <w:ind w:left="3720" w:hanging="3720" w:hangingChars="1550"/>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    </w:t>
      </w:r>
    </w:p>
    <w:p w14:paraId="3DEA8DAC">
      <w:pPr>
        <w:spacing w:line="480" w:lineRule="exact"/>
        <w:ind w:left="3720" w:hanging="3720" w:hangingChars="1550"/>
        <w:outlineLvl w:val="9"/>
        <w:rPr>
          <w:rFonts w:hint="eastAsia" w:ascii="宋体" w:hAnsi="宋体" w:eastAsia="宋体" w:cs="宋体"/>
          <w:color w:val="000000"/>
          <w:sz w:val="24"/>
          <w:highlight w:val="none"/>
        </w:rPr>
      </w:pPr>
    </w:p>
    <w:p w14:paraId="61F2A82A">
      <w:pPr>
        <w:spacing w:line="480" w:lineRule="exact"/>
        <w:ind w:left="3720" w:hanging="3720" w:hangingChars="1550"/>
        <w:outlineLvl w:val="9"/>
        <w:rPr>
          <w:rFonts w:hint="eastAsia" w:ascii="宋体" w:hAnsi="宋体" w:eastAsia="宋体" w:cs="宋体"/>
          <w:color w:val="000000"/>
          <w:sz w:val="24"/>
          <w:highlight w:val="none"/>
        </w:rPr>
      </w:pPr>
    </w:p>
    <w:p w14:paraId="6F0B2F18">
      <w:pPr>
        <w:spacing w:line="480" w:lineRule="exact"/>
        <w:ind w:left="3720" w:hanging="3720" w:hangingChars="1550"/>
        <w:outlineLvl w:val="9"/>
        <w:rPr>
          <w:rFonts w:hint="eastAsia" w:ascii="宋体" w:hAnsi="宋体" w:eastAsia="宋体" w:cs="宋体"/>
          <w:color w:val="000000"/>
          <w:sz w:val="24"/>
          <w:highlight w:val="none"/>
        </w:rPr>
      </w:pPr>
    </w:p>
    <w:p w14:paraId="6620D979">
      <w:pPr>
        <w:autoSpaceDE w:val="0"/>
        <w:autoSpaceDN w:val="0"/>
        <w:adjustRightInd w:val="0"/>
        <w:snapToGrid w:val="0"/>
        <w:spacing w:before="156" w:beforeLines="50" w:after="156" w:afterLines="50" w:line="300" w:lineRule="auto"/>
        <w:jc w:val="center"/>
        <w:outlineLvl w:val="9"/>
        <w:rPr>
          <w:rFonts w:hint="eastAsia" w:ascii="宋体" w:hAnsi="宋体" w:eastAsia="宋体" w:cs="宋体"/>
          <w:b/>
          <w:bCs/>
          <w:color w:val="000000"/>
          <w:szCs w:val="28"/>
          <w:highlight w:val="none"/>
        </w:rPr>
      </w:pPr>
    </w:p>
    <w:p w14:paraId="6A3C7D13">
      <w:pPr>
        <w:autoSpaceDE w:val="0"/>
        <w:autoSpaceDN w:val="0"/>
        <w:adjustRightInd w:val="0"/>
        <w:snapToGrid w:val="0"/>
        <w:spacing w:before="156" w:beforeLines="50" w:after="156" w:afterLines="50" w:line="300" w:lineRule="auto"/>
        <w:jc w:val="center"/>
        <w:outlineLvl w:val="9"/>
        <w:rPr>
          <w:rFonts w:hint="eastAsia" w:ascii="宋体" w:hAnsi="宋体" w:eastAsia="宋体" w:cs="宋体"/>
          <w:color w:val="000000"/>
          <w:highlight w:val="none"/>
        </w:rPr>
      </w:pPr>
      <w:r>
        <w:rPr>
          <w:rFonts w:hint="eastAsia" w:ascii="宋体" w:hAnsi="宋体" w:eastAsia="宋体" w:cs="宋体"/>
          <w:b/>
          <w:bCs/>
          <w:color w:val="000000"/>
          <w:szCs w:val="28"/>
          <w:highlight w:val="none"/>
        </w:rPr>
        <w:br w:type="page"/>
      </w:r>
      <w:r>
        <w:rPr>
          <w:rFonts w:hint="eastAsia" w:ascii="宋体" w:hAnsi="宋体" w:eastAsia="宋体" w:cs="宋体"/>
          <w:b/>
          <w:bCs/>
          <w:color w:val="000000"/>
          <w:sz w:val="30"/>
          <w:szCs w:val="30"/>
          <w:highlight w:val="none"/>
        </w:rPr>
        <w:t>六、</w:t>
      </w:r>
      <w:bookmarkStart w:id="177" w:name="_Toc287388354"/>
      <w:bookmarkStart w:id="178" w:name="_Toc148722069"/>
      <w:bookmarkStart w:id="179" w:name="_Toc99506530"/>
      <w:r>
        <w:rPr>
          <w:rFonts w:hint="eastAsia" w:ascii="宋体" w:hAnsi="宋体" w:eastAsia="宋体" w:cs="宋体"/>
          <w:b/>
          <w:bCs/>
          <w:color w:val="000000"/>
          <w:sz w:val="30"/>
          <w:szCs w:val="30"/>
          <w:highlight w:val="none"/>
        </w:rPr>
        <w:t>投标辅助资料</w:t>
      </w:r>
      <w:bookmarkEnd w:id="177"/>
      <w:bookmarkEnd w:id="178"/>
      <w:bookmarkEnd w:id="179"/>
    </w:p>
    <w:p w14:paraId="7709D14F">
      <w:pPr>
        <w:autoSpaceDE w:val="0"/>
        <w:autoSpaceDN w:val="0"/>
        <w:adjustRightInd w:val="0"/>
        <w:snapToGrid w:val="0"/>
        <w:spacing w:before="156" w:beforeLines="50" w:after="156" w:afterLines="50" w:line="300" w:lineRule="auto"/>
        <w:jc w:val="center"/>
        <w:outlineLvl w:val="9"/>
        <w:rPr>
          <w:rFonts w:hint="eastAsia" w:ascii="宋体" w:hAnsi="宋体" w:eastAsia="宋体" w:cs="宋体"/>
          <w:b/>
          <w:bCs/>
          <w:color w:val="000000"/>
          <w:sz w:val="24"/>
          <w:highlight w:val="none"/>
        </w:rPr>
      </w:pPr>
      <w:bookmarkStart w:id="180" w:name="_Toc25161"/>
      <w:r>
        <w:rPr>
          <w:rFonts w:hint="eastAsia" w:ascii="宋体" w:hAnsi="宋体" w:eastAsia="宋体" w:cs="宋体"/>
          <w:b/>
          <w:bCs/>
          <w:color w:val="000000"/>
          <w:sz w:val="24"/>
          <w:highlight w:val="none"/>
        </w:rPr>
        <w:t>6.1  业绩情况表</w:t>
      </w:r>
      <w:bookmarkEnd w:id="180"/>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9"/>
        <w:gridCol w:w="7267"/>
      </w:tblGrid>
      <w:tr w14:paraId="792DE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2269" w:type="dxa"/>
            <w:noWrap w:val="0"/>
            <w:vAlign w:val="center"/>
          </w:tcPr>
          <w:p w14:paraId="00BA80A1">
            <w:pPr>
              <w:topLinePunct/>
              <w:spacing w:line="440" w:lineRule="exact"/>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合同名称</w:t>
            </w:r>
          </w:p>
        </w:tc>
        <w:tc>
          <w:tcPr>
            <w:tcW w:w="7267" w:type="dxa"/>
            <w:noWrap w:val="0"/>
            <w:vAlign w:val="top"/>
          </w:tcPr>
          <w:p w14:paraId="2348E2BC">
            <w:pPr>
              <w:tabs>
                <w:tab w:val="left" w:pos="1455"/>
              </w:tabs>
              <w:topLinePunct/>
              <w:spacing w:line="440" w:lineRule="exact"/>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ab/>
            </w:r>
          </w:p>
        </w:tc>
      </w:tr>
      <w:tr w14:paraId="3ED27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2269" w:type="dxa"/>
            <w:noWrap w:val="0"/>
            <w:vAlign w:val="center"/>
          </w:tcPr>
          <w:p w14:paraId="7F8827A4">
            <w:pPr>
              <w:topLinePunct/>
              <w:spacing w:line="440" w:lineRule="exact"/>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合同项目所在地</w:t>
            </w:r>
          </w:p>
        </w:tc>
        <w:tc>
          <w:tcPr>
            <w:tcW w:w="7267" w:type="dxa"/>
            <w:noWrap w:val="0"/>
            <w:vAlign w:val="top"/>
          </w:tcPr>
          <w:p w14:paraId="71AEC43F">
            <w:pPr>
              <w:topLinePunct/>
              <w:spacing w:line="440" w:lineRule="exact"/>
              <w:outlineLvl w:val="9"/>
              <w:rPr>
                <w:rFonts w:hint="eastAsia" w:ascii="宋体" w:hAnsi="宋体" w:eastAsia="宋体" w:cs="宋体"/>
                <w:color w:val="000000"/>
                <w:sz w:val="24"/>
                <w:highlight w:val="none"/>
              </w:rPr>
            </w:pPr>
          </w:p>
        </w:tc>
      </w:tr>
      <w:tr w14:paraId="0E7DF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269" w:type="dxa"/>
            <w:noWrap w:val="0"/>
            <w:vAlign w:val="center"/>
          </w:tcPr>
          <w:p w14:paraId="1DC3D470">
            <w:pPr>
              <w:topLinePunct/>
              <w:spacing w:line="440" w:lineRule="exact"/>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发包人名称</w:t>
            </w:r>
          </w:p>
        </w:tc>
        <w:tc>
          <w:tcPr>
            <w:tcW w:w="7267" w:type="dxa"/>
            <w:noWrap w:val="0"/>
            <w:vAlign w:val="top"/>
          </w:tcPr>
          <w:p w14:paraId="6F0E33C8">
            <w:pPr>
              <w:topLinePunct/>
              <w:spacing w:line="440" w:lineRule="exact"/>
              <w:outlineLvl w:val="9"/>
              <w:rPr>
                <w:rFonts w:hint="eastAsia" w:ascii="宋体" w:hAnsi="宋体" w:eastAsia="宋体" w:cs="宋体"/>
                <w:color w:val="000000"/>
                <w:sz w:val="24"/>
                <w:highlight w:val="none"/>
              </w:rPr>
            </w:pPr>
          </w:p>
        </w:tc>
      </w:tr>
      <w:tr w14:paraId="4B0AA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269" w:type="dxa"/>
            <w:noWrap w:val="0"/>
            <w:vAlign w:val="center"/>
          </w:tcPr>
          <w:p w14:paraId="0E763EB4">
            <w:pPr>
              <w:topLinePunct/>
              <w:spacing w:line="440" w:lineRule="exact"/>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发包人地址</w:t>
            </w:r>
          </w:p>
        </w:tc>
        <w:tc>
          <w:tcPr>
            <w:tcW w:w="7267" w:type="dxa"/>
            <w:noWrap w:val="0"/>
            <w:vAlign w:val="top"/>
          </w:tcPr>
          <w:p w14:paraId="28110402">
            <w:pPr>
              <w:topLinePunct/>
              <w:spacing w:line="440" w:lineRule="exact"/>
              <w:outlineLvl w:val="9"/>
              <w:rPr>
                <w:rFonts w:hint="eastAsia" w:ascii="宋体" w:hAnsi="宋体" w:eastAsia="宋体" w:cs="宋体"/>
                <w:color w:val="000000"/>
                <w:sz w:val="24"/>
                <w:highlight w:val="none"/>
              </w:rPr>
            </w:pPr>
          </w:p>
        </w:tc>
      </w:tr>
      <w:tr w14:paraId="6DA84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269" w:type="dxa"/>
            <w:noWrap w:val="0"/>
            <w:vAlign w:val="center"/>
          </w:tcPr>
          <w:p w14:paraId="1B8702FD">
            <w:pPr>
              <w:topLinePunct/>
              <w:spacing w:line="440" w:lineRule="exact"/>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发包人电话</w:t>
            </w:r>
          </w:p>
        </w:tc>
        <w:tc>
          <w:tcPr>
            <w:tcW w:w="7267" w:type="dxa"/>
            <w:noWrap w:val="0"/>
            <w:vAlign w:val="top"/>
          </w:tcPr>
          <w:p w14:paraId="1E19E493">
            <w:pPr>
              <w:topLinePunct/>
              <w:spacing w:line="440" w:lineRule="exact"/>
              <w:outlineLvl w:val="9"/>
              <w:rPr>
                <w:rFonts w:hint="eastAsia" w:ascii="宋体" w:hAnsi="宋体" w:eastAsia="宋体" w:cs="宋体"/>
                <w:color w:val="000000"/>
                <w:sz w:val="24"/>
                <w:highlight w:val="none"/>
              </w:rPr>
            </w:pPr>
          </w:p>
        </w:tc>
      </w:tr>
      <w:tr w14:paraId="71E7D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269" w:type="dxa"/>
            <w:noWrap w:val="0"/>
            <w:vAlign w:val="center"/>
          </w:tcPr>
          <w:p w14:paraId="5C702AC2">
            <w:pPr>
              <w:topLinePunct/>
              <w:spacing w:line="440" w:lineRule="exact"/>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合同价格</w:t>
            </w:r>
          </w:p>
        </w:tc>
        <w:tc>
          <w:tcPr>
            <w:tcW w:w="7267" w:type="dxa"/>
            <w:noWrap w:val="0"/>
            <w:vAlign w:val="top"/>
          </w:tcPr>
          <w:p w14:paraId="48165E63">
            <w:pPr>
              <w:topLinePunct/>
              <w:spacing w:line="440" w:lineRule="exact"/>
              <w:outlineLvl w:val="9"/>
              <w:rPr>
                <w:rFonts w:hint="eastAsia" w:ascii="宋体" w:hAnsi="宋体" w:eastAsia="宋体" w:cs="宋体"/>
                <w:color w:val="000000"/>
                <w:sz w:val="24"/>
                <w:highlight w:val="none"/>
              </w:rPr>
            </w:pPr>
          </w:p>
        </w:tc>
      </w:tr>
      <w:tr w14:paraId="72890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2269" w:type="dxa"/>
            <w:noWrap w:val="0"/>
            <w:vAlign w:val="center"/>
          </w:tcPr>
          <w:p w14:paraId="2D84AA77">
            <w:pPr>
              <w:topLinePunct/>
              <w:spacing w:line="440" w:lineRule="exact"/>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承担的工作</w:t>
            </w:r>
          </w:p>
        </w:tc>
        <w:tc>
          <w:tcPr>
            <w:tcW w:w="7267" w:type="dxa"/>
            <w:noWrap w:val="0"/>
            <w:vAlign w:val="top"/>
          </w:tcPr>
          <w:p w14:paraId="282082AF">
            <w:pPr>
              <w:topLinePunct/>
              <w:spacing w:line="440" w:lineRule="exact"/>
              <w:outlineLvl w:val="9"/>
              <w:rPr>
                <w:rFonts w:hint="eastAsia" w:ascii="宋体" w:hAnsi="宋体" w:eastAsia="宋体" w:cs="宋体"/>
                <w:color w:val="000000"/>
                <w:sz w:val="24"/>
                <w:highlight w:val="none"/>
              </w:rPr>
            </w:pPr>
          </w:p>
        </w:tc>
      </w:tr>
      <w:tr w14:paraId="1C2E8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2269" w:type="dxa"/>
            <w:noWrap w:val="0"/>
            <w:vAlign w:val="center"/>
          </w:tcPr>
          <w:p w14:paraId="78DE8EA0">
            <w:pPr>
              <w:topLinePunct/>
              <w:spacing w:line="440" w:lineRule="exact"/>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合同项目描述</w:t>
            </w:r>
          </w:p>
        </w:tc>
        <w:tc>
          <w:tcPr>
            <w:tcW w:w="7267" w:type="dxa"/>
            <w:noWrap w:val="0"/>
            <w:vAlign w:val="top"/>
          </w:tcPr>
          <w:p w14:paraId="46580329">
            <w:pPr>
              <w:topLinePunct/>
              <w:spacing w:line="440" w:lineRule="exact"/>
              <w:outlineLvl w:val="9"/>
              <w:rPr>
                <w:rFonts w:hint="eastAsia" w:ascii="宋体" w:hAnsi="宋体" w:eastAsia="宋体" w:cs="宋体"/>
                <w:color w:val="000000"/>
                <w:sz w:val="24"/>
                <w:highlight w:val="none"/>
              </w:rPr>
            </w:pPr>
          </w:p>
          <w:p w14:paraId="42BCF7C4">
            <w:pPr>
              <w:topLinePunct/>
              <w:spacing w:line="440" w:lineRule="exact"/>
              <w:outlineLvl w:val="9"/>
              <w:rPr>
                <w:rFonts w:hint="eastAsia" w:ascii="宋体" w:hAnsi="宋体" w:eastAsia="宋体" w:cs="宋体"/>
                <w:color w:val="000000"/>
                <w:sz w:val="24"/>
                <w:highlight w:val="none"/>
              </w:rPr>
            </w:pPr>
          </w:p>
          <w:p w14:paraId="171FD562">
            <w:pPr>
              <w:topLinePunct/>
              <w:spacing w:line="440" w:lineRule="exact"/>
              <w:outlineLvl w:val="9"/>
              <w:rPr>
                <w:rFonts w:hint="eastAsia" w:ascii="宋体" w:hAnsi="宋体" w:eastAsia="宋体" w:cs="宋体"/>
                <w:color w:val="000000"/>
                <w:sz w:val="24"/>
                <w:highlight w:val="none"/>
              </w:rPr>
            </w:pPr>
          </w:p>
          <w:p w14:paraId="2711293A">
            <w:pPr>
              <w:topLinePunct/>
              <w:spacing w:line="440" w:lineRule="exact"/>
              <w:outlineLvl w:val="9"/>
              <w:rPr>
                <w:rFonts w:hint="eastAsia" w:ascii="宋体" w:hAnsi="宋体" w:eastAsia="宋体" w:cs="宋体"/>
                <w:color w:val="000000"/>
                <w:sz w:val="24"/>
                <w:highlight w:val="none"/>
              </w:rPr>
            </w:pPr>
          </w:p>
          <w:p w14:paraId="4F50551C">
            <w:pPr>
              <w:topLinePunct/>
              <w:spacing w:line="440" w:lineRule="exact"/>
              <w:outlineLvl w:val="9"/>
              <w:rPr>
                <w:rFonts w:hint="eastAsia" w:ascii="宋体" w:hAnsi="宋体" w:eastAsia="宋体" w:cs="宋体"/>
                <w:color w:val="000000"/>
                <w:sz w:val="24"/>
                <w:highlight w:val="none"/>
              </w:rPr>
            </w:pPr>
          </w:p>
        </w:tc>
      </w:tr>
    </w:tbl>
    <w:p w14:paraId="2665D04A">
      <w:pPr>
        <w:spacing w:line="480" w:lineRule="auto"/>
        <w:ind w:firstLine="4680" w:firstLineChars="1950"/>
        <w:jc w:val="left"/>
        <w:outlineLvl w:val="9"/>
        <w:rPr>
          <w:rFonts w:hint="eastAsia" w:ascii="宋体" w:hAnsi="宋体" w:eastAsia="宋体" w:cs="宋体"/>
          <w:color w:val="000000"/>
          <w:sz w:val="24"/>
          <w:highlight w:val="none"/>
        </w:rPr>
      </w:pPr>
    </w:p>
    <w:p w14:paraId="286509EE">
      <w:pPr>
        <w:adjustRightInd w:val="0"/>
        <w:snapToGrid w:val="0"/>
        <w:spacing w:line="360" w:lineRule="auto"/>
        <w:ind w:firstLine="480" w:firstLineChars="200"/>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注：1、投标人根据评标办法前附表提供承接的类似项目业绩，有多个项目的每个项目单独列表；</w:t>
      </w:r>
    </w:p>
    <w:p w14:paraId="699165B6">
      <w:pPr>
        <w:adjustRightInd w:val="0"/>
        <w:snapToGrid w:val="0"/>
        <w:spacing w:line="360" w:lineRule="auto"/>
        <w:ind w:firstLine="960" w:firstLineChars="400"/>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2、本表后附（</w:t>
      </w:r>
      <w:r>
        <w:rPr>
          <w:rFonts w:hint="eastAsia" w:ascii="宋体" w:hAnsi="宋体" w:eastAsia="宋体" w:cs="宋体"/>
          <w:color w:val="000000"/>
          <w:sz w:val="24"/>
          <w:highlight w:val="none"/>
          <w:lang w:val="en-US" w:eastAsia="zh-CN"/>
        </w:rPr>
        <w:t>评标办法前附表中要求提供的相关证明材料</w:t>
      </w:r>
      <w:r>
        <w:rPr>
          <w:rFonts w:hint="eastAsia" w:ascii="宋体" w:hAnsi="宋体" w:eastAsia="宋体" w:cs="宋体"/>
          <w:b/>
          <w:bCs/>
          <w:color w:val="000000"/>
          <w:sz w:val="24"/>
          <w:highlight w:val="none"/>
          <w:lang w:val="en-US" w:eastAsia="zh-CN"/>
        </w:rPr>
        <w:t>彩色扫描件</w:t>
      </w:r>
      <w:r>
        <w:rPr>
          <w:rFonts w:hint="eastAsia" w:ascii="宋体" w:hAnsi="宋体" w:eastAsia="宋体" w:cs="宋体"/>
          <w:color w:val="000000"/>
          <w:sz w:val="24"/>
          <w:highlight w:val="none"/>
        </w:rPr>
        <w:t>）。</w:t>
      </w:r>
    </w:p>
    <w:p w14:paraId="728D69B6">
      <w:pPr>
        <w:adjustRightInd w:val="0"/>
        <w:snapToGrid w:val="0"/>
        <w:spacing w:line="360" w:lineRule="auto"/>
        <w:ind w:firstLine="420" w:firstLineChars="200"/>
        <w:outlineLvl w:val="9"/>
        <w:rPr>
          <w:rFonts w:hint="eastAsia" w:ascii="宋体" w:hAnsi="宋体" w:eastAsia="宋体" w:cs="宋体"/>
          <w:color w:val="000000"/>
          <w:highlight w:val="none"/>
        </w:rPr>
      </w:pPr>
    </w:p>
    <w:p w14:paraId="17C73A66">
      <w:pPr>
        <w:adjustRightInd w:val="0"/>
        <w:snapToGrid w:val="0"/>
        <w:spacing w:line="360" w:lineRule="auto"/>
        <w:ind w:firstLine="420" w:firstLineChars="200"/>
        <w:outlineLvl w:val="9"/>
        <w:rPr>
          <w:rFonts w:hint="eastAsia" w:ascii="宋体" w:hAnsi="宋体" w:eastAsia="宋体" w:cs="宋体"/>
          <w:color w:val="000000"/>
          <w:highlight w:val="none"/>
        </w:rPr>
      </w:pPr>
    </w:p>
    <w:p w14:paraId="3D7CFBDF">
      <w:pPr>
        <w:spacing w:line="360" w:lineRule="auto"/>
        <w:ind w:firstLine="3091" w:firstLineChars="1288"/>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      投标人：</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 xml:space="preserve">(盖单位章)                    </w:t>
      </w:r>
    </w:p>
    <w:p w14:paraId="7C0BF174">
      <w:pPr>
        <w:spacing w:line="360" w:lineRule="auto"/>
        <w:ind w:firstLine="2973" w:firstLineChars="1239"/>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       </w:t>
      </w:r>
      <w:bookmarkStart w:id="181" w:name="_Toc30331"/>
      <w:r>
        <w:rPr>
          <w:rFonts w:hint="eastAsia" w:ascii="宋体" w:hAnsi="宋体" w:eastAsia="宋体" w:cs="宋体"/>
          <w:color w:val="000000"/>
          <w:sz w:val="24"/>
          <w:highlight w:val="none"/>
        </w:rPr>
        <w:t>法定代表人或其委托代理人：</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(签字或盖章)</w:t>
      </w:r>
      <w:bookmarkEnd w:id="181"/>
      <w:r>
        <w:rPr>
          <w:rFonts w:hint="eastAsia" w:ascii="宋体" w:hAnsi="宋体" w:eastAsia="宋体" w:cs="宋体"/>
          <w:color w:val="000000"/>
          <w:sz w:val="24"/>
          <w:highlight w:val="none"/>
        </w:rPr>
        <w:t xml:space="preserve">    </w:t>
      </w:r>
    </w:p>
    <w:p w14:paraId="40F29C39">
      <w:pPr>
        <w:autoSpaceDE w:val="0"/>
        <w:autoSpaceDN w:val="0"/>
        <w:adjustRightInd w:val="0"/>
        <w:snapToGrid w:val="0"/>
        <w:spacing w:before="156" w:beforeLines="50" w:after="156" w:afterLines="50" w:line="300" w:lineRule="auto"/>
        <w:jc w:val="center"/>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                                                    </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年</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月</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日</w:t>
      </w:r>
    </w:p>
    <w:p w14:paraId="0EA41FAB">
      <w:pPr>
        <w:autoSpaceDE w:val="0"/>
        <w:autoSpaceDN w:val="0"/>
        <w:adjustRightInd w:val="0"/>
        <w:snapToGrid w:val="0"/>
        <w:spacing w:before="156" w:beforeLines="50" w:after="156" w:afterLines="50" w:line="300" w:lineRule="auto"/>
        <w:jc w:val="center"/>
        <w:outlineLvl w:val="9"/>
        <w:rPr>
          <w:rFonts w:hint="eastAsia" w:ascii="宋体" w:hAnsi="宋体" w:eastAsia="宋体" w:cs="宋体"/>
          <w:b/>
          <w:bCs/>
          <w:color w:val="000000"/>
          <w:sz w:val="24"/>
          <w:highlight w:val="none"/>
        </w:rPr>
      </w:pPr>
      <w:r>
        <w:rPr>
          <w:rFonts w:hint="eastAsia" w:ascii="宋体" w:hAnsi="宋体" w:eastAsia="宋体" w:cs="宋体"/>
          <w:b/>
          <w:bCs/>
          <w:color w:val="000000"/>
          <w:szCs w:val="28"/>
          <w:highlight w:val="none"/>
        </w:rPr>
        <w:br w:type="page"/>
      </w:r>
      <w:bookmarkStart w:id="182" w:name="_Toc4479"/>
      <w:r>
        <w:rPr>
          <w:rFonts w:hint="eastAsia" w:ascii="宋体" w:hAnsi="宋体" w:eastAsia="宋体" w:cs="宋体"/>
          <w:b/>
          <w:bCs/>
          <w:color w:val="000000"/>
          <w:sz w:val="24"/>
          <w:highlight w:val="none"/>
        </w:rPr>
        <w:t>6.2  拟投入主要人员情况汇总表</w:t>
      </w:r>
      <w:bookmarkEnd w:id="182"/>
    </w:p>
    <w:tbl>
      <w:tblPr>
        <w:tblStyle w:val="15"/>
        <w:tblW w:w="0" w:type="auto"/>
        <w:jc w:val="center"/>
        <w:tblLayout w:type="fixed"/>
        <w:tblCellMar>
          <w:top w:w="0" w:type="dxa"/>
          <w:left w:w="108" w:type="dxa"/>
          <w:bottom w:w="0" w:type="dxa"/>
          <w:right w:w="108" w:type="dxa"/>
        </w:tblCellMar>
      </w:tblPr>
      <w:tblGrid>
        <w:gridCol w:w="854"/>
        <w:gridCol w:w="1505"/>
        <w:gridCol w:w="1139"/>
        <w:gridCol w:w="949"/>
        <w:gridCol w:w="855"/>
        <w:gridCol w:w="759"/>
        <w:gridCol w:w="1709"/>
        <w:gridCol w:w="1423"/>
      </w:tblGrid>
      <w:tr w14:paraId="2D749975">
        <w:tblPrEx>
          <w:tblCellMar>
            <w:top w:w="0" w:type="dxa"/>
            <w:left w:w="108" w:type="dxa"/>
            <w:bottom w:w="0" w:type="dxa"/>
            <w:right w:w="108" w:type="dxa"/>
          </w:tblCellMar>
        </w:tblPrEx>
        <w:trPr>
          <w:trHeight w:val="975" w:hRule="atLeast"/>
          <w:jc w:val="center"/>
        </w:trPr>
        <w:tc>
          <w:tcPr>
            <w:tcW w:w="854" w:type="dxa"/>
            <w:tcBorders>
              <w:top w:val="single" w:color="auto" w:sz="6" w:space="0"/>
              <w:left w:val="single" w:color="auto" w:sz="6" w:space="0"/>
              <w:bottom w:val="single" w:color="auto" w:sz="6" w:space="0"/>
              <w:right w:val="single" w:color="auto" w:sz="6" w:space="0"/>
            </w:tcBorders>
            <w:noWrap w:val="0"/>
            <w:vAlign w:val="center"/>
          </w:tcPr>
          <w:p w14:paraId="708E1B53">
            <w:pPr>
              <w:jc w:val="center"/>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序号</w:t>
            </w:r>
          </w:p>
        </w:tc>
        <w:tc>
          <w:tcPr>
            <w:tcW w:w="1505" w:type="dxa"/>
            <w:tcBorders>
              <w:top w:val="single" w:color="auto" w:sz="6" w:space="0"/>
              <w:left w:val="single" w:color="auto" w:sz="6" w:space="0"/>
              <w:bottom w:val="single" w:color="auto" w:sz="6" w:space="0"/>
              <w:right w:val="single" w:color="auto" w:sz="6" w:space="0"/>
            </w:tcBorders>
            <w:noWrap w:val="0"/>
            <w:vAlign w:val="center"/>
          </w:tcPr>
          <w:p w14:paraId="1D7B9944">
            <w:pPr>
              <w:jc w:val="center"/>
              <w:outlineLvl w:val="9"/>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姓名</w:t>
            </w:r>
          </w:p>
        </w:tc>
        <w:tc>
          <w:tcPr>
            <w:tcW w:w="1139" w:type="dxa"/>
            <w:tcBorders>
              <w:top w:val="single" w:color="auto" w:sz="6" w:space="0"/>
              <w:left w:val="single" w:color="auto" w:sz="6" w:space="0"/>
              <w:bottom w:val="single" w:color="auto" w:sz="6" w:space="0"/>
              <w:right w:val="single" w:color="auto" w:sz="6" w:space="0"/>
            </w:tcBorders>
            <w:noWrap w:val="0"/>
            <w:vAlign w:val="center"/>
          </w:tcPr>
          <w:p w14:paraId="459E2AF1">
            <w:pPr>
              <w:jc w:val="center"/>
              <w:outlineLvl w:val="9"/>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rPr>
              <w:t>性别</w:t>
            </w:r>
          </w:p>
        </w:tc>
        <w:tc>
          <w:tcPr>
            <w:tcW w:w="949" w:type="dxa"/>
            <w:tcBorders>
              <w:top w:val="single" w:color="auto" w:sz="6" w:space="0"/>
              <w:left w:val="single" w:color="auto" w:sz="6" w:space="0"/>
              <w:bottom w:val="single" w:color="auto" w:sz="6" w:space="0"/>
              <w:right w:val="single" w:color="auto" w:sz="6" w:space="0"/>
            </w:tcBorders>
            <w:noWrap w:val="0"/>
            <w:vAlign w:val="center"/>
          </w:tcPr>
          <w:p w14:paraId="44E75E36">
            <w:pPr>
              <w:jc w:val="center"/>
              <w:outlineLvl w:val="9"/>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rPr>
              <w:t>年龄</w:t>
            </w:r>
          </w:p>
        </w:tc>
        <w:tc>
          <w:tcPr>
            <w:tcW w:w="855" w:type="dxa"/>
            <w:tcBorders>
              <w:top w:val="single" w:color="auto" w:sz="6" w:space="0"/>
              <w:left w:val="single" w:color="auto" w:sz="6" w:space="0"/>
              <w:bottom w:val="single" w:color="auto" w:sz="6" w:space="0"/>
              <w:right w:val="single" w:color="auto" w:sz="6" w:space="0"/>
            </w:tcBorders>
            <w:noWrap w:val="0"/>
            <w:vAlign w:val="center"/>
          </w:tcPr>
          <w:p w14:paraId="5C817A85">
            <w:pPr>
              <w:ind w:left="-90" w:firstLine="21"/>
              <w:jc w:val="center"/>
              <w:outlineLvl w:val="9"/>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rPr>
              <w:t>专 业</w:t>
            </w:r>
          </w:p>
        </w:tc>
        <w:tc>
          <w:tcPr>
            <w:tcW w:w="759" w:type="dxa"/>
            <w:tcBorders>
              <w:top w:val="single" w:color="auto" w:sz="6" w:space="0"/>
              <w:left w:val="single" w:color="auto" w:sz="6" w:space="0"/>
              <w:bottom w:val="single" w:color="auto" w:sz="6" w:space="0"/>
              <w:right w:val="single" w:color="auto" w:sz="6" w:space="0"/>
            </w:tcBorders>
            <w:noWrap w:val="0"/>
            <w:vAlign w:val="center"/>
          </w:tcPr>
          <w:p w14:paraId="0ABE7FE3">
            <w:pPr>
              <w:ind w:left="-90" w:hanging="18"/>
              <w:jc w:val="center"/>
              <w:outlineLvl w:val="9"/>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rPr>
              <w:t>职称</w:t>
            </w:r>
          </w:p>
        </w:tc>
        <w:tc>
          <w:tcPr>
            <w:tcW w:w="1709" w:type="dxa"/>
            <w:tcBorders>
              <w:top w:val="single" w:color="auto" w:sz="6" w:space="0"/>
              <w:left w:val="single" w:color="auto" w:sz="6" w:space="0"/>
              <w:bottom w:val="single" w:color="auto" w:sz="6" w:space="0"/>
              <w:right w:val="single" w:color="auto" w:sz="4" w:space="0"/>
            </w:tcBorders>
            <w:noWrap w:val="0"/>
            <w:vAlign w:val="center"/>
          </w:tcPr>
          <w:p w14:paraId="06064179">
            <w:pPr>
              <w:ind w:left="-90" w:hanging="4"/>
              <w:jc w:val="center"/>
              <w:outlineLvl w:val="9"/>
              <w:rPr>
                <w:rFonts w:hint="eastAsia" w:ascii="宋体" w:hAnsi="宋体" w:eastAsia="宋体" w:cs="宋体"/>
                <w:color w:val="000000"/>
                <w:sz w:val="24"/>
                <w:highlight w:val="none"/>
              </w:rPr>
            </w:pPr>
            <w:r>
              <w:rPr>
                <w:rFonts w:hint="eastAsia" w:ascii="宋体" w:hAnsi="宋体" w:eastAsia="宋体" w:cs="宋体"/>
                <w:color w:val="000000"/>
                <w:kern w:val="0"/>
                <w:sz w:val="24"/>
                <w:highlight w:val="none"/>
              </w:rPr>
              <w:t>职业资格证</w:t>
            </w:r>
          </w:p>
        </w:tc>
        <w:tc>
          <w:tcPr>
            <w:tcW w:w="1423" w:type="dxa"/>
            <w:tcBorders>
              <w:top w:val="single" w:color="auto" w:sz="6" w:space="0"/>
              <w:left w:val="single" w:color="auto" w:sz="6" w:space="0"/>
              <w:bottom w:val="single" w:color="auto" w:sz="6" w:space="0"/>
              <w:right w:val="single" w:color="auto" w:sz="4" w:space="0"/>
            </w:tcBorders>
            <w:noWrap w:val="0"/>
            <w:vAlign w:val="center"/>
          </w:tcPr>
          <w:p w14:paraId="0840DABD">
            <w:pPr>
              <w:ind w:left="-90" w:hanging="4"/>
              <w:jc w:val="center"/>
              <w:outlineLvl w:val="9"/>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拟在本合同担任的职务</w:t>
            </w:r>
          </w:p>
        </w:tc>
      </w:tr>
      <w:tr w14:paraId="5FCF0BA8">
        <w:tblPrEx>
          <w:tblCellMar>
            <w:top w:w="0" w:type="dxa"/>
            <w:left w:w="108" w:type="dxa"/>
            <w:bottom w:w="0" w:type="dxa"/>
            <w:right w:w="108" w:type="dxa"/>
          </w:tblCellMar>
        </w:tblPrEx>
        <w:trPr>
          <w:trHeight w:val="475" w:hRule="atLeast"/>
          <w:jc w:val="center"/>
        </w:trPr>
        <w:tc>
          <w:tcPr>
            <w:tcW w:w="854" w:type="dxa"/>
            <w:tcBorders>
              <w:top w:val="single" w:color="auto" w:sz="6" w:space="0"/>
              <w:left w:val="single" w:color="auto" w:sz="6" w:space="0"/>
              <w:bottom w:val="single" w:color="auto" w:sz="6" w:space="0"/>
              <w:right w:val="single" w:color="auto" w:sz="6" w:space="0"/>
            </w:tcBorders>
            <w:noWrap w:val="0"/>
            <w:vAlign w:val="top"/>
          </w:tcPr>
          <w:p w14:paraId="04A2E6EE">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505" w:type="dxa"/>
            <w:tcBorders>
              <w:top w:val="single" w:color="auto" w:sz="6" w:space="0"/>
              <w:left w:val="single" w:color="auto" w:sz="6" w:space="0"/>
              <w:bottom w:val="single" w:color="auto" w:sz="6" w:space="0"/>
              <w:right w:val="single" w:color="auto" w:sz="6" w:space="0"/>
            </w:tcBorders>
            <w:noWrap w:val="0"/>
            <w:vAlign w:val="top"/>
          </w:tcPr>
          <w:p w14:paraId="1E74D46D">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139" w:type="dxa"/>
            <w:tcBorders>
              <w:top w:val="single" w:color="auto" w:sz="6" w:space="0"/>
              <w:left w:val="single" w:color="auto" w:sz="6" w:space="0"/>
              <w:bottom w:val="single" w:color="auto" w:sz="6" w:space="0"/>
              <w:right w:val="single" w:color="auto" w:sz="6" w:space="0"/>
            </w:tcBorders>
            <w:noWrap w:val="0"/>
            <w:vAlign w:val="top"/>
          </w:tcPr>
          <w:p w14:paraId="7B8E4DAF">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949" w:type="dxa"/>
            <w:tcBorders>
              <w:top w:val="single" w:color="auto" w:sz="6" w:space="0"/>
              <w:left w:val="single" w:color="auto" w:sz="6" w:space="0"/>
              <w:bottom w:val="single" w:color="auto" w:sz="6" w:space="0"/>
              <w:right w:val="single" w:color="auto" w:sz="6" w:space="0"/>
            </w:tcBorders>
            <w:noWrap w:val="0"/>
            <w:vAlign w:val="top"/>
          </w:tcPr>
          <w:p w14:paraId="3047346B">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top"/>
          </w:tcPr>
          <w:p w14:paraId="012A4C65">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759" w:type="dxa"/>
            <w:tcBorders>
              <w:top w:val="single" w:color="auto" w:sz="6" w:space="0"/>
              <w:left w:val="single" w:color="auto" w:sz="6" w:space="0"/>
              <w:bottom w:val="single" w:color="auto" w:sz="6" w:space="0"/>
              <w:right w:val="single" w:color="auto" w:sz="6" w:space="0"/>
            </w:tcBorders>
            <w:noWrap w:val="0"/>
            <w:vAlign w:val="top"/>
          </w:tcPr>
          <w:p w14:paraId="5C546B37">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709" w:type="dxa"/>
            <w:tcBorders>
              <w:top w:val="single" w:color="auto" w:sz="6" w:space="0"/>
              <w:left w:val="single" w:color="auto" w:sz="6" w:space="0"/>
              <w:bottom w:val="single" w:color="auto" w:sz="6" w:space="0"/>
              <w:right w:val="single" w:color="auto" w:sz="4" w:space="0"/>
            </w:tcBorders>
            <w:noWrap w:val="0"/>
            <w:vAlign w:val="top"/>
          </w:tcPr>
          <w:p w14:paraId="75EA5C25">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423" w:type="dxa"/>
            <w:tcBorders>
              <w:top w:val="single" w:color="auto" w:sz="6" w:space="0"/>
              <w:left w:val="single" w:color="auto" w:sz="6" w:space="0"/>
              <w:bottom w:val="single" w:color="auto" w:sz="6" w:space="0"/>
              <w:right w:val="single" w:color="auto" w:sz="4" w:space="0"/>
            </w:tcBorders>
            <w:noWrap w:val="0"/>
            <w:vAlign w:val="top"/>
          </w:tcPr>
          <w:p w14:paraId="3728B88E">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r>
      <w:tr w14:paraId="785A9C83">
        <w:tblPrEx>
          <w:tblCellMar>
            <w:top w:w="0" w:type="dxa"/>
            <w:left w:w="108" w:type="dxa"/>
            <w:bottom w:w="0" w:type="dxa"/>
            <w:right w:w="108" w:type="dxa"/>
          </w:tblCellMar>
        </w:tblPrEx>
        <w:trPr>
          <w:trHeight w:val="475" w:hRule="atLeast"/>
          <w:jc w:val="center"/>
        </w:trPr>
        <w:tc>
          <w:tcPr>
            <w:tcW w:w="854" w:type="dxa"/>
            <w:tcBorders>
              <w:top w:val="single" w:color="auto" w:sz="6" w:space="0"/>
              <w:left w:val="single" w:color="auto" w:sz="6" w:space="0"/>
              <w:bottom w:val="single" w:color="auto" w:sz="6" w:space="0"/>
              <w:right w:val="single" w:color="auto" w:sz="6" w:space="0"/>
            </w:tcBorders>
            <w:noWrap w:val="0"/>
            <w:vAlign w:val="top"/>
          </w:tcPr>
          <w:p w14:paraId="4BA20DB4">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505" w:type="dxa"/>
            <w:tcBorders>
              <w:top w:val="single" w:color="auto" w:sz="6" w:space="0"/>
              <w:left w:val="single" w:color="auto" w:sz="6" w:space="0"/>
              <w:bottom w:val="single" w:color="auto" w:sz="6" w:space="0"/>
              <w:right w:val="single" w:color="auto" w:sz="6" w:space="0"/>
            </w:tcBorders>
            <w:noWrap w:val="0"/>
            <w:vAlign w:val="top"/>
          </w:tcPr>
          <w:p w14:paraId="2CC0BE1A">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139" w:type="dxa"/>
            <w:tcBorders>
              <w:top w:val="single" w:color="auto" w:sz="6" w:space="0"/>
              <w:left w:val="single" w:color="auto" w:sz="6" w:space="0"/>
              <w:bottom w:val="single" w:color="auto" w:sz="6" w:space="0"/>
              <w:right w:val="single" w:color="auto" w:sz="6" w:space="0"/>
            </w:tcBorders>
            <w:noWrap w:val="0"/>
            <w:vAlign w:val="top"/>
          </w:tcPr>
          <w:p w14:paraId="07171081">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949" w:type="dxa"/>
            <w:tcBorders>
              <w:top w:val="single" w:color="auto" w:sz="6" w:space="0"/>
              <w:left w:val="single" w:color="auto" w:sz="6" w:space="0"/>
              <w:bottom w:val="single" w:color="auto" w:sz="6" w:space="0"/>
              <w:right w:val="single" w:color="auto" w:sz="6" w:space="0"/>
            </w:tcBorders>
            <w:noWrap w:val="0"/>
            <w:vAlign w:val="top"/>
          </w:tcPr>
          <w:p w14:paraId="0262C290">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top"/>
          </w:tcPr>
          <w:p w14:paraId="298BFC10">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759" w:type="dxa"/>
            <w:tcBorders>
              <w:top w:val="single" w:color="auto" w:sz="6" w:space="0"/>
              <w:left w:val="single" w:color="auto" w:sz="6" w:space="0"/>
              <w:bottom w:val="single" w:color="auto" w:sz="6" w:space="0"/>
              <w:right w:val="single" w:color="auto" w:sz="6" w:space="0"/>
            </w:tcBorders>
            <w:noWrap w:val="0"/>
            <w:vAlign w:val="top"/>
          </w:tcPr>
          <w:p w14:paraId="2992D79A">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709" w:type="dxa"/>
            <w:tcBorders>
              <w:top w:val="single" w:color="auto" w:sz="6" w:space="0"/>
              <w:left w:val="single" w:color="auto" w:sz="6" w:space="0"/>
              <w:bottom w:val="single" w:color="auto" w:sz="6" w:space="0"/>
              <w:right w:val="single" w:color="auto" w:sz="4" w:space="0"/>
            </w:tcBorders>
            <w:noWrap w:val="0"/>
            <w:vAlign w:val="top"/>
          </w:tcPr>
          <w:p w14:paraId="1A48EA2C">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423" w:type="dxa"/>
            <w:tcBorders>
              <w:top w:val="single" w:color="auto" w:sz="6" w:space="0"/>
              <w:left w:val="single" w:color="auto" w:sz="6" w:space="0"/>
              <w:bottom w:val="single" w:color="auto" w:sz="6" w:space="0"/>
              <w:right w:val="single" w:color="auto" w:sz="4" w:space="0"/>
            </w:tcBorders>
            <w:noWrap w:val="0"/>
            <w:vAlign w:val="top"/>
          </w:tcPr>
          <w:p w14:paraId="10F74A66">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r>
      <w:tr w14:paraId="611C7B05">
        <w:tblPrEx>
          <w:tblCellMar>
            <w:top w:w="0" w:type="dxa"/>
            <w:left w:w="108" w:type="dxa"/>
            <w:bottom w:w="0" w:type="dxa"/>
            <w:right w:w="108" w:type="dxa"/>
          </w:tblCellMar>
        </w:tblPrEx>
        <w:trPr>
          <w:trHeight w:val="475" w:hRule="atLeast"/>
          <w:jc w:val="center"/>
        </w:trPr>
        <w:tc>
          <w:tcPr>
            <w:tcW w:w="854" w:type="dxa"/>
            <w:tcBorders>
              <w:top w:val="single" w:color="auto" w:sz="6" w:space="0"/>
              <w:left w:val="single" w:color="auto" w:sz="6" w:space="0"/>
              <w:bottom w:val="single" w:color="auto" w:sz="6" w:space="0"/>
              <w:right w:val="single" w:color="auto" w:sz="6" w:space="0"/>
            </w:tcBorders>
            <w:noWrap w:val="0"/>
            <w:vAlign w:val="top"/>
          </w:tcPr>
          <w:p w14:paraId="2B7DD5FA">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505" w:type="dxa"/>
            <w:tcBorders>
              <w:top w:val="single" w:color="auto" w:sz="6" w:space="0"/>
              <w:left w:val="single" w:color="auto" w:sz="6" w:space="0"/>
              <w:bottom w:val="single" w:color="auto" w:sz="6" w:space="0"/>
              <w:right w:val="single" w:color="auto" w:sz="6" w:space="0"/>
            </w:tcBorders>
            <w:noWrap w:val="0"/>
            <w:vAlign w:val="top"/>
          </w:tcPr>
          <w:p w14:paraId="211BB4BA">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139" w:type="dxa"/>
            <w:tcBorders>
              <w:top w:val="single" w:color="auto" w:sz="6" w:space="0"/>
              <w:left w:val="single" w:color="auto" w:sz="6" w:space="0"/>
              <w:bottom w:val="single" w:color="auto" w:sz="6" w:space="0"/>
              <w:right w:val="single" w:color="auto" w:sz="6" w:space="0"/>
            </w:tcBorders>
            <w:noWrap w:val="0"/>
            <w:vAlign w:val="top"/>
          </w:tcPr>
          <w:p w14:paraId="40440CC4">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949" w:type="dxa"/>
            <w:tcBorders>
              <w:top w:val="single" w:color="auto" w:sz="6" w:space="0"/>
              <w:left w:val="single" w:color="auto" w:sz="6" w:space="0"/>
              <w:bottom w:val="single" w:color="auto" w:sz="6" w:space="0"/>
              <w:right w:val="single" w:color="auto" w:sz="6" w:space="0"/>
            </w:tcBorders>
            <w:noWrap w:val="0"/>
            <w:vAlign w:val="top"/>
          </w:tcPr>
          <w:p w14:paraId="17E09AC4">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top"/>
          </w:tcPr>
          <w:p w14:paraId="4B472E69">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759" w:type="dxa"/>
            <w:tcBorders>
              <w:top w:val="single" w:color="auto" w:sz="6" w:space="0"/>
              <w:left w:val="single" w:color="auto" w:sz="6" w:space="0"/>
              <w:bottom w:val="single" w:color="auto" w:sz="6" w:space="0"/>
              <w:right w:val="single" w:color="auto" w:sz="6" w:space="0"/>
            </w:tcBorders>
            <w:noWrap w:val="0"/>
            <w:vAlign w:val="top"/>
          </w:tcPr>
          <w:p w14:paraId="2E7ECF17">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709" w:type="dxa"/>
            <w:tcBorders>
              <w:top w:val="single" w:color="auto" w:sz="6" w:space="0"/>
              <w:left w:val="single" w:color="auto" w:sz="6" w:space="0"/>
              <w:bottom w:val="single" w:color="auto" w:sz="6" w:space="0"/>
              <w:right w:val="single" w:color="auto" w:sz="4" w:space="0"/>
            </w:tcBorders>
            <w:noWrap w:val="0"/>
            <w:vAlign w:val="top"/>
          </w:tcPr>
          <w:p w14:paraId="1BADA802">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423" w:type="dxa"/>
            <w:tcBorders>
              <w:top w:val="single" w:color="auto" w:sz="6" w:space="0"/>
              <w:left w:val="single" w:color="auto" w:sz="6" w:space="0"/>
              <w:bottom w:val="single" w:color="auto" w:sz="6" w:space="0"/>
              <w:right w:val="single" w:color="auto" w:sz="4" w:space="0"/>
            </w:tcBorders>
            <w:noWrap w:val="0"/>
            <w:vAlign w:val="top"/>
          </w:tcPr>
          <w:p w14:paraId="4236C658">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r>
      <w:tr w14:paraId="4A2E608D">
        <w:tblPrEx>
          <w:tblCellMar>
            <w:top w:w="0" w:type="dxa"/>
            <w:left w:w="108" w:type="dxa"/>
            <w:bottom w:w="0" w:type="dxa"/>
            <w:right w:w="108" w:type="dxa"/>
          </w:tblCellMar>
        </w:tblPrEx>
        <w:trPr>
          <w:trHeight w:val="480" w:hRule="atLeast"/>
          <w:jc w:val="center"/>
        </w:trPr>
        <w:tc>
          <w:tcPr>
            <w:tcW w:w="854" w:type="dxa"/>
            <w:tcBorders>
              <w:top w:val="single" w:color="auto" w:sz="6" w:space="0"/>
              <w:left w:val="single" w:color="auto" w:sz="6" w:space="0"/>
              <w:bottom w:val="single" w:color="auto" w:sz="6" w:space="0"/>
              <w:right w:val="single" w:color="auto" w:sz="6" w:space="0"/>
            </w:tcBorders>
            <w:noWrap w:val="0"/>
            <w:vAlign w:val="top"/>
          </w:tcPr>
          <w:p w14:paraId="1BF9CADB">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505" w:type="dxa"/>
            <w:tcBorders>
              <w:top w:val="single" w:color="auto" w:sz="6" w:space="0"/>
              <w:left w:val="single" w:color="auto" w:sz="6" w:space="0"/>
              <w:bottom w:val="single" w:color="auto" w:sz="6" w:space="0"/>
              <w:right w:val="single" w:color="auto" w:sz="6" w:space="0"/>
            </w:tcBorders>
            <w:noWrap w:val="0"/>
            <w:vAlign w:val="top"/>
          </w:tcPr>
          <w:p w14:paraId="60C17375">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139" w:type="dxa"/>
            <w:tcBorders>
              <w:top w:val="single" w:color="auto" w:sz="6" w:space="0"/>
              <w:left w:val="single" w:color="auto" w:sz="6" w:space="0"/>
              <w:bottom w:val="single" w:color="auto" w:sz="6" w:space="0"/>
              <w:right w:val="single" w:color="auto" w:sz="6" w:space="0"/>
            </w:tcBorders>
            <w:noWrap w:val="0"/>
            <w:vAlign w:val="top"/>
          </w:tcPr>
          <w:p w14:paraId="1A034609">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949" w:type="dxa"/>
            <w:tcBorders>
              <w:top w:val="single" w:color="auto" w:sz="6" w:space="0"/>
              <w:left w:val="single" w:color="auto" w:sz="6" w:space="0"/>
              <w:bottom w:val="single" w:color="auto" w:sz="6" w:space="0"/>
              <w:right w:val="single" w:color="auto" w:sz="6" w:space="0"/>
            </w:tcBorders>
            <w:noWrap w:val="0"/>
            <w:vAlign w:val="top"/>
          </w:tcPr>
          <w:p w14:paraId="0472DB1A">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top"/>
          </w:tcPr>
          <w:p w14:paraId="589E7256">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759" w:type="dxa"/>
            <w:tcBorders>
              <w:top w:val="single" w:color="auto" w:sz="6" w:space="0"/>
              <w:left w:val="single" w:color="auto" w:sz="6" w:space="0"/>
              <w:bottom w:val="single" w:color="auto" w:sz="6" w:space="0"/>
              <w:right w:val="single" w:color="auto" w:sz="6" w:space="0"/>
            </w:tcBorders>
            <w:noWrap w:val="0"/>
            <w:vAlign w:val="top"/>
          </w:tcPr>
          <w:p w14:paraId="2386DCBD">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709" w:type="dxa"/>
            <w:tcBorders>
              <w:top w:val="single" w:color="auto" w:sz="6" w:space="0"/>
              <w:left w:val="single" w:color="auto" w:sz="6" w:space="0"/>
              <w:bottom w:val="single" w:color="auto" w:sz="6" w:space="0"/>
              <w:right w:val="single" w:color="auto" w:sz="4" w:space="0"/>
            </w:tcBorders>
            <w:noWrap w:val="0"/>
            <w:vAlign w:val="top"/>
          </w:tcPr>
          <w:p w14:paraId="208ABE16">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423" w:type="dxa"/>
            <w:tcBorders>
              <w:top w:val="single" w:color="auto" w:sz="6" w:space="0"/>
              <w:left w:val="single" w:color="auto" w:sz="6" w:space="0"/>
              <w:bottom w:val="single" w:color="auto" w:sz="6" w:space="0"/>
              <w:right w:val="single" w:color="auto" w:sz="4" w:space="0"/>
            </w:tcBorders>
            <w:noWrap w:val="0"/>
            <w:vAlign w:val="top"/>
          </w:tcPr>
          <w:p w14:paraId="40E0427F">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r>
      <w:tr w14:paraId="4A877B8F">
        <w:tblPrEx>
          <w:tblCellMar>
            <w:top w:w="0" w:type="dxa"/>
            <w:left w:w="108" w:type="dxa"/>
            <w:bottom w:w="0" w:type="dxa"/>
            <w:right w:w="108" w:type="dxa"/>
          </w:tblCellMar>
        </w:tblPrEx>
        <w:trPr>
          <w:trHeight w:val="469" w:hRule="atLeast"/>
          <w:jc w:val="center"/>
        </w:trPr>
        <w:tc>
          <w:tcPr>
            <w:tcW w:w="854" w:type="dxa"/>
            <w:tcBorders>
              <w:top w:val="single" w:color="auto" w:sz="6" w:space="0"/>
              <w:left w:val="single" w:color="auto" w:sz="6" w:space="0"/>
              <w:bottom w:val="single" w:color="auto" w:sz="6" w:space="0"/>
              <w:right w:val="single" w:color="auto" w:sz="6" w:space="0"/>
            </w:tcBorders>
            <w:noWrap w:val="0"/>
            <w:vAlign w:val="top"/>
          </w:tcPr>
          <w:p w14:paraId="7C087CEE">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505" w:type="dxa"/>
            <w:tcBorders>
              <w:top w:val="single" w:color="auto" w:sz="6" w:space="0"/>
              <w:left w:val="single" w:color="auto" w:sz="6" w:space="0"/>
              <w:bottom w:val="single" w:color="auto" w:sz="6" w:space="0"/>
              <w:right w:val="single" w:color="auto" w:sz="6" w:space="0"/>
            </w:tcBorders>
            <w:noWrap w:val="0"/>
            <w:vAlign w:val="top"/>
          </w:tcPr>
          <w:p w14:paraId="4A2468EA">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139" w:type="dxa"/>
            <w:tcBorders>
              <w:top w:val="single" w:color="auto" w:sz="6" w:space="0"/>
              <w:left w:val="single" w:color="auto" w:sz="6" w:space="0"/>
              <w:bottom w:val="single" w:color="auto" w:sz="6" w:space="0"/>
              <w:right w:val="single" w:color="auto" w:sz="6" w:space="0"/>
            </w:tcBorders>
            <w:noWrap w:val="0"/>
            <w:vAlign w:val="top"/>
          </w:tcPr>
          <w:p w14:paraId="792DFC1F">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949" w:type="dxa"/>
            <w:tcBorders>
              <w:top w:val="single" w:color="auto" w:sz="6" w:space="0"/>
              <w:left w:val="single" w:color="auto" w:sz="6" w:space="0"/>
              <w:bottom w:val="single" w:color="auto" w:sz="6" w:space="0"/>
              <w:right w:val="single" w:color="auto" w:sz="6" w:space="0"/>
            </w:tcBorders>
            <w:noWrap w:val="0"/>
            <w:vAlign w:val="top"/>
          </w:tcPr>
          <w:p w14:paraId="092FD123">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top"/>
          </w:tcPr>
          <w:p w14:paraId="77CDBB10">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759" w:type="dxa"/>
            <w:tcBorders>
              <w:top w:val="single" w:color="auto" w:sz="6" w:space="0"/>
              <w:left w:val="single" w:color="auto" w:sz="6" w:space="0"/>
              <w:bottom w:val="single" w:color="auto" w:sz="6" w:space="0"/>
              <w:right w:val="single" w:color="auto" w:sz="6" w:space="0"/>
            </w:tcBorders>
            <w:noWrap w:val="0"/>
            <w:vAlign w:val="top"/>
          </w:tcPr>
          <w:p w14:paraId="672D7E94">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709" w:type="dxa"/>
            <w:tcBorders>
              <w:top w:val="single" w:color="auto" w:sz="6" w:space="0"/>
              <w:left w:val="single" w:color="auto" w:sz="6" w:space="0"/>
              <w:bottom w:val="single" w:color="auto" w:sz="6" w:space="0"/>
              <w:right w:val="single" w:color="auto" w:sz="4" w:space="0"/>
            </w:tcBorders>
            <w:noWrap w:val="0"/>
            <w:vAlign w:val="top"/>
          </w:tcPr>
          <w:p w14:paraId="017EEBA9">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423" w:type="dxa"/>
            <w:tcBorders>
              <w:top w:val="single" w:color="auto" w:sz="6" w:space="0"/>
              <w:left w:val="single" w:color="auto" w:sz="6" w:space="0"/>
              <w:bottom w:val="single" w:color="auto" w:sz="6" w:space="0"/>
              <w:right w:val="single" w:color="auto" w:sz="4" w:space="0"/>
            </w:tcBorders>
            <w:noWrap w:val="0"/>
            <w:vAlign w:val="top"/>
          </w:tcPr>
          <w:p w14:paraId="6BCDD53D">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r>
      <w:tr w14:paraId="275DCE36">
        <w:tblPrEx>
          <w:tblCellMar>
            <w:top w:w="0" w:type="dxa"/>
            <w:left w:w="108" w:type="dxa"/>
            <w:bottom w:w="0" w:type="dxa"/>
            <w:right w:w="108" w:type="dxa"/>
          </w:tblCellMar>
        </w:tblPrEx>
        <w:trPr>
          <w:trHeight w:val="475" w:hRule="atLeast"/>
          <w:jc w:val="center"/>
        </w:trPr>
        <w:tc>
          <w:tcPr>
            <w:tcW w:w="854" w:type="dxa"/>
            <w:tcBorders>
              <w:top w:val="single" w:color="auto" w:sz="6" w:space="0"/>
              <w:left w:val="single" w:color="auto" w:sz="6" w:space="0"/>
              <w:bottom w:val="single" w:color="auto" w:sz="6" w:space="0"/>
              <w:right w:val="single" w:color="auto" w:sz="6" w:space="0"/>
            </w:tcBorders>
            <w:noWrap w:val="0"/>
            <w:vAlign w:val="top"/>
          </w:tcPr>
          <w:p w14:paraId="7DCDE77D">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505" w:type="dxa"/>
            <w:tcBorders>
              <w:top w:val="single" w:color="auto" w:sz="6" w:space="0"/>
              <w:left w:val="single" w:color="auto" w:sz="6" w:space="0"/>
              <w:bottom w:val="single" w:color="auto" w:sz="6" w:space="0"/>
              <w:right w:val="single" w:color="auto" w:sz="6" w:space="0"/>
            </w:tcBorders>
            <w:noWrap w:val="0"/>
            <w:vAlign w:val="top"/>
          </w:tcPr>
          <w:p w14:paraId="04BBEBB4">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139" w:type="dxa"/>
            <w:tcBorders>
              <w:top w:val="single" w:color="auto" w:sz="6" w:space="0"/>
              <w:left w:val="single" w:color="auto" w:sz="6" w:space="0"/>
              <w:bottom w:val="single" w:color="auto" w:sz="6" w:space="0"/>
              <w:right w:val="single" w:color="auto" w:sz="6" w:space="0"/>
            </w:tcBorders>
            <w:noWrap w:val="0"/>
            <w:vAlign w:val="top"/>
          </w:tcPr>
          <w:p w14:paraId="70681FCD">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949" w:type="dxa"/>
            <w:tcBorders>
              <w:top w:val="single" w:color="auto" w:sz="6" w:space="0"/>
              <w:left w:val="single" w:color="auto" w:sz="6" w:space="0"/>
              <w:bottom w:val="single" w:color="auto" w:sz="6" w:space="0"/>
              <w:right w:val="single" w:color="auto" w:sz="6" w:space="0"/>
            </w:tcBorders>
            <w:noWrap w:val="0"/>
            <w:vAlign w:val="top"/>
          </w:tcPr>
          <w:p w14:paraId="03B05945">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top"/>
          </w:tcPr>
          <w:p w14:paraId="2F3F5B8F">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759" w:type="dxa"/>
            <w:tcBorders>
              <w:top w:val="single" w:color="auto" w:sz="6" w:space="0"/>
              <w:left w:val="single" w:color="auto" w:sz="6" w:space="0"/>
              <w:bottom w:val="single" w:color="auto" w:sz="6" w:space="0"/>
              <w:right w:val="single" w:color="auto" w:sz="6" w:space="0"/>
            </w:tcBorders>
            <w:noWrap w:val="0"/>
            <w:vAlign w:val="top"/>
          </w:tcPr>
          <w:p w14:paraId="71714A6B">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709" w:type="dxa"/>
            <w:tcBorders>
              <w:top w:val="single" w:color="auto" w:sz="6" w:space="0"/>
              <w:left w:val="single" w:color="auto" w:sz="6" w:space="0"/>
              <w:bottom w:val="single" w:color="auto" w:sz="6" w:space="0"/>
              <w:right w:val="single" w:color="auto" w:sz="4" w:space="0"/>
            </w:tcBorders>
            <w:noWrap w:val="0"/>
            <w:vAlign w:val="top"/>
          </w:tcPr>
          <w:p w14:paraId="3F2E7CBA">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423" w:type="dxa"/>
            <w:tcBorders>
              <w:top w:val="single" w:color="auto" w:sz="6" w:space="0"/>
              <w:left w:val="single" w:color="auto" w:sz="6" w:space="0"/>
              <w:bottom w:val="single" w:color="auto" w:sz="6" w:space="0"/>
              <w:right w:val="single" w:color="auto" w:sz="4" w:space="0"/>
            </w:tcBorders>
            <w:noWrap w:val="0"/>
            <w:vAlign w:val="top"/>
          </w:tcPr>
          <w:p w14:paraId="0B030842">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r>
      <w:tr w14:paraId="43AE1B9D">
        <w:tblPrEx>
          <w:tblCellMar>
            <w:top w:w="0" w:type="dxa"/>
            <w:left w:w="108" w:type="dxa"/>
            <w:bottom w:w="0" w:type="dxa"/>
            <w:right w:w="108" w:type="dxa"/>
          </w:tblCellMar>
        </w:tblPrEx>
        <w:trPr>
          <w:trHeight w:val="480" w:hRule="atLeast"/>
          <w:jc w:val="center"/>
        </w:trPr>
        <w:tc>
          <w:tcPr>
            <w:tcW w:w="854" w:type="dxa"/>
            <w:tcBorders>
              <w:top w:val="single" w:color="auto" w:sz="6" w:space="0"/>
              <w:left w:val="single" w:color="auto" w:sz="6" w:space="0"/>
              <w:bottom w:val="single" w:color="auto" w:sz="6" w:space="0"/>
              <w:right w:val="single" w:color="auto" w:sz="6" w:space="0"/>
            </w:tcBorders>
            <w:noWrap w:val="0"/>
            <w:vAlign w:val="top"/>
          </w:tcPr>
          <w:p w14:paraId="6A7E6D83">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505" w:type="dxa"/>
            <w:tcBorders>
              <w:top w:val="single" w:color="auto" w:sz="6" w:space="0"/>
              <w:left w:val="single" w:color="auto" w:sz="6" w:space="0"/>
              <w:bottom w:val="single" w:color="auto" w:sz="6" w:space="0"/>
              <w:right w:val="single" w:color="auto" w:sz="6" w:space="0"/>
            </w:tcBorders>
            <w:noWrap w:val="0"/>
            <w:vAlign w:val="top"/>
          </w:tcPr>
          <w:p w14:paraId="0FA9D119">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139" w:type="dxa"/>
            <w:tcBorders>
              <w:top w:val="single" w:color="auto" w:sz="6" w:space="0"/>
              <w:left w:val="single" w:color="auto" w:sz="6" w:space="0"/>
              <w:bottom w:val="single" w:color="auto" w:sz="6" w:space="0"/>
              <w:right w:val="single" w:color="auto" w:sz="6" w:space="0"/>
            </w:tcBorders>
            <w:noWrap w:val="0"/>
            <w:vAlign w:val="top"/>
          </w:tcPr>
          <w:p w14:paraId="458639E7">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949" w:type="dxa"/>
            <w:tcBorders>
              <w:top w:val="single" w:color="auto" w:sz="6" w:space="0"/>
              <w:left w:val="single" w:color="auto" w:sz="6" w:space="0"/>
              <w:bottom w:val="single" w:color="auto" w:sz="6" w:space="0"/>
              <w:right w:val="single" w:color="auto" w:sz="6" w:space="0"/>
            </w:tcBorders>
            <w:noWrap w:val="0"/>
            <w:vAlign w:val="top"/>
          </w:tcPr>
          <w:p w14:paraId="097032FD">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top"/>
          </w:tcPr>
          <w:p w14:paraId="4E355A89">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759" w:type="dxa"/>
            <w:tcBorders>
              <w:top w:val="single" w:color="auto" w:sz="6" w:space="0"/>
              <w:left w:val="single" w:color="auto" w:sz="6" w:space="0"/>
              <w:bottom w:val="single" w:color="auto" w:sz="6" w:space="0"/>
              <w:right w:val="single" w:color="auto" w:sz="6" w:space="0"/>
            </w:tcBorders>
            <w:noWrap w:val="0"/>
            <w:vAlign w:val="top"/>
          </w:tcPr>
          <w:p w14:paraId="52499B39">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709" w:type="dxa"/>
            <w:tcBorders>
              <w:top w:val="single" w:color="auto" w:sz="6" w:space="0"/>
              <w:left w:val="single" w:color="auto" w:sz="6" w:space="0"/>
              <w:bottom w:val="single" w:color="auto" w:sz="6" w:space="0"/>
              <w:right w:val="single" w:color="auto" w:sz="4" w:space="0"/>
            </w:tcBorders>
            <w:noWrap w:val="0"/>
            <w:vAlign w:val="top"/>
          </w:tcPr>
          <w:p w14:paraId="6781B727">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423" w:type="dxa"/>
            <w:tcBorders>
              <w:top w:val="single" w:color="auto" w:sz="6" w:space="0"/>
              <w:left w:val="single" w:color="auto" w:sz="6" w:space="0"/>
              <w:bottom w:val="single" w:color="auto" w:sz="6" w:space="0"/>
              <w:right w:val="single" w:color="auto" w:sz="4" w:space="0"/>
            </w:tcBorders>
            <w:noWrap w:val="0"/>
            <w:vAlign w:val="top"/>
          </w:tcPr>
          <w:p w14:paraId="54D8281A">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r>
      <w:tr w14:paraId="3E51B94B">
        <w:tblPrEx>
          <w:tblCellMar>
            <w:top w:w="0" w:type="dxa"/>
            <w:left w:w="108" w:type="dxa"/>
            <w:bottom w:w="0" w:type="dxa"/>
            <w:right w:w="108" w:type="dxa"/>
          </w:tblCellMar>
        </w:tblPrEx>
        <w:trPr>
          <w:trHeight w:val="480" w:hRule="atLeast"/>
          <w:jc w:val="center"/>
        </w:trPr>
        <w:tc>
          <w:tcPr>
            <w:tcW w:w="854" w:type="dxa"/>
            <w:tcBorders>
              <w:top w:val="single" w:color="auto" w:sz="6" w:space="0"/>
              <w:left w:val="single" w:color="auto" w:sz="6" w:space="0"/>
              <w:bottom w:val="single" w:color="auto" w:sz="6" w:space="0"/>
              <w:right w:val="single" w:color="auto" w:sz="6" w:space="0"/>
            </w:tcBorders>
            <w:noWrap w:val="0"/>
            <w:vAlign w:val="top"/>
          </w:tcPr>
          <w:p w14:paraId="3C6B0033">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505" w:type="dxa"/>
            <w:tcBorders>
              <w:top w:val="single" w:color="auto" w:sz="6" w:space="0"/>
              <w:left w:val="single" w:color="auto" w:sz="6" w:space="0"/>
              <w:bottom w:val="single" w:color="auto" w:sz="6" w:space="0"/>
              <w:right w:val="single" w:color="auto" w:sz="6" w:space="0"/>
            </w:tcBorders>
            <w:noWrap w:val="0"/>
            <w:vAlign w:val="top"/>
          </w:tcPr>
          <w:p w14:paraId="0A7BB52A">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139" w:type="dxa"/>
            <w:tcBorders>
              <w:top w:val="single" w:color="auto" w:sz="6" w:space="0"/>
              <w:left w:val="single" w:color="auto" w:sz="6" w:space="0"/>
              <w:bottom w:val="single" w:color="auto" w:sz="6" w:space="0"/>
              <w:right w:val="single" w:color="auto" w:sz="6" w:space="0"/>
            </w:tcBorders>
            <w:noWrap w:val="0"/>
            <w:vAlign w:val="top"/>
          </w:tcPr>
          <w:p w14:paraId="2C02676F">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949" w:type="dxa"/>
            <w:tcBorders>
              <w:top w:val="single" w:color="auto" w:sz="6" w:space="0"/>
              <w:left w:val="single" w:color="auto" w:sz="6" w:space="0"/>
              <w:bottom w:val="single" w:color="auto" w:sz="6" w:space="0"/>
              <w:right w:val="single" w:color="auto" w:sz="6" w:space="0"/>
            </w:tcBorders>
            <w:noWrap w:val="0"/>
            <w:vAlign w:val="top"/>
          </w:tcPr>
          <w:p w14:paraId="738B68CD">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top"/>
          </w:tcPr>
          <w:p w14:paraId="49A5C3B4">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759" w:type="dxa"/>
            <w:tcBorders>
              <w:top w:val="single" w:color="auto" w:sz="6" w:space="0"/>
              <w:left w:val="single" w:color="auto" w:sz="6" w:space="0"/>
              <w:bottom w:val="single" w:color="auto" w:sz="6" w:space="0"/>
              <w:right w:val="single" w:color="auto" w:sz="6" w:space="0"/>
            </w:tcBorders>
            <w:noWrap w:val="0"/>
            <w:vAlign w:val="top"/>
          </w:tcPr>
          <w:p w14:paraId="4E399A52">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709" w:type="dxa"/>
            <w:tcBorders>
              <w:top w:val="single" w:color="auto" w:sz="6" w:space="0"/>
              <w:left w:val="single" w:color="auto" w:sz="6" w:space="0"/>
              <w:bottom w:val="single" w:color="auto" w:sz="6" w:space="0"/>
              <w:right w:val="single" w:color="auto" w:sz="4" w:space="0"/>
            </w:tcBorders>
            <w:noWrap w:val="0"/>
            <w:vAlign w:val="top"/>
          </w:tcPr>
          <w:p w14:paraId="70D8A036">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423" w:type="dxa"/>
            <w:tcBorders>
              <w:top w:val="single" w:color="auto" w:sz="6" w:space="0"/>
              <w:left w:val="single" w:color="auto" w:sz="6" w:space="0"/>
              <w:bottom w:val="single" w:color="auto" w:sz="6" w:space="0"/>
              <w:right w:val="single" w:color="auto" w:sz="4" w:space="0"/>
            </w:tcBorders>
            <w:noWrap w:val="0"/>
            <w:vAlign w:val="top"/>
          </w:tcPr>
          <w:p w14:paraId="7AFC13E7">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r>
      <w:tr w14:paraId="690A5550">
        <w:tblPrEx>
          <w:tblCellMar>
            <w:top w:w="0" w:type="dxa"/>
            <w:left w:w="108" w:type="dxa"/>
            <w:bottom w:w="0" w:type="dxa"/>
            <w:right w:w="108" w:type="dxa"/>
          </w:tblCellMar>
        </w:tblPrEx>
        <w:trPr>
          <w:trHeight w:val="475" w:hRule="atLeast"/>
          <w:jc w:val="center"/>
        </w:trPr>
        <w:tc>
          <w:tcPr>
            <w:tcW w:w="854" w:type="dxa"/>
            <w:tcBorders>
              <w:top w:val="single" w:color="auto" w:sz="6" w:space="0"/>
              <w:left w:val="single" w:color="auto" w:sz="6" w:space="0"/>
              <w:bottom w:val="single" w:color="auto" w:sz="6" w:space="0"/>
              <w:right w:val="single" w:color="auto" w:sz="6" w:space="0"/>
            </w:tcBorders>
            <w:noWrap w:val="0"/>
            <w:vAlign w:val="top"/>
          </w:tcPr>
          <w:p w14:paraId="359835EF">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505" w:type="dxa"/>
            <w:tcBorders>
              <w:top w:val="single" w:color="auto" w:sz="6" w:space="0"/>
              <w:left w:val="single" w:color="auto" w:sz="6" w:space="0"/>
              <w:bottom w:val="single" w:color="auto" w:sz="6" w:space="0"/>
              <w:right w:val="single" w:color="auto" w:sz="6" w:space="0"/>
            </w:tcBorders>
            <w:noWrap w:val="0"/>
            <w:vAlign w:val="top"/>
          </w:tcPr>
          <w:p w14:paraId="300C0CE8">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139" w:type="dxa"/>
            <w:tcBorders>
              <w:top w:val="single" w:color="auto" w:sz="6" w:space="0"/>
              <w:left w:val="single" w:color="auto" w:sz="6" w:space="0"/>
              <w:bottom w:val="single" w:color="auto" w:sz="6" w:space="0"/>
              <w:right w:val="single" w:color="auto" w:sz="6" w:space="0"/>
            </w:tcBorders>
            <w:noWrap w:val="0"/>
            <w:vAlign w:val="top"/>
          </w:tcPr>
          <w:p w14:paraId="44D5DD53">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949" w:type="dxa"/>
            <w:tcBorders>
              <w:top w:val="single" w:color="auto" w:sz="6" w:space="0"/>
              <w:left w:val="single" w:color="auto" w:sz="6" w:space="0"/>
              <w:bottom w:val="single" w:color="auto" w:sz="6" w:space="0"/>
              <w:right w:val="single" w:color="auto" w:sz="6" w:space="0"/>
            </w:tcBorders>
            <w:noWrap w:val="0"/>
            <w:vAlign w:val="top"/>
          </w:tcPr>
          <w:p w14:paraId="4BEA1359">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top"/>
          </w:tcPr>
          <w:p w14:paraId="0709C54E">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759" w:type="dxa"/>
            <w:tcBorders>
              <w:top w:val="single" w:color="auto" w:sz="6" w:space="0"/>
              <w:left w:val="single" w:color="auto" w:sz="6" w:space="0"/>
              <w:bottom w:val="single" w:color="auto" w:sz="6" w:space="0"/>
              <w:right w:val="single" w:color="auto" w:sz="6" w:space="0"/>
            </w:tcBorders>
            <w:noWrap w:val="0"/>
            <w:vAlign w:val="top"/>
          </w:tcPr>
          <w:p w14:paraId="5B065E40">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709" w:type="dxa"/>
            <w:tcBorders>
              <w:top w:val="single" w:color="auto" w:sz="6" w:space="0"/>
              <w:left w:val="single" w:color="auto" w:sz="6" w:space="0"/>
              <w:bottom w:val="single" w:color="auto" w:sz="6" w:space="0"/>
              <w:right w:val="single" w:color="auto" w:sz="4" w:space="0"/>
            </w:tcBorders>
            <w:noWrap w:val="0"/>
            <w:vAlign w:val="top"/>
          </w:tcPr>
          <w:p w14:paraId="21E91D18">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423" w:type="dxa"/>
            <w:tcBorders>
              <w:top w:val="single" w:color="auto" w:sz="6" w:space="0"/>
              <w:left w:val="single" w:color="auto" w:sz="6" w:space="0"/>
              <w:bottom w:val="single" w:color="auto" w:sz="6" w:space="0"/>
              <w:right w:val="single" w:color="auto" w:sz="4" w:space="0"/>
            </w:tcBorders>
            <w:noWrap w:val="0"/>
            <w:vAlign w:val="top"/>
          </w:tcPr>
          <w:p w14:paraId="219D0913">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r>
      <w:tr w14:paraId="28318CF8">
        <w:tblPrEx>
          <w:tblCellMar>
            <w:top w:w="0" w:type="dxa"/>
            <w:left w:w="108" w:type="dxa"/>
            <w:bottom w:w="0" w:type="dxa"/>
            <w:right w:w="108" w:type="dxa"/>
          </w:tblCellMar>
        </w:tblPrEx>
        <w:trPr>
          <w:trHeight w:val="480" w:hRule="atLeast"/>
          <w:jc w:val="center"/>
        </w:trPr>
        <w:tc>
          <w:tcPr>
            <w:tcW w:w="854" w:type="dxa"/>
            <w:tcBorders>
              <w:top w:val="single" w:color="auto" w:sz="6" w:space="0"/>
              <w:left w:val="single" w:color="auto" w:sz="6" w:space="0"/>
              <w:bottom w:val="single" w:color="auto" w:sz="6" w:space="0"/>
              <w:right w:val="single" w:color="auto" w:sz="6" w:space="0"/>
            </w:tcBorders>
            <w:noWrap w:val="0"/>
            <w:vAlign w:val="top"/>
          </w:tcPr>
          <w:p w14:paraId="1C98E5F3">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505" w:type="dxa"/>
            <w:tcBorders>
              <w:top w:val="single" w:color="auto" w:sz="6" w:space="0"/>
              <w:left w:val="single" w:color="auto" w:sz="6" w:space="0"/>
              <w:bottom w:val="single" w:color="auto" w:sz="6" w:space="0"/>
              <w:right w:val="single" w:color="auto" w:sz="6" w:space="0"/>
            </w:tcBorders>
            <w:noWrap w:val="0"/>
            <w:vAlign w:val="top"/>
          </w:tcPr>
          <w:p w14:paraId="10EE9888">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139" w:type="dxa"/>
            <w:tcBorders>
              <w:top w:val="single" w:color="auto" w:sz="6" w:space="0"/>
              <w:left w:val="single" w:color="auto" w:sz="6" w:space="0"/>
              <w:bottom w:val="single" w:color="auto" w:sz="6" w:space="0"/>
              <w:right w:val="single" w:color="auto" w:sz="6" w:space="0"/>
            </w:tcBorders>
            <w:noWrap w:val="0"/>
            <w:vAlign w:val="top"/>
          </w:tcPr>
          <w:p w14:paraId="149D0723">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949" w:type="dxa"/>
            <w:tcBorders>
              <w:top w:val="single" w:color="auto" w:sz="6" w:space="0"/>
              <w:left w:val="single" w:color="auto" w:sz="6" w:space="0"/>
              <w:bottom w:val="single" w:color="auto" w:sz="6" w:space="0"/>
              <w:right w:val="single" w:color="auto" w:sz="6" w:space="0"/>
            </w:tcBorders>
            <w:noWrap w:val="0"/>
            <w:vAlign w:val="top"/>
          </w:tcPr>
          <w:p w14:paraId="2B3184A1">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top"/>
          </w:tcPr>
          <w:p w14:paraId="13AB0598">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759" w:type="dxa"/>
            <w:tcBorders>
              <w:top w:val="single" w:color="auto" w:sz="6" w:space="0"/>
              <w:left w:val="single" w:color="auto" w:sz="6" w:space="0"/>
              <w:bottom w:val="single" w:color="auto" w:sz="6" w:space="0"/>
              <w:right w:val="single" w:color="auto" w:sz="6" w:space="0"/>
            </w:tcBorders>
            <w:noWrap w:val="0"/>
            <w:vAlign w:val="top"/>
          </w:tcPr>
          <w:p w14:paraId="7A3E1F36">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709" w:type="dxa"/>
            <w:tcBorders>
              <w:top w:val="single" w:color="auto" w:sz="6" w:space="0"/>
              <w:left w:val="single" w:color="auto" w:sz="6" w:space="0"/>
              <w:bottom w:val="single" w:color="auto" w:sz="6" w:space="0"/>
              <w:right w:val="single" w:color="auto" w:sz="4" w:space="0"/>
            </w:tcBorders>
            <w:noWrap w:val="0"/>
            <w:vAlign w:val="top"/>
          </w:tcPr>
          <w:p w14:paraId="5866083E">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423" w:type="dxa"/>
            <w:tcBorders>
              <w:top w:val="single" w:color="auto" w:sz="6" w:space="0"/>
              <w:left w:val="single" w:color="auto" w:sz="6" w:space="0"/>
              <w:bottom w:val="single" w:color="auto" w:sz="6" w:space="0"/>
              <w:right w:val="single" w:color="auto" w:sz="4" w:space="0"/>
            </w:tcBorders>
            <w:noWrap w:val="0"/>
            <w:vAlign w:val="top"/>
          </w:tcPr>
          <w:p w14:paraId="6D8235D9">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r>
      <w:tr w14:paraId="59ED71E0">
        <w:tblPrEx>
          <w:tblCellMar>
            <w:top w:w="0" w:type="dxa"/>
            <w:left w:w="108" w:type="dxa"/>
            <w:bottom w:w="0" w:type="dxa"/>
            <w:right w:w="108" w:type="dxa"/>
          </w:tblCellMar>
        </w:tblPrEx>
        <w:trPr>
          <w:trHeight w:val="480" w:hRule="atLeast"/>
          <w:jc w:val="center"/>
        </w:trPr>
        <w:tc>
          <w:tcPr>
            <w:tcW w:w="854" w:type="dxa"/>
            <w:tcBorders>
              <w:top w:val="single" w:color="auto" w:sz="6" w:space="0"/>
              <w:left w:val="single" w:color="auto" w:sz="6" w:space="0"/>
              <w:bottom w:val="single" w:color="auto" w:sz="6" w:space="0"/>
              <w:right w:val="single" w:color="auto" w:sz="6" w:space="0"/>
            </w:tcBorders>
            <w:noWrap w:val="0"/>
            <w:vAlign w:val="top"/>
          </w:tcPr>
          <w:p w14:paraId="5F7CA926">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505" w:type="dxa"/>
            <w:tcBorders>
              <w:top w:val="single" w:color="auto" w:sz="6" w:space="0"/>
              <w:left w:val="single" w:color="auto" w:sz="6" w:space="0"/>
              <w:bottom w:val="single" w:color="auto" w:sz="6" w:space="0"/>
              <w:right w:val="single" w:color="auto" w:sz="6" w:space="0"/>
            </w:tcBorders>
            <w:noWrap w:val="0"/>
            <w:vAlign w:val="top"/>
          </w:tcPr>
          <w:p w14:paraId="70CC0B6E">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139" w:type="dxa"/>
            <w:tcBorders>
              <w:top w:val="single" w:color="auto" w:sz="6" w:space="0"/>
              <w:left w:val="single" w:color="auto" w:sz="6" w:space="0"/>
              <w:bottom w:val="single" w:color="auto" w:sz="6" w:space="0"/>
              <w:right w:val="single" w:color="auto" w:sz="6" w:space="0"/>
            </w:tcBorders>
            <w:noWrap w:val="0"/>
            <w:vAlign w:val="top"/>
          </w:tcPr>
          <w:p w14:paraId="53A10984">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949" w:type="dxa"/>
            <w:tcBorders>
              <w:top w:val="single" w:color="auto" w:sz="6" w:space="0"/>
              <w:left w:val="single" w:color="auto" w:sz="6" w:space="0"/>
              <w:bottom w:val="single" w:color="auto" w:sz="6" w:space="0"/>
              <w:right w:val="single" w:color="auto" w:sz="6" w:space="0"/>
            </w:tcBorders>
            <w:noWrap w:val="0"/>
            <w:vAlign w:val="top"/>
          </w:tcPr>
          <w:p w14:paraId="61847932">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top"/>
          </w:tcPr>
          <w:p w14:paraId="2F6D237B">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759" w:type="dxa"/>
            <w:tcBorders>
              <w:top w:val="single" w:color="auto" w:sz="6" w:space="0"/>
              <w:left w:val="single" w:color="auto" w:sz="6" w:space="0"/>
              <w:bottom w:val="single" w:color="auto" w:sz="6" w:space="0"/>
              <w:right w:val="single" w:color="auto" w:sz="6" w:space="0"/>
            </w:tcBorders>
            <w:noWrap w:val="0"/>
            <w:vAlign w:val="top"/>
          </w:tcPr>
          <w:p w14:paraId="5E0D19A5">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709" w:type="dxa"/>
            <w:tcBorders>
              <w:top w:val="single" w:color="auto" w:sz="6" w:space="0"/>
              <w:left w:val="single" w:color="auto" w:sz="6" w:space="0"/>
              <w:bottom w:val="single" w:color="auto" w:sz="6" w:space="0"/>
              <w:right w:val="single" w:color="auto" w:sz="4" w:space="0"/>
            </w:tcBorders>
            <w:noWrap w:val="0"/>
            <w:vAlign w:val="top"/>
          </w:tcPr>
          <w:p w14:paraId="64E38579">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423" w:type="dxa"/>
            <w:tcBorders>
              <w:top w:val="single" w:color="auto" w:sz="6" w:space="0"/>
              <w:left w:val="single" w:color="auto" w:sz="6" w:space="0"/>
              <w:bottom w:val="single" w:color="auto" w:sz="6" w:space="0"/>
              <w:right w:val="single" w:color="auto" w:sz="4" w:space="0"/>
            </w:tcBorders>
            <w:noWrap w:val="0"/>
            <w:vAlign w:val="top"/>
          </w:tcPr>
          <w:p w14:paraId="3F6B705B">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r>
      <w:tr w14:paraId="2FB79612">
        <w:tblPrEx>
          <w:tblCellMar>
            <w:top w:w="0" w:type="dxa"/>
            <w:left w:w="108" w:type="dxa"/>
            <w:bottom w:w="0" w:type="dxa"/>
            <w:right w:w="108" w:type="dxa"/>
          </w:tblCellMar>
        </w:tblPrEx>
        <w:trPr>
          <w:trHeight w:val="490" w:hRule="atLeast"/>
          <w:jc w:val="center"/>
        </w:trPr>
        <w:tc>
          <w:tcPr>
            <w:tcW w:w="854" w:type="dxa"/>
            <w:tcBorders>
              <w:top w:val="single" w:color="auto" w:sz="6" w:space="0"/>
              <w:left w:val="single" w:color="auto" w:sz="6" w:space="0"/>
              <w:bottom w:val="single" w:color="auto" w:sz="6" w:space="0"/>
              <w:right w:val="single" w:color="auto" w:sz="6" w:space="0"/>
            </w:tcBorders>
            <w:noWrap w:val="0"/>
            <w:vAlign w:val="top"/>
          </w:tcPr>
          <w:p w14:paraId="62ADD97B">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505" w:type="dxa"/>
            <w:tcBorders>
              <w:top w:val="single" w:color="auto" w:sz="6" w:space="0"/>
              <w:left w:val="single" w:color="auto" w:sz="6" w:space="0"/>
              <w:bottom w:val="single" w:color="auto" w:sz="6" w:space="0"/>
              <w:right w:val="single" w:color="auto" w:sz="6" w:space="0"/>
            </w:tcBorders>
            <w:noWrap w:val="0"/>
            <w:vAlign w:val="top"/>
          </w:tcPr>
          <w:p w14:paraId="04FEB34B">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139" w:type="dxa"/>
            <w:tcBorders>
              <w:top w:val="single" w:color="auto" w:sz="6" w:space="0"/>
              <w:left w:val="single" w:color="auto" w:sz="6" w:space="0"/>
              <w:bottom w:val="single" w:color="auto" w:sz="6" w:space="0"/>
              <w:right w:val="single" w:color="auto" w:sz="6" w:space="0"/>
            </w:tcBorders>
            <w:noWrap w:val="0"/>
            <w:vAlign w:val="top"/>
          </w:tcPr>
          <w:p w14:paraId="68C4937A">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949" w:type="dxa"/>
            <w:tcBorders>
              <w:top w:val="single" w:color="auto" w:sz="6" w:space="0"/>
              <w:left w:val="single" w:color="auto" w:sz="6" w:space="0"/>
              <w:bottom w:val="single" w:color="auto" w:sz="6" w:space="0"/>
              <w:right w:val="single" w:color="auto" w:sz="6" w:space="0"/>
            </w:tcBorders>
            <w:noWrap w:val="0"/>
            <w:vAlign w:val="top"/>
          </w:tcPr>
          <w:p w14:paraId="459F3199">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top"/>
          </w:tcPr>
          <w:p w14:paraId="1AC4E6D2">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759" w:type="dxa"/>
            <w:tcBorders>
              <w:top w:val="single" w:color="auto" w:sz="6" w:space="0"/>
              <w:left w:val="single" w:color="auto" w:sz="6" w:space="0"/>
              <w:bottom w:val="single" w:color="auto" w:sz="6" w:space="0"/>
              <w:right w:val="single" w:color="auto" w:sz="6" w:space="0"/>
            </w:tcBorders>
            <w:noWrap w:val="0"/>
            <w:vAlign w:val="top"/>
          </w:tcPr>
          <w:p w14:paraId="4E40B1D2">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709" w:type="dxa"/>
            <w:tcBorders>
              <w:top w:val="single" w:color="auto" w:sz="6" w:space="0"/>
              <w:left w:val="single" w:color="auto" w:sz="6" w:space="0"/>
              <w:bottom w:val="single" w:color="auto" w:sz="6" w:space="0"/>
              <w:right w:val="single" w:color="auto" w:sz="4" w:space="0"/>
            </w:tcBorders>
            <w:noWrap w:val="0"/>
            <w:vAlign w:val="top"/>
          </w:tcPr>
          <w:p w14:paraId="650B1A71">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c>
          <w:tcPr>
            <w:tcW w:w="1423" w:type="dxa"/>
            <w:tcBorders>
              <w:top w:val="single" w:color="auto" w:sz="6" w:space="0"/>
              <w:left w:val="single" w:color="auto" w:sz="6" w:space="0"/>
              <w:bottom w:val="single" w:color="auto" w:sz="6" w:space="0"/>
              <w:right w:val="single" w:color="auto" w:sz="4" w:space="0"/>
            </w:tcBorders>
            <w:noWrap w:val="0"/>
            <w:vAlign w:val="top"/>
          </w:tcPr>
          <w:p w14:paraId="476EB6A7">
            <w:pPr>
              <w:spacing w:before="100" w:beforeAutospacing="1" w:after="100" w:afterAutospacing="1"/>
              <w:ind w:left="-90" w:firstLine="340"/>
              <w:jc w:val="left"/>
              <w:outlineLvl w:val="9"/>
              <w:rPr>
                <w:rFonts w:hint="eastAsia" w:ascii="宋体" w:hAnsi="宋体" w:eastAsia="宋体" w:cs="宋体"/>
                <w:color w:val="000000"/>
                <w:kern w:val="0"/>
                <w:sz w:val="24"/>
                <w:highlight w:val="none"/>
              </w:rPr>
            </w:pPr>
          </w:p>
        </w:tc>
      </w:tr>
    </w:tbl>
    <w:p w14:paraId="36B757B0">
      <w:pPr>
        <w:adjustRightInd w:val="0"/>
        <w:snapToGrid w:val="0"/>
        <w:spacing w:before="156" w:beforeLines="50" w:line="360" w:lineRule="auto"/>
        <w:ind w:firstLine="480" w:firstLineChars="200"/>
        <w:outlineLvl w:val="9"/>
        <w:rPr>
          <w:rFonts w:hint="eastAsia" w:ascii="宋体" w:hAnsi="宋体" w:eastAsia="宋体" w:cs="宋体"/>
          <w:color w:val="000000"/>
          <w:sz w:val="24"/>
          <w:highlight w:val="none"/>
        </w:rPr>
      </w:pPr>
    </w:p>
    <w:p w14:paraId="37779609">
      <w:pPr>
        <w:spacing w:line="360" w:lineRule="auto"/>
        <w:ind w:firstLine="4800" w:firstLineChars="2000"/>
        <w:outlineLvl w:val="9"/>
        <w:rPr>
          <w:rFonts w:hint="eastAsia" w:ascii="宋体" w:hAnsi="宋体" w:eastAsia="宋体" w:cs="宋体"/>
          <w:color w:val="000000"/>
          <w:sz w:val="24"/>
          <w:highlight w:val="none"/>
        </w:rPr>
      </w:pPr>
    </w:p>
    <w:p w14:paraId="122175A9">
      <w:pPr>
        <w:spacing w:line="360" w:lineRule="auto"/>
        <w:ind w:firstLine="4800" w:firstLineChars="2000"/>
        <w:outlineLvl w:val="9"/>
        <w:rPr>
          <w:rFonts w:hint="eastAsia" w:ascii="宋体" w:hAnsi="宋体" w:eastAsia="宋体" w:cs="宋体"/>
          <w:color w:val="000000"/>
          <w:sz w:val="24"/>
          <w:highlight w:val="none"/>
        </w:rPr>
      </w:pPr>
    </w:p>
    <w:p w14:paraId="194F2DF3">
      <w:pPr>
        <w:spacing w:line="360" w:lineRule="auto"/>
        <w:ind w:firstLine="4800" w:firstLineChars="2000"/>
        <w:outlineLvl w:val="9"/>
        <w:rPr>
          <w:rFonts w:hint="eastAsia" w:ascii="宋体" w:hAnsi="宋体" w:eastAsia="宋体" w:cs="宋体"/>
          <w:color w:val="000000"/>
          <w:sz w:val="24"/>
          <w:highlight w:val="none"/>
        </w:rPr>
      </w:pPr>
    </w:p>
    <w:p w14:paraId="5A61C2CF">
      <w:pPr>
        <w:spacing w:line="360" w:lineRule="auto"/>
        <w:jc w:val="right"/>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投标人：</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(盖单位章)</w:t>
      </w:r>
    </w:p>
    <w:p w14:paraId="4E450F8C">
      <w:pPr>
        <w:spacing w:line="360" w:lineRule="auto"/>
        <w:jc w:val="right"/>
        <w:outlineLvl w:val="9"/>
        <w:rPr>
          <w:rFonts w:hint="eastAsia" w:ascii="宋体" w:hAnsi="宋体" w:eastAsia="宋体" w:cs="宋体"/>
          <w:color w:val="000000"/>
          <w:sz w:val="24"/>
          <w:highlight w:val="none"/>
          <w:u w:val="single"/>
        </w:rPr>
      </w:pPr>
      <w:r>
        <w:rPr>
          <w:rFonts w:hint="eastAsia" w:ascii="宋体" w:hAnsi="宋体" w:eastAsia="宋体" w:cs="宋体"/>
          <w:color w:val="000000"/>
          <w:sz w:val="24"/>
          <w:highlight w:val="none"/>
        </w:rPr>
        <w:t>法定代表人或其委托代理人：</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(签字或盖章)</w:t>
      </w:r>
    </w:p>
    <w:p w14:paraId="35BCAE10">
      <w:pPr>
        <w:ind w:firstLine="4800" w:firstLineChars="2000"/>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       </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年</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月</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日</w:t>
      </w:r>
    </w:p>
    <w:p w14:paraId="643AC9B6">
      <w:pPr>
        <w:autoSpaceDE w:val="0"/>
        <w:autoSpaceDN w:val="0"/>
        <w:adjustRightInd w:val="0"/>
        <w:snapToGrid w:val="0"/>
        <w:spacing w:before="156" w:beforeLines="50" w:after="156" w:afterLines="50" w:line="300" w:lineRule="auto"/>
        <w:jc w:val="center"/>
        <w:outlineLvl w:val="9"/>
        <w:rPr>
          <w:rFonts w:hint="eastAsia" w:ascii="宋体" w:hAnsi="宋体" w:eastAsia="宋体" w:cs="宋体"/>
          <w:b/>
          <w:bCs/>
          <w:color w:val="000000"/>
          <w:szCs w:val="28"/>
          <w:highlight w:val="none"/>
        </w:rPr>
      </w:pPr>
      <w:r>
        <w:rPr>
          <w:rFonts w:hint="eastAsia" w:ascii="宋体" w:hAnsi="宋体" w:eastAsia="宋体" w:cs="宋体"/>
          <w:b/>
          <w:bCs/>
          <w:color w:val="000000"/>
          <w:szCs w:val="28"/>
          <w:highlight w:val="none"/>
        </w:rPr>
        <w:br w:type="page"/>
      </w:r>
      <w:bookmarkStart w:id="183" w:name="_Toc11286"/>
      <w:r>
        <w:rPr>
          <w:rFonts w:hint="eastAsia" w:ascii="宋体" w:hAnsi="宋体" w:eastAsia="宋体" w:cs="宋体"/>
          <w:b/>
          <w:bCs/>
          <w:color w:val="000000"/>
          <w:sz w:val="24"/>
          <w:highlight w:val="none"/>
        </w:rPr>
        <w:t>6.3  拟投入的主要人员履历表</w:t>
      </w:r>
      <w:bookmarkEnd w:id="183"/>
    </w:p>
    <w:tbl>
      <w:tblPr>
        <w:tblStyle w:val="15"/>
        <w:tblW w:w="0" w:type="auto"/>
        <w:tblInd w:w="0" w:type="dxa"/>
        <w:tblLayout w:type="fixed"/>
        <w:tblCellMar>
          <w:top w:w="0" w:type="dxa"/>
          <w:left w:w="108" w:type="dxa"/>
          <w:bottom w:w="0" w:type="dxa"/>
          <w:right w:w="108" w:type="dxa"/>
        </w:tblCellMar>
      </w:tblPr>
      <w:tblGrid>
        <w:gridCol w:w="1435"/>
        <w:gridCol w:w="1511"/>
        <w:gridCol w:w="755"/>
        <w:gridCol w:w="945"/>
        <w:gridCol w:w="377"/>
        <w:gridCol w:w="566"/>
        <w:gridCol w:w="566"/>
        <w:gridCol w:w="1323"/>
        <w:gridCol w:w="645"/>
        <w:gridCol w:w="143"/>
        <w:gridCol w:w="1289"/>
      </w:tblGrid>
      <w:tr w14:paraId="70BAEFE1">
        <w:tblPrEx>
          <w:tblCellMar>
            <w:top w:w="0" w:type="dxa"/>
            <w:left w:w="108" w:type="dxa"/>
            <w:bottom w:w="0" w:type="dxa"/>
            <w:right w:w="108" w:type="dxa"/>
          </w:tblCellMar>
        </w:tblPrEx>
        <w:trPr>
          <w:trHeight w:val="801" w:hRule="atLeast"/>
        </w:trPr>
        <w:tc>
          <w:tcPr>
            <w:tcW w:w="1435" w:type="dxa"/>
            <w:tcBorders>
              <w:top w:val="single" w:color="auto" w:sz="6" w:space="0"/>
              <w:left w:val="single" w:color="auto" w:sz="6" w:space="0"/>
              <w:bottom w:val="single" w:color="auto" w:sz="6" w:space="0"/>
              <w:right w:val="single" w:color="auto" w:sz="6" w:space="0"/>
            </w:tcBorders>
            <w:noWrap w:val="0"/>
            <w:vAlign w:val="center"/>
          </w:tcPr>
          <w:p w14:paraId="17B9D0DC">
            <w:pPr>
              <w:spacing w:before="100" w:beforeAutospacing="1" w:after="100" w:afterAutospacing="1"/>
              <w:ind w:right="-107" w:rightChars="-51"/>
              <w:jc w:val="center"/>
              <w:outlineLvl w:val="9"/>
              <w:rPr>
                <w:rFonts w:hint="eastAsia" w:ascii="宋体" w:hAnsi="宋体" w:eastAsia="宋体" w:cs="宋体"/>
                <w:bCs/>
                <w:color w:val="000000"/>
                <w:sz w:val="24"/>
                <w:highlight w:val="none"/>
              </w:rPr>
            </w:pPr>
            <w:r>
              <w:rPr>
                <w:rFonts w:hint="eastAsia" w:ascii="宋体" w:hAnsi="宋体" w:eastAsia="宋体" w:cs="宋体"/>
                <w:bCs/>
                <w:color w:val="000000"/>
                <w:kern w:val="0"/>
                <w:sz w:val="24"/>
                <w:highlight w:val="none"/>
              </w:rPr>
              <w:t>姓名</w:t>
            </w:r>
          </w:p>
        </w:tc>
        <w:tc>
          <w:tcPr>
            <w:tcW w:w="1511" w:type="dxa"/>
            <w:tcBorders>
              <w:top w:val="single" w:color="auto" w:sz="6" w:space="0"/>
              <w:left w:val="single" w:color="auto" w:sz="6" w:space="0"/>
              <w:bottom w:val="single" w:color="auto" w:sz="6" w:space="0"/>
              <w:right w:val="single" w:color="auto" w:sz="6" w:space="0"/>
            </w:tcBorders>
            <w:noWrap w:val="0"/>
            <w:vAlign w:val="center"/>
          </w:tcPr>
          <w:p w14:paraId="09781300">
            <w:pPr>
              <w:spacing w:before="100" w:beforeAutospacing="1" w:after="100" w:afterAutospacing="1"/>
              <w:ind w:left="-90" w:firstLine="340"/>
              <w:jc w:val="center"/>
              <w:outlineLvl w:val="9"/>
              <w:rPr>
                <w:rFonts w:hint="eastAsia" w:ascii="宋体" w:hAnsi="宋体" w:eastAsia="宋体" w:cs="宋体"/>
                <w:bCs/>
                <w:color w:val="000000"/>
                <w:sz w:val="24"/>
                <w:highlight w:val="none"/>
              </w:rPr>
            </w:pPr>
          </w:p>
        </w:tc>
        <w:tc>
          <w:tcPr>
            <w:tcW w:w="755" w:type="dxa"/>
            <w:tcBorders>
              <w:top w:val="single" w:color="auto" w:sz="6" w:space="0"/>
              <w:left w:val="single" w:color="auto" w:sz="6" w:space="0"/>
              <w:bottom w:val="single" w:color="auto" w:sz="6" w:space="0"/>
              <w:right w:val="single" w:color="auto" w:sz="6" w:space="0"/>
            </w:tcBorders>
            <w:noWrap w:val="0"/>
            <w:vAlign w:val="center"/>
          </w:tcPr>
          <w:p w14:paraId="7A84DE13">
            <w:pPr>
              <w:spacing w:before="100" w:beforeAutospacing="1" w:after="100" w:afterAutospacing="1"/>
              <w:ind w:left="-90" w:right="-107" w:rightChars="-51"/>
              <w:jc w:val="center"/>
              <w:outlineLvl w:val="9"/>
              <w:rPr>
                <w:rFonts w:hint="eastAsia" w:ascii="宋体" w:hAnsi="宋体" w:eastAsia="宋体" w:cs="宋体"/>
                <w:bCs/>
                <w:color w:val="000000"/>
                <w:sz w:val="24"/>
                <w:highlight w:val="none"/>
              </w:rPr>
            </w:pPr>
            <w:r>
              <w:rPr>
                <w:rFonts w:hint="eastAsia" w:ascii="宋体" w:hAnsi="宋体" w:eastAsia="宋体" w:cs="宋体"/>
                <w:bCs/>
                <w:color w:val="000000"/>
                <w:kern w:val="0"/>
                <w:sz w:val="24"/>
                <w:highlight w:val="none"/>
              </w:rPr>
              <w:t>性别</w:t>
            </w:r>
          </w:p>
        </w:tc>
        <w:tc>
          <w:tcPr>
            <w:tcW w:w="1322" w:type="dxa"/>
            <w:gridSpan w:val="2"/>
            <w:tcBorders>
              <w:top w:val="single" w:color="auto" w:sz="6" w:space="0"/>
              <w:left w:val="single" w:color="auto" w:sz="6" w:space="0"/>
              <w:bottom w:val="single" w:color="auto" w:sz="6" w:space="0"/>
              <w:right w:val="single" w:color="auto" w:sz="6" w:space="0"/>
            </w:tcBorders>
            <w:noWrap w:val="0"/>
            <w:vAlign w:val="center"/>
          </w:tcPr>
          <w:p w14:paraId="51917F93">
            <w:pPr>
              <w:spacing w:before="100" w:beforeAutospacing="1" w:after="100" w:afterAutospacing="1"/>
              <w:ind w:left="-90" w:firstLine="340"/>
              <w:jc w:val="center"/>
              <w:outlineLvl w:val="9"/>
              <w:rPr>
                <w:rFonts w:hint="eastAsia" w:ascii="宋体" w:hAnsi="宋体" w:eastAsia="宋体" w:cs="宋体"/>
                <w:bCs/>
                <w:color w:val="000000"/>
                <w:sz w:val="24"/>
                <w:highlight w:val="none"/>
              </w:rPr>
            </w:pPr>
          </w:p>
        </w:tc>
        <w:tc>
          <w:tcPr>
            <w:tcW w:w="566" w:type="dxa"/>
            <w:tcBorders>
              <w:top w:val="single" w:color="auto" w:sz="6" w:space="0"/>
              <w:left w:val="single" w:color="auto" w:sz="6" w:space="0"/>
              <w:bottom w:val="single" w:color="auto" w:sz="6" w:space="0"/>
              <w:right w:val="single" w:color="auto" w:sz="6" w:space="0"/>
            </w:tcBorders>
            <w:noWrap w:val="0"/>
            <w:vAlign w:val="center"/>
          </w:tcPr>
          <w:p w14:paraId="669E4487">
            <w:pPr>
              <w:spacing w:before="100" w:beforeAutospacing="1" w:after="100" w:afterAutospacing="1"/>
              <w:ind w:left="-90" w:right="-107" w:rightChars="-51"/>
              <w:jc w:val="center"/>
              <w:outlineLvl w:val="9"/>
              <w:rPr>
                <w:rFonts w:hint="eastAsia" w:ascii="宋体" w:hAnsi="宋体" w:eastAsia="宋体" w:cs="宋体"/>
                <w:bCs/>
                <w:color w:val="000000"/>
                <w:kern w:val="0"/>
                <w:sz w:val="24"/>
                <w:highlight w:val="none"/>
              </w:rPr>
            </w:pPr>
            <w:r>
              <w:rPr>
                <w:rFonts w:hint="eastAsia" w:ascii="宋体" w:hAnsi="宋体" w:eastAsia="宋体" w:cs="宋体"/>
                <w:bCs/>
                <w:color w:val="000000"/>
                <w:kern w:val="0"/>
                <w:sz w:val="24"/>
                <w:highlight w:val="none"/>
              </w:rPr>
              <w:t>出生年月</w:t>
            </w:r>
          </w:p>
        </w:tc>
        <w:tc>
          <w:tcPr>
            <w:tcW w:w="1889" w:type="dxa"/>
            <w:gridSpan w:val="2"/>
            <w:tcBorders>
              <w:top w:val="single" w:color="auto" w:sz="6" w:space="0"/>
              <w:left w:val="single" w:color="auto" w:sz="6" w:space="0"/>
              <w:bottom w:val="single" w:color="auto" w:sz="6" w:space="0"/>
              <w:right w:val="single" w:color="auto" w:sz="6" w:space="0"/>
            </w:tcBorders>
            <w:noWrap w:val="0"/>
            <w:vAlign w:val="center"/>
          </w:tcPr>
          <w:p w14:paraId="31C9B73A">
            <w:pPr>
              <w:spacing w:before="100" w:beforeAutospacing="1" w:after="100" w:afterAutospacing="1"/>
              <w:ind w:left="-90" w:firstLine="340"/>
              <w:jc w:val="center"/>
              <w:outlineLvl w:val="9"/>
              <w:rPr>
                <w:rFonts w:hint="eastAsia" w:ascii="宋体" w:hAnsi="宋体" w:eastAsia="宋体" w:cs="宋体"/>
                <w:bCs/>
                <w:color w:val="000000"/>
                <w:kern w:val="0"/>
                <w:sz w:val="24"/>
                <w:highlight w:val="none"/>
              </w:rPr>
            </w:pPr>
          </w:p>
        </w:tc>
        <w:tc>
          <w:tcPr>
            <w:tcW w:w="645" w:type="dxa"/>
            <w:tcBorders>
              <w:top w:val="single" w:color="auto" w:sz="6" w:space="0"/>
              <w:left w:val="single" w:color="auto" w:sz="6" w:space="0"/>
              <w:bottom w:val="single" w:color="auto" w:sz="6" w:space="0"/>
              <w:right w:val="single" w:color="auto" w:sz="6" w:space="0"/>
            </w:tcBorders>
            <w:noWrap w:val="0"/>
            <w:vAlign w:val="center"/>
          </w:tcPr>
          <w:p w14:paraId="7D78F762">
            <w:pPr>
              <w:spacing w:before="100" w:beforeAutospacing="1" w:after="100" w:afterAutospacing="1"/>
              <w:ind w:left="-90" w:right="-107" w:rightChars="-51"/>
              <w:jc w:val="center"/>
              <w:outlineLvl w:val="9"/>
              <w:rPr>
                <w:rFonts w:hint="eastAsia" w:ascii="宋体" w:hAnsi="宋体" w:eastAsia="宋体" w:cs="宋体"/>
                <w:bCs/>
                <w:color w:val="000000"/>
                <w:kern w:val="0"/>
                <w:sz w:val="24"/>
                <w:highlight w:val="none"/>
              </w:rPr>
            </w:pPr>
            <w:r>
              <w:rPr>
                <w:rFonts w:hint="eastAsia" w:ascii="宋体" w:hAnsi="宋体" w:eastAsia="宋体" w:cs="宋体"/>
                <w:bCs/>
                <w:color w:val="000000"/>
                <w:kern w:val="0"/>
                <w:sz w:val="24"/>
                <w:highlight w:val="none"/>
              </w:rPr>
              <w:t>文化程度</w:t>
            </w:r>
          </w:p>
        </w:tc>
        <w:tc>
          <w:tcPr>
            <w:tcW w:w="1432" w:type="dxa"/>
            <w:gridSpan w:val="2"/>
            <w:tcBorders>
              <w:top w:val="single" w:color="auto" w:sz="6" w:space="0"/>
              <w:left w:val="single" w:color="auto" w:sz="6" w:space="0"/>
              <w:bottom w:val="single" w:color="auto" w:sz="6" w:space="0"/>
              <w:right w:val="single" w:color="auto" w:sz="6" w:space="0"/>
            </w:tcBorders>
            <w:noWrap w:val="0"/>
            <w:vAlign w:val="center"/>
          </w:tcPr>
          <w:p w14:paraId="6AB282F3">
            <w:pPr>
              <w:spacing w:before="100" w:beforeAutospacing="1" w:after="100" w:afterAutospacing="1"/>
              <w:ind w:left="-90" w:right="372" w:rightChars="177" w:firstLine="340"/>
              <w:jc w:val="center"/>
              <w:outlineLvl w:val="9"/>
              <w:rPr>
                <w:rFonts w:hint="eastAsia" w:ascii="宋体" w:hAnsi="宋体" w:eastAsia="宋体" w:cs="宋体"/>
                <w:bCs/>
                <w:color w:val="000000"/>
                <w:kern w:val="0"/>
                <w:sz w:val="24"/>
                <w:highlight w:val="none"/>
              </w:rPr>
            </w:pPr>
          </w:p>
        </w:tc>
      </w:tr>
      <w:tr w14:paraId="7E733187">
        <w:tblPrEx>
          <w:tblCellMar>
            <w:top w:w="0" w:type="dxa"/>
            <w:left w:w="108" w:type="dxa"/>
            <w:bottom w:w="0" w:type="dxa"/>
            <w:right w:w="108" w:type="dxa"/>
          </w:tblCellMar>
        </w:tblPrEx>
        <w:trPr>
          <w:trHeight w:val="706" w:hRule="atLeast"/>
        </w:trPr>
        <w:tc>
          <w:tcPr>
            <w:tcW w:w="1435" w:type="dxa"/>
            <w:tcBorders>
              <w:top w:val="single" w:color="auto" w:sz="6" w:space="0"/>
              <w:left w:val="single" w:color="auto" w:sz="6" w:space="0"/>
              <w:bottom w:val="single" w:color="auto" w:sz="6" w:space="0"/>
              <w:right w:val="single" w:color="auto" w:sz="6" w:space="0"/>
            </w:tcBorders>
            <w:noWrap w:val="0"/>
            <w:vAlign w:val="center"/>
          </w:tcPr>
          <w:p w14:paraId="62EB0580">
            <w:pPr>
              <w:spacing w:before="100" w:beforeAutospacing="1" w:after="100" w:afterAutospacing="1"/>
              <w:ind w:left="-90" w:right="-107" w:rightChars="-51"/>
              <w:jc w:val="center"/>
              <w:outlineLvl w:val="9"/>
              <w:rPr>
                <w:rFonts w:hint="eastAsia" w:ascii="宋体" w:hAnsi="宋体" w:eastAsia="宋体" w:cs="宋体"/>
                <w:bCs/>
                <w:color w:val="000000"/>
                <w:sz w:val="24"/>
                <w:highlight w:val="none"/>
              </w:rPr>
            </w:pPr>
            <w:r>
              <w:rPr>
                <w:rFonts w:hint="eastAsia" w:ascii="宋体" w:hAnsi="宋体" w:eastAsia="宋体" w:cs="宋体"/>
                <w:bCs/>
                <w:color w:val="000000"/>
                <w:kern w:val="0"/>
                <w:sz w:val="24"/>
                <w:highlight w:val="none"/>
              </w:rPr>
              <w:t>毕业院校</w:t>
            </w:r>
          </w:p>
        </w:tc>
        <w:tc>
          <w:tcPr>
            <w:tcW w:w="1511" w:type="dxa"/>
            <w:tcBorders>
              <w:top w:val="single" w:color="auto" w:sz="6" w:space="0"/>
              <w:left w:val="single" w:color="auto" w:sz="6" w:space="0"/>
              <w:bottom w:val="single" w:color="auto" w:sz="6" w:space="0"/>
              <w:right w:val="single" w:color="auto" w:sz="6" w:space="0"/>
            </w:tcBorders>
            <w:noWrap w:val="0"/>
            <w:vAlign w:val="center"/>
          </w:tcPr>
          <w:p w14:paraId="59E0C12A">
            <w:pPr>
              <w:spacing w:before="100" w:beforeAutospacing="1" w:after="100" w:afterAutospacing="1"/>
              <w:ind w:left="-90" w:firstLine="340"/>
              <w:jc w:val="center"/>
              <w:outlineLvl w:val="9"/>
              <w:rPr>
                <w:rFonts w:hint="eastAsia" w:ascii="宋体" w:hAnsi="宋体" w:eastAsia="宋体" w:cs="宋体"/>
                <w:bCs/>
                <w:color w:val="000000"/>
                <w:sz w:val="24"/>
                <w:highlight w:val="none"/>
              </w:rPr>
            </w:pPr>
          </w:p>
        </w:tc>
        <w:tc>
          <w:tcPr>
            <w:tcW w:w="755" w:type="dxa"/>
            <w:tcBorders>
              <w:top w:val="single" w:color="auto" w:sz="6" w:space="0"/>
              <w:left w:val="single" w:color="auto" w:sz="6" w:space="0"/>
              <w:bottom w:val="single" w:color="auto" w:sz="6" w:space="0"/>
              <w:right w:val="single" w:color="auto" w:sz="6" w:space="0"/>
            </w:tcBorders>
            <w:noWrap w:val="0"/>
            <w:vAlign w:val="center"/>
          </w:tcPr>
          <w:p w14:paraId="29550096">
            <w:pPr>
              <w:spacing w:before="100" w:beforeAutospacing="1" w:after="100" w:afterAutospacing="1"/>
              <w:ind w:left="-90"/>
              <w:jc w:val="center"/>
              <w:outlineLvl w:val="9"/>
              <w:rPr>
                <w:rFonts w:hint="eastAsia" w:ascii="宋体" w:hAnsi="宋体" w:eastAsia="宋体" w:cs="宋体"/>
                <w:bCs/>
                <w:color w:val="000000"/>
                <w:sz w:val="24"/>
                <w:highlight w:val="none"/>
              </w:rPr>
            </w:pPr>
            <w:r>
              <w:rPr>
                <w:rFonts w:hint="eastAsia" w:ascii="宋体" w:hAnsi="宋体" w:eastAsia="宋体" w:cs="宋体"/>
                <w:bCs/>
                <w:color w:val="000000"/>
                <w:kern w:val="0"/>
                <w:sz w:val="24"/>
                <w:highlight w:val="none"/>
              </w:rPr>
              <w:t>专业</w:t>
            </w:r>
          </w:p>
        </w:tc>
        <w:tc>
          <w:tcPr>
            <w:tcW w:w="1888" w:type="dxa"/>
            <w:gridSpan w:val="3"/>
            <w:tcBorders>
              <w:top w:val="single" w:color="auto" w:sz="6" w:space="0"/>
              <w:left w:val="single" w:color="auto" w:sz="6" w:space="0"/>
              <w:bottom w:val="single" w:color="auto" w:sz="6" w:space="0"/>
              <w:right w:val="single" w:color="auto" w:sz="6" w:space="0"/>
            </w:tcBorders>
            <w:noWrap w:val="0"/>
            <w:vAlign w:val="center"/>
          </w:tcPr>
          <w:p w14:paraId="4AB72152">
            <w:pPr>
              <w:spacing w:before="100" w:beforeAutospacing="1" w:after="100" w:afterAutospacing="1"/>
              <w:ind w:left="-90"/>
              <w:jc w:val="center"/>
              <w:outlineLvl w:val="9"/>
              <w:rPr>
                <w:rFonts w:hint="eastAsia" w:ascii="宋体" w:hAnsi="宋体" w:eastAsia="宋体" w:cs="宋体"/>
                <w:bCs/>
                <w:color w:val="000000"/>
                <w:kern w:val="0"/>
                <w:sz w:val="24"/>
                <w:highlight w:val="none"/>
              </w:rPr>
            </w:pPr>
          </w:p>
        </w:tc>
        <w:tc>
          <w:tcPr>
            <w:tcW w:w="566" w:type="dxa"/>
            <w:tcBorders>
              <w:top w:val="single" w:color="auto" w:sz="6" w:space="0"/>
              <w:left w:val="single" w:color="auto" w:sz="6" w:space="0"/>
              <w:bottom w:val="single" w:color="auto" w:sz="6" w:space="0"/>
              <w:right w:val="single" w:color="auto" w:sz="6" w:space="0"/>
            </w:tcBorders>
            <w:noWrap w:val="0"/>
            <w:vAlign w:val="center"/>
          </w:tcPr>
          <w:p w14:paraId="00C2F615">
            <w:pPr>
              <w:snapToGrid w:val="0"/>
              <w:spacing w:before="100" w:beforeAutospacing="1" w:after="100" w:afterAutospacing="1" w:line="240" w:lineRule="atLeast"/>
              <w:ind w:left="-91" w:right="-107" w:rightChars="-51"/>
              <w:jc w:val="center"/>
              <w:outlineLvl w:val="9"/>
              <w:rPr>
                <w:rFonts w:hint="eastAsia" w:ascii="宋体" w:hAnsi="宋体" w:eastAsia="宋体" w:cs="宋体"/>
                <w:bCs/>
                <w:color w:val="000000"/>
                <w:kern w:val="0"/>
                <w:sz w:val="24"/>
                <w:highlight w:val="none"/>
              </w:rPr>
            </w:pPr>
            <w:r>
              <w:rPr>
                <w:rFonts w:hint="eastAsia" w:ascii="宋体" w:hAnsi="宋体" w:eastAsia="宋体" w:cs="宋体"/>
                <w:bCs/>
                <w:color w:val="000000"/>
                <w:kern w:val="0"/>
                <w:sz w:val="24"/>
                <w:highlight w:val="none"/>
              </w:rPr>
              <w:t>毕业时间</w:t>
            </w:r>
          </w:p>
        </w:tc>
        <w:tc>
          <w:tcPr>
            <w:tcW w:w="1323" w:type="dxa"/>
            <w:tcBorders>
              <w:top w:val="single" w:color="auto" w:sz="6" w:space="0"/>
              <w:left w:val="single" w:color="auto" w:sz="6" w:space="0"/>
              <w:bottom w:val="single" w:color="auto" w:sz="6" w:space="0"/>
              <w:right w:val="single" w:color="auto" w:sz="6" w:space="0"/>
            </w:tcBorders>
            <w:noWrap w:val="0"/>
            <w:vAlign w:val="center"/>
          </w:tcPr>
          <w:p w14:paraId="0A55BBAA">
            <w:pPr>
              <w:spacing w:before="100" w:beforeAutospacing="1" w:after="100" w:afterAutospacing="1"/>
              <w:ind w:left="-90"/>
              <w:jc w:val="center"/>
              <w:outlineLvl w:val="9"/>
              <w:rPr>
                <w:rFonts w:hint="eastAsia" w:ascii="宋体" w:hAnsi="宋体" w:eastAsia="宋体" w:cs="宋体"/>
                <w:bCs/>
                <w:color w:val="000000"/>
                <w:kern w:val="0"/>
                <w:sz w:val="24"/>
                <w:highlight w:val="none"/>
              </w:rPr>
            </w:pPr>
          </w:p>
        </w:tc>
        <w:tc>
          <w:tcPr>
            <w:tcW w:w="645" w:type="dxa"/>
            <w:tcBorders>
              <w:top w:val="single" w:color="auto" w:sz="6" w:space="0"/>
              <w:left w:val="single" w:color="auto" w:sz="6" w:space="0"/>
              <w:bottom w:val="single" w:color="auto" w:sz="6" w:space="0"/>
              <w:right w:val="single" w:color="auto" w:sz="6" w:space="0"/>
            </w:tcBorders>
            <w:noWrap w:val="0"/>
            <w:vAlign w:val="center"/>
          </w:tcPr>
          <w:p w14:paraId="4A4FB094">
            <w:pPr>
              <w:spacing w:before="100" w:beforeAutospacing="1" w:after="100" w:afterAutospacing="1"/>
              <w:ind w:left="-90" w:right="-107" w:rightChars="-51"/>
              <w:jc w:val="center"/>
              <w:outlineLvl w:val="9"/>
              <w:rPr>
                <w:rFonts w:hint="eastAsia" w:ascii="宋体" w:hAnsi="宋体" w:eastAsia="宋体" w:cs="宋体"/>
                <w:bCs/>
                <w:color w:val="000000"/>
                <w:kern w:val="0"/>
                <w:sz w:val="24"/>
                <w:highlight w:val="none"/>
              </w:rPr>
            </w:pPr>
            <w:r>
              <w:rPr>
                <w:rFonts w:hint="eastAsia" w:ascii="宋体" w:hAnsi="宋体" w:eastAsia="宋体" w:cs="宋体"/>
                <w:bCs/>
                <w:color w:val="000000"/>
                <w:kern w:val="0"/>
                <w:sz w:val="24"/>
                <w:highlight w:val="none"/>
              </w:rPr>
              <w:t>技术职称</w:t>
            </w:r>
          </w:p>
        </w:tc>
        <w:tc>
          <w:tcPr>
            <w:tcW w:w="1432" w:type="dxa"/>
            <w:gridSpan w:val="2"/>
            <w:tcBorders>
              <w:top w:val="single" w:color="auto" w:sz="6" w:space="0"/>
              <w:left w:val="single" w:color="auto" w:sz="6" w:space="0"/>
              <w:bottom w:val="single" w:color="auto" w:sz="6" w:space="0"/>
              <w:right w:val="single" w:color="auto" w:sz="6" w:space="0"/>
            </w:tcBorders>
            <w:noWrap w:val="0"/>
            <w:vAlign w:val="center"/>
          </w:tcPr>
          <w:p w14:paraId="69679E5C">
            <w:pPr>
              <w:spacing w:before="100" w:beforeAutospacing="1" w:after="100" w:afterAutospacing="1"/>
              <w:ind w:left="-90"/>
              <w:jc w:val="center"/>
              <w:outlineLvl w:val="9"/>
              <w:rPr>
                <w:rFonts w:hint="eastAsia" w:ascii="宋体" w:hAnsi="宋体" w:eastAsia="宋体" w:cs="宋体"/>
                <w:bCs/>
                <w:color w:val="000000"/>
                <w:kern w:val="0"/>
                <w:sz w:val="24"/>
                <w:highlight w:val="none"/>
              </w:rPr>
            </w:pPr>
          </w:p>
        </w:tc>
      </w:tr>
      <w:tr w14:paraId="303337DD">
        <w:tblPrEx>
          <w:tblCellMar>
            <w:top w:w="0" w:type="dxa"/>
            <w:left w:w="108" w:type="dxa"/>
            <w:bottom w:w="0" w:type="dxa"/>
            <w:right w:w="108" w:type="dxa"/>
          </w:tblCellMar>
        </w:tblPrEx>
        <w:trPr>
          <w:trHeight w:val="778" w:hRule="atLeast"/>
        </w:trPr>
        <w:tc>
          <w:tcPr>
            <w:tcW w:w="1435" w:type="dxa"/>
            <w:tcBorders>
              <w:top w:val="single" w:color="auto" w:sz="6" w:space="0"/>
              <w:left w:val="single" w:color="auto" w:sz="6" w:space="0"/>
              <w:bottom w:val="single" w:color="auto" w:sz="6" w:space="0"/>
              <w:right w:val="single" w:color="auto" w:sz="6" w:space="0"/>
            </w:tcBorders>
            <w:noWrap w:val="0"/>
            <w:vAlign w:val="center"/>
          </w:tcPr>
          <w:p w14:paraId="187AE116">
            <w:pPr>
              <w:spacing w:before="100" w:beforeAutospacing="1" w:after="100" w:afterAutospacing="1"/>
              <w:ind w:left="-90" w:right="-107" w:rightChars="-51"/>
              <w:jc w:val="center"/>
              <w:outlineLvl w:val="9"/>
              <w:rPr>
                <w:rFonts w:hint="eastAsia" w:ascii="宋体" w:hAnsi="宋体" w:eastAsia="宋体" w:cs="宋体"/>
                <w:bCs/>
                <w:color w:val="000000"/>
                <w:sz w:val="24"/>
                <w:highlight w:val="none"/>
              </w:rPr>
            </w:pPr>
            <w:r>
              <w:rPr>
                <w:rFonts w:hint="eastAsia" w:ascii="宋体" w:hAnsi="宋体" w:eastAsia="宋体" w:cs="宋体"/>
                <w:bCs/>
                <w:color w:val="000000"/>
                <w:kern w:val="0"/>
                <w:sz w:val="24"/>
                <w:highlight w:val="none"/>
              </w:rPr>
              <w:t>拟在本项目担任的职务</w:t>
            </w:r>
          </w:p>
        </w:tc>
        <w:tc>
          <w:tcPr>
            <w:tcW w:w="1511" w:type="dxa"/>
            <w:tcBorders>
              <w:top w:val="single" w:color="auto" w:sz="6" w:space="0"/>
              <w:left w:val="single" w:color="auto" w:sz="6" w:space="0"/>
              <w:bottom w:val="single" w:color="auto" w:sz="6" w:space="0"/>
              <w:right w:val="single" w:color="auto" w:sz="6" w:space="0"/>
            </w:tcBorders>
            <w:noWrap w:val="0"/>
            <w:vAlign w:val="center"/>
          </w:tcPr>
          <w:p w14:paraId="70A214E7">
            <w:pPr>
              <w:spacing w:before="100" w:beforeAutospacing="1" w:after="100" w:afterAutospacing="1"/>
              <w:ind w:left="-90" w:firstLine="340"/>
              <w:jc w:val="center"/>
              <w:outlineLvl w:val="9"/>
              <w:rPr>
                <w:rFonts w:hint="eastAsia" w:ascii="宋体" w:hAnsi="宋体" w:eastAsia="宋体" w:cs="宋体"/>
                <w:bCs/>
                <w:color w:val="000000"/>
                <w:sz w:val="24"/>
                <w:highlight w:val="none"/>
              </w:rPr>
            </w:pPr>
          </w:p>
        </w:tc>
        <w:tc>
          <w:tcPr>
            <w:tcW w:w="1700" w:type="dxa"/>
            <w:gridSpan w:val="2"/>
            <w:tcBorders>
              <w:top w:val="single" w:color="auto" w:sz="6" w:space="0"/>
              <w:left w:val="single" w:color="auto" w:sz="6" w:space="0"/>
              <w:bottom w:val="single" w:color="auto" w:sz="6" w:space="0"/>
              <w:right w:val="single" w:color="auto" w:sz="6" w:space="0"/>
            </w:tcBorders>
            <w:noWrap w:val="0"/>
            <w:vAlign w:val="center"/>
          </w:tcPr>
          <w:p w14:paraId="6FA59D2A">
            <w:pPr>
              <w:spacing w:before="100" w:beforeAutospacing="1" w:after="100" w:afterAutospacing="1"/>
              <w:ind w:left="-90" w:right="-107" w:rightChars="-51"/>
              <w:jc w:val="center"/>
              <w:outlineLvl w:val="9"/>
              <w:rPr>
                <w:rFonts w:hint="eastAsia" w:ascii="宋体" w:hAnsi="宋体" w:eastAsia="宋体" w:cs="宋体"/>
                <w:bCs/>
                <w:color w:val="000000"/>
                <w:sz w:val="24"/>
                <w:highlight w:val="none"/>
              </w:rPr>
            </w:pPr>
            <w:r>
              <w:rPr>
                <w:rFonts w:hint="eastAsia" w:ascii="宋体" w:hAnsi="宋体" w:eastAsia="宋体" w:cs="宋体"/>
                <w:bCs/>
                <w:color w:val="000000"/>
                <w:kern w:val="0"/>
                <w:sz w:val="24"/>
                <w:highlight w:val="none"/>
              </w:rPr>
              <w:t>从事勘察设计工作年限</w:t>
            </w:r>
          </w:p>
        </w:tc>
        <w:tc>
          <w:tcPr>
            <w:tcW w:w="943" w:type="dxa"/>
            <w:gridSpan w:val="2"/>
            <w:tcBorders>
              <w:top w:val="single" w:color="auto" w:sz="6" w:space="0"/>
              <w:left w:val="single" w:color="auto" w:sz="6" w:space="0"/>
              <w:bottom w:val="single" w:color="auto" w:sz="6" w:space="0"/>
              <w:right w:val="single" w:color="auto" w:sz="6" w:space="0"/>
            </w:tcBorders>
            <w:noWrap w:val="0"/>
            <w:vAlign w:val="center"/>
          </w:tcPr>
          <w:p w14:paraId="2E538F38">
            <w:pPr>
              <w:spacing w:before="100" w:beforeAutospacing="1" w:after="100" w:afterAutospacing="1"/>
              <w:ind w:left="-90"/>
              <w:jc w:val="center"/>
              <w:outlineLvl w:val="9"/>
              <w:rPr>
                <w:rFonts w:hint="eastAsia" w:ascii="宋体" w:hAnsi="宋体" w:eastAsia="宋体" w:cs="宋体"/>
                <w:bCs/>
                <w:color w:val="000000"/>
                <w:kern w:val="0"/>
                <w:sz w:val="24"/>
                <w:highlight w:val="none"/>
              </w:rPr>
            </w:pPr>
          </w:p>
        </w:tc>
        <w:tc>
          <w:tcPr>
            <w:tcW w:w="566" w:type="dxa"/>
            <w:tcBorders>
              <w:top w:val="single" w:color="auto" w:sz="6" w:space="0"/>
              <w:left w:val="single" w:color="auto" w:sz="6" w:space="0"/>
              <w:bottom w:val="single" w:color="auto" w:sz="6" w:space="0"/>
              <w:right w:val="single" w:color="auto" w:sz="6" w:space="0"/>
            </w:tcBorders>
            <w:noWrap w:val="0"/>
            <w:vAlign w:val="center"/>
          </w:tcPr>
          <w:p w14:paraId="25EECB31">
            <w:pPr>
              <w:spacing w:before="100" w:beforeAutospacing="1" w:after="100" w:afterAutospacing="1"/>
              <w:ind w:left="-90" w:right="-107" w:rightChars="-51"/>
              <w:jc w:val="center"/>
              <w:outlineLvl w:val="9"/>
              <w:rPr>
                <w:rFonts w:hint="eastAsia" w:ascii="宋体" w:hAnsi="宋体" w:eastAsia="宋体" w:cs="宋体"/>
                <w:bCs/>
                <w:color w:val="000000"/>
                <w:kern w:val="0"/>
                <w:sz w:val="24"/>
                <w:highlight w:val="none"/>
              </w:rPr>
            </w:pPr>
            <w:r>
              <w:rPr>
                <w:rFonts w:hint="eastAsia" w:ascii="宋体" w:hAnsi="宋体" w:eastAsia="宋体" w:cs="宋体"/>
                <w:bCs/>
                <w:color w:val="000000"/>
                <w:kern w:val="0"/>
                <w:sz w:val="24"/>
                <w:highlight w:val="none"/>
              </w:rPr>
              <w:t>现任职务</w:t>
            </w:r>
          </w:p>
        </w:tc>
        <w:tc>
          <w:tcPr>
            <w:tcW w:w="3400" w:type="dxa"/>
            <w:gridSpan w:val="4"/>
            <w:tcBorders>
              <w:top w:val="single" w:color="auto" w:sz="6" w:space="0"/>
              <w:left w:val="single" w:color="auto" w:sz="6" w:space="0"/>
              <w:bottom w:val="single" w:color="auto" w:sz="6" w:space="0"/>
              <w:right w:val="single" w:color="auto" w:sz="6" w:space="0"/>
            </w:tcBorders>
            <w:noWrap w:val="0"/>
            <w:vAlign w:val="center"/>
          </w:tcPr>
          <w:p w14:paraId="7EDCC565">
            <w:pPr>
              <w:spacing w:before="100" w:beforeAutospacing="1" w:after="100" w:afterAutospacing="1"/>
              <w:ind w:left="-90"/>
              <w:jc w:val="center"/>
              <w:outlineLvl w:val="9"/>
              <w:rPr>
                <w:rFonts w:hint="eastAsia" w:ascii="宋体" w:hAnsi="宋体" w:eastAsia="宋体" w:cs="宋体"/>
                <w:bCs/>
                <w:color w:val="000000"/>
                <w:kern w:val="0"/>
                <w:sz w:val="24"/>
                <w:highlight w:val="none"/>
              </w:rPr>
            </w:pPr>
          </w:p>
        </w:tc>
      </w:tr>
      <w:tr w14:paraId="4A4B58B3">
        <w:tblPrEx>
          <w:tblCellMar>
            <w:top w:w="0" w:type="dxa"/>
            <w:left w:w="108" w:type="dxa"/>
            <w:bottom w:w="0" w:type="dxa"/>
            <w:right w:w="108" w:type="dxa"/>
          </w:tblCellMar>
        </w:tblPrEx>
        <w:trPr>
          <w:trHeight w:val="778" w:hRule="atLeast"/>
        </w:trPr>
        <w:tc>
          <w:tcPr>
            <w:tcW w:w="9555" w:type="dxa"/>
            <w:gridSpan w:val="11"/>
            <w:tcBorders>
              <w:top w:val="single" w:color="auto" w:sz="6" w:space="0"/>
              <w:left w:val="single" w:color="auto" w:sz="6" w:space="0"/>
              <w:bottom w:val="single" w:color="auto" w:sz="6" w:space="0"/>
              <w:right w:val="single" w:color="auto" w:sz="6" w:space="0"/>
            </w:tcBorders>
            <w:noWrap w:val="0"/>
            <w:vAlign w:val="center"/>
          </w:tcPr>
          <w:p w14:paraId="7F5C9252">
            <w:pPr>
              <w:spacing w:before="100" w:beforeAutospacing="1" w:after="100" w:afterAutospacing="1"/>
              <w:ind w:left="-90" w:firstLine="340"/>
              <w:jc w:val="center"/>
              <w:outlineLvl w:val="9"/>
              <w:rPr>
                <w:rFonts w:hint="eastAsia" w:ascii="宋体" w:hAnsi="宋体" w:eastAsia="宋体" w:cs="宋体"/>
                <w:bCs/>
                <w:color w:val="000000"/>
                <w:sz w:val="24"/>
                <w:highlight w:val="none"/>
              </w:rPr>
            </w:pPr>
            <w:r>
              <w:rPr>
                <w:rFonts w:hint="eastAsia" w:ascii="宋体" w:hAnsi="宋体" w:eastAsia="宋体" w:cs="宋体"/>
                <w:bCs/>
                <w:color w:val="000000"/>
                <w:kern w:val="0"/>
                <w:sz w:val="24"/>
                <w:highlight w:val="none"/>
              </w:rPr>
              <w:t>勘察设计工作</w:t>
            </w:r>
            <w:r>
              <w:rPr>
                <w:rFonts w:hint="eastAsia" w:ascii="宋体" w:hAnsi="宋体" w:eastAsia="宋体" w:cs="宋体"/>
                <w:bCs/>
                <w:color w:val="000000"/>
                <w:sz w:val="24"/>
                <w:highlight w:val="none"/>
              </w:rPr>
              <w:t>经历</w:t>
            </w:r>
          </w:p>
        </w:tc>
      </w:tr>
      <w:tr w14:paraId="61B739C0">
        <w:tblPrEx>
          <w:tblCellMar>
            <w:top w:w="0" w:type="dxa"/>
            <w:left w:w="108" w:type="dxa"/>
            <w:bottom w:w="0" w:type="dxa"/>
            <w:right w:w="108" w:type="dxa"/>
          </w:tblCellMar>
        </w:tblPrEx>
        <w:trPr>
          <w:trHeight w:val="778" w:hRule="atLeast"/>
        </w:trPr>
        <w:tc>
          <w:tcPr>
            <w:tcW w:w="1435" w:type="dxa"/>
            <w:tcBorders>
              <w:top w:val="single" w:color="auto" w:sz="6" w:space="0"/>
              <w:left w:val="single" w:color="auto" w:sz="6" w:space="0"/>
              <w:bottom w:val="single" w:color="auto" w:sz="6" w:space="0"/>
              <w:right w:val="single" w:color="auto" w:sz="6" w:space="0"/>
            </w:tcBorders>
            <w:noWrap w:val="0"/>
            <w:vAlign w:val="center"/>
          </w:tcPr>
          <w:p w14:paraId="017D384C">
            <w:pPr>
              <w:spacing w:before="100" w:beforeAutospacing="1" w:after="100" w:afterAutospacing="1"/>
              <w:ind w:left="-90"/>
              <w:jc w:val="center"/>
              <w:outlineLvl w:val="9"/>
              <w:rPr>
                <w:rFonts w:hint="eastAsia" w:ascii="宋体" w:hAnsi="宋体" w:eastAsia="宋体" w:cs="宋体"/>
                <w:bCs/>
                <w:color w:val="000000"/>
                <w:kern w:val="0"/>
                <w:sz w:val="24"/>
                <w:highlight w:val="none"/>
              </w:rPr>
            </w:pPr>
            <w:r>
              <w:rPr>
                <w:rFonts w:hint="eastAsia" w:ascii="宋体" w:hAnsi="宋体" w:eastAsia="宋体" w:cs="宋体"/>
                <w:bCs/>
                <w:color w:val="000000"/>
                <w:kern w:val="0"/>
                <w:sz w:val="24"/>
                <w:highlight w:val="none"/>
              </w:rPr>
              <w:t>起止年月</w:t>
            </w:r>
          </w:p>
        </w:tc>
        <w:tc>
          <w:tcPr>
            <w:tcW w:w="3211" w:type="dxa"/>
            <w:gridSpan w:val="3"/>
            <w:tcBorders>
              <w:top w:val="single" w:color="auto" w:sz="6" w:space="0"/>
              <w:left w:val="single" w:color="auto" w:sz="6" w:space="0"/>
              <w:bottom w:val="single" w:color="auto" w:sz="6" w:space="0"/>
              <w:right w:val="single" w:color="auto" w:sz="6" w:space="0"/>
            </w:tcBorders>
            <w:noWrap w:val="0"/>
            <w:vAlign w:val="center"/>
          </w:tcPr>
          <w:p w14:paraId="49C1646E">
            <w:pPr>
              <w:spacing w:before="100" w:beforeAutospacing="1" w:after="100" w:afterAutospacing="1"/>
              <w:ind w:left="-90" w:firstLine="340"/>
              <w:jc w:val="center"/>
              <w:outlineLvl w:val="9"/>
              <w:rPr>
                <w:rFonts w:hint="eastAsia" w:ascii="宋体" w:hAnsi="宋体" w:eastAsia="宋体" w:cs="宋体"/>
                <w:bCs/>
                <w:color w:val="000000"/>
                <w:sz w:val="24"/>
                <w:highlight w:val="none"/>
              </w:rPr>
            </w:pPr>
            <w:r>
              <w:rPr>
                <w:rFonts w:hint="eastAsia" w:ascii="宋体" w:hAnsi="宋体" w:eastAsia="宋体" w:cs="宋体"/>
                <w:bCs/>
                <w:color w:val="000000"/>
                <w:kern w:val="0"/>
                <w:sz w:val="24"/>
                <w:highlight w:val="none"/>
              </w:rPr>
              <w:t>勘察设计</w:t>
            </w:r>
            <w:r>
              <w:rPr>
                <w:rFonts w:hint="eastAsia" w:ascii="宋体" w:hAnsi="宋体" w:eastAsia="宋体" w:cs="宋体"/>
                <w:bCs/>
                <w:color w:val="000000"/>
                <w:sz w:val="24"/>
                <w:highlight w:val="none"/>
              </w:rPr>
              <w:t>项目名称</w:t>
            </w:r>
          </w:p>
        </w:tc>
        <w:tc>
          <w:tcPr>
            <w:tcW w:w="2832" w:type="dxa"/>
            <w:gridSpan w:val="4"/>
            <w:tcBorders>
              <w:top w:val="single" w:color="auto" w:sz="6" w:space="0"/>
              <w:left w:val="single" w:color="auto" w:sz="6" w:space="0"/>
              <w:bottom w:val="single" w:color="auto" w:sz="6" w:space="0"/>
              <w:right w:val="single" w:color="auto" w:sz="6" w:space="0"/>
            </w:tcBorders>
            <w:noWrap w:val="0"/>
            <w:vAlign w:val="center"/>
          </w:tcPr>
          <w:p w14:paraId="16D0113B">
            <w:pPr>
              <w:adjustRightInd w:val="0"/>
              <w:snapToGrid w:val="0"/>
              <w:spacing w:line="300" w:lineRule="auto"/>
              <w:ind w:left="-91" w:right="-107" w:rightChars="-51"/>
              <w:jc w:val="center"/>
              <w:outlineLvl w:val="9"/>
              <w:rPr>
                <w:rFonts w:hint="eastAsia" w:ascii="宋体" w:hAnsi="宋体" w:eastAsia="宋体" w:cs="宋体"/>
                <w:bCs/>
                <w:color w:val="000000"/>
                <w:sz w:val="24"/>
                <w:highlight w:val="none"/>
              </w:rPr>
            </w:pPr>
            <w:r>
              <w:rPr>
                <w:rFonts w:hint="eastAsia" w:ascii="宋体" w:hAnsi="宋体" w:eastAsia="宋体" w:cs="宋体"/>
                <w:bCs/>
                <w:color w:val="000000"/>
                <w:kern w:val="0"/>
                <w:sz w:val="24"/>
                <w:highlight w:val="none"/>
              </w:rPr>
              <w:t>承担的主要工作内容</w:t>
            </w:r>
          </w:p>
        </w:tc>
        <w:tc>
          <w:tcPr>
            <w:tcW w:w="788" w:type="dxa"/>
            <w:gridSpan w:val="2"/>
            <w:tcBorders>
              <w:top w:val="single" w:color="auto" w:sz="6" w:space="0"/>
              <w:left w:val="single" w:color="auto" w:sz="6" w:space="0"/>
              <w:bottom w:val="single" w:color="auto" w:sz="6" w:space="0"/>
              <w:right w:val="single" w:color="auto" w:sz="6" w:space="0"/>
            </w:tcBorders>
            <w:noWrap w:val="0"/>
            <w:vAlign w:val="center"/>
          </w:tcPr>
          <w:p w14:paraId="6FDE111C">
            <w:pPr>
              <w:jc w:val="center"/>
              <w:outlineLvl w:val="9"/>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担任</w:t>
            </w:r>
          </w:p>
          <w:p w14:paraId="3A5FB785">
            <w:pPr>
              <w:jc w:val="center"/>
              <w:outlineLvl w:val="9"/>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职务</w:t>
            </w:r>
          </w:p>
        </w:tc>
        <w:tc>
          <w:tcPr>
            <w:tcW w:w="1289" w:type="dxa"/>
            <w:tcBorders>
              <w:top w:val="single" w:color="auto" w:sz="6" w:space="0"/>
              <w:left w:val="single" w:color="auto" w:sz="6" w:space="0"/>
              <w:bottom w:val="single" w:color="auto" w:sz="6" w:space="0"/>
              <w:right w:val="single" w:color="auto" w:sz="6" w:space="0"/>
            </w:tcBorders>
            <w:noWrap w:val="0"/>
            <w:vAlign w:val="center"/>
          </w:tcPr>
          <w:p w14:paraId="120B896A">
            <w:pPr>
              <w:spacing w:before="100" w:beforeAutospacing="1" w:after="100" w:afterAutospacing="1"/>
              <w:ind w:left="-90" w:right="-107" w:rightChars="-51"/>
              <w:jc w:val="center"/>
              <w:outlineLvl w:val="9"/>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工程规模及等级</w:t>
            </w:r>
          </w:p>
        </w:tc>
      </w:tr>
      <w:tr w14:paraId="78036530">
        <w:tblPrEx>
          <w:tblCellMar>
            <w:top w:w="0" w:type="dxa"/>
            <w:left w:w="108" w:type="dxa"/>
            <w:bottom w:w="0" w:type="dxa"/>
            <w:right w:w="108" w:type="dxa"/>
          </w:tblCellMar>
        </w:tblPrEx>
        <w:trPr>
          <w:trHeight w:val="3145" w:hRule="atLeast"/>
        </w:trPr>
        <w:tc>
          <w:tcPr>
            <w:tcW w:w="1435" w:type="dxa"/>
            <w:tcBorders>
              <w:top w:val="single" w:color="auto" w:sz="6" w:space="0"/>
              <w:left w:val="single" w:color="auto" w:sz="6" w:space="0"/>
              <w:bottom w:val="single" w:color="auto" w:sz="6" w:space="0"/>
              <w:right w:val="single" w:color="auto" w:sz="6" w:space="0"/>
            </w:tcBorders>
            <w:noWrap w:val="0"/>
            <w:vAlign w:val="center"/>
          </w:tcPr>
          <w:p w14:paraId="0E7A404F">
            <w:pPr>
              <w:spacing w:before="100" w:beforeAutospacing="1" w:after="100" w:afterAutospacing="1"/>
              <w:ind w:left="-90" w:firstLine="340"/>
              <w:jc w:val="center"/>
              <w:outlineLvl w:val="9"/>
              <w:rPr>
                <w:rFonts w:hint="eastAsia" w:ascii="宋体" w:hAnsi="宋体" w:eastAsia="宋体" w:cs="宋体"/>
                <w:b/>
                <w:color w:val="000000"/>
                <w:sz w:val="24"/>
                <w:highlight w:val="none"/>
              </w:rPr>
            </w:pPr>
          </w:p>
        </w:tc>
        <w:tc>
          <w:tcPr>
            <w:tcW w:w="3211" w:type="dxa"/>
            <w:gridSpan w:val="3"/>
            <w:tcBorders>
              <w:top w:val="single" w:color="auto" w:sz="6" w:space="0"/>
              <w:left w:val="single" w:color="auto" w:sz="6" w:space="0"/>
              <w:bottom w:val="single" w:color="auto" w:sz="6" w:space="0"/>
              <w:right w:val="single" w:color="auto" w:sz="6" w:space="0"/>
            </w:tcBorders>
            <w:noWrap w:val="0"/>
            <w:vAlign w:val="center"/>
          </w:tcPr>
          <w:p w14:paraId="4427A5E7">
            <w:pPr>
              <w:spacing w:before="100" w:beforeAutospacing="1" w:after="100" w:afterAutospacing="1"/>
              <w:ind w:left="-90" w:firstLine="340"/>
              <w:jc w:val="center"/>
              <w:outlineLvl w:val="9"/>
              <w:rPr>
                <w:rFonts w:hint="eastAsia" w:ascii="宋体" w:hAnsi="宋体" w:eastAsia="宋体" w:cs="宋体"/>
                <w:b/>
                <w:color w:val="000000"/>
                <w:sz w:val="24"/>
                <w:highlight w:val="none"/>
              </w:rPr>
            </w:pPr>
          </w:p>
        </w:tc>
        <w:tc>
          <w:tcPr>
            <w:tcW w:w="2832" w:type="dxa"/>
            <w:gridSpan w:val="4"/>
            <w:tcBorders>
              <w:top w:val="single" w:color="auto" w:sz="6" w:space="0"/>
              <w:left w:val="single" w:color="auto" w:sz="6" w:space="0"/>
              <w:bottom w:val="single" w:color="auto" w:sz="6" w:space="0"/>
              <w:right w:val="single" w:color="auto" w:sz="6" w:space="0"/>
            </w:tcBorders>
            <w:noWrap w:val="0"/>
            <w:vAlign w:val="center"/>
          </w:tcPr>
          <w:p w14:paraId="3ECD8DF4">
            <w:pPr>
              <w:spacing w:before="100" w:beforeAutospacing="1" w:after="100" w:afterAutospacing="1"/>
              <w:ind w:left="-90" w:firstLine="340"/>
              <w:jc w:val="center"/>
              <w:outlineLvl w:val="9"/>
              <w:rPr>
                <w:rFonts w:hint="eastAsia" w:ascii="宋体" w:hAnsi="宋体" w:eastAsia="宋体" w:cs="宋体"/>
                <w:b/>
                <w:color w:val="000000"/>
                <w:sz w:val="24"/>
                <w:highlight w:val="none"/>
              </w:rPr>
            </w:pPr>
          </w:p>
        </w:tc>
        <w:tc>
          <w:tcPr>
            <w:tcW w:w="788" w:type="dxa"/>
            <w:gridSpan w:val="2"/>
            <w:tcBorders>
              <w:top w:val="single" w:color="auto" w:sz="6" w:space="0"/>
              <w:left w:val="single" w:color="auto" w:sz="6" w:space="0"/>
              <w:bottom w:val="single" w:color="auto" w:sz="6" w:space="0"/>
              <w:right w:val="single" w:color="auto" w:sz="6" w:space="0"/>
            </w:tcBorders>
            <w:noWrap w:val="0"/>
            <w:vAlign w:val="center"/>
          </w:tcPr>
          <w:p w14:paraId="35155F02">
            <w:pPr>
              <w:spacing w:before="100" w:beforeAutospacing="1" w:after="100" w:afterAutospacing="1"/>
              <w:ind w:left="-90" w:firstLine="340"/>
              <w:jc w:val="center"/>
              <w:outlineLvl w:val="9"/>
              <w:rPr>
                <w:rFonts w:hint="eastAsia" w:ascii="宋体" w:hAnsi="宋体" w:eastAsia="宋体" w:cs="宋体"/>
                <w:b/>
                <w:color w:val="000000"/>
                <w:sz w:val="24"/>
                <w:highlight w:val="none"/>
              </w:rPr>
            </w:pPr>
          </w:p>
        </w:tc>
        <w:tc>
          <w:tcPr>
            <w:tcW w:w="1289" w:type="dxa"/>
            <w:tcBorders>
              <w:top w:val="single" w:color="auto" w:sz="6" w:space="0"/>
              <w:left w:val="single" w:color="auto" w:sz="6" w:space="0"/>
              <w:bottom w:val="single" w:color="auto" w:sz="6" w:space="0"/>
              <w:right w:val="single" w:color="auto" w:sz="6" w:space="0"/>
            </w:tcBorders>
            <w:noWrap w:val="0"/>
            <w:vAlign w:val="center"/>
          </w:tcPr>
          <w:p w14:paraId="7490A65F">
            <w:pPr>
              <w:spacing w:before="100" w:beforeAutospacing="1" w:after="100" w:afterAutospacing="1"/>
              <w:ind w:left="-90" w:firstLine="340"/>
              <w:jc w:val="center"/>
              <w:outlineLvl w:val="9"/>
              <w:rPr>
                <w:rFonts w:hint="eastAsia" w:ascii="宋体" w:hAnsi="宋体" w:eastAsia="宋体" w:cs="宋体"/>
                <w:b/>
                <w:color w:val="000000"/>
                <w:sz w:val="24"/>
                <w:highlight w:val="none"/>
              </w:rPr>
            </w:pPr>
          </w:p>
        </w:tc>
      </w:tr>
    </w:tbl>
    <w:p w14:paraId="2A4A97A8">
      <w:pPr>
        <w:spacing w:line="360" w:lineRule="auto"/>
        <w:jc w:val="left"/>
        <w:outlineLvl w:val="9"/>
        <w:rPr>
          <w:rFonts w:hint="eastAsia" w:ascii="宋体" w:hAnsi="宋体" w:eastAsia="宋体" w:cs="宋体"/>
          <w:color w:val="000000"/>
          <w:sz w:val="24"/>
          <w:szCs w:val="22"/>
          <w:highlight w:val="none"/>
        </w:rPr>
      </w:pPr>
    </w:p>
    <w:p w14:paraId="5D5B2E98">
      <w:pPr>
        <w:spacing w:line="360" w:lineRule="auto"/>
        <w:jc w:val="left"/>
        <w:outlineLvl w:val="9"/>
        <w:rPr>
          <w:rFonts w:hint="eastAsia" w:ascii="宋体" w:hAnsi="宋体" w:eastAsia="宋体" w:cs="宋体"/>
          <w:b w:val="0"/>
          <w:bCs w:val="0"/>
          <w:color w:val="000000"/>
          <w:sz w:val="24"/>
          <w:highlight w:val="none"/>
        </w:rPr>
      </w:pPr>
      <w:r>
        <w:rPr>
          <w:rFonts w:hint="eastAsia" w:ascii="宋体" w:hAnsi="宋体" w:eastAsia="宋体" w:cs="宋体"/>
          <w:color w:val="000000"/>
          <w:sz w:val="24"/>
          <w:highlight w:val="none"/>
        </w:rPr>
        <w:t>注：需附身份证、职称证</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lang w:val="en-US" w:eastAsia="zh-CN"/>
        </w:rPr>
        <w:t>如有</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、资格证</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lang w:val="en-US" w:eastAsia="zh-CN"/>
        </w:rPr>
        <w:t>如有</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或注册证</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lang w:val="en-US" w:eastAsia="zh-CN"/>
        </w:rPr>
        <w:t>如有</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等</w:t>
      </w:r>
      <w:r>
        <w:rPr>
          <w:rFonts w:hint="eastAsia" w:ascii="宋体" w:hAnsi="宋体" w:eastAsia="宋体" w:cs="宋体"/>
          <w:b/>
          <w:bCs/>
          <w:color w:val="000000"/>
          <w:sz w:val="24"/>
          <w:highlight w:val="none"/>
        </w:rPr>
        <w:t>彩色扫描件</w:t>
      </w:r>
      <w:r>
        <w:rPr>
          <w:rFonts w:hint="eastAsia" w:ascii="宋体" w:hAnsi="宋体" w:eastAsia="宋体" w:cs="宋体"/>
          <w:b w:val="0"/>
          <w:bCs w:val="0"/>
          <w:color w:val="000000"/>
          <w:sz w:val="24"/>
          <w:highlight w:val="none"/>
        </w:rPr>
        <w:t>及在本单位近</w:t>
      </w:r>
      <w:r>
        <w:rPr>
          <w:rFonts w:hint="eastAsia" w:ascii="宋体" w:hAnsi="宋体" w:eastAsia="宋体" w:cs="宋体"/>
          <w:b w:val="0"/>
          <w:bCs w:val="0"/>
          <w:color w:val="000000"/>
          <w:sz w:val="24"/>
          <w:highlight w:val="none"/>
          <w:lang w:val="en-US" w:eastAsia="zh-CN"/>
        </w:rPr>
        <w:t>三</w:t>
      </w:r>
      <w:r>
        <w:rPr>
          <w:rFonts w:hint="eastAsia" w:ascii="宋体" w:hAnsi="宋体" w:eastAsia="宋体" w:cs="宋体"/>
          <w:b w:val="0"/>
          <w:bCs w:val="0"/>
          <w:color w:val="000000"/>
          <w:sz w:val="24"/>
          <w:highlight w:val="none"/>
        </w:rPr>
        <w:t>个月</w:t>
      </w:r>
      <w:r>
        <w:rPr>
          <w:rFonts w:hint="eastAsia" w:ascii="宋体" w:hAnsi="宋体" w:eastAsia="宋体" w:cs="宋体"/>
          <w:b w:val="0"/>
          <w:bCs w:val="0"/>
          <w:color w:val="000000"/>
          <w:sz w:val="24"/>
          <w:highlight w:val="none"/>
          <w:lang w:eastAsia="zh-CN"/>
        </w:rPr>
        <w:t>（</w:t>
      </w:r>
      <w:r>
        <w:rPr>
          <w:rFonts w:hint="eastAsia" w:ascii="宋体" w:hAnsi="宋体" w:eastAsia="宋体" w:cs="宋体"/>
          <w:b w:val="0"/>
          <w:bCs w:val="0"/>
          <w:color w:val="000000"/>
          <w:sz w:val="24"/>
          <w:highlight w:val="none"/>
          <w:lang w:val="en-US" w:eastAsia="zh-CN"/>
        </w:rPr>
        <w:t>其中必须有2025年12月</w:t>
      </w:r>
      <w:r>
        <w:rPr>
          <w:rFonts w:hint="eastAsia" w:ascii="宋体" w:hAnsi="宋体" w:eastAsia="宋体" w:cs="宋体"/>
          <w:b w:val="0"/>
          <w:bCs w:val="0"/>
          <w:color w:val="000000"/>
          <w:sz w:val="24"/>
          <w:highlight w:val="none"/>
          <w:lang w:eastAsia="zh-CN"/>
        </w:rPr>
        <w:t>）</w:t>
      </w:r>
      <w:r>
        <w:rPr>
          <w:rFonts w:hint="eastAsia" w:ascii="宋体" w:hAnsi="宋体" w:eastAsia="宋体" w:cs="宋体"/>
          <w:b w:val="0"/>
          <w:bCs w:val="0"/>
          <w:color w:val="000000"/>
          <w:sz w:val="24"/>
          <w:highlight w:val="none"/>
        </w:rPr>
        <w:t>的社保证明</w:t>
      </w:r>
      <w:r>
        <w:rPr>
          <w:rFonts w:hint="eastAsia" w:ascii="宋体" w:hAnsi="宋体" w:eastAsia="宋体" w:cs="宋体"/>
          <w:b/>
          <w:bCs/>
          <w:color w:val="000000"/>
          <w:sz w:val="24"/>
          <w:highlight w:val="none"/>
        </w:rPr>
        <w:t>彩色扫描件</w:t>
      </w:r>
      <w:r>
        <w:rPr>
          <w:rFonts w:hint="eastAsia" w:ascii="宋体" w:hAnsi="宋体" w:eastAsia="宋体" w:cs="宋体"/>
          <w:b w:val="0"/>
          <w:bCs w:val="0"/>
          <w:color w:val="000000"/>
          <w:sz w:val="24"/>
          <w:highlight w:val="none"/>
          <w:lang w:val="en-US" w:eastAsia="zh-CN"/>
        </w:rPr>
        <w:t>和评标办法前附表中要求提供的相关证明材料</w:t>
      </w:r>
      <w:r>
        <w:rPr>
          <w:rFonts w:hint="eastAsia" w:ascii="宋体" w:hAnsi="宋体" w:eastAsia="宋体" w:cs="宋体"/>
          <w:b w:val="0"/>
          <w:bCs w:val="0"/>
          <w:color w:val="000000"/>
          <w:sz w:val="24"/>
          <w:highlight w:val="none"/>
        </w:rPr>
        <w:t>。</w:t>
      </w:r>
    </w:p>
    <w:p w14:paraId="468DCF24">
      <w:pPr>
        <w:spacing w:line="360" w:lineRule="auto"/>
        <w:jc w:val="left"/>
        <w:outlineLvl w:val="9"/>
        <w:rPr>
          <w:rFonts w:hint="eastAsia" w:ascii="宋体" w:hAnsi="宋体" w:eastAsia="宋体" w:cs="宋体"/>
          <w:color w:val="000000"/>
          <w:sz w:val="24"/>
          <w:szCs w:val="22"/>
          <w:highlight w:val="none"/>
        </w:rPr>
      </w:pPr>
    </w:p>
    <w:p w14:paraId="62C7B950">
      <w:pPr>
        <w:spacing w:line="360" w:lineRule="auto"/>
        <w:jc w:val="left"/>
        <w:outlineLvl w:val="9"/>
        <w:rPr>
          <w:rFonts w:hint="eastAsia" w:ascii="宋体" w:hAnsi="宋体" w:eastAsia="宋体" w:cs="宋体"/>
          <w:color w:val="000000"/>
          <w:sz w:val="24"/>
          <w:szCs w:val="22"/>
          <w:highlight w:val="none"/>
        </w:rPr>
      </w:pPr>
    </w:p>
    <w:p w14:paraId="2784D6D0">
      <w:pPr>
        <w:spacing w:before="156" w:beforeLines="50" w:line="360" w:lineRule="auto"/>
        <w:outlineLvl w:val="9"/>
        <w:rPr>
          <w:rFonts w:hint="eastAsia" w:ascii="宋体" w:hAnsi="宋体" w:eastAsia="宋体" w:cs="宋体"/>
          <w:color w:val="000000"/>
          <w:sz w:val="24"/>
          <w:highlight w:val="none"/>
        </w:rPr>
      </w:pPr>
    </w:p>
    <w:p w14:paraId="41AA4AF4">
      <w:pPr>
        <w:spacing w:before="156" w:beforeLines="50" w:line="360" w:lineRule="auto"/>
        <w:outlineLvl w:val="9"/>
        <w:rPr>
          <w:rFonts w:hint="eastAsia" w:ascii="宋体" w:hAnsi="宋体" w:eastAsia="宋体" w:cs="宋体"/>
          <w:color w:val="000000"/>
          <w:sz w:val="24"/>
          <w:highlight w:val="none"/>
        </w:rPr>
      </w:pPr>
    </w:p>
    <w:p w14:paraId="3FE48984">
      <w:pPr>
        <w:spacing w:line="360" w:lineRule="auto"/>
        <w:jc w:val="right"/>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投标人：</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(盖单位章)</w:t>
      </w:r>
    </w:p>
    <w:p w14:paraId="5B1FA887">
      <w:pPr>
        <w:spacing w:line="360" w:lineRule="auto"/>
        <w:jc w:val="right"/>
        <w:outlineLvl w:val="9"/>
        <w:rPr>
          <w:rFonts w:hint="eastAsia" w:ascii="宋体" w:hAnsi="宋体" w:eastAsia="宋体" w:cs="宋体"/>
          <w:color w:val="000000"/>
          <w:sz w:val="24"/>
          <w:highlight w:val="none"/>
          <w:u w:val="single"/>
        </w:rPr>
      </w:pPr>
      <w:r>
        <w:rPr>
          <w:rFonts w:hint="eastAsia" w:ascii="宋体" w:hAnsi="宋体" w:eastAsia="宋体" w:cs="宋体"/>
          <w:color w:val="000000"/>
          <w:sz w:val="24"/>
          <w:highlight w:val="none"/>
        </w:rPr>
        <w:t>法定代表人或其委托代理人：</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(签字或盖章)</w:t>
      </w:r>
    </w:p>
    <w:p w14:paraId="73E97F56">
      <w:pPr>
        <w:spacing w:line="360" w:lineRule="auto"/>
        <w:jc w:val="center"/>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                                </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年</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月</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日</w:t>
      </w:r>
    </w:p>
    <w:p w14:paraId="26D2D0FB">
      <w:pPr>
        <w:autoSpaceDE w:val="0"/>
        <w:autoSpaceDN w:val="0"/>
        <w:adjustRightInd w:val="0"/>
        <w:snapToGrid w:val="0"/>
        <w:spacing w:before="156" w:beforeLines="50" w:after="156" w:afterLines="50" w:line="300" w:lineRule="auto"/>
        <w:jc w:val="center"/>
        <w:outlineLvl w:val="9"/>
        <w:rPr>
          <w:rFonts w:hint="eastAsia" w:ascii="宋体" w:hAnsi="宋体" w:eastAsia="宋体" w:cs="宋体"/>
          <w:b/>
          <w:bCs/>
          <w:color w:val="000000"/>
          <w:sz w:val="24"/>
          <w:highlight w:val="none"/>
        </w:rPr>
      </w:pPr>
      <w:r>
        <w:rPr>
          <w:rFonts w:hint="eastAsia" w:ascii="宋体" w:hAnsi="宋体" w:eastAsia="宋体" w:cs="宋体"/>
          <w:color w:val="000000"/>
          <w:highlight w:val="none"/>
        </w:rPr>
        <w:br w:type="page"/>
      </w:r>
      <w:bookmarkStart w:id="184" w:name="_Toc538"/>
      <w:r>
        <w:rPr>
          <w:rFonts w:hint="eastAsia" w:ascii="宋体" w:hAnsi="宋体" w:eastAsia="宋体" w:cs="宋体"/>
          <w:b/>
          <w:bCs/>
          <w:color w:val="000000"/>
          <w:sz w:val="24"/>
          <w:highlight w:val="none"/>
        </w:rPr>
        <w:t xml:space="preserve">6.4 </w:t>
      </w:r>
      <w:r>
        <w:rPr>
          <w:rFonts w:hint="eastAsia" w:ascii="宋体" w:hAnsi="宋体" w:eastAsia="宋体" w:cs="宋体"/>
          <w:color w:val="000000"/>
          <w:highlight w:val="none"/>
        </w:rPr>
        <w:t xml:space="preserve"> </w:t>
      </w:r>
      <w:r>
        <w:rPr>
          <w:rFonts w:hint="eastAsia" w:ascii="宋体" w:hAnsi="宋体" w:eastAsia="宋体" w:cs="宋体"/>
          <w:b/>
          <w:bCs/>
          <w:color w:val="000000"/>
          <w:sz w:val="24"/>
          <w:highlight w:val="none"/>
        </w:rPr>
        <w:t>近3年财务状况</w:t>
      </w:r>
      <w:bookmarkEnd w:id="184"/>
      <w:r>
        <w:rPr>
          <w:rFonts w:hint="eastAsia" w:ascii="宋体" w:hAnsi="宋体" w:eastAsia="宋体" w:cs="宋体"/>
          <w:b/>
          <w:bCs/>
          <w:color w:val="000000"/>
          <w:sz w:val="24"/>
          <w:highlight w:val="none"/>
        </w:rPr>
        <w:t>（近3年指</w:t>
      </w:r>
      <w:r>
        <w:rPr>
          <w:rFonts w:hint="eastAsia" w:ascii="宋体" w:hAnsi="宋体" w:eastAsia="宋体" w:cs="宋体"/>
          <w:b/>
          <w:bCs/>
          <w:color w:val="000000"/>
          <w:sz w:val="24"/>
          <w:highlight w:val="none"/>
          <w:lang w:val="en-US" w:eastAsia="zh-CN"/>
        </w:rPr>
        <w:t>2022</w:t>
      </w:r>
      <w:r>
        <w:rPr>
          <w:rFonts w:hint="eastAsia" w:ascii="宋体" w:hAnsi="宋体" w:eastAsia="宋体" w:cs="宋体"/>
          <w:b/>
          <w:bCs/>
          <w:color w:val="000000"/>
          <w:sz w:val="24"/>
          <w:highlight w:val="none"/>
        </w:rPr>
        <w:t>年至</w:t>
      </w:r>
      <w:r>
        <w:rPr>
          <w:rFonts w:hint="eastAsia" w:ascii="宋体" w:hAnsi="宋体" w:eastAsia="宋体" w:cs="宋体"/>
          <w:b/>
          <w:bCs/>
          <w:color w:val="000000"/>
          <w:sz w:val="24"/>
          <w:highlight w:val="none"/>
          <w:lang w:val="en-US" w:eastAsia="zh-CN"/>
        </w:rPr>
        <w:t>2024</w:t>
      </w:r>
      <w:r>
        <w:rPr>
          <w:rFonts w:hint="eastAsia" w:ascii="宋体" w:hAnsi="宋体" w:eastAsia="宋体" w:cs="宋体"/>
          <w:b/>
          <w:bCs/>
          <w:color w:val="000000"/>
          <w:sz w:val="24"/>
          <w:highlight w:val="none"/>
        </w:rPr>
        <w:t>年）</w:t>
      </w:r>
    </w:p>
    <w:p w14:paraId="710D051A">
      <w:pPr>
        <w:spacing w:before="0" w:after="0" w:line="240" w:lineRule="auto"/>
        <w:outlineLvl w:val="9"/>
        <w:rPr>
          <w:rFonts w:hint="eastAsia" w:ascii="宋体" w:hAnsi="宋体" w:eastAsia="宋体" w:cs="宋体"/>
          <w:color w:val="000000"/>
          <w:highlight w:val="none"/>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1"/>
        <w:gridCol w:w="1891"/>
        <w:gridCol w:w="1891"/>
        <w:gridCol w:w="1891"/>
        <w:gridCol w:w="1892"/>
      </w:tblGrid>
      <w:tr w14:paraId="51F49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891" w:type="dxa"/>
            <w:noWrap w:val="0"/>
            <w:vAlign w:val="center"/>
          </w:tcPr>
          <w:p w14:paraId="526A7A41">
            <w:pPr>
              <w:jc w:val="center"/>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名称</w:t>
            </w:r>
          </w:p>
        </w:tc>
        <w:tc>
          <w:tcPr>
            <w:tcW w:w="1891" w:type="dxa"/>
            <w:noWrap w:val="0"/>
            <w:vAlign w:val="center"/>
          </w:tcPr>
          <w:p w14:paraId="31E37E9B">
            <w:pPr>
              <w:jc w:val="center"/>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单位</w:t>
            </w:r>
          </w:p>
        </w:tc>
        <w:tc>
          <w:tcPr>
            <w:tcW w:w="1891" w:type="dxa"/>
            <w:noWrap w:val="0"/>
            <w:vAlign w:val="center"/>
          </w:tcPr>
          <w:p w14:paraId="1B5BAFE7">
            <w:pPr>
              <w:ind w:firstLine="240" w:firstLineChars="100"/>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u w:val="single"/>
                <w:lang w:val="en-US" w:eastAsia="zh-CN"/>
              </w:rPr>
              <w:t>2022</w:t>
            </w:r>
            <w:r>
              <w:rPr>
                <w:rFonts w:hint="eastAsia" w:ascii="宋体" w:hAnsi="宋体" w:eastAsia="宋体" w:cs="宋体"/>
                <w:color w:val="000000"/>
                <w:sz w:val="24"/>
                <w:highlight w:val="none"/>
                <w:u w:val="none"/>
              </w:rPr>
              <w:t>年</w:t>
            </w:r>
          </w:p>
        </w:tc>
        <w:tc>
          <w:tcPr>
            <w:tcW w:w="1891" w:type="dxa"/>
            <w:noWrap w:val="0"/>
            <w:vAlign w:val="center"/>
          </w:tcPr>
          <w:p w14:paraId="39233E05">
            <w:pPr>
              <w:ind w:firstLine="240" w:firstLineChars="100"/>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u w:val="single"/>
                <w:lang w:val="en-US" w:eastAsia="zh-CN"/>
              </w:rPr>
              <w:t>2023</w:t>
            </w:r>
            <w:r>
              <w:rPr>
                <w:rFonts w:hint="eastAsia" w:ascii="宋体" w:hAnsi="宋体" w:eastAsia="宋体" w:cs="宋体"/>
                <w:color w:val="000000"/>
                <w:sz w:val="24"/>
                <w:highlight w:val="none"/>
              </w:rPr>
              <w:t>年</w:t>
            </w:r>
          </w:p>
        </w:tc>
        <w:tc>
          <w:tcPr>
            <w:tcW w:w="1892" w:type="dxa"/>
            <w:noWrap w:val="0"/>
            <w:vAlign w:val="center"/>
          </w:tcPr>
          <w:p w14:paraId="3BE4D1F0">
            <w:pPr>
              <w:ind w:firstLine="240" w:firstLineChars="100"/>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u w:val="single"/>
                <w:lang w:val="en-US" w:eastAsia="zh-CN"/>
              </w:rPr>
              <w:t>2024</w:t>
            </w:r>
            <w:r>
              <w:rPr>
                <w:rFonts w:hint="eastAsia" w:ascii="宋体" w:hAnsi="宋体" w:eastAsia="宋体" w:cs="宋体"/>
                <w:color w:val="000000"/>
                <w:sz w:val="24"/>
                <w:highlight w:val="none"/>
              </w:rPr>
              <w:t>年</w:t>
            </w:r>
          </w:p>
        </w:tc>
      </w:tr>
      <w:tr w14:paraId="2F842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891" w:type="dxa"/>
            <w:noWrap w:val="0"/>
            <w:vAlign w:val="center"/>
          </w:tcPr>
          <w:p w14:paraId="6BCCBA5D">
            <w:pPr>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一、注册资金</w:t>
            </w:r>
          </w:p>
        </w:tc>
        <w:tc>
          <w:tcPr>
            <w:tcW w:w="1891" w:type="dxa"/>
            <w:noWrap w:val="0"/>
            <w:vAlign w:val="top"/>
          </w:tcPr>
          <w:p w14:paraId="27BED217">
            <w:pPr>
              <w:outlineLvl w:val="9"/>
              <w:rPr>
                <w:rFonts w:hint="eastAsia" w:ascii="宋体" w:hAnsi="宋体" w:eastAsia="宋体" w:cs="宋体"/>
                <w:color w:val="000000"/>
                <w:sz w:val="24"/>
                <w:highlight w:val="none"/>
              </w:rPr>
            </w:pPr>
          </w:p>
        </w:tc>
        <w:tc>
          <w:tcPr>
            <w:tcW w:w="1891" w:type="dxa"/>
            <w:noWrap w:val="0"/>
            <w:vAlign w:val="top"/>
          </w:tcPr>
          <w:p w14:paraId="61B32F66">
            <w:pPr>
              <w:outlineLvl w:val="9"/>
              <w:rPr>
                <w:rFonts w:hint="eastAsia" w:ascii="宋体" w:hAnsi="宋体" w:eastAsia="宋体" w:cs="宋体"/>
                <w:color w:val="000000"/>
                <w:sz w:val="24"/>
                <w:highlight w:val="none"/>
              </w:rPr>
            </w:pPr>
          </w:p>
        </w:tc>
        <w:tc>
          <w:tcPr>
            <w:tcW w:w="1891" w:type="dxa"/>
            <w:noWrap w:val="0"/>
            <w:vAlign w:val="top"/>
          </w:tcPr>
          <w:p w14:paraId="333C65AC">
            <w:pPr>
              <w:outlineLvl w:val="9"/>
              <w:rPr>
                <w:rFonts w:hint="eastAsia" w:ascii="宋体" w:hAnsi="宋体" w:eastAsia="宋体" w:cs="宋体"/>
                <w:color w:val="000000"/>
                <w:sz w:val="24"/>
                <w:highlight w:val="none"/>
              </w:rPr>
            </w:pPr>
          </w:p>
        </w:tc>
        <w:tc>
          <w:tcPr>
            <w:tcW w:w="1892" w:type="dxa"/>
            <w:noWrap w:val="0"/>
            <w:vAlign w:val="top"/>
          </w:tcPr>
          <w:p w14:paraId="0AE87562">
            <w:pPr>
              <w:outlineLvl w:val="9"/>
              <w:rPr>
                <w:rFonts w:hint="eastAsia" w:ascii="宋体" w:hAnsi="宋体" w:eastAsia="宋体" w:cs="宋体"/>
                <w:color w:val="000000"/>
                <w:sz w:val="24"/>
                <w:highlight w:val="none"/>
              </w:rPr>
            </w:pPr>
          </w:p>
        </w:tc>
      </w:tr>
      <w:tr w14:paraId="79535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891" w:type="dxa"/>
            <w:noWrap w:val="0"/>
            <w:vAlign w:val="center"/>
          </w:tcPr>
          <w:p w14:paraId="0E293D96">
            <w:pPr>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二、净资产</w:t>
            </w:r>
          </w:p>
        </w:tc>
        <w:tc>
          <w:tcPr>
            <w:tcW w:w="1891" w:type="dxa"/>
            <w:noWrap w:val="0"/>
            <w:vAlign w:val="top"/>
          </w:tcPr>
          <w:p w14:paraId="2E5B2D4D">
            <w:pPr>
              <w:outlineLvl w:val="9"/>
              <w:rPr>
                <w:rFonts w:hint="eastAsia" w:ascii="宋体" w:hAnsi="宋体" w:eastAsia="宋体" w:cs="宋体"/>
                <w:color w:val="000000"/>
                <w:sz w:val="24"/>
                <w:highlight w:val="none"/>
              </w:rPr>
            </w:pPr>
          </w:p>
        </w:tc>
        <w:tc>
          <w:tcPr>
            <w:tcW w:w="1891" w:type="dxa"/>
            <w:noWrap w:val="0"/>
            <w:vAlign w:val="top"/>
          </w:tcPr>
          <w:p w14:paraId="27293BD4">
            <w:pPr>
              <w:outlineLvl w:val="9"/>
              <w:rPr>
                <w:rFonts w:hint="eastAsia" w:ascii="宋体" w:hAnsi="宋体" w:eastAsia="宋体" w:cs="宋体"/>
                <w:color w:val="000000"/>
                <w:sz w:val="24"/>
                <w:highlight w:val="none"/>
              </w:rPr>
            </w:pPr>
          </w:p>
        </w:tc>
        <w:tc>
          <w:tcPr>
            <w:tcW w:w="1891" w:type="dxa"/>
            <w:noWrap w:val="0"/>
            <w:vAlign w:val="top"/>
          </w:tcPr>
          <w:p w14:paraId="4F96AD3E">
            <w:pPr>
              <w:outlineLvl w:val="9"/>
              <w:rPr>
                <w:rFonts w:hint="eastAsia" w:ascii="宋体" w:hAnsi="宋体" w:eastAsia="宋体" w:cs="宋体"/>
                <w:color w:val="000000"/>
                <w:sz w:val="24"/>
                <w:highlight w:val="none"/>
              </w:rPr>
            </w:pPr>
          </w:p>
        </w:tc>
        <w:tc>
          <w:tcPr>
            <w:tcW w:w="1892" w:type="dxa"/>
            <w:noWrap w:val="0"/>
            <w:vAlign w:val="top"/>
          </w:tcPr>
          <w:p w14:paraId="36B651A9">
            <w:pPr>
              <w:outlineLvl w:val="9"/>
              <w:rPr>
                <w:rFonts w:hint="eastAsia" w:ascii="宋体" w:hAnsi="宋体" w:eastAsia="宋体" w:cs="宋体"/>
                <w:color w:val="000000"/>
                <w:sz w:val="24"/>
                <w:highlight w:val="none"/>
              </w:rPr>
            </w:pPr>
          </w:p>
        </w:tc>
      </w:tr>
      <w:tr w14:paraId="6312C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891" w:type="dxa"/>
            <w:noWrap w:val="0"/>
            <w:vAlign w:val="center"/>
          </w:tcPr>
          <w:p w14:paraId="532B9811">
            <w:pPr>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三、总资产</w:t>
            </w:r>
          </w:p>
        </w:tc>
        <w:tc>
          <w:tcPr>
            <w:tcW w:w="1891" w:type="dxa"/>
            <w:noWrap w:val="0"/>
            <w:vAlign w:val="top"/>
          </w:tcPr>
          <w:p w14:paraId="0C1DF568">
            <w:pPr>
              <w:outlineLvl w:val="9"/>
              <w:rPr>
                <w:rFonts w:hint="eastAsia" w:ascii="宋体" w:hAnsi="宋体" w:eastAsia="宋体" w:cs="宋体"/>
                <w:color w:val="000000"/>
                <w:sz w:val="24"/>
                <w:highlight w:val="none"/>
              </w:rPr>
            </w:pPr>
          </w:p>
        </w:tc>
        <w:tc>
          <w:tcPr>
            <w:tcW w:w="1891" w:type="dxa"/>
            <w:noWrap w:val="0"/>
            <w:vAlign w:val="top"/>
          </w:tcPr>
          <w:p w14:paraId="68366C2D">
            <w:pPr>
              <w:outlineLvl w:val="9"/>
              <w:rPr>
                <w:rFonts w:hint="eastAsia" w:ascii="宋体" w:hAnsi="宋体" w:eastAsia="宋体" w:cs="宋体"/>
                <w:color w:val="000000"/>
                <w:sz w:val="24"/>
                <w:highlight w:val="none"/>
              </w:rPr>
            </w:pPr>
          </w:p>
        </w:tc>
        <w:tc>
          <w:tcPr>
            <w:tcW w:w="1891" w:type="dxa"/>
            <w:noWrap w:val="0"/>
            <w:vAlign w:val="top"/>
          </w:tcPr>
          <w:p w14:paraId="70B40FE0">
            <w:pPr>
              <w:outlineLvl w:val="9"/>
              <w:rPr>
                <w:rFonts w:hint="eastAsia" w:ascii="宋体" w:hAnsi="宋体" w:eastAsia="宋体" w:cs="宋体"/>
                <w:color w:val="000000"/>
                <w:sz w:val="24"/>
                <w:highlight w:val="none"/>
              </w:rPr>
            </w:pPr>
          </w:p>
        </w:tc>
        <w:tc>
          <w:tcPr>
            <w:tcW w:w="1892" w:type="dxa"/>
            <w:noWrap w:val="0"/>
            <w:vAlign w:val="top"/>
          </w:tcPr>
          <w:p w14:paraId="02BDE98D">
            <w:pPr>
              <w:outlineLvl w:val="9"/>
              <w:rPr>
                <w:rFonts w:hint="eastAsia" w:ascii="宋体" w:hAnsi="宋体" w:eastAsia="宋体" w:cs="宋体"/>
                <w:color w:val="000000"/>
                <w:sz w:val="24"/>
                <w:highlight w:val="none"/>
              </w:rPr>
            </w:pPr>
          </w:p>
        </w:tc>
      </w:tr>
      <w:tr w14:paraId="78C6B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891" w:type="dxa"/>
            <w:noWrap w:val="0"/>
            <w:vAlign w:val="center"/>
          </w:tcPr>
          <w:p w14:paraId="49B0460E">
            <w:pPr>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四、固定资产</w:t>
            </w:r>
          </w:p>
        </w:tc>
        <w:tc>
          <w:tcPr>
            <w:tcW w:w="1891" w:type="dxa"/>
            <w:noWrap w:val="0"/>
            <w:vAlign w:val="top"/>
          </w:tcPr>
          <w:p w14:paraId="3CBB3830">
            <w:pPr>
              <w:outlineLvl w:val="9"/>
              <w:rPr>
                <w:rFonts w:hint="eastAsia" w:ascii="宋体" w:hAnsi="宋体" w:eastAsia="宋体" w:cs="宋体"/>
                <w:color w:val="000000"/>
                <w:sz w:val="24"/>
                <w:highlight w:val="none"/>
              </w:rPr>
            </w:pPr>
          </w:p>
        </w:tc>
        <w:tc>
          <w:tcPr>
            <w:tcW w:w="1891" w:type="dxa"/>
            <w:noWrap w:val="0"/>
            <w:vAlign w:val="top"/>
          </w:tcPr>
          <w:p w14:paraId="1C81714C">
            <w:pPr>
              <w:outlineLvl w:val="9"/>
              <w:rPr>
                <w:rFonts w:hint="eastAsia" w:ascii="宋体" w:hAnsi="宋体" w:eastAsia="宋体" w:cs="宋体"/>
                <w:color w:val="000000"/>
                <w:sz w:val="24"/>
                <w:highlight w:val="none"/>
              </w:rPr>
            </w:pPr>
          </w:p>
        </w:tc>
        <w:tc>
          <w:tcPr>
            <w:tcW w:w="1891" w:type="dxa"/>
            <w:noWrap w:val="0"/>
            <w:vAlign w:val="top"/>
          </w:tcPr>
          <w:p w14:paraId="4E1669FE">
            <w:pPr>
              <w:outlineLvl w:val="9"/>
              <w:rPr>
                <w:rFonts w:hint="eastAsia" w:ascii="宋体" w:hAnsi="宋体" w:eastAsia="宋体" w:cs="宋体"/>
                <w:color w:val="000000"/>
                <w:sz w:val="24"/>
                <w:highlight w:val="none"/>
              </w:rPr>
            </w:pPr>
          </w:p>
        </w:tc>
        <w:tc>
          <w:tcPr>
            <w:tcW w:w="1892" w:type="dxa"/>
            <w:noWrap w:val="0"/>
            <w:vAlign w:val="top"/>
          </w:tcPr>
          <w:p w14:paraId="65874CAC">
            <w:pPr>
              <w:outlineLvl w:val="9"/>
              <w:rPr>
                <w:rFonts w:hint="eastAsia" w:ascii="宋体" w:hAnsi="宋体" w:eastAsia="宋体" w:cs="宋体"/>
                <w:color w:val="000000"/>
                <w:sz w:val="24"/>
                <w:highlight w:val="none"/>
              </w:rPr>
            </w:pPr>
          </w:p>
        </w:tc>
      </w:tr>
      <w:tr w14:paraId="56474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891" w:type="dxa"/>
            <w:noWrap w:val="0"/>
            <w:vAlign w:val="center"/>
          </w:tcPr>
          <w:p w14:paraId="2797DE95">
            <w:pPr>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五、流动资产</w:t>
            </w:r>
          </w:p>
        </w:tc>
        <w:tc>
          <w:tcPr>
            <w:tcW w:w="1891" w:type="dxa"/>
            <w:noWrap w:val="0"/>
            <w:vAlign w:val="top"/>
          </w:tcPr>
          <w:p w14:paraId="7E34F4DD">
            <w:pPr>
              <w:outlineLvl w:val="9"/>
              <w:rPr>
                <w:rFonts w:hint="eastAsia" w:ascii="宋体" w:hAnsi="宋体" w:eastAsia="宋体" w:cs="宋体"/>
                <w:color w:val="000000"/>
                <w:sz w:val="24"/>
                <w:highlight w:val="none"/>
              </w:rPr>
            </w:pPr>
          </w:p>
        </w:tc>
        <w:tc>
          <w:tcPr>
            <w:tcW w:w="1891" w:type="dxa"/>
            <w:noWrap w:val="0"/>
            <w:vAlign w:val="top"/>
          </w:tcPr>
          <w:p w14:paraId="37B503A1">
            <w:pPr>
              <w:outlineLvl w:val="9"/>
              <w:rPr>
                <w:rFonts w:hint="eastAsia" w:ascii="宋体" w:hAnsi="宋体" w:eastAsia="宋体" w:cs="宋体"/>
                <w:color w:val="000000"/>
                <w:sz w:val="24"/>
                <w:highlight w:val="none"/>
              </w:rPr>
            </w:pPr>
          </w:p>
        </w:tc>
        <w:tc>
          <w:tcPr>
            <w:tcW w:w="1891" w:type="dxa"/>
            <w:noWrap w:val="0"/>
            <w:vAlign w:val="top"/>
          </w:tcPr>
          <w:p w14:paraId="1CDD6A3F">
            <w:pPr>
              <w:outlineLvl w:val="9"/>
              <w:rPr>
                <w:rFonts w:hint="eastAsia" w:ascii="宋体" w:hAnsi="宋体" w:eastAsia="宋体" w:cs="宋体"/>
                <w:color w:val="000000"/>
                <w:sz w:val="24"/>
                <w:highlight w:val="none"/>
              </w:rPr>
            </w:pPr>
          </w:p>
        </w:tc>
        <w:tc>
          <w:tcPr>
            <w:tcW w:w="1892" w:type="dxa"/>
            <w:noWrap w:val="0"/>
            <w:vAlign w:val="top"/>
          </w:tcPr>
          <w:p w14:paraId="5AC3B4BA">
            <w:pPr>
              <w:outlineLvl w:val="9"/>
              <w:rPr>
                <w:rFonts w:hint="eastAsia" w:ascii="宋体" w:hAnsi="宋体" w:eastAsia="宋体" w:cs="宋体"/>
                <w:color w:val="000000"/>
                <w:sz w:val="24"/>
                <w:highlight w:val="none"/>
              </w:rPr>
            </w:pPr>
          </w:p>
        </w:tc>
      </w:tr>
      <w:tr w14:paraId="703E1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891" w:type="dxa"/>
            <w:noWrap w:val="0"/>
            <w:vAlign w:val="center"/>
          </w:tcPr>
          <w:p w14:paraId="09F6D89E">
            <w:pPr>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六、流动负债</w:t>
            </w:r>
          </w:p>
        </w:tc>
        <w:tc>
          <w:tcPr>
            <w:tcW w:w="1891" w:type="dxa"/>
            <w:noWrap w:val="0"/>
            <w:vAlign w:val="top"/>
          </w:tcPr>
          <w:p w14:paraId="640AF5C3">
            <w:pPr>
              <w:outlineLvl w:val="9"/>
              <w:rPr>
                <w:rFonts w:hint="eastAsia" w:ascii="宋体" w:hAnsi="宋体" w:eastAsia="宋体" w:cs="宋体"/>
                <w:color w:val="000000"/>
                <w:sz w:val="24"/>
                <w:highlight w:val="none"/>
              </w:rPr>
            </w:pPr>
          </w:p>
        </w:tc>
        <w:tc>
          <w:tcPr>
            <w:tcW w:w="1891" w:type="dxa"/>
            <w:noWrap w:val="0"/>
            <w:vAlign w:val="top"/>
          </w:tcPr>
          <w:p w14:paraId="7F9F8FC8">
            <w:pPr>
              <w:outlineLvl w:val="9"/>
              <w:rPr>
                <w:rFonts w:hint="eastAsia" w:ascii="宋体" w:hAnsi="宋体" w:eastAsia="宋体" w:cs="宋体"/>
                <w:color w:val="000000"/>
                <w:sz w:val="24"/>
                <w:highlight w:val="none"/>
              </w:rPr>
            </w:pPr>
          </w:p>
        </w:tc>
        <w:tc>
          <w:tcPr>
            <w:tcW w:w="1891" w:type="dxa"/>
            <w:noWrap w:val="0"/>
            <w:vAlign w:val="top"/>
          </w:tcPr>
          <w:p w14:paraId="6AC005D0">
            <w:pPr>
              <w:outlineLvl w:val="9"/>
              <w:rPr>
                <w:rFonts w:hint="eastAsia" w:ascii="宋体" w:hAnsi="宋体" w:eastAsia="宋体" w:cs="宋体"/>
                <w:color w:val="000000"/>
                <w:sz w:val="24"/>
                <w:highlight w:val="none"/>
              </w:rPr>
            </w:pPr>
          </w:p>
        </w:tc>
        <w:tc>
          <w:tcPr>
            <w:tcW w:w="1892" w:type="dxa"/>
            <w:noWrap w:val="0"/>
            <w:vAlign w:val="top"/>
          </w:tcPr>
          <w:p w14:paraId="54F25424">
            <w:pPr>
              <w:outlineLvl w:val="9"/>
              <w:rPr>
                <w:rFonts w:hint="eastAsia" w:ascii="宋体" w:hAnsi="宋体" w:eastAsia="宋体" w:cs="宋体"/>
                <w:color w:val="000000"/>
                <w:sz w:val="24"/>
                <w:highlight w:val="none"/>
              </w:rPr>
            </w:pPr>
          </w:p>
        </w:tc>
      </w:tr>
      <w:tr w14:paraId="4BB2E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891" w:type="dxa"/>
            <w:noWrap w:val="0"/>
            <w:vAlign w:val="center"/>
          </w:tcPr>
          <w:p w14:paraId="4B723709">
            <w:pPr>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七、负债合计</w:t>
            </w:r>
          </w:p>
        </w:tc>
        <w:tc>
          <w:tcPr>
            <w:tcW w:w="1891" w:type="dxa"/>
            <w:noWrap w:val="0"/>
            <w:vAlign w:val="top"/>
          </w:tcPr>
          <w:p w14:paraId="383EF141">
            <w:pPr>
              <w:outlineLvl w:val="9"/>
              <w:rPr>
                <w:rFonts w:hint="eastAsia" w:ascii="宋体" w:hAnsi="宋体" w:eastAsia="宋体" w:cs="宋体"/>
                <w:color w:val="000000"/>
                <w:sz w:val="24"/>
                <w:highlight w:val="none"/>
              </w:rPr>
            </w:pPr>
          </w:p>
        </w:tc>
        <w:tc>
          <w:tcPr>
            <w:tcW w:w="1891" w:type="dxa"/>
            <w:noWrap w:val="0"/>
            <w:vAlign w:val="top"/>
          </w:tcPr>
          <w:p w14:paraId="6D57A027">
            <w:pPr>
              <w:outlineLvl w:val="9"/>
              <w:rPr>
                <w:rFonts w:hint="eastAsia" w:ascii="宋体" w:hAnsi="宋体" w:eastAsia="宋体" w:cs="宋体"/>
                <w:color w:val="000000"/>
                <w:sz w:val="24"/>
                <w:highlight w:val="none"/>
              </w:rPr>
            </w:pPr>
          </w:p>
        </w:tc>
        <w:tc>
          <w:tcPr>
            <w:tcW w:w="1891" w:type="dxa"/>
            <w:noWrap w:val="0"/>
            <w:vAlign w:val="top"/>
          </w:tcPr>
          <w:p w14:paraId="632AED8B">
            <w:pPr>
              <w:outlineLvl w:val="9"/>
              <w:rPr>
                <w:rFonts w:hint="eastAsia" w:ascii="宋体" w:hAnsi="宋体" w:eastAsia="宋体" w:cs="宋体"/>
                <w:color w:val="000000"/>
                <w:sz w:val="24"/>
                <w:highlight w:val="none"/>
              </w:rPr>
            </w:pPr>
          </w:p>
        </w:tc>
        <w:tc>
          <w:tcPr>
            <w:tcW w:w="1892" w:type="dxa"/>
            <w:noWrap w:val="0"/>
            <w:vAlign w:val="top"/>
          </w:tcPr>
          <w:p w14:paraId="5E03BE60">
            <w:pPr>
              <w:outlineLvl w:val="9"/>
              <w:rPr>
                <w:rFonts w:hint="eastAsia" w:ascii="宋体" w:hAnsi="宋体" w:eastAsia="宋体" w:cs="宋体"/>
                <w:color w:val="000000"/>
                <w:sz w:val="24"/>
                <w:highlight w:val="none"/>
              </w:rPr>
            </w:pPr>
          </w:p>
        </w:tc>
      </w:tr>
      <w:tr w14:paraId="2CC01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891" w:type="dxa"/>
            <w:noWrap w:val="0"/>
            <w:vAlign w:val="center"/>
          </w:tcPr>
          <w:p w14:paraId="09725576">
            <w:pPr>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八、营业收入</w:t>
            </w:r>
          </w:p>
        </w:tc>
        <w:tc>
          <w:tcPr>
            <w:tcW w:w="1891" w:type="dxa"/>
            <w:noWrap w:val="0"/>
            <w:vAlign w:val="top"/>
          </w:tcPr>
          <w:p w14:paraId="6A4C9FB1">
            <w:pPr>
              <w:outlineLvl w:val="9"/>
              <w:rPr>
                <w:rFonts w:hint="eastAsia" w:ascii="宋体" w:hAnsi="宋体" w:eastAsia="宋体" w:cs="宋体"/>
                <w:color w:val="000000"/>
                <w:sz w:val="24"/>
                <w:highlight w:val="none"/>
              </w:rPr>
            </w:pPr>
          </w:p>
        </w:tc>
        <w:tc>
          <w:tcPr>
            <w:tcW w:w="1891" w:type="dxa"/>
            <w:noWrap w:val="0"/>
            <w:vAlign w:val="top"/>
          </w:tcPr>
          <w:p w14:paraId="51FAF54A">
            <w:pPr>
              <w:outlineLvl w:val="9"/>
              <w:rPr>
                <w:rFonts w:hint="eastAsia" w:ascii="宋体" w:hAnsi="宋体" w:eastAsia="宋体" w:cs="宋体"/>
                <w:color w:val="000000"/>
                <w:sz w:val="24"/>
                <w:highlight w:val="none"/>
              </w:rPr>
            </w:pPr>
          </w:p>
        </w:tc>
        <w:tc>
          <w:tcPr>
            <w:tcW w:w="1891" w:type="dxa"/>
            <w:noWrap w:val="0"/>
            <w:vAlign w:val="top"/>
          </w:tcPr>
          <w:p w14:paraId="4AE3B44F">
            <w:pPr>
              <w:outlineLvl w:val="9"/>
              <w:rPr>
                <w:rFonts w:hint="eastAsia" w:ascii="宋体" w:hAnsi="宋体" w:eastAsia="宋体" w:cs="宋体"/>
                <w:color w:val="000000"/>
                <w:sz w:val="24"/>
                <w:highlight w:val="none"/>
              </w:rPr>
            </w:pPr>
          </w:p>
        </w:tc>
        <w:tc>
          <w:tcPr>
            <w:tcW w:w="1892" w:type="dxa"/>
            <w:noWrap w:val="0"/>
            <w:vAlign w:val="top"/>
          </w:tcPr>
          <w:p w14:paraId="2558AD40">
            <w:pPr>
              <w:outlineLvl w:val="9"/>
              <w:rPr>
                <w:rFonts w:hint="eastAsia" w:ascii="宋体" w:hAnsi="宋体" w:eastAsia="宋体" w:cs="宋体"/>
                <w:color w:val="000000"/>
                <w:sz w:val="24"/>
                <w:highlight w:val="none"/>
              </w:rPr>
            </w:pPr>
          </w:p>
        </w:tc>
      </w:tr>
      <w:tr w14:paraId="18B98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1891" w:type="dxa"/>
            <w:noWrap w:val="0"/>
            <w:vAlign w:val="center"/>
          </w:tcPr>
          <w:p w14:paraId="1E758D3A">
            <w:pPr>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九、净利润</w:t>
            </w:r>
          </w:p>
        </w:tc>
        <w:tc>
          <w:tcPr>
            <w:tcW w:w="1891" w:type="dxa"/>
            <w:noWrap w:val="0"/>
            <w:vAlign w:val="top"/>
          </w:tcPr>
          <w:p w14:paraId="6F7E40AB">
            <w:pPr>
              <w:outlineLvl w:val="9"/>
              <w:rPr>
                <w:rFonts w:hint="eastAsia" w:ascii="宋体" w:hAnsi="宋体" w:eastAsia="宋体" w:cs="宋体"/>
                <w:color w:val="000000"/>
                <w:sz w:val="24"/>
                <w:highlight w:val="none"/>
              </w:rPr>
            </w:pPr>
          </w:p>
        </w:tc>
        <w:tc>
          <w:tcPr>
            <w:tcW w:w="1891" w:type="dxa"/>
            <w:noWrap w:val="0"/>
            <w:vAlign w:val="top"/>
          </w:tcPr>
          <w:p w14:paraId="788A366B">
            <w:pPr>
              <w:outlineLvl w:val="9"/>
              <w:rPr>
                <w:rFonts w:hint="eastAsia" w:ascii="宋体" w:hAnsi="宋体" w:eastAsia="宋体" w:cs="宋体"/>
                <w:color w:val="000000"/>
                <w:sz w:val="24"/>
                <w:highlight w:val="none"/>
              </w:rPr>
            </w:pPr>
          </w:p>
        </w:tc>
        <w:tc>
          <w:tcPr>
            <w:tcW w:w="1891" w:type="dxa"/>
            <w:noWrap w:val="0"/>
            <w:vAlign w:val="top"/>
          </w:tcPr>
          <w:p w14:paraId="5852B7D0">
            <w:pPr>
              <w:outlineLvl w:val="9"/>
              <w:rPr>
                <w:rFonts w:hint="eastAsia" w:ascii="宋体" w:hAnsi="宋体" w:eastAsia="宋体" w:cs="宋体"/>
                <w:color w:val="000000"/>
                <w:sz w:val="24"/>
                <w:highlight w:val="none"/>
              </w:rPr>
            </w:pPr>
          </w:p>
        </w:tc>
        <w:tc>
          <w:tcPr>
            <w:tcW w:w="1892" w:type="dxa"/>
            <w:noWrap w:val="0"/>
            <w:vAlign w:val="top"/>
          </w:tcPr>
          <w:p w14:paraId="53FF8A23">
            <w:pPr>
              <w:outlineLvl w:val="9"/>
              <w:rPr>
                <w:rFonts w:hint="eastAsia" w:ascii="宋体" w:hAnsi="宋体" w:eastAsia="宋体" w:cs="宋体"/>
                <w:color w:val="000000"/>
                <w:sz w:val="24"/>
                <w:highlight w:val="none"/>
              </w:rPr>
            </w:pPr>
          </w:p>
        </w:tc>
      </w:tr>
    </w:tbl>
    <w:p w14:paraId="1A00A41C">
      <w:pPr>
        <w:spacing w:line="360" w:lineRule="auto"/>
        <w:jc w:val="left"/>
        <w:outlineLvl w:val="9"/>
        <w:rPr>
          <w:rFonts w:hint="eastAsia" w:ascii="宋体" w:hAnsi="宋体" w:eastAsia="宋体" w:cs="宋体"/>
          <w:b/>
          <w:bCs/>
          <w:color w:val="000000"/>
          <w:sz w:val="24"/>
          <w:highlight w:val="none"/>
        </w:rPr>
      </w:pPr>
    </w:p>
    <w:p w14:paraId="1A818CE6">
      <w:pPr>
        <w:numPr>
          <w:ilvl w:val="0"/>
          <w:numId w:val="0"/>
        </w:numPr>
        <w:spacing w:line="360" w:lineRule="auto"/>
        <w:ind w:firstLine="482" w:firstLineChars="200"/>
        <w:jc w:val="left"/>
        <w:outlineLvl w:val="9"/>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注：1、新成立的企业以自成立以来的财务审计报告为准。</w:t>
      </w:r>
    </w:p>
    <w:p w14:paraId="09AB6794">
      <w:pPr>
        <w:spacing w:line="360" w:lineRule="auto"/>
        <w:ind w:firstLine="964" w:firstLineChars="400"/>
        <w:jc w:val="left"/>
        <w:outlineLvl w:val="9"/>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lang w:val="en-US" w:eastAsia="zh-CN"/>
        </w:rPr>
        <w:t>2</w:t>
      </w:r>
      <w:r>
        <w:rPr>
          <w:rFonts w:hint="eastAsia" w:ascii="宋体" w:hAnsi="宋体" w:eastAsia="宋体" w:cs="宋体"/>
          <w:b/>
          <w:bCs/>
          <w:color w:val="000000"/>
          <w:sz w:val="24"/>
          <w:highlight w:val="none"/>
        </w:rPr>
        <w:t>、附近3年</w:t>
      </w:r>
      <w:r>
        <w:rPr>
          <w:rFonts w:hint="eastAsia" w:ascii="宋体" w:hAnsi="宋体" w:eastAsia="宋体" w:cs="宋体"/>
          <w:b/>
          <w:bCs/>
          <w:color w:val="000000"/>
          <w:sz w:val="24"/>
          <w:highlight w:val="none"/>
          <w:lang w:val="zh-CN"/>
        </w:rPr>
        <w:t>财务审计报告（至少应包括财务审计报表、财务资产负债表和损益表（利润表））</w:t>
      </w:r>
      <w:r>
        <w:rPr>
          <w:rFonts w:hint="eastAsia" w:ascii="宋体" w:hAnsi="宋体" w:eastAsia="宋体" w:cs="宋体"/>
          <w:b/>
          <w:bCs/>
          <w:color w:val="000000"/>
          <w:sz w:val="24"/>
          <w:highlight w:val="none"/>
        </w:rPr>
        <w:t>彩色扫描件。</w:t>
      </w:r>
    </w:p>
    <w:p w14:paraId="4FB75B80">
      <w:pPr>
        <w:pStyle w:val="14"/>
        <w:shd w:val="clear" w:color="auto" w:fill="auto"/>
        <w:spacing w:before="0" w:beforeAutospacing="0" w:after="0" w:afterAutospacing="0" w:line="330" w:lineRule="atLeast"/>
        <w:jc w:val="center"/>
        <w:outlineLvl w:val="9"/>
        <w:rPr>
          <w:rFonts w:hint="eastAsia" w:ascii="宋体" w:hAnsi="宋体" w:eastAsia="宋体" w:cs="宋体"/>
          <w:color w:val="000000"/>
          <w:highlight w:val="none"/>
        </w:rPr>
      </w:pPr>
      <w:r>
        <w:rPr>
          <w:rFonts w:hint="eastAsia" w:ascii="宋体" w:hAnsi="宋体" w:eastAsia="宋体" w:cs="宋体"/>
          <w:color w:val="000000"/>
          <w:highlight w:val="none"/>
        </w:rPr>
        <w:br w:type="page"/>
      </w:r>
      <w:bookmarkStart w:id="185" w:name="_Toc5285"/>
      <w:r>
        <w:rPr>
          <w:rFonts w:hint="eastAsia" w:ascii="宋体" w:hAnsi="宋体" w:eastAsia="宋体" w:cs="宋体"/>
          <w:b/>
          <w:bCs/>
          <w:color w:val="000000"/>
          <w:kern w:val="2"/>
          <w:highlight w:val="none"/>
        </w:rPr>
        <w:t>6.5   承诺书</w:t>
      </w:r>
      <w:bookmarkEnd w:id="185"/>
    </w:p>
    <w:p w14:paraId="5AAC27BA">
      <w:pPr>
        <w:pStyle w:val="14"/>
        <w:shd w:val="clear" w:color="auto" w:fill="auto"/>
        <w:spacing w:before="0" w:beforeAutospacing="0" w:after="0" w:afterAutospacing="0" w:line="360" w:lineRule="auto"/>
        <w:outlineLvl w:val="9"/>
        <w:rPr>
          <w:rFonts w:hint="eastAsia" w:ascii="宋体" w:hAnsi="宋体" w:eastAsia="宋体" w:cs="宋体"/>
          <w:color w:val="000000"/>
          <w:highlight w:val="none"/>
        </w:rPr>
      </w:pPr>
    </w:p>
    <w:p w14:paraId="39389694">
      <w:pPr>
        <w:pStyle w:val="14"/>
        <w:shd w:val="clear" w:color="auto" w:fill="auto"/>
        <w:spacing w:before="0" w:beforeAutospacing="0" w:after="0" w:afterAutospacing="0" w:line="360" w:lineRule="auto"/>
        <w:outlineLvl w:val="9"/>
        <w:rPr>
          <w:rFonts w:hint="eastAsia" w:ascii="宋体" w:hAnsi="宋体" w:eastAsia="宋体" w:cs="宋体"/>
          <w:color w:val="000000"/>
          <w:highlight w:val="none"/>
        </w:rPr>
      </w:pPr>
      <w:r>
        <w:rPr>
          <w:rFonts w:hint="eastAsia" w:ascii="宋体" w:hAnsi="宋体" w:eastAsia="宋体" w:cs="宋体"/>
          <w:color w:val="000000"/>
          <w:highlight w:val="none"/>
        </w:rPr>
        <w:t>致：</w:t>
      </w:r>
      <w:r>
        <w:rPr>
          <w:rFonts w:hint="eastAsia" w:ascii="宋体" w:hAnsi="宋体" w:eastAsia="宋体" w:cs="宋体"/>
          <w:color w:val="000000"/>
          <w:highlight w:val="none"/>
          <w:u w:val="single"/>
        </w:rPr>
        <w:t>（招标人）</w:t>
      </w:r>
    </w:p>
    <w:p w14:paraId="11E11910">
      <w:pPr>
        <w:pStyle w:val="14"/>
        <w:shd w:val="clear" w:color="auto" w:fill="auto"/>
        <w:spacing w:before="0" w:beforeAutospacing="0" w:after="0" w:afterAutospacing="0" w:line="360" w:lineRule="auto"/>
        <w:ind w:firstLine="480" w:firstLineChars="200"/>
        <w:outlineLvl w:val="9"/>
        <w:rPr>
          <w:rFonts w:hint="eastAsia" w:ascii="宋体" w:hAnsi="宋体" w:eastAsia="宋体" w:cs="宋体"/>
          <w:color w:val="000000"/>
          <w:sz w:val="21"/>
          <w:szCs w:val="21"/>
          <w:highlight w:val="none"/>
        </w:rPr>
      </w:pPr>
      <w:r>
        <w:rPr>
          <w:rFonts w:hint="eastAsia" w:ascii="宋体" w:hAnsi="宋体" w:eastAsia="宋体" w:cs="宋体"/>
          <w:color w:val="000000"/>
          <w:highlight w:val="none"/>
        </w:rPr>
        <w:t>我方现参加</w:t>
      </w:r>
      <w:r>
        <w:rPr>
          <w:rFonts w:hint="eastAsia" w:cs="宋体"/>
          <w:color w:val="000000"/>
          <w:highlight w:val="none"/>
          <w:u w:val="single"/>
          <w:lang w:eastAsia="zh-CN"/>
        </w:rPr>
        <w:t>广东省韶关市武江区农业产业基础设施建设项目-武江区2026年农业产业基础设施建设项目（江湾镇）勘察设计</w:t>
      </w:r>
      <w:r>
        <w:rPr>
          <w:rFonts w:hint="eastAsia" w:ascii="宋体" w:hAnsi="宋体" w:eastAsia="宋体" w:cs="宋体"/>
          <w:color w:val="000000"/>
          <w:highlight w:val="none"/>
        </w:rPr>
        <w:t>项目投标，如我方中标，为确保按时、保质、保量完成项目任务，特此作出如下承诺：</w:t>
      </w:r>
    </w:p>
    <w:p w14:paraId="78F4A826">
      <w:pPr>
        <w:pStyle w:val="14"/>
        <w:shd w:val="clear" w:color="auto" w:fill="auto"/>
        <w:spacing w:before="0" w:beforeAutospacing="0" w:after="0" w:afterAutospacing="0" w:line="360" w:lineRule="auto"/>
        <w:ind w:firstLine="420" w:firstLineChars="200"/>
        <w:outlineLvl w:val="9"/>
        <w:rPr>
          <w:rFonts w:hint="eastAsia" w:ascii="宋体" w:hAnsi="宋体" w:eastAsia="宋体" w:cs="宋体"/>
          <w:color w:val="000000"/>
          <w:highlight w:val="none"/>
        </w:rPr>
      </w:pPr>
      <w:r>
        <w:rPr>
          <w:rFonts w:hint="eastAsia" w:ascii="宋体" w:hAnsi="宋体" w:eastAsia="宋体" w:cs="宋体"/>
          <w:color w:val="000000"/>
          <w:sz w:val="21"/>
          <w:szCs w:val="21"/>
          <w:highlight w:val="none"/>
        </w:rPr>
        <w:t>一</w:t>
      </w:r>
      <w:r>
        <w:rPr>
          <w:rFonts w:hint="eastAsia" w:ascii="宋体" w:hAnsi="宋体" w:eastAsia="宋体" w:cs="宋体"/>
          <w:color w:val="000000"/>
          <w:highlight w:val="none"/>
        </w:rPr>
        <w:t>、进度承诺：我方保证</w:t>
      </w:r>
      <w:r>
        <w:rPr>
          <w:rFonts w:hint="eastAsia" w:cs="宋体"/>
          <w:color w:val="000000"/>
          <w:highlight w:val="none"/>
          <w:u w:val="single"/>
          <w:lang w:eastAsia="zh-CN"/>
        </w:rPr>
        <w:t>广东省韶关市武江区农业产业基础设施建设项目-武江区2026年农业产业基础设施建设项目（江湾镇）勘察设计</w:t>
      </w:r>
      <w:r>
        <w:rPr>
          <w:rFonts w:hint="eastAsia" w:ascii="宋体" w:hAnsi="宋体" w:eastAsia="宋体" w:cs="宋体"/>
          <w:color w:val="000000"/>
          <w:highlight w:val="none"/>
        </w:rPr>
        <w:t>的项目在</w:t>
      </w:r>
      <w:r>
        <w:rPr>
          <w:rFonts w:hint="eastAsia" w:ascii="宋体" w:hAnsi="宋体" w:eastAsia="宋体" w:cs="宋体"/>
          <w:color w:val="000000"/>
          <w:highlight w:val="none"/>
          <w:lang w:val="en-US" w:eastAsia="zh-CN"/>
        </w:rPr>
        <w:t>30</w:t>
      </w:r>
      <w:r>
        <w:rPr>
          <w:rFonts w:hint="eastAsia" w:ascii="宋体" w:hAnsi="宋体" w:eastAsia="宋体" w:cs="宋体"/>
          <w:color w:val="000000"/>
          <w:highlight w:val="none"/>
        </w:rPr>
        <w:t>日历天内完成。</w:t>
      </w:r>
    </w:p>
    <w:p w14:paraId="585BDD29">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（1）初步设计计划工期：</w:t>
      </w:r>
      <w:r>
        <w:rPr>
          <w:rFonts w:hint="eastAsia" w:ascii="宋体" w:hAnsi="宋体" w:eastAsia="宋体" w:cs="宋体"/>
          <w:color w:val="000000"/>
          <w:sz w:val="24"/>
          <w:szCs w:val="32"/>
          <w:shd w:val="clear" w:color="auto" w:fill="auto"/>
          <w:lang w:val="en-US" w:eastAsia="zh-CN"/>
        </w:rPr>
        <w:t>20个日历天</w:t>
      </w:r>
      <w:r>
        <w:rPr>
          <w:rFonts w:hint="eastAsia" w:ascii="宋体" w:hAnsi="宋体" w:eastAsia="宋体" w:cs="宋体"/>
          <w:color w:val="000000"/>
          <w:sz w:val="24"/>
          <w:szCs w:val="32"/>
        </w:rPr>
        <w:t>内完成初步设计并提交包括初步设计报告、工程量清单、工程量计算书、工程概算及工程相关图纸等能参加技术评审的所有成果；</w:t>
      </w:r>
    </w:p>
    <w:p w14:paraId="1115FCE6">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（2）开完技术评审会次日起</w:t>
      </w:r>
      <w:r>
        <w:rPr>
          <w:rFonts w:hint="eastAsia" w:ascii="宋体" w:hAnsi="宋体" w:eastAsia="宋体" w:cs="宋体"/>
          <w:color w:val="000000"/>
          <w:sz w:val="24"/>
          <w:szCs w:val="32"/>
          <w:shd w:val="clear" w:color="auto" w:fill="auto"/>
          <w:lang w:val="en-US" w:eastAsia="zh-CN"/>
        </w:rPr>
        <w:t>3个日历天</w:t>
      </w:r>
      <w:r>
        <w:rPr>
          <w:rFonts w:hint="eastAsia" w:ascii="宋体" w:hAnsi="宋体" w:eastAsia="宋体" w:cs="宋体"/>
          <w:color w:val="000000"/>
          <w:sz w:val="24"/>
          <w:szCs w:val="32"/>
        </w:rPr>
        <w:t>内完成对本项目初步设计技术评审会专家的评审修改意见的修改；</w:t>
      </w:r>
    </w:p>
    <w:p w14:paraId="60B2ACD8">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（3）自发包人书面通知之日起</w:t>
      </w:r>
      <w:r>
        <w:rPr>
          <w:rFonts w:hint="eastAsia" w:ascii="宋体" w:hAnsi="宋体" w:eastAsia="宋体" w:cs="宋体"/>
          <w:color w:val="000000"/>
          <w:sz w:val="24"/>
          <w:szCs w:val="32"/>
          <w:shd w:val="clear" w:color="auto" w:fill="auto"/>
          <w:lang w:val="en-US" w:eastAsia="zh-CN"/>
        </w:rPr>
        <w:t>3个日历天内</w:t>
      </w:r>
      <w:r>
        <w:rPr>
          <w:rFonts w:hint="eastAsia" w:ascii="宋体" w:hAnsi="宋体" w:eastAsia="宋体" w:cs="宋体"/>
          <w:color w:val="000000"/>
          <w:sz w:val="24"/>
          <w:szCs w:val="32"/>
        </w:rPr>
        <w:t>提交施工招标设计、工程量清单及招标图纸；</w:t>
      </w:r>
    </w:p>
    <w:p w14:paraId="67BF3382">
      <w:pPr>
        <w:keepNext w:val="0"/>
        <w:keepLines w:val="0"/>
        <w:pageBreakBefore w:val="0"/>
        <w:kinsoku/>
        <w:overflowPunct/>
        <w:topLinePunct w:val="0"/>
        <w:autoSpaceDE/>
        <w:autoSpaceDN/>
        <w:bidi w:val="0"/>
        <w:snapToGrid/>
        <w:spacing w:line="500" w:lineRule="exact"/>
        <w:ind w:firstLine="480" w:firstLineChars="200"/>
        <w:textAlignment w:val="auto"/>
        <w:rPr>
          <w:rFonts w:hint="eastAsia" w:ascii="宋体" w:hAnsi="宋体" w:eastAsia="宋体" w:cs="宋体"/>
          <w:color w:val="000000"/>
          <w:sz w:val="24"/>
          <w:szCs w:val="32"/>
        </w:rPr>
      </w:pPr>
      <w:r>
        <w:rPr>
          <w:rFonts w:hint="eastAsia" w:ascii="宋体" w:hAnsi="宋体" w:eastAsia="宋体" w:cs="宋体"/>
          <w:color w:val="000000"/>
          <w:sz w:val="24"/>
          <w:szCs w:val="32"/>
        </w:rPr>
        <w:t>（4）自发包人书面通知之日起</w:t>
      </w:r>
      <w:r>
        <w:rPr>
          <w:rFonts w:hint="eastAsia" w:ascii="宋体" w:hAnsi="宋体" w:eastAsia="宋体" w:cs="宋体"/>
          <w:color w:val="000000"/>
          <w:sz w:val="24"/>
          <w:szCs w:val="32"/>
          <w:shd w:val="clear" w:color="auto" w:fill="auto"/>
          <w:lang w:val="en-US" w:eastAsia="zh-CN"/>
        </w:rPr>
        <w:t>4个日历天内</w:t>
      </w:r>
      <w:r>
        <w:rPr>
          <w:rFonts w:hint="eastAsia" w:ascii="宋体" w:hAnsi="宋体" w:eastAsia="宋体" w:cs="宋体"/>
          <w:color w:val="000000"/>
          <w:sz w:val="24"/>
          <w:szCs w:val="32"/>
        </w:rPr>
        <w:t>提交施工图设计图纸及施工图预算。</w:t>
      </w:r>
    </w:p>
    <w:p w14:paraId="6A37BBAF">
      <w:pPr>
        <w:pStyle w:val="14"/>
        <w:shd w:val="clear" w:color="auto" w:fill="auto"/>
        <w:spacing w:before="0" w:beforeAutospacing="0" w:after="0" w:afterAutospacing="0" w:line="360" w:lineRule="auto"/>
        <w:ind w:firstLine="480" w:firstLineChars="200"/>
        <w:outlineLvl w:val="9"/>
        <w:rPr>
          <w:rFonts w:hint="eastAsia" w:ascii="宋体" w:hAnsi="宋体" w:eastAsia="宋体" w:cs="宋体"/>
          <w:color w:val="000000"/>
          <w:highlight w:val="none"/>
        </w:rPr>
      </w:pPr>
      <w:r>
        <w:rPr>
          <w:rFonts w:hint="eastAsia" w:ascii="宋体" w:hAnsi="宋体" w:eastAsia="宋体" w:cs="宋体"/>
          <w:color w:val="000000"/>
          <w:highlight w:val="none"/>
        </w:rPr>
        <w:t>违约责任：①若因我方原因，未按上述要求完成初步设计工作时，我方在逾期第一天起按合同约定向招标人缴纳违约金每天5000元，逾期达到10日历天，招标人有权解除合同，我方承担所有由此引起的责任及经济损失；②若因我方原因，未按上述要求完成对本项目初步设计技术评审会专家的评审修改意见的修改工作时，我方在逾期第一天起按合同约定向招标人缴纳违约金每天5000元，逾期达到5日历天，招标人有权解除合同，我方承担所有由此引起的责任及经济损失；③若因我方原因，未按上述要求提交施工招标设计图时，我方在逾期第一天起按合同约定向招标人缴纳违约金每天5000元，逾期达到5日历天，招标人有权解除合同，我方承担所有由此引起的责任及经济损失；④若因我方原因，未按上述要求提交施工图设计成果时，我方在逾期第一天起按合同约定向招标人缴纳违约金每天5000元，逾期达到5日历天，招标人有权解除合同，我方承担所有由此引起的责任及经济损失。</w:t>
      </w:r>
    </w:p>
    <w:p w14:paraId="48A21AF3">
      <w:pPr>
        <w:pStyle w:val="14"/>
        <w:shd w:val="clear" w:color="auto" w:fill="auto"/>
        <w:spacing w:before="0" w:beforeAutospacing="0" w:after="0" w:afterAutospacing="0" w:line="360" w:lineRule="auto"/>
        <w:ind w:firstLine="480" w:firstLineChars="200"/>
        <w:outlineLvl w:val="9"/>
        <w:rPr>
          <w:rFonts w:hint="eastAsia" w:ascii="宋体" w:hAnsi="宋体" w:eastAsia="宋体" w:cs="宋体"/>
          <w:color w:val="000000"/>
          <w:highlight w:val="none"/>
        </w:rPr>
      </w:pPr>
      <w:bookmarkStart w:id="186" w:name="_Toc19827"/>
      <w:r>
        <w:rPr>
          <w:rFonts w:hint="eastAsia" w:ascii="宋体" w:hAnsi="宋体" w:eastAsia="宋体" w:cs="宋体"/>
          <w:color w:val="000000"/>
          <w:highlight w:val="none"/>
        </w:rPr>
        <w:t>二、项目人员管理承诺：</w:t>
      </w:r>
      <w:bookmarkEnd w:id="186"/>
    </w:p>
    <w:p w14:paraId="0F3B5D15">
      <w:pPr>
        <w:pStyle w:val="14"/>
        <w:shd w:val="clear" w:color="auto" w:fill="auto"/>
        <w:spacing w:before="0" w:beforeAutospacing="0" w:after="0" w:afterAutospacing="0" w:line="360" w:lineRule="auto"/>
        <w:ind w:firstLine="480" w:firstLineChars="200"/>
        <w:outlineLvl w:val="9"/>
        <w:rPr>
          <w:rFonts w:hint="eastAsia" w:ascii="宋体" w:hAnsi="宋体" w:eastAsia="宋体" w:cs="宋体"/>
          <w:color w:val="000000"/>
          <w:highlight w:val="none"/>
        </w:rPr>
      </w:pPr>
      <w:r>
        <w:rPr>
          <w:rFonts w:hint="eastAsia" w:ascii="宋体" w:hAnsi="宋体" w:eastAsia="宋体" w:cs="宋体"/>
          <w:color w:val="000000"/>
          <w:highlight w:val="none"/>
        </w:rPr>
        <w:t>1、投标文件中拟派的项目技术负责人（或设计负责人）及其他技术人员全部进驻本项目管理部且所有人员保证依时参加由招标人组织的现场踏勘协调、安全生产、技术评审等会议。</w:t>
      </w:r>
    </w:p>
    <w:p w14:paraId="62013A3C">
      <w:pPr>
        <w:pStyle w:val="14"/>
        <w:shd w:val="clear" w:color="auto" w:fill="auto"/>
        <w:spacing w:before="0" w:beforeAutospacing="0" w:after="0" w:afterAutospacing="0" w:line="360" w:lineRule="auto"/>
        <w:ind w:firstLine="480" w:firstLineChars="200"/>
        <w:outlineLvl w:val="9"/>
        <w:rPr>
          <w:rFonts w:hint="eastAsia" w:ascii="宋体" w:hAnsi="宋体" w:eastAsia="宋体" w:cs="宋体"/>
          <w:color w:val="000000"/>
          <w:highlight w:val="none"/>
        </w:rPr>
      </w:pPr>
      <w:r>
        <w:rPr>
          <w:rFonts w:hint="eastAsia" w:ascii="宋体" w:hAnsi="宋体" w:eastAsia="宋体" w:cs="宋体"/>
          <w:color w:val="000000"/>
          <w:highlight w:val="none"/>
        </w:rPr>
        <w:t>2、我方保证派设计负责人及其他技术人员长驻施工现场进行施工现场指导并参加监理例会以便配合与解决与工程有关的一切业务问题。</w:t>
      </w:r>
    </w:p>
    <w:p w14:paraId="510A3FC6">
      <w:pPr>
        <w:pStyle w:val="14"/>
        <w:shd w:val="clear" w:color="auto" w:fill="auto"/>
        <w:spacing w:before="0" w:beforeAutospacing="0" w:after="0" w:afterAutospacing="0" w:line="360" w:lineRule="auto"/>
        <w:ind w:firstLine="480" w:firstLineChars="200"/>
        <w:outlineLvl w:val="9"/>
        <w:rPr>
          <w:rFonts w:hint="eastAsia" w:ascii="宋体" w:hAnsi="宋体" w:eastAsia="宋体" w:cs="宋体"/>
          <w:color w:val="000000"/>
          <w:highlight w:val="none"/>
        </w:rPr>
      </w:pPr>
      <w:r>
        <w:rPr>
          <w:rFonts w:hint="eastAsia" w:ascii="宋体" w:hAnsi="宋体" w:eastAsia="宋体" w:cs="宋体"/>
          <w:color w:val="000000"/>
          <w:highlight w:val="none"/>
        </w:rPr>
        <w:t>3、我方保证：未经招标人批准不得更换投标文件中所到本项目的专业技术人员。</w:t>
      </w:r>
    </w:p>
    <w:p w14:paraId="7958B649">
      <w:pPr>
        <w:pStyle w:val="14"/>
        <w:shd w:val="clear" w:color="auto" w:fill="auto"/>
        <w:spacing w:before="0" w:beforeAutospacing="0" w:after="0" w:afterAutospacing="0" w:line="360" w:lineRule="auto"/>
        <w:ind w:firstLine="480" w:firstLineChars="200"/>
        <w:outlineLvl w:val="9"/>
        <w:rPr>
          <w:rFonts w:hint="eastAsia" w:ascii="宋体" w:hAnsi="宋体" w:eastAsia="宋体" w:cs="宋体"/>
          <w:color w:val="000000"/>
          <w:highlight w:val="none"/>
        </w:rPr>
      </w:pPr>
      <w:r>
        <w:rPr>
          <w:rFonts w:hint="eastAsia" w:ascii="宋体" w:hAnsi="宋体" w:eastAsia="宋体" w:cs="宋体"/>
          <w:color w:val="000000"/>
          <w:highlight w:val="none"/>
        </w:rPr>
        <w:t>若我方违反上述任何条款均视为违约，如经过三次整改或警告仍未彻底解决问题，招标人有权解除合同并上报行业主管部门作不良记录处理，我方承担由此造成的所有责任及经济损失。</w:t>
      </w:r>
    </w:p>
    <w:p w14:paraId="103F97AF">
      <w:pPr>
        <w:pStyle w:val="14"/>
        <w:shd w:val="clear" w:color="auto" w:fill="auto"/>
        <w:spacing w:before="0" w:beforeAutospacing="0" w:after="0" w:afterAutospacing="0" w:line="360" w:lineRule="auto"/>
        <w:ind w:firstLine="480" w:firstLineChars="200"/>
        <w:outlineLvl w:val="9"/>
        <w:rPr>
          <w:rFonts w:hint="eastAsia" w:ascii="宋体" w:hAnsi="宋体" w:eastAsia="宋体" w:cs="宋体"/>
          <w:color w:val="000000"/>
          <w:highlight w:val="none"/>
        </w:rPr>
      </w:pPr>
      <w:r>
        <w:rPr>
          <w:rFonts w:hint="eastAsia" w:ascii="宋体" w:hAnsi="宋体" w:eastAsia="宋体" w:cs="宋体"/>
          <w:color w:val="000000"/>
          <w:highlight w:val="none"/>
        </w:rPr>
        <w:t>4、我方保证所有参与本项目的勘察设计人员均为我方员工，绝不转包或临时聘用临时闲散参与其中。若我方违反该条款将视为违约，招标人有权解除合同且可将我方列入企业不良行为记录，并承担所有由此引起的责任及经济损失。</w:t>
      </w:r>
    </w:p>
    <w:p w14:paraId="4E62F305">
      <w:pPr>
        <w:pStyle w:val="14"/>
        <w:shd w:val="clear" w:color="auto" w:fill="auto"/>
        <w:spacing w:before="0" w:beforeAutospacing="0" w:after="0" w:afterAutospacing="0" w:line="360" w:lineRule="auto"/>
        <w:ind w:firstLine="480" w:firstLineChars="200"/>
        <w:outlineLvl w:val="9"/>
        <w:rPr>
          <w:rFonts w:hint="eastAsia" w:ascii="宋体" w:hAnsi="宋体" w:eastAsia="宋体" w:cs="宋体"/>
          <w:color w:val="000000"/>
          <w:highlight w:val="none"/>
        </w:rPr>
      </w:pPr>
    </w:p>
    <w:p w14:paraId="0BAA04FC">
      <w:pPr>
        <w:pStyle w:val="14"/>
        <w:shd w:val="clear" w:color="auto" w:fill="auto"/>
        <w:spacing w:before="0" w:beforeAutospacing="0" w:after="0" w:afterAutospacing="0" w:line="360" w:lineRule="auto"/>
        <w:ind w:firstLine="480" w:firstLineChars="200"/>
        <w:outlineLvl w:val="9"/>
        <w:rPr>
          <w:rFonts w:hint="eastAsia" w:ascii="宋体" w:hAnsi="宋体" w:eastAsia="宋体" w:cs="宋体"/>
          <w:color w:val="000000"/>
          <w:highlight w:val="none"/>
        </w:rPr>
      </w:pPr>
      <w:r>
        <w:rPr>
          <w:rFonts w:hint="eastAsia" w:ascii="宋体" w:hAnsi="宋体" w:eastAsia="宋体" w:cs="宋体"/>
          <w:color w:val="000000"/>
          <w:highlight w:val="none"/>
        </w:rPr>
        <w:t xml:space="preserve">                          投标人名称：</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（盖单位章）</w:t>
      </w:r>
    </w:p>
    <w:p w14:paraId="4B0ACD80">
      <w:pPr>
        <w:pStyle w:val="14"/>
        <w:shd w:val="clear" w:color="auto" w:fill="auto"/>
        <w:spacing w:before="0" w:beforeAutospacing="0" w:after="0" w:afterAutospacing="0" w:line="360" w:lineRule="auto"/>
        <w:ind w:firstLine="480" w:firstLineChars="200"/>
        <w:outlineLvl w:val="9"/>
        <w:rPr>
          <w:rFonts w:hint="eastAsia" w:ascii="宋体" w:hAnsi="宋体" w:eastAsia="宋体" w:cs="宋体"/>
          <w:color w:val="000000"/>
          <w:highlight w:val="none"/>
        </w:rPr>
      </w:pPr>
    </w:p>
    <w:p w14:paraId="3A6FADC6">
      <w:pPr>
        <w:pStyle w:val="14"/>
        <w:shd w:val="clear" w:color="auto" w:fill="auto"/>
        <w:spacing w:before="0" w:beforeAutospacing="0" w:after="0" w:afterAutospacing="0" w:line="360" w:lineRule="auto"/>
        <w:ind w:firstLine="480" w:firstLineChars="200"/>
        <w:outlineLvl w:val="9"/>
        <w:rPr>
          <w:rFonts w:hint="eastAsia" w:ascii="宋体" w:hAnsi="宋体" w:eastAsia="宋体" w:cs="宋体"/>
          <w:color w:val="000000"/>
          <w:highlight w:val="none"/>
        </w:rPr>
      </w:pPr>
      <w:r>
        <w:rPr>
          <w:rFonts w:hint="eastAsia" w:ascii="宋体" w:hAnsi="宋体" w:eastAsia="宋体" w:cs="宋体"/>
          <w:color w:val="000000"/>
          <w:highlight w:val="none"/>
        </w:rPr>
        <w:t xml:space="preserve">                          法定代表人：</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（签字或盖章）</w:t>
      </w:r>
    </w:p>
    <w:p w14:paraId="510FE656">
      <w:pPr>
        <w:pStyle w:val="14"/>
        <w:shd w:val="clear" w:color="auto" w:fill="auto"/>
        <w:spacing w:before="0" w:beforeAutospacing="0" w:after="0" w:afterAutospacing="0" w:line="360" w:lineRule="auto"/>
        <w:ind w:firstLine="480" w:firstLineChars="200"/>
        <w:outlineLvl w:val="9"/>
        <w:rPr>
          <w:rFonts w:hint="eastAsia" w:ascii="宋体" w:hAnsi="宋体" w:eastAsia="宋体" w:cs="宋体"/>
          <w:color w:val="000000"/>
          <w:highlight w:val="none"/>
        </w:rPr>
      </w:pPr>
    </w:p>
    <w:p w14:paraId="429B25FA">
      <w:pPr>
        <w:pStyle w:val="14"/>
        <w:shd w:val="clear" w:color="auto" w:fill="auto"/>
        <w:spacing w:before="0" w:beforeAutospacing="0" w:after="0" w:afterAutospacing="0" w:line="360" w:lineRule="auto"/>
        <w:ind w:firstLine="480" w:firstLineChars="200"/>
        <w:outlineLvl w:val="9"/>
        <w:rPr>
          <w:rFonts w:hint="eastAsia" w:ascii="宋体" w:hAnsi="宋体" w:eastAsia="宋体" w:cs="宋体"/>
          <w:b/>
          <w:color w:val="000000"/>
          <w:highlight w:val="none"/>
        </w:rPr>
      </w:pPr>
      <w:r>
        <w:rPr>
          <w:rFonts w:hint="eastAsia" w:ascii="宋体" w:hAnsi="宋体" w:eastAsia="宋体" w:cs="宋体"/>
          <w:color w:val="000000"/>
          <w:highlight w:val="none"/>
        </w:rPr>
        <w:t xml:space="preserve">                                         </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年</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月</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日</w:t>
      </w:r>
    </w:p>
    <w:p w14:paraId="79A3D3E8">
      <w:pPr>
        <w:pStyle w:val="14"/>
        <w:shd w:val="clear" w:color="auto" w:fill="auto"/>
        <w:spacing w:before="0" w:beforeAutospacing="0" w:after="0" w:afterAutospacing="0" w:line="360" w:lineRule="exact"/>
        <w:ind w:firstLine="420"/>
        <w:outlineLvl w:val="9"/>
        <w:rPr>
          <w:rFonts w:hint="eastAsia" w:ascii="宋体" w:hAnsi="宋体" w:eastAsia="宋体" w:cs="宋体"/>
          <w:b/>
          <w:color w:val="000000"/>
          <w:highlight w:val="none"/>
        </w:rPr>
      </w:pPr>
    </w:p>
    <w:p w14:paraId="7AF0414B">
      <w:pPr>
        <w:pStyle w:val="14"/>
        <w:shd w:val="clear" w:color="auto" w:fill="FFFFFF"/>
        <w:spacing w:before="0" w:beforeAutospacing="0" w:after="0" w:afterAutospacing="0" w:line="330" w:lineRule="atLeast"/>
        <w:outlineLvl w:val="9"/>
        <w:rPr>
          <w:rFonts w:hint="eastAsia" w:ascii="宋体" w:hAnsi="宋体" w:eastAsia="宋体" w:cs="宋体"/>
          <w:b/>
          <w:bCs/>
          <w:color w:val="000000"/>
          <w:sz w:val="30"/>
          <w:szCs w:val="30"/>
          <w:highlight w:val="none"/>
          <w:shd w:val="clear" w:color="auto" w:fill="auto"/>
        </w:rPr>
      </w:pPr>
      <w:r>
        <w:rPr>
          <w:rFonts w:hint="eastAsia" w:ascii="宋体" w:hAnsi="宋体" w:eastAsia="宋体" w:cs="宋体"/>
          <w:b/>
          <w:color w:val="000000"/>
          <w:highlight w:val="none"/>
        </w:rPr>
        <w:br w:type="page"/>
      </w:r>
      <w:bookmarkStart w:id="187" w:name="_Toc1836"/>
      <w:r>
        <w:rPr>
          <w:rFonts w:hint="eastAsia" w:ascii="宋体" w:hAnsi="宋体" w:eastAsia="宋体" w:cs="宋体"/>
          <w:b/>
          <w:bCs/>
          <w:color w:val="000000"/>
          <w:sz w:val="30"/>
          <w:szCs w:val="30"/>
          <w:highlight w:val="none"/>
          <w:shd w:val="clear" w:color="auto" w:fill="auto"/>
        </w:rPr>
        <w:t>七、 其他资料</w:t>
      </w:r>
      <w:bookmarkEnd w:id="187"/>
    </w:p>
    <w:p w14:paraId="0FA796F5">
      <w:pPr>
        <w:autoSpaceDE w:val="0"/>
        <w:autoSpaceDN w:val="0"/>
        <w:adjustRightInd w:val="0"/>
        <w:snapToGrid w:val="0"/>
        <w:spacing w:before="156" w:beforeLines="50" w:after="156" w:afterLines="50" w:line="300" w:lineRule="auto"/>
        <w:jc w:val="center"/>
        <w:outlineLvl w:val="9"/>
        <w:rPr>
          <w:rFonts w:hint="eastAsia" w:ascii="宋体" w:hAnsi="宋体" w:eastAsia="宋体" w:cs="宋体"/>
          <w:b/>
          <w:bCs/>
          <w:color w:val="000000"/>
          <w:szCs w:val="28"/>
          <w:highlight w:val="none"/>
        </w:rPr>
      </w:pPr>
    </w:p>
    <w:p w14:paraId="4BA93915">
      <w:pPr>
        <w:autoSpaceDE w:val="0"/>
        <w:autoSpaceDN w:val="0"/>
        <w:adjustRightInd w:val="0"/>
        <w:snapToGrid w:val="0"/>
        <w:spacing w:before="93" w:beforeLines="30" w:after="93" w:afterLines="30" w:line="360" w:lineRule="auto"/>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投标人根据招标文件认为需要提交的其他资料。若无其他资料，投标人则填写“无”。</w:t>
      </w:r>
    </w:p>
    <w:p w14:paraId="15D5363D">
      <w:pPr>
        <w:adjustRightInd w:val="0"/>
        <w:snapToGrid w:val="0"/>
        <w:spacing w:line="360" w:lineRule="auto"/>
        <w:outlineLvl w:val="9"/>
        <w:rPr>
          <w:rFonts w:hint="eastAsia" w:ascii="宋体" w:hAnsi="宋体" w:eastAsia="宋体" w:cs="宋体"/>
          <w:color w:val="000000"/>
          <w:highlight w:val="none"/>
        </w:rPr>
      </w:pPr>
    </w:p>
    <w:p w14:paraId="0D8A65CF">
      <w:pPr>
        <w:adjustRightInd w:val="0"/>
        <w:snapToGrid w:val="0"/>
        <w:spacing w:line="360" w:lineRule="auto"/>
        <w:outlineLvl w:val="9"/>
        <w:rPr>
          <w:rFonts w:hint="eastAsia" w:ascii="宋体" w:hAnsi="宋体" w:eastAsia="宋体" w:cs="宋体"/>
          <w:color w:val="000000"/>
          <w:highlight w:val="none"/>
        </w:rPr>
      </w:pPr>
    </w:p>
    <w:p w14:paraId="495EF207">
      <w:pPr>
        <w:adjustRightInd w:val="0"/>
        <w:snapToGrid w:val="0"/>
        <w:spacing w:line="360" w:lineRule="auto"/>
        <w:outlineLvl w:val="9"/>
        <w:rPr>
          <w:rFonts w:hint="eastAsia" w:ascii="宋体" w:hAnsi="宋体" w:eastAsia="宋体" w:cs="宋体"/>
          <w:color w:val="000000"/>
          <w:highlight w:val="none"/>
        </w:rPr>
      </w:pPr>
    </w:p>
    <w:p w14:paraId="37325603">
      <w:pPr>
        <w:adjustRightInd w:val="0"/>
        <w:snapToGrid w:val="0"/>
        <w:spacing w:line="360" w:lineRule="auto"/>
        <w:outlineLvl w:val="9"/>
        <w:rPr>
          <w:rFonts w:hint="eastAsia" w:ascii="宋体" w:hAnsi="宋体" w:eastAsia="宋体" w:cs="宋体"/>
          <w:color w:val="000000"/>
          <w:highlight w:val="none"/>
        </w:rPr>
      </w:pPr>
    </w:p>
    <w:p w14:paraId="45EDB50F">
      <w:pPr>
        <w:adjustRightInd w:val="0"/>
        <w:snapToGrid w:val="0"/>
        <w:spacing w:line="360" w:lineRule="auto"/>
        <w:outlineLvl w:val="9"/>
        <w:rPr>
          <w:rFonts w:hint="eastAsia" w:ascii="宋体" w:hAnsi="宋体" w:eastAsia="宋体" w:cs="宋体"/>
          <w:color w:val="000000"/>
          <w:highlight w:val="none"/>
        </w:rPr>
      </w:pPr>
    </w:p>
    <w:p w14:paraId="76BF53EC">
      <w:pPr>
        <w:adjustRightInd w:val="0"/>
        <w:snapToGrid w:val="0"/>
        <w:spacing w:line="360" w:lineRule="auto"/>
        <w:outlineLvl w:val="9"/>
        <w:rPr>
          <w:rFonts w:hint="eastAsia" w:ascii="宋体" w:hAnsi="宋体" w:eastAsia="宋体" w:cs="宋体"/>
          <w:color w:val="000000"/>
          <w:highlight w:val="none"/>
        </w:rPr>
      </w:pPr>
    </w:p>
    <w:p w14:paraId="19298E2D">
      <w:pPr>
        <w:adjustRightInd w:val="0"/>
        <w:snapToGrid w:val="0"/>
        <w:spacing w:line="360" w:lineRule="auto"/>
        <w:outlineLvl w:val="9"/>
        <w:rPr>
          <w:rFonts w:hint="eastAsia" w:ascii="宋体" w:hAnsi="宋体" w:eastAsia="宋体" w:cs="宋体"/>
          <w:color w:val="000000"/>
          <w:highlight w:val="none"/>
        </w:rPr>
      </w:pPr>
    </w:p>
    <w:p w14:paraId="76A4B1D1">
      <w:pPr>
        <w:adjustRightInd w:val="0"/>
        <w:snapToGrid w:val="0"/>
        <w:spacing w:line="360" w:lineRule="auto"/>
        <w:outlineLvl w:val="9"/>
        <w:rPr>
          <w:rFonts w:hint="eastAsia" w:ascii="宋体" w:hAnsi="宋体" w:eastAsia="宋体" w:cs="宋体"/>
          <w:color w:val="000000"/>
          <w:highlight w:val="none"/>
        </w:rPr>
      </w:pPr>
    </w:p>
    <w:p w14:paraId="697BF40D">
      <w:pPr>
        <w:adjustRightInd w:val="0"/>
        <w:snapToGrid w:val="0"/>
        <w:spacing w:line="360" w:lineRule="auto"/>
        <w:outlineLvl w:val="9"/>
        <w:rPr>
          <w:rFonts w:hint="eastAsia" w:ascii="宋体" w:hAnsi="宋体" w:eastAsia="宋体" w:cs="宋体"/>
          <w:color w:val="000000"/>
          <w:highlight w:val="none"/>
        </w:rPr>
      </w:pPr>
    </w:p>
    <w:p w14:paraId="6BC7B463">
      <w:pPr>
        <w:adjustRightInd w:val="0"/>
        <w:snapToGrid w:val="0"/>
        <w:spacing w:line="360" w:lineRule="auto"/>
        <w:outlineLvl w:val="9"/>
        <w:rPr>
          <w:rFonts w:hint="eastAsia" w:ascii="宋体" w:hAnsi="宋体" w:eastAsia="宋体" w:cs="宋体"/>
          <w:color w:val="000000"/>
          <w:highlight w:val="none"/>
        </w:rPr>
      </w:pPr>
    </w:p>
    <w:p w14:paraId="4F49B3BE">
      <w:pPr>
        <w:adjustRightInd w:val="0"/>
        <w:snapToGrid w:val="0"/>
        <w:spacing w:line="360" w:lineRule="auto"/>
        <w:outlineLvl w:val="9"/>
        <w:rPr>
          <w:rFonts w:hint="eastAsia" w:ascii="宋体" w:hAnsi="宋体" w:eastAsia="宋体" w:cs="宋体"/>
          <w:color w:val="000000"/>
          <w:highlight w:val="none"/>
        </w:rPr>
      </w:pPr>
    </w:p>
    <w:p w14:paraId="7BE6737D">
      <w:pPr>
        <w:adjustRightInd w:val="0"/>
        <w:snapToGrid w:val="0"/>
        <w:spacing w:line="360" w:lineRule="auto"/>
        <w:outlineLvl w:val="9"/>
        <w:rPr>
          <w:rFonts w:hint="eastAsia" w:ascii="宋体" w:hAnsi="宋体" w:eastAsia="宋体" w:cs="宋体"/>
          <w:color w:val="000000"/>
          <w:highlight w:val="none"/>
        </w:rPr>
      </w:pPr>
    </w:p>
    <w:p w14:paraId="389AD0F4">
      <w:pPr>
        <w:adjustRightInd w:val="0"/>
        <w:snapToGrid w:val="0"/>
        <w:spacing w:line="360" w:lineRule="auto"/>
        <w:outlineLvl w:val="9"/>
        <w:rPr>
          <w:rFonts w:hint="eastAsia" w:ascii="宋体" w:hAnsi="宋体" w:eastAsia="宋体" w:cs="宋体"/>
          <w:color w:val="000000"/>
          <w:highlight w:val="none"/>
        </w:rPr>
      </w:pPr>
    </w:p>
    <w:p w14:paraId="21398D90">
      <w:pPr>
        <w:adjustRightInd w:val="0"/>
        <w:snapToGrid w:val="0"/>
        <w:spacing w:line="360" w:lineRule="auto"/>
        <w:outlineLvl w:val="9"/>
        <w:rPr>
          <w:rFonts w:hint="eastAsia" w:ascii="宋体" w:hAnsi="宋体" w:eastAsia="宋体" w:cs="宋体"/>
          <w:color w:val="000000"/>
          <w:highlight w:val="none"/>
        </w:rPr>
      </w:pPr>
    </w:p>
    <w:p w14:paraId="7992231D">
      <w:pPr>
        <w:adjustRightInd w:val="0"/>
        <w:snapToGrid w:val="0"/>
        <w:spacing w:line="360" w:lineRule="auto"/>
        <w:outlineLvl w:val="9"/>
        <w:rPr>
          <w:rFonts w:hint="eastAsia" w:ascii="宋体" w:hAnsi="宋体" w:eastAsia="宋体" w:cs="宋体"/>
          <w:color w:val="000000"/>
          <w:highlight w:val="none"/>
        </w:rPr>
      </w:pPr>
    </w:p>
    <w:p w14:paraId="468A35ED">
      <w:pPr>
        <w:adjustRightInd w:val="0"/>
        <w:snapToGrid w:val="0"/>
        <w:spacing w:line="360" w:lineRule="auto"/>
        <w:outlineLvl w:val="9"/>
        <w:rPr>
          <w:rFonts w:hint="eastAsia" w:ascii="宋体" w:hAnsi="宋体" w:eastAsia="宋体" w:cs="宋体"/>
          <w:color w:val="000000"/>
          <w:highlight w:val="none"/>
        </w:rPr>
      </w:pPr>
    </w:p>
    <w:p w14:paraId="2EAFEBEC">
      <w:pPr>
        <w:adjustRightInd w:val="0"/>
        <w:snapToGrid w:val="0"/>
        <w:spacing w:line="360" w:lineRule="auto"/>
        <w:outlineLvl w:val="9"/>
        <w:rPr>
          <w:rFonts w:hint="eastAsia" w:ascii="宋体" w:hAnsi="宋体" w:eastAsia="宋体" w:cs="宋体"/>
          <w:color w:val="000000"/>
          <w:highlight w:val="none"/>
        </w:rPr>
      </w:pPr>
    </w:p>
    <w:p w14:paraId="2BA8D977">
      <w:pPr>
        <w:adjustRightInd w:val="0"/>
        <w:snapToGrid w:val="0"/>
        <w:spacing w:line="360" w:lineRule="auto"/>
        <w:outlineLvl w:val="9"/>
        <w:rPr>
          <w:rFonts w:hint="eastAsia" w:ascii="宋体" w:hAnsi="宋体" w:eastAsia="宋体" w:cs="宋体"/>
          <w:color w:val="000000"/>
          <w:highlight w:val="none"/>
        </w:rPr>
      </w:pPr>
    </w:p>
    <w:p w14:paraId="0F6FBA0C">
      <w:pPr>
        <w:adjustRightInd w:val="0"/>
        <w:snapToGrid w:val="0"/>
        <w:spacing w:line="360" w:lineRule="auto"/>
        <w:outlineLvl w:val="9"/>
        <w:rPr>
          <w:rFonts w:hint="eastAsia" w:ascii="宋体" w:hAnsi="宋体" w:eastAsia="宋体" w:cs="宋体"/>
          <w:color w:val="000000"/>
          <w:highlight w:val="none"/>
        </w:rPr>
      </w:pPr>
    </w:p>
    <w:p w14:paraId="53CB15CB">
      <w:pPr>
        <w:outlineLvl w:val="1"/>
        <w:rPr>
          <w:rStyle w:val="19"/>
          <w:rFonts w:hint="eastAsia" w:ascii="宋体" w:hAnsi="宋体" w:eastAsia="宋体" w:cs="宋体"/>
          <w:color w:val="000000"/>
          <w:sz w:val="28"/>
          <w:szCs w:val="28"/>
          <w:lang w:val="en-US"/>
        </w:rPr>
      </w:pPr>
      <w:r>
        <w:rPr>
          <w:rFonts w:hint="eastAsia" w:ascii="宋体" w:hAnsi="宋体" w:eastAsia="宋体" w:cs="宋体"/>
          <w:color w:val="000000"/>
          <w:highlight w:val="none"/>
        </w:rPr>
        <w:br w:type="page"/>
      </w:r>
      <w:bookmarkStart w:id="188" w:name="_Toc2556"/>
      <w:bookmarkStart w:id="189" w:name="_Toc465627490"/>
      <w:bookmarkStart w:id="190" w:name="_Toc466542230"/>
      <w:bookmarkStart w:id="191" w:name="_Toc29306"/>
      <w:bookmarkStart w:id="192" w:name="_Toc466542559"/>
      <w:bookmarkStart w:id="193" w:name="_Toc18108"/>
      <w:bookmarkStart w:id="194" w:name="_Toc5148"/>
      <w:r>
        <w:rPr>
          <w:rStyle w:val="19"/>
          <w:rFonts w:hint="eastAsia" w:ascii="宋体" w:hAnsi="宋体" w:eastAsia="宋体" w:cs="宋体"/>
          <w:color w:val="000000"/>
          <w:sz w:val="28"/>
          <w:szCs w:val="28"/>
        </w:rPr>
        <w:t>格式3：</w:t>
      </w:r>
      <w:bookmarkEnd w:id="188"/>
      <w:bookmarkEnd w:id="189"/>
      <w:bookmarkEnd w:id="190"/>
      <w:bookmarkEnd w:id="191"/>
      <w:bookmarkEnd w:id="192"/>
      <w:r>
        <w:rPr>
          <w:rStyle w:val="19"/>
          <w:rFonts w:hint="eastAsia" w:ascii="宋体" w:hAnsi="宋体" w:eastAsia="宋体" w:cs="宋体"/>
          <w:color w:val="000000"/>
          <w:sz w:val="28"/>
          <w:szCs w:val="28"/>
          <w:lang w:val="en-US"/>
        </w:rPr>
        <w:t xml:space="preserve">                                       </w:t>
      </w:r>
      <w:bookmarkEnd w:id="193"/>
      <w:bookmarkEnd w:id="194"/>
    </w:p>
    <w:p w14:paraId="6AF46C69">
      <w:pPr>
        <w:adjustRightInd w:val="0"/>
        <w:snapToGrid w:val="0"/>
        <w:spacing w:line="360" w:lineRule="auto"/>
        <w:rPr>
          <w:rFonts w:hint="eastAsia" w:ascii="宋体" w:hAnsi="宋体" w:eastAsia="宋体" w:cs="宋体"/>
          <w:color w:val="000000"/>
          <w:highlight w:val="none"/>
        </w:rPr>
      </w:pPr>
    </w:p>
    <w:p w14:paraId="368DCBB7">
      <w:pPr>
        <w:spacing w:line="360" w:lineRule="auto"/>
        <w:jc w:val="center"/>
        <w:outlineLvl w:val="9"/>
        <w:rPr>
          <w:rFonts w:hint="eastAsia" w:ascii="宋体" w:hAnsi="宋体" w:eastAsia="宋体" w:cs="宋体"/>
          <w:b/>
          <w:color w:val="000000"/>
          <w:sz w:val="48"/>
          <w:szCs w:val="48"/>
          <w:highlight w:val="none"/>
          <w:lang w:eastAsia="zh-CN"/>
        </w:rPr>
      </w:pPr>
      <w:r>
        <w:rPr>
          <w:rFonts w:hint="eastAsia" w:ascii="宋体" w:hAnsi="宋体" w:cs="宋体"/>
          <w:b/>
          <w:color w:val="000000"/>
          <w:sz w:val="48"/>
          <w:szCs w:val="48"/>
          <w:highlight w:val="none"/>
          <w:lang w:eastAsia="zh-CN"/>
        </w:rPr>
        <w:t>广东省韶关市武江区农业产业基础设施建设项目-武江区2026年农业产业基础设施建设项目（江湾镇）勘察设计</w:t>
      </w:r>
    </w:p>
    <w:p w14:paraId="2AFACD40">
      <w:pPr>
        <w:snapToGrid w:val="0"/>
        <w:spacing w:before="480" w:after="360"/>
        <w:jc w:val="center"/>
        <w:outlineLvl w:val="9"/>
        <w:rPr>
          <w:rFonts w:hint="eastAsia" w:ascii="宋体" w:hAnsi="宋体" w:eastAsia="宋体" w:cs="宋体"/>
          <w:b/>
          <w:color w:val="000000"/>
          <w:spacing w:val="-6"/>
          <w:sz w:val="44"/>
          <w:szCs w:val="44"/>
          <w:highlight w:val="none"/>
        </w:rPr>
      </w:pPr>
    </w:p>
    <w:p w14:paraId="0332E439">
      <w:pPr>
        <w:pStyle w:val="6"/>
        <w:outlineLvl w:val="9"/>
        <w:rPr>
          <w:rFonts w:hint="eastAsia" w:ascii="宋体" w:hAnsi="宋体" w:eastAsia="宋体" w:cs="宋体"/>
          <w:b/>
          <w:color w:val="000000"/>
          <w:spacing w:val="-6"/>
          <w:sz w:val="44"/>
          <w:szCs w:val="44"/>
          <w:highlight w:val="none"/>
        </w:rPr>
      </w:pPr>
    </w:p>
    <w:p w14:paraId="5CA3C472">
      <w:pPr>
        <w:pStyle w:val="6"/>
        <w:outlineLvl w:val="9"/>
        <w:rPr>
          <w:rFonts w:hint="eastAsia" w:ascii="宋体" w:hAnsi="宋体" w:eastAsia="宋体" w:cs="宋体"/>
          <w:b/>
          <w:color w:val="000000"/>
          <w:spacing w:val="-6"/>
          <w:sz w:val="44"/>
          <w:szCs w:val="44"/>
          <w:highlight w:val="none"/>
        </w:rPr>
      </w:pPr>
    </w:p>
    <w:p w14:paraId="07DB80B4">
      <w:pPr>
        <w:snapToGrid w:val="0"/>
        <w:spacing w:before="480" w:after="360"/>
        <w:jc w:val="center"/>
        <w:outlineLvl w:val="9"/>
        <w:rPr>
          <w:rFonts w:hint="eastAsia" w:ascii="宋体" w:hAnsi="宋体" w:eastAsia="宋体" w:cs="宋体"/>
          <w:b/>
          <w:bCs/>
          <w:color w:val="000000"/>
          <w:spacing w:val="-16"/>
          <w:sz w:val="72"/>
          <w:szCs w:val="72"/>
          <w:highlight w:val="none"/>
        </w:rPr>
      </w:pPr>
      <w:bookmarkStart w:id="195" w:name="_Toc27475"/>
      <w:r>
        <w:rPr>
          <w:rFonts w:hint="eastAsia" w:ascii="宋体" w:hAnsi="宋体" w:eastAsia="宋体" w:cs="宋体"/>
          <w:b/>
          <w:bCs/>
          <w:color w:val="000000"/>
          <w:spacing w:val="-16"/>
          <w:sz w:val="72"/>
          <w:szCs w:val="72"/>
          <w:highlight w:val="none"/>
        </w:rPr>
        <w:t>投  标  文  件</w:t>
      </w:r>
      <w:bookmarkEnd w:id="195"/>
    </w:p>
    <w:p w14:paraId="5D47F4E8">
      <w:pPr>
        <w:spacing w:line="360" w:lineRule="auto"/>
        <w:jc w:val="center"/>
        <w:outlineLvl w:val="9"/>
        <w:rPr>
          <w:rFonts w:hint="eastAsia" w:ascii="宋体" w:hAnsi="宋体" w:eastAsia="宋体" w:cs="宋体"/>
          <w:b/>
          <w:bCs/>
          <w:color w:val="000000"/>
          <w:sz w:val="44"/>
          <w:szCs w:val="44"/>
          <w:highlight w:val="none"/>
        </w:rPr>
      </w:pPr>
      <w:bookmarkStart w:id="196" w:name="_Toc230"/>
      <w:r>
        <w:rPr>
          <w:rFonts w:hint="eastAsia" w:ascii="宋体" w:hAnsi="宋体" w:eastAsia="宋体" w:cs="宋体"/>
          <w:b/>
          <w:bCs/>
          <w:color w:val="000000"/>
          <w:sz w:val="44"/>
          <w:szCs w:val="44"/>
          <w:highlight w:val="none"/>
        </w:rPr>
        <w:t>（第三册：技术标书）</w:t>
      </w:r>
      <w:bookmarkEnd w:id="196"/>
    </w:p>
    <w:p w14:paraId="259B268A">
      <w:pPr>
        <w:snapToGrid w:val="0"/>
        <w:spacing w:before="480" w:after="360"/>
        <w:jc w:val="center"/>
        <w:outlineLvl w:val="9"/>
        <w:rPr>
          <w:rFonts w:hint="eastAsia" w:ascii="宋体" w:hAnsi="宋体" w:eastAsia="宋体" w:cs="宋体"/>
          <w:b/>
          <w:bCs/>
          <w:color w:val="000000"/>
          <w:spacing w:val="-16"/>
          <w:sz w:val="72"/>
          <w:szCs w:val="72"/>
          <w:highlight w:val="none"/>
        </w:rPr>
      </w:pPr>
    </w:p>
    <w:p w14:paraId="71112A79">
      <w:pPr>
        <w:pStyle w:val="23"/>
        <w:jc w:val="center"/>
        <w:outlineLvl w:val="9"/>
        <w:rPr>
          <w:rFonts w:hint="eastAsia" w:ascii="宋体" w:hAnsi="宋体" w:eastAsia="宋体" w:cs="宋体"/>
          <w:b/>
          <w:color w:val="000000"/>
          <w:sz w:val="30"/>
          <w:szCs w:val="30"/>
          <w:highlight w:val="none"/>
          <w:u w:val="single"/>
        </w:rPr>
      </w:pPr>
      <w:bookmarkStart w:id="197" w:name="_Toc21319"/>
      <w:r>
        <w:rPr>
          <w:rFonts w:hint="eastAsia" w:ascii="宋体" w:hAnsi="宋体" w:eastAsia="宋体" w:cs="宋体"/>
          <w:b/>
          <w:color w:val="000000"/>
          <w:sz w:val="30"/>
          <w:szCs w:val="30"/>
          <w:highlight w:val="none"/>
        </w:rPr>
        <w:t>投标人：</w:t>
      </w:r>
      <w:r>
        <w:rPr>
          <w:rFonts w:hint="eastAsia" w:ascii="宋体" w:hAnsi="宋体" w:eastAsia="宋体" w:cs="宋体"/>
          <w:b/>
          <w:color w:val="000000"/>
          <w:sz w:val="30"/>
          <w:szCs w:val="30"/>
          <w:highlight w:val="none"/>
          <w:u w:val="single"/>
        </w:rPr>
        <w:t xml:space="preserve">     (投标人名称)</w:t>
      </w:r>
      <w:r>
        <w:rPr>
          <w:rFonts w:hint="eastAsia" w:ascii="宋体" w:hAnsi="宋体" w:eastAsia="宋体" w:cs="宋体"/>
          <w:b/>
          <w:color w:val="000000"/>
          <w:sz w:val="30"/>
          <w:szCs w:val="30"/>
          <w:highlight w:val="none"/>
        </w:rPr>
        <w:t xml:space="preserve">  (盖单位章)</w:t>
      </w:r>
      <w:bookmarkEnd w:id="197"/>
    </w:p>
    <w:p w14:paraId="5EED6A9C">
      <w:pPr>
        <w:pStyle w:val="25"/>
        <w:tabs>
          <w:tab w:val="left" w:pos="3600"/>
        </w:tabs>
        <w:autoSpaceDE w:val="0"/>
        <w:autoSpaceDN w:val="0"/>
        <w:spacing w:line="360" w:lineRule="auto"/>
        <w:jc w:val="center"/>
        <w:textAlignment w:val="bottom"/>
        <w:outlineLvl w:val="9"/>
        <w:rPr>
          <w:rFonts w:hint="eastAsia" w:ascii="宋体" w:hAnsi="宋体" w:eastAsia="宋体" w:cs="宋体"/>
          <w:b/>
          <w:bCs/>
          <w:color w:val="000000"/>
          <w:kern w:val="2"/>
          <w:sz w:val="30"/>
          <w:szCs w:val="30"/>
          <w:highlight w:val="none"/>
          <w:u w:val="single"/>
        </w:rPr>
      </w:pPr>
      <w:bookmarkStart w:id="198" w:name="_Toc20166"/>
      <w:r>
        <w:rPr>
          <w:rFonts w:hint="eastAsia" w:ascii="宋体" w:hAnsi="宋体" w:eastAsia="宋体" w:cs="宋体"/>
          <w:b/>
          <w:color w:val="000000"/>
          <w:sz w:val="30"/>
          <w:szCs w:val="30"/>
          <w:highlight w:val="none"/>
        </w:rPr>
        <w:t>法定代表人或其委托代理人：</w:t>
      </w:r>
      <w:r>
        <w:rPr>
          <w:rFonts w:hint="eastAsia" w:ascii="宋体" w:hAnsi="宋体" w:eastAsia="宋体" w:cs="宋体"/>
          <w:b/>
          <w:bCs/>
          <w:color w:val="000000"/>
          <w:kern w:val="2"/>
          <w:sz w:val="30"/>
          <w:szCs w:val="30"/>
          <w:highlight w:val="none"/>
          <w:u w:val="single"/>
        </w:rPr>
        <w:t xml:space="preserve">     (签字或盖章)</w:t>
      </w:r>
      <w:bookmarkEnd w:id="198"/>
    </w:p>
    <w:p w14:paraId="505E3944">
      <w:pPr>
        <w:pStyle w:val="24"/>
        <w:spacing w:line="360" w:lineRule="auto"/>
        <w:outlineLvl w:val="9"/>
        <w:rPr>
          <w:rFonts w:hint="eastAsia" w:ascii="宋体" w:hAnsi="宋体" w:eastAsia="宋体" w:cs="宋体"/>
          <w:b/>
          <w:bCs/>
          <w:color w:val="000000"/>
          <w:sz w:val="32"/>
          <w:szCs w:val="32"/>
          <w:highlight w:val="none"/>
          <w:u w:val="single"/>
        </w:rPr>
      </w:pPr>
    </w:p>
    <w:p w14:paraId="0616A95B">
      <w:pPr>
        <w:pStyle w:val="24"/>
        <w:spacing w:line="360" w:lineRule="auto"/>
        <w:ind w:firstLine="2731" w:firstLineChars="850"/>
        <w:outlineLvl w:val="9"/>
        <w:rPr>
          <w:rFonts w:hint="eastAsia" w:ascii="宋体" w:hAnsi="宋体" w:eastAsia="宋体" w:cs="宋体"/>
          <w:color w:val="000000"/>
          <w:highlight w:val="none"/>
        </w:rPr>
      </w:pPr>
      <w:r>
        <w:rPr>
          <w:rFonts w:hint="eastAsia" w:ascii="宋体" w:hAnsi="宋体" w:eastAsia="宋体" w:cs="宋体"/>
          <w:b/>
          <w:bCs/>
          <w:color w:val="000000"/>
          <w:sz w:val="32"/>
          <w:szCs w:val="32"/>
          <w:highlight w:val="none"/>
          <w:u w:val="single"/>
        </w:rPr>
        <w:t xml:space="preserve">       </w:t>
      </w:r>
      <w:bookmarkStart w:id="199" w:name="_Toc16533"/>
      <w:r>
        <w:rPr>
          <w:rFonts w:hint="eastAsia" w:ascii="宋体" w:hAnsi="宋体" w:eastAsia="宋体" w:cs="宋体"/>
          <w:b/>
          <w:bCs/>
          <w:color w:val="000000"/>
          <w:sz w:val="32"/>
          <w:szCs w:val="32"/>
          <w:highlight w:val="none"/>
        </w:rPr>
        <w:t>年</w:t>
      </w:r>
      <w:r>
        <w:rPr>
          <w:rFonts w:hint="eastAsia" w:ascii="宋体" w:hAnsi="宋体" w:eastAsia="宋体" w:cs="宋体"/>
          <w:b/>
          <w:bCs/>
          <w:color w:val="000000"/>
          <w:sz w:val="32"/>
          <w:szCs w:val="32"/>
          <w:highlight w:val="none"/>
          <w:u w:val="single"/>
        </w:rPr>
        <w:t xml:space="preserve">    </w:t>
      </w:r>
      <w:r>
        <w:rPr>
          <w:rFonts w:hint="eastAsia" w:ascii="宋体" w:hAnsi="宋体" w:eastAsia="宋体" w:cs="宋体"/>
          <w:b/>
          <w:bCs/>
          <w:color w:val="000000"/>
          <w:sz w:val="32"/>
          <w:szCs w:val="32"/>
          <w:highlight w:val="none"/>
        </w:rPr>
        <w:t>月</w:t>
      </w:r>
      <w:r>
        <w:rPr>
          <w:rFonts w:hint="eastAsia" w:ascii="宋体" w:hAnsi="宋体" w:eastAsia="宋体" w:cs="宋体"/>
          <w:b/>
          <w:bCs/>
          <w:color w:val="000000"/>
          <w:sz w:val="32"/>
          <w:szCs w:val="32"/>
          <w:highlight w:val="none"/>
          <w:u w:val="single"/>
        </w:rPr>
        <w:t xml:space="preserve">    </w:t>
      </w:r>
      <w:r>
        <w:rPr>
          <w:rFonts w:hint="eastAsia" w:ascii="宋体" w:hAnsi="宋体" w:eastAsia="宋体" w:cs="宋体"/>
          <w:b/>
          <w:bCs/>
          <w:color w:val="000000"/>
          <w:sz w:val="32"/>
          <w:szCs w:val="32"/>
          <w:highlight w:val="none"/>
        </w:rPr>
        <w:t>日</w:t>
      </w:r>
      <w:bookmarkEnd w:id="199"/>
    </w:p>
    <w:p w14:paraId="53BD8CE4">
      <w:pPr>
        <w:pStyle w:val="24"/>
        <w:spacing w:line="540" w:lineRule="atLeast"/>
        <w:ind w:right="71"/>
        <w:jc w:val="center"/>
        <w:outlineLvl w:val="9"/>
        <w:rPr>
          <w:rFonts w:hint="eastAsia" w:ascii="宋体" w:hAnsi="宋体" w:eastAsia="宋体" w:cs="宋体"/>
          <w:b/>
          <w:bCs/>
          <w:color w:val="000000"/>
          <w:sz w:val="32"/>
          <w:szCs w:val="32"/>
          <w:highlight w:val="none"/>
        </w:rPr>
      </w:pPr>
    </w:p>
    <w:p w14:paraId="511CC284">
      <w:pPr>
        <w:pStyle w:val="24"/>
        <w:spacing w:line="540" w:lineRule="atLeast"/>
        <w:ind w:right="71"/>
        <w:jc w:val="center"/>
        <w:outlineLvl w:val="9"/>
        <w:rPr>
          <w:rFonts w:hint="eastAsia" w:ascii="宋体" w:hAnsi="宋体" w:eastAsia="宋体" w:cs="宋体"/>
          <w:b/>
          <w:bCs/>
          <w:color w:val="000000"/>
          <w:sz w:val="32"/>
          <w:szCs w:val="32"/>
          <w:highlight w:val="none"/>
        </w:rPr>
      </w:pPr>
    </w:p>
    <w:p w14:paraId="28E57008">
      <w:pPr>
        <w:pStyle w:val="24"/>
        <w:spacing w:line="540" w:lineRule="atLeast"/>
        <w:ind w:right="71"/>
        <w:jc w:val="center"/>
        <w:outlineLvl w:val="9"/>
        <w:rPr>
          <w:rFonts w:hint="eastAsia" w:ascii="宋体" w:hAnsi="宋体" w:eastAsia="宋体" w:cs="宋体"/>
          <w:b/>
          <w:bCs/>
          <w:color w:val="000000"/>
          <w:sz w:val="32"/>
          <w:szCs w:val="32"/>
          <w:highlight w:val="none"/>
        </w:rPr>
      </w:pPr>
    </w:p>
    <w:p w14:paraId="4DF3EFBE">
      <w:pPr>
        <w:pStyle w:val="24"/>
        <w:spacing w:line="540" w:lineRule="atLeast"/>
        <w:ind w:right="71"/>
        <w:jc w:val="center"/>
        <w:outlineLvl w:val="9"/>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rPr>
        <w:t>目  录</w:t>
      </w:r>
    </w:p>
    <w:p w14:paraId="4F3A5D1E">
      <w:pPr>
        <w:spacing w:line="540" w:lineRule="atLeast"/>
        <w:ind w:right="2402" w:rightChars="1144"/>
        <w:outlineLvl w:val="9"/>
        <w:rPr>
          <w:rFonts w:hint="eastAsia" w:ascii="宋体" w:hAnsi="宋体" w:eastAsia="宋体" w:cs="宋体"/>
          <w:color w:val="000000"/>
          <w:sz w:val="30"/>
          <w:szCs w:val="30"/>
          <w:highlight w:val="none"/>
          <w:lang w:val="zh-CN"/>
        </w:rPr>
      </w:pPr>
    </w:p>
    <w:p w14:paraId="3B63D3E9">
      <w:pPr>
        <w:bidi w:val="0"/>
        <w:ind w:firstLine="480" w:firstLineChars="200"/>
        <w:rPr>
          <w:rFonts w:hint="eastAsia" w:ascii="宋体" w:hAnsi="宋体" w:eastAsia="宋体" w:cs="宋体"/>
          <w:color w:val="000000"/>
        </w:rPr>
      </w:pPr>
      <w:r>
        <w:rPr>
          <w:rFonts w:hint="eastAsia" w:ascii="宋体" w:hAnsi="宋体" w:eastAsia="宋体" w:cs="宋体"/>
          <w:iCs/>
          <w:color w:val="000000"/>
          <w:sz w:val="24"/>
          <w:highlight w:val="none"/>
        </w:rPr>
        <w:t>注：内容自拟，为便于评标委员会评审，投标人根据技术评审办法自行编制目录并编制页码。</w:t>
      </w:r>
    </w:p>
    <w:p w14:paraId="36C8C094">
      <w:pPr>
        <w:bidi w:val="0"/>
        <w:rPr>
          <w:rFonts w:hint="eastAsia" w:ascii="宋体" w:hAnsi="宋体" w:eastAsia="宋体" w:cs="宋体"/>
          <w:color w:val="000000"/>
        </w:rPr>
      </w:pPr>
    </w:p>
    <w:p w14:paraId="2704250C">
      <w:pPr>
        <w:bidi w:val="0"/>
        <w:rPr>
          <w:rFonts w:hint="eastAsia" w:ascii="宋体" w:hAnsi="宋体" w:eastAsia="宋体" w:cs="宋体"/>
          <w:color w:val="000000"/>
        </w:rPr>
      </w:pPr>
    </w:p>
    <w:p w14:paraId="6FBC1729">
      <w:pPr>
        <w:bidi w:val="0"/>
        <w:rPr>
          <w:rFonts w:hint="eastAsia" w:ascii="宋体" w:hAnsi="宋体" w:eastAsia="宋体" w:cs="宋体"/>
          <w:color w:val="000000"/>
        </w:rPr>
      </w:pPr>
    </w:p>
    <w:p w14:paraId="2E7B70C1">
      <w:pPr>
        <w:bidi w:val="0"/>
        <w:rPr>
          <w:rFonts w:hint="eastAsia" w:ascii="宋体" w:hAnsi="宋体" w:eastAsia="宋体" w:cs="宋体"/>
          <w:color w:val="000000"/>
        </w:rPr>
      </w:pPr>
    </w:p>
    <w:p w14:paraId="202D4658">
      <w:pPr>
        <w:bidi w:val="0"/>
        <w:rPr>
          <w:rFonts w:hint="eastAsia" w:ascii="宋体" w:hAnsi="宋体" w:eastAsia="宋体" w:cs="宋体"/>
          <w:color w:val="000000"/>
        </w:rPr>
      </w:pPr>
    </w:p>
    <w:p w14:paraId="7873BBBF">
      <w:pPr>
        <w:bidi w:val="0"/>
        <w:rPr>
          <w:rFonts w:hint="eastAsia" w:ascii="宋体" w:hAnsi="宋体" w:eastAsia="宋体" w:cs="宋体"/>
          <w:color w:val="000000"/>
        </w:rPr>
      </w:pPr>
    </w:p>
    <w:p w14:paraId="013544F2">
      <w:pPr>
        <w:bidi w:val="0"/>
        <w:rPr>
          <w:rFonts w:hint="eastAsia" w:ascii="宋体" w:hAnsi="宋体" w:eastAsia="宋体" w:cs="宋体"/>
          <w:color w:val="000000"/>
        </w:rPr>
      </w:pPr>
    </w:p>
    <w:p w14:paraId="4DC5E8B9">
      <w:pPr>
        <w:bidi w:val="0"/>
        <w:rPr>
          <w:rFonts w:hint="eastAsia" w:ascii="宋体" w:hAnsi="宋体" w:eastAsia="宋体" w:cs="宋体"/>
          <w:color w:val="000000"/>
        </w:rPr>
      </w:pPr>
    </w:p>
    <w:p w14:paraId="519FAFB7">
      <w:pPr>
        <w:bidi w:val="0"/>
        <w:rPr>
          <w:rFonts w:hint="eastAsia" w:ascii="宋体" w:hAnsi="宋体" w:eastAsia="宋体" w:cs="宋体"/>
          <w:color w:val="000000"/>
        </w:rPr>
      </w:pPr>
    </w:p>
    <w:p w14:paraId="74080D80">
      <w:pPr>
        <w:bidi w:val="0"/>
        <w:rPr>
          <w:rFonts w:hint="eastAsia" w:ascii="宋体" w:hAnsi="宋体" w:eastAsia="宋体" w:cs="宋体"/>
          <w:color w:val="000000"/>
        </w:rPr>
      </w:pPr>
    </w:p>
    <w:p w14:paraId="50C55284">
      <w:pPr>
        <w:bidi w:val="0"/>
        <w:rPr>
          <w:rFonts w:hint="eastAsia" w:ascii="宋体" w:hAnsi="宋体" w:eastAsia="宋体" w:cs="宋体"/>
          <w:color w:val="000000"/>
        </w:rPr>
      </w:pPr>
    </w:p>
    <w:p w14:paraId="6C73A27E">
      <w:pPr>
        <w:bidi w:val="0"/>
        <w:rPr>
          <w:rFonts w:hint="eastAsia" w:ascii="宋体" w:hAnsi="宋体" w:eastAsia="宋体" w:cs="宋体"/>
          <w:color w:val="000000"/>
        </w:rPr>
      </w:pPr>
    </w:p>
    <w:p w14:paraId="3DB14471">
      <w:pPr>
        <w:bidi w:val="0"/>
        <w:rPr>
          <w:rFonts w:hint="eastAsia" w:ascii="宋体" w:hAnsi="宋体" w:eastAsia="宋体" w:cs="宋体"/>
          <w:color w:val="000000"/>
        </w:rPr>
      </w:pPr>
    </w:p>
    <w:p w14:paraId="5A989D90">
      <w:pPr>
        <w:bidi w:val="0"/>
        <w:rPr>
          <w:rFonts w:hint="eastAsia" w:ascii="宋体" w:hAnsi="宋体" w:eastAsia="宋体" w:cs="宋体"/>
          <w:color w:val="000000"/>
        </w:rPr>
      </w:pPr>
    </w:p>
    <w:p w14:paraId="61F84BCB">
      <w:pPr>
        <w:bidi w:val="0"/>
        <w:rPr>
          <w:rFonts w:hint="eastAsia" w:ascii="宋体" w:hAnsi="宋体" w:eastAsia="宋体" w:cs="宋体"/>
          <w:color w:val="000000"/>
        </w:rPr>
      </w:pPr>
    </w:p>
    <w:p w14:paraId="1CBB1A30">
      <w:pPr>
        <w:bidi w:val="0"/>
        <w:rPr>
          <w:rFonts w:hint="eastAsia" w:ascii="宋体" w:hAnsi="宋体" w:eastAsia="宋体" w:cs="宋体"/>
          <w:color w:val="000000"/>
        </w:rPr>
      </w:pPr>
    </w:p>
    <w:p w14:paraId="6F11893B">
      <w:pPr>
        <w:bidi w:val="0"/>
        <w:rPr>
          <w:rFonts w:hint="eastAsia" w:ascii="宋体" w:hAnsi="宋体" w:eastAsia="宋体" w:cs="宋体"/>
          <w:color w:val="000000"/>
        </w:rPr>
      </w:pPr>
    </w:p>
    <w:p w14:paraId="14C9C354">
      <w:pPr>
        <w:bidi w:val="0"/>
        <w:rPr>
          <w:rFonts w:hint="eastAsia" w:ascii="宋体" w:hAnsi="宋体" w:eastAsia="宋体" w:cs="宋体"/>
          <w:color w:val="000000"/>
        </w:rPr>
      </w:pPr>
    </w:p>
    <w:p w14:paraId="44158465">
      <w:pPr>
        <w:bidi w:val="0"/>
        <w:rPr>
          <w:rFonts w:hint="eastAsia" w:ascii="宋体" w:hAnsi="宋体" w:eastAsia="宋体" w:cs="宋体"/>
          <w:color w:val="000000"/>
        </w:rPr>
      </w:pPr>
    </w:p>
    <w:p w14:paraId="6DEA85CC">
      <w:pPr>
        <w:bidi w:val="0"/>
        <w:rPr>
          <w:rFonts w:hint="eastAsia" w:ascii="宋体" w:hAnsi="宋体" w:eastAsia="宋体" w:cs="宋体"/>
          <w:color w:val="000000"/>
        </w:rPr>
      </w:pPr>
    </w:p>
    <w:p w14:paraId="32267A7F">
      <w:pPr>
        <w:bidi w:val="0"/>
        <w:rPr>
          <w:rFonts w:hint="eastAsia" w:ascii="宋体" w:hAnsi="宋体" w:eastAsia="宋体" w:cs="宋体"/>
          <w:color w:val="000000"/>
        </w:rPr>
      </w:pPr>
    </w:p>
    <w:p w14:paraId="371F7477">
      <w:pPr>
        <w:bidi w:val="0"/>
        <w:rPr>
          <w:rFonts w:hint="eastAsia" w:ascii="宋体" w:hAnsi="宋体" w:eastAsia="宋体" w:cs="宋体"/>
          <w:color w:val="000000"/>
        </w:rPr>
      </w:pPr>
    </w:p>
    <w:p w14:paraId="53BB5E89">
      <w:pPr>
        <w:bidi w:val="0"/>
        <w:rPr>
          <w:rFonts w:hint="eastAsia" w:ascii="宋体" w:hAnsi="宋体" w:eastAsia="宋体" w:cs="宋体"/>
          <w:color w:val="000000"/>
        </w:rPr>
      </w:pPr>
    </w:p>
    <w:p w14:paraId="1D5BC89C">
      <w:pPr>
        <w:bidi w:val="0"/>
        <w:rPr>
          <w:rFonts w:hint="eastAsia" w:ascii="宋体" w:hAnsi="宋体" w:eastAsia="宋体" w:cs="宋体"/>
          <w:color w:val="000000"/>
        </w:rPr>
      </w:pPr>
    </w:p>
    <w:p w14:paraId="5850B2DF"/>
    <w:sectPr>
      <w:footerReference r:id="rId3" w:type="default"/>
      <w:pgSz w:w="11906" w:h="16838"/>
      <w:pgMar w:top="1134" w:right="1304" w:bottom="1134" w:left="1304"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Droid Sans Fallback">
    <w:altName w:val="微软雅黑"/>
    <w:panose1 w:val="00000000000000000000"/>
    <w:charset w:val="00"/>
    <w:family w:val="swiss"/>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52ECB">
    <w:pPr>
      <w:pStyle w:val="9"/>
    </w:pPr>
    <w:r>
      <mc:AlternateContent>
        <mc:Choice Requires="wps">
          <w:drawing>
            <wp:anchor distT="0" distB="0" distL="114300" distR="114300" simplePos="0" relativeHeight="251659264" behindDoc="0" locked="0" layoutInCell="1" allowOverlap="1">
              <wp:simplePos x="0" y="0"/>
              <wp:positionH relativeFrom="margin">
                <wp:posOffset>2894330</wp:posOffset>
              </wp:positionH>
              <wp:positionV relativeFrom="paragraph">
                <wp:posOffset>139065</wp:posOffset>
              </wp:positionV>
              <wp:extent cx="229870" cy="149225"/>
              <wp:effectExtent l="0" t="0" r="0" b="0"/>
              <wp:wrapNone/>
              <wp:docPr id="1" name="文本框 1"/>
              <wp:cNvGraphicFramePr/>
              <a:graphic xmlns:a="http://schemas.openxmlformats.org/drawingml/2006/main">
                <a:graphicData uri="http://schemas.microsoft.com/office/word/2010/wordprocessingShape">
                  <wps:wsp>
                    <wps:cNvSpPr txBox="1"/>
                    <wps:spPr>
                      <a:xfrm>
                        <a:off x="0" y="0"/>
                        <a:ext cx="229870" cy="149225"/>
                      </a:xfrm>
                      <a:prstGeom prst="rect">
                        <a:avLst/>
                      </a:prstGeom>
                      <a:noFill/>
                      <a:ln w="6350">
                        <a:noFill/>
                      </a:ln>
                    </wps:spPr>
                    <wps:txbx>
                      <w:txbxContent>
                        <w:p w14:paraId="4B6BA09F">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wps:txbx>
                    <wps:bodyPr lIns="0" tIns="0" rIns="0" bIns="0" upright="0"/>
                  </wps:wsp>
                </a:graphicData>
              </a:graphic>
            </wp:anchor>
          </w:drawing>
        </mc:Choice>
        <mc:Fallback>
          <w:pict>
            <v:shape id="_x0000_s1026" o:spid="_x0000_s1026" o:spt="202" type="#_x0000_t202" style="position:absolute;left:0pt;margin-left:227.9pt;margin-top:10.95pt;height:11.75pt;width:18.1pt;mso-position-horizontal-relative:margin;z-index:251659264;mso-width-relative:page;mso-height-relative:page;" filled="f" stroked="f" coordsize="21600,21600" o:gfxdata="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qzcSI9cAAAAJAQAADwAAAAAAAAABACAAAAAiAAAAZHJzL2Rvd25yZXYu&#10;eG1sUEsBAhQAFAAAAAgAh07iQLLad9fDAQAAegMAAA4AAAAAAAAAAQAgAAAAJgEAAGRycy9lMm9E&#10;b2MueG1sUEsFBgAAAAAGAAYAWQEAAFsFAAAAAA==&#10;">
              <v:fill on="f" focussize="0,0"/>
              <v:stroke on="f" weight="0.5pt"/>
              <v:imagedata o:title=""/>
              <o:lock v:ext="edit" aspectratio="f"/>
              <v:textbox inset="0mm,0mm,0mm,0mm">
                <w:txbxContent>
                  <w:p w14:paraId="4B6BA09F">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v:textbox>
            </v:shape>
          </w:pict>
        </mc:Fallback>
      </mc:AlternateContent>
    </w:r>
  </w:p>
  <w:p w14:paraId="3F1945C0">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40A22D"/>
    <w:multiLevelType w:val="singleLevel"/>
    <w:tmpl w:val="A540A22D"/>
    <w:lvl w:ilvl="0" w:tentative="0">
      <w:start w:val="1"/>
      <w:numFmt w:val="decimal"/>
      <w:suff w:val="nothing"/>
      <w:lvlText w:val="（%1）"/>
      <w:lvlJc w:val="left"/>
    </w:lvl>
  </w:abstractNum>
  <w:abstractNum w:abstractNumId="1">
    <w:nsid w:val="0000002A"/>
    <w:multiLevelType w:val="multilevel"/>
    <w:tmpl w:val="0000002A"/>
    <w:lvl w:ilvl="0" w:tentative="0">
      <w:start w:val="2"/>
      <w:numFmt w:val="decimal"/>
      <w:lvlText w:val="%1."/>
      <w:lvlJc w:val="left"/>
    </w:lvl>
    <w:lvl w:ilvl="1" w:tentative="0">
      <w:start w:val="1"/>
      <w:numFmt w:val="decimal"/>
      <w:lvlText w:val="2.%2"/>
      <w:lvlJc w:val="left"/>
    </w:lvl>
    <w:lvl w:ilvl="2" w:tentative="0">
      <w:start w:val="1"/>
      <w:numFmt w:val="decimal"/>
      <w:lvlText w:val="2.1.%3"/>
      <w:lvlJc w:val="left"/>
    </w:lvl>
    <w:lvl w:ilvl="3" w:tentative="0">
      <w:start w:val="1"/>
      <w:numFmt w:val="bullet"/>
      <w:lvlText w:val=""/>
      <w:lvlJc w:val="left"/>
    </w:lvl>
    <w:lvl w:ilvl="4" w:tentative="0">
      <w:start w:val="1"/>
      <w:numFmt w:val="bullet"/>
      <w:lvlText w:val=""/>
      <w:lvlJc w:val="left"/>
    </w:lvl>
    <w:lvl w:ilvl="5" w:tentative="0">
      <w:start w:val="1"/>
      <w:numFmt w:val="bullet"/>
      <w:lvlText w:val=""/>
      <w:lvlJc w:val="left"/>
    </w:lvl>
    <w:lvl w:ilvl="6" w:tentative="0">
      <w:start w:val="1"/>
      <w:numFmt w:val="bullet"/>
      <w:lvlText w:val=""/>
      <w:lvlJc w:val="left"/>
    </w:lvl>
    <w:lvl w:ilvl="7" w:tentative="0">
      <w:start w:val="1"/>
      <w:numFmt w:val="bullet"/>
      <w:lvlText w:val=""/>
      <w:lvlJc w:val="left"/>
    </w:lvl>
    <w:lvl w:ilvl="8" w:tentative="0">
      <w:start w:val="1"/>
      <w:numFmt w:val="bullet"/>
      <w:lvlText w:val=""/>
      <w:lvlJc w:val="left"/>
    </w:lvl>
  </w:abstractNum>
  <w:abstractNum w:abstractNumId="2">
    <w:nsid w:val="0000002B"/>
    <w:multiLevelType w:val="multilevel"/>
    <w:tmpl w:val="0000002B"/>
    <w:lvl w:ilvl="0" w:tentative="0">
      <w:start w:val="1"/>
      <w:numFmt w:val="decimal"/>
      <w:lvlText w:val="%1"/>
      <w:lvlJc w:val="left"/>
    </w:lvl>
    <w:lvl w:ilvl="1" w:tentative="0">
      <w:start w:val="1"/>
      <w:numFmt w:val="decimal"/>
      <w:lvlText w:val="%2"/>
      <w:lvlJc w:val="left"/>
    </w:lvl>
    <w:lvl w:ilvl="2" w:tentative="0">
      <w:start w:val="1"/>
      <w:numFmt w:val="decimal"/>
      <w:lvlText w:val="2.2.%3"/>
      <w:lvlJc w:val="left"/>
    </w:lvl>
    <w:lvl w:ilvl="3" w:tentative="0">
      <w:start w:val="1"/>
      <w:numFmt w:val="bullet"/>
      <w:lvlText w:val=""/>
      <w:lvlJc w:val="left"/>
    </w:lvl>
    <w:lvl w:ilvl="4" w:tentative="0">
      <w:start w:val="1"/>
      <w:numFmt w:val="bullet"/>
      <w:lvlText w:val=""/>
      <w:lvlJc w:val="left"/>
    </w:lvl>
    <w:lvl w:ilvl="5" w:tentative="0">
      <w:start w:val="1"/>
      <w:numFmt w:val="bullet"/>
      <w:lvlText w:val=""/>
      <w:lvlJc w:val="left"/>
    </w:lvl>
    <w:lvl w:ilvl="6" w:tentative="0">
      <w:start w:val="1"/>
      <w:numFmt w:val="bullet"/>
      <w:lvlText w:val=""/>
      <w:lvlJc w:val="left"/>
    </w:lvl>
    <w:lvl w:ilvl="7" w:tentative="0">
      <w:start w:val="1"/>
      <w:numFmt w:val="bullet"/>
      <w:lvlText w:val=""/>
      <w:lvlJc w:val="left"/>
    </w:lvl>
    <w:lvl w:ilvl="8" w:tentative="0">
      <w:start w:val="1"/>
      <w:numFmt w:val="bullet"/>
      <w:lvlText w:val=""/>
      <w:lvlJc w:val="left"/>
    </w:lvl>
  </w:abstractNum>
  <w:abstractNum w:abstractNumId="3">
    <w:nsid w:val="0000002D"/>
    <w:multiLevelType w:val="multilevel"/>
    <w:tmpl w:val="0000002D"/>
    <w:lvl w:ilvl="0" w:tentative="0">
      <w:start w:val="3"/>
      <w:numFmt w:val="decimal"/>
      <w:lvlText w:val="%1."/>
      <w:lvlJc w:val="left"/>
    </w:lvl>
    <w:lvl w:ilvl="1" w:tentative="0">
      <w:start w:val="1"/>
      <w:numFmt w:val="decimal"/>
      <w:lvlText w:val="3.%2"/>
      <w:lvlJc w:val="left"/>
    </w:lvl>
    <w:lvl w:ilvl="2" w:tentative="0">
      <w:start w:val="1"/>
      <w:numFmt w:val="decimal"/>
      <w:lvlText w:val="3.1.%3"/>
      <w:lvlJc w:val="left"/>
    </w:lvl>
    <w:lvl w:ilvl="3" w:tentative="0">
      <w:start w:val="1"/>
      <w:numFmt w:val="bullet"/>
      <w:lvlText w:val=""/>
      <w:lvlJc w:val="left"/>
    </w:lvl>
    <w:lvl w:ilvl="4" w:tentative="0">
      <w:start w:val="1"/>
      <w:numFmt w:val="bullet"/>
      <w:lvlText w:val=""/>
      <w:lvlJc w:val="left"/>
    </w:lvl>
    <w:lvl w:ilvl="5" w:tentative="0">
      <w:start w:val="1"/>
      <w:numFmt w:val="bullet"/>
      <w:lvlText w:val=""/>
      <w:lvlJc w:val="left"/>
    </w:lvl>
    <w:lvl w:ilvl="6" w:tentative="0">
      <w:start w:val="1"/>
      <w:numFmt w:val="bullet"/>
      <w:lvlText w:val=""/>
      <w:lvlJc w:val="left"/>
    </w:lvl>
    <w:lvl w:ilvl="7" w:tentative="0">
      <w:start w:val="1"/>
      <w:numFmt w:val="bullet"/>
      <w:lvlText w:val=""/>
      <w:lvlJc w:val="left"/>
    </w:lvl>
    <w:lvl w:ilvl="8" w:tentative="0">
      <w:start w:val="1"/>
      <w:numFmt w:val="bullet"/>
      <w:lvlText w:val=""/>
      <w:lvlJc w:val="left"/>
    </w:lvl>
  </w:abstractNum>
  <w:abstractNum w:abstractNumId="4">
    <w:nsid w:val="0000002E"/>
    <w:multiLevelType w:val="multilevel"/>
    <w:tmpl w:val="0000002E"/>
    <w:lvl w:ilvl="0" w:tentative="0">
      <w:start w:val="1"/>
      <w:numFmt w:val="decimal"/>
      <w:lvlText w:val="%1"/>
      <w:lvlJc w:val="left"/>
    </w:lvl>
    <w:lvl w:ilvl="1" w:tentative="0">
      <w:start w:val="3"/>
      <w:numFmt w:val="decimal"/>
      <w:lvlText w:val="3.1.%2"/>
      <w:lvlJc w:val="left"/>
    </w:lvl>
    <w:lvl w:ilvl="2" w:tentative="0">
      <w:start w:val="1"/>
      <w:numFmt w:val="bullet"/>
      <w:lvlText w:val=""/>
      <w:lvlJc w:val="left"/>
    </w:lvl>
    <w:lvl w:ilvl="3" w:tentative="0">
      <w:start w:val="1"/>
      <w:numFmt w:val="bullet"/>
      <w:lvlText w:val=""/>
      <w:lvlJc w:val="left"/>
    </w:lvl>
    <w:lvl w:ilvl="4" w:tentative="0">
      <w:start w:val="1"/>
      <w:numFmt w:val="bullet"/>
      <w:lvlText w:val=""/>
      <w:lvlJc w:val="left"/>
    </w:lvl>
    <w:lvl w:ilvl="5" w:tentative="0">
      <w:start w:val="1"/>
      <w:numFmt w:val="bullet"/>
      <w:lvlText w:val=""/>
      <w:lvlJc w:val="left"/>
    </w:lvl>
    <w:lvl w:ilvl="6" w:tentative="0">
      <w:start w:val="1"/>
      <w:numFmt w:val="bullet"/>
      <w:lvlText w:val=""/>
      <w:lvlJc w:val="left"/>
    </w:lvl>
    <w:lvl w:ilvl="7" w:tentative="0">
      <w:start w:val="1"/>
      <w:numFmt w:val="bullet"/>
      <w:lvlText w:val=""/>
      <w:lvlJc w:val="left"/>
    </w:lvl>
    <w:lvl w:ilvl="8" w:tentative="0">
      <w:start w:val="1"/>
      <w:numFmt w:val="bullet"/>
      <w:lvlText w:val=""/>
      <w:lvlJc w:val="left"/>
    </w:lvl>
  </w:abstractNum>
  <w:abstractNum w:abstractNumId="5">
    <w:nsid w:val="0000002F"/>
    <w:multiLevelType w:val="multilevel"/>
    <w:tmpl w:val="0000002F"/>
    <w:lvl w:ilvl="0" w:tentative="0">
      <w:start w:val="2"/>
      <w:numFmt w:val="decimal"/>
      <w:lvlText w:val="3.%1"/>
      <w:lvlJc w:val="left"/>
    </w:lvl>
    <w:lvl w:ilvl="1" w:tentative="0">
      <w:start w:val="1"/>
      <w:numFmt w:val="decimal"/>
      <w:lvlText w:val="3.2.%2"/>
      <w:lvlJc w:val="left"/>
    </w:lvl>
    <w:lvl w:ilvl="2" w:tentative="0">
      <w:start w:val="1"/>
      <w:numFmt w:val="bullet"/>
      <w:lvlText w:val=""/>
      <w:lvlJc w:val="left"/>
    </w:lvl>
    <w:lvl w:ilvl="3" w:tentative="0">
      <w:start w:val="1"/>
      <w:numFmt w:val="bullet"/>
      <w:lvlText w:val=""/>
      <w:lvlJc w:val="left"/>
    </w:lvl>
    <w:lvl w:ilvl="4" w:tentative="0">
      <w:start w:val="1"/>
      <w:numFmt w:val="bullet"/>
      <w:lvlText w:val=""/>
      <w:lvlJc w:val="left"/>
    </w:lvl>
    <w:lvl w:ilvl="5" w:tentative="0">
      <w:start w:val="1"/>
      <w:numFmt w:val="bullet"/>
      <w:lvlText w:val=""/>
      <w:lvlJc w:val="left"/>
    </w:lvl>
    <w:lvl w:ilvl="6" w:tentative="0">
      <w:start w:val="1"/>
      <w:numFmt w:val="bullet"/>
      <w:lvlText w:val=""/>
      <w:lvlJc w:val="left"/>
    </w:lvl>
    <w:lvl w:ilvl="7" w:tentative="0">
      <w:start w:val="1"/>
      <w:numFmt w:val="bullet"/>
      <w:lvlText w:val=""/>
      <w:lvlJc w:val="left"/>
    </w:lvl>
    <w:lvl w:ilvl="8" w:tentative="0">
      <w:start w:val="1"/>
      <w:numFmt w:val="bullet"/>
      <w:lvlText w:val=""/>
      <w:lvlJc w:val="left"/>
    </w:lvl>
  </w:abstractNum>
  <w:abstractNum w:abstractNumId="6">
    <w:nsid w:val="00000032"/>
    <w:multiLevelType w:val="multilevel"/>
    <w:tmpl w:val="00000032"/>
    <w:lvl w:ilvl="0" w:tentative="0">
      <w:start w:val="4"/>
      <w:numFmt w:val="decimal"/>
      <w:lvlText w:val="3.%1"/>
      <w:lvlJc w:val="left"/>
    </w:lvl>
    <w:lvl w:ilvl="1" w:tentative="0">
      <w:start w:val="1"/>
      <w:numFmt w:val="decimal"/>
      <w:lvlText w:val="3.4.%2"/>
      <w:lvlJc w:val="left"/>
    </w:lvl>
    <w:lvl w:ilvl="2" w:tentative="0">
      <w:start w:val="1"/>
      <w:numFmt w:val="bullet"/>
      <w:lvlText w:val=""/>
      <w:lvlJc w:val="left"/>
    </w:lvl>
    <w:lvl w:ilvl="3" w:tentative="0">
      <w:start w:val="1"/>
      <w:numFmt w:val="bullet"/>
      <w:lvlText w:val=""/>
      <w:lvlJc w:val="left"/>
    </w:lvl>
    <w:lvl w:ilvl="4" w:tentative="0">
      <w:start w:val="1"/>
      <w:numFmt w:val="bullet"/>
      <w:lvlText w:val=""/>
      <w:lvlJc w:val="left"/>
    </w:lvl>
    <w:lvl w:ilvl="5" w:tentative="0">
      <w:start w:val="1"/>
      <w:numFmt w:val="bullet"/>
      <w:lvlText w:val=""/>
      <w:lvlJc w:val="left"/>
    </w:lvl>
    <w:lvl w:ilvl="6" w:tentative="0">
      <w:start w:val="1"/>
      <w:numFmt w:val="bullet"/>
      <w:lvlText w:val=""/>
      <w:lvlJc w:val="left"/>
    </w:lvl>
    <w:lvl w:ilvl="7" w:tentative="0">
      <w:start w:val="1"/>
      <w:numFmt w:val="bullet"/>
      <w:lvlText w:val=""/>
      <w:lvlJc w:val="left"/>
    </w:lvl>
    <w:lvl w:ilvl="8" w:tentative="0">
      <w:start w:val="1"/>
      <w:numFmt w:val="bullet"/>
      <w:lvlText w:val=""/>
      <w:lvlJc w:val="left"/>
    </w:lvl>
  </w:abstractNum>
  <w:abstractNum w:abstractNumId="7">
    <w:nsid w:val="55063886"/>
    <w:multiLevelType w:val="singleLevel"/>
    <w:tmpl w:val="55063886"/>
    <w:lvl w:ilvl="0" w:tentative="0">
      <w:start w:val="4"/>
      <w:numFmt w:val="chineseCounting"/>
      <w:suff w:val="space"/>
      <w:lvlText w:val="第%1条"/>
      <w:lvlJc w:val="left"/>
      <w:rPr>
        <w:rFonts w:hint="eastAsia"/>
        <w:b/>
        <w:bCs/>
      </w:rPr>
    </w:lvl>
  </w:abstractNum>
  <w:abstractNum w:abstractNumId="8">
    <w:nsid w:val="6B4FB451"/>
    <w:multiLevelType w:val="singleLevel"/>
    <w:tmpl w:val="6B4FB451"/>
    <w:lvl w:ilvl="0" w:tentative="0">
      <w:start w:val="1"/>
      <w:numFmt w:val="decimal"/>
      <w:suff w:val="nothing"/>
      <w:lvlText w:val="（%1）"/>
      <w:lvlJc w:val="left"/>
    </w:lvl>
  </w:abstractNum>
  <w:num w:numId="1">
    <w:abstractNumId w:val="8"/>
  </w:num>
  <w:num w:numId="2">
    <w:abstractNumId w:val="1"/>
  </w:num>
  <w:num w:numId="3">
    <w:abstractNumId w:val="2"/>
  </w:num>
  <w:num w:numId="4">
    <w:abstractNumId w:val="3"/>
  </w:num>
  <w:num w:numId="5">
    <w:abstractNumId w:val="4"/>
  </w:num>
  <w:num w:numId="6">
    <w:abstractNumId w:val="5"/>
  </w:num>
  <w:num w:numId="7">
    <w:abstractNumId w:val="0"/>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1C15F0"/>
    <w:rsid w:val="0ABB4D8C"/>
    <w:rsid w:val="0D247653"/>
    <w:rsid w:val="0D7F3E0A"/>
    <w:rsid w:val="0EAC1E34"/>
    <w:rsid w:val="10F30745"/>
    <w:rsid w:val="14620595"/>
    <w:rsid w:val="18FA716E"/>
    <w:rsid w:val="210773F6"/>
    <w:rsid w:val="42837D76"/>
    <w:rsid w:val="429307A5"/>
    <w:rsid w:val="532519F5"/>
    <w:rsid w:val="5BD6253E"/>
    <w:rsid w:val="61841D35"/>
    <w:rsid w:val="6E970B96"/>
    <w:rsid w:val="6F285C41"/>
    <w:rsid w:val="75F50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21"/>
    <w:qFormat/>
    <w:uiPriority w:val="0"/>
    <w:pPr>
      <w:keepNext/>
      <w:keepLines/>
      <w:spacing w:line="360" w:lineRule="auto"/>
      <w:outlineLvl w:val="0"/>
    </w:pPr>
    <w:rPr>
      <w:b/>
      <w:bCs/>
      <w:kern w:val="44"/>
      <w:sz w:val="32"/>
      <w:szCs w:val="44"/>
    </w:rPr>
  </w:style>
  <w:style w:type="paragraph" w:styleId="4">
    <w:name w:val="heading 2"/>
    <w:basedOn w:val="1"/>
    <w:next w:val="1"/>
    <w:link w:val="19"/>
    <w:qFormat/>
    <w:uiPriority w:val="1"/>
    <w:pPr>
      <w:ind w:left="1726" w:right="1793"/>
      <w:jc w:val="center"/>
      <w:outlineLvl w:val="1"/>
    </w:pPr>
    <w:rPr>
      <w:rFonts w:ascii="宋体" w:hAnsi="宋体" w:eastAsia="宋体" w:cs="宋体"/>
      <w:b/>
      <w:bCs/>
      <w:sz w:val="24"/>
      <w:szCs w:val="24"/>
      <w:lang w:val="zh-CN" w:eastAsia="zh-CN" w:bidi="zh-CN"/>
    </w:rPr>
  </w:style>
  <w:style w:type="paragraph" w:styleId="5">
    <w:name w:val="heading 3"/>
    <w:basedOn w:val="1"/>
    <w:next w:val="1"/>
    <w:qFormat/>
    <w:uiPriority w:val="0"/>
    <w:pPr>
      <w:keepNext/>
      <w:keepLines/>
      <w:autoSpaceDE w:val="0"/>
      <w:autoSpaceDN w:val="0"/>
      <w:adjustRightInd w:val="0"/>
      <w:spacing w:before="260" w:after="260" w:line="413" w:lineRule="auto"/>
      <w:jc w:val="left"/>
      <w:outlineLvl w:val="2"/>
    </w:pPr>
    <w:rPr>
      <w:rFonts w:ascii="宋体"/>
      <w:b/>
      <w:kern w:val="0"/>
      <w:sz w:val="32"/>
      <w:lang w:val="zh-CN"/>
    </w:rPr>
  </w:style>
  <w:style w:type="paragraph" w:styleId="2">
    <w:name w:val="heading 4"/>
    <w:basedOn w:val="1"/>
    <w:next w:val="1"/>
    <w:qFormat/>
    <w:uiPriority w:val="0"/>
    <w:pPr>
      <w:keepNext/>
      <w:keepLines/>
      <w:spacing w:before="280" w:beforeLines="0" w:beforeAutospacing="0" w:after="290" w:afterLines="0" w:afterAutospacing="0" w:line="374" w:lineRule="auto"/>
      <w:outlineLvl w:val="3"/>
    </w:pPr>
    <w:rPr>
      <w:rFonts w:ascii="Arial" w:hAnsi="Arial"/>
      <w:sz w:val="24"/>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6">
    <w:name w:val="annotation text"/>
    <w:basedOn w:val="1"/>
    <w:next w:val="1"/>
    <w:qFormat/>
    <w:uiPriority w:val="0"/>
    <w:pPr>
      <w:adjustRightInd w:val="0"/>
      <w:spacing w:line="360" w:lineRule="atLeast"/>
      <w:jc w:val="left"/>
      <w:textAlignment w:val="baseline"/>
    </w:pPr>
    <w:rPr>
      <w:rFonts w:ascii="宋体"/>
      <w:kern w:val="0"/>
      <w:sz w:val="24"/>
    </w:rPr>
  </w:style>
  <w:style w:type="paragraph" w:styleId="7">
    <w:name w:val="Body Text"/>
    <w:basedOn w:val="1"/>
    <w:next w:val="1"/>
    <w:qFormat/>
    <w:uiPriority w:val="0"/>
    <w:pPr>
      <w:ind w:left="240"/>
    </w:pPr>
    <w:rPr>
      <w:rFonts w:ascii="Droid Sans Fallback" w:hAnsi="Droid Sans Fallback" w:eastAsia="Droid Sans Fallback" w:cs="Droid Sans Fallback"/>
      <w:sz w:val="21"/>
      <w:szCs w:val="21"/>
      <w:lang w:val="zh-CN" w:eastAsia="zh-CN" w:bidi="zh-CN"/>
    </w:rPr>
  </w:style>
  <w:style w:type="paragraph" w:styleId="8">
    <w:name w:val="toc 3"/>
    <w:basedOn w:val="1"/>
    <w:next w:val="1"/>
    <w:qFormat/>
    <w:uiPriority w:val="39"/>
    <w:pPr>
      <w:tabs>
        <w:tab w:val="right" w:leader="dot" w:pos="8721"/>
      </w:tabs>
      <w:spacing w:line="360" w:lineRule="auto"/>
      <w:ind w:left="1120" w:leftChars="400"/>
    </w:pPr>
  </w:style>
  <w:style w:type="paragraph" w:styleId="9">
    <w:name w:val="footer"/>
    <w:basedOn w:val="1"/>
    <w:qFormat/>
    <w:uiPriority w:val="99"/>
    <w:pPr>
      <w:tabs>
        <w:tab w:val="center" w:pos="4153"/>
        <w:tab w:val="right" w:pos="8306"/>
      </w:tabs>
      <w:snapToGrid w:val="0"/>
      <w:jc w:val="left"/>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Body Text 2"/>
    <w:basedOn w:val="1"/>
    <w:next w:val="7"/>
    <w:qFormat/>
    <w:uiPriority w:val="0"/>
    <w:pPr>
      <w:spacing w:line="500" w:lineRule="exact"/>
    </w:pPr>
    <w:rPr>
      <w:rFonts w:ascii="宋体"/>
      <w:sz w:val="24"/>
    </w:rPr>
  </w:style>
  <w:style w:type="paragraph" w:styleId="13">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color w:val="000000"/>
      <w:kern w:val="0"/>
      <w:sz w:val="24"/>
    </w:rPr>
  </w:style>
  <w:style w:type="paragraph" w:styleId="14">
    <w:name w:val="Normal (Web)"/>
    <w:basedOn w:val="1"/>
    <w:qFormat/>
    <w:uiPriority w:val="99"/>
    <w:pPr>
      <w:widowControl/>
      <w:spacing w:before="100" w:beforeAutospacing="1" w:after="100" w:afterAutospacing="1"/>
      <w:jc w:val="left"/>
    </w:pPr>
    <w:rPr>
      <w:rFonts w:ascii="宋体" w:hAnsi="宋体" w:cs="宋体"/>
      <w:kern w:val="0"/>
      <w:sz w:val="24"/>
    </w:rPr>
  </w:style>
  <w:style w:type="paragraph" w:customStyle="1" w:styleId="17">
    <w:name w:val="正文 New New New New New New New New"/>
    <w:qFormat/>
    <w:uiPriority w:val="0"/>
    <w:pPr>
      <w:widowControl w:val="0"/>
      <w:jc w:val="both"/>
    </w:pPr>
    <w:rPr>
      <w:rFonts w:ascii="Times New Roman" w:hAnsi="Times New Roman" w:eastAsia="楷体_GB2312" w:cs="Times New Roman"/>
      <w:kern w:val="2"/>
      <w:sz w:val="21"/>
      <w:szCs w:val="20"/>
      <w:lang w:val="en-US" w:eastAsia="zh-CN" w:bidi="ar-SA"/>
    </w:rPr>
  </w:style>
  <w:style w:type="paragraph" w:customStyle="1" w:styleId="18">
    <w:name w:val="正文 New New New"/>
    <w:qFormat/>
    <w:uiPriority w:val="0"/>
    <w:pPr>
      <w:widowControl w:val="0"/>
      <w:jc w:val="both"/>
    </w:pPr>
    <w:rPr>
      <w:rFonts w:ascii="Calibri" w:hAnsi="Calibri" w:eastAsia="宋体" w:cs="Times New Roman"/>
      <w:kern w:val="2"/>
      <w:sz w:val="21"/>
      <w:szCs w:val="24"/>
      <w:lang w:val="en-US" w:eastAsia="zh-CN" w:bidi="ar-SA"/>
    </w:rPr>
  </w:style>
  <w:style w:type="character" w:customStyle="1" w:styleId="19">
    <w:name w:val="标题 2 Char"/>
    <w:link w:val="4"/>
    <w:qFormat/>
    <w:uiPriority w:val="1"/>
    <w:rPr>
      <w:rFonts w:ascii="宋体" w:hAnsi="宋体" w:eastAsia="宋体" w:cs="宋体"/>
      <w:b/>
      <w:bCs/>
      <w:sz w:val="24"/>
      <w:szCs w:val="24"/>
      <w:lang w:val="zh-CN" w:eastAsia="zh-CN" w:bidi="zh-CN"/>
    </w:rPr>
  </w:style>
  <w:style w:type="paragraph" w:customStyle="1" w:styleId="20">
    <w:name w:val="Table Paragraph"/>
    <w:basedOn w:val="1"/>
    <w:qFormat/>
    <w:uiPriority w:val="0"/>
    <w:rPr>
      <w:rFonts w:ascii="Droid Sans Fallback" w:hAnsi="Droid Sans Fallback" w:eastAsia="Droid Sans Fallback" w:cs="Droid Sans Fallback"/>
      <w:lang w:val="zh-CN" w:eastAsia="zh-CN" w:bidi="zh-CN"/>
    </w:rPr>
  </w:style>
  <w:style w:type="character" w:customStyle="1" w:styleId="21">
    <w:name w:val="标题 1 Char"/>
    <w:link w:val="3"/>
    <w:qFormat/>
    <w:uiPriority w:val="0"/>
    <w:rPr>
      <w:b/>
      <w:bCs/>
      <w:kern w:val="44"/>
      <w:sz w:val="32"/>
      <w:szCs w:val="44"/>
    </w:rPr>
  </w:style>
  <w:style w:type="character" w:customStyle="1" w:styleId="22">
    <w:name w:val="NormalCharacter"/>
    <w:semiHidden/>
    <w:qFormat/>
    <w:uiPriority w:val="0"/>
  </w:style>
  <w:style w:type="paragraph" w:customStyle="1" w:styleId="23">
    <w:name w:val="CM1"/>
    <w:basedOn w:val="24"/>
    <w:next w:val="24"/>
    <w:qFormat/>
    <w:uiPriority w:val="0"/>
    <w:rPr>
      <w:rFonts w:cs="宋体"/>
      <w:color w:val="auto"/>
      <w:szCs w:val="24"/>
    </w:rPr>
  </w:style>
  <w:style w:type="paragraph" w:customStyle="1" w:styleId="24">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25">
    <w:name w:val="Plain Text"/>
    <w:basedOn w:val="1"/>
    <w:qFormat/>
    <w:uiPriority w:val="0"/>
    <w:pPr>
      <w:adjustRightInd w:val="0"/>
      <w:textAlignment w:val="baseline"/>
    </w:pPr>
    <w:rPr>
      <w:rFonts w:ascii="宋体"/>
      <w:kern w:val="0"/>
      <w:sz w:val="24"/>
    </w:rPr>
  </w:style>
  <w:style w:type="paragraph" w:customStyle="1" w:styleId="26">
    <w:name w:val="CM91"/>
    <w:basedOn w:val="24"/>
    <w:next w:val="24"/>
    <w:qFormat/>
    <w:uiPriority w:val="0"/>
    <w:pPr>
      <w:spacing w:after="160"/>
    </w:pPr>
    <w:rPr>
      <w:rFonts w:cs="宋体"/>
      <w:color w:val="auto"/>
      <w:szCs w:val="24"/>
    </w:rPr>
  </w:style>
  <w:style w:type="paragraph" w:customStyle="1" w:styleId="27">
    <w:name w:val="CM97"/>
    <w:basedOn w:val="24"/>
    <w:next w:val="24"/>
    <w:qFormat/>
    <w:uiPriority w:val="0"/>
    <w:pPr>
      <w:spacing w:after="373"/>
    </w:pPr>
    <w:rPr>
      <w:rFonts w:cs="宋体"/>
      <w:color w:val="auto"/>
      <w:szCs w:val="24"/>
    </w:rPr>
  </w:style>
  <w:style w:type="paragraph" w:customStyle="1" w:styleId="28">
    <w:name w:val="xl26"/>
    <w:basedOn w:val="1"/>
    <w:qFormat/>
    <w:uiPriority w:val="0"/>
    <w:pPr>
      <w:widowControl/>
      <w:spacing w:before="100" w:beforeAutospacing="1" w:after="100" w:afterAutospacing="1"/>
      <w:jc w:val="center"/>
    </w:pPr>
    <w:rPr>
      <w:rFonts w:ascii="Arial Unicode MS" w:hAnsi="Arial Unicode MS" w:eastAsia="Arial Unicode MS" w:cs="Arial Unicode MS"/>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66</Pages>
  <Words>13309</Words>
  <Characters>14882</Characters>
  <Lines>0</Lines>
  <Paragraphs>0</Paragraphs>
  <TotalTime>12</TotalTime>
  <ScaleCrop>false</ScaleCrop>
  <LinksUpToDate>false</LinksUpToDate>
  <CharactersWithSpaces>15135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2026-01-13T09:18:00Z</dcterms:created>
  <dc:creator>Administrator</dc:creator>
  <cp:lastModifiedBy>明正</cp:lastModifiedBy>
  <dcterms:modified xsi:type="dcterms:W3CDTF">2026-01-16T04:05:14Z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eyJoZGlkIjoiY2ZiMzI0MGUwZmU4OTk2OGQwYTNlYmNmYzRlNTVkMmIiLCJ1c2VySWQiOiIzMjI4NDYzOTkifQ==</vt:lpwstr>
  </property>
  <property fmtid="{D5CDD505-2E9C-101B-9397-08002B2CF9AE}" pid="4" name="ICV">
    <vt:lpwstr>7107DB5AD61B42E087E110FBDD41A1EA_13</vt:lpwstr>
  </property>
</Properties>
</file>