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19A69">
      <w:pPr>
        <w:bidi w:val="0"/>
        <w:snapToGrid w:val="0"/>
        <w:spacing w:before="0" w:after="0" w:line="480" w:lineRule="auto"/>
        <w:ind w:left="540" w:leftChars="257"/>
        <w:jc w:val="center"/>
        <w:outlineLvl w:val="9"/>
        <w:rPr>
          <w:rFonts w:hint="eastAsia" w:ascii="宋体" w:hAnsi="宋体" w:eastAsia="宋体" w:cs="宋体"/>
          <w:b/>
          <w:color w:val="000000"/>
          <w:sz w:val="32"/>
          <w:szCs w:val="52"/>
          <w:highlight w:val="none"/>
        </w:rPr>
      </w:pPr>
      <w:bookmarkStart w:id="0" w:name="_Toc6575"/>
    </w:p>
    <w:p w14:paraId="4B335ACB">
      <w:pPr>
        <w:bidi w:val="0"/>
        <w:snapToGrid w:val="0"/>
        <w:spacing w:before="0" w:after="0" w:line="480" w:lineRule="auto"/>
        <w:ind w:left="540" w:leftChars="257"/>
        <w:jc w:val="center"/>
        <w:outlineLvl w:val="9"/>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b/>
          <w:color w:val="000000"/>
          <w:sz w:val="32"/>
          <w:szCs w:val="52"/>
          <w:highlight w:val="none"/>
        </w:rPr>
        <w:drawing>
          <wp:inline distT="0" distB="0" distL="114300" distR="114300">
            <wp:extent cx="5831205" cy="8257540"/>
            <wp:effectExtent l="0" t="0" r="17145" b="10160"/>
            <wp:docPr id="2" name="图片 2"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封面_01"/>
                    <pic:cNvPicPr>
                      <a:picLocks noChangeAspect="1"/>
                    </pic:cNvPicPr>
                  </pic:nvPicPr>
                  <pic:blipFill>
                    <a:blip r:embed="rId5"/>
                    <a:stretch>
                      <a:fillRect/>
                    </a:stretch>
                  </pic:blipFill>
                  <pic:spPr>
                    <a:xfrm>
                      <a:off x="0" y="0"/>
                      <a:ext cx="5831205" cy="8257540"/>
                    </a:xfrm>
                    <a:prstGeom prst="rect">
                      <a:avLst/>
                    </a:prstGeom>
                  </pic:spPr>
                </pic:pic>
              </a:graphicData>
            </a:graphic>
          </wp:inline>
        </w:drawing>
      </w:r>
      <w:bookmarkStart w:id="200" w:name="_GoBack"/>
      <w:bookmarkEnd w:id="200"/>
      <w:r>
        <w:rPr>
          <w:rFonts w:hint="eastAsia" w:ascii="宋体" w:hAnsi="宋体" w:eastAsia="宋体" w:cs="宋体"/>
          <w:b/>
          <w:color w:val="000000"/>
          <w:sz w:val="32"/>
          <w:szCs w:val="52"/>
          <w:highlight w:val="none"/>
        </w:rPr>
        <w:t>目  录</w:t>
      </w:r>
      <w:bookmarkEnd w:id="0"/>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TOC \o "1-3" \h \u </w:instrText>
      </w:r>
      <w:r>
        <w:rPr>
          <w:rFonts w:hint="eastAsia" w:ascii="宋体" w:hAnsi="宋体" w:eastAsia="宋体" w:cs="宋体"/>
          <w:color w:val="000000"/>
          <w:highlight w:val="none"/>
        </w:rPr>
        <w:fldChar w:fldCharType="separate"/>
      </w:r>
    </w:p>
    <w:p w14:paraId="279F1C34">
      <w:pPr>
        <w:pStyle w:val="10"/>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6"/>
          <w:szCs w:val="26"/>
        </w:rPr>
      </w:pPr>
      <w:r>
        <w:rPr>
          <w:rFonts w:hint="eastAsia" w:ascii="宋体" w:hAnsi="宋体" w:eastAsia="宋体" w:cs="宋体"/>
          <w:b/>
          <w:bCs/>
          <w:color w:val="000000"/>
          <w:sz w:val="26"/>
          <w:szCs w:val="26"/>
          <w:highlight w:val="none"/>
        </w:rPr>
        <w:fldChar w:fldCharType="begin"/>
      </w:r>
      <w:r>
        <w:rPr>
          <w:rFonts w:hint="eastAsia" w:ascii="宋体" w:hAnsi="宋体" w:eastAsia="宋体" w:cs="宋体"/>
          <w:b/>
          <w:bCs/>
          <w:color w:val="000000"/>
          <w:sz w:val="26"/>
          <w:szCs w:val="26"/>
          <w:highlight w:val="none"/>
        </w:rPr>
        <w:instrText xml:space="preserve"> HYPERLINK \l _Toc6607 </w:instrText>
      </w:r>
      <w:r>
        <w:rPr>
          <w:rFonts w:hint="eastAsia" w:ascii="宋体" w:hAnsi="宋体" w:eastAsia="宋体" w:cs="宋体"/>
          <w:b/>
          <w:bCs/>
          <w:color w:val="000000"/>
          <w:sz w:val="26"/>
          <w:szCs w:val="26"/>
          <w:highlight w:val="none"/>
        </w:rPr>
        <w:fldChar w:fldCharType="separate"/>
      </w:r>
      <w:r>
        <w:rPr>
          <w:rFonts w:hint="eastAsia" w:ascii="宋体" w:hAnsi="宋体" w:eastAsia="宋体" w:cs="宋体"/>
          <w:b/>
          <w:bCs/>
          <w:color w:val="000000"/>
          <w:sz w:val="26"/>
          <w:szCs w:val="26"/>
        </w:rPr>
        <w:t>第一章 招标公告</w:t>
      </w:r>
      <w:r>
        <w:rPr>
          <w:rFonts w:hint="eastAsia" w:ascii="宋体" w:hAnsi="宋体" w:eastAsia="宋体" w:cs="宋体"/>
          <w:b/>
          <w:bCs/>
          <w:color w:val="000000"/>
          <w:sz w:val="26"/>
          <w:szCs w:val="26"/>
        </w:rPr>
        <w:tab/>
      </w:r>
      <w:r>
        <w:rPr>
          <w:rFonts w:hint="eastAsia" w:ascii="宋体" w:hAnsi="宋体" w:eastAsia="宋体" w:cs="宋体"/>
          <w:b/>
          <w:bCs/>
          <w:color w:val="000000"/>
          <w:sz w:val="26"/>
          <w:szCs w:val="26"/>
        </w:rPr>
        <w:fldChar w:fldCharType="begin"/>
      </w:r>
      <w:r>
        <w:rPr>
          <w:rFonts w:hint="eastAsia" w:ascii="宋体" w:hAnsi="宋体" w:eastAsia="宋体" w:cs="宋体"/>
          <w:b/>
          <w:bCs/>
          <w:color w:val="000000"/>
          <w:sz w:val="26"/>
          <w:szCs w:val="26"/>
        </w:rPr>
        <w:instrText xml:space="preserve"> PAGEREF _Toc6607 \h </w:instrText>
      </w:r>
      <w:r>
        <w:rPr>
          <w:rFonts w:hint="eastAsia" w:ascii="宋体" w:hAnsi="宋体" w:eastAsia="宋体" w:cs="宋体"/>
          <w:b/>
          <w:bCs/>
          <w:color w:val="000000"/>
          <w:sz w:val="26"/>
          <w:szCs w:val="26"/>
        </w:rPr>
        <w:fldChar w:fldCharType="separate"/>
      </w:r>
      <w:r>
        <w:rPr>
          <w:rFonts w:hint="eastAsia" w:ascii="宋体" w:hAnsi="宋体" w:eastAsia="宋体" w:cs="宋体"/>
          <w:b/>
          <w:bCs/>
          <w:color w:val="000000"/>
          <w:sz w:val="26"/>
          <w:szCs w:val="26"/>
        </w:rPr>
        <w:t>1</w:t>
      </w:r>
      <w:r>
        <w:rPr>
          <w:rFonts w:hint="eastAsia" w:ascii="宋体" w:hAnsi="宋体" w:eastAsia="宋体" w:cs="宋体"/>
          <w:b/>
          <w:bCs/>
          <w:color w:val="000000"/>
          <w:sz w:val="26"/>
          <w:szCs w:val="26"/>
        </w:rPr>
        <w:fldChar w:fldCharType="end"/>
      </w:r>
      <w:r>
        <w:rPr>
          <w:rFonts w:hint="eastAsia" w:ascii="宋体" w:hAnsi="宋体" w:eastAsia="宋体" w:cs="宋体"/>
          <w:b/>
          <w:bCs/>
          <w:color w:val="000000"/>
          <w:sz w:val="26"/>
          <w:szCs w:val="26"/>
          <w:highlight w:val="none"/>
        </w:rPr>
        <w:fldChar w:fldCharType="end"/>
      </w:r>
    </w:p>
    <w:p w14:paraId="73C52953">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_Toc2614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rPr>
        <w:t>一、招标条件</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_Toc2614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1</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07691FF4">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_Toc302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rPr>
        <w:t>二、项目概况与招标范围</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_Toc302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1</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6E35FDCF">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_Toc20272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rPr>
        <w:t>三、投标人资格要求</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_Toc20272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59250103">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_Toc27159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rPr>
        <w:t>四、获取招标文件</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_Toc27159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6001E87F">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_Toc29067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rPr>
        <w:t>五、</w:t>
      </w:r>
      <w:r>
        <w:rPr>
          <w:rFonts w:hint="eastAsia" w:ascii="宋体" w:hAnsi="宋体" w:eastAsia="宋体" w:cs="宋体"/>
          <w:color w:val="000000"/>
          <w:sz w:val="26"/>
          <w:szCs w:val="26"/>
          <w:lang w:val="en-US" w:eastAsia="zh-CN"/>
        </w:rPr>
        <w:t>招标文件的提问和答疑</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_Toc29067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4</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24ED22AB">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_Toc24036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rPr>
        <w:t>六、投标文件的</w:t>
      </w:r>
      <w:r>
        <w:rPr>
          <w:rFonts w:hint="eastAsia" w:ascii="宋体" w:hAnsi="宋体" w:eastAsia="宋体" w:cs="宋体"/>
          <w:color w:val="000000"/>
          <w:sz w:val="26"/>
          <w:szCs w:val="26"/>
          <w:lang w:val="en-US" w:eastAsia="zh-CN"/>
        </w:rPr>
        <w:t>提</w:t>
      </w:r>
      <w:r>
        <w:rPr>
          <w:rFonts w:hint="eastAsia" w:ascii="宋体" w:hAnsi="宋体" w:eastAsia="宋体" w:cs="宋体"/>
          <w:color w:val="000000"/>
          <w:sz w:val="26"/>
          <w:szCs w:val="26"/>
        </w:rPr>
        <w:t>交</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_Toc24036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4</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46011C73">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_Toc12075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eastAsia="zh-CN"/>
        </w:rPr>
        <w:t>七、开标</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_Toc12075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5</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36411FD0">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_Toc23825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eastAsia="zh-CN"/>
        </w:rPr>
        <w:t>八、</w:t>
      </w:r>
      <w:r>
        <w:rPr>
          <w:rFonts w:hint="eastAsia" w:ascii="宋体" w:hAnsi="宋体" w:eastAsia="宋体" w:cs="宋体"/>
          <w:color w:val="000000"/>
          <w:sz w:val="26"/>
          <w:szCs w:val="26"/>
        </w:rPr>
        <w:t>踏勘现场和投标预备会</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_Toc23825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6</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79DE06AD">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_Toc29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eastAsia="zh-CN"/>
        </w:rPr>
        <w:t>九、</w:t>
      </w:r>
      <w:r>
        <w:rPr>
          <w:rFonts w:hint="eastAsia" w:ascii="宋体" w:hAnsi="宋体" w:eastAsia="宋体" w:cs="宋体"/>
          <w:color w:val="000000"/>
          <w:sz w:val="26"/>
          <w:szCs w:val="26"/>
        </w:rPr>
        <w:t>发布公告的媒介</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_Toc29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6</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60FE5B84">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_Toc6898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eastAsia="zh-CN"/>
        </w:rPr>
        <w:t>十、</w:t>
      </w:r>
      <w:r>
        <w:rPr>
          <w:rFonts w:hint="eastAsia" w:ascii="宋体" w:hAnsi="宋体" w:eastAsia="宋体" w:cs="宋体"/>
          <w:color w:val="000000"/>
          <w:sz w:val="26"/>
          <w:szCs w:val="26"/>
        </w:rPr>
        <w:t>联系方式</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_Toc6898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6</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4F7058DB">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_Toc24565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rPr>
        <w:t>重要事项时间地点一览表</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_Toc24565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7</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227EBAF7">
      <w:pPr>
        <w:pStyle w:val="10"/>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6"/>
          <w:szCs w:val="26"/>
        </w:rPr>
      </w:pPr>
      <w:r>
        <w:rPr>
          <w:rFonts w:hint="eastAsia" w:ascii="宋体" w:hAnsi="宋体" w:eastAsia="宋体" w:cs="宋体"/>
          <w:b/>
          <w:bCs/>
          <w:color w:val="000000"/>
          <w:sz w:val="26"/>
          <w:szCs w:val="26"/>
          <w:highlight w:val="none"/>
        </w:rPr>
        <w:fldChar w:fldCharType="begin"/>
      </w:r>
      <w:r>
        <w:rPr>
          <w:rFonts w:hint="eastAsia" w:ascii="宋体" w:hAnsi="宋体" w:eastAsia="宋体" w:cs="宋体"/>
          <w:b/>
          <w:bCs/>
          <w:color w:val="000000"/>
          <w:sz w:val="26"/>
          <w:szCs w:val="26"/>
          <w:highlight w:val="none"/>
        </w:rPr>
        <w:instrText xml:space="preserve"> HYPERLINK \l _Toc11282 </w:instrText>
      </w:r>
      <w:r>
        <w:rPr>
          <w:rFonts w:hint="eastAsia" w:ascii="宋体" w:hAnsi="宋体" w:eastAsia="宋体" w:cs="宋体"/>
          <w:b/>
          <w:bCs/>
          <w:color w:val="000000"/>
          <w:sz w:val="26"/>
          <w:szCs w:val="26"/>
          <w:highlight w:val="none"/>
        </w:rPr>
        <w:fldChar w:fldCharType="separate"/>
      </w:r>
      <w:r>
        <w:rPr>
          <w:rFonts w:hint="eastAsia" w:ascii="宋体" w:hAnsi="宋体" w:eastAsia="宋体" w:cs="宋体"/>
          <w:b/>
          <w:bCs/>
          <w:color w:val="000000"/>
          <w:sz w:val="26"/>
          <w:szCs w:val="26"/>
        </w:rPr>
        <w:t>第二章  投标人须知</w:t>
      </w:r>
      <w:r>
        <w:rPr>
          <w:rFonts w:hint="eastAsia" w:ascii="宋体" w:hAnsi="宋体" w:eastAsia="宋体" w:cs="宋体"/>
          <w:b/>
          <w:bCs/>
          <w:color w:val="000000"/>
          <w:sz w:val="26"/>
          <w:szCs w:val="26"/>
        </w:rPr>
        <w:tab/>
      </w:r>
      <w:r>
        <w:rPr>
          <w:rFonts w:hint="eastAsia" w:ascii="宋体" w:hAnsi="宋体" w:eastAsia="宋体" w:cs="宋体"/>
          <w:b/>
          <w:bCs/>
          <w:color w:val="000000"/>
          <w:sz w:val="26"/>
          <w:szCs w:val="26"/>
        </w:rPr>
        <w:fldChar w:fldCharType="begin"/>
      </w:r>
      <w:r>
        <w:rPr>
          <w:rFonts w:hint="eastAsia" w:ascii="宋体" w:hAnsi="宋体" w:eastAsia="宋体" w:cs="宋体"/>
          <w:b/>
          <w:bCs/>
          <w:color w:val="000000"/>
          <w:sz w:val="26"/>
          <w:szCs w:val="26"/>
        </w:rPr>
        <w:instrText xml:space="preserve"> PAGEREF _Toc11282 \h </w:instrText>
      </w:r>
      <w:r>
        <w:rPr>
          <w:rFonts w:hint="eastAsia" w:ascii="宋体" w:hAnsi="宋体" w:eastAsia="宋体" w:cs="宋体"/>
          <w:b/>
          <w:bCs/>
          <w:color w:val="000000"/>
          <w:sz w:val="26"/>
          <w:szCs w:val="26"/>
        </w:rPr>
        <w:fldChar w:fldCharType="separate"/>
      </w:r>
      <w:r>
        <w:rPr>
          <w:rFonts w:hint="eastAsia" w:ascii="宋体" w:hAnsi="宋体" w:eastAsia="宋体" w:cs="宋体"/>
          <w:b/>
          <w:bCs/>
          <w:color w:val="000000"/>
          <w:sz w:val="26"/>
          <w:szCs w:val="26"/>
        </w:rPr>
        <w:t>8</w:t>
      </w:r>
      <w:r>
        <w:rPr>
          <w:rFonts w:hint="eastAsia" w:ascii="宋体" w:hAnsi="宋体" w:eastAsia="宋体" w:cs="宋体"/>
          <w:b/>
          <w:bCs/>
          <w:color w:val="000000"/>
          <w:sz w:val="26"/>
          <w:szCs w:val="26"/>
        </w:rPr>
        <w:fldChar w:fldCharType="end"/>
      </w:r>
      <w:r>
        <w:rPr>
          <w:rFonts w:hint="eastAsia" w:ascii="宋体" w:hAnsi="宋体" w:eastAsia="宋体" w:cs="宋体"/>
          <w:b/>
          <w:bCs/>
          <w:color w:val="000000"/>
          <w:sz w:val="26"/>
          <w:szCs w:val="26"/>
          <w:highlight w:val="none"/>
        </w:rPr>
        <w:fldChar w:fldCharType="end"/>
      </w:r>
    </w:p>
    <w:p w14:paraId="5B98444A">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_Toc9017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rPr>
        <w:t>投标人须知前附表</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_Toc9017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8</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7A7568DD">
      <w:pPr>
        <w:pStyle w:val="8"/>
        <w:keepNext w:val="0"/>
        <w:keepLines w:val="0"/>
        <w:pageBreakBefore w:val="0"/>
        <w:widowControl w:val="0"/>
        <w:tabs>
          <w:tab w:val="right" w:leader="dot" w:pos="9184"/>
          <w:tab w:val="clear" w:pos="8721"/>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_Toc13355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1.总则</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_Toc13355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14</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2B801047">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_Toc12033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2.招标文件</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_Toc12033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16</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5A71654B">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_Toc12766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3.投标文件</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_Toc12766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17</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0C83CDCD">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_Toc12247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4</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lang w:val="en-US"/>
        </w:rPr>
        <w:t>投标</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_Toc12247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19</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04C8EFF9">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_Toc16431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5.开标</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_Toc16431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21</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16FFA7F4">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_Toc22156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6.评标</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_Toc22156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22</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041EFD10">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_Toc19128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7.合同授予</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_Toc19128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23</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04F606E9">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_Toc24605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8.重新招标和不再招标</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_Toc24605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24</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326361E5">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_Toc17185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9.纪律和监督</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_Toc17185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24</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5EEC7FE1">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ind w:left="0" w:leftChars="0"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_Toc1451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10</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lang w:val="en-US"/>
        </w:rPr>
        <w:t>需要补充的其他内容</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_Toc1451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25</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5BBF412B">
      <w:pPr>
        <w:pStyle w:val="10"/>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6"/>
          <w:szCs w:val="26"/>
        </w:rPr>
      </w:pPr>
      <w:r>
        <w:rPr>
          <w:rFonts w:hint="eastAsia" w:ascii="宋体" w:hAnsi="宋体" w:eastAsia="宋体" w:cs="宋体"/>
          <w:b/>
          <w:bCs/>
          <w:color w:val="000000"/>
          <w:sz w:val="26"/>
          <w:szCs w:val="26"/>
          <w:highlight w:val="none"/>
        </w:rPr>
        <w:fldChar w:fldCharType="begin"/>
      </w:r>
      <w:r>
        <w:rPr>
          <w:rFonts w:hint="eastAsia" w:ascii="宋体" w:hAnsi="宋体" w:eastAsia="宋体" w:cs="宋体"/>
          <w:b/>
          <w:bCs/>
          <w:color w:val="000000"/>
          <w:sz w:val="26"/>
          <w:szCs w:val="26"/>
          <w:highlight w:val="none"/>
        </w:rPr>
        <w:instrText xml:space="preserve"> HYPERLINK \l _Toc15293 </w:instrText>
      </w:r>
      <w:r>
        <w:rPr>
          <w:rFonts w:hint="eastAsia" w:ascii="宋体" w:hAnsi="宋体" w:eastAsia="宋体" w:cs="宋体"/>
          <w:b/>
          <w:bCs/>
          <w:color w:val="000000"/>
          <w:sz w:val="26"/>
          <w:szCs w:val="26"/>
          <w:highlight w:val="none"/>
        </w:rPr>
        <w:fldChar w:fldCharType="separate"/>
      </w:r>
      <w:r>
        <w:rPr>
          <w:rFonts w:hint="eastAsia" w:ascii="宋体" w:hAnsi="宋体" w:eastAsia="宋体" w:cs="宋体"/>
          <w:b/>
          <w:bCs/>
          <w:color w:val="000000"/>
          <w:sz w:val="26"/>
          <w:szCs w:val="26"/>
        </w:rPr>
        <w:t>第三章  评标办法</w:t>
      </w:r>
      <w:r>
        <w:rPr>
          <w:rFonts w:hint="eastAsia" w:ascii="宋体" w:hAnsi="宋体" w:eastAsia="宋体" w:cs="宋体"/>
          <w:b/>
          <w:bCs/>
          <w:color w:val="000000"/>
          <w:sz w:val="26"/>
          <w:szCs w:val="26"/>
        </w:rPr>
        <w:tab/>
      </w:r>
      <w:r>
        <w:rPr>
          <w:rFonts w:hint="eastAsia" w:ascii="宋体" w:hAnsi="宋体" w:eastAsia="宋体" w:cs="宋体"/>
          <w:b/>
          <w:bCs/>
          <w:color w:val="000000"/>
          <w:sz w:val="26"/>
          <w:szCs w:val="26"/>
        </w:rPr>
        <w:fldChar w:fldCharType="begin"/>
      </w:r>
      <w:r>
        <w:rPr>
          <w:rFonts w:hint="eastAsia" w:ascii="宋体" w:hAnsi="宋体" w:eastAsia="宋体" w:cs="宋体"/>
          <w:b/>
          <w:bCs/>
          <w:color w:val="000000"/>
          <w:sz w:val="26"/>
          <w:szCs w:val="26"/>
        </w:rPr>
        <w:instrText xml:space="preserve"> PAGEREF _Toc15293 \h </w:instrText>
      </w:r>
      <w:r>
        <w:rPr>
          <w:rFonts w:hint="eastAsia" w:ascii="宋体" w:hAnsi="宋体" w:eastAsia="宋体" w:cs="宋体"/>
          <w:b/>
          <w:bCs/>
          <w:color w:val="000000"/>
          <w:sz w:val="26"/>
          <w:szCs w:val="26"/>
        </w:rPr>
        <w:fldChar w:fldCharType="separate"/>
      </w:r>
      <w:r>
        <w:rPr>
          <w:rFonts w:hint="eastAsia" w:ascii="宋体" w:hAnsi="宋体" w:eastAsia="宋体" w:cs="宋体"/>
          <w:b/>
          <w:bCs/>
          <w:color w:val="000000"/>
          <w:sz w:val="26"/>
          <w:szCs w:val="26"/>
        </w:rPr>
        <w:t>25</w:t>
      </w:r>
      <w:r>
        <w:rPr>
          <w:rFonts w:hint="eastAsia" w:ascii="宋体" w:hAnsi="宋体" w:eastAsia="宋体" w:cs="宋体"/>
          <w:b/>
          <w:bCs/>
          <w:color w:val="000000"/>
          <w:sz w:val="26"/>
          <w:szCs w:val="26"/>
        </w:rPr>
        <w:fldChar w:fldCharType="end"/>
      </w:r>
      <w:r>
        <w:rPr>
          <w:rFonts w:hint="eastAsia" w:ascii="宋体" w:hAnsi="宋体" w:eastAsia="宋体" w:cs="宋体"/>
          <w:b/>
          <w:bCs/>
          <w:color w:val="000000"/>
          <w:sz w:val="26"/>
          <w:szCs w:val="26"/>
          <w:highlight w:val="none"/>
        </w:rPr>
        <w:fldChar w:fldCharType="end"/>
      </w:r>
    </w:p>
    <w:p w14:paraId="770DEC83">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_Toc7975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一、评标依据</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_Toc7975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25</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53C69502">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_Toc10232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二、评标委员会的组成</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_Toc10232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26</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7E7CA0EE">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_Toc26759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三、评标纪律</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_Toc26759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26</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41E0F947">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_Toc31045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四、评标监督管理</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_Toc31045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27</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2A5CCE06">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_Toc25980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rPr>
        <w:t>五、评标程序</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_Toc25980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27</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1F530E0D">
      <w:pPr>
        <w:pStyle w:val="11"/>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highlight w:val="none"/>
        </w:rPr>
        <w:fldChar w:fldCharType="begin"/>
      </w:r>
      <w:r>
        <w:rPr>
          <w:rFonts w:hint="eastAsia" w:ascii="宋体" w:hAnsi="宋体" w:eastAsia="宋体" w:cs="宋体"/>
          <w:color w:val="000000"/>
          <w:sz w:val="26"/>
          <w:szCs w:val="26"/>
          <w:highlight w:val="none"/>
        </w:rPr>
        <w:instrText xml:space="preserve"> HYPERLINK \l _Toc17518 </w:instrText>
      </w:r>
      <w:r>
        <w:rPr>
          <w:rFonts w:hint="eastAsia" w:ascii="宋体" w:hAnsi="宋体" w:eastAsia="宋体" w:cs="宋体"/>
          <w:color w:val="000000"/>
          <w:sz w:val="26"/>
          <w:szCs w:val="26"/>
          <w:highlight w:val="none"/>
        </w:rPr>
        <w:fldChar w:fldCharType="separate"/>
      </w:r>
      <w:r>
        <w:rPr>
          <w:rFonts w:hint="eastAsia" w:ascii="宋体" w:hAnsi="宋体" w:eastAsia="宋体" w:cs="宋体"/>
          <w:color w:val="000000"/>
          <w:sz w:val="26"/>
          <w:szCs w:val="26"/>
          <w:lang w:val="en-US" w:eastAsia="zh-CN"/>
        </w:rPr>
        <w:t>六、评标办法前附表</w:t>
      </w:r>
      <w:r>
        <w:rPr>
          <w:rFonts w:hint="eastAsia" w:ascii="宋体" w:hAnsi="宋体" w:eastAsia="宋体" w:cs="宋体"/>
          <w:color w:val="000000"/>
          <w:sz w:val="26"/>
          <w:szCs w:val="26"/>
        </w:rPr>
        <w:tab/>
      </w:r>
      <w:r>
        <w:rPr>
          <w:rFonts w:hint="eastAsia" w:ascii="宋体" w:hAnsi="宋体" w:eastAsia="宋体" w:cs="宋体"/>
          <w:color w:val="000000"/>
          <w:sz w:val="26"/>
          <w:szCs w:val="26"/>
        </w:rPr>
        <w:fldChar w:fldCharType="begin"/>
      </w:r>
      <w:r>
        <w:rPr>
          <w:rFonts w:hint="eastAsia" w:ascii="宋体" w:hAnsi="宋体" w:eastAsia="宋体" w:cs="宋体"/>
          <w:color w:val="000000"/>
          <w:sz w:val="26"/>
          <w:szCs w:val="26"/>
        </w:rPr>
        <w:instrText xml:space="preserve"> PAGEREF _Toc17518 \h </w:instrText>
      </w:r>
      <w:r>
        <w:rPr>
          <w:rFonts w:hint="eastAsia" w:ascii="宋体" w:hAnsi="宋体" w:eastAsia="宋体" w:cs="宋体"/>
          <w:color w:val="000000"/>
          <w:sz w:val="26"/>
          <w:szCs w:val="26"/>
        </w:rPr>
        <w:fldChar w:fldCharType="separate"/>
      </w:r>
      <w:r>
        <w:rPr>
          <w:rFonts w:hint="eastAsia" w:ascii="宋体" w:hAnsi="宋体" w:eastAsia="宋体" w:cs="宋体"/>
          <w:color w:val="000000"/>
          <w:sz w:val="26"/>
          <w:szCs w:val="26"/>
        </w:rPr>
        <w:t>28</w:t>
      </w:r>
      <w:r>
        <w:rPr>
          <w:rFonts w:hint="eastAsia" w:ascii="宋体" w:hAnsi="宋体" w:eastAsia="宋体" w:cs="宋体"/>
          <w:color w:val="000000"/>
          <w:sz w:val="26"/>
          <w:szCs w:val="26"/>
        </w:rPr>
        <w:fldChar w:fldCharType="end"/>
      </w:r>
      <w:r>
        <w:rPr>
          <w:rFonts w:hint="eastAsia" w:ascii="宋体" w:hAnsi="宋体" w:eastAsia="宋体" w:cs="宋体"/>
          <w:color w:val="000000"/>
          <w:sz w:val="26"/>
          <w:szCs w:val="26"/>
          <w:highlight w:val="none"/>
        </w:rPr>
        <w:fldChar w:fldCharType="end"/>
      </w:r>
    </w:p>
    <w:p w14:paraId="61262D9C">
      <w:pPr>
        <w:pStyle w:val="10"/>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rPr>
        <w:fldChar w:fldCharType="begin"/>
      </w:r>
      <w:r>
        <w:rPr>
          <w:rFonts w:hint="eastAsia" w:ascii="宋体" w:hAnsi="宋体" w:eastAsia="宋体" w:cs="宋体"/>
          <w:b/>
          <w:bCs/>
          <w:color w:val="000000"/>
          <w:sz w:val="26"/>
          <w:szCs w:val="26"/>
          <w:highlight w:val="none"/>
        </w:rPr>
        <w:instrText xml:space="preserve"> HYPERLINK \l _Toc3 </w:instrText>
      </w:r>
      <w:r>
        <w:rPr>
          <w:rFonts w:hint="eastAsia" w:ascii="宋体" w:hAnsi="宋体" w:eastAsia="宋体" w:cs="宋体"/>
          <w:b/>
          <w:bCs/>
          <w:color w:val="000000"/>
          <w:sz w:val="26"/>
          <w:szCs w:val="26"/>
          <w:highlight w:val="none"/>
        </w:rPr>
        <w:fldChar w:fldCharType="separate"/>
      </w:r>
      <w:r>
        <w:rPr>
          <w:rFonts w:hint="eastAsia" w:ascii="宋体" w:hAnsi="宋体" w:eastAsia="宋体" w:cs="宋体"/>
          <w:b/>
          <w:bCs/>
          <w:color w:val="000000"/>
          <w:sz w:val="26"/>
          <w:szCs w:val="26"/>
        </w:rPr>
        <w:t>第四章</w:t>
      </w:r>
      <w:r>
        <w:rPr>
          <w:rFonts w:hint="eastAsia" w:ascii="宋体" w:hAnsi="宋体" w:eastAsia="宋体" w:cs="宋体"/>
          <w:b/>
          <w:bCs/>
          <w:color w:val="000000"/>
          <w:sz w:val="26"/>
          <w:szCs w:val="26"/>
          <w:lang w:val="en-US"/>
        </w:rPr>
        <w:t xml:space="preserve">  </w:t>
      </w:r>
      <w:r>
        <w:rPr>
          <w:rFonts w:hint="eastAsia" w:ascii="宋体" w:hAnsi="宋体" w:eastAsia="宋体" w:cs="宋体"/>
          <w:b/>
          <w:bCs/>
          <w:color w:val="000000"/>
          <w:sz w:val="26"/>
          <w:szCs w:val="26"/>
        </w:rPr>
        <w:t>合同条款及格式</w:t>
      </w:r>
      <w:r>
        <w:rPr>
          <w:rFonts w:hint="eastAsia" w:ascii="宋体" w:hAnsi="宋体" w:eastAsia="宋体" w:cs="宋体"/>
          <w:b/>
          <w:bCs/>
          <w:color w:val="000000"/>
          <w:sz w:val="26"/>
          <w:szCs w:val="26"/>
        </w:rPr>
        <w:tab/>
      </w:r>
      <w:r>
        <w:rPr>
          <w:rFonts w:hint="eastAsia" w:ascii="宋体" w:hAnsi="宋体" w:eastAsia="宋体" w:cs="宋体"/>
          <w:b/>
          <w:bCs/>
          <w:color w:val="000000"/>
          <w:sz w:val="26"/>
          <w:szCs w:val="26"/>
        </w:rPr>
        <w:fldChar w:fldCharType="begin"/>
      </w:r>
      <w:r>
        <w:rPr>
          <w:rFonts w:hint="eastAsia" w:ascii="宋体" w:hAnsi="宋体" w:eastAsia="宋体" w:cs="宋体"/>
          <w:b/>
          <w:bCs/>
          <w:color w:val="000000"/>
          <w:sz w:val="26"/>
          <w:szCs w:val="26"/>
        </w:rPr>
        <w:instrText xml:space="preserve"> PAGEREF _Toc3 \h </w:instrText>
      </w:r>
      <w:r>
        <w:rPr>
          <w:rFonts w:hint="eastAsia" w:ascii="宋体" w:hAnsi="宋体" w:eastAsia="宋体" w:cs="宋体"/>
          <w:b/>
          <w:bCs/>
          <w:color w:val="000000"/>
          <w:sz w:val="26"/>
          <w:szCs w:val="26"/>
        </w:rPr>
        <w:fldChar w:fldCharType="separate"/>
      </w:r>
      <w:r>
        <w:rPr>
          <w:rFonts w:hint="eastAsia" w:ascii="宋体" w:hAnsi="宋体" w:eastAsia="宋体" w:cs="宋体"/>
          <w:b/>
          <w:bCs/>
          <w:color w:val="000000"/>
          <w:sz w:val="26"/>
          <w:szCs w:val="26"/>
        </w:rPr>
        <w:t>35</w:t>
      </w:r>
      <w:r>
        <w:rPr>
          <w:rFonts w:hint="eastAsia" w:ascii="宋体" w:hAnsi="宋体" w:eastAsia="宋体" w:cs="宋体"/>
          <w:b/>
          <w:bCs/>
          <w:color w:val="000000"/>
          <w:sz w:val="26"/>
          <w:szCs w:val="26"/>
        </w:rPr>
        <w:fldChar w:fldCharType="end"/>
      </w:r>
      <w:r>
        <w:rPr>
          <w:rFonts w:hint="eastAsia" w:ascii="宋体" w:hAnsi="宋体" w:eastAsia="宋体" w:cs="宋体"/>
          <w:b/>
          <w:bCs/>
          <w:color w:val="000000"/>
          <w:sz w:val="26"/>
          <w:szCs w:val="26"/>
          <w:highlight w:val="none"/>
        </w:rPr>
        <w:fldChar w:fldCharType="end"/>
      </w:r>
    </w:p>
    <w:p w14:paraId="5B00AEF4">
      <w:pPr>
        <w:pStyle w:val="10"/>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6"/>
          <w:szCs w:val="26"/>
        </w:rPr>
      </w:pPr>
      <w:r>
        <w:rPr>
          <w:rFonts w:hint="eastAsia" w:ascii="宋体" w:hAnsi="宋体" w:eastAsia="宋体" w:cs="宋体"/>
          <w:b/>
          <w:bCs/>
          <w:color w:val="000000"/>
          <w:sz w:val="26"/>
          <w:szCs w:val="26"/>
          <w:highlight w:val="none"/>
        </w:rPr>
        <w:fldChar w:fldCharType="begin"/>
      </w:r>
      <w:r>
        <w:rPr>
          <w:rFonts w:hint="eastAsia" w:ascii="宋体" w:hAnsi="宋体" w:eastAsia="宋体" w:cs="宋体"/>
          <w:b/>
          <w:bCs/>
          <w:color w:val="000000"/>
          <w:sz w:val="26"/>
          <w:szCs w:val="26"/>
          <w:highlight w:val="none"/>
        </w:rPr>
        <w:instrText xml:space="preserve"> HYPERLINK \l _Toc22882 </w:instrText>
      </w:r>
      <w:r>
        <w:rPr>
          <w:rFonts w:hint="eastAsia" w:ascii="宋体" w:hAnsi="宋体" w:eastAsia="宋体" w:cs="宋体"/>
          <w:b/>
          <w:bCs/>
          <w:color w:val="000000"/>
          <w:sz w:val="26"/>
          <w:szCs w:val="26"/>
          <w:highlight w:val="none"/>
        </w:rPr>
        <w:fldChar w:fldCharType="separate"/>
      </w:r>
      <w:r>
        <w:rPr>
          <w:rFonts w:hint="eastAsia" w:ascii="宋体" w:hAnsi="宋体" w:eastAsia="宋体" w:cs="宋体"/>
          <w:b/>
          <w:bCs/>
          <w:color w:val="000000"/>
          <w:sz w:val="26"/>
          <w:szCs w:val="26"/>
        </w:rPr>
        <w:t>第五章  技术标准及规范</w:t>
      </w:r>
      <w:r>
        <w:rPr>
          <w:rFonts w:hint="eastAsia" w:ascii="宋体" w:hAnsi="宋体" w:eastAsia="宋体" w:cs="宋体"/>
          <w:b/>
          <w:bCs/>
          <w:color w:val="000000"/>
          <w:sz w:val="26"/>
          <w:szCs w:val="26"/>
        </w:rPr>
        <w:tab/>
      </w:r>
      <w:r>
        <w:rPr>
          <w:rFonts w:hint="eastAsia" w:ascii="宋体" w:hAnsi="宋体" w:eastAsia="宋体" w:cs="宋体"/>
          <w:b/>
          <w:bCs/>
          <w:color w:val="000000"/>
          <w:sz w:val="26"/>
          <w:szCs w:val="26"/>
        </w:rPr>
        <w:fldChar w:fldCharType="begin"/>
      </w:r>
      <w:r>
        <w:rPr>
          <w:rFonts w:hint="eastAsia" w:ascii="宋体" w:hAnsi="宋体" w:eastAsia="宋体" w:cs="宋体"/>
          <w:b/>
          <w:bCs/>
          <w:color w:val="000000"/>
          <w:sz w:val="26"/>
          <w:szCs w:val="26"/>
        </w:rPr>
        <w:instrText xml:space="preserve"> PAGEREF _Toc22882 \h </w:instrText>
      </w:r>
      <w:r>
        <w:rPr>
          <w:rFonts w:hint="eastAsia" w:ascii="宋体" w:hAnsi="宋体" w:eastAsia="宋体" w:cs="宋体"/>
          <w:b/>
          <w:bCs/>
          <w:color w:val="000000"/>
          <w:sz w:val="26"/>
          <w:szCs w:val="26"/>
        </w:rPr>
        <w:fldChar w:fldCharType="separate"/>
      </w:r>
      <w:r>
        <w:rPr>
          <w:rFonts w:hint="eastAsia" w:ascii="宋体" w:hAnsi="宋体" w:eastAsia="宋体" w:cs="宋体"/>
          <w:b/>
          <w:bCs/>
          <w:color w:val="000000"/>
          <w:sz w:val="26"/>
          <w:szCs w:val="26"/>
        </w:rPr>
        <w:t>43</w:t>
      </w:r>
      <w:r>
        <w:rPr>
          <w:rFonts w:hint="eastAsia" w:ascii="宋体" w:hAnsi="宋体" w:eastAsia="宋体" w:cs="宋体"/>
          <w:b/>
          <w:bCs/>
          <w:color w:val="000000"/>
          <w:sz w:val="26"/>
          <w:szCs w:val="26"/>
        </w:rPr>
        <w:fldChar w:fldCharType="end"/>
      </w:r>
      <w:r>
        <w:rPr>
          <w:rFonts w:hint="eastAsia" w:ascii="宋体" w:hAnsi="宋体" w:eastAsia="宋体" w:cs="宋体"/>
          <w:b/>
          <w:bCs/>
          <w:color w:val="000000"/>
          <w:sz w:val="26"/>
          <w:szCs w:val="26"/>
          <w:highlight w:val="none"/>
        </w:rPr>
        <w:fldChar w:fldCharType="end"/>
      </w:r>
    </w:p>
    <w:p w14:paraId="47816227">
      <w:pPr>
        <w:pStyle w:val="10"/>
        <w:keepNext w:val="0"/>
        <w:keepLines w:val="0"/>
        <w:pageBreakBefore w:val="0"/>
        <w:widowControl w:val="0"/>
        <w:tabs>
          <w:tab w:val="right" w:leader="dot" w:pos="9184"/>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6"/>
          <w:szCs w:val="26"/>
        </w:rPr>
      </w:pPr>
      <w:r>
        <w:rPr>
          <w:rFonts w:hint="eastAsia" w:ascii="宋体" w:hAnsi="宋体" w:eastAsia="宋体" w:cs="宋体"/>
          <w:b/>
          <w:bCs/>
          <w:color w:val="000000"/>
          <w:sz w:val="26"/>
          <w:szCs w:val="26"/>
          <w:highlight w:val="none"/>
        </w:rPr>
        <w:fldChar w:fldCharType="begin"/>
      </w:r>
      <w:r>
        <w:rPr>
          <w:rFonts w:hint="eastAsia" w:ascii="宋体" w:hAnsi="宋体" w:eastAsia="宋体" w:cs="宋体"/>
          <w:b/>
          <w:bCs/>
          <w:color w:val="000000"/>
          <w:sz w:val="26"/>
          <w:szCs w:val="26"/>
          <w:highlight w:val="none"/>
        </w:rPr>
        <w:instrText xml:space="preserve"> HYPERLINK \l _Toc12437 </w:instrText>
      </w:r>
      <w:r>
        <w:rPr>
          <w:rFonts w:hint="eastAsia" w:ascii="宋体" w:hAnsi="宋体" w:eastAsia="宋体" w:cs="宋体"/>
          <w:b/>
          <w:bCs/>
          <w:color w:val="000000"/>
          <w:sz w:val="26"/>
          <w:szCs w:val="26"/>
          <w:highlight w:val="none"/>
        </w:rPr>
        <w:fldChar w:fldCharType="separate"/>
      </w:r>
      <w:r>
        <w:rPr>
          <w:rFonts w:hint="eastAsia" w:ascii="宋体" w:hAnsi="宋体" w:eastAsia="宋体" w:cs="宋体"/>
          <w:b/>
          <w:bCs/>
          <w:color w:val="000000"/>
          <w:sz w:val="26"/>
          <w:szCs w:val="26"/>
        </w:rPr>
        <w:t>第六章  投标文件格式</w:t>
      </w:r>
      <w:r>
        <w:rPr>
          <w:rFonts w:hint="eastAsia" w:ascii="宋体" w:hAnsi="宋体" w:eastAsia="宋体" w:cs="宋体"/>
          <w:b/>
          <w:bCs/>
          <w:color w:val="000000"/>
          <w:sz w:val="26"/>
          <w:szCs w:val="26"/>
        </w:rPr>
        <w:tab/>
      </w:r>
      <w:r>
        <w:rPr>
          <w:rFonts w:hint="eastAsia" w:ascii="宋体" w:hAnsi="宋体" w:eastAsia="宋体" w:cs="宋体"/>
          <w:b/>
          <w:bCs/>
          <w:color w:val="000000"/>
          <w:sz w:val="26"/>
          <w:szCs w:val="26"/>
        </w:rPr>
        <w:fldChar w:fldCharType="begin"/>
      </w:r>
      <w:r>
        <w:rPr>
          <w:rFonts w:hint="eastAsia" w:ascii="宋体" w:hAnsi="宋体" w:eastAsia="宋体" w:cs="宋体"/>
          <w:b/>
          <w:bCs/>
          <w:color w:val="000000"/>
          <w:sz w:val="26"/>
          <w:szCs w:val="26"/>
        </w:rPr>
        <w:instrText xml:space="preserve"> PAGEREF _Toc12437 \h </w:instrText>
      </w:r>
      <w:r>
        <w:rPr>
          <w:rFonts w:hint="eastAsia" w:ascii="宋体" w:hAnsi="宋体" w:eastAsia="宋体" w:cs="宋体"/>
          <w:b/>
          <w:bCs/>
          <w:color w:val="000000"/>
          <w:sz w:val="26"/>
          <w:szCs w:val="26"/>
        </w:rPr>
        <w:fldChar w:fldCharType="separate"/>
      </w:r>
      <w:r>
        <w:rPr>
          <w:rFonts w:hint="eastAsia" w:ascii="宋体" w:hAnsi="宋体" w:eastAsia="宋体" w:cs="宋体"/>
          <w:b/>
          <w:bCs/>
          <w:color w:val="000000"/>
          <w:sz w:val="26"/>
          <w:szCs w:val="26"/>
        </w:rPr>
        <w:t>44</w:t>
      </w:r>
      <w:r>
        <w:rPr>
          <w:rFonts w:hint="eastAsia" w:ascii="宋体" w:hAnsi="宋体" w:eastAsia="宋体" w:cs="宋体"/>
          <w:b/>
          <w:bCs/>
          <w:color w:val="000000"/>
          <w:sz w:val="26"/>
          <w:szCs w:val="26"/>
        </w:rPr>
        <w:fldChar w:fldCharType="end"/>
      </w:r>
      <w:r>
        <w:rPr>
          <w:rFonts w:hint="eastAsia" w:ascii="宋体" w:hAnsi="宋体" w:eastAsia="宋体" w:cs="宋体"/>
          <w:b/>
          <w:bCs/>
          <w:color w:val="000000"/>
          <w:sz w:val="26"/>
          <w:szCs w:val="26"/>
          <w:highlight w:val="none"/>
        </w:rPr>
        <w:fldChar w:fldCharType="end"/>
      </w:r>
    </w:p>
    <w:p w14:paraId="051D57B2">
      <w:pPr>
        <w:pStyle w:val="5"/>
        <w:bidi w:val="0"/>
        <w:snapToGrid w:val="0"/>
        <w:spacing w:before="0" w:after="0" w:line="480" w:lineRule="auto"/>
        <w:ind w:left="540" w:leftChars="257"/>
        <w:jc w:val="center"/>
        <w:outlineLvl w:val="9"/>
        <w:rPr>
          <w:rFonts w:hint="eastAsia" w:ascii="宋体" w:hAnsi="宋体" w:eastAsia="宋体" w:cs="宋体"/>
          <w:color w:val="000000"/>
          <w:sz w:val="48"/>
          <w:highlight w:val="none"/>
        </w:rPr>
        <w:sectPr>
          <w:pgSz w:w="11906" w:h="16838"/>
          <w:pgMar w:top="1418" w:right="1361" w:bottom="1418" w:left="1361" w:header="851" w:footer="0" w:gutter="0"/>
          <w:pgNumType w:start="1"/>
          <w:cols w:space="720" w:num="1"/>
          <w:docGrid w:linePitch="350" w:charSpace="0"/>
        </w:sectPr>
      </w:pPr>
      <w:r>
        <w:rPr>
          <w:rFonts w:hint="eastAsia" w:ascii="宋体" w:hAnsi="宋体" w:eastAsia="宋体" w:cs="宋体"/>
          <w:color w:val="000000"/>
          <w:highlight w:val="none"/>
        </w:rPr>
        <w:fldChar w:fldCharType="end"/>
      </w:r>
    </w:p>
    <w:p w14:paraId="4B69D882">
      <w:pPr>
        <w:pStyle w:val="3"/>
        <w:bidi w:val="0"/>
        <w:jc w:val="center"/>
        <w:rPr>
          <w:rFonts w:hint="eastAsia" w:ascii="宋体" w:hAnsi="宋体" w:eastAsia="宋体" w:cs="宋体"/>
          <w:b w:val="0"/>
          <w:color w:val="000000"/>
          <w:spacing w:val="-4"/>
          <w:kern w:val="0"/>
          <w:sz w:val="24"/>
          <w:highlight w:val="none"/>
        </w:rPr>
      </w:pPr>
      <w:bookmarkStart w:id="1" w:name="_Toc6607"/>
      <w:r>
        <w:rPr>
          <w:rFonts w:hint="eastAsia" w:ascii="宋体" w:hAnsi="宋体" w:eastAsia="宋体" w:cs="宋体"/>
          <w:color w:val="000000"/>
        </w:rPr>
        <w:t>第一章 招标公告</w:t>
      </w:r>
      <w:bookmarkEnd w:id="1"/>
    </w:p>
    <w:p w14:paraId="59EADA4E">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1791" w:firstLine="0" w:firstLineChars="0"/>
        <w:jc w:val="left"/>
        <w:textAlignment w:val="auto"/>
        <w:rPr>
          <w:rFonts w:hint="eastAsia" w:ascii="宋体" w:hAnsi="宋体" w:eastAsia="宋体" w:cs="宋体"/>
          <w:color w:val="000000"/>
        </w:rPr>
      </w:pPr>
      <w:bookmarkStart w:id="2" w:name="_Toc2614"/>
      <w:r>
        <w:rPr>
          <w:rFonts w:hint="eastAsia" w:ascii="宋体" w:hAnsi="宋体" w:eastAsia="宋体" w:cs="宋体"/>
          <w:color w:val="000000"/>
        </w:rPr>
        <w:t>一、招标条件</w:t>
      </w:r>
      <w:bookmarkEnd w:id="2"/>
    </w:p>
    <w:p w14:paraId="2B0CA12D">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bookmarkStart w:id="3" w:name="_Toc302"/>
      <w:r>
        <w:rPr>
          <w:rFonts w:hint="eastAsia" w:ascii="宋体" w:hAnsi="宋体" w:eastAsia="宋体" w:cs="宋体"/>
          <w:color w:val="000000"/>
          <w:sz w:val="24"/>
          <w:szCs w:val="32"/>
        </w:rPr>
        <w:t>本招标</w:t>
      </w:r>
      <w:r>
        <w:rPr>
          <w:rFonts w:hint="eastAsia" w:ascii="宋体" w:hAnsi="宋体" w:eastAsia="宋体" w:cs="宋体"/>
          <w:color w:val="000000"/>
          <w:sz w:val="24"/>
          <w:szCs w:val="32"/>
          <w:lang w:val="en-US" w:eastAsia="zh-CN"/>
        </w:rPr>
        <w:t>项目</w:t>
      </w:r>
      <w:r>
        <w:rPr>
          <w:rFonts w:hint="eastAsia" w:ascii="宋体" w:hAnsi="宋体" w:eastAsia="宋体" w:cs="宋体"/>
          <w:color w:val="000000"/>
          <w:sz w:val="24"/>
          <w:szCs w:val="32"/>
          <w:u w:val="single"/>
          <w:lang w:val="en-US" w:eastAsia="zh-CN"/>
        </w:rPr>
        <w:t>广东省韶关市武江区农业产业基础设施建设项目-武江区2026年农业产业基础设施建设项目（江湾镇）勘察设计</w:t>
      </w:r>
      <w:r>
        <w:rPr>
          <w:rFonts w:hint="eastAsia" w:ascii="宋体" w:hAnsi="宋体" w:eastAsia="宋体" w:cs="宋体"/>
          <w:color w:val="000000"/>
          <w:sz w:val="24"/>
          <w:szCs w:val="32"/>
          <w:lang w:val="en-US" w:eastAsia="zh-CN"/>
        </w:rPr>
        <w:t>经</w:t>
      </w:r>
      <w:r>
        <w:rPr>
          <w:rFonts w:hint="eastAsia" w:ascii="宋体" w:hAnsi="宋体" w:eastAsia="宋体" w:cs="宋体"/>
          <w:color w:val="000000"/>
          <w:sz w:val="24"/>
          <w:szCs w:val="32"/>
          <w:u w:val="single"/>
          <w:lang w:val="en-US" w:eastAsia="zh-CN"/>
        </w:rPr>
        <w:t>韶关市武江区发展和改革局</w:t>
      </w:r>
      <w:r>
        <w:rPr>
          <w:rFonts w:hint="eastAsia" w:ascii="宋体" w:hAnsi="宋体" w:eastAsia="宋体" w:cs="宋体"/>
          <w:color w:val="000000"/>
          <w:sz w:val="24"/>
          <w:szCs w:val="32"/>
          <w:lang w:val="en-US" w:eastAsia="zh-CN"/>
        </w:rPr>
        <w:t>以</w:t>
      </w:r>
      <w:r>
        <w:rPr>
          <w:rFonts w:hint="eastAsia" w:ascii="宋体" w:hAnsi="宋体" w:eastAsia="宋体" w:cs="宋体"/>
          <w:color w:val="000000"/>
          <w:sz w:val="24"/>
          <w:szCs w:val="32"/>
          <w:u w:val="single"/>
          <w:lang w:val="en-US" w:eastAsia="zh-CN"/>
        </w:rPr>
        <w:t>《韶关市武江区发展和改革局关于广东省韶关市武江区农业产业基础设施建设项目可行性研究报告的批复》（韶武发改投审[2024]136号）</w:t>
      </w:r>
      <w:r>
        <w:rPr>
          <w:rFonts w:hint="eastAsia" w:ascii="宋体" w:hAnsi="宋体" w:eastAsia="宋体" w:cs="宋体"/>
          <w:color w:val="000000"/>
          <w:sz w:val="24"/>
          <w:szCs w:val="32"/>
          <w:lang w:val="en-US" w:eastAsia="zh-CN"/>
        </w:rPr>
        <w:t>批准建设，项目代码为</w:t>
      </w:r>
      <w:r>
        <w:rPr>
          <w:rFonts w:hint="eastAsia" w:ascii="宋体" w:hAnsi="宋体" w:eastAsia="宋体" w:cs="宋体"/>
          <w:color w:val="000000"/>
          <w:sz w:val="24"/>
          <w:szCs w:val="32"/>
          <w:u w:val="single"/>
          <w:lang w:val="en-US" w:eastAsia="zh-CN"/>
        </w:rPr>
        <w:t>2412-440203-20-01-503270</w:t>
      </w:r>
      <w:r>
        <w:rPr>
          <w:rFonts w:hint="eastAsia" w:ascii="宋体" w:hAnsi="宋体" w:eastAsia="宋体" w:cs="宋体"/>
          <w:color w:val="000000"/>
          <w:sz w:val="24"/>
          <w:szCs w:val="32"/>
          <w:lang w:val="en-US" w:eastAsia="zh-CN"/>
        </w:rPr>
        <w:t>。本工程项目业主为</w:t>
      </w:r>
      <w:r>
        <w:rPr>
          <w:rFonts w:hint="eastAsia" w:ascii="宋体" w:hAnsi="宋体" w:eastAsia="宋体" w:cs="宋体"/>
          <w:color w:val="000000"/>
          <w:sz w:val="24"/>
          <w:szCs w:val="32"/>
          <w:u w:val="single"/>
          <w:lang w:val="en-US" w:eastAsia="zh-CN"/>
        </w:rPr>
        <w:t>韶关市武江区江湾镇人民政府</w:t>
      </w:r>
      <w:r>
        <w:rPr>
          <w:rFonts w:hint="eastAsia" w:ascii="宋体" w:hAnsi="宋体" w:eastAsia="宋体" w:cs="宋体"/>
          <w:color w:val="000000"/>
          <w:sz w:val="24"/>
          <w:szCs w:val="32"/>
          <w:lang w:val="en-US" w:eastAsia="zh-CN"/>
        </w:rPr>
        <w:t>，建设资金来自</w:t>
      </w:r>
      <w:r>
        <w:rPr>
          <w:rFonts w:hint="eastAsia" w:ascii="宋体" w:hAnsi="宋体" w:eastAsia="宋体" w:cs="宋体"/>
          <w:color w:val="000000"/>
          <w:sz w:val="24"/>
          <w:szCs w:val="32"/>
          <w:u w:val="single"/>
          <w:lang w:val="en-US" w:eastAsia="zh-CN"/>
        </w:rPr>
        <w:t>区财政统筹解决</w:t>
      </w:r>
      <w:r>
        <w:rPr>
          <w:rFonts w:hint="eastAsia" w:ascii="宋体" w:hAnsi="宋体" w:eastAsia="宋体" w:cs="宋体"/>
          <w:color w:val="000000"/>
          <w:sz w:val="24"/>
          <w:szCs w:val="32"/>
          <w:lang w:val="en-US" w:eastAsia="zh-CN"/>
        </w:rPr>
        <w:t>，出资比例为</w:t>
      </w:r>
      <w:r>
        <w:rPr>
          <w:rFonts w:hint="eastAsia" w:ascii="宋体" w:hAnsi="宋体" w:eastAsia="宋体" w:cs="宋体"/>
          <w:color w:val="000000"/>
          <w:sz w:val="24"/>
          <w:szCs w:val="32"/>
          <w:u w:val="single"/>
          <w:lang w:val="en-US" w:eastAsia="zh-CN"/>
        </w:rPr>
        <w:t>100%</w:t>
      </w:r>
      <w:r>
        <w:rPr>
          <w:rFonts w:hint="eastAsia" w:ascii="宋体" w:hAnsi="宋体" w:eastAsia="宋体" w:cs="宋体"/>
          <w:color w:val="000000"/>
          <w:sz w:val="24"/>
          <w:szCs w:val="32"/>
          <w:lang w:val="en-US" w:eastAsia="zh-CN"/>
        </w:rPr>
        <w:t>，招标人为</w:t>
      </w:r>
      <w:r>
        <w:rPr>
          <w:rFonts w:hint="eastAsia" w:ascii="宋体" w:hAnsi="宋体" w:eastAsia="宋体" w:cs="宋体"/>
          <w:color w:val="000000"/>
          <w:sz w:val="24"/>
          <w:szCs w:val="32"/>
          <w:u w:val="single"/>
          <w:lang w:val="en-US" w:eastAsia="zh-CN"/>
        </w:rPr>
        <w:t>韶关市武江区江湾镇人民政府</w:t>
      </w:r>
      <w:r>
        <w:rPr>
          <w:rFonts w:hint="eastAsia" w:ascii="宋体" w:hAnsi="宋体" w:eastAsia="宋体" w:cs="宋体"/>
          <w:color w:val="000000"/>
          <w:sz w:val="24"/>
          <w:szCs w:val="32"/>
          <w:lang w:val="en-US" w:eastAsia="zh-CN"/>
        </w:rPr>
        <w:t>，招标代理机构为</w:t>
      </w:r>
      <w:r>
        <w:rPr>
          <w:rFonts w:hint="eastAsia" w:ascii="宋体" w:hAnsi="宋体" w:eastAsia="宋体" w:cs="宋体"/>
          <w:color w:val="000000"/>
          <w:sz w:val="24"/>
          <w:szCs w:val="32"/>
          <w:u w:val="single"/>
          <w:lang w:val="en-US" w:eastAsia="zh-CN"/>
        </w:rPr>
        <w:t>广东明正项目管理有限公司</w:t>
      </w:r>
      <w:r>
        <w:rPr>
          <w:rFonts w:hint="eastAsia" w:ascii="宋体" w:hAnsi="宋体" w:eastAsia="宋体" w:cs="宋体"/>
          <w:color w:val="000000"/>
          <w:sz w:val="24"/>
          <w:szCs w:val="32"/>
          <w:lang w:val="en-US" w:eastAsia="zh-CN"/>
        </w:rPr>
        <w:t>。项目已具备招标条件，现对该项目的</w:t>
      </w:r>
      <w:r>
        <w:rPr>
          <w:rFonts w:hint="eastAsia" w:ascii="宋体" w:hAnsi="宋体" w:eastAsia="宋体" w:cs="宋体"/>
          <w:color w:val="000000"/>
          <w:sz w:val="24"/>
          <w:szCs w:val="32"/>
          <w:u w:val="single"/>
          <w:lang w:val="en-US" w:eastAsia="zh-CN"/>
        </w:rPr>
        <w:t>勘察设计</w:t>
      </w:r>
      <w:r>
        <w:rPr>
          <w:rFonts w:hint="eastAsia" w:ascii="宋体" w:hAnsi="宋体" w:eastAsia="宋体" w:cs="宋体"/>
          <w:color w:val="000000"/>
          <w:sz w:val="24"/>
          <w:szCs w:val="32"/>
          <w:lang w:val="en-US" w:eastAsia="zh-CN"/>
        </w:rPr>
        <w:t>进行</w:t>
      </w:r>
      <w:r>
        <w:rPr>
          <w:rFonts w:hint="eastAsia" w:ascii="宋体" w:hAnsi="宋体" w:eastAsia="宋体" w:cs="宋体"/>
          <w:color w:val="000000"/>
          <w:sz w:val="24"/>
          <w:szCs w:val="32"/>
          <w:u w:val="single"/>
          <w:lang w:val="en-US" w:eastAsia="zh-CN"/>
        </w:rPr>
        <w:t>公开招标</w:t>
      </w:r>
      <w:r>
        <w:rPr>
          <w:rFonts w:hint="eastAsia" w:ascii="宋体" w:hAnsi="宋体" w:eastAsia="宋体" w:cs="宋体"/>
          <w:color w:val="000000"/>
          <w:sz w:val="24"/>
          <w:szCs w:val="32"/>
          <w:lang w:val="en-US" w:eastAsia="zh-CN"/>
        </w:rPr>
        <w:t>。</w:t>
      </w:r>
    </w:p>
    <w:p w14:paraId="582EF17E">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both"/>
        <w:textAlignment w:val="auto"/>
        <w:rPr>
          <w:rFonts w:hint="eastAsia" w:ascii="宋体" w:hAnsi="宋体" w:eastAsia="宋体" w:cs="宋体"/>
          <w:color w:val="000000"/>
        </w:rPr>
      </w:pPr>
      <w:r>
        <w:rPr>
          <w:rFonts w:hint="eastAsia" w:ascii="宋体" w:hAnsi="宋体" w:eastAsia="宋体" w:cs="宋体"/>
          <w:color w:val="000000"/>
        </w:rPr>
        <w:t>二、项目概况与招标范围</w:t>
      </w:r>
      <w:bookmarkEnd w:id="3"/>
    </w:p>
    <w:p w14:paraId="09F02485">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bookmarkStart w:id="4" w:name="_Toc24604"/>
      <w:r>
        <w:rPr>
          <w:rFonts w:hint="eastAsia" w:ascii="宋体" w:hAnsi="宋体" w:eastAsia="宋体" w:cs="宋体"/>
          <w:color w:val="000000"/>
          <w:sz w:val="24"/>
          <w:szCs w:val="32"/>
        </w:rPr>
        <w:t>2.1项目建设地点：</w:t>
      </w:r>
      <w:bookmarkEnd w:id="4"/>
      <w:r>
        <w:rPr>
          <w:rFonts w:hint="eastAsia" w:ascii="宋体" w:hAnsi="宋体" w:eastAsia="宋体" w:cs="宋体"/>
          <w:color w:val="000000"/>
          <w:sz w:val="24"/>
          <w:szCs w:val="32"/>
          <w:lang w:val="en-US" w:eastAsia="zh-CN"/>
        </w:rPr>
        <w:t>韶关市武江区江湾镇。</w:t>
      </w:r>
    </w:p>
    <w:p w14:paraId="08DF383C">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24"/>
          <w:szCs w:val="32"/>
        </w:rPr>
        <w:t>2.2项目建设内容与规模：现状耕地整治100亩，新增耕地230亩(新增耕地参照任务面积200亩及林耕置换30亩)。清杂面积287.87亩，修筑田埂2173.71㎡，新建生产道路2350米，灌溉沟渠排水沟渠4060m,土地整理330亩，客土230亩,插撒有机肥、撒施土壤调理剂、土地翻耕230亩，总投资为4</w:t>
      </w:r>
      <w:r>
        <w:rPr>
          <w:rFonts w:hint="eastAsia" w:ascii="宋体" w:hAnsi="宋体" w:eastAsia="宋体" w:cs="宋体"/>
          <w:color w:val="000000"/>
          <w:sz w:val="24"/>
          <w:szCs w:val="32"/>
          <w:lang w:val="en-US" w:eastAsia="zh-CN"/>
        </w:rPr>
        <w:t>0</w:t>
      </w:r>
      <w:r>
        <w:rPr>
          <w:rFonts w:hint="eastAsia" w:ascii="宋体" w:hAnsi="宋体" w:eastAsia="宋体" w:cs="宋体"/>
          <w:color w:val="000000"/>
          <w:sz w:val="24"/>
          <w:szCs w:val="32"/>
        </w:rPr>
        <w:t>0.00万元。</w:t>
      </w:r>
    </w:p>
    <w:p w14:paraId="60946B10">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szCs w:val="32"/>
        </w:rPr>
        <w:t>2.3招标范围：</w:t>
      </w:r>
      <w:bookmarkStart w:id="5" w:name="_Toc24591"/>
      <w:r>
        <w:rPr>
          <w:rFonts w:hint="eastAsia" w:ascii="宋体" w:hAnsi="宋体" w:eastAsia="宋体" w:cs="宋体"/>
          <w:color w:val="000000"/>
          <w:sz w:val="24"/>
          <w:highlight w:val="none"/>
        </w:rPr>
        <w:t>工程勘察、工程测量、编制初步设计、设计概算、施工图设计、施工图预算、招标图工程量计算、招标图工程量清单等文件、工程实施到竣工验收全过程的设计服务（包括设计变更报告和施工现场指导等）。</w:t>
      </w:r>
    </w:p>
    <w:p w14:paraId="0C6378E4">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shd w:val="clear" w:color="auto" w:fill="FFFF00"/>
        </w:rPr>
      </w:pPr>
      <w:r>
        <w:rPr>
          <w:rFonts w:hint="eastAsia" w:ascii="宋体" w:hAnsi="宋体" w:eastAsia="宋体" w:cs="宋体"/>
          <w:color w:val="000000"/>
          <w:sz w:val="24"/>
          <w:szCs w:val="32"/>
        </w:rPr>
        <w:t>2.4</w:t>
      </w:r>
      <w:r>
        <w:rPr>
          <w:rFonts w:hint="eastAsia" w:ascii="宋体" w:hAnsi="宋体" w:eastAsia="宋体" w:cs="宋体"/>
          <w:color w:val="000000"/>
          <w:sz w:val="24"/>
          <w:szCs w:val="32"/>
          <w:lang w:eastAsia="zh-CN"/>
        </w:rPr>
        <w:t>勘察设计服务期限</w:t>
      </w:r>
      <w:r>
        <w:rPr>
          <w:rFonts w:hint="eastAsia" w:ascii="宋体" w:hAnsi="宋体" w:eastAsia="宋体" w:cs="宋体"/>
          <w:color w:val="000000"/>
          <w:sz w:val="24"/>
          <w:szCs w:val="32"/>
        </w:rPr>
        <w:t>：</w:t>
      </w:r>
      <w:r>
        <w:rPr>
          <w:rFonts w:hint="eastAsia" w:ascii="宋体" w:hAnsi="宋体" w:eastAsia="宋体" w:cs="宋体"/>
          <w:color w:val="000000"/>
          <w:sz w:val="24"/>
          <w:szCs w:val="32"/>
          <w:shd w:val="clear" w:color="auto" w:fill="auto"/>
          <w:lang w:val="en-US" w:eastAsia="zh-CN"/>
        </w:rPr>
        <w:t>30</w:t>
      </w:r>
      <w:r>
        <w:rPr>
          <w:rFonts w:hint="eastAsia" w:ascii="宋体" w:hAnsi="宋体" w:eastAsia="宋体" w:cs="宋体"/>
          <w:color w:val="000000"/>
          <w:sz w:val="24"/>
          <w:szCs w:val="32"/>
          <w:shd w:val="clear" w:color="auto" w:fill="auto"/>
        </w:rPr>
        <w:t>个日历天。</w:t>
      </w:r>
      <w:bookmarkEnd w:id="5"/>
    </w:p>
    <w:p w14:paraId="1C182369">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（1）初步设计计划工期：</w:t>
      </w:r>
      <w:r>
        <w:rPr>
          <w:rFonts w:hint="eastAsia" w:ascii="宋体" w:hAnsi="宋体" w:eastAsia="宋体" w:cs="宋体"/>
          <w:color w:val="000000"/>
          <w:sz w:val="24"/>
          <w:szCs w:val="32"/>
          <w:shd w:val="clear" w:color="auto" w:fill="auto"/>
          <w:lang w:val="en-US" w:eastAsia="zh-CN"/>
        </w:rPr>
        <w:t>20个日历天</w:t>
      </w:r>
      <w:r>
        <w:rPr>
          <w:rFonts w:hint="eastAsia" w:ascii="宋体" w:hAnsi="宋体" w:eastAsia="宋体" w:cs="宋体"/>
          <w:color w:val="000000"/>
          <w:sz w:val="24"/>
          <w:szCs w:val="32"/>
        </w:rPr>
        <w:t>内完成初步设计并提交包括初步设计报告、工程量清单、工程量计算书、工程概算及工程相关图纸等能参加技术评审的所有成果；</w:t>
      </w:r>
    </w:p>
    <w:p w14:paraId="42CF453A">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（2）开完技术评审会次日起</w:t>
      </w:r>
      <w:r>
        <w:rPr>
          <w:rFonts w:hint="eastAsia" w:ascii="宋体" w:hAnsi="宋体" w:eastAsia="宋体" w:cs="宋体"/>
          <w:color w:val="000000"/>
          <w:sz w:val="24"/>
          <w:szCs w:val="32"/>
          <w:shd w:val="clear" w:color="auto" w:fill="auto"/>
          <w:lang w:val="en-US" w:eastAsia="zh-CN"/>
        </w:rPr>
        <w:t>3个日历天</w:t>
      </w:r>
      <w:r>
        <w:rPr>
          <w:rFonts w:hint="eastAsia" w:ascii="宋体" w:hAnsi="宋体" w:eastAsia="宋体" w:cs="宋体"/>
          <w:color w:val="000000"/>
          <w:sz w:val="24"/>
          <w:szCs w:val="32"/>
        </w:rPr>
        <w:t>内完成对本项目初步设计技术评审会专家的评审修改意见的修改；</w:t>
      </w:r>
    </w:p>
    <w:p w14:paraId="3C5BFF35">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（3）自发包人书面通知之日起</w:t>
      </w:r>
      <w:r>
        <w:rPr>
          <w:rFonts w:hint="eastAsia" w:ascii="宋体" w:hAnsi="宋体" w:eastAsia="宋体" w:cs="宋体"/>
          <w:color w:val="000000"/>
          <w:sz w:val="24"/>
          <w:szCs w:val="32"/>
          <w:shd w:val="clear" w:color="auto" w:fill="auto"/>
          <w:lang w:val="en-US" w:eastAsia="zh-CN"/>
        </w:rPr>
        <w:t>3个日历天内</w:t>
      </w:r>
      <w:r>
        <w:rPr>
          <w:rFonts w:hint="eastAsia" w:ascii="宋体" w:hAnsi="宋体" w:eastAsia="宋体" w:cs="宋体"/>
          <w:color w:val="000000"/>
          <w:sz w:val="24"/>
          <w:szCs w:val="32"/>
        </w:rPr>
        <w:t>提交施工招标设计、工程量清单及招标图纸；</w:t>
      </w:r>
    </w:p>
    <w:p w14:paraId="116A1442">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（4）自发包人书面通知之日起</w:t>
      </w:r>
      <w:r>
        <w:rPr>
          <w:rFonts w:hint="eastAsia" w:ascii="宋体" w:hAnsi="宋体" w:eastAsia="宋体" w:cs="宋体"/>
          <w:color w:val="000000"/>
          <w:sz w:val="24"/>
          <w:szCs w:val="32"/>
          <w:shd w:val="clear" w:color="auto" w:fill="auto"/>
          <w:lang w:val="en-US" w:eastAsia="zh-CN"/>
        </w:rPr>
        <w:t>4个日历天内</w:t>
      </w:r>
      <w:r>
        <w:rPr>
          <w:rFonts w:hint="eastAsia" w:ascii="宋体" w:hAnsi="宋体" w:eastAsia="宋体" w:cs="宋体"/>
          <w:color w:val="000000"/>
          <w:sz w:val="24"/>
          <w:szCs w:val="32"/>
        </w:rPr>
        <w:t>提交施工图设计图纸及施工图预算。</w:t>
      </w:r>
    </w:p>
    <w:p w14:paraId="6C622DF1">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rPr>
      </w:pPr>
      <w:bookmarkStart w:id="6" w:name="_Toc20272"/>
      <w:r>
        <w:rPr>
          <w:rFonts w:hint="eastAsia" w:ascii="宋体" w:hAnsi="宋体" w:eastAsia="宋体" w:cs="宋体"/>
          <w:color w:val="000000"/>
        </w:rPr>
        <w:t>三、投标人资格要求</w:t>
      </w:r>
      <w:bookmarkEnd w:id="6"/>
    </w:p>
    <w:p w14:paraId="0DB5ADB2">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3.1 本工程</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eastAsia="zh-CN"/>
        </w:rPr>
        <w:t>不</w:t>
      </w:r>
      <w:r>
        <w:rPr>
          <w:rFonts w:hint="eastAsia" w:ascii="宋体" w:hAnsi="宋体" w:eastAsia="宋体" w:cs="宋体"/>
          <w:color w:val="000000"/>
          <w:sz w:val="24"/>
          <w:szCs w:val="32"/>
          <w:u w:val="single"/>
        </w:rPr>
        <w:t xml:space="preserve">接受 </w:t>
      </w:r>
      <w:r>
        <w:rPr>
          <w:rFonts w:hint="eastAsia" w:ascii="宋体" w:hAnsi="宋体" w:eastAsia="宋体" w:cs="宋体"/>
          <w:color w:val="000000"/>
          <w:sz w:val="24"/>
          <w:szCs w:val="32"/>
        </w:rPr>
        <w:t>联合体投标，联合体以一个投标人的身份共同投标。</w:t>
      </w:r>
    </w:p>
    <w:p w14:paraId="5287F54B">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bookmarkStart w:id="7" w:name="_Toc19111"/>
      <w:r>
        <w:rPr>
          <w:rFonts w:hint="eastAsia" w:ascii="宋体" w:hAnsi="宋体" w:eastAsia="宋体" w:cs="宋体"/>
          <w:color w:val="000000"/>
          <w:sz w:val="24"/>
          <w:szCs w:val="32"/>
        </w:rPr>
        <w:t>3.2  投标人资格要求：</w:t>
      </w:r>
      <w:bookmarkEnd w:id="7"/>
    </w:p>
    <w:p w14:paraId="2EA58499">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3.2.1</w:t>
      </w:r>
      <w:r>
        <w:rPr>
          <w:rFonts w:hint="eastAsia" w:ascii="宋体" w:hAnsi="宋体" w:eastAsia="宋体" w:cs="宋体"/>
          <w:color w:val="000000"/>
          <w:sz w:val="24"/>
          <w:szCs w:val="32"/>
        </w:rPr>
        <w:t>投标人须具备独立法人资格，按国家法律经营。</w:t>
      </w:r>
    </w:p>
    <w:p w14:paraId="1363EF5B">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3.</w:t>
      </w: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2</w:t>
      </w:r>
      <w:r>
        <w:rPr>
          <w:rFonts w:hint="eastAsia" w:ascii="宋体" w:hAnsi="宋体" w:eastAsia="宋体" w:cs="宋体"/>
          <w:color w:val="000000"/>
          <w:sz w:val="24"/>
          <w:szCs w:val="32"/>
        </w:rPr>
        <w:t>投标人须具备建设行政主管部门颁发的以下资质之一：</w:t>
      </w:r>
    </w:p>
    <w:p w14:paraId="6837C100">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①工程设计综合甲级资质；</w:t>
      </w:r>
    </w:p>
    <w:p w14:paraId="334E59F0">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②工程设计水利行业乙级以上（含乙级）资质；</w:t>
      </w:r>
    </w:p>
    <w:p w14:paraId="7155450D">
      <w:pPr>
        <w:keepNext w:val="0"/>
        <w:keepLines w:val="0"/>
        <w:pageBreakBefore w:val="0"/>
        <w:kinsoku/>
        <w:overflowPunct/>
        <w:topLinePunct w:val="0"/>
        <w:autoSpaceDE/>
        <w:autoSpaceDN/>
        <w:bidi w:val="0"/>
        <w:snapToGrid/>
        <w:spacing w:line="500" w:lineRule="exact"/>
        <w:ind w:firstLine="482"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b/>
          <w:bCs/>
          <w:color w:val="000000"/>
          <w:sz w:val="24"/>
          <w:szCs w:val="32"/>
        </w:rPr>
        <w:t>注：投标人如不具备相应勘察资质的，则待中标后必须在招标人的监督管理下委托具备相应资质及能力的单位来完成该部分工作。</w:t>
      </w:r>
    </w:p>
    <w:p w14:paraId="434ECF54">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3.2.3投标人的企业相关证书到期的，均按该证书的发证机构相关行业主管部门最新文件执行（如自动顺延或资质延续有关事项的通知），投标人必须将相关文件附在该证书后面中，证明在开标日继续有效。</w:t>
      </w:r>
    </w:p>
    <w:p w14:paraId="03B071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3.3人员要求：</w:t>
      </w:r>
    </w:p>
    <w:p w14:paraId="410198F5">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3.3.1投标人拟委派担任本工程的项目负责人须具有水利类工程师或以上职称证书。</w:t>
      </w:r>
    </w:p>
    <w:p w14:paraId="09D0AE71">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3.3.2投标人与其拟派往本项目所有人员之间必须具备合法的劳动聘用关系，需提供缴纳社保的证明或退休证(附返聘证明）扫描件（由非独立法人分支机构出具的社保证明，予以认可）。拟派人员中具备注册执业资格的，其注册单位须与投标人保持一致。</w:t>
      </w:r>
    </w:p>
    <w:p w14:paraId="663EAB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color w:val="000000"/>
          <w:spacing w:val="-4"/>
          <w:kern w:val="0"/>
          <w:highlight w:val="none"/>
        </w:rPr>
      </w:pPr>
      <w:r>
        <w:rPr>
          <w:rFonts w:hint="eastAsia" w:ascii="宋体" w:hAnsi="宋体" w:eastAsia="宋体" w:cs="宋体"/>
          <w:color w:val="000000"/>
          <w:sz w:val="24"/>
          <w:szCs w:val="32"/>
          <w:lang w:val="en-US" w:eastAsia="zh-CN"/>
        </w:rPr>
        <w:t>3.4</w:t>
      </w:r>
      <w:r>
        <w:rPr>
          <w:rFonts w:hint="eastAsia" w:ascii="宋体" w:hAnsi="宋体" w:eastAsia="宋体" w:cs="宋体"/>
          <w:color w:val="000000"/>
          <w:sz w:val="24"/>
          <w:szCs w:val="32"/>
        </w:rPr>
        <w:t>本次招标实行资格后审，资格审查的具体要求见招标文件。资格后审不合格的投标人投标文件将按废标处理。</w:t>
      </w:r>
    </w:p>
    <w:p w14:paraId="6888DC9B">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rPr>
      </w:pPr>
      <w:bookmarkStart w:id="8" w:name="_Toc27159"/>
      <w:r>
        <w:rPr>
          <w:rFonts w:hint="eastAsia" w:ascii="宋体" w:hAnsi="宋体" w:eastAsia="宋体" w:cs="宋体"/>
          <w:color w:val="000000"/>
        </w:rPr>
        <w:t>四、获取招标文件</w:t>
      </w:r>
      <w:bookmarkEnd w:id="8"/>
    </w:p>
    <w:p w14:paraId="798B34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4.1 本次招标实行电子投标。本项目招标文件随招标公告一并在全国公共资源交易平台（广东省·韶关市）（https://ygp.gdzwfw.gov.cn/ggzy-portal/#/440200/index）网站发布，招标文件一经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5ADB4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投标人可登录全国公共资源交易平台（广东省·韶关市）</w:t>
      </w:r>
    </w:p>
    <w:p w14:paraId="288946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35746312">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w:t>
      </w:r>
    </w:p>
    <w:p w14:paraId="35C98D95">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607B4E98">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01BB1D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bookmarkStart w:id="9" w:name="_Toc9531"/>
      <w:r>
        <w:rPr>
          <w:rFonts w:hint="eastAsia" w:ascii="宋体" w:hAnsi="宋体" w:eastAsia="宋体" w:cs="宋体"/>
          <w:color w:val="000000"/>
          <w:sz w:val="24"/>
          <w:szCs w:val="32"/>
        </w:rPr>
        <w:t>4.3 投标保证</w:t>
      </w:r>
      <w:bookmarkEnd w:id="9"/>
    </w:p>
    <w:p w14:paraId="759C6A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4.3.1 投标保证金额为人民币：</w:t>
      </w:r>
      <w:r>
        <w:rPr>
          <w:rFonts w:hint="eastAsia" w:ascii="宋体" w:hAnsi="宋体" w:eastAsia="宋体" w:cs="宋体"/>
          <w:color w:val="000000"/>
          <w:sz w:val="24"/>
          <w:szCs w:val="32"/>
          <w:u w:val="single"/>
          <w:lang w:val="en-US" w:eastAsia="zh-CN"/>
        </w:rPr>
        <w:t>叁仟元整（¥3,000.00元）</w:t>
      </w:r>
      <w:r>
        <w:rPr>
          <w:rFonts w:hint="eastAsia" w:ascii="宋体" w:hAnsi="宋体" w:eastAsia="宋体" w:cs="宋体"/>
          <w:color w:val="000000"/>
          <w:sz w:val="24"/>
          <w:szCs w:val="32"/>
        </w:rPr>
        <w:t>。联合体投标的，由联合体牵头人缴纳。</w:t>
      </w:r>
    </w:p>
    <w:p w14:paraId="4F2B28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4.3.2 投标保证的形式包括投标保证金、投标保证担保、投标保证保险三种，由投标人自主选择。</w:t>
      </w:r>
    </w:p>
    <w:p w14:paraId="7E6C16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w:t>
      </w:r>
      <w:r>
        <w:rPr>
          <w:rFonts w:hint="eastAsia" w:ascii="宋体" w:hAnsi="宋体" w:eastAsia="宋体" w:cs="宋体"/>
          <w:color w:val="000000"/>
          <w:sz w:val="24"/>
          <w:szCs w:val="32"/>
          <w:lang w:val="en-US" w:eastAsia="zh-CN"/>
        </w:rPr>
        <w:t>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16232D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36E9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rPr>
        <w:t>（3）</w:t>
      </w:r>
      <w:r>
        <w:rPr>
          <w:rFonts w:hint="eastAsia" w:ascii="宋体" w:hAnsi="宋体" w:eastAsia="宋体" w:cs="宋体"/>
          <w:color w:val="000000"/>
          <w:sz w:val="24"/>
          <w:szCs w:val="32"/>
          <w:lang w:val="en-US" w:eastAsia="zh-CN"/>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63BD35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EA64C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4.4  若投标人因自身原因未能正确获取招标文件、电子投标</w:t>
      </w:r>
      <w:r>
        <w:rPr>
          <w:rFonts w:hint="eastAsia" w:ascii="宋体" w:hAnsi="宋体" w:eastAsia="宋体" w:cs="宋体"/>
          <w:color w:val="000000"/>
          <w:sz w:val="24"/>
          <w:szCs w:val="32"/>
          <w:lang w:val="en-US" w:eastAsia="zh-CN"/>
        </w:rPr>
        <w:t>和</w:t>
      </w:r>
      <w:r>
        <w:rPr>
          <w:rFonts w:hint="eastAsia" w:ascii="宋体" w:hAnsi="宋体" w:eastAsia="宋体" w:cs="宋体"/>
          <w:color w:val="000000"/>
          <w:sz w:val="24"/>
          <w:szCs w:val="32"/>
        </w:rPr>
        <w:t>缴纳投标保证的，其投标无效。</w:t>
      </w:r>
    </w:p>
    <w:p w14:paraId="11545784">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eastAsia="zh-CN"/>
        </w:rPr>
      </w:pPr>
      <w:bookmarkStart w:id="10" w:name="_Toc29067"/>
      <w:r>
        <w:rPr>
          <w:rFonts w:hint="eastAsia" w:ascii="宋体" w:hAnsi="宋体" w:eastAsia="宋体" w:cs="宋体"/>
          <w:color w:val="000000"/>
        </w:rPr>
        <w:t>五、</w:t>
      </w:r>
      <w:r>
        <w:rPr>
          <w:rFonts w:hint="eastAsia" w:ascii="宋体" w:hAnsi="宋体" w:eastAsia="宋体" w:cs="宋体"/>
          <w:color w:val="000000"/>
          <w:lang w:val="en-US" w:eastAsia="zh-CN"/>
        </w:rPr>
        <w:t>招标文件的提问和答疑</w:t>
      </w:r>
      <w:bookmarkEnd w:id="10"/>
    </w:p>
    <w:p w14:paraId="549C1F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5.1投标人若对招标文件有疑问，应在提问截止时间（见本章第二节“重要事项时间地点一览表”）前使用建设工程交易系统提出问题。未在指定时间前、未采用指定方式提出的，招标人不予受理。</w:t>
      </w:r>
    </w:p>
    <w:p w14:paraId="4B2582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5.2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084D46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5.3招标人对招标文件所作的答疑（或修改）公告，构成招标文件的组成部分。</w:t>
      </w:r>
    </w:p>
    <w:p w14:paraId="74D666B6">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rPr>
      </w:pPr>
      <w:bookmarkStart w:id="11" w:name="_Toc24036"/>
      <w:r>
        <w:rPr>
          <w:rFonts w:hint="eastAsia" w:ascii="宋体" w:hAnsi="宋体" w:eastAsia="宋体" w:cs="宋体"/>
          <w:color w:val="000000"/>
        </w:rPr>
        <w:t>六、投标文件的</w:t>
      </w:r>
      <w:r>
        <w:rPr>
          <w:rFonts w:hint="eastAsia" w:ascii="宋体" w:hAnsi="宋体" w:eastAsia="宋体" w:cs="宋体"/>
          <w:color w:val="000000"/>
          <w:lang w:val="en-US" w:eastAsia="zh-CN"/>
        </w:rPr>
        <w:t>提</w:t>
      </w:r>
      <w:r>
        <w:rPr>
          <w:rFonts w:hint="eastAsia" w:ascii="宋体" w:hAnsi="宋体" w:eastAsia="宋体" w:cs="宋体"/>
          <w:color w:val="000000"/>
        </w:rPr>
        <w:t>交</w:t>
      </w:r>
      <w:bookmarkEnd w:id="11"/>
    </w:p>
    <w:p w14:paraId="2A4D593F">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本次招标实行电子投标。投标人必须在规定的截止时间前使用交易系统完成缴纳投标保证和全流程电子投标，只有满足以上所有条件，方为有效投标。</w:t>
      </w:r>
    </w:p>
    <w:p w14:paraId="1BB442D5">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6.1在电子投标截止时间前，投标人通过全国公共资源交易平台（广东省·韶关市）提交已加密投标文件。逾期提交的电子投标文件，全国公共资源交易平台（广东省·韶关市）将予以拒收。</w:t>
      </w:r>
    </w:p>
    <w:p w14:paraId="279FA0DE">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6.2提交时间和地点：见本章第二节“重要事项时间地点一览表”。</w:t>
      </w:r>
    </w:p>
    <w:p w14:paraId="41B6EB6F">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 xml:space="preserve">6.3递交时间和地点：投标人如有招标文件要求提交的用于评审的证书、证件、证明原件（附一式两份清单），由投标人法定代表人或其委托代理人在指定的时间和地点递交（见“重要事项时间地点一览表”）。        </w:t>
      </w:r>
    </w:p>
    <w:p w14:paraId="348BAAD4">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6.4 代理机构对因不可抗力事件造成的投标文件的损坏、丢失的，不承担责任。</w:t>
      </w:r>
    </w:p>
    <w:p w14:paraId="0FE6B016">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6.5出现下述情形之一，属于未成功提交投标文件，按无效投标处理：</w:t>
      </w:r>
    </w:p>
    <w:p w14:paraId="0068D3FB">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（1）至电子投标截止时间时，投标文件未完整上传或未提交投标。</w:t>
      </w:r>
    </w:p>
    <w:p w14:paraId="6D113664">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（2）解密失败且在规定时间内未重新提交投标文件的；</w:t>
      </w:r>
    </w:p>
    <w:p w14:paraId="407159B5">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（3）投标文件损坏或格式不正确的。</w:t>
      </w:r>
    </w:p>
    <w:p w14:paraId="49A541B6">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6.6招标人或其授权的招标代理机构核对、接收投标人递交的投标相关资料后，应向投标人出具标明签收人和签收时间的凭证，并妥善保管。</w:t>
      </w:r>
    </w:p>
    <w:p w14:paraId="743B4134">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6.7 本次招标投标有效期为90个日历天，投标有效期从提交投标文件的截止之日起计算。在此期间，投标人不得撤销或修改其投标文件，否则其投标保证不予退还。</w:t>
      </w:r>
    </w:p>
    <w:p w14:paraId="774EC0E0">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both"/>
        <w:textAlignment w:val="auto"/>
        <w:rPr>
          <w:rFonts w:hint="eastAsia" w:ascii="宋体" w:hAnsi="宋体" w:eastAsia="宋体" w:cs="宋体"/>
          <w:color w:val="000000"/>
          <w:lang w:val="en-US" w:eastAsia="zh-CN"/>
        </w:rPr>
      </w:pPr>
      <w:bookmarkStart w:id="12" w:name="_Toc12075"/>
      <w:r>
        <w:rPr>
          <w:rFonts w:hint="eastAsia" w:ascii="宋体" w:hAnsi="宋体" w:eastAsia="宋体" w:cs="宋体"/>
          <w:color w:val="000000"/>
          <w:lang w:val="en-US" w:eastAsia="zh-CN"/>
        </w:rPr>
        <w:t>七、开标</w:t>
      </w:r>
      <w:bookmarkEnd w:id="12"/>
    </w:p>
    <w:p w14:paraId="0149314C">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7.1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530BF8DD">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7.1.1 开标时间和地点：见本章第二节“重要事项时间地点一览表”。</w:t>
      </w:r>
    </w:p>
    <w:p w14:paraId="58809798">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7.1.2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w:t>
      </w:r>
    </w:p>
    <w:p w14:paraId="02ABBF2F">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（https://ygp.gdzwfw.gov.cn/ggzy-portal/#/440200/index）查询是否发布了取消开标活动的相关信息。</w:t>
      </w:r>
    </w:p>
    <w:p w14:paraId="3642FBAF">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7.1.3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2739103">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rPr>
      </w:pPr>
      <w:bookmarkStart w:id="13" w:name="_Toc23825"/>
      <w:r>
        <w:rPr>
          <w:rFonts w:hint="eastAsia" w:ascii="宋体" w:hAnsi="宋体" w:eastAsia="宋体" w:cs="宋体"/>
          <w:color w:val="000000"/>
          <w:lang w:val="en-US" w:eastAsia="zh-CN"/>
        </w:rPr>
        <w:t>八、</w:t>
      </w:r>
      <w:r>
        <w:rPr>
          <w:rFonts w:hint="eastAsia" w:ascii="宋体" w:hAnsi="宋体" w:eastAsia="宋体" w:cs="宋体"/>
          <w:color w:val="000000"/>
        </w:rPr>
        <w:t>踏勘现场和投标预备会</w:t>
      </w:r>
      <w:bookmarkEnd w:id="13"/>
    </w:p>
    <w:p w14:paraId="280305C4">
      <w:pPr>
        <w:keepNext w:val="0"/>
        <w:keepLines w:val="0"/>
        <w:pageBreakBefore w:val="0"/>
        <w:widowControl/>
        <w:kinsoku/>
        <w:overflowPunct/>
        <w:topLinePunct w:val="0"/>
        <w:autoSpaceDE/>
        <w:autoSpaceDN/>
        <w:bidi w:val="0"/>
        <w:snapToGrid/>
        <w:spacing w:line="500" w:lineRule="exact"/>
        <w:ind w:firstLine="464" w:firstLineChars="200"/>
        <w:textAlignment w:val="auto"/>
        <w:outlineLvl w:val="9"/>
        <w:rPr>
          <w:rFonts w:hint="eastAsia" w:ascii="宋体" w:hAnsi="宋体" w:eastAsia="宋体" w:cs="宋体"/>
          <w:color w:val="000000"/>
          <w:spacing w:val="-4"/>
          <w:kern w:val="0"/>
          <w:sz w:val="24"/>
          <w:highlight w:val="none"/>
        </w:rPr>
      </w:pPr>
      <w:r>
        <w:rPr>
          <w:rFonts w:hint="eastAsia" w:ascii="宋体" w:hAnsi="宋体" w:eastAsia="宋体" w:cs="宋体"/>
          <w:color w:val="000000"/>
          <w:spacing w:val="-4"/>
          <w:kern w:val="0"/>
          <w:sz w:val="24"/>
          <w:highlight w:val="none"/>
        </w:rPr>
        <w:t>招标人不组织踏勘现场和招标答疑会。投标人可根据投标工作的需要自行前往进场踏勘，以便编制投标文件。踏勘现场的费用由投标人自行承担。</w:t>
      </w:r>
    </w:p>
    <w:p w14:paraId="17971F57">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rPr>
      </w:pPr>
      <w:bookmarkStart w:id="14" w:name="_Toc29"/>
      <w:r>
        <w:rPr>
          <w:rFonts w:hint="eastAsia" w:ascii="宋体" w:hAnsi="宋体" w:eastAsia="宋体" w:cs="宋体"/>
          <w:color w:val="000000"/>
          <w:lang w:val="en-US" w:eastAsia="zh-CN"/>
        </w:rPr>
        <w:t>九、</w:t>
      </w:r>
      <w:r>
        <w:rPr>
          <w:rFonts w:hint="eastAsia" w:ascii="宋体" w:hAnsi="宋体" w:eastAsia="宋体" w:cs="宋体"/>
          <w:color w:val="000000"/>
        </w:rPr>
        <w:t>发布公告的媒介</w:t>
      </w:r>
      <w:bookmarkEnd w:id="14"/>
    </w:p>
    <w:p w14:paraId="0C636A53">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.1广东省招标投标监管网（</w:t>
      </w:r>
      <w:r>
        <w:rPr>
          <w:rFonts w:hint="eastAsia" w:ascii="宋体" w:hAnsi="宋体" w:eastAsia="宋体" w:cs="宋体"/>
          <w:color w:val="000000"/>
          <w:sz w:val="24"/>
          <w:highlight w:val="none"/>
          <w:lang w:eastAsia="zh-CN"/>
        </w:rPr>
        <w:t>https://zbtb.gd.gov.cn/#/index</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w:t>
      </w:r>
    </w:p>
    <w:p w14:paraId="625D167B">
      <w:pPr>
        <w:pStyle w:val="18"/>
        <w:keepNext w:val="0"/>
        <w:keepLines w:val="0"/>
        <w:pageBreakBefore w:val="0"/>
        <w:kinsoku/>
        <w:wordWrap w:val="0"/>
        <w:overflowPunct/>
        <w:topLinePunct w:val="0"/>
        <w:autoSpaceDE/>
        <w:autoSpaceDN/>
        <w:bidi w:val="0"/>
        <w:adjustRightInd w:val="0"/>
        <w:snapToGrid/>
        <w:spacing w:line="500" w:lineRule="exact"/>
        <w:ind w:firstLine="480"/>
        <w:jc w:val="left"/>
        <w:textAlignment w:val="auto"/>
        <w:rPr>
          <w:rFonts w:hint="eastAsia" w:ascii="宋体" w:hAnsi="宋体" w:eastAsia="宋体" w:cs="宋体"/>
          <w:b/>
          <w:color w:val="000000"/>
          <w:spacing w:val="-4"/>
          <w:kern w:val="0"/>
          <w:sz w:val="24"/>
          <w:highlight w:val="none"/>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.2全国公共资源交易平台（广东省·韶关市）（https://ygp.gdzwfw.gov.cn/ggzy-portal/#/440200/index）。</w:t>
      </w:r>
    </w:p>
    <w:p w14:paraId="6B4E8584">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rPr>
      </w:pPr>
      <w:bookmarkStart w:id="15" w:name="_Toc6898"/>
      <w:r>
        <w:rPr>
          <w:rFonts w:hint="eastAsia" w:ascii="宋体" w:hAnsi="宋体" w:eastAsia="宋体" w:cs="宋体"/>
          <w:color w:val="000000"/>
          <w:lang w:val="en-US" w:eastAsia="zh-CN"/>
        </w:rPr>
        <w:t>十、</w:t>
      </w:r>
      <w:r>
        <w:rPr>
          <w:rFonts w:hint="eastAsia" w:ascii="宋体" w:hAnsi="宋体" w:eastAsia="宋体" w:cs="宋体"/>
          <w:color w:val="000000"/>
        </w:rPr>
        <w:t>联系方式</w:t>
      </w:r>
      <w:bookmarkEnd w:id="15"/>
    </w:p>
    <w:tbl>
      <w:tblPr>
        <w:tblStyle w:val="15"/>
        <w:tblW w:w="9330" w:type="dxa"/>
        <w:tblInd w:w="101" w:type="dxa"/>
        <w:tblLayout w:type="fixed"/>
        <w:tblCellMar>
          <w:top w:w="0" w:type="dxa"/>
          <w:left w:w="108" w:type="dxa"/>
          <w:bottom w:w="0" w:type="dxa"/>
          <w:right w:w="108" w:type="dxa"/>
        </w:tblCellMar>
      </w:tblPr>
      <w:tblGrid>
        <w:gridCol w:w="1231"/>
        <w:gridCol w:w="3416"/>
        <w:gridCol w:w="1402"/>
        <w:gridCol w:w="3281"/>
      </w:tblGrid>
      <w:tr w14:paraId="53B427D5">
        <w:tblPrEx>
          <w:tblCellMar>
            <w:top w:w="0" w:type="dxa"/>
            <w:left w:w="108" w:type="dxa"/>
            <w:bottom w:w="0" w:type="dxa"/>
            <w:right w:w="108" w:type="dxa"/>
          </w:tblCellMar>
        </w:tblPrEx>
        <w:trPr>
          <w:trHeight w:val="775" w:hRule="atLeast"/>
        </w:trPr>
        <w:tc>
          <w:tcPr>
            <w:tcW w:w="1231" w:type="dxa"/>
            <w:noWrap w:val="0"/>
            <w:vAlign w:val="center"/>
          </w:tcPr>
          <w:p w14:paraId="35F8B235">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招标人：</w:t>
            </w:r>
          </w:p>
        </w:tc>
        <w:tc>
          <w:tcPr>
            <w:tcW w:w="3416" w:type="dxa"/>
            <w:noWrap w:val="0"/>
            <w:vAlign w:val="center"/>
          </w:tcPr>
          <w:p w14:paraId="6306D283">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lang w:eastAsia="zh-CN"/>
              </w:rPr>
            </w:pPr>
            <w:r>
              <w:rPr>
                <w:rFonts w:hint="eastAsia" w:ascii="宋体" w:hAnsi="宋体" w:eastAsia="宋体" w:cs="宋体"/>
                <w:sz w:val="24"/>
                <w:szCs w:val="24"/>
              </w:rPr>
              <w:t>韶关市武江区江湾镇人民政府</w:t>
            </w:r>
          </w:p>
        </w:tc>
        <w:tc>
          <w:tcPr>
            <w:tcW w:w="1402" w:type="dxa"/>
            <w:noWrap w:val="0"/>
            <w:vAlign w:val="center"/>
          </w:tcPr>
          <w:p w14:paraId="0755B3E2">
            <w:pPr>
              <w:keepNext w:val="0"/>
              <w:keepLines w:val="0"/>
              <w:pageBreakBefore w:val="0"/>
              <w:widowControl/>
              <w:kinsoku/>
              <w:overflowPunct/>
              <w:topLinePunct w:val="0"/>
              <w:autoSpaceDE/>
              <w:autoSpaceDN/>
              <w:bidi w:val="0"/>
              <w:snapToGrid/>
              <w:spacing w:line="500" w:lineRule="exact"/>
              <w:jc w:val="center"/>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招标代理机构：</w:t>
            </w:r>
          </w:p>
        </w:tc>
        <w:tc>
          <w:tcPr>
            <w:tcW w:w="3281" w:type="dxa"/>
            <w:noWrap w:val="0"/>
            <w:vAlign w:val="center"/>
          </w:tcPr>
          <w:p w14:paraId="5A1F6718">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auto"/>
                <w:sz w:val="24"/>
                <w:szCs w:val="24"/>
                <w:highlight w:val="none"/>
                <w:lang w:val="en-US" w:eastAsia="zh-CN"/>
              </w:rPr>
              <w:t>广东明正项目管理有限公司</w:t>
            </w:r>
          </w:p>
        </w:tc>
      </w:tr>
      <w:tr w14:paraId="11F87E87">
        <w:tblPrEx>
          <w:tblCellMar>
            <w:top w:w="0" w:type="dxa"/>
            <w:left w:w="108" w:type="dxa"/>
            <w:bottom w:w="0" w:type="dxa"/>
            <w:right w:w="108" w:type="dxa"/>
          </w:tblCellMar>
        </w:tblPrEx>
        <w:trPr>
          <w:trHeight w:val="790" w:hRule="atLeast"/>
        </w:trPr>
        <w:tc>
          <w:tcPr>
            <w:tcW w:w="1231" w:type="dxa"/>
            <w:noWrap w:val="0"/>
            <w:vAlign w:val="center"/>
          </w:tcPr>
          <w:p w14:paraId="5ECB5C6E">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地  址：</w:t>
            </w:r>
          </w:p>
        </w:tc>
        <w:tc>
          <w:tcPr>
            <w:tcW w:w="3416" w:type="dxa"/>
            <w:noWrap w:val="0"/>
            <w:vAlign w:val="center"/>
          </w:tcPr>
          <w:p w14:paraId="694B5926">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sz w:val="24"/>
                <w:szCs w:val="24"/>
              </w:rPr>
              <w:t>韶关市武江区江湾街6号</w:t>
            </w:r>
          </w:p>
        </w:tc>
        <w:tc>
          <w:tcPr>
            <w:tcW w:w="1402" w:type="dxa"/>
            <w:noWrap w:val="0"/>
            <w:vAlign w:val="center"/>
          </w:tcPr>
          <w:p w14:paraId="6C9A5BE1">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地    址：</w:t>
            </w:r>
          </w:p>
        </w:tc>
        <w:tc>
          <w:tcPr>
            <w:tcW w:w="3281" w:type="dxa"/>
            <w:noWrap w:val="0"/>
            <w:vAlign w:val="center"/>
          </w:tcPr>
          <w:p w14:paraId="354FFFA4">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韶关市武江区惠民北路428号7楼</w:t>
            </w:r>
          </w:p>
        </w:tc>
      </w:tr>
      <w:tr w14:paraId="24C6B0B4">
        <w:tblPrEx>
          <w:tblCellMar>
            <w:top w:w="0" w:type="dxa"/>
            <w:left w:w="108" w:type="dxa"/>
            <w:bottom w:w="0" w:type="dxa"/>
            <w:right w:w="108" w:type="dxa"/>
          </w:tblCellMar>
        </w:tblPrEx>
        <w:trPr>
          <w:trHeight w:val="550" w:hRule="atLeast"/>
        </w:trPr>
        <w:tc>
          <w:tcPr>
            <w:tcW w:w="1231" w:type="dxa"/>
            <w:noWrap w:val="0"/>
            <w:vAlign w:val="center"/>
          </w:tcPr>
          <w:p w14:paraId="4069902F">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联系人：</w:t>
            </w:r>
          </w:p>
        </w:tc>
        <w:tc>
          <w:tcPr>
            <w:tcW w:w="3416" w:type="dxa"/>
            <w:noWrap w:val="0"/>
            <w:vAlign w:val="center"/>
          </w:tcPr>
          <w:p w14:paraId="093F2BA3">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sz w:val="24"/>
                <w:szCs w:val="24"/>
                <w:lang w:eastAsia="zh-CN"/>
              </w:rPr>
              <w:t>董工</w:t>
            </w:r>
          </w:p>
        </w:tc>
        <w:tc>
          <w:tcPr>
            <w:tcW w:w="1402" w:type="dxa"/>
            <w:noWrap w:val="0"/>
            <w:vAlign w:val="center"/>
          </w:tcPr>
          <w:p w14:paraId="53457A23">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 系 人：</w:t>
            </w:r>
          </w:p>
        </w:tc>
        <w:tc>
          <w:tcPr>
            <w:tcW w:w="3281" w:type="dxa"/>
            <w:noWrap w:val="0"/>
            <w:vAlign w:val="center"/>
          </w:tcPr>
          <w:p w14:paraId="7DB7E288">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auto"/>
                <w:sz w:val="24"/>
                <w:szCs w:val="24"/>
                <w:highlight w:val="none"/>
                <w:lang w:val="en-US" w:eastAsia="zh-CN"/>
              </w:rPr>
              <w:t>杨工、潘工</w:t>
            </w:r>
          </w:p>
        </w:tc>
      </w:tr>
      <w:tr w14:paraId="2A31EDF3">
        <w:tblPrEx>
          <w:tblCellMar>
            <w:top w:w="0" w:type="dxa"/>
            <w:left w:w="108" w:type="dxa"/>
            <w:bottom w:w="0" w:type="dxa"/>
            <w:right w:w="108" w:type="dxa"/>
          </w:tblCellMar>
        </w:tblPrEx>
        <w:trPr>
          <w:trHeight w:val="573" w:hRule="atLeast"/>
        </w:trPr>
        <w:tc>
          <w:tcPr>
            <w:tcW w:w="1231" w:type="dxa"/>
            <w:noWrap w:val="0"/>
            <w:vAlign w:val="center"/>
          </w:tcPr>
          <w:p w14:paraId="7B47BB71">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电  话：</w:t>
            </w:r>
          </w:p>
        </w:tc>
        <w:tc>
          <w:tcPr>
            <w:tcW w:w="3416" w:type="dxa"/>
            <w:noWrap w:val="0"/>
            <w:vAlign w:val="center"/>
          </w:tcPr>
          <w:p w14:paraId="33411F98">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sz w:val="24"/>
                <w:szCs w:val="24"/>
              </w:rPr>
              <w:t>0751-6446388</w:t>
            </w:r>
          </w:p>
        </w:tc>
        <w:tc>
          <w:tcPr>
            <w:tcW w:w="1402" w:type="dxa"/>
            <w:noWrap w:val="0"/>
            <w:vAlign w:val="center"/>
          </w:tcPr>
          <w:p w14:paraId="71467097">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电    话：</w:t>
            </w:r>
          </w:p>
        </w:tc>
        <w:tc>
          <w:tcPr>
            <w:tcW w:w="3281" w:type="dxa"/>
            <w:noWrap w:val="0"/>
            <w:vAlign w:val="center"/>
          </w:tcPr>
          <w:p w14:paraId="2A754F0A">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auto"/>
                <w:sz w:val="24"/>
                <w:szCs w:val="24"/>
                <w:highlight w:val="none"/>
                <w:lang w:val="en-US" w:eastAsia="zh-CN"/>
              </w:rPr>
              <w:t>0751-8606998</w:t>
            </w:r>
          </w:p>
        </w:tc>
      </w:tr>
    </w:tbl>
    <w:p w14:paraId="5F55FE10">
      <w:pPr>
        <w:pStyle w:val="4"/>
        <w:bidi w:val="0"/>
        <w:ind w:left="0" w:leftChars="0" w:firstLine="0" w:firstLineChars="0"/>
        <w:jc w:val="left"/>
        <w:rPr>
          <w:rFonts w:hint="eastAsia" w:ascii="宋体" w:hAnsi="宋体" w:eastAsia="宋体" w:cs="宋体"/>
          <w:color w:val="000000"/>
        </w:rPr>
      </w:pPr>
      <w:bookmarkStart w:id="16" w:name="_Toc28168"/>
      <w:bookmarkStart w:id="17" w:name="_Toc24565"/>
    </w:p>
    <w:p w14:paraId="7F9024E5">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0" w:firstLine="0" w:firstLineChars="0"/>
        <w:jc w:val="left"/>
        <w:textAlignment w:val="auto"/>
        <w:rPr>
          <w:rFonts w:hint="eastAsia" w:ascii="宋体" w:hAnsi="宋体" w:eastAsia="宋体" w:cs="宋体"/>
          <w:color w:val="000000"/>
        </w:rPr>
      </w:pPr>
    </w:p>
    <w:p w14:paraId="0E6FAE79">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0" w:firstLine="0" w:firstLineChars="0"/>
        <w:jc w:val="left"/>
        <w:textAlignment w:val="auto"/>
        <w:rPr>
          <w:rFonts w:hint="eastAsia" w:ascii="宋体" w:hAnsi="宋体" w:eastAsia="宋体" w:cs="宋体"/>
          <w:color w:val="000000"/>
        </w:rPr>
      </w:pPr>
      <w:r>
        <w:rPr>
          <w:rFonts w:hint="eastAsia" w:ascii="宋体" w:hAnsi="宋体" w:eastAsia="宋体" w:cs="宋体"/>
          <w:color w:val="000000"/>
        </w:rPr>
        <w:t>重要事项时间地点一览表</w:t>
      </w:r>
      <w:bookmarkEnd w:id="16"/>
      <w:bookmarkEnd w:id="17"/>
    </w:p>
    <w:tbl>
      <w:tblPr>
        <w:tblStyle w:val="15"/>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333C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68354EEF">
            <w:pPr>
              <w:pStyle w:val="18"/>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auto"/>
                <w:sz w:val="24"/>
                <w:szCs w:val="24"/>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rPr>
              <w:t>1</w:t>
            </w:r>
          </w:p>
        </w:tc>
        <w:tc>
          <w:tcPr>
            <w:tcW w:w="1455" w:type="dxa"/>
            <w:noWrap w:val="0"/>
            <w:vAlign w:val="center"/>
          </w:tcPr>
          <w:p w14:paraId="1C77B35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招标公告</w:t>
            </w:r>
          </w:p>
          <w:p w14:paraId="1E2ACBD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发布时间</w:t>
            </w:r>
          </w:p>
        </w:tc>
        <w:tc>
          <w:tcPr>
            <w:tcW w:w="7124" w:type="dxa"/>
            <w:noWrap w:val="0"/>
            <w:vAlign w:val="center"/>
          </w:tcPr>
          <w:p w14:paraId="60893754">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01</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16</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17</w:t>
            </w:r>
            <w:r>
              <w:rPr>
                <w:rFonts w:hint="eastAsia" w:ascii="宋体" w:hAnsi="宋体" w:eastAsia="宋体" w:cs="宋体"/>
                <w:i w:val="0"/>
                <w:caps w:val="0"/>
                <w:color w:val="auto"/>
                <w:spacing w:val="0"/>
                <w:sz w:val="24"/>
                <w:szCs w:val="24"/>
              </w:rPr>
              <w:t>时</w:t>
            </w:r>
            <w:r>
              <w:rPr>
                <w:rFonts w:hint="eastAsia" w:ascii="宋体" w:eastAsia="宋体" w:cs="宋体"/>
                <w:i w:val="0"/>
                <w:caps w:val="0"/>
                <w:color w:val="auto"/>
                <w:spacing w:val="0"/>
                <w:sz w:val="24"/>
                <w:szCs w:val="24"/>
                <w:u w:val="single"/>
                <w:lang w:val="en-US" w:eastAsia="zh-CN"/>
              </w:rPr>
              <w:t>00</w:t>
            </w:r>
            <w:r>
              <w:rPr>
                <w:rFonts w:hint="eastAsia" w:ascii="宋体" w:hAnsi="宋体" w:eastAsia="宋体" w:cs="宋体"/>
                <w:i w:val="0"/>
                <w:caps w:val="0"/>
                <w:color w:val="auto"/>
                <w:spacing w:val="0"/>
                <w:sz w:val="24"/>
                <w:szCs w:val="24"/>
              </w:rPr>
              <w:t>分</w:t>
            </w:r>
          </w:p>
        </w:tc>
      </w:tr>
      <w:tr w14:paraId="47E2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27F517FC">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1455" w:type="dxa"/>
            <w:noWrap w:val="0"/>
            <w:vAlign w:val="center"/>
          </w:tcPr>
          <w:p w14:paraId="48FEC4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获取招标文件截止时</w:t>
            </w:r>
            <w:r>
              <w:rPr>
                <w:rFonts w:hint="eastAsia" w:ascii="宋体" w:hAnsi="宋体" w:eastAsia="宋体" w:cs="宋体"/>
                <w:i w:val="0"/>
                <w:caps w:val="0"/>
                <w:color w:val="auto"/>
                <w:spacing w:val="0"/>
                <w:sz w:val="24"/>
                <w:szCs w:val="24"/>
              </w:rPr>
              <w:t>间</w:t>
            </w:r>
          </w:p>
        </w:tc>
        <w:tc>
          <w:tcPr>
            <w:tcW w:w="7124" w:type="dxa"/>
            <w:noWrap w:val="0"/>
            <w:vAlign w:val="center"/>
          </w:tcPr>
          <w:p w14:paraId="215BB83C">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06</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7182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5D22A58F">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1455" w:type="dxa"/>
            <w:noWrap w:val="0"/>
            <w:vAlign w:val="center"/>
          </w:tcPr>
          <w:p w14:paraId="7E8748F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网上提问</w:t>
            </w:r>
          </w:p>
          <w:p w14:paraId="7FD055A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0C4946F3">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01</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27</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57FB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52DA1270">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1455" w:type="dxa"/>
            <w:noWrap w:val="0"/>
            <w:vAlign w:val="center"/>
          </w:tcPr>
          <w:p w14:paraId="3A4449F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网上答疑</w:t>
            </w:r>
          </w:p>
          <w:p w14:paraId="226AA8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p>
        </w:tc>
        <w:tc>
          <w:tcPr>
            <w:tcW w:w="7124" w:type="dxa"/>
            <w:noWrap w:val="0"/>
            <w:vAlign w:val="center"/>
          </w:tcPr>
          <w:p w14:paraId="041B4F4D">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01</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27</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01</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040A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79C417B1">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1455" w:type="dxa"/>
            <w:noWrap w:val="0"/>
            <w:vAlign w:val="center"/>
          </w:tcPr>
          <w:p w14:paraId="4F4069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投标保证缴</w:t>
            </w:r>
          </w:p>
          <w:p w14:paraId="03B7C7D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纳截止时间</w:t>
            </w:r>
          </w:p>
        </w:tc>
        <w:tc>
          <w:tcPr>
            <w:tcW w:w="7124" w:type="dxa"/>
            <w:noWrap w:val="0"/>
            <w:vAlign w:val="center"/>
          </w:tcPr>
          <w:p w14:paraId="596DAA69">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投标保证金到账截止时间：</w:t>
            </w:r>
            <w:r>
              <w:rPr>
                <w:rFonts w:hint="eastAsia" w:ascii="宋体" w:hAnsi="宋体" w:eastAsia="宋体" w:cs="宋体"/>
                <w:i w:val="0"/>
                <w:caps w:val="0"/>
                <w:color w:val="auto"/>
                <w:spacing w:val="0"/>
                <w:sz w:val="24"/>
                <w:szCs w:val="24"/>
                <w:lang w:val="en-US" w:eastAsia="zh-CN"/>
              </w:rPr>
              <w:t xml:space="preserve">  </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05</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p w14:paraId="2F21855F">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投标保证担保</w:t>
            </w:r>
            <w:r>
              <w:rPr>
                <w:rFonts w:hint="eastAsia" w:ascii="宋体" w:hAnsi="宋体" w:eastAsia="宋体" w:cs="宋体"/>
                <w:i w:val="0"/>
                <w:caps w:val="0"/>
                <w:color w:val="auto"/>
                <w:spacing w:val="0"/>
                <w:sz w:val="24"/>
                <w:szCs w:val="24"/>
                <w:lang w:val="en-US" w:eastAsia="zh-CN"/>
              </w:rPr>
              <w:t>办理</w:t>
            </w:r>
            <w:r>
              <w:rPr>
                <w:rFonts w:hint="eastAsia" w:ascii="宋体" w:hAnsi="宋体" w:eastAsia="宋体" w:cs="宋体"/>
                <w:i w:val="0"/>
                <w:caps w:val="0"/>
                <w:color w:val="auto"/>
                <w:spacing w:val="0"/>
                <w:sz w:val="24"/>
                <w:szCs w:val="24"/>
              </w:rPr>
              <w:t>截止时间：</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05</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i w:val="0"/>
                <w:caps w:val="0"/>
                <w:color w:val="auto"/>
                <w:spacing w:val="0"/>
                <w:sz w:val="24"/>
                <w:szCs w:val="24"/>
                <w:lang w:val="en-US" w:eastAsia="zh-CN"/>
              </w:rPr>
              <w:t>；</w:t>
            </w:r>
          </w:p>
          <w:p w14:paraId="6EAEF317">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05</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76F6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0ED15573">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1455" w:type="dxa"/>
            <w:noWrap w:val="0"/>
            <w:vAlign w:val="center"/>
          </w:tcPr>
          <w:p w14:paraId="1E1111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电子投标</w:t>
            </w:r>
          </w:p>
          <w:p w14:paraId="51602B4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3FA00E9D">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06</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530B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47E57367">
            <w:pPr>
              <w:pStyle w:val="1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7</w:t>
            </w:r>
          </w:p>
        </w:tc>
        <w:tc>
          <w:tcPr>
            <w:tcW w:w="1455" w:type="dxa"/>
            <w:noWrap w:val="0"/>
            <w:vAlign w:val="center"/>
          </w:tcPr>
          <w:p w14:paraId="0DC8DF67">
            <w:pPr>
              <w:pStyle w:val="1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2ECEBCC3">
            <w:pPr>
              <w:pStyle w:val="1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递交时间</w:t>
            </w:r>
          </w:p>
        </w:tc>
        <w:tc>
          <w:tcPr>
            <w:tcW w:w="7124" w:type="dxa"/>
            <w:noWrap w:val="0"/>
            <w:vAlign w:val="center"/>
          </w:tcPr>
          <w:p w14:paraId="4746B33B">
            <w:pPr>
              <w:pStyle w:val="18"/>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 xml:space="preserve">  </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06</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eastAsia="宋体" w:cs="宋体"/>
                <w:i w:val="0"/>
                <w:caps w:val="0"/>
                <w:color w:val="auto"/>
                <w:spacing w:val="0"/>
                <w:sz w:val="24"/>
                <w:szCs w:val="24"/>
                <w:u w:val="single"/>
                <w:lang w:val="en-US" w:eastAsia="zh-CN"/>
              </w:rPr>
              <w:t>00</w:t>
            </w:r>
            <w:r>
              <w:rPr>
                <w:rFonts w:hint="eastAsia" w:ascii="宋体" w:hAnsi="宋体" w:eastAsia="宋体" w:cs="宋体"/>
                <w:i w:val="0"/>
                <w:caps w:val="0"/>
                <w:color w:val="auto"/>
                <w:spacing w:val="0"/>
                <w:sz w:val="24"/>
                <w:szCs w:val="24"/>
              </w:rPr>
              <w:t>分</w:t>
            </w:r>
            <w:r>
              <w:rPr>
                <w:rFonts w:hint="eastAsia" w:ascii="宋体" w:hAnsi="宋体" w:eastAsia="宋体" w:cs="宋体"/>
                <w:color w:val="auto"/>
                <w:kern w:val="2"/>
                <w:sz w:val="24"/>
                <w:szCs w:val="24"/>
                <w:highlight w:val="none"/>
                <w:lang w:val="en-US" w:eastAsia="zh-CN" w:bidi="ar-SA"/>
              </w:rPr>
              <w:t>至</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06</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53F5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3E538FEB">
            <w:pPr>
              <w:pStyle w:val="1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8</w:t>
            </w:r>
          </w:p>
        </w:tc>
        <w:tc>
          <w:tcPr>
            <w:tcW w:w="1455" w:type="dxa"/>
            <w:noWrap w:val="0"/>
            <w:vAlign w:val="center"/>
          </w:tcPr>
          <w:p w14:paraId="44FD479C">
            <w:pPr>
              <w:pStyle w:val="1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468BEEA4">
            <w:pPr>
              <w:pStyle w:val="1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递交地点</w:t>
            </w:r>
          </w:p>
        </w:tc>
        <w:tc>
          <w:tcPr>
            <w:tcW w:w="7124" w:type="dxa"/>
            <w:noWrap w:val="0"/>
            <w:vAlign w:val="center"/>
          </w:tcPr>
          <w:p w14:paraId="342F47A3">
            <w:pPr>
              <w:pStyle w:val="18"/>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1FB3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4192A1C6">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455" w:type="dxa"/>
            <w:noWrap w:val="0"/>
            <w:vAlign w:val="center"/>
          </w:tcPr>
          <w:p w14:paraId="5DCF4F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开标时间</w:t>
            </w:r>
          </w:p>
        </w:tc>
        <w:tc>
          <w:tcPr>
            <w:tcW w:w="7124" w:type="dxa"/>
            <w:noWrap w:val="0"/>
            <w:vAlign w:val="center"/>
          </w:tcPr>
          <w:p w14:paraId="187BBF50">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eastAsia="宋体"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ascii="宋体" w:eastAsia="宋体"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月</w:t>
            </w:r>
            <w:r>
              <w:rPr>
                <w:rFonts w:hint="eastAsia" w:ascii="宋体" w:eastAsia="宋体" w:cs="宋体"/>
                <w:i w:val="0"/>
                <w:caps w:val="0"/>
                <w:color w:val="auto"/>
                <w:spacing w:val="0"/>
                <w:sz w:val="24"/>
                <w:szCs w:val="24"/>
                <w:u w:val="single"/>
                <w:lang w:val="en-US" w:eastAsia="zh-CN"/>
              </w:rPr>
              <w:t>06</w:t>
            </w:r>
            <w:r>
              <w:rPr>
                <w:rFonts w:hint="eastAsia" w:ascii="宋体" w:hAnsi="宋体" w:eastAsia="宋体" w:cs="宋体"/>
                <w:i w:val="0"/>
                <w:caps w:val="0"/>
                <w:color w:val="auto"/>
                <w:spacing w:val="0"/>
                <w:sz w:val="24"/>
                <w:szCs w:val="24"/>
              </w:rPr>
              <w:t>日</w:t>
            </w:r>
            <w:r>
              <w:rPr>
                <w:rFonts w:hint="eastAsia" w:asci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3532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27112E13">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55" w:type="dxa"/>
            <w:noWrap w:val="0"/>
            <w:vAlign w:val="center"/>
          </w:tcPr>
          <w:p w14:paraId="16A7277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p>
        </w:tc>
        <w:tc>
          <w:tcPr>
            <w:tcW w:w="7124" w:type="dxa"/>
            <w:noWrap w:val="0"/>
            <w:vAlign w:val="center"/>
          </w:tcPr>
          <w:p w14:paraId="25954705">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764E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11F6DE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23088A91">
            <w:pPr>
              <w:pStyle w:val="1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其他</w:t>
            </w:r>
          </w:p>
        </w:tc>
        <w:tc>
          <w:tcPr>
            <w:tcW w:w="7124" w:type="dxa"/>
            <w:noWrap w:val="0"/>
            <w:vAlign w:val="center"/>
          </w:tcPr>
          <w:p w14:paraId="0150D6F6">
            <w:pPr>
              <w:pStyle w:val="18"/>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34606EF1">
      <w:pPr>
        <w:bidi w:val="0"/>
        <w:rPr>
          <w:rFonts w:hint="eastAsia" w:ascii="宋体" w:hAnsi="宋体" w:eastAsia="宋体" w:cs="宋体"/>
          <w:color w:val="000000"/>
        </w:rPr>
      </w:pPr>
    </w:p>
    <w:p w14:paraId="223329DF">
      <w:pPr>
        <w:pStyle w:val="2"/>
        <w:rPr>
          <w:rFonts w:hint="eastAsia" w:ascii="宋体" w:hAnsi="宋体" w:eastAsia="宋体" w:cs="宋体"/>
          <w:color w:val="000000"/>
        </w:rPr>
      </w:pPr>
    </w:p>
    <w:p w14:paraId="499AAE59">
      <w:pPr>
        <w:rPr>
          <w:rFonts w:hint="eastAsia" w:ascii="宋体" w:hAnsi="宋体" w:eastAsia="宋体" w:cs="宋体"/>
          <w:color w:val="000000"/>
        </w:rPr>
      </w:pPr>
    </w:p>
    <w:p w14:paraId="480FDCCF">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rPr>
      </w:pPr>
      <w:bookmarkStart w:id="18" w:name="_Toc11282"/>
      <w:r>
        <w:rPr>
          <w:rFonts w:hint="eastAsia" w:ascii="宋体" w:hAnsi="宋体" w:eastAsia="宋体" w:cs="宋体"/>
          <w:color w:val="000000"/>
        </w:rPr>
        <w:t>第二章  投标人须知</w:t>
      </w:r>
      <w:bookmarkEnd w:id="18"/>
    </w:p>
    <w:p w14:paraId="4CB843C2">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rPr>
      </w:pPr>
      <w:bookmarkStart w:id="19" w:name="_Toc9017"/>
      <w:r>
        <w:rPr>
          <w:rFonts w:hint="eastAsia" w:ascii="宋体" w:hAnsi="宋体" w:eastAsia="宋体" w:cs="宋体"/>
          <w:color w:val="000000"/>
        </w:rPr>
        <w:t>投标人须知前附表</w:t>
      </w:r>
      <w:bookmarkEnd w:id="19"/>
    </w:p>
    <w:tbl>
      <w:tblPr>
        <w:tblStyle w:val="15"/>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661"/>
        <w:gridCol w:w="7285"/>
      </w:tblGrid>
      <w:tr w14:paraId="7407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68" w:type="dxa"/>
            <w:noWrap w:val="0"/>
            <w:vAlign w:val="center"/>
          </w:tcPr>
          <w:p w14:paraId="04830405">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条款号</w:t>
            </w:r>
          </w:p>
        </w:tc>
        <w:tc>
          <w:tcPr>
            <w:tcW w:w="1661" w:type="dxa"/>
            <w:noWrap w:val="0"/>
            <w:vAlign w:val="center"/>
          </w:tcPr>
          <w:p w14:paraId="732CA8CB">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条款名称</w:t>
            </w:r>
          </w:p>
        </w:tc>
        <w:tc>
          <w:tcPr>
            <w:tcW w:w="7285" w:type="dxa"/>
            <w:noWrap w:val="0"/>
            <w:vAlign w:val="center"/>
          </w:tcPr>
          <w:p w14:paraId="6012C920">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  列  内  容</w:t>
            </w:r>
          </w:p>
        </w:tc>
      </w:tr>
      <w:tr w14:paraId="07CE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8" w:type="dxa"/>
            <w:noWrap w:val="0"/>
            <w:vAlign w:val="center"/>
          </w:tcPr>
          <w:p w14:paraId="25A2EAF5">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1661" w:type="dxa"/>
            <w:noWrap w:val="0"/>
            <w:vAlign w:val="center"/>
          </w:tcPr>
          <w:p w14:paraId="54F28717">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tc>
        <w:tc>
          <w:tcPr>
            <w:tcW w:w="7285" w:type="dxa"/>
            <w:noWrap w:val="0"/>
            <w:vAlign w:val="center"/>
          </w:tcPr>
          <w:p w14:paraId="7BABF395">
            <w:pPr>
              <w:keepNext w:val="0"/>
              <w:keepLines w:val="0"/>
              <w:pageBreakBefore w:val="0"/>
              <w:kinsoku/>
              <w:wordWrap/>
              <w:overflowPunct/>
              <w:topLinePunct w:val="0"/>
              <w:autoSpaceDE/>
              <w:autoSpaceDN/>
              <w:bidi w:val="0"/>
              <w:adjustRightInd w:val="0"/>
              <w:snapToGrid w:val="0"/>
              <w:spacing w:line="240" w:lineRule="auto"/>
              <w:ind w:firstLine="480" w:firstLineChars="200"/>
              <w:outlineLvl w:val="1"/>
              <w:rPr>
                <w:rFonts w:hint="eastAsia"/>
                <w:lang w:eastAsia="zh-CN"/>
              </w:rPr>
            </w:pPr>
            <w:r>
              <w:rPr>
                <w:rFonts w:hint="eastAsia" w:ascii="宋体" w:hAnsi="宋体" w:eastAsia="宋体" w:cs="宋体"/>
                <w:color w:val="000000"/>
                <w:sz w:val="24"/>
                <w:szCs w:val="24"/>
                <w:highlight w:val="none"/>
                <w:lang w:eastAsia="zh-CN"/>
              </w:rPr>
              <w:t>韶关市武江区江湾镇人民政府</w:t>
            </w:r>
          </w:p>
        </w:tc>
      </w:tr>
      <w:tr w14:paraId="29CF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68" w:type="dxa"/>
            <w:noWrap w:val="0"/>
            <w:vAlign w:val="center"/>
          </w:tcPr>
          <w:p w14:paraId="23FB53C4">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1661" w:type="dxa"/>
            <w:noWrap w:val="0"/>
            <w:vAlign w:val="center"/>
          </w:tcPr>
          <w:p w14:paraId="5A01EAAF">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招标代理机构</w:t>
            </w:r>
          </w:p>
        </w:tc>
        <w:tc>
          <w:tcPr>
            <w:tcW w:w="7285" w:type="dxa"/>
            <w:noWrap w:val="0"/>
            <w:vAlign w:val="center"/>
          </w:tcPr>
          <w:p w14:paraId="3093C539">
            <w:pPr>
              <w:keepNext w:val="0"/>
              <w:keepLines w:val="0"/>
              <w:pageBreakBefore w:val="0"/>
              <w:kinsoku/>
              <w:wordWrap/>
              <w:overflowPunct/>
              <w:topLinePunct w:val="0"/>
              <w:autoSpaceDE/>
              <w:autoSpaceDN/>
              <w:bidi w:val="0"/>
              <w:spacing w:line="500" w:lineRule="exact"/>
              <w:ind w:firstLine="480" w:firstLineChars="200"/>
              <w:rPr>
                <w:rFonts w:hint="eastAsia"/>
                <w:lang w:eastAsia="zh-CN"/>
              </w:rPr>
            </w:pPr>
            <w:r>
              <w:rPr>
                <w:rFonts w:hint="eastAsia" w:ascii="宋体" w:hAnsi="宋体" w:eastAsia="宋体" w:cs="宋体"/>
                <w:color w:val="000000"/>
                <w:sz w:val="24"/>
                <w:szCs w:val="24"/>
                <w:highlight w:val="none"/>
                <w:lang w:eastAsia="zh-CN"/>
              </w:rPr>
              <w:t>广东明正项目管理有限公司</w:t>
            </w:r>
          </w:p>
        </w:tc>
      </w:tr>
      <w:tr w14:paraId="0073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68" w:type="dxa"/>
            <w:noWrap w:val="0"/>
            <w:vAlign w:val="center"/>
          </w:tcPr>
          <w:p w14:paraId="550A23B6">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1661" w:type="dxa"/>
            <w:noWrap w:val="0"/>
            <w:vAlign w:val="center"/>
          </w:tcPr>
          <w:p w14:paraId="5D6980C5">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7285" w:type="dxa"/>
            <w:noWrap w:val="0"/>
            <w:vAlign w:val="center"/>
          </w:tcPr>
          <w:p w14:paraId="2E9E5250">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广东省韶关市武江区农业产业基础设施建设项目-武江区2026年农业产业基础设施建设项目（江湾镇）勘察设计</w:t>
            </w:r>
          </w:p>
        </w:tc>
      </w:tr>
      <w:tr w14:paraId="65D8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68" w:type="dxa"/>
            <w:noWrap w:val="0"/>
            <w:vAlign w:val="center"/>
          </w:tcPr>
          <w:p w14:paraId="79C4D1B7">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1661" w:type="dxa"/>
            <w:noWrap w:val="0"/>
            <w:vAlign w:val="center"/>
          </w:tcPr>
          <w:p w14:paraId="4DAB334C">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建设地点</w:t>
            </w:r>
          </w:p>
        </w:tc>
        <w:tc>
          <w:tcPr>
            <w:tcW w:w="7285" w:type="dxa"/>
            <w:noWrap w:val="0"/>
            <w:vAlign w:val="center"/>
          </w:tcPr>
          <w:p w14:paraId="62C4E8FF">
            <w:pPr>
              <w:keepNext w:val="0"/>
              <w:keepLines w:val="0"/>
              <w:pageBreakBefore w:val="0"/>
              <w:kinsoku/>
              <w:wordWrap/>
              <w:overflowPunct/>
              <w:topLinePunct w:val="0"/>
              <w:autoSpaceDE/>
              <w:autoSpaceDN/>
              <w:bidi w:val="0"/>
              <w:adjustRightInd w:val="0"/>
              <w:snapToGrid w:val="0"/>
              <w:spacing w:line="500" w:lineRule="exact"/>
              <w:ind w:firstLine="480" w:firstLineChars="200"/>
              <w:outlineLvl w:val="1"/>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韶关市武江区江湾镇</w:t>
            </w:r>
          </w:p>
        </w:tc>
      </w:tr>
      <w:tr w14:paraId="18B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68" w:type="dxa"/>
            <w:noWrap w:val="0"/>
            <w:vAlign w:val="center"/>
          </w:tcPr>
          <w:p w14:paraId="6DD7E84F">
            <w:pPr>
              <w:keepNext w:val="0"/>
              <w:keepLines w:val="0"/>
              <w:pageBreakBefore w:val="0"/>
              <w:kinsoku/>
              <w:wordWrap/>
              <w:overflowPunct/>
              <w:topLinePunct w:val="0"/>
              <w:autoSpaceDE/>
              <w:autoSpaceDN/>
              <w:bidi w:val="0"/>
              <w:spacing w:line="5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1.1.6</w:t>
            </w:r>
          </w:p>
        </w:tc>
        <w:tc>
          <w:tcPr>
            <w:tcW w:w="1661" w:type="dxa"/>
            <w:noWrap w:val="0"/>
            <w:vAlign w:val="center"/>
          </w:tcPr>
          <w:p w14:paraId="618CFA25">
            <w:pPr>
              <w:keepNext w:val="0"/>
              <w:keepLines w:val="0"/>
              <w:pageBreakBefore w:val="0"/>
              <w:widowControl/>
              <w:kinsoku/>
              <w:wordWrap/>
              <w:overflowPunct/>
              <w:topLinePunct w:val="0"/>
              <w:autoSpaceDE/>
              <w:autoSpaceDN/>
              <w:bidi w:val="0"/>
              <w:spacing w:line="500" w:lineRule="exact"/>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招标监督机构</w:t>
            </w:r>
          </w:p>
        </w:tc>
        <w:tc>
          <w:tcPr>
            <w:tcW w:w="7285" w:type="dxa"/>
            <w:noWrap w:val="0"/>
            <w:vAlign w:val="center"/>
          </w:tcPr>
          <w:p w14:paraId="3D7C55C8">
            <w:pPr>
              <w:keepNext w:val="0"/>
              <w:keepLines w:val="0"/>
              <w:pageBreakBefore w:val="0"/>
              <w:widowControl/>
              <w:kinsoku/>
              <w:wordWrap/>
              <w:overflowPunct/>
              <w:topLinePunct w:val="0"/>
              <w:autoSpaceDE/>
              <w:autoSpaceDN/>
              <w:bidi w:val="0"/>
              <w:spacing w:line="500" w:lineRule="exact"/>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名称：</w:t>
            </w:r>
            <w:bookmarkStart w:id="20" w:name="OLE_LINK1"/>
            <w:r>
              <w:rPr>
                <w:rFonts w:hint="eastAsia" w:ascii="宋体" w:hAnsi="宋体" w:eastAsia="宋体" w:cs="宋体"/>
                <w:color w:val="000000"/>
                <w:sz w:val="24"/>
                <w:highlight w:val="none"/>
                <w:lang w:eastAsia="zh-CN"/>
              </w:rPr>
              <w:t>韶关市</w:t>
            </w:r>
            <w:r>
              <w:rPr>
                <w:rFonts w:hint="eastAsia" w:ascii="宋体" w:hAnsi="宋体" w:eastAsia="宋体" w:cs="宋体"/>
                <w:color w:val="000000"/>
                <w:sz w:val="24"/>
                <w:highlight w:val="none"/>
                <w:lang w:val="en-US" w:eastAsia="zh-CN"/>
              </w:rPr>
              <w:t>武江区</w:t>
            </w:r>
            <w:r>
              <w:rPr>
                <w:rFonts w:hint="eastAsia" w:ascii="宋体" w:hAnsi="宋体" w:eastAsia="宋体" w:cs="宋体"/>
                <w:color w:val="000000"/>
                <w:sz w:val="24"/>
                <w:highlight w:val="none"/>
                <w:lang w:eastAsia="zh-CN"/>
              </w:rPr>
              <w:t>农业农村局</w:t>
            </w:r>
            <w:bookmarkEnd w:id="20"/>
          </w:p>
          <w:p w14:paraId="1B2458A5">
            <w:pPr>
              <w:keepNext w:val="0"/>
              <w:keepLines w:val="0"/>
              <w:pageBreakBefore w:val="0"/>
              <w:widowControl/>
              <w:kinsoku/>
              <w:wordWrap/>
              <w:overflowPunct/>
              <w:topLinePunct w:val="0"/>
              <w:autoSpaceDE/>
              <w:autoSpaceDN/>
              <w:bidi w:val="0"/>
              <w:spacing w:line="500" w:lineRule="exact"/>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地址：广东省韶关市武江区惠民南路128号</w:t>
            </w:r>
          </w:p>
          <w:p w14:paraId="76C96EDC">
            <w:pPr>
              <w:keepNext w:val="0"/>
              <w:keepLines w:val="0"/>
              <w:pageBreakBefore w:val="0"/>
              <w:widowControl/>
              <w:kinsoku/>
              <w:wordWrap/>
              <w:overflowPunct/>
              <w:topLinePunct w:val="0"/>
              <w:autoSpaceDE/>
              <w:autoSpaceDN/>
              <w:bidi w:val="0"/>
              <w:spacing w:line="500" w:lineRule="exact"/>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联系方式</w:t>
            </w:r>
            <w:r>
              <w:rPr>
                <w:rFonts w:hint="eastAsia" w:ascii="宋体" w:hAnsi="宋体" w:eastAsia="宋体" w:cs="宋体"/>
                <w:color w:val="000000"/>
                <w:sz w:val="24"/>
                <w:highlight w:val="none"/>
                <w:lang w:eastAsia="zh-CN"/>
              </w:rPr>
              <w:t>：</w:t>
            </w:r>
            <w:r>
              <w:rPr>
                <w:rFonts w:hint="eastAsia" w:ascii="宋体" w:hAnsi="宋体" w:cs="宋体"/>
                <w:color w:val="000000"/>
                <w:sz w:val="24"/>
                <w:highlight w:val="none"/>
                <w:lang w:val="en-US" w:eastAsia="zh-CN"/>
              </w:rPr>
              <w:t>梁</w:t>
            </w:r>
            <w:r>
              <w:rPr>
                <w:rFonts w:hint="eastAsia" w:ascii="宋体" w:hAnsi="宋体" w:eastAsia="宋体" w:cs="宋体"/>
                <w:color w:val="000000"/>
                <w:sz w:val="24"/>
                <w:highlight w:val="none"/>
                <w:lang w:val="en-US" w:eastAsia="zh-CN"/>
              </w:rPr>
              <w:t>工，0751-8623830</w:t>
            </w:r>
          </w:p>
        </w:tc>
      </w:tr>
      <w:tr w14:paraId="71EA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68" w:type="dxa"/>
            <w:noWrap w:val="0"/>
            <w:vAlign w:val="center"/>
          </w:tcPr>
          <w:p w14:paraId="62689DC7">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1661" w:type="dxa"/>
            <w:noWrap w:val="0"/>
            <w:vAlign w:val="center"/>
          </w:tcPr>
          <w:p w14:paraId="70710695">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w:t>
            </w:r>
          </w:p>
        </w:tc>
        <w:tc>
          <w:tcPr>
            <w:tcW w:w="7285" w:type="dxa"/>
            <w:noWrap w:val="0"/>
            <w:vAlign w:val="center"/>
          </w:tcPr>
          <w:p w14:paraId="78C27119">
            <w:pPr>
              <w:keepNext w:val="0"/>
              <w:keepLines w:val="0"/>
              <w:pageBreakBefore w:val="0"/>
              <w:kinsoku/>
              <w:wordWrap/>
              <w:overflowPunct/>
              <w:topLinePunct w:val="0"/>
              <w:autoSpaceDE/>
              <w:autoSpaceDN/>
              <w:bidi w:val="0"/>
              <w:spacing w:line="5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区财政统筹解决，100%</w:t>
            </w:r>
          </w:p>
        </w:tc>
      </w:tr>
      <w:tr w14:paraId="0687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68" w:type="dxa"/>
            <w:noWrap w:val="0"/>
            <w:vAlign w:val="center"/>
          </w:tcPr>
          <w:p w14:paraId="1BB105E3">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1661" w:type="dxa"/>
            <w:noWrap w:val="0"/>
            <w:vAlign w:val="center"/>
          </w:tcPr>
          <w:p w14:paraId="01C85984">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资金落实情况</w:t>
            </w:r>
          </w:p>
        </w:tc>
        <w:tc>
          <w:tcPr>
            <w:tcW w:w="7285" w:type="dxa"/>
            <w:noWrap w:val="0"/>
            <w:vAlign w:val="center"/>
          </w:tcPr>
          <w:p w14:paraId="408C806D">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已落实</w:t>
            </w:r>
          </w:p>
        </w:tc>
      </w:tr>
      <w:tr w14:paraId="349D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68" w:type="dxa"/>
            <w:noWrap w:val="0"/>
            <w:vAlign w:val="center"/>
          </w:tcPr>
          <w:p w14:paraId="7F77A962">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1661" w:type="dxa"/>
            <w:noWrap w:val="0"/>
            <w:vAlign w:val="center"/>
          </w:tcPr>
          <w:p w14:paraId="01FF4D29">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招标范围</w:t>
            </w:r>
          </w:p>
        </w:tc>
        <w:tc>
          <w:tcPr>
            <w:tcW w:w="7285" w:type="dxa"/>
            <w:noWrap w:val="0"/>
            <w:vAlign w:val="center"/>
          </w:tcPr>
          <w:p w14:paraId="29FA87D7">
            <w:pPr>
              <w:keepNext w:val="0"/>
              <w:keepLines w:val="0"/>
              <w:pageBreakBefore w:val="0"/>
              <w:widowControl/>
              <w:kinsoku/>
              <w:wordWrap/>
              <w:overflowPunct/>
              <w:topLinePunct w:val="0"/>
              <w:autoSpaceDE/>
              <w:autoSpaceDN/>
              <w:bidi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工程勘察、工程测量、编制初步设计、设计概算</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施工图设计、</w:t>
            </w:r>
            <w:r>
              <w:rPr>
                <w:rFonts w:hint="eastAsia" w:ascii="宋体" w:hAnsi="宋体" w:eastAsia="宋体" w:cs="宋体"/>
                <w:color w:val="000000"/>
                <w:sz w:val="24"/>
                <w:highlight w:val="none"/>
                <w:lang w:val="en-US" w:eastAsia="zh-CN"/>
              </w:rPr>
              <w:t>施工图预算、</w:t>
            </w:r>
            <w:r>
              <w:rPr>
                <w:rFonts w:hint="eastAsia" w:ascii="宋体" w:hAnsi="宋体" w:eastAsia="宋体" w:cs="宋体"/>
                <w:color w:val="000000"/>
                <w:sz w:val="24"/>
                <w:highlight w:val="none"/>
              </w:rPr>
              <w:t>招标图工程量计算、招标图工程量清单等文件、工程实施到竣工验收全过程的设计服务</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包括设计变更报告和施工现场指导等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szCs w:val="24"/>
                <w:highlight w:val="none"/>
              </w:rPr>
              <w:t>。</w:t>
            </w:r>
          </w:p>
        </w:tc>
      </w:tr>
      <w:tr w14:paraId="5399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8" w:type="dxa"/>
            <w:noWrap w:val="0"/>
            <w:vAlign w:val="center"/>
          </w:tcPr>
          <w:p w14:paraId="2A73E32D">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1661" w:type="dxa"/>
            <w:noWrap w:val="0"/>
            <w:vAlign w:val="center"/>
          </w:tcPr>
          <w:p w14:paraId="1F86AD4C">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计划工期</w:t>
            </w:r>
          </w:p>
        </w:tc>
        <w:tc>
          <w:tcPr>
            <w:tcW w:w="7285" w:type="dxa"/>
            <w:noWrap w:val="0"/>
            <w:vAlign w:val="center"/>
          </w:tcPr>
          <w:p w14:paraId="0E6FC18A">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计划工期：30</w:t>
            </w:r>
            <w:r>
              <w:rPr>
                <w:rFonts w:hint="eastAsia" w:ascii="宋体" w:hAnsi="宋体" w:eastAsia="宋体" w:cs="宋体"/>
                <w:color w:val="000000"/>
                <w:sz w:val="24"/>
                <w:szCs w:val="24"/>
                <w:shd w:val="clear" w:color="auto" w:fill="auto"/>
                <w:lang w:val="en-US" w:eastAsia="zh-CN"/>
              </w:rPr>
              <w:t>个日历天。</w:t>
            </w:r>
          </w:p>
          <w:p w14:paraId="41A62DE6">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（1）初步设计计划工期：</w:t>
            </w:r>
            <w:r>
              <w:rPr>
                <w:rFonts w:hint="eastAsia" w:ascii="宋体" w:hAnsi="宋体" w:eastAsia="宋体" w:cs="宋体"/>
                <w:color w:val="000000"/>
                <w:sz w:val="24"/>
                <w:szCs w:val="24"/>
                <w:shd w:val="clear" w:color="auto" w:fill="auto"/>
                <w:lang w:val="en-US" w:eastAsia="zh-CN"/>
              </w:rPr>
              <w:t>20个日历天</w:t>
            </w:r>
            <w:r>
              <w:rPr>
                <w:rFonts w:hint="eastAsia" w:ascii="宋体" w:hAnsi="宋体" w:eastAsia="宋体" w:cs="宋体"/>
                <w:color w:val="000000"/>
                <w:sz w:val="24"/>
                <w:szCs w:val="24"/>
                <w:highlight w:val="none"/>
                <w:lang w:val="en-US" w:eastAsia="zh-CN"/>
              </w:rPr>
              <w:t>内完成初步设计并提交包括初步设计报告、工程量清单、工程量计算书、工程概算及工程相关图纸等能参加技术评审的所有成果；</w:t>
            </w:r>
          </w:p>
          <w:p w14:paraId="5E030B48">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（2）开完技术评审会次日起</w:t>
            </w:r>
            <w:r>
              <w:rPr>
                <w:rFonts w:hint="eastAsia" w:ascii="宋体" w:hAnsi="宋体" w:eastAsia="宋体" w:cs="宋体"/>
                <w:color w:val="000000"/>
                <w:sz w:val="24"/>
                <w:szCs w:val="24"/>
                <w:shd w:val="clear" w:color="auto" w:fill="auto"/>
                <w:lang w:val="en-US" w:eastAsia="zh-CN"/>
              </w:rPr>
              <w:t>3个日历天</w:t>
            </w:r>
            <w:r>
              <w:rPr>
                <w:rFonts w:hint="eastAsia" w:ascii="宋体" w:hAnsi="宋体" w:eastAsia="宋体" w:cs="宋体"/>
                <w:color w:val="000000"/>
                <w:sz w:val="24"/>
                <w:szCs w:val="24"/>
                <w:highlight w:val="none"/>
                <w:lang w:val="en-US" w:eastAsia="zh-CN"/>
              </w:rPr>
              <w:t>内完成对本项目初步设计技术评审会专家的评审修改意见的修改；</w:t>
            </w:r>
          </w:p>
          <w:p w14:paraId="744D76CB">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（3）自发包人书面通知之日起</w:t>
            </w:r>
            <w:r>
              <w:rPr>
                <w:rFonts w:hint="eastAsia" w:ascii="宋体" w:hAnsi="宋体" w:eastAsia="宋体" w:cs="宋体"/>
                <w:color w:val="000000"/>
                <w:sz w:val="24"/>
                <w:szCs w:val="24"/>
                <w:shd w:val="clear" w:color="auto" w:fill="auto"/>
                <w:lang w:val="en-US" w:eastAsia="zh-CN"/>
              </w:rPr>
              <w:t>3个日历天内</w:t>
            </w:r>
            <w:r>
              <w:rPr>
                <w:rFonts w:hint="eastAsia" w:ascii="宋体" w:hAnsi="宋体" w:eastAsia="宋体" w:cs="宋体"/>
                <w:color w:val="000000"/>
                <w:sz w:val="24"/>
                <w:szCs w:val="24"/>
                <w:highlight w:val="none"/>
                <w:lang w:val="en-US" w:eastAsia="zh-CN"/>
              </w:rPr>
              <w:t>提交施工招标设计、工程量清单及招标图纸；</w:t>
            </w:r>
          </w:p>
          <w:p w14:paraId="504F544D">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（4）自发包人书面通知之日起</w:t>
            </w:r>
            <w:r>
              <w:rPr>
                <w:rFonts w:hint="eastAsia" w:ascii="宋体" w:hAnsi="宋体" w:eastAsia="宋体" w:cs="宋体"/>
                <w:color w:val="000000"/>
                <w:sz w:val="24"/>
                <w:szCs w:val="24"/>
                <w:shd w:val="clear" w:color="auto" w:fill="auto"/>
                <w:lang w:val="en-US" w:eastAsia="zh-CN"/>
              </w:rPr>
              <w:t>4个日历天内</w:t>
            </w:r>
            <w:r>
              <w:rPr>
                <w:rFonts w:hint="eastAsia" w:ascii="宋体" w:hAnsi="宋体" w:eastAsia="宋体" w:cs="宋体"/>
                <w:color w:val="000000"/>
                <w:sz w:val="24"/>
                <w:szCs w:val="24"/>
                <w:highlight w:val="none"/>
                <w:lang w:val="en-US" w:eastAsia="zh-CN"/>
              </w:rPr>
              <w:t>提交施工图设计图纸及施工图预算。</w:t>
            </w:r>
          </w:p>
        </w:tc>
      </w:tr>
      <w:tr w14:paraId="1588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8" w:type="dxa"/>
            <w:noWrap w:val="0"/>
            <w:vAlign w:val="center"/>
          </w:tcPr>
          <w:p w14:paraId="67071055">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1661" w:type="dxa"/>
            <w:noWrap w:val="0"/>
            <w:vAlign w:val="center"/>
          </w:tcPr>
          <w:p w14:paraId="3041847D">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质量标准</w:t>
            </w:r>
          </w:p>
        </w:tc>
        <w:tc>
          <w:tcPr>
            <w:tcW w:w="7285" w:type="dxa"/>
            <w:noWrap w:val="0"/>
            <w:vAlign w:val="center"/>
          </w:tcPr>
          <w:p w14:paraId="6F8FC722">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必须通过行业主管部门的审查及相关勘察设计规范要求。勘察设计质量达到合格标准。</w:t>
            </w:r>
          </w:p>
        </w:tc>
      </w:tr>
      <w:tr w14:paraId="3C81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8" w:type="dxa"/>
            <w:noWrap w:val="0"/>
            <w:vAlign w:val="center"/>
          </w:tcPr>
          <w:p w14:paraId="21066E51">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1661" w:type="dxa"/>
            <w:noWrap w:val="0"/>
            <w:vAlign w:val="center"/>
          </w:tcPr>
          <w:p w14:paraId="091C4906">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投标人资质条件、能力和信誉</w:t>
            </w:r>
          </w:p>
        </w:tc>
        <w:tc>
          <w:tcPr>
            <w:tcW w:w="7285" w:type="dxa"/>
            <w:noWrap w:val="0"/>
            <w:vAlign w:val="center"/>
          </w:tcPr>
          <w:p w14:paraId="792E88F4">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w:t>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sz w:val="24"/>
                <w:szCs w:val="32"/>
              </w:rPr>
              <w:t>本工程</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eastAsia="zh-CN"/>
              </w:rPr>
              <w:t>不</w:t>
            </w:r>
            <w:r>
              <w:rPr>
                <w:rFonts w:hint="eastAsia" w:ascii="宋体" w:hAnsi="宋体" w:eastAsia="宋体" w:cs="宋体"/>
                <w:color w:val="000000"/>
                <w:sz w:val="24"/>
                <w:szCs w:val="32"/>
                <w:u w:val="single"/>
              </w:rPr>
              <w:t xml:space="preserve">接受 </w:t>
            </w:r>
            <w:r>
              <w:rPr>
                <w:rFonts w:hint="eastAsia" w:ascii="宋体" w:hAnsi="宋体" w:eastAsia="宋体" w:cs="宋体"/>
                <w:color w:val="000000"/>
                <w:sz w:val="24"/>
                <w:szCs w:val="32"/>
              </w:rPr>
              <w:t>联合体投标，联合体以一个投标人的身份共同投标。</w:t>
            </w:r>
          </w:p>
          <w:p w14:paraId="34D9B3FE">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sz w:val="24"/>
                <w:szCs w:val="32"/>
              </w:rPr>
              <w:t>投标人资格要求：</w:t>
            </w:r>
          </w:p>
          <w:p w14:paraId="0F8B5553">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2.1</w:t>
            </w:r>
            <w:r>
              <w:rPr>
                <w:rFonts w:hint="eastAsia" w:ascii="宋体" w:hAnsi="宋体" w:eastAsia="宋体" w:cs="宋体"/>
                <w:color w:val="000000"/>
                <w:sz w:val="24"/>
                <w:szCs w:val="32"/>
              </w:rPr>
              <w:t>投标人须具备独立法人资格，按国家法律经营。</w:t>
            </w:r>
          </w:p>
          <w:p w14:paraId="05B67E6D">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2</w:t>
            </w:r>
            <w:r>
              <w:rPr>
                <w:rFonts w:hint="eastAsia" w:ascii="宋体" w:hAnsi="宋体" w:eastAsia="宋体" w:cs="宋体"/>
                <w:color w:val="000000"/>
                <w:sz w:val="24"/>
                <w:szCs w:val="32"/>
              </w:rPr>
              <w:t>投标人须具备建设行政主管部门颁发的以下资质之一：</w:t>
            </w:r>
          </w:p>
          <w:p w14:paraId="4E4C2051">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①工程设计综合甲级资质；</w:t>
            </w:r>
          </w:p>
          <w:p w14:paraId="1644BB50">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②工程设计水利行业乙级以上（含乙级）资质；</w:t>
            </w:r>
          </w:p>
          <w:p w14:paraId="00EA6E34">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rPr>
              <w:t>注：投标人如不具备相应勘察资质的，则待中标后必须在招标人的监督管理下委托具备相应资质及能力的单位来完成该部分工作。</w:t>
            </w:r>
          </w:p>
          <w:p w14:paraId="0E3F6052">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2.3投标人的企业相关证书到期的，均按该证书的发证机构相关行业主管部门最新文件执行（如自动顺延或资质延续有关事项的通知），投标人必须将相关文件附在该证书后面中，证明在开标日继续有效。</w:t>
            </w:r>
          </w:p>
          <w:p w14:paraId="3068A3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 人员要求：</w:t>
            </w:r>
          </w:p>
          <w:p w14:paraId="0BF81573">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3.1投标人拟委派担任本工程的项目负责人须具有水利类工程师</w:t>
            </w:r>
            <w:r>
              <w:rPr>
                <w:rFonts w:hint="eastAsia" w:ascii="宋体" w:hAnsi="宋体" w:eastAsia="宋体" w:cs="宋体"/>
                <w:snapToGrid w:val="0"/>
                <w:color w:val="000000"/>
                <w:kern w:val="0"/>
                <w:sz w:val="24"/>
                <w:szCs w:val="24"/>
                <w:highlight w:val="none"/>
                <w:lang w:val="en-US" w:eastAsia="zh-CN"/>
              </w:rPr>
              <w:t>或以上</w:t>
            </w:r>
            <w:r>
              <w:rPr>
                <w:rFonts w:hint="eastAsia" w:ascii="宋体" w:hAnsi="宋体" w:eastAsia="宋体" w:cs="宋体"/>
                <w:color w:val="000000"/>
                <w:sz w:val="24"/>
                <w:szCs w:val="32"/>
                <w:lang w:val="en-US" w:eastAsia="zh-CN"/>
              </w:rPr>
              <w:t>职称证书。</w:t>
            </w:r>
          </w:p>
          <w:p w14:paraId="0899D3F7">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3.2投标人与其拟派往本项目所有人员之间必须具备合法的劳动聘用关系，需提供缴纳社保的证明或退休证(附返聘证明）扫描件（由非独立法人分支机构出具的社保证明，予以认可）。拟派人员中具备注册执业资格的，其注册单位须与投标人保持一致。</w:t>
            </w:r>
          </w:p>
          <w:p w14:paraId="75F6B0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32"/>
                <w:lang w:val="en-US" w:eastAsia="zh-CN"/>
              </w:rPr>
              <w:t xml:space="preserve">4  </w:t>
            </w:r>
            <w:r>
              <w:rPr>
                <w:rFonts w:hint="eastAsia" w:ascii="宋体" w:hAnsi="宋体" w:eastAsia="宋体" w:cs="宋体"/>
                <w:color w:val="000000"/>
                <w:sz w:val="24"/>
                <w:szCs w:val="32"/>
              </w:rPr>
              <w:t>本次招标实行资格后审，资格审查的具体要求见招标文件。资格后审不合格的投标人投标文件将按废标处理。</w:t>
            </w:r>
          </w:p>
        </w:tc>
      </w:tr>
      <w:tr w14:paraId="5E32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noWrap w:val="0"/>
            <w:vAlign w:val="center"/>
          </w:tcPr>
          <w:p w14:paraId="162878C5">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1661" w:type="dxa"/>
            <w:noWrap w:val="0"/>
            <w:vAlign w:val="center"/>
          </w:tcPr>
          <w:p w14:paraId="143A9F7C">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是否接受联合体投标</w:t>
            </w:r>
          </w:p>
        </w:tc>
        <w:tc>
          <w:tcPr>
            <w:tcW w:w="7285" w:type="dxa"/>
            <w:noWrap w:val="0"/>
            <w:vAlign w:val="center"/>
          </w:tcPr>
          <w:p w14:paraId="6BFCD568">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eastAsia="zh-CN"/>
              </w:rPr>
              <w:t>不</w:t>
            </w:r>
            <w:r>
              <w:rPr>
                <w:rFonts w:hint="eastAsia" w:ascii="宋体" w:hAnsi="宋体" w:eastAsia="宋体" w:cs="宋体"/>
                <w:color w:val="000000"/>
                <w:kern w:val="0"/>
                <w:sz w:val="24"/>
                <w:szCs w:val="24"/>
                <w:highlight w:val="none"/>
              </w:rPr>
              <w:t>接受</w:t>
            </w:r>
          </w:p>
        </w:tc>
      </w:tr>
      <w:tr w14:paraId="7FDE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68" w:type="dxa"/>
            <w:noWrap w:val="0"/>
            <w:vAlign w:val="center"/>
          </w:tcPr>
          <w:p w14:paraId="13F78085">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1.4.3</w:t>
            </w:r>
          </w:p>
        </w:tc>
        <w:tc>
          <w:tcPr>
            <w:tcW w:w="1661" w:type="dxa"/>
            <w:noWrap w:val="0"/>
            <w:vAlign w:val="center"/>
          </w:tcPr>
          <w:p w14:paraId="4403E0A0">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不存在禁止投标的情形</w:t>
            </w:r>
          </w:p>
        </w:tc>
        <w:tc>
          <w:tcPr>
            <w:tcW w:w="7285" w:type="dxa"/>
            <w:noWrap w:val="0"/>
            <w:vAlign w:val="center"/>
          </w:tcPr>
          <w:p w14:paraId="0ABFA7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投标人不得存在下列情形之一：</w:t>
            </w:r>
          </w:p>
          <w:p w14:paraId="043752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67B285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74874F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5F517C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5F840E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2E1F34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26D2EF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1DB1D0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3F6ECF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（9）与本招标项目的代建人或招标代理机构存在相互任职或工作关系；</w:t>
            </w:r>
          </w:p>
          <w:p w14:paraId="325698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238BCA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w:t>
            </w:r>
          </w:p>
          <w:p w14:paraId="36BF6D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274A6A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（13）在最近三年内发生重大质量问题（以相关行业主管部门的行政处罚决定或司法机关出具的有关法律文书为准）；</w:t>
            </w:r>
          </w:p>
          <w:p w14:paraId="1A3C49B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（14）被“信用中国”网站（https://www.creditchina.gov.cn）发布的《法人和非法人组织公共信用信息报告》列为严重失信主体名单的。</w:t>
            </w:r>
          </w:p>
        </w:tc>
      </w:tr>
      <w:tr w14:paraId="454B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68" w:type="dxa"/>
            <w:noWrap w:val="0"/>
            <w:vAlign w:val="center"/>
          </w:tcPr>
          <w:p w14:paraId="6EBDF53C">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1661" w:type="dxa"/>
            <w:noWrap w:val="0"/>
            <w:vAlign w:val="center"/>
          </w:tcPr>
          <w:p w14:paraId="4E221947">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费用承担和设计成果补偿</w:t>
            </w:r>
          </w:p>
        </w:tc>
        <w:tc>
          <w:tcPr>
            <w:tcW w:w="7285" w:type="dxa"/>
            <w:noWrap w:val="0"/>
            <w:vAlign w:val="center"/>
          </w:tcPr>
          <w:p w14:paraId="5DC7BCA0">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不补偿</w:t>
            </w:r>
          </w:p>
        </w:tc>
      </w:tr>
      <w:tr w14:paraId="6B5B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noWrap w:val="0"/>
            <w:vAlign w:val="center"/>
          </w:tcPr>
          <w:p w14:paraId="67B1255B">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1661" w:type="dxa"/>
            <w:noWrap w:val="0"/>
            <w:vAlign w:val="center"/>
          </w:tcPr>
          <w:p w14:paraId="38203FA4">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其他费用</w:t>
            </w:r>
          </w:p>
        </w:tc>
        <w:tc>
          <w:tcPr>
            <w:tcW w:w="7285" w:type="dxa"/>
            <w:noWrap w:val="0"/>
            <w:vAlign w:val="center"/>
          </w:tcPr>
          <w:p w14:paraId="0824A474">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招标代理服务费为</w:t>
            </w:r>
            <w:r>
              <w:rPr>
                <w:rFonts w:hint="eastAsia" w:ascii="宋体" w:hAnsi="宋体" w:eastAsia="宋体" w:cs="宋体"/>
                <w:color w:val="000000"/>
                <w:sz w:val="24"/>
                <w:szCs w:val="24"/>
                <w:highlight w:val="none"/>
                <w:lang w:eastAsia="zh-CN"/>
              </w:rPr>
              <w:t>人民币：¥</w:t>
            </w:r>
            <w:r>
              <w:rPr>
                <w:rFonts w:hint="eastAsia" w:ascii="宋体" w:hAnsi="宋体" w:eastAsia="宋体" w:cs="宋体"/>
                <w:color w:val="000000"/>
                <w:sz w:val="24"/>
                <w:szCs w:val="24"/>
                <w:highlight w:val="none"/>
              </w:rPr>
              <w:t>8000.00元，由中标单位支付；评标专家酬劳由招标代理机构先垫付；中标人须在中标公告公示期结束后，领取中标通知书前须向招标代理机构一次性付清招标代理服务费及评标专家酬劳，方可领取中标通知书。</w:t>
            </w:r>
          </w:p>
        </w:tc>
      </w:tr>
      <w:tr w14:paraId="6187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8" w:type="dxa"/>
            <w:noWrap w:val="0"/>
            <w:vAlign w:val="center"/>
          </w:tcPr>
          <w:p w14:paraId="5EBE5BE3">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1661" w:type="dxa"/>
            <w:noWrap w:val="0"/>
            <w:vAlign w:val="center"/>
          </w:tcPr>
          <w:p w14:paraId="494239F4">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现场踏勘</w:t>
            </w:r>
          </w:p>
        </w:tc>
        <w:tc>
          <w:tcPr>
            <w:tcW w:w="7285" w:type="dxa"/>
            <w:noWrap w:val="0"/>
            <w:vAlign w:val="center"/>
          </w:tcPr>
          <w:p w14:paraId="7008419E">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不组织</w:t>
            </w:r>
          </w:p>
        </w:tc>
      </w:tr>
      <w:tr w14:paraId="610B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68" w:type="dxa"/>
            <w:noWrap w:val="0"/>
            <w:vAlign w:val="center"/>
          </w:tcPr>
          <w:p w14:paraId="0C7792BC">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1661" w:type="dxa"/>
            <w:noWrap w:val="0"/>
            <w:vAlign w:val="center"/>
          </w:tcPr>
          <w:p w14:paraId="56327337">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投标预备会</w:t>
            </w:r>
          </w:p>
        </w:tc>
        <w:tc>
          <w:tcPr>
            <w:tcW w:w="7285" w:type="dxa"/>
            <w:noWrap w:val="0"/>
            <w:vAlign w:val="center"/>
          </w:tcPr>
          <w:p w14:paraId="0060BD73">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不召开</w:t>
            </w:r>
          </w:p>
        </w:tc>
      </w:tr>
      <w:tr w14:paraId="2117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68" w:type="dxa"/>
            <w:noWrap w:val="0"/>
            <w:vAlign w:val="center"/>
          </w:tcPr>
          <w:p w14:paraId="3BA76E0E">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1661" w:type="dxa"/>
            <w:noWrap w:val="0"/>
            <w:vAlign w:val="center"/>
          </w:tcPr>
          <w:p w14:paraId="0989AEEB">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w:t>
            </w:r>
          </w:p>
        </w:tc>
        <w:tc>
          <w:tcPr>
            <w:tcW w:w="7285" w:type="dxa"/>
            <w:noWrap w:val="0"/>
            <w:vAlign w:val="center"/>
          </w:tcPr>
          <w:p w14:paraId="3753EBB2">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不允许</w:t>
            </w:r>
          </w:p>
        </w:tc>
      </w:tr>
      <w:tr w14:paraId="7DFD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68" w:type="dxa"/>
            <w:noWrap w:val="0"/>
            <w:vAlign w:val="center"/>
          </w:tcPr>
          <w:p w14:paraId="6D1E1887">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1661" w:type="dxa"/>
            <w:noWrap w:val="0"/>
            <w:vAlign w:val="center"/>
          </w:tcPr>
          <w:p w14:paraId="2B66AE39">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7285" w:type="dxa"/>
            <w:noWrap w:val="0"/>
            <w:vAlign w:val="center"/>
          </w:tcPr>
          <w:p w14:paraId="3E8AE83F">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偏离允许幅度及其处理方法：投标人的投标文件不允许有实质性的偏离，细微偏离由评委在评标过程中确定后，视其情况向投标人书面发出补正要求。</w:t>
            </w:r>
          </w:p>
        </w:tc>
      </w:tr>
      <w:tr w14:paraId="21A7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68" w:type="dxa"/>
            <w:noWrap w:val="0"/>
            <w:vAlign w:val="center"/>
          </w:tcPr>
          <w:p w14:paraId="220B34F0">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1661" w:type="dxa"/>
            <w:noWrap w:val="0"/>
            <w:vAlign w:val="center"/>
          </w:tcPr>
          <w:p w14:paraId="372E9B30">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网上质疑截止时间</w:t>
            </w:r>
          </w:p>
        </w:tc>
        <w:tc>
          <w:tcPr>
            <w:tcW w:w="7285" w:type="dxa"/>
            <w:noWrap w:val="0"/>
            <w:vAlign w:val="center"/>
          </w:tcPr>
          <w:p w14:paraId="6ADE52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详见“重要事项时间地点一览表”</w:t>
            </w:r>
          </w:p>
        </w:tc>
      </w:tr>
      <w:tr w14:paraId="7873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8" w:type="dxa"/>
            <w:noWrap w:val="0"/>
            <w:vAlign w:val="center"/>
          </w:tcPr>
          <w:p w14:paraId="1E8B2C11">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1661" w:type="dxa"/>
            <w:noWrap w:val="0"/>
            <w:vAlign w:val="center"/>
          </w:tcPr>
          <w:p w14:paraId="13DA8D4F">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招标答疑书发布时间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网址</w:t>
            </w:r>
          </w:p>
        </w:tc>
        <w:tc>
          <w:tcPr>
            <w:tcW w:w="7285" w:type="dxa"/>
            <w:noWrap w:val="0"/>
            <w:vAlign w:val="center"/>
          </w:tcPr>
          <w:p w14:paraId="1456C5E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详见“重要事项时间地点一览表”</w:t>
            </w:r>
          </w:p>
        </w:tc>
      </w:tr>
      <w:tr w14:paraId="1CDC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68" w:type="dxa"/>
            <w:noWrap w:val="0"/>
            <w:vAlign w:val="center"/>
          </w:tcPr>
          <w:p w14:paraId="46DFE272">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w:t>
            </w:r>
          </w:p>
        </w:tc>
        <w:tc>
          <w:tcPr>
            <w:tcW w:w="1661" w:type="dxa"/>
            <w:noWrap w:val="0"/>
            <w:vAlign w:val="center"/>
          </w:tcPr>
          <w:p w14:paraId="493D1C2E">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7285" w:type="dxa"/>
            <w:noWrap w:val="0"/>
            <w:vAlign w:val="center"/>
          </w:tcPr>
          <w:p w14:paraId="7DEB69AE">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投标人仅需填报投标报价下浮率（有效投标报价下浮率≥0.000%，保留至小数点后</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位），不在此范围内的投标报价均为无效投标报价。</w:t>
            </w:r>
          </w:p>
        </w:tc>
      </w:tr>
      <w:tr w14:paraId="0DD3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8" w:type="dxa"/>
            <w:noWrap w:val="0"/>
            <w:vAlign w:val="center"/>
          </w:tcPr>
          <w:p w14:paraId="1174279F">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w:t>
            </w:r>
          </w:p>
        </w:tc>
        <w:tc>
          <w:tcPr>
            <w:tcW w:w="1661" w:type="dxa"/>
            <w:noWrap w:val="0"/>
            <w:vAlign w:val="center"/>
          </w:tcPr>
          <w:p w14:paraId="253642E0">
            <w:pPr>
              <w:keepNext w:val="0"/>
              <w:keepLines w:val="0"/>
              <w:pageBreakBefore w:val="0"/>
              <w:kinsoku/>
              <w:wordWrap/>
              <w:overflowPunct/>
              <w:topLinePunct w:val="0"/>
              <w:autoSpaceDE/>
              <w:autoSpaceDN/>
              <w:bidi w:val="0"/>
              <w:snapToGrid/>
              <w:spacing w:line="500" w:lineRule="exact"/>
              <w:ind w:firstLine="240" w:firstLineChars="100"/>
              <w:textAlignment w:val="auto"/>
              <w:rPr>
                <w:rFonts w:hint="eastAsia" w:ascii="宋体" w:hAnsi="宋体" w:eastAsia="宋体" w:cs="宋体"/>
                <w:color w:val="000000"/>
                <w:sz w:val="24"/>
                <w:szCs w:val="24"/>
                <w:shd w:val="clear" w:color="auto" w:fill="FFFF00"/>
                <w:lang w:val="en-US" w:eastAsia="zh-CN"/>
              </w:rPr>
            </w:pPr>
            <w:r>
              <w:rPr>
                <w:rFonts w:hint="eastAsia" w:ascii="宋体" w:hAnsi="宋体" w:eastAsia="宋体" w:cs="宋体"/>
                <w:color w:val="000000"/>
                <w:sz w:val="24"/>
                <w:szCs w:val="24"/>
                <w:shd w:val="clear" w:color="auto" w:fill="auto"/>
                <w:lang w:val="en-US" w:eastAsia="zh-CN"/>
              </w:rPr>
              <w:t>最高限价</w:t>
            </w:r>
          </w:p>
        </w:tc>
        <w:tc>
          <w:tcPr>
            <w:tcW w:w="7285" w:type="dxa"/>
            <w:noWrap w:val="0"/>
            <w:vAlign w:val="center"/>
          </w:tcPr>
          <w:p w14:paraId="2F42F496">
            <w:pPr>
              <w:keepNext w:val="0"/>
              <w:keepLines w:val="0"/>
              <w:pageBreakBefore w:val="0"/>
              <w:kinsoku/>
              <w:wordWrap/>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24"/>
                <w:shd w:val="clear" w:color="auto" w:fill="FFFF00"/>
                <w:lang w:val="en-US" w:eastAsia="zh-CN"/>
              </w:rPr>
            </w:pPr>
            <w:r>
              <w:rPr>
                <w:rFonts w:hint="eastAsia" w:ascii="宋体" w:hAnsi="宋体" w:eastAsia="宋体" w:cs="宋体"/>
                <w:color w:val="000000"/>
                <w:sz w:val="24"/>
                <w:szCs w:val="24"/>
                <w:shd w:val="clear" w:color="auto" w:fill="auto"/>
                <w:lang w:val="en-US" w:eastAsia="zh-CN"/>
              </w:rPr>
              <w:t>¥300,000.00元</w:t>
            </w:r>
          </w:p>
        </w:tc>
      </w:tr>
      <w:tr w14:paraId="746A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dxa"/>
            <w:noWrap w:val="0"/>
            <w:vAlign w:val="center"/>
          </w:tcPr>
          <w:p w14:paraId="6DBE7429">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3.3.1</w:t>
            </w:r>
          </w:p>
        </w:tc>
        <w:tc>
          <w:tcPr>
            <w:tcW w:w="1661" w:type="dxa"/>
            <w:noWrap w:val="0"/>
            <w:vAlign w:val="center"/>
          </w:tcPr>
          <w:p w14:paraId="215FDC63">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7285" w:type="dxa"/>
            <w:noWrap w:val="0"/>
            <w:vAlign w:val="center"/>
          </w:tcPr>
          <w:p w14:paraId="5A37D0C0">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从投标截止时间算起90天</w:t>
            </w:r>
          </w:p>
        </w:tc>
      </w:tr>
      <w:tr w14:paraId="3A46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8" w:type="dxa"/>
            <w:noWrap w:val="0"/>
            <w:vAlign w:val="center"/>
          </w:tcPr>
          <w:p w14:paraId="75F82999">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3.4.1</w:t>
            </w:r>
          </w:p>
        </w:tc>
        <w:tc>
          <w:tcPr>
            <w:tcW w:w="1661" w:type="dxa"/>
            <w:noWrap w:val="0"/>
            <w:vAlign w:val="center"/>
          </w:tcPr>
          <w:p w14:paraId="1A789672">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投标保证</w:t>
            </w:r>
          </w:p>
        </w:tc>
        <w:tc>
          <w:tcPr>
            <w:tcW w:w="7285" w:type="dxa"/>
            <w:noWrap w:val="0"/>
            <w:vAlign w:val="center"/>
          </w:tcPr>
          <w:p w14:paraId="30DD811D">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本工程</w:t>
            </w:r>
            <w:r>
              <w:rPr>
                <w:rFonts w:hint="eastAsia" w:ascii="宋体" w:hAnsi="宋体" w:eastAsia="宋体" w:cs="宋体"/>
                <w:color w:val="000000"/>
                <w:sz w:val="24"/>
                <w:szCs w:val="24"/>
                <w:highlight w:val="none"/>
              </w:rPr>
              <w:t>投标保证金额为人民币：</w:t>
            </w:r>
            <w:r>
              <w:rPr>
                <w:rFonts w:hint="eastAsia" w:ascii="宋体" w:hAnsi="宋体" w:eastAsia="宋体" w:cs="宋体"/>
                <w:color w:val="000000"/>
                <w:sz w:val="24"/>
                <w:szCs w:val="24"/>
                <w:highlight w:val="none"/>
                <w:u w:val="single"/>
                <w:lang w:val="en-US" w:eastAsia="zh-CN"/>
              </w:rPr>
              <w:t>叁仟元整（¥3,000.00元）</w:t>
            </w:r>
            <w:r>
              <w:rPr>
                <w:rFonts w:hint="eastAsia" w:ascii="宋体" w:hAnsi="宋体" w:eastAsia="宋体" w:cs="宋体"/>
                <w:color w:val="000000"/>
                <w:sz w:val="24"/>
                <w:szCs w:val="24"/>
                <w:highlight w:val="none"/>
              </w:rPr>
              <w:t>。联合体投标的，由联合体牵头人缴纳。</w:t>
            </w:r>
          </w:p>
          <w:p w14:paraId="36F250BF">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投标保证的形式包括投标保证金、投标保证担保、投标保证保险三种，由投标人自主选择。</w:t>
            </w:r>
          </w:p>
          <w:p w14:paraId="2D619DC8">
            <w:pPr>
              <w:keepNext w:val="0"/>
              <w:keepLines w:val="0"/>
              <w:pageBreakBefore w:val="0"/>
              <w:kinsoku/>
              <w:wordWrap/>
              <w:overflowPunct/>
              <w:topLinePunct w:val="0"/>
              <w:autoSpaceDE/>
              <w:autoSpaceDN/>
              <w:bidi w:val="0"/>
              <w:adjustRightInd w:val="0"/>
              <w:snapToGrid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2BF6C724">
            <w:pPr>
              <w:keepNext w:val="0"/>
              <w:keepLines w:val="0"/>
              <w:pageBreakBefore w:val="0"/>
              <w:kinsoku/>
              <w:wordWrap/>
              <w:overflowPunct/>
              <w:topLinePunct w:val="0"/>
              <w:autoSpaceDE/>
              <w:autoSpaceDN/>
              <w:bidi w:val="0"/>
              <w:adjustRightInd w:val="0"/>
              <w:snapToGrid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35E07A7F">
            <w:pPr>
              <w:keepNext w:val="0"/>
              <w:keepLines w:val="0"/>
              <w:pageBreakBefore w:val="0"/>
              <w:kinsoku/>
              <w:wordWrap/>
              <w:overflowPunct/>
              <w:topLinePunct w:val="0"/>
              <w:autoSpaceDE/>
              <w:autoSpaceDN/>
              <w:bidi w:val="0"/>
              <w:adjustRightInd w:val="0"/>
              <w:snapToGrid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72DD9EA7">
            <w:pPr>
              <w:keepNext w:val="0"/>
              <w:keepLines w:val="0"/>
              <w:pageBreakBefore w:val="0"/>
              <w:kinsoku/>
              <w:wordWrap/>
              <w:overflowPunct/>
              <w:topLinePunct w:val="0"/>
              <w:autoSpaceDE/>
              <w:autoSpaceDN/>
              <w:bidi w:val="0"/>
              <w:adjustRightInd w:val="0"/>
              <w:snapToGrid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（https://ygp.gdzwfw.gov.cn/ggzy-portal/#/440200/index），在【服务指南】栏目中下载《建设工程网上交易系统保险保证金缴纳操作指南》，了解网上投保具体操作流程。逾期投保的，其投标无效。</w:t>
            </w:r>
          </w:p>
          <w:p w14:paraId="51607C6C">
            <w:pPr>
              <w:keepNext w:val="0"/>
              <w:keepLines w:val="0"/>
              <w:pageBreakBefore w:val="0"/>
              <w:kinsoku/>
              <w:wordWrap/>
              <w:overflowPunct/>
              <w:topLinePunct w:val="0"/>
              <w:autoSpaceDE/>
              <w:autoSpaceDN/>
              <w:bidi w:val="0"/>
              <w:adjustRightInd w:val="0"/>
              <w:snapToGrid w:val="0"/>
              <w:spacing w:line="50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AF682B3">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若投标人因自身原因未能正确获取招标文件、</w:t>
            </w:r>
            <w:r>
              <w:rPr>
                <w:rFonts w:hint="eastAsia" w:ascii="宋体" w:hAnsi="宋体" w:eastAsia="宋体" w:cs="宋体"/>
                <w:color w:val="000000"/>
                <w:sz w:val="24"/>
                <w:szCs w:val="24"/>
              </w:rPr>
              <w:t>电子投标</w:t>
            </w:r>
            <w:r>
              <w:rPr>
                <w:rFonts w:hint="eastAsia" w:ascii="宋体" w:hAnsi="宋体" w:eastAsia="宋体" w:cs="宋体"/>
                <w:color w:val="000000"/>
                <w:sz w:val="24"/>
                <w:szCs w:val="24"/>
                <w:lang w:val="en-US" w:eastAsia="zh-CN"/>
              </w:rPr>
              <w:t>和</w:t>
            </w:r>
            <w:r>
              <w:rPr>
                <w:rFonts w:hint="eastAsia" w:ascii="宋体" w:hAnsi="宋体" w:eastAsia="宋体" w:cs="宋体"/>
                <w:color w:val="000000"/>
                <w:sz w:val="24"/>
                <w:szCs w:val="24"/>
              </w:rPr>
              <w:t>缴纳投标保证</w:t>
            </w:r>
            <w:r>
              <w:rPr>
                <w:rFonts w:hint="eastAsia" w:ascii="宋体" w:hAnsi="宋体" w:eastAsia="宋体" w:cs="宋体"/>
                <w:color w:val="000000"/>
                <w:sz w:val="24"/>
                <w:szCs w:val="24"/>
                <w:highlight w:val="none"/>
              </w:rPr>
              <w:t>的，其投标无效。</w:t>
            </w:r>
          </w:p>
        </w:tc>
      </w:tr>
      <w:tr w14:paraId="2FBD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8" w:type="dxa"/>
            <w:noWrap w:val="0"/>
            <w:vAlign w:val="center"/>
          </w:tcPr>
          <w:p w14:paraId="3F6D1D1C">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3.7.2</w:t>
            </w:r>
          </w:p>
        </w:tc>
        <w:tc>
          <w:tcPr>
            <w:tcW w:w="1661" w:type="dxa"/>
            <w:noWrap w:val="0"/>
            <w:vAlign w:val="center"/>
          </w:tcPr>
          <w:p w14:paraId="55615961">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签字或盖章要求</w:t>
            </w:r>
          </w:p>
        </w:tc>
        <w:tc>
          <w:tcPr>
            <w:tcW w:w="7285" w:type="dxa"/>
            <w:noWrap w:val="0"/>
            <w:vAlign w:val="center"/>
          </w:tcPr>
          <w:p w14:paraId="56CC1902">
            <w:pPr>
              <w:keepNext w:val="0"/>
              <w:keepLines w:val="0"/>
              <w:pageBreakBefore w:val="0"/>
              <w:numPr>
                <w:ilvl w:val="0"/>
                <w:numId w:val="1"/>
              </w:numPr>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投标文件全部采用电子文档，投标文件所附证书证件均为</w:t>
            </w:r>
            <w:r>
              <w:rPr>
                <w:rFonts w:hint="eastAsia" w:ascii="宋体" w:hAnsi="宋体" w:eastAsia="宋体" w:cs="宋体"/>
                <w:b/>
                <w:bCs/>
                <w:color w:val="000000"/>
                <w:sz w:val="24"/>
                <w:szCs w:val="24"/>
                <w:highlight w:val="none"/>
                <w:lang w:eastAsia="zh-CN"/>
              </w:rPr>
              <w:t>原件</w:t>
            </w:r>
            <w:r>
              <w:rPr>
                <w:rFonts w:hint="eastAsia" w:ascii="宋体" w:hAnsi="宋体" w:eastAsia="宋体" w:cs="宋体"/>
                <w:b/>
                <w:bCs/>
                <w:color w:val="000000"/>
                <w:sz w:val="24"/>
                <w:szCs w:val="24"/>
                <w:highlight w:val="none"/>
                <w:lang w:val="en-US" w:eastAsia="zh-CN"/>
              </w:rPr>
              <w:t>彩色</w:t>
            </w:r>
            <w:r>
              <w:rPr>
                <w:rFonts w:hint="eastAsia" w:ascii="宋体" w:hAnsi="宋体" w:eastAsia="宋体" w:cs="宋体"/>
                <w:b/>
                <w:bCs/>
                <w:color w:val="000000"/>
                <w:sz w:val="24"/>
                <w:szCs w:val="24"/>
                <w:highlight w:val="none"/>
                <w:lang w:eastAsia="zh-CN"/>
              </w:rPr>
              <w:t>扫描件</w:t>
            </w:r>
            <w:r>
              <w:rPr>
                <w:rFonts w:hint="eastAsia" w:ascii="宋体" w:hAnsi="宋体" w:eastAsia="宋体" w:cs="宋体"/>
                <w:color w:val="000000"/>
                <w:sz w:val="24"/>
                <w:szCs w:val="24"/>
                <w:highlight w:val="none"/>
                <w:lang w:eastAsia="zh-CN"/>
              </w:rPr>
              <w:t>，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1D529773">
            <w:pPr>
              <w:keepNext w:val="0"/>
              <w:keepLines w:val="0"/>
              <w:pageBreakBefore w:val="0"/>
              <w:numPr>
                <w:ilvl w:val="0"/>
                <w:numId w:val="1"/>
              </w:numPr>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封面、组成内容中凡注明“签字”处由要求的人员签字或电子签章；凡注明“签字或盖章”处由要求的人员签字或盖其私章（电子印章）；凡注明“签字并盖执业印章”处由要求的人员签字并盖其执业印章。</w:t>
            </w:r>
          </w:p>
          <w:p w14:paraId="31C44C5B">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投标文件封套、封面、组成内容中凡要求录入投标人名称且注明“盖单位章”处盖单位法人公章（电子印章）。</w:t>
            </w:r>
          </w:p>
          <w:p w14:paraId="1C7A7E8D">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投标文件的签字均为签字人本人亲笔署名或签章（电子印章），其余部分的扫描件无须另行签字、盖章。</w:t>
            </w:r>
          </w:p>
          <w:p w14:paraId="4AF5458A">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联合体投标的，除《联合体协议书》外，由联合体牵头人按以上要求签亲笔署名或签章（电子印章）即可。</w:t>
            </w:r>
          </w:p>
        </w:tc>
      </w:tr>
      <w:tr w14:paraId="2149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noWrap w:val="0"/>
            <w:vAlign w:val="center"/>
          </w:tcPr>
          <w:p w14:paraId="635B46C0">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1661" w:type="dxa"/>
            <w:noWrap w:val="0"/>
            <w:vAlign w:val="center"/>
          </w:tcPr>
          <w:p w14:paraId="05E214A3">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开标时间和地点</w:t>
            </w:r>
          </w:p>
        </w:tc>
        <w:tc>
          <w:tcPr>
            <w:tcW w:w="7285" w:type="dxa"/>
            <w:noWrap w:val="0"/>
            <w:vAlign w:val="center"/>
          </w:tcPr>
          <w:p w14:paraId="6982A44C">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见“</w:t>
            </w:r>
            <w:r>
              <w:rPr>
                <w:rFonts w:hint="eastAsia" w:ascii="宋体" w:hAnsi="宋体" w:eastAsia="宋体" w:cs="宋体"/>
                <w:b/>
                <w:bCs/>
                <w:color w:val="000000"/>
                <w:sz w:val="24"/>
                <w:szCs w:val="24"/>
                <w:highlight w:val="none"/>
              </w:rPr>
              <w:t>重要事项时间地点一览表</w:t>
            </w:r>
            <w:r>
              <w:rPr>
                <w:rFonts w:hint="eastAsia" w:ascii="宋体" w:hAnsi="宋体" w:eastAsia="宋体" w:cs="宋体"/>
                <w:color w:val="000000"/>
                <w:sz w:val="24"/>
                <w:szCs w:val="24"/>
                <w:highlight w:val="none"/>
              </w:rPr>
              <w:t>”</w:t>
            </w:r>
          </w:p>
        </w:tc>
      </w:tr>
      <w:tr w14:paraId="6FF2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68" w:type="dxa"/>
            <w:noWrap w:val="0"/>
            <w:vAlign w:val="center"/>
          </w:tcPr>
          <w:p w14:paraId="4F81306A">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6.1.1</w:t>
            </w:r>
          </w:p>
        </w:tc>
        <w:tc>
          <w:tcPr>
            <w:tcW w:w="1661" w:type="dxa"/>
            <w:noWrap w:val="0"/>
            <w:vAlign w:val="center"/>
          </w:tcPr>
          <w:p w14:paraId="179D1EB8">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评标委员会的组建</w:t>
            </w:r>
          </w:p>
        </w:tc>
        <w:tc>
          <w:tcPr>
            <w:tcW w:w="7285" w:type="dxa"/>
            <w:noWrap w:val="0"/>
            <w:vAlign w:val="center"/>
          </w:tcPr>
          <w:p w14:paraId="5A7E1D85">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评标委员会的构成：共7人（招标人代表 0 人，专家 7人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其中：经济类专家不少于2人）。</w:t>
            </w:r>
          </w:p>
          <w:p w14:paraId="675F2AE3">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评标专家确定方式：开标前招标人从</w:t>
            </w:r>
            <w:r>
              <w:rPr>
                <w:rFonts w:hint="eastAsia" w:ascii="宋体" w:hAnsi="宋体" w:eastAsia="宋体" w:cs="宋体"/>
                <w:b w:val="0"/>
                <w:bCs w:val="0"/>
                <w:color w:val="000000"/>
                <w:sz w:val="24"/>
                <w:szCs w:val="24"/>
                <w:highlight w:val="none"/>
              </w:rPr>
              <w:t>广东省综合评标评审专家库</w:t>
            </w:r>
            <w:r>
              <w:rPr>
                <w:rFonts w:hint="eastAsia" w:ascii="宋体" w:hAnsi="宋体" w:eastAsia="宋体" w:cs="宋体"/>
                <w:b w:val="0"/>
                <w:bCs w:val="0"/>
                <w:color w:val="000000"/>
                <w:sz w:val="24"/>
                <w:szCs w:val="24"/>
                <w:highlight w:val="none"/>
                <w:lang w:val="en-US" w:eastAsia="zh-CN"/>
              </w:rPr>
              <w:t>-韶关市区域中</w:t>
            </w:r>
            <w:r>
              <w:rPr>
                <w:rFonts w:hint="eastAsia" w:ascii="宋体" w:hAnsi="宋体" w:eastAsia="宋体" w:cs="宋体"/>
                <w:b w:val="0"/>
                <w:bCs w:val="0"/>
                <w:color w:val="000000"/>
                <w:sz w:val="24"/>
                <w:szCs w:val="24"/>
                <w:highlight w:val="none"/>
              </w:rPr>
              <w:t>随机抽取。</w:t>
            </w:r>
          </w:p>
        </w:tc>
      </w:tr>
      <w:tr w14:paraId="61B7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8" w:type="dxa"/>
            <w:noWrap w:val="0"/>
            <w:vAlign w:val="center"/>
          </w:tcPr>
          <w:p w14:paraId="6DFD0A0C">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1661" w:type="dxa"/>
            <w:noWrap w:val="0"/>
            <w:vAlign w:val="center"/>
          </w:tcPr>
          <w:p w14:paraId="0BF54B97">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w:t>
            </w:r>
          </w:p>
        </w:tc>
        <w:tc>
          <w:tcPr>
            <w:tcW w:w="7285" w:type="dxa"/>
            <w:noWrap w:val="0"/>
            <w:vAlign w:val="center"/>
          </w:tcPr>
          <w:p w14:paraId="31ABDEEC">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w:t>
            </w:r>
          </w:p>
        </w:tc>
      </w:tr>
      <w:tr w14:paraId="21CD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8" w:type="dxa"/>
            <w:noWrap w:val="0"/>
            <w:vAlign w:val="center"/>
          </w:tcPr>
          <w:p w14:paraId="5CE64FED">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8946" w:type="dxa"/>
            <w:gridSpan w:val="2"/>
            <w:noWrap w:val="0"/>
            <w:vAlign w:val="center"/>
          </w:tcPr>
          <w:p w14:paraId="6424B960">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需要补充的其他内容</w:t>
            </w:r>
          </w:p>
        </w:tc>
      </w:tr>
      <w:tr w14:paraId="4B00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68" w:type="dxa"/>
            <w:noWrap w:val="0"/>
            <w:vAlign w:val="center"/>
          </w:tcPr>
          <w:p w14:paraId="1E3BF2FB">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kern w:val="2"/>
                <w:sz w:val="24"/>
                <w:szCs w:val="24"/>
                <w:highlight w:val="none"/>
                <w:lang w:val="en-US" w:eastAsia="zh-CN" w:bidi="ar-SA"/>
              </w:rPr>
            </w:pPr>
            <w:bookmarkStart w:id="21" w:name="_Toc466542533"/>
            <w:bookmarkStart w:id="22" w:name="_Toc466542204"/>
            <w:r>
              <w:rPr>
                <w:rFonts w:hint="eastAsia" w:ascii="宋体" w:hAnsi="宋体" w:eastAsia="宋体" w:cs="宋体"/>
                <w:color w:val="000000"/>
                <w:sz w:val="24"/>
                <w:szCs w:val="24"/>
                <w:highlight w:val="none"/>
                <w:lang w:val="en-US" w:eastAsia="zh-CN"/>
              </w:rPr>
              <w:t>10.1</w:t>
            </w:r>
          </w:p>
        </w:tc>
        <w:tc>
          <w:tcPr>
            <w:tcW w:w="1661" w:type="dxa"/>
            <w:noWrap w:val="0"/>
            <w:vAlign w:val="center"/>
          </w:tcPr>
          <w:p w14:paraId="6D72E29D">
            <w:pPr>
              <w:keepNext w:val="0"/>
              <w:keepLines w:val="0"/>
              <w:pageBreakBefore w:val="0"/>
              <w:kinsoku/>
              <w:wordWrap/>
              <w:overflowPunct/>
              <w:topLinePunct w:val="0"/>
              <w:autoSpaceDE/>
              <w:autoSpaceDN/>
              <w:bidi w:val="0"/>
              <w:adjustRightInd w:val="0"/>
              <w:snapToGrid w:val="0"/>
              <w:spacing w:line="500" w:lineRule="exact"/>
              <w:jc w:val="center"/>
              <w:outlineLvl w:val="1"/>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sz w:val="24"/>
                <w:szCs w:val="24"/>
                <w:highlight w:val="none"/>
              </w:rPr>
              <w:t>中标后须提交的投标文件</w:t>
            </w:r>
          </w:p>
        </w:tc>
        <w:tc>
          <w:tcPr>
            <w:tcW w:w="7285" w:type="dxa"/>
            <w:noWrap w:val="0"/>
            <w:vAlign w:val="center"/>
          </w:tcPr>
          <w:p w14:paraId="5D298B2C">
            <w:pPr>
              <w:keepNext w:val="0"/>
              <w:keepLines w:val="0"/>
              <w:pageBreakBefore w:val="0"/>
              <w:kinsoku/>
              <w:wordWrap/>
              <w:overflowPunct/>
              <w:topLinePunct w:val="0"/>
              <w:autoSpaceDE/>
              <w:autoSpaceDN/>
              <w:bidi w:val="0"/>
              <w:adjustRightInd w:val="0"/>
              <w:snapToGrid w:val="0"/>
              <w:spacing w:line="500" w:lineRule="exact"/>
              <w:ind w:firstLine="480" w:firstLineChars="200"/>
              <w:outlineLvl w:val="1"/>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sz w:val="24"/>
                <w:szCs w:val="24"/>
                <w:highlight w:val="none"/>
              </w:rPr>
              <w:t>中标人自中标通知书发出之日起五个工作日内，提供与电子投标电子文档一致的正副本各1份的纸质版投标文件给招标人存档。</w:t>
            </w:r>
          </w:p>
        </w:tc>
      </w:tr>
      <w:tr w14:paraId="747A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8" w:type="dxa"/>
            <w:noWrap w:val="0"/>
            <w:vAlign w:val="center"/>
          </w:tcPr>
          <w:p w14:paraId="5D2081DC">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10.2</w:t>
            </w:r>
          </w:p>
        </w:tc>
        <w:tc>
          <w:tcPr>
            <w:tcW w:w="1661" w:type="dxa"/>
            <w:noWrap w:val="0"/>
            <w:vAlign w:val="center"/>
          </w:tcPr>
          <w:p w14:paraId="2ACD35C3">
            <w:pPr>
              <w:keepNext w:val="0"/>
              <w:keepLines w:val="0"/>
              <w:pageBreakBefore w:val="0"/>
              <w:kinsoku/>
              <w:wordWrap/>
              <w:overflowPunct/>
              <w:topLinePunct w:val="0"/>
              <w:autoSpaceDE/>
              <w:autoSpaceDN/>
              <w:bidi w:val="0"/>
              <w:adjustRightInd w:val="0"/>
              <w:snapToGrid w:val="0"/>
              <w:spacing w:line="500" w:lineRule="exact"/>
              <w:jc w:val="center"/>
              <w:outlineLvl w:val="1"/>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未尽事宜</w:t>
            </w:r>
          </w:p>
        </w:tc>
        <w:tc>
          <w:tcPr>
            <w:tcW w:w="7285" w:type="dxa"/>
            <w:noWrap w:val="0"/>
            <w:vAlign w:val="center"/>
          </w:tcPr>
          <w:p w14:paraId="169F3429">
            <w:pPr>
              <w:keepNext w:val="0"/>
              <w:keepLines w:val="0"/>
              <w:pageBreakBefore w:val="0"/>
              <w:kinsoku/>
              <w:wordWrap/>
              <w:overflowPunct/>
              <w:topLinePunct w:val="0"/>
              <w:autoSpaceDE/>
              <w:autoSpaceDN/>
              <w:bidi w:val="0"/>
              <w:adjustRightInd w:val="0"/>
              <w:snapToGrid w:val="0"/>
              <w:spacing w:line="500" w:lineRule="exact"/>
              <w:ind w:firstLine="480" w:firstLineChars="200"/>
              <w:outlineLvl w:val="1"/>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本招标文件未尽事宜按《中华人民共和国招标投标法》、《中华人民共和国招标投标法实施条例》、《广东省实施〈中华人民共和国招标投标法〉办法》及部门规章执。</w:t>
            </w:r>
          </w:p>
        </w:tc>
      </w:tr>
    </w:tbl>
    <w:p w14:paraId="0A632A66">
      <w:pPr>
        <w:pStyle w:val="5"/>
        <w:keepNext/>
        <w:keepLines/>
        <w:pageBreakBefore w:val="0"/>
        <w:widowControl w:val="0"/>
        <w:kinsoku/>
        <w:wordWrap/>
        <w:overflowPunct/>
        <w:topLinePunct w:val="0"/>
        <w:autoSpaceDE w:val="0"/>
        <w:autoSpaceDN w:val="0"/>
        <w:bidi w:val="0"/>
        <w:adjustRightInd w:val="0"/>
        <w:snapToGrid/>
        <w:spacing w:before="140" w:after="140" w:line="500" w:lineRule="exact"/>
        <w:textAlignment w:val="auto"/>
        <w:outlineLvl w:val="1"/>
        <w:rPr>
          <w:rStyle w:val="19"/>
          <w:rFonts w:hint="eastAsia" w:ascii="宋体" w:hAnsi="宋体" w:eastAsia="宋体" w:cs="宋体"/>
          <w:b/>
          <w:color w:val="000000"/>
        </w:rPr>
      </w:pPr>
      <w:r>
        <w:rPr>
          <w:rFonts w:hint="eastAsia" w:ascii="宋体" w:hAnsi="宋体" w:eastAsia="宋体" w:cs="宋体"/>
          <w:color w:val="000000"/>
          <w:highlight w:val="none"/>
        </w:rPr>
        <w:br w:type="page"/>
      </w:r>
      <w:bookmarkStart w:id="23" w:name="_Toc13355"/>
      <w:bookmarkStart w:id="24" w:name="_Toc31766"/>
      <w:r>
        <w:rPr>
          <w:rStyle w:val="19"/>
          <w:rFonts w:hint="eastAsia" w:ascii="宋体" w:hAnsi="宋体" w:eastAsia="宋体" w:cs="宋体"/>
          <w:b/>
          <w:color w:val="000000"/>
          <w:lang w:val="en-US"/>
        </w:rPr>
        <w:t>1.  总则</w:t>
      </w:r>
      <w:bookmarkEnd w:id="21"/>
      <w:bookmarkEnd w:id="22"/>
      <w:bookmarkEnd w:id="23"/>
      <w:bookmarkEnd w:id="24"/>
    </w:p>
    <w:p w14:paraId="02C3EE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25" w:name="_Toc12871"/>
      <w:r>
        <w:rPr>
          <w:rFonts w:hint="eastAsia" w:ascii="宋体" w:hAnsi="宋体" w:eastAsia="宋体" w:cs="宋体"/>
          <w:b/>
          <w:bCs/>
          <w:color w:val="000000"/>
          <w:sz w:val="24"/>
          <w:szCs w:val="32"/>
        </w:rPr>
        <w:t>1.1 项目概况</w:t>
      </w:r>
      <w:bookmarkEnd w:id="25"/>
    </w:p>
    <w:p w14:paraId="6FDA2C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1.1.1 根据《中华人民共和国招标投标法》、《中华人民共和国招标投标法实施条例》等有关法律、法规和规章的规定，本招标项目已具备招标条件，现对该项目</w:t>
      </w:r>
      <w:r>
        <w:rPr>
          <w:rFonts w:hint="eastAsia" w:ascii="宋体" w:hAnsi="宋体" w:eastAsia="宋体" w:cs="宋体"/>
          <w:color w:val="000000"/>
          <w:sz w:val="24"/>
          <w:szCs w:val="32"/>
          <w:lang w:val="en-US" w:eastAsia="zh-CN"/>
        </w:rPr>
        <w:t>勘察</w:t>
      </w:r>
      <w:r>
        <w:rPr>
          <w:rFonts w:hint="eastAsia" w:ascii="宋体" w:hAnsi="宋体" w:eastAsia="宋体" w:cs="宋体"/>
          <w:color w:val="000000"/>
          <w:sz w:val="24"/>
          <w:szCs w:val="32"/>
        </w:rPr>
        <w:t>设计招标。</w:t>
      </w:r>
    </w:p>
    <w:p w14:paraId="79133A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1.1.2  招标人：见投标人须知前附表。</w:t>
      </w:r>
    </w:p>
    <w:p w14:paraId="7BF561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1.1.3  招标代理机构：见投标人须知前附表。</w:t>
      </w:r>
    </w:p>
    <w:p w14:paraId="51C8B4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1.1.4  招标项目名称：见投标人须知前附表。</w:t>
      </w:r>
    </w:p>
    <w:p w14:paraId="3399D5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1.1.5  项目建设地点：见投标人须知前附表。</w:t>
      </w:r>
    </w:p>
    <w:p w14:paraId="35721C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26" w:name="_Toc22978"/>
      <w:r>
        <w:rPr>
          <w:rFonts w:hint="eastAsia" w:ascii="宋体" w:hAnsi="宋体" w:eastAsia="宋体" w:cs="宋体"/>
          <w:b/>
          <w:bCs/>
          <w:color w:val="000000"/>
          <w:sz w:val="24"/>
          <w:szCs w:val="32"/>
        </w:rPr>
        <w:t>1.2 项目的资金来源和落实情况</w:t>
      </w:r>
      <w:bookmarkEnd w:id="26"/>
    </w:p>
    <w:p w14:paraId="222175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1.2.1  资金来源及比例：见投标人须知前附表。</w:t>
      </w:r>
    </w:p>
    <w:p w14:paraId="64A521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1.2.2  资金落实情况：见投标人须知前附表。</w:t>
      </w:r>
    </w:p>
    <w:p w14:paraId="54C860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27" w:name="_Toc26809"/>
      <w:r>
        <w:rPr>
          <w:rFonts w:hint="eastAsia" w:ascii="宋体" w:hAnsi="宋体" w:eastAsia="宋体" w:cs="宋体"/>
          <w:b/>
          <w:bCs/>
          <w:color w:val="000000"/>
          <w:sz w:val="24"/>
          <w:szCs w:val="32"/>
        </w:rPr>
        <w:t>1.3 招标范围、计划工期和质量标准</w:t>
      </w:r>
      <w:bookmarkEnd w:id="27"/>
    </w:p>
    <w:p w14:paraId="18D46E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1.3.1  招标范围：见投标人须知前附表。</w:t>
      </w:r>
    </w:p>
    <w:p w14:paraId="3585C2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1.3.2  计划工期：见投标人须知前附表。</w:t>
      </w:r>
    </w:p>
    <w:p w14:paraId="1A357E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1.3.3  质量标准：见投标人须知前附表。</w:t>
      </w:r>
    </w:p>
    <w:p w14:paraId="6B41E3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28" w:name="_Toc29390"/>
      <w:r>
        <w:rPr>
          <w:rFonts w:hint="eastAsia" w:ascii="宋体" w:hAnsi="宋体" w:eastAsia="宋体" w:cs="宋体"/>
          <w:b/>
          <w:bCs/>
          <w:color w:val="000000"/>
          <w:sz w:val="24"/>
          <w:szCs w:val="32"/>
        </w:rPr>
        <w:t>1.4 投标人资格要求</w:t>
      </w:r>
      <w:bookmarkEnd w:id="28"/>
    </w:p>
    <w:p w14:paraId="022804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1.4.1  投标人应具备承担的资质条件、能力和信誉：见投标人须知前附表；</w:t>
      </w:r>
    </w:p>
    <w:p w14:paraId="40DF43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1.4.2  本工程接受</w:t>
      </w:r>
      <w:r>
        <w:rPr>
          <w:rFonts w:hint="eastAsia" w:ascii="宋体" w:hAnsi="宋体" w:eastAsia="宋体" w:cs="宋体"/>
          <w:color w:val="000000"/>
          <w:sz w:val="24"/>
          <w:szCs w:val="32"/>
          <w:lang w:eastAsia="zh-CN"/>
        </w:rPr>
        <w:t>不</w:t>
      </w:r>
      <w:r>
        <w:rPr>
          <w:rFonts w:hint="eastAsia" w:ascii="宋体" w:hAnsi="宋体" w:eastAsia="宋体" w:cs="宋体"/>
          <w:color w:val="000000"/>
          <w:sz w:val="24"/>
          <w:szCs w:val="32"/>
        </w:rPr>
        <w:t>联合体投标；</w:t>
      </w:r>
    </w:p>
    <w:p w14:paraId="06CDFF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1.4.3  投标人不得存在下列情形之一：</w:t>
      </w:r>
    </w:p>
    <w:p w14:paraId="14A4D1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（1）为招标人不具有独立法人资格的附属机构（单位）；</w:t>
      </w:r>
    </w:p>
    <w:p w14:paraId="674BCD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（2）为本招标项目的监理人；</w:t>
      </w:r>
    </w:p>
    <w:p w14:paraId="1F8E09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（3）为本招标项目的代建人；</w:t>
      </w:r>
    </w:p>
    <w:p w14:paraId="355425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（4）为本招标项目提供招标代理服务的；</w:t>
      </w:r>
    </w:p>
    <w:p w14:paraId="1AFD2F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（5）被责令停业的；</w:t>
      </w:r>
    </w:p>
    <w:p w14:paraId="2C15EF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（6）被暂停或取消投标资格的；</w:t>
      </w:r>
    </w:p>
    <w:p w14:paraId="12A252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（7）财产被接管或冻结的；</w:t>
      </w:r>
    </w:p>
    <w:p w14:paraId="1EA955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（8）与本招标项目的监理人或代建人或招标代理机构同为一个法定代表人的；</w:t>
      </w:r>
    </w:p>
    <w:p w14:paraId="6A20CD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（9）与本招标项目的监理人或代建人或招标代理机构相互控股或参股的；</w:t>
      </w:r>
    </w:p>
    <w:p w14:paraId="5A5CA2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（10）与本招标项目的监理人或代建人或招标代理机构相互任职或工作的；</w:t>
      </w:r>
    </w:p>
    <w:p w14:paraId="50A501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（11）在最近三年内有骗取中标或严重违约或重大工程质量问题的。</w:t>
      </w:r>
    </w:p>
    <w:p w14:paraId="4CCA5C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（12）法律法规规定的其他情形。</w:t>
      </w:r>
    </w:p>
    <w:p w14:paraId="3FB78C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1.4.4  单位负责人为同一人或者存在控股、管理关系的不同单位，不得同时参加本招标项目投标。</w:t>
      </w:r>
    </w:p>
    <w:p w14:paraId="08586A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29" w:name="_Toc6679"/>
      <w:r>
        <w:rPr>
          <w:rFonts w:hint="eastAsia" w:ascii="宋体" w:hAnsi="宋体" w:eastAsia="宋体" w:cs="宋体"/>
          <w:b/>
          <w:bCs/>
          <w:color w:val="000000"/>
          <w:sz w:val="24"/>
          <w:szCs w:val="32"/>
        </w:rPr>
        <w:t>1.5 费用承担和设计成果补偿</w:t>
      </w:r>
      <w:bookmarkEnd w:id="29"/>
    </w:p>
    <w:p w14:paraId="0BFE61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1.5.1  投标人准备和参加投标活动发生的费用自理。</w:t>
      </w:r>
    </w:p>
    <w:p w14:paraId="7B0B84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1.5.2  其它费用：见投标人须知前附表。</w:t>
      </w:r>
    </w:p>
    <w:p w14:paraId="5EE405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30" w:name="_Toc21586"/>
      <w:r>
        <w:rPr>
          <w:rFonts w:hint="eastAsia" w:ascii="宋体" w:hAnsi="宋体" w:eastAsia="宋体" w:cs="宋体"/>
          <w:b/>
          <w:bCs/>
          <w:color w:val="000000"/>
          <w:sz w:val="24"/>
          <w:szCs w:val="32"/>
        </w:rPr>
        <w:t>1.6 保密</w:t>
      </w:r>
      <w:bookmarkEnd w:id="30"/>
    </w:p>
    <w:p w14:paraId="6B4C9A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参与招标投标活动的各方应对招标文件和投标文件中的商业和技术等秘密保密，否则应承担相应的法律责任。</w:t>
      </w:r>
    </w:p>
    <w:p w14:paraId="65FA85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31" w:name="_Toc21325"/>
      <w:r>
        <w:rPr>
          <w:rFonts w:hint="eastAsia" w:ascii="宋体" w:hAnsi="宋体" w:eastAsia="宋体" w:cs="宋体"/>
          <w:b/>
          <w:bCs/>
          <w:color w:val="000000"/>
          <w:sz w:val="24"/>
          <w:szCs w:val="32"/>
        </w:rPr>
        <w:t>1.7 语言文字</w:t>
      </w:r>
      <w:bookmarkEnd w:id="31"/>
    </w:p>
    <w:p w14:paraId="7A5DD7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招标投标文件使用的语言文字为中文。专用术语使用外文的，应附有中文注释。</w:t>
      </w:r>
    </w:p>
    <w:p w14:paraId="0B22758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32" w:name="_Toc21385"/>
      <w:r>
        <w:rPr>
          <w:rFonts w:hint="eastAsia" w:ascii="宋体" w:hAnsi="宋体" w:eastAsia="宋体" w:cs="宋体"/>
          <w:b/>
          <w:bCs/>
          <w:color w:val="000000"/>
          <w:sz w:val="24"/>
          <w:szCs w:val="32"/>
        </w:rPr>
        <w:t>1.8 计量单位</w:t>
      </w:r>
      <w:bookmarkEnd w:id="32"/>
    </w:p>
    <w:p w14:paraId="1AD91C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所有计量均采用中华人民共和国法定计量单位。</w:t>
      </w:r>
    </w:p>
    <w:p w14:paraId="45E47A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33" w:name="_Toc2238"/>
      <w:r>
        <w:rPr>
          <w:rFonts w:hint="eastAsia" w:ascii="宋体" w:hAnsi="宋体" w:eastAsia="宋体" w:cs="宋体"/>
          <w:b/>
          <w:bCs/>
          <w:color w:val="000000"/>
          <w:sz w:val="24"/>
          <w:szCs w:val="32"/>
        </w:rPr>
        <w:t>1.9 踏勘现场</w:t>
      </w:r>
      <w:bookmarkEnd w:id="33"/>
    </w:p>
    <w:p w14:paraId="489019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1.9.1 本工程招标人不组织投标人踏勘现场，投标人应根据自身编制投标文件的需要自行踏勘项目现场。</w:t>
      </w:r>
    </w:p>
    <w:p w14:paraId="11D9EE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1.9.2 投标人踏勘现场发生的费用自理。</w:t>
      </w:r>
    </w:p>
    <w:p w14:paraId="182EFB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1.9.3 除招标人的原因外，投标人自行负责在踏勘现场中所发生的人员伤亡和财产损失。</w:t>
      </w:r>
    </w:p>
    <w:p w14:paraId="3CC69C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1.9.4 招标人提供的有关本工程的资料和数据，仅供投标人在编制投标文件时参考，招标人不对投标人据此作出的判断和决策负责。</w:t>
      </w:r>
    </w:p>
    <w:p w14:paraId="211ED1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34" w:name="_Toc32528"/>
      <w:r>
        <w:rPr>
          <w:rFonts w:hint="eastAsia" w:ascii="宋体" w:hAnsi="宋体" w:eastAsia="宋体" w:cs="宋体"/>
          <w:b/>
          <w:bCs/>
          <w:color w:val="000000"/>
          <w:sz w:val="24"/>
          <w:szCs w:val="32"/>
        </w:rPr>
        <w:t>1.10</w:t>
      </w:r>
      <w:r>
        <w:rPr>
          <w:rFonts w:hint="eastAsia" w:ascii="宋体" w:hAnsi="宋体" w:eastAsia="宋体" w:cs="宋体"/>
          <w:b/>
          <w:bCs/>
          <w:color w:val="000000"/>
          <w:sz w:val="24"/>
          <w:szCs w:val="32"/>
          <w:lang w:val="en-US" w:eastAsia="zh-CN"/>
        </w:rPr>
        <w:t xml:space="preserve"> </w:t>
      </w:r>
      <w:r>
        <w:rPr>
          <w:rFonts w:hint="eastAsia" w:ascii="宋体" w:hAnsi="宋体" w:eastAsia="宋体" w:cs="宋体"/>
          <w:b/>
          <w:bCs/>
          <w:color w:val="000000"/>
          <w:sz w:val="24"/>
          <w:szCs w:val="32"/>
        </w:rPr>
        <w:t>投标预备会</w:t>
      </w:r>
      <w:bookmarkEnd w:id="34"/>
    </w:p>
    <w:p w14:paraId="6FDA5C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见投标人须知前附表。</w:t>
      </w:r>
    </w:p>
    <w:p w14:paraId="0F4CF8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35" w:name="_Toc29496"/>
      <w:r>
        <w:rPr>
          <w:rFonts w:hint="eastAsia" w:ascii="宋体" w:hAnsi="宋体" w:eastAsia="宋体" w:cs="宋体"/>
          <w:b/>
          <w:bCs/>
          <w:color w:val="000000"/>
          <w:sz w:val="24"/>
          <w:szCs w:val="32"/>
        </w:rPr>
        <w:t>1.11 分包</w:t>
      </w:r>
      <w:bookmarkEnd w:id="35"/>
    </w:p>
    <w:p w14:paraId="3D933C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见投标人须知前附表。</w:t>
      </w:r>
    </w:p>
    <w:p w14:paraId="380DDE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36" w:name="_Toc1692"/>
      <w:r>
        <w:rPr>
          <w:rFonts w:hint="eastAsia" w:ascii="宋体" w:hAnsi="宋体" w:eastAsia="宋体" w:cs="宋体"/>
          <w:b/>
          <w:bCs/>
          <w:color w:val="000000"/>
          <w:sz w:val="24"/>
          <w:szCs w:val="32"/>
        </w:rPr>
        <w:t>1.12偏离</w:t>
      </w:r>
      <w:bookmarkEnd w:id="36"/>
    </w:p>
    <w:p w14:paraId="102C90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    投标人须知前附表允许投标文件偏离招标文件某些要求的，偏离应当符合招标文件规定的偏离范围和幅度。</w:t>
      </w:r>
    </w:p>
    <w:p w14:paraId="7A082319">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37" w:name="_Toc9010"/>
      <w:bookmarkStart w:id="38" w:name="_Toc466542534"/>
      <w:bookmarkStart w:id="39" w:name="_Toc466542205"/>
      <w:bookmarkStart w:id="40" w:name="_Toc12033"/>
      <w:r>
        <w:rPr>
          <w:rFonts w:hint="eastAsia" w:ascii="宋体" w:hAnsi="宋体" w:eastAsia="宋体" w:cs="宋体"/>
          <w:color w:val="000000"/>
          <w:lang w:val="en-US"/>
        </w:rPr>
        <w:t>2. 招标文件</w:t>
      </w:r>
      <w:bookmarkEnd w:id="37"/>
      <w:bookmarkEnd w:id="38"/>
      <w:bookmarkEnd w:id="39"/>
      <w:bookmarkEnd w:id="40"/>
    </w:p>
    <w:p w14:paraId="183BF2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41" w:name="_Toc17776"/>
      <w:r>
        <w:rPr>
          <w:rFonts w:hint="eastAsia" w:ascii="宋体" w:hAnsi="宋体" w:eastAsia="宋体" w:cs="宋体"/>
          <w:b/>
          <w:bCs/>
          <w:color w:val="000000"/>
          <w:sz w:val="24"/>
          <w:szCs w:val="32"/>
        </w:rPr>
        <w:t>2.1  招标文件的组成</w:t>
      </w:r>
      <w:bookmarkEnd w:id="41"/>
    </w:p>
    <w:p w14:paraId="5BED59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招标文件由下列文件组成：</w:t>
      </w:r>
    </w:p>
    <w:p w14:paraId="0FC1BC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第一章   招标公告 </w:t>
      </w:r>
    </w:p>
    <w:p w14:paraId="135672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第二章   投标</w:t>
      </w:r>
      <w:r>
        <w:rPr>
          <w:rFonts w:hint="eastAsia" w:ascii="宋体" w:hAnsi="宋体" w:eastAsia="宋体" w:cs="宋体"/>
          <w:color w:val="000000"/>
          <w:sz w:val="24"/>
          <w:szCs w:val="32"/>
          <w:lang w:val="en-US" w:eastAsia="zh-CN"/>
        </w:rPr>
        <w:t>人</w:t>
      </w:r>
      <w:r>
        <w:rPr>
          <w:rFonts w:hint="eastAsia" w:ascii="宋体" w:hAnsi="宋体" w:eastAsia="宋体" w:cs="宋体"/>
          <w:color w:val="000000"/>
          <w:sz w:val="24"/>
          <w:szCs w:val="32"/>
        </w:rPr>
        <w:t>须知</w:t>
      </w:r>
    </w:p>
    <w:p w14:paraId="55EFD4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第三章   评标办法</w:t>
      </w:r>
    </w:p>
    <w:p w14:paraId="1D8FA8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第四章   合同条款及格式</w:t>
      </w:r>
    </w:p>
    <w:p w14:paraId="4E50E1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第五章   技术标准及规范</w:t>
      </w:r>
    </w:p>
    <w:p w14:paraId="06D94D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第六章   投标文件格式</w:t>
      </w:r>
    </w:p>
    <w:p w14:paraId="00F1A7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投标人应认真阅读招标文件，并按招标文件的要求认真编写投标文件。若投标文件不符合招标文件的规定和要求，投标人应自行负责。未实质性响应招标文件的投标文件将被拒绝，根据本章第2.2款和第2.3款对招标文件所作的澄清、修改，构成招标文件的组成部分。</w:t>
      </w:r>
    </w:p>
    <w:p w14:paraId="58EBCD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42" w:name="_Toc11370"/>
      <w:r>
        <w:rPr>
          <w:rFonts w:hint="eastAsia" w:ascii="宋体" w:hAnsi="宋体" w:eastAsia="宋体" w:cs="宋体"/>
          <w:b/>
          <w:bCs/>
          <w:color w:val="000000"/>
          <w:sz w:val="24"/>
          <w:szCs w:val="32"/>
        </w:rPr>
        <w:t>2.2 招标文件的澄清</w:t>
      </w:r>
      <w:bookmarkEnd w:id="42"/>
    </w:p>
    <w:p w14:paraId="76129E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2.2.1 投标人应仔细阅读和检查招标文件的全部内容。如发现缺页或附件不全，应及时向招标人提出，以便补齐。如有疑问，投标人对招标文件的质疑应在招标文件规定的质疑截止时间前以不署名的书面形式在全国公共资源交易平台（广东省·韶关市）（https://ygp.gdzwfw.gov.cn/ggzy-portal/#/440200/index）工程交易系统提出。</w:t>
      </w:r>
    </w:p>
    <w:p w14:paraId="5D0042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2.2.2招标文件的澄清将在招标文件规定的招标答疑截止时间前发布于全国公共资源交易平台（广东省·韶关市）</w:t>
      </w:r>
    </w:p>
    <w:p w14:paraId="1BD4F0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（https://ygp.gdzwfw.gov.cn/ggzy-portal/#/440200/index），但不说明问题的来源。如果澄清发出的时间在招标文件规定的招标答疑截止时间之后，相应延长投标截止时间。</w:t>
      </w:r>
    </w:p>
    <w:p w14:paraId="2E45F6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2.2.3澄清一旦网上发布，即视为已通知给所有投标人。若由于投标人自身原因未及时获得补遗文件，由此发生的任何责任由投标人自负。</w:t>
      </w:r>
    </w:p>
    <w:p w14:paraId="3B63BC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43" w:name="_Toc11592"/>
      <w:r>
        <w:rPr>
          <w:rFonts w:hint="eastAsia" w:ascii="宋体" w:hAnsi="宋体" w:eastAsia="宋体" w:cs="宋体"/>
          <w:b/>
          <w:bCs/>
          <w:color w:val="000000"/>
          <w:sz w:val="24"/>
          <w:szCs w:val="32"/>
        </w:rPr>
        <w:t>2.3 招标文件的修改</w:t>
      </w:r>
      <w:bookmarkEnd w:id="43"/>
    </w:p>
    <w:p w14:paraId="4C58AA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bookmarkStart w:id="44" w:name="_Toc466542206"/>
      <w:bookmarkStart w:id="45" w:name="_Toc466542535"/>
      <w:r>
        <w:rPr>
          <w:rFonts w:hint="eastAsia" w:ascii="宋体" w:hAnsi="宋体" w:eastAsia="宋体" w:cs="宋体"/>
          <w:color w:val="000000"/>
          <w:sz w:val="24"/>
          <w:szCs w:val="32"/>
        </w:rPr>
        <w:t xml:space="preserve">2.3.1 招标人以网上质疑形式修改招标文件。修改招标文件的时间距投标人须知前附表规定的投标截止时间不足15天的，并且澄清内容影响投标文件编制的，将相应延长投标截止时间。 </w:t>
      </w:r>
    </w:p>
    <w:p w14:paraId="2D499E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2.3.2上述发布的补充通知将作为招标文件的组成部分。</w:t>
      </w:r>
    </w:p>
    <w:p w14:paraId="4CD960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2.3.3修改一旦网上发布，即视为已通知给所有投标人。</w:t>
      </w:r>
    </w:p>
    <w:p w14:paraId="6422F665">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46" w:name="_Toc2664"/>
      <w:bookmarkStart w:id="47" w:name="_Toc12766"/>
      <w:r>
        <w:rPr>
          <w:rFonts w:hint="eastAsia" w:ascii="宋体" w:hAnsi="宋体" w:eastAsia="宋体" w:cs="宋体"/>
          <w:color w:val="000000"/>
          <w:lang w:val="en-US"/>
        </w:rPr>
        <w:t>3. 投标文件</w:t>
      </w:r>
      <w:bookmarkEnd w:id="44"/>
      <w:bookmarkEnd w:id="45"/>
      <w:bookmarkEnd w:id="46"/>
      <w:bookmarkEnd w:id="47"/>
    </w:p>
    <w:p w14:paraId="09EB59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48" w:name="_Toc32212"/>
      <w:r>
        <w:rPr>
          <w:rFonts w:hint="eastAsia" w:ascii="宋体" w:hAnsi="宋体" w:eastAsia="宋体" w:cs="宋体"/>
          <w:b/>
          <w:bCs/>
          <w:color w:val="000000"/>
          <w:sz w:val="24"/>
          <w:szCs w:val="32"/>
        </w:rPr>
        <w:t>3.1 投标文件的组成</w:t>
      </w:r>
      <w:bookmarkEnd w:id="48"/>
    </w:p>
    <w:p w14:paraId="095F08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3.1.1 投标文件应包括下列内容：</w:t>
      </w:r>
    </w:p>
    <w:p w14:paraId="24D628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本项目招标采用网上电子投标的形式进行，投标单位没有成功进行网上电子投标，则按无效标处理。投标文件包含投标报价书、商务标书及技术标书，投标人应当使用本招标文件提供的投标文件表式，表式可以按同样格式进行扩展。</w:t>
      </w:r>
    </w:p>
    <w:p w14:paraId="4AFF81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3.1.1.1投标报价书包含投标报价书（详见第六章投标文件格式---格式1）。</w:t>
      </w:r>
    </w:p>
    <w:p w14:paraId="7EAE05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3.1.1.2 商务标书应包含但不限于以下内容（详见第六章投标文件格式---格式2）：</w:t>
      </w:r>
    </w:p>
    <w:p w14:paraId="0900AF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一、投标函</w:t>
      </w:r>
    </w:p>
    <w:p w14:paraId="5E4769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二、法定代表人证明书</w:t>
      </w:r>
    </w:p>
    <w:p w14:paraId="05102A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三、授权委托书</w:t>
      </w:r>
    </w:p>
    <w:p w14:paraId="7DE838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四、资格审查资料</w:t>
      </w:r>
    </w:p>
    <w:p w14:paraId="36928D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五、缴纳投标保证的凭证</w:t>
      </w:r>
    </w:p>
    <w:p w14:paraId="4701FC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六、投标辅助资料</w:t>
      </w:r>
    </w:p>
    <w:p w14:paraId="3C6F5B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七、其他材料</w:t>
      </w:r>
    </w:p>
    <w:p w14:paraId="444AC9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3.1.1.3技术标书包含: 技术部分（详见第六章投标文件格式---格式3）</w:t>
      </w:r>
    </w:p>
    <w:p w14:paraId="3E6C03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一、项目设计重点、难点分析</w:t>
      </w:r>
    </w:p>
    <w:p w14:paraId="35051D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二、勘察设计大纲</w:t>
      </w:r>
    </w:p>
    <w:p w14:paraId="5551B8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三、</w:t>
      </w:r>
      <w:r>
        <w:rPr>
          <w:rFonts w:hint="eastAsia" w:ascii="宋体" w:hAnsi="宋体" w:eastAsia="宋体" w:cs="宋体"/>
          <w:color w:val="000000"/>
          <w:sz w:val="24"/>
          <w:szCs w:val="32"/>
          <w:lang w:val="en-US" w:eastAsia="zh-CN"/>
        </w:rPr>
        <w:t>质量和进度保证措施</w:t>
      </w:r>
    </w:p>
    <w:p w14:paraId="64633A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四、项目组织管理</w:t>
      </w:r>
    </w:p>
    <w:p w14:paraId="4097B6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49" w:name="_Toc6932"/>
      <w:r>
        <w:rPr>
          <w:rFonts w:hint="eastAsia" w:ascii="宋体" w:hAnsi="宋体" w:eastAsia="宋体" w:cs="宋体"/>
          <w:b/>
          <w:bCs/>
          <w:color w:val="000000"/>
          <w:sz w:val="24"/>
          <w:szCs w:val="32"/>
        </w:rPr>
        <w:t>3.2 投标报价</w:t>
      </w:r>
      <w:bookmarkEnd w:id="49"/>
    </w:p>
    <w:p w14:paraId="5AC8A1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3.2.1 投标人应按第六章“投标文件格式”的要求填写投标</w:t>
      </w:r>
      <w:r>
        <w:rPr>
          <w:rFonts w:hint="eastAsia" w:ascii="宋体" w:hAnsi="宋体" w:eastAsia="宋体" w:cs="宋体"/>
          <w:color w:val="000000"/>
          <w:sz w:val="24"/>
          <w:szCs w:val="32"/>
          <w:lang w:val="en-US" w:eastAsia="zh-CN"/>
        </w:rPr>
        <w:t>报价书</w:t>
      </w:r>
      <w:r>
        <w:rPr>
          <w:rFonts w:hint="eastAsia" w:ascii="宋体" w:hAnsi="宋体" w:eastAsia="宋体" w:cs="宋体"/>
          <w:color w:val="000000"/>
          <w:sz w:val="24"/>
          <w:szCs w:val="32"/>
        </w:rPr>
        <w:t>。</w:t>
      </w:r>
    </w:p>
    <w:p w14:paraId="13F261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3.2.2本项目采用下浮率方式进行报价，有效投标报价下浮率≥0.000%，保留至小数点后</w:t>
      </w:r>
      <w:r>
        <w:rPr>
          <w:rFonts w:hint="eastAsia" w:ascii="宋体" w:hAnsi="宋体" w:eastAsia="宋体" w:cs="宋体"/>
          <w:color w:val="000000"/>
          <w:sz w:val="24"/>
          <w:szCs w:val="32"/>
          <w:lang w:eastAsia="zh-CN"/>
        </w:rPr>
        <w:t>3</w:t>
      </w:r>
      <w:r>
        <w:rPr>
          <w:rFonts w:hint="eastAsia" w:ascii="宋体" w:hAnsi="宋体" w:eastAsia="宋体" w:cs="宋体"/>
          <w:color w:val="000000"/>
          <w:sz w:val="24"/>
          <w:szCs w:val="32"/>
        </w:rPr>
        <w:t>位，不在此范围内的投标报价均为无效投标报价。投标人的投标报价包括所有税收、单位应交的保险、应承担的风险及应提供的服务等，招标人不再为本合同范围内的工作支付额外的费用。如果投标人的投标报价下浮率高于15%时，投标人必须在投标文件中作出详细合理的书面说明并提供以往类似项目详细成本分析报告供评标委员会审查。</w:t>
      </w:r>
    </w:p>
    <w:p w14:paraId="34CE79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3.2.3本项目的最高限价见投标人须知前附表。</w:t>
      </w:r>
    </w:p>
    <w:p w14:paraId="3E9FD5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50" w:name="_Toc21768"/>
      <w:r>
        <w:rPr>
          <w:rFonts w:hint="eastAsia" w:ascii="宋体" w:hAnsi="宋体" w:eastAsia="宋体" w:cs="宋体"/>
          <w:b/>
          <w:bCs/>
          <w:color w:val="000000"/>
          <w:sz w:val="24"/>
          <w:szCs w:val="32"/>
        </w:rPr>
        <w:t>3.3 投标有效期</w:t>
      </w:r>
      <w:bookmarkEnd w:id="50"/>
    </w:p>
    <w:p w14:paraId="4F3973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3.3.1 从投标截止时间算起 90天。</w:t>
      </w:r>
    </w:p>
    <w:p w14:paraId="0F6004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3.3.2 在投标有效期内，投标人撤销或修改其投标文件的，应承担招标文件和法律规定的责任。</w:t>
      </w:r>
    </w:p>
    <w:p w14:paraId="586D6F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3.2.3发包人认为有必要时可在全国公共资源交易平台（广东省·韶关市）（https://ygp.gdzwfw.gov.cn/ggzy-portal/#/440200/index）发布通知要求投标人延长投标文件的有效期，同时相应延长投标保证金的有效期，在延长期内，第3.4条仍适用。</w:t>
      </w:r>
    </w:p>
    <w:p w14:paraId="3121F5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51" w:name="_Toc2180"/>
      <w:r>
        <w:rPr>
          <w:rFonts w:hint="eastAsia" w:ascii="宋体" w:hAnsi="宋体" w:eastAsia="宋体" w:cs="宋体"/>
          <w:b/>
          <w:bCs/>
          <w:color w:val="000000"/>
          <w:sz w:val="24"/>
          <w:szCs w:val="32"/>
        </w:rPr>
        <w:t>3.4 投标保证金</w:t>
      </w:r>
      <w:bookmarkEnd w:id="51"/>
    </w:p>
    <w:p w14:paraId="4C0510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3.4.1投标人应按投标人须知前附表规定递交投标保证。</w:t>
      </w:r>
    </w:p>
    <w:p w14:paraId="7A1C8A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3.4.2 待中标公示结束且无异议后，投标项目保证金由建设工程交易系统自动退回。如建设工程交易系统关于投标保证的退回有新规定的，则按新规定执行。</w:t>
      </w:r>
    </w:p>
    <w:p w14:paraId="413D6B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3.4.3 投标人不按本章第3.4.1项要求提交投标保证的，其投标文件作无效标书处理。</w:t>
      </w:r>
    </w:p>
    <w:p w14:paraId="1913F4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3.4.4 有下列情形之一的，投标保证将不予退还：</w:t>
      </w:r>
    </w:p>
    <w:p w14:paraId="20D18C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（1）投标人在规定的投标有效期内撤销或修改其投标文件；</w:t>
      </w:r>
    </w:p>
    <w:p w14:paraId="0C2FE8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（2）中标人在收到中标通知书后，无正当理由拒签合同协议书。</w:t>
      </w:r>
    </w:p>
    <w:p w14:paraId="24C6E1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52" w:name="_Toc18105"/>
      <w:r>
        <w:rPr>
          <w:rFonts w:hint="eastAsia" w:ascii="宋体" w:hAnsi="宋体" w:eastAsia="宋体" w:cs="宋体"/>
          <w:b/>
          <w:bCs/>
          <w:color w:val="000000"/>
          <w:sz w:val="24"/>
          <w:szCs w:val="32"/>
        </w:rPr>
        <w:t>3.5 资格审查资料</w:t>
      </w:r>
      <w:bookmarkEnd w:id="52"/>
    </w:p>
    <w:p w14:paraId="1FE5E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3.5.1 投标人应按投标人须知前附表1.4.1的规定提供证明材料</w:t>
      </w:r>
      <w:r>
        <w:rPr>
          <w:rFonts w:hint="eastAsia" w:ascii="宋体" w:hAnsi="宋体" w:eastAsia="宋体" w:cs="宋体"/>
          <w:b/>
          <w:bCs/>
          <w:color w:val="000000"/>
          <w:sz w:val="24"/>
          <w:szCs w:val="32"/>
        </w:rPr>
        <w:t>彩色扫描件</w:t>
      </w:r>
      <w:r>
        <w:rPr>
          <w:rFonts w:hint="eastAsia" w:ascii="宋体" w:hAnsi="宋体" w:eastAsia="宋体" w:cs="宋体"/>
          <w:color w:val="000000"/>
          <w:sz w:val="24"/>
          <w:szCs w:val="32"/>
        </w:rPr>
        <w:t>。</w:t>
      </w:r>
    </w:p>
    <w:p w14:paraId="61D902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3.5.2本次招标接受联合体投标。</w:t>
      </w:r>
    </w:p>
    <w:p w14:paraId="5EC29D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3.5.3本次招标实行资格后审，资格审查的具体要求见招标文件，资格后审不合格的投标人的投标文件将否决其投标。</w:t>
      </w:r>
    </w:p>
    <w:p w14:paraId="36335E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53" w:name="_Toc19469"/>
      <w:r>
        <w:rPr>
          <w:rFonts w:hint="eastAsia" w:ascii="宋体" w:hAnsi="宋体" w:eastAsia="宋体" w:cs="宋体"/>
          <w:b/>
          <w:bCs/>
          <w:color w:val="000000"/>
          <w:sz w:val="24"/>
          <w:szCs w:val="32"/>
        </w:rPr>
        <w:t>3.6 备选投标方案</w:t>
      </w:r>
      <w:bookmarkEnd w:id="53"/>
    </w:p>
    <w:p w14:paraId="494671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招标人不接受备选投标方案。</w:t>
      </w:r>
    </w:p>
    <w:p w14:paraId="128117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54" w:name="_Toc24168"/>
      <w:r>
        <w:rPr>
          <w:rFonts w:hint="eastAsia" w:ascii="宋体" w:hAnsi="宋体" w:eastAsia="宋体" w:cs="宋体"/>
          <w:b/>
          <w:bCs/>
          <w:color w:val="000000"/>
          <w:sz w:val="24"/>
          <w:szCs w:val="32"/>
        </w:rPr>
        <w:t>3.7 投标文件的编制</w:t>
      </w:r>
      <w:bookmarkEnd w:id="54"/>
    </w:p>
    <w:p w14:paraId="4280DB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3.7.1 投标文件应按第六章“投标文件格式”进行编写，如有必要，可以增加附页，作为投标文件的组成部分。</w:t>
      </w:r>
    </w:p>
    <w:p w14:paraId="062DF4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3.7.2投标文件包括第一册（投标报价书）、第二册（商务标书）和第三册（技术标书）三个分册。投标文件全部采用电子文档，投标文件所附证书证件均为</w:t>
      </w:r>
      <w:r>
        <w:rPr>
          <w:rFonts w:hint="eastAsia" w:ascii="宋体" w:hAnsi="宋体" w:eastAsia="宋体" w:cs="宋体"/>
          <w:b/>
          <w:bCs/>
          <w:color w:val="000000"/>
          <w:sz w:val="24"/>
          <w:szCs w:val="32"/>
        </w:rPr>
        <w:t>原件</w:t>
      </w:r>
      <w:r>
        <w:rPr>
          <w:rFonts w:hint="eastAsia" w:ascii="宋体" w:hAnsi="宋体" w:eastAsia="宋体" w:cs="宋体"/>
          <w:b/>
          <w:bCs/>
          <w:color w:val="000000"/>
          <w:sz w:val="24"/>
          <w:szCs w:val="32"/>
          <w:lang w:val="en-US" w:eastAsia="zh-CN"/>
        </w:rPr>
        <w:t>彩色</w:t>
      </w:r>
      <w:r>
        <w:rPr>
          <w:rFonts w:hint="eastAsia" w:ascii="宋体" w:hAnsi="宋体" w:eastAsia="宋体" w:cs="宋体"/>
          <w:b/>
          <w:bCs/>
          <w:color w:val="000000"/>
          <w:sz w:val="24"/>
          <w:szCs w:val="32"/>
        </w:rPr>
        <w:t>扫描件</w:t>
      </w:r>
      <w:r>
        <w:rPr>
          <w:rFonts w:hint="eastAsia" w:ascii="宋体" w:hAnsi="宋体" w:eastAsia="宋体" w:cs="宋体"/>
          <w:color w:val="000000"/>
          <w:sz w:val="24"/>
          <w:szCs w:val="32"/>
        </w:rPr>
        <w:t>，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67EA06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投标文件需按以下要求签字、盖章：</w:t>
      </w:r>
    </w:p>
    <w:p w14:paraId="6E9D99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3.7.2</w:t>
      </w:r>
      <w:r>
        <w:rPr>
          <w:rFonts w:hint="eastAsia" w:ascii="宋体" w:hAnsi="宋体" w:eastAsia="宋体" w:cs="宋体"/>
          <w:color w:val="000000"/>
          <w:sz w:val="24"/>
          <w:szCs w:val="32"/>
        </w:rPr>
        <w:t>.1 投标文件封面、组成内容中凡注明“签字”处由要求的人员签字或电子签章；凡注明“签字或盖章”处由要求的人员签字或盖其私章（电子印章）；凡注明“签字并盖执业印章”处由要求的人员签字并盖其执业印章。</w:t>
      </w:r>
    </w:p>
    <w:p w14:paraId="16B6C5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3.7.2</w:t>
      </w:r>
      <w:r>
        <w:rPr>
          <w:rFonts w:hint="eastAsia" w:ascii="宋体" w:hAnsi="宋体" w:eastAsia="宋体" w:cs="宋体"/>
          <w:color w:val="000000"/>
          <w:sz w:val="24"/>
          <w:szCs w:val="32"/>
        </w:rPr>
        <w:t>.2 投标文件封套、封面、组成内容中凡要求录入投标人名称且注明“盖单位章”处盖单位法人公章（电子印章）。</w:t>
      </w:r>
    </w:p>
    <w:p w14:paraId="4C74F6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3.7.2</w:t>
      </w:r>
      <w:r>
        <w:rPr>
          <w:rFonts w:hint="eastAsia" w:ascii="宋体" w:hAnsi="宋体" w:eastAsia="宋体" w:cs="宋体"/>
          <w:color w:val="000000"/>
          <w:sz w:val="24"/>
          <w:szCs w:val="32"/>
        </w:rPr>
        <w:t>.3 投标文件的签字均为签字人本人亲笔署名或签章（电子印章），其余部分的扫描件无须另行签字、盖章。</w:t>
      </w:r>
    </w:p>
    <w:p w14:paraId="61E1A8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3.7.2</w:t>
      </w:r>
      <w:r>
        <w:rPr>
          <w:rFonts w:hint="eastAsia" w:ascii="宋体" w:hAnsi="宋体" w:eastAsia="宋体" w:cs="宋体"/>
          <w:color w:val="000000"/>
          <w:sz w:val="24"/>
          <w:szCs w:val="32"/>
        </w:rPr>
        <w:t>.4 联合体投标的，除《联合体协议书》外，由联合体牵头人按以上要求签亲笔署名或签章（电子印章）即可。</w:t>
      </w:r>
    </w:p>
    <w:p w14:paraId="33DAB7EA">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55" w:name="_Toc31767"/>
      <w:bookmarkStart w:id="56" w:name="_Toc466542207"/>
      <w:bookmarkStart w:id="57" w:name="_Toc466542536"/>
      <w:bookmarkStart w:id="58" w:name="_Toc12247"/>
      <w:r>
        <w:rPr>
          <w:rFonts w:hint="eastAsia" w:ascii="宋体" w:hAnsi="宋体" w:eastAsia="宋体" w:cs="宋体"/>
          <w:color w:val="000000"/>
          <w:lang w:val="en-US"/>
        </w:rPr>
        <w:t>4  投标</w:t>
      </w:r>
      <w:bookmarkEnd w:id="55"/>
      <w:bookmarkEnd w:id="56"/>
      <w:bookmarkEnd w:id="57"/>
      <w:bookmarkEnd w:id="58"/>
      <w:r>
        <w:rPr>
          <w:rFonts w:hint="eastAsia" w:ascii="宋体" w:hAnsi="宋体" w:eastAsia="宋体" w:cs="宋体"/>
          <w:color w:val="000000"/>
          <w:lang w:val="en-US"/>
        </w:rPr>
        <w:t xml:space="preserve"> </w:t>
      </w:r>
    </w:p>
    <w:p w14:paraId="6FA428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59" w:name="_Toc17454"/>
      <w:r>
        <w:rPr>
          <w:rFonts w:hint="eastAsia" w:ascii="宋体" w:hAnsi="宋体" w:eastAsia="宋体" w:cs="宋体"/>
          <w:b/>
          <w:bCs/>
          <w:color w:val="000000"/>
          <w:sz w:val="24"/>
          <w:szCs w:val="32"/>
        </w:rPr>
        <w:t>4.1 电子投标</w:t>
      </w:r>
      <w:bookmarkEnd w:id="59"/>
    </w:p>
    <w:p w14:paraId="45BAC8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3CE802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60" w:name="_Toc21621"/>
      <w:r>
        <w:rPr>
          <w:rFonts w:hint="eastAsia" w:ascii="宋体" w:hAnsi="宋体" w:eastAsia="宋体" w:cs="宋体"/>
          <w:b/>
          <w:bCs/>
          <w:color w:val="000000"/>
          <w:sz w:val="24"/>
          <w:szCs w:val="32"/>
        </w:rPr>
        <w:t>4.2 电子投标文件的修改、撤回</w:t>
      </w:r>
      <w:bookmarkEnd w:id="60"/>
    </w:p>
    <w:p w14:paraId="3A5924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0FFC2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61" w:name="_Toc17946"/>
      <w:r>
        <w:rPr>
          <w:rFonts w:hint="eastAsia" w:ascii="宋体" w:hAnsi="宋体" w:eastAsia="宋体" w:cs="宋体"/>
          <w:b/>
          <w:bCs/>
          <w:color w:val="000000"/>
          <w:sz w:val="24"/>
          <w:szCs w:val="32"/>
        </w:rPr>
        <w:t>4.3 投标文件的</w:t>
      </w:r>
      <w:r>
        <w:rPr>
          <w:rFonts w:hint="eastAsia" w:ascii="宋体" w:hAnsi="宋体" w:eastAsia="宋体" w:cs="宋体"/>
          <w:b/>
          <w:bCs/>
          <w:color w:val="000000"/>
          <w:sz w:val="24"/>
          <w:szCs w:val="32"/>
          <w:lang w:val="en-US" w:eastAsia="zh-CN"/>
        </w:rPr>
        <w:t>提</w:t>
      </w:r>
      <w:r>
        <w:rPr>
          <w:rFonts w:hint="eastAsia" w:ascii="宋体" w:hAnsi="宋体" w:eastAsia="宋体" w:cs="宋体"/>
          <w:b/>
          <w:bCs/>
          <w:color w:val="000000"/>
          <w:sz w:val="24"/>
          <w:szCs w:val="32"/>
        </w:rPr>
        <w:t>交</w:t>
      </w:r>
      <w:bookmarkEnd w:id="61"/>
    </w:p>
    <w:p w14:paraId="1B286D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bookmarkStart w:id="62" w:name="_Toc466542537"/>
      <w:bookmarkStart w:id="63" w:name="_Toc466542208"/>
      <w:r>
        <w:rPr>
          <w:rFonts w:hint="eastAsia" w:ascii="宋体" w:hAnsi="宋体" w:eastAsia="宋体" w:cs="宋体"/>
          <w:color w:val="000000"/>
          <w:sz w:val="24"/>
          <w:szCs w:val="32"/>
          <w:lang w:val="en-US" w:eastAsia="zh-CN"/>
        </w:rPr>
        <w:t>本次招标实行电子投标。投标人必须在规定的截止时间前使用交易系统完成缴纳投标保证和全流程电子投标，只有满足以上所有条件，方为有效投标。</w:t>
      </w:r>
    </w:p>
    <w:p w14:paraId="35F852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4.3.1</w:t>
      </w:r>
      <w:r>
        <w:rPr>
          <w:rFonts w:hint="eastAsia" w:ascii="宋体" w:hAnsi="宋体" w:eastAsia="宋体" w:cs="宋体"/>
          <w:color w:val="000000"/>
          <w:sz w:val="24"/>
          <w:szCs w:val="32"/>
        </w:rPr>
        <w:t>在电子投标截止时间前，投标人通过全国公共资源交易平台（广东省·韶关市）提交已加密投标文件。逾期提交的电子投标文件，全国公共资源交易平台（广东省·韶关市）将予以拒收。</w:t>
      </w:r>
    </w:p>
    <w:p w14:paraId="6CF8FD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4.3.2提交时间和地点：见本章第二节“重要事项时间地点一览表”。</w:t>
      </w:r>
    </w:p>
    <w:p w14:paraId="64204C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4.3.3递交时间和地点：投标人如有招标文件要求提交的用于评审的证书、证件、证明原件（附一式两份清单），由投标人法定代表人或其委托代理人在指定的时间和地点递交（见“重要事项时间地点一览表”）。</w:t>
      </w:r>
    </w:p>
    <w:p w14:paraId="35EA6C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 xml:space="preserve">4.3.4代理机构对因不可抗力事件造成的投标文件的损坏、丢失的，不承担责任。        </w:t>
      </w:r>
    </w:p>
    <w:p w14:paraId="515D4A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4.3.5出现下述情形之一，属于未成功提交投标文件，按无效投标处理：</w:t>
      </w:r>
    </w:p>
    <w:p w14:paraId="75BABD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（1）至电子投标截止时间时，投标文件未完整上传或未提交投标。</w:t>
      </w:r>
    </w:p>
    <w:p w14:paraId="492BCF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（2）解密失败且在规定时间内未重新提交投标文件的；</w:t>
      </w:r>
    </w:p>
    <w:p w14:paraId="5B3E1C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（3）投标文件损坏或格式不正确的。</w:t>
      </w:r>
    </w:p>
    <w:p w14:paraId="0A7712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4.3.6 招标人或其授权的招标代理机构核对、接收投标人递交的投标相关资料后，应向投标人出具标明签收人和签收时间的凭证，并妥善保管。</w:t>
      </w:r>
    </w:p>
    <w:p w14:paraId="17557F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4.3.7 本次招标投标有效期为90个日历天，投标有效期从提交投标文件的截止之日起计算。在此期间，投标人不得撤销或修改其投标文件，否则其投标保证不予退还。</w:t>
      </w:r>
    </w:p>
    <w:p w14:paraId="561DA7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64" w:name="_Toc5680"/>
      <w:r>
        <w:rPr>
          <w:rFonts w:hint="eastAsia" w:ascii="宋体" w:hAnsi="宋体" w:eastAsia="宋体" w:cs="宋体"/>
          <w:b/>
          <w:bCs/>
          <w:color w:val="000000"/>
          <w:sz w:val="24"/>
          <w:szCs w:val="32"/>
        </w:rPr>
        <w:t>4.4 电子投标及投标解密失败及突发情况的补救方案</w:t>
      </w:r>
      <w:bookmarkEnd w:id="64"/>
    </w:p>
    <w:p w14:paraId="58418F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4.4.1按照交易平台关于全流程电子化项目的相关指南进行操作。详见：全国公共资源交易平台（广东省·韶关市）</w:t>
      </w:r>
    </w:p>
    <w:p w14:paraId="679401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 xml:space="preserve">（https://ygp.gdzwfw.gov.cn/ggzy-portal/#/440200/index）【服务指南】栏目发布的最新版操作指引。  </w:t>
      </w:r>
    </w:p>
    <w:p w14:paraId="2385A4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4.4.2补救方案：</w:t>
      </w:r>
    </w:p>
    <w:p w14:paraId="5E1A8E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651200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B3A71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（3）除发生上述情况外，开标评标均以投标人通过交易平台网上提交的电子投标文件为准。</w:t>
      </w:r>
    </w:p>
    <w:p w14:paraId="5AA804FE">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65" w:name="_Toc14919"/>
      <w:bookmarkStart w:id="66" w:name="_Toc16431"/>
      <w:r>
        <w:rPr>
          <w:rFonts w:hint="eastAsia" w:ascii="宋体" w:hAnsi="宋体" w:eastAsia="宋体" w:cs="宋体"/>
          <w:color w:val="000000"/>
          <w:lang w:val="en-US"/>
        </w:rPr>
        <w:t>5.  开标</w:t>
      </w:r>
      <w:bookmarkEnd w:id="62"/>
      <w:bookmarkEnd w:id="63"/>
      <w:bookmarkEnd w:id="65"/>
      <w:bookmarkEnd w:id="66"/>
    </w:p>
    <w:p w14:paraId="22D1E0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32"/>
        </w:rPr>
      </w:pPr>
      <w:r>
        <w:rPr>
          <w:rFonts w:hint="eastAsia" w:ascii="宋体" w:hAnsi="宋体" w:eastAsia="宋体" w:cs="宋体"/>
          <w:b/>
          <w:bCs/>
          <w:color w:val="000000"/>
          <w:sz w:val="24"/>
          <w:szCs w:val="32"/>
        </w:rPr>
        <w:t xml:space="preserve">5.1 </w:t>
      </w:r>
      <w:r>
        <w:rPr>
          <w:rFonts w:hint="eastAsia" w:ascii="宋体" w:hAnsi="宋体" w:eastAsia="宋体" w:cs="宋体"/>
          <w:color w:val="000000"/>
          <w:sz w:val="24"/>
          <w:szCs w:val="32"/>
        </w:rPr>
        <w:t>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399866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5</w:t>
      </w:r>
      <w:r>
        <w:rPr>
          <w:rFonts w:hint="eastAsia" w:ascii="宋体" w:hAnsi="宋体" w:eastAsia="宋体" w:cs="宋体"/>
          <w:color w:val="000000"/>
          <w:sz w:val="24"/>
          <w:szCs w:val="32"/>
        </w:rPr>
        <w:t>.1.1 开标时间和地点：见本章第二节“重要事项时间地点一览表”。</w:t>
      </w:r>
    </w:p>
    <w:p w14:paraId="2C1C9B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5</w:t>
      </w:r>
      <w:r>
        <w:rPr>
          <w:rFonts w:hint="eastAsia" w:ascii="宋体" w:hAnsi="宋体" w:eastAsia="宋体" w:cs="宋体"/>
          <w:color w:val="000000"/>
          <w:sz w:val="24"/>
          <w:szCs w:val="32"/>
        </w:rPr>
        <w:t>.1.2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w:t>
      </w:r>
    </w:p>
    <w:p w14:paraId="2987AB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（https://ygp.gdzwfw.gov.cn/ggzy-portal/#/440200/index）查询是否发布了取消开标活动的相关信息。</w:t>
      </w:r>
    </w:p>
    <w:p w14:paraId="1A81F2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5</w:t>
      </w:r>
      <w:r>
        <w:rPr>
          <w:rFonts w:hint="eastAsia" w:ascii="宋体" w:hAnsi="宋体" w:eastAsia="宋体" w:cs="宋体"/>
          <w:color w:val="000000"/>
          <w:sz w:val="24"/>
          <w:szCs w:val="32"/>
        </w:rPr>
        <w:t>.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9AD99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5</w:t>
      </w:r>
      <w:r>
        <w:rPr>
          <w:rFonts w:hint="eastAsia" w:ascii="宋体" w:hAnsi="宋体" w:eastAsia="宋体" w:cs="宋体"/>
          <w:color w:val="000000"/>
          <w:sz w:val="24"/>
          <w:szCs w:val="32"/>
        </w:rPr>
        <w:t>.2 开标程序</w:t>
      </w:r>
    </w:p>
    <w:p w14:paraId="3BEEDF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（1）主持人（招标人代表或招标人授权的招标代理机构人员）宣读开标纪律。</w:t>
      </w:r>
    </w:p>
    <w:p w14:paraId="2E25E4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（2）主持人宣布唱标人、记录人、见证人、监督人等有关人员姓名。</w:t>
      </w:r>
    </w:p>
    <w:p w14:paraId="261FB3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招标代理机构在交易场所工作人员见证下对投标人的电子投标信息进行解密，建设工程交易系统自动生成《投标保证缴纳情况表》和《开标一览表》。唱标人公布在投标截止时间前进行投标文件的投标人数量和名称。</w:t>
      </w:r>
    </w:p>
    <w:p w14:paraId="072797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（4）唱标人检查《投标保证缴纳情况表》中各投标人所缴纳投标保证的金额、有效期是否符合招标文件规定。若不符合规定，该投标人的投标无效。将有关情形在《投标保证缴纳情况表》“备注”栏中注明。</w:t>
      </w:r>
    </w:p>
    <w:p w14:paraId="3161C3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（5）唱标人检查《开标一览表》中各投标人的投标总价、质量标准、工期是否符合招标文件规定。若不符合规定，招标代理机构应将有关情形在《开标一览表》“备注”栏中注明。</w:t>
      </w:r>
    </w:p>
    <w:p w14:paraId="2383B9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（6）投标人代表、招标人代表、唱标人、记录人等有关人员在《投标保证缴纳情况表》以及《开标一览表》上签字确认。</w:t>
      </w:r>
    </w:p>
    <w:p w14:paraId="69E0B6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（7）主持人宣布有关注意事项后，宣布开标结束。</w:t>
      </w:r>
    </w:p>
    <w:p w14:paraId="2136AC2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32"/>
        </w:rPr>
      </w:pPr>
      <w:r>
        <w:rPr>
          <w:rFonts w:hint="eastAsia" w:ascii="宋体" w:hAnsi="宋体" w:eastAsia="宋体" w:cs="宋体"/>
          <w:b/>
          <w:bCs/>
          <w:color w:val="000000"/>
          <w:sz w:val="24"/>
          <w:szCs w:val="32"/>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35F88D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5</w:t>
      </w:r>
      <w:r>
        <w:rPr>
          <w:rFonts w:hint="eastAsia" w:ascii="宋体" w:hAnsi="宋体" w:eastAsia="宋体" w:cs="宋体"/>
          <w:color w:val="000000"/>
          <w:sz w:val="24"/>
          <w:szCs w:val="32"/>
        </w:rPr>
        <w:t>.</w:t>
      </w:r>
      <w:r>
        <w:rPr>
          <w:rFonts w:hint="eastAsia" w:ascii="宋体" w:hAnsi="宋体" w:cs="宋体"/>
          <w:color w:val="000000"/>
          <w:sz w:val="24"/>
          <w:szCs w:val="32"/>
          <w:lang w:val="en-US" w:eastAsia="zh-CN"/>
        </w:rPr>
        <w:t>3</w:t>
      </w:r>
      <w:r>
        <w:rPr>
          <w:rFonts w:hint="eastAsia" w:ascii="宋体" w:hAnsi="宋体" w:eastAsia="宋体" w:cs="宋体"/>
          <w:color w:val="000000"/>
          <w:sz w:val="24"/>
          <w:szCs w:val="32"/>
        </w:rPr>
        <w:t xml:space="preserve"> 招标代理机构将资料原件</w:t>
      </w:r>
      <w:r>
        <w:rPr>
          <w:rFonts w:hint="eastAsia" w:ascii="宋体" w:hAnsi="宋体" w:eastAsia="宋体" w:cs="宋体"/>
          <w:b/>
          <w:bCs/>
          <w:color w:val="000000"/>
          <w:sz w:val="24"/>
          <w:szCs w:val="32"/>
        </w:rPr>
        <w:t>（如有）</w:t>
      </w:r>
      <w:r>
        <w:rPr>
          <w:rFonts w:hint="eastAsia" w:ascii="宋体" w:hAnsi="宋体" w:eastAsia="宋体" w:cs="宋体"/>
          <w:color w:val="000000"/>
          <w:sz w:val="24"/>
          <w:szCs w:val="32"/>
        </w:rPr>
        <w:t>、《开标一览表》以及其他有关资料移交评标委员会。</w:t>
      </w:r>
    </w:p>
    <w:p w14:paraId="0A488C3A">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67" w:name="_Toc466542209"/>
      <w:bookmarkStart w:id="68" w:name="_Toc22156"/>
      <w:bookmarkStart w:id="69" w:name="_Toc27245"/>
      <w:bookmarkStart w:id="70" w:name="_Toc466542538"/>
      <w:r>
        <w:rPr>
          <w:rFonts w:hint="eastAsia" w:ascii="宋体" w:hAnsi="宋体" w:eastAsia="宋体" w:cs="宋体"/>
          <w:color w:val="000000"/>
          <w:lang w:val="en-US"/>
        </w:rPr>
        <w:t>6.  评标</w:t>
      </w:r>
      <w:bookmarkEnd w:id="67"/>
      <w:bookmarkEnd w:id="68"/>
      <w:bookmarkEnd w:id="69"/>
      <w:bookmarkEnd w:id="70"/>
    </w:p>
    <w:p w14:paraId="7B96D0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71" w:name="_Toc4650"/>
      <w:r>
        <w:rPr>
          <w:rFonts w:hint="eastAsia" w:ascii="宋体" w:hAnsi="宋体" w:eastAsia="宋体" w:cs="宋体"/>
          <w:b/>
          <w:bCs/>
          <w:color w:val="000000"/>
          <w:sz w:val="24"/>
          <w:szCs w:val="32"/>
        </w:rPr>
        <w:t>6.1 评标委员会</w:t>
      </w:r>
      <w:bookmarkEnd w:id="71"/>
    </w:p>
    <w:p w14:paraId="4E2DFA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6.1.1评标由招标人依法组建的评标委员会负责。评标委员会成员人数以及技术、经济等方面专家的确定方式见投标人须知前附表。</w:t>
      </w:r>
    </w:p>
    <w:p w14:paraId="7F664A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6.1.2 评标委员会成员有下列情形之一的，应当回避：</w:t>
      </w:r>
    </w:p>
    <w:p w14:paraId="22B0DF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 投标人或投标人主要负责人的近亲属；</w:t>
      </w:r>
    </w:p>
    <w:p w14:paraId="1C614D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 项目主管部门或者行政监督部门的人员；</w:t>
      </w:r>
    </w:p>
    <w:p w14:paraId="156CD9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 与投标人有经济利益关系；</w:t>
      </w:r>
    </w:p>
    <w:p w14:paraId="56FDD5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 曾因在招标、评标以及其他与招标投标有关活动中从事违法行为而受过行政处罚或刑事处罚的。</w:t>
      </w:r>
    </w:p>
    <w:p w14:paraId="5C8064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（5） 与投标人有其他利害关系。</w:t>
      </w:r>
    </w:p>
    <w:p w14:paraId="73E14C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6.1.3 评标过程中，评标委员会成员有回避事由、擅离职守或者因健康等原因不能继续评标的，招标人有权更换。被更换的评标委员会成员作出的评审结论无效，由更换后的评标委员会成员重新进行评审。</w:t>
      </w:r>
    </w:p>
    <w:p w14:paraId="7541BF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72" w:name="_Toc31583"/>
      <w:r>
        <w:rPr>
          <w:rFonts w:hint="eastAsia" w:ascii="宋体" w:hAnsi="宋体" w:eastAsia="宋体" w:cs="宋体"/>
          <w:b/>
          <w:bCs/>
          <w:color w:val="000000"/>
          <w:sz w:val="24"/>
          <w:szCs w:val="32"/>
        </w:rPr>
        <w:t>6.2 评标原则</w:t>
      </w:r>
      <w:bookmarkEnd w:id="72"/>
    </w:p>
    <w:p w14:paraId="0A130E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评标活动遵循公平、公正、科学和择优的原则。</w:t>
      </w:r>
    </w:p>
    <w:p w14:paraId="1A0074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73" w:name="_Toc29204"/>
      <w:r>
        <w:rPr>
          <w:rFonts w:hint="eastAsia" w:ascii="宋体" w:hAnsi="宋体" w:eastAsia="宋体" w:cs="宋体"/>
          <w:b/>
          <w:bCs/>
          <w:color w:val="000000"/>
          <w:sz w:val="24"/>
          <w:szCs w:val="32"/>
        </w:rPr>
        <w:t>6.3 评标</w:t>
      </w:r>
      <w:bookmarkEnd w:id="73"/>
    </w:p>
    <w:p w14:paraId="63460C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评标委员会按照第三章“评标办法”规定的方法、评审因素、标准和程序对投标文件进行评审。第三章“评标办法”没有规定的方法、评审因素和标准，不作为评标依据。</w:t>
      </w:r>
    </w:p>
    <w:p w14:paraId="62900803">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74" w:name="_Toc466542210"/>
      <w:bookmarkStart w:id="75" w:name="_Toc19128"/>
      <w:bookmarkStart w:id="76" w:name="_Toc27787"/>
      <w:bookmarkStart w:id="77" w:name="_Toc466542539"/>
      <w:r>
        <w:rPr>
          <w:rFonts w:hint="eastAsia" w:ascii="宋体" w:hAnsi="宋体" w:eastAsia="宋体" w:cs="宋体"/>
          <w:color w:val="000000"/>
          <w:lang w:val="en-US"/>
        </w:rPr>
        <w:t>7.  合同授予</w:t>
      </w:r>
      <w:bookmarkEnd w:id="74"/>
      <w:bookmarkEnd w:id="75"/>
      <w:bookmarkEnd w:id="76"/>
      <w:bookmarkEnd w:id="77"/>
      <w:r>
        <w:rPr>
          <w:rFonts w:hint="eastAsia" w:ascii="宋体" w:hAnsi="宋体" w:eastAsia="宋体" w:cs="宋体"/>
          <w:color w:val="000000"/>
          <w:lang w:val="en-US"/>
        </w:rPr>
        <w:t xml:space="preserve"> </w:t>
      </w:r>
    </w:p>
    <w:p w14:paraId="07383F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78" w:name="_Toc29662"/>
      <w:r>
        <w:rPr>
          <w:rFonts w:hint="eastAsia" w:ascii="宋体" w:hAnsi="宋体" w:eastAsia="宋体" w:cs="宋体"/>
          <w:b/>
          <w:bCs/>
          <w:color w:val="000000"/>
          <w:sz w:val="24"/>
          <w:szCs w:val="32"/>
        </w:rPr>
        <w:t>7.1 定标方式</w:t>
      </w:r>
      <w:bookmarkEnd w:id="78"/>
      <w:r>
        <w:rPr>
          <w:rFonts w:hint="eastAsia" w:ascii="宋体" w:hAnsi="宋体" w:eastAsia="宋体" w:cs="宋体"/>
          <w:b/>
          <w:bCs/>
          <w:color w:val="000000"/>
          <w:sz w:val="24"/>
          <w:szCs w:val="32"/>
        </w:rPr>
        <w:tab/>
      </w:r>
    </w:p>
    <w:p w14:paraId="0AAAEB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评标委员会推荐3名中标候选人，并标明推荐顺序。招标人依据评标委员会推荐的中标候选人确定中标人。</w:t>
      </w:r>
    </w:p>
    <w:p w14:paraId="3BD189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79" w:name="_Toc21930"/>
      <w:r>
        <w:rPr>
          <w:rFonts w:hint="eastAsia" w:ascii="宋体" w:hAnsi="宋体" w:eastAsia="宋体" w:cs="宋体"/>
          <w:b/>
          <w:bCs/>
          <w:color w:val="000000"/>
          <w:sz w:val="24"/>
          <w:szCs w:val="32"/>
        </w:rPr>
        <w:t>7.2 中标候选人公示</w:t>
      </w:r>
      <w:bookmarkEnd w:id="79"/>
    </w:p>
    <w:p w14:paraId="1C91BF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招标人在投标人须知前附表规定的媒介公示中标候选人。</w:t>
      </w:r>
    </w:p>
    <w:p w14:paraId="5FD7BC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80" w:name="_Toc30015"/>
      <w:r>
        <w:rPr>
          <w:rFonts w:hint="eastAsia" w:ascii="宋体" w:hAnsi="宋体" w:eastAsia="宋体" w:cs="宋体"/>
          <w:b/>
          <w:bCs/>
          <w:color w:val="000000"/>
          <w:sz w:val="24"/>
          <w:szCs w:val="32"/>
        </w:rPr>
        <w:t>7.3 中标通知</w:t>
      </w:r>
      <w:bookmarkEnd w:id="80"/>
    </w:p>
    <w:p w14:paraId="1A77E9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在本章第3.3款规定的投标有效期内，招标人以书面形式向中标人发出中标通知书，由于对评标结果以网上形式进行了公示，因此招标人向中标人发出中标通知时，不再将中标结果通知未中标的投标人。</w:t>
      </w:r>
    </w:p>
    <w:p w14:paraId="1BA2F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81" w:name="_Toc1476"/>
      <w:r>
        <w:rPr>
          <w:rFonts w:hint="eastAsia" w:ascii="宋体" w:hAnsi="宋体" w:eastAsia="宋体" w:cs="宋体"/>
          <w:b/>
          <w:bCs/>
          <w:color w:val="000000"/>
          <w:sz w:val="24"/>
          <w:szCs w:val="32"/>
        </w:rPr>
        <w:t>7.4 履约担保</w:t>
      </w:r>
      <w:bookmarkEnd w:id="81"/>
    </w:p>
    <w:p w14:paraId="012B53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7.4.1 在签订合同前，中标人应按投标人须知前附表规定的担保形式和招标文件第四章“合同主要条款”规定的或者事先经过招标人书面认可的履约担保格式向招标人提交履约担保。除投标人须知前附表另有规定外。</w:t>
      </w:r>
    </w:p>
    <w:p w14:paraId="5A0B52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7.4.2 中标人不能按本章7.4.1项要求提交履约担保的，视为放弃中标，其投标保证金不予退还，给招标人造成的损失超过投标保证金数额的，中标人还应当对超过部分予以赔偿。</w:t>
      </w:r>
    </w:p>
    <w:p w14:paraId="1132F4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82" w:name="_Toc3036"/>
      <w:r>
        <w:rPr>
          <w:rFonts w:hint="eastAsia" w:ascii="宋体" w:hAnsi="宋体" w:eastAsia="宋体" w:cs="宋体"/>
          <w:b/>
          <w:bCs/>
          <w:color w:val="000000"/>
          <w:sz w:val="24"/>
          <w:szCs w:val="32"/>
        </w:rPr>
        <w:t>7.5 签订合同</w:t>
      </w:r>
      <w:bookmarkEnd w:id="82"/>
    </w:p>
    <w:p w14:paraId="19CF74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4BF2C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7.5.2 发出中标通知书后，招标人无正当理由拒签合同的，招标人向中标人退还投标保证金；给中标人造成损失的，还应当赔偿损失。</w:t>
      </w:r>
    </w:p>
    <w:p w14:paraId="5152AE66">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83" w:name="_Toc30319"/>
      <w:bookmarkStart w:id="84" w:name="_Toc466542211"/>
      <w:bookmarkStart w:id="85" w:name="_Toc466542540"/>
      <w:bookmarkStart w:id="86" w:name="_Toc24605"/>
      <w:r>
        <w:rPr>
          <w:rFonts w:hint="eastAsia" w:ascii="宋体" w:hAnsi="宋体" w:eastAsia="宋体" w:cs="宋体"/>
          <w:color w:val="000000"/>
          <w:lang w:val="en-US"/>
        </w:rPr>
        <w:t>8.  重新招标和不再招标</w:t>
      </w:r>
      <w:bookmarkEnd w:id="83"/>
      <w:bookmarkEnd w:id="84"/>
      <w:bookmarkEnd w:id="85"/>
      <w:bookmarkEnd w:id="86"/>
    </w:p>
    <w:p w14:paraId="271293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87" w:name="_Toc13763"/>
      <w:r>
        <w:rPr>
          <w:rFonts w:hint="eastAsia" w:ascii="宋体" w:hAnsi="宋体" w:eastAsia="宋体" w:cs="宋体"/>
          <w:b/>
          <w:bCs/>
          <w:color w:val="000000"/>
          <w:sz w:val="24"/>
          <w:szCs w:val="32"/>
        </w:rPr>
        <w:t>8.1 重新招标</w:t>
      </w:r>
      <w:bookmarkEnd w:id="87"/>
    </w:p>
    <w:p w14:paraId="4734D9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有下列情形之一的，招标人将重新招标：</w:t>
      </w:r>
    </w:p>
    <w:p w14:paraId="6C7DC9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 投标截止时间止，投标人少于3个的；</w:t>
      </w:r>
    </w:p>
    <w:p w14:paraId="7EE1FA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 通过资格审查的投标人少于3个的；</w:t>
      </w:r>
    </w:p>
    <w:p w14:paraId="2E5420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 同意延长投标有效期的投标人少于3个的；</w:t>
      </w:r>
    </w:p>
    <w:p w14:paraId="2276CD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 中标候选人均未与招标人签订合同的。</w:t>
      </w:r>
    </w:p>
    <w:p w14:paraId="67A4F6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88" w:name="_Toc1076"/>
      <w:r>
        <w:rPr>
          <w:rFonts w:hint="eastAsia" w:ascii="宋体" w:hAnsi="宋体" w:eastAsia="宋体" w:cs="宋体"/>
          <w:b/>
          <w:bCs/>
          <w:color w:val="000000"/>
          <w:sz w:val="24"/>
          <w:szCs w:val="32"/>
        </w:rPr>
        <w:t>8.2 不再招标</w:t>
      </w:r>
      <w:bookmarkEnd w:id="88"/>
    </w:p>
    <w:p w14:paraId="1ED7FC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sz w:val="24"/>
          <w:szCs w:val="32"/>
        </w:rPr>
        <w:t>重新招标后，仍出现本章第8.1条规定情形之一的，属于必须审批或核准的工程建设项目，经原审批或核准部门批准后不再进行招标。</w:t>
      </w:r>
    </w:p>
    <w:p w14:paraId="35002458">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89" w:name="_Toc4158"/>
      <w:bookmarkStart w:id="90" w:name="_Toc466542541"/>
      <w:bookmarkStart w:id="91" w:name="_Toc466542212"/>
      <w:bookmarkStart w:id="92" w:name="_Toc17185"/>
      <w:r>
        <w:rPr>
          <w:rFonts w:hint="eastAsia" w:ascii="宋体" w:hAnsi="宋体" w:eastAsia="宋体" w:cs="宋体"/>
          <w:color w:val="000000"/>
          <w:lang w:val="en-US"/>
        </w:rPr>
        <w:t>9.  纪律和监督</w:t>
      </w:r>
      <w:bookmarkEnd w:id="89"/>
      <w:bookmarkEnd w:id="90"/>
      <w:bookmarkEnd w:id="91"/>
      <w:bookmarkEnd w:id="92"/>
    </w:p>
    <w:p w14:paraId="78E10C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93" w:name="_Toc31678"/>
      <w:r>
        <w:rPr>
          <w:rFonts w:hint="eastAsia" w:ascii="宋体" w:hAnsi="宋体" w:eastAsia="宋体" w:cs="宋体"/>
          <w:b/>
          <w:bCs/>
          <w:color w:val="000000"/>
          <w:sz w:val="24"/>
          <w:szCs w:val="32"/>
        </w:rPr>
        <w:t>9.1 对招标人的纪律要求</w:t>
      </w:r>
      <w:bookmarkEnd w:id="93"/>
    </w:p>
    <w:p w14:paraId="4E300D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招标人不得泄露招标投标活动中应当保密的情况和资料，不得与投标人串通损害国家利益、社会公共利益或者他人合法权益。</w:t>
      </w:r>
    </w:p>
    <w:p w14:paraId="70DE5B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94" w:name="_Toc29323"/>
      <w:r>
        <w:rPr>
          <w:rFonts w:hint="eastAsia" w:ascii="宋体" w:hAnsi="宋体" w:eastAsia="宋体" w:cs="宋体"/>
          <w:b/>
          <w:bCs/>
          <w:color w:val="000000"/>
          <w:sz w:val="24"/>
          <w:szCs w:val="32"/>
        </w:rPr>
        <w:t>9.2 对投标人的纪律要求</w:t>
      </w:r>
      <w:bookmarkEnd w:id="94"/>
    </w:p>
    <w:p w14:paraId="644784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96DCD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95" w:name="_Toc27077"/>
      <w:r>
        <w:rPr>
          <w:rFonts w:hint="eastAsia" w:ascii="宋体" w:hAnsi="宋体" w:eastAsia="宋体" w:cs="宋体"/>
          <w:b/>
          <w:bCs/>
          <w:color w:val="000000"/>
          <w:sz w:val="24"/>
          <w:szCs w:val="32"/>
        </w:rPr>
        <w:t>9.3 对评标委员会成员的纪律要求</w:t>
      </w:r>
      <w:bookmarkEnd w:id="95"/>
    </w:p>
    <w:p w14:paraId="213F9F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p>
    <w:p w14:paraId="4B2F4A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96" w:name="_Toc19623"/>
      <w:r>
        <w:rPr>
          <w:rFonts w:hint="eastAsia" w:ascii="宋体" w:hAnsi="宋体" w:eastAsia="宋体" w:cs="宋体"/>
          <w:b/>
          <w:bCs/>
          <w:color w:val="000000"/>
          <w:sz w:val="24"/>
          <w:szCs w:val="32"/>
        </w:rPr>
        <w:t>9.4 对与评标活动有关的工作人员的纪律要求</w:t>
      </w:r>
      <w:bookmarkEnd w:id="96"/>
    </w:p>
    <w:p w14:paraId="5371F0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6A5CD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32"/>
        </w:rPr>
      </w:pPr>
      <w:bookmarkStart w:id="97" w:name="_Toc30720"/>
      <w:r>
        <w:rPr>
          <w:rFonts w:hint="eastAsia" w:ascii="宋体" w:hAnsi="宋体" w:eastAsia="宋体" w:cs="宋体"/>
          <w:b/>
          <w:bCs/>
          <w:color w:val="000000"/>
          <w:sz w:val="24"/>
          <w:szCs w:val="32"/>
        </w:rPr>
        <w:t>9.5 投诉</w:t>
      </w:r>
      <w:bookmarkEnd w:id="97"/>
    </w:p>
    <w:p w14:paraId="694F71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投标人和其他利害关系人认为本次招标活动违反法律、法规和规章规定的，有权向有关行政监督部门投诉。</w:t>
      </w:r>
    </w:p>
    <w:p w14:paraId="6297F588">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1791" w:firstLine="0" w:firstLineChars="0"/>
        <w:jc w:val="left"/>
        <w:textAlignment w:val="auto"/>
        <w:rPr>
          <w:rFonts w:hint="eastAsia" w:ascii="宋体" w:hAnsi="宋体" w:eastAsia="宋体" w:cs="宋体"/>
          <w:color w:val="000000"/>
          <w:lang w:val="en-US"/>
        </w:rPr>
      </w:pPr>
      <w:bookmarkStart w:id="98" w:name="_Toc9168"/>
      <w:bookmarkStart w:id="99" w:name="_Toc466542213"/>
      <w:bookmarkStart w:id="100" w:name="_Toc1451"/>
      <w:bookmarkStart w:id="101" w:name="_Toc466542542"/>
      <w:r>
        <w:rPr>
          <w:rFonts w:hint="eastAsia" w:ascii="宋体" w:hAnsi="宋体" w:eastAsia="宋体" w:cs="宋体"/>
          <w:color w:val="000000"/>
          <w:lang w:val="en-US"/>
        </w:rPr>
        <w:t>10. 需要补充的其他内容</w:t>
      </w:r>
      <w:bookmarkEnd w:id="98"/>
      <w:bookmarkEnd w:id="99"/>
      <w:bookmarkEnd w:id="100"/>
      <w:bookmarkEnd w:id="101"/>
    </w:p>
    <w:p w14:paraId="6F2198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需要补充的其他内容：见投标人须知前附表。</w:t>
      </w:r>
    </w:p>
    <w:p w14:paraId="3E9446A0">
      <w:pPr>
        <w:pStyle w:val="3"/>
        <w:bidi w:val="0"/>
        <w:spacing w:line="360" w:lineRule="auto"/>
        <w:jc w:val="both"/>
        <w:rPr>
          <w:rFonts w:hint="eastAsia" w:ascii="宋体" w:hAnsi="宋体" w:eastAsia="宋体" w:cs="宋体"/>
          <w:color w:val="000000"/>
        </w:rPr>
      </w:pPr>
      <w:bookmarkStart w:id="102" w:name="_Toc15293"/>
      <w:bookmarkStart w:id="103" w:name="_Toc297801774"/>
      <w:bookmarkStart w:id="104" w:name="_Toc19702"/>
      <w:r>
        <w:rPr>
          <w:rFonts w:hint="eastAsia" w:ascii="宋体" w:hAnsi="宋体" w:eastAsia="宋体" w:cs="宋体"/>
          <w:color w:val="000000"/>
        </w:rPr>
        <w:t>第三章  评标办法</w:t>
      </w:r>
      <w:bookmarkEnd w:id="102"/>
    </w:p>
    <w:p w14:paraId="14B5594B">
      <w:pPr>
        <w:adjustRightInd w:val="0"/>
        <w:snapToGrid w:val="0"/>
        <w:spacing w:line="360" w:lineRule="auto"/>
        <w:ind w:firstLine="480" w:firstLineChars="200"/>
        <w:rPr>
          <w:rFonts w:hint="eastAsia" w:ascii="宋体" w:hAnsi="宋体" w:eastAsia="宋体" w:cs="宋体"/>
          <w:color w:val="000000"/>
          <w:sz w:val="24"/>
          <w:highlight w:val="none"/>
        </w:rPr>
      </w:pPr>
    </w:p>
    <w:p w14:paraId="2A5C3022">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为了规范本项目设计招标的评标工作，保证评标的各项活动做到公平、公正、科学、择优，依照《中华人民共和国招标投标法》和国家有关法规、招标文件的有关规定，制订本评标办法。</w:t>
      </w:r>
    </w:p>
    <w:p w14:paraId="63159429">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1791" w:firstLine="0" w:firstLineChars="0"/>
        <w:jc w:val="left"/>
        <w:textAlignment w:val="auto"/>
        <w:rPr>
          <w:rFonts w:hint="eastAsia" w:ascii="宋体" w:hAnsi="宋体" w:eastAsia="宋体" w:cs="宋体"/>
          <w:color w:val="000000"/>
          <w:lang w:val="en-US"/>
        </w:rPr>
      </w:pPr>
      <w:bookmarkStart w:id="105" w:name="_Toc28622"/>
      <w:bookmarkStart w:id="106" w:name="_Toc7975"/>
      <w:r>
        <w:rPr>
          <w:rFonts w:hint="eastAsia" w:ascii="宋体" w:hAnsi="宋体" w:eastAsia="宋体" w:cs="宋体"/>
          <w:color w:val="000000"/>
          <w:lang w:val="en-US"/>
        </w:rPr>
        <w:t>一、评标依据</w:t>
      </w:r>
      <w:bookmarkEnd w:id="105"/>
      <w:bookmarkEnd w:id="106"/>
    </w:p>
    <w:p w14:paraId="3004F6BB">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(1)《中华人民共和国招标投标法》、《广东省实施&lt;招标投标法&gt;办法》、《韶关市工程建设项目招标投标管理暂行规定》；</w:t>
      </w:r>
    </w:p>
    <w:p w14:paraId="6593C91D">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 水利部14号令《水利工程建设项目招标投标管理规定》；</w:t>
      </w:r>
    </w:p>
    <w:p w14:paraId="53FF2259">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 国务院办公厅国办发[2000]34号《国务院办公厅印发国务院有关部门实施招标投标活动行政监督职责分工意见的通知》；</w:t>
      </w:r>
    </w:p>
    <w:p w14:paraId="4C6DA622">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 国家发展计划委员会第3号令《工程建设项目招标范围和规模标准规定》；</w:t>
      </w:r>
    </w:p>
    <w:p w14:paraId="1CE0BDAB">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 国家计委、水利部等七部委联合颁发的12号令《评标委员会和评标方法暂行规定》；</w:t>
      </w:r>
    </w:p>
    <w:p w14:paraId="032C9BFF">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 国家计委计政策[2001]1400号《关于进一步贯彻 &lt; 中华人民共和国招标投标法的通知&gt;》；</w:t>
      </w:r>
    </w:p>
    <w:p w14:paraId="404260C1">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(7)《广东省实施&lt;中华人民共和国招标投标法&gt;办法》；</w:t>
      </w:r>
    </w:p>
    <w:p w14:paraId="019852BE">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 国家发改委、水利部等八部委联合颁发的2号令《工程建设项目勘察设计招标投标办法》；</w:t>
      </w:r>
    </w:p>
    <w:p w14:paraId="090A60EC">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 水利部颁发的《水利工程建设项目勘察设计招标投标管理办法》(水总[2004]511号)；</w:t>
      </w:r>
    </w:p>
    <w:p w14:paraId="12A82FD6">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广东省人民政府办公厅颁发的《广东省综合评标评审专家和评标评审专家库管理办法》；</w:t>
      </w:r>
    </w:p>
    <w:p w14:paraId="2D297B9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（11）国家和部颁有关技术规范和管理规定；</w:t>
      </w:r>
    </w:p>
    <w:p w14:paraId="5DC956B5">
      <w:pPr>
        <w:keepNext w:val="0"/>
        <w:keepLines w:val="0"/>
        <w:pageBreakBefore w:val="0"/>
        <w:widowControl w:val="0"/>
        <w:kinsoku/>
        <w:wordWrap/>
        <w:overflowPunct/>
        <w:topLinePunct w:val="0"/>
        <w:autoSpaceDE/>
        <w:autoSpaceDN/>
        <w:bidi w:val="0"/>
        <w:adjustRightInd w:val="0"/>
        <w:snapToGrid/>
        <w:spacing w:line="360" w:lineRule="auto"/>
        <w:ind w:firstLine="540" w:firstLineChars="225"/>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 本工程招标文件及其补充通知、招标答疑会的答疑、投标文件的澄清问题书面资料等。</w:t>
      </w:r>
    </w:p>
    <w:p w14:paraId="172A1411">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1791" w:firstLine="0" w:firstLineChars="0"/>
        <w:jc w:val="left"/>
        <w:textAlignment w:val="auto"/>
        <w:rPr>
          <w:rFonts w:hint="eastAsia" w:ascii="宋体" w:hAnsi="宋体" w:eastAsia="宋体" w:cs="宋体"/>
          <w:color w:val="000000"/>
          <w:lang w:val="en-US"/>
        </w:rPr>
      </w:pPr>
      <w:bookmarkStart w:id="107" w:name="_Toc15014"/>
      <w:bookmarkStart w:id="108" w:name="_Toc10232"/>
      <w:r>
        <w:rPr>
          <w:rFonts w:hint="eastAsia" w:ascii="宋体" w:hAnsi="宋体" w:eastAsia="宋体" w:cs="宋体"/>
          <w:color w:val="000000"/>
          <w:lang w:val="en-US"/>
        </w:rPr>
        <w:t>二、评标委员会的组成</w:t>
      </w:r>
      <w:bookmarkEnd w:id="107"/>
      <w:bookmarkEnd w:id="108"/>
    </w:p>
    <w:p w14:paraId="1B5C8C36">
      <w:pPr>
        <w:adjustRightInd w:val="0"/>
        <w:snapToGrid w:val="0"/>
        <w:spacing w:before="93" w:beforeLines="30" w:after="93" w:afterLines="30" w:line="360" w:lineRule="auto"/>
        <w:ind w:firstLine="540" w:firstLineChars="225"/>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评标委员会根据国家计委、水利部等七部委12号令规定组建，招标人负责组织工作。评标委员会由有关技术、经济等方面的专家7人组成（经济专家不少于2人，其中招标人代表0人，</w:t>
      </w:r>
      <w:r>
        <w:rPr>
          <w:rFonts w:hint="eastAsia" w:ascii="宋体" w:hAnsi="宋体" w:eastAsia="宋体" w:cs="宋体"/>
          <w:color w:val="auto"/>
          <w:sz w:val="24"/>
          <w:highlight w:val="none"/>
        </w:rPr>
        <w:t>专家7人）</w:t>
      </w:r>
      <w:r>
        <w:rPr>
          <w:rFonts w:hint="eastAsia" w:ascii="宋体" w:hAnsi="宋体" w:eastAsia="宋体" w:cs="宋体"/>
          <w:color w:val="000000"/>
          <w:sz w:val="24"/>
          <w:highlight w:val="none"/>
        </w:rPr>
        <w:t>；评标专家确定方式：开标前招标人从</w:t>
      </w:r>
      <w:r>
        <w:rPr>
          <w:rFonts w:hint="eastAsia" w:ascii="宋体" w:hAnsi="宋体" w:eastAsia="宋体" w:cs="宋体"/>
          <w:b/>
          <w:bCs/>
          <w:color w:val="000000"/>
          <w:sz w:val="24"/>
          <w:highlight w:val="none"/>
        </w:rPr>
        <w:t>广东省综合评标评审专家库-韶关市区域</w:t>
      </w:r>
      <w:r>
        <w:rPr>
          <w:rFonts w:hint="eastAsia" w:ascii="宋体" w:hAnsi="宋体" w:eastAsia="宋体" w:cs="宋体"/>
          <w:b/>
          <w:bCs/>
          <w:color w:val="000000"/>
          <w:sz w:val="24"/>
          <w:highlight w:val="none"/>
          <w:lang w:val="en-US" w:eastAsia="zh-CN"/>
        </w:rPr>
        <w:t>中</w:t>
      </w:r>
      <w:r>
        <w:rPr>
          <w:rFonts w:hint="eastAsia" w:ascii="宋体" w:hAnsi="宋体" w:eastAsia="宋体" w:cs="宋体"/>
          <w:color w:val="000000"/>
          <w:sz w:val="24"/>
          <w:highlight w:val="none"/>
        </w:rPr>
        <w:t>随机抽取。</w:t>
      </w:r>
    </w:p>
    <w:p w14:paraId="5EC54710">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1791" w:firstLine="0" w:firstLineChars="0"/>
        <w:jc w:val="left"/>
        <w:textAlignment w:val="auto"/>
        <w:rPr>
          <w:rFonts w:hint="eastAsia" w:ascii="宋体" w:hAnsi="宋体" w:eastAsia="宋体" w:cs="宋体"/>
          <w:color w:val="000000"/>
          <w:lang w:val="en-US"/>
        </w:rPr>
      </w:pPr>
      <w:bookmarkStart w:id="109" w:name="_Toc26759"/>
      <w:bookmarkStart w:id="110" w:name="_Toc17618"/>
      <w:r>
        <w:rPr>
          <w:rFonts w:hint="eastAsia" w:ascii="宋体" w:hAnsi="宋体" w:eastAsia="宋体" w:cs="宋体"/>
          <w:color w:val="000000"/>
          <w:lang w:val="en-US"/>
        </w:rPr>
        <w:t>三、评标纪律</w:t>
      </w:r>
      <w:bookmarkEnd w:id="109"/>
      <w:bookmarkEnd w:id="110"/>
    </w:p>
    <w:p w14:paraId="128A433B">
      <w:pPr>
        <w:adjustRightInd w:val="0"/>
        <w:snapToGrid w:val="0"/>
        <w:spacing w:before="93" w:beforeLines="30" w:after="93" w:afterLines="3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1、参加评标的所有评标委员均不代表原来各自的单位和组织，评标委员的名单在中标结果确定前保密。</w:t>
      </w:r>
    </w:p>
    <w:p w14:paraId="701FB00B">
      <w:pPr>
        <w:pStyle w:val="13"/>
        <w:adjustRightInd w:val="0"/>
        <w:snapToGrid w:val="0"/>
        <w:spacing w:before="93" w:beforeLines="30" w:after="93" w:afterLines="30" w:line="360" w:lineRule="auto"/>
        <w:ind w:firstLine="480" w:firstLineChars="200"/>
        <w:jc w:val="both"/>
        <w:rPr>
          <w:rFonts w:hint="eastAsia" w:ascii="宋体" w:hAnsi="宋体" w:eastAsia="宋体" w:cs="宋体"/>
          <w:color w:val="000000"/>
          <w:highlight w:val="none"/>
        </w:rPr>
      </w:pPr>
      <w:r>
        <w:rPr>
          <w:rFonts w:hint="eastAsia" w:ascii="宋体" w:hAnsi="宋体" w:eastAsia="宋体" w:cs="宋体"/>
          <w:color w:val="000000"/>
          <w:highlight w:val="none"/>
        </w:rPr>
        <w:t>2、评标委员会和与评标活动有关的工作人员不得透露对投标文件的评审和比较、中标候选人的推荐情况以及与评标有关的其它情况。</w:t>
      </w:r>
    </w:p>
    <w:p w14:paraId="709EEA44">
      <w:pPr>
        <w:pStyle w:val="13"/>
        <w:adjustRightInd w:val="0"/>
        <w:snapToGrid w:val="0"/>
        <w:spacing w:before="93" w:beforeLines="30" w:after="93" w:afterLines="30" w:line="360" w:lineRule="auto"/>
        <w:ind w:firstLine="480" w:firstLineChars="200"/>
        <w:jc w:val="both"/>
        <w:rPr>
          <w:rFonts w:hint="eastAsia" w:ascii="宋体" w:hAnsi="宋体" w:eastAsia="宋体" w:cs="宋体"/>
          <w:color w:val="000000"/>
          <w:highlight w:val="none"/>
        </w:rPr>
      </w:pPr>
      <w:r>
        <w:rPr>
          <w:rFonts w:hint="eastAsia" w:ascii="宋体" w:hAnsi="宋体" w:eastAsia="宋体" w:cs="宋体"/>
          <w:color w:val="000000"/>
          <w:highlight w:val="none"/>
        </w:rPr>
        <w:t>所称与评标活动有关的工作人员，是指评标委员会成员以外的因参与评标监督工作或者事务性工作而知悉有关评标情况的所有人员。</w:t>
      </w:r>
    </w:p>
    <w:p w14:paraId="33F6DFB4">
      <w:pPr>
        <w:pStyle w:val="13"/>
        <w:adjustRightInd w:val="0"/>
        <w:snapToGrid w:val="0"/>
        <w:spacing w:before="93" w:beforeLines="30" w:after="93" w:afterLines="30" w:line="360" w:lineRule="auto"/>
        <w:ind w:firstLine="480" w:firstLineChars="200"/>
        <w:jc w:val="both"/>
        <w:rPr>
          <w:rFonts w:hint="eastAsia" w:ascii="宋体" w:hAnsi="宋体" w:eastAsia="宋体" w:cs="宋体"/>
          <w:color w:val="000000"/>
          <w:highlight w:val="none"/>
        </w:rPr>
      </w:pPr>
      <w:r>
        <w:rPr>
          <w:rFonts w:hint="eastAsia" w:ascii="宋体" w:hAnsi="宋体" w:eastAsia="宋体" w:cs="宋体"/>
          <w:color w:val="000000"/>
          <w:highlight w:val="none"/>
        </w:rPr>
        <w:t>3、评标委员会成员应当客观、公正地履行职责，遵守职业道德，不得与任何投标人或者与招标结果有利害关系的人进行私下接触，对所提出的评审意见承担个人责任。</w:t>
      </w:r>
    </w:p>
    <w:p w14:paraId="6028EE71">
      <w:pPr>
        <w:adjustRightInd w:val="0"/>
        <w:snapToGrid w:val="0"/>
        <w:spacing w:before="93" w:beforeLines="30" w:after="93" w:afterLines="3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4、评标委员应遵循公平、公正、科学、择优、诚实信用的原则，严格按照评标办法、招标文件和国家有关技术规范的规定进行，不得随意修改经评标委员会审议通过的评标办法。</w:t>
      </w:r>
    </w:p>
    <w:p w14:paraId="40CC7E64">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1791" w:firstLine="0" w:firstLineChars="0"/>
        <w:jc w:val="both"/>
        <w:textAlignment w:val="auto"/>
        <w:rPr>
          <w:rFonts w:hint="eastAsia" w:ascii="宋体" w:hAnsi="宋体" w:eastAsia="宋体" w:cs="宋体"/>
          <w:color w:val="000000"/>
          <w:lang w:val="en-US"/>
        </w:rPr>
      </w:pPr>
      <w:bookmarkStart w:id="111" w:name="_Toc16547"/>
      <w:bookmarkStart w:id="112" w:name="_Toc31045"/>
      <w:r>
        <w:rPr>
          <w:rFonts w:hint="eastAsia" w:ascii="宋体" w:hAnsi="宋体" w:eastAsia="宋体" w:cs="宋体"/>
          <w:color w:val="000000"/>
          <w:lang w:val="en-US"/>
        </w:rPr>
        <w:t>四、评标监督管理</w:t>
      </w:r>
      <w:bookmarkEnd w:id="111"/>
      <w:bookmarkEnd w:id="112"/>
    </w:p>
    <w:p w14:paraId="65B5C0A6">
      <w:pPr>
        <w:adjustRightInd w:val="0"/>
        <w:snapToGrid w:val="0"/>
        <w:spacing w:before="93" w:beforeLines="30" w:after="93" w:afterLines="3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本次招标评标活动在有关行政主管部门等有关部门的监督下进行。</w:t>
      </w:r>
    </w:p>
    <w:p w14:paraId="4E12FC14">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1791" w:firstLine="0" w:firstLineChars="0"/>
        <w:jc w:val="left"/>
        <w:textAlignment w:val="auto"/>
        <w:rPr>
          <w:rFonts w:hint="eastAsia" w:ascii="宋体" w:hAnsi="宋体" w:eastAsia="宋体" w:cs="宋体"/>
          <w:color w:val="000000"/>
          <w:lang w:val="en-US"/>
        </w:rPr>
      </w:pPr>
      <w:bookmarkStart w:id="113" w:name="_Toc12003"/>
      <w:bookmarkStart w:id="114" w:name="_Toc25980"/>
      <w:r>
        <w:rPr>
          <w:rFonts w:hint="eastAsia" w:ascii="宋体" w:hAnsi="宋体" w:eastAsia="宋体" w:cs="宋体"/>
          <w:color w:val="000000"/>
          <w:lang w:val="en-US"/>
        </w:rPr>
        <w:t>五、评标程序</w:t>
      </w:r>
      <w:bookmarkEnd w:id="113"/>
      <w:bookmarkEnd w:id="114"/>
    </w:p>
    <w:p w14:paraId="30E51E61">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1、评委召开预备会，宣布评标纪律，签订评标保密承诺书，熟悉招标文件，学习评标办法，选举评标委员会主任。</w:t>
      </w:r>
    </w:p>
    <w:p w14:paraId="0834EDD5">
      <w:pPr>
        <w:spacing w:line="46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2、评委在有关监督部门的监督下封闭评标，按照评标方法进行评审。</w:t>
      </w:r>
    </w:p>
    <w:p w14:paraId="0643B457">
      <w:pPr>
        <w:spacing w:line="46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3、对投标人进行初步评审；</w:t>
      </w:r>
    </w:p>
    <w:p w14:paraId="7A0E9B95">
      <w:pPr>
        <w:spacing w:line="46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4、对通过初步评审的投标人的投标文件进行评审；</w:t>
      </w:r>
    </w:p>
    <w:p w14:paraId="0459221C">
      <w:pPr>
        <w:spacing w:line="46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5、确定第一中标候选人、第二中标候选人、第三中标候选人。</w:t>
      </w:r>
    </w:p>
    <w:p w14:paraId="719B880A">
      <w:pPr>
        <w:spacing w:line="460" w:lineRule="exact"/>
        <w:ind w:firstLine="480" w:firstLineChars="200"/>
        <w:rPr>
          <w:rFonts w:hint="eastAsia" w:ascii="宋体" w:hAnsi="宋体" w:eastAsia="宋体" w:cs="宋体"/>
          <w:strike/>
          <w:color w:val="000000"/>
          <w:sz w:val="24"/>
          <w:szCs w:val="22"/>
          <w:highlight w:val="none"/>
        </w:rPr>
      </w:pPr>
    </w:p>
    <w:p w14:paraId="52455DEF">
      <w:pPr>
        <w:pStyle w:val="6"/>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baseline"/>
        <w:outlineLvl w:val="1"/>
        <w:rPr>
          <w:rStyle w:val="19"/>
          <w:rFonts w:hint="eastAsia" w:ascii="宋体" w:hAnsi="宋体" w:eastAsia="宋体" w:cs="宋体"/>
          <w:color w:val="000000"/>
          <w:lang w:val="en-US" w:eastAsia="zh-CN"/>
        </w:rPr>
      </w:pPr>
      <w:r>
        <w:rPr>
          <w:rFonts w:hint="eastAsia" w:ascii="宋体" w:hAnsi="宋体" w:eastAsia="宋体" w:cs="宋体"/>
          <w:color w:val="000000"/>
          <w:szCs w:val="22"/>
          <w:highlight w:val="none"/>
        </w:rPr>
        <w:br w:type="page"/>
      </w:r>
      <w:bookmarkStart w:id="115" w:name="_Toc17518"/>
      <w:bookmarkStart w:id="116" w:name="_Toc27899"/>
      <w:r>
        <w:rPr>
          <w:rStyle w:val="19"/>
          <w:rFonts w:hint="eastAsia" w:ascii="宋体" w:hAnsi="宋体" w:eastAsia="宋体" w:cs="宋体"/>
          <w:color w:val="000000"/>
          <w:lang w:val="en-US" w:eastAsia="zh-CN"/>
        </w:rPr>
        <w:t>六、评标办法前附表</w:t>
      </w:r>
      <w:bookmarkEnd w:id="115"/>
      <w:bookmarkEnd w:id="116"/>
    </w:p>
    <w:tbl>
      <w:tblPr>
        <w:tblStyle w:val="15"/>
        <w:tblW w:w="9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107"/>
        <w:gridCol w:w="841"/>
        <w:gridCol w:w="899"/>
        <w:gridCol w:w="6323"/>
      </w:tblGrid>
      <w:tr w14:paraId="4E9A1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752" w:type="dxa"/>
            <w:gridSpan w:val="2"/>
            <w:noWrap w:val="0"/>
            <w:vAlign w:val="center"/>
          </w:tcPr>
          <w:p w14:paraId="41265F69">
            <w:pPr>
              <w:pStyle w:val="20"/>
              <w:keepNext w:val="0"/>
              <w:keepLines w:val="0"/>
              <w:pageBreakBefore w:val="0"/>
              <w:widowControl w:val="0"/>
              <w:kinsoku/>
              <w:wordWrap/>
              <w:overflowPunct/>
              <w:topLinePunct w:val="0"/>
              <w:autoSpaceDE/>
              <w:autoSpaceDN/>
              <w:bidi w:val="0"/>
              <w:spacing w:line="500" w:lineRule="exact"/>
              <w:ind w:right="113"/>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条款号</w:t>
            </w:r>
          </w:p>
        </w:tc>
        <w:tc>
          <w:tcPr>
            <w:tcW w:w="1740" w:type="dxa"/>
            <w:gridSpan w:val="2"/>
            <w:noWrap w:val="0"/>
            <w:vAlign w:val="center"/>
          </w:tcPr>
          <w:p w14:paraId="4E15396F">
            <w:pPr>
              <w:pStyle w:val="20"/>
              <w:keepNext w:val="0"/>
              <w:keepLines w:val="0"/>
              <w:pageBreakBefore w:val="0"/>
              <w:widowControl w:val="0"/>
              <w:kinsoku/>
              <w:wordWrap/>
              <w:overflowPunct/>
              <w:topLinePunct w:val="0"/>
              <w:autoSpaceDE/>
              <w:autoSpaceDN/>
              <w:bidi w:val="0"/>
              <w:spacing w:line="500" w:lineRule="exact"/>
              <w:ind w:left="62" w:right="52"/>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评审因素</w:t>
            </w:r>
          </w:p>
        </w:tc>
        <w:tc>
          <w:tcPr>
            <w:tcW w:w="6323" w:type="dxa"/>
            <w:noWrap w:val="0"/>
            <w:vAlign w:val="center"/>
          </w:tcPr>
          <w:p w14:paraId="56286C97">
            <w:pPr>
              <w:pStyle w:val="20"/>
              <w:keepNext w:val="0"/>
              <w:keepLines w:val="0"/>
              <w:pageBreakBefore w:val="0"/>
              <w:widowControl w:val="0"/>
              <w:kinsoku/>
              <w:wordWrap/>
              <w:overflowPunct/>
              <w:topLinePunct w:val="0"/>
              <w:autoSpaceDE/>
              <w:autoSpaceDN/>
              <w:bidi w:val="0"/>
              <w:spacing w:line="500" w:lineRule="exact"/>
              <w:ind w:left="1900" w:right="189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评审标准</w:t>
            </w:r>
          </w:p>
        </w:tc>
      </w:tr>
      <w:tr w14:paraId="1CFA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jc w:val="center"/>
        </w:trPr>
        <w:tc>
          <w:tcPr>
            <w:tcW w:w="645" w:type="dxa"/>
            <w:noWrap w:val="0"/>
            <w:vAlign w:val="center"/>
          </w:tcPr>
          <w:p w14:paraId="314FEA75">
            <w:pPr>
              <w:pStyle w:val="20"/>
              <w:keepNext w:val="0"/>
              <w:keepLines w:val="0"/>
              <w:pageBreakBefore w:val="0"/>
              <w:widowControl w:val="0"/>
              <w:kinsoku/>
              <w:wordWrap/>
              <w:overflowPunct/>
              <w:topLinePunct w:val="0"/>
              <w:autoSpaceDE/>
              <w:autoSpaceDN/>
              <w:bidi w:val="0"/>
              <w:spacing w:line="500" w:lineRule="exact"/>
              <w:ind w:left="7"/>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107" w:type="dxa"/>
            <w:noWrap w:val="0"/>
            <w:vAlign w:val="center"/>
          </w:tcPr>
          <w:p w14:paraId="365B9F52">
            <w:pPr>
              <w:pStyle w:val="20"/>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1740" w:type="dxa"/>
            <w:gridSpan w:val="2"/>
            <w:noWrap w:val="0"/>
            <w:vAlign w:val="center"/>
          </w:tcPr>
          <w:p w14:paraId="510F6741">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中标候选人排序方法</w:t>
            </w:r>
          </w:p>
        </w:tc>
        <w:tc>
          <w:tcPr>
            <w:tcW w:w="6323" w:type="dxa"/>
            <w:noWrap w:val="0"/>
            <w:vAlign w:val="center"/>
          </w:tcPr>
          <w:p w14:paraId="421800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评标委员会根据评标办法对响应招标文件要求的投标文件进行综合评比，提出评标报告，</w:t>
            </w:r>
            <w:r>
              <w:rPr>
                <w:rFonts w:hint="eastAsia" w:ascii="宋体" w:hAnsi="宋体" w:eastAsia="宋体" w:cs="宋体"/>
                <w:color w:val="000000"/>
                <w:sz w:val="24"/>
                <w:highlight w:val="none"/>
              </w:rPr>
              <w:t>按总得分由高至低依次推荐三个中标候选人，并标明推荐顺序。</w:t>
            </w:r>
            <w:r>
              <w:rPr>
                <w:rFonts w:hint="eastAsia" w:ascii="宋体" w:hAnsi="宋体" w:eastAsia="宋体" w:cs="宋体"/>
                <w:color w:val="000000"/>
                <w:kern w:val="0"/>
                <w:sz w:val="24"/>
                <w:highlight w:val="none"/>
              </w:rPr>
              <w:t>如果出现两个或两个以上投标人得分相同且为最高分，则由评标委员会按照少数服从多数的原则投票决定中标候选顺序。</w:t>
            </w:r>
          </w:p>
        </w:tc>
      </w:tr>
      <w:tr w14:paraId="1721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45" w:type="dxa"/>
            <w:vMerge w:val="restart"/>
            <w:noWrap w:val="0"/>
            <w:vAlign w:val="center"/>
          </w:tcPr>
          <w:p w14:paraId="1AF5B41F">
            <w:pPr>
              <w:pStyle w:val="20"/>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2.1.1</w:t>
            </w:r>
          </w:p>
        </w:tc>
        <w:tc>
          <w:tcPr>
            <w:tcW w:w="1107" w:type="dxa"/>
            <w:vMerge w:val="restart"/>
            <w:noWrap w:val="0"/>
            <w:vAlign w:val="center"/>
          </w:tcPr>
          <w:p w14:paraId="538E4789">
            <w:pPr>
              <w:pStyle w:val="20"/>
              <w:keepNext w:val="0"/>
              <w:keepLines w:val="0"/>
              <w:pageBreakBefore w:val="0"/>
              <w:widowControl w:val="0"/>
              <w:kinsoku/>
              <w:wordWrap/>
              <w:overflowPunct/>
              <w:topLinePunct w:val="0"/>
              <w:autoSpaceDE/>
              <w:autoSpaceDN/>
              <w:bidi w:val="0"/>
              <w:spacing w:line="500" w:lineRule="exact"/>
              <w:ind w:left="230" w:right="127" w:hanging="89"/>
              <w:rPr>
                <w:rFonts w:hint="eastAsia" w:ascii="宋体" w:hAnsi="宋体" w:eastAsia="宋体" w:cs="宋体"/>
                <w:color w:val="000000"/>
                <w:sz w:val="24"/>
                <w:highlight w:val="none"/>
              </w:rPr>
            </w:pPr>
            <w:r>
              <w:rPr>
                <w:rFonts w:hint="eastAsia" w:ascii="宋体" w:hAnsi="宋体" w:eastAsia="宋体" w:cs="宋体"/>
                <w:color w:val="000000"/>
                <w:sz w:val="24"/>
                <w:highlight w:val="none"/>
              </w:rPr>
              <w:t>形式评审标准</w:t>
            </w:r>
          </w:p>
        </w:tc>
        <w:tc>
          <w:tcPr>
            <w:tcW w:w="1740" w:type="dxa"/>
            <w:gridSpan w:val="2"/>
            <w:noWrap w:val="0"/>
            <w:vAlign w:val="center"/>
          </w:tcPr>
          <w:p w14:paraId="2316B493">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投标人名称</w:t>
            </w:r>
          </w:p>
        </w:tc>
        <w:tc>
          <w:tcPr>
            <w:tcW w:w="6323" w:type="dxa"/>
            <w:noWrap w:val="0"/>
            <w:vAlign w:val="center"/>
          </w:tcPr>
          <w:p w14:paraId="7FD57704">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与营业执照、资质证书一致</w:t>
            </w:r>
          </w:p>
        </w:tc>
      </w:tr>
      <w:tr w14:paraId="5AAC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645" w:type="dxa"/>
            <w:vMerge w:val="continue"/>
            <w:noWrap w:val="0"/>
            <w:vAlign w:val="center"/>
          </w:tcPr>
          <w:p w14:paraId="030C9E61">
            <w:pPr>
              <w:pStyle w:val="20"/>
              <w:keepNext w:val="0"/>
              <w:keepLines w:val="0"/>
              <w:pageBreakBefore w:val="0"/>
              <w:widowControl w:val="0"/>
              <w:kinsoku/>
              <w:wordWrap/>
              <w:overflowPunct/>
              <w:topLinePunct w:val="0"/>
              <w:autoSpaceDE/>
              <w:autoSpaceDN/>
              <w:bidi w:val="0"/>
              <w:spacing w:line="500" w:lineRule="exact"/>
              <w:ind w:left="239"/>
              <w:jc w:val="center"/>
              <w:rPr>
                <w:rFonts w:hint="eastAsia" w:ascii="宋体" w:hAnsi="宋体" w:eastAsia="宋体" w:cs="宋体"/>
                <w:color w:val="000000"/>
                <w:sz w:val="24"/>
                <w:highlight w:val="none"/>
              </w:rPr>
            </w:pPr>
          </w:p>
        </w:tc>
        <w:tc>
          <w:tcPr>
            <w:tcW w:w="1107" w:type="dxa"/>
            <w:vMerge w:val="continue"/>
            <w:noWrap w:val="0"/>
            <w:vAlign w:val="center"/>
          </w:tcPr>
          <w:p w14:paraId="00A449F6">
            <w:pPr>
              <w:pStyle w:val="20"/>
              <w:keepNext w:val="0"/>
              <w:keepLines w:val="0"/>
              <w:pageBreakBefore w:val="0"/>
              <w:widowControl w:val="0"/>
              <w:kinsoku/>
              <w:wordWrap/>
              <w:overflowPunct/>
              <w:topLinePunct w:val="0"/>
              <w:autoSpaceDE/>
              <w:autoSpaceDN/>
              <w:bidi w:val="0"/>
              <w:spacing w:line="500" w:lineRule="exact"/>
              <w:ind w:left="230" w:right="127" w:hanging="89"/>
              <w:rPr>
                <w:rFonts w:hint="eastAsia" w:ascii="宋体" w:hAnsi="宋体" w:eastAsia="宋体" w:cs="宋体"/>
                <w:color w:val="000000"/>
                <w:sz w:val="24"/>
                <w:highlight w:val="none"/>
              </w:rPr>
            </w:pPr>
          </w:p>
        </w:tc>
        <w:tc>
          <w:tcPr>
            <w:tcW w:w="1740" w:type="dxa"/>
            <w:gridSpan w:val="2"/>
            <w:noWrap w:val="0"/>
            <w:vAlign w:val="top"/>
          </w:tcPr>
          <w:p w14:paraId="5DFCF6D5">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投标文件的签字盖章</w:t>
            </w:r>
          </w:p>
        </w:tc>
        <w:tc>
          <w:tcPr>
            <w:tcW w:w="6323" w:type="dxa"/>
            <w:noWrap w:val="0"/>
            <w:vAlign w:val="center"/>
          </w:tcPr>
          <w:p w14:paraId="4EECB3A8">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符合第二章“投标人须知”第 </w:t>
            </w:r>
            <w:r>
              <w:rPr>
                <w:rFonts w:hint="eastAsia" w:ascii="宋体" w:hAnsi="宋体" w:eastAsia="宋体" w:cs="宋体"/>
                <w:color w:val="000000"/>
                <w:sz w:val="24"/>
                <w:highlight w:val="none"/>
                <w:lang w:val="en-US"/>
              </w:rPr>
              <w:t>3</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rPr>
              <w:t>7</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rPr>
              <w:t>2</w:t>
            </w:r>
            <w:r>
              <w:rPr>
                <w:rFonts w:hint="eastAsia" w:ascii="宋体" w:hAnsi="宋体" w:eastAsia="宋体" w:cs="宋体"/>
                <w:color w:val="000000"/>
                <w:sz w:val="24"/>
                <w:highlight w:val="none"/>
              </w:rPr>
              <w:t xml:space="preserve"> 项规定</w:t>
            </w:r>
          </w:p>
        </w:tc>
      </w:tr>
      <w:tr w14:paraId="4C46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645" w:type="dxa"/>
            <w:vMerge w:val="continue"/>
            <w:tcBorders>
              <w:top w:val="nil"/>
            </w:tcBorders>
            <w:noWrap w:val="0"/>
            <w:vAlign w:val="center"/>
          </w:tcPr>
          <w:p w14:paraId="5BEB14D7">
            <w:pPr>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p>
        </w:tc>
        <w:tc>
          <w:tcPr>
            <w:tcW w:w="1107" w:type="dxa"/>
            <w:vMerge w:val="continue"/>
            <w:tcBorders>
              <w:top w:val="nil"/>
            </w:tcBorders>
            <w:noWrap w:val="0"/>
            <w:vAlign w:val="center"/>
          </w:tcPr>
          <w:p w14:paraId="3FC767ED">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740" w:type="dxa"/>
            <w:gridSpan w:val="2"/>
            <w:noWrap w:val="0"/>
            <w:vAlign w:val="center"/>
          </w:tcPr>
          <w:p w14:paraId="0C294599">
            <w:pPr>
              <w:pStyle w:val="20"/>
              <w:keepNext w:val="0"/>
              <w:keepLines w:val="0"/>
              <w:pageBreakBefore w:val="0"/>
              <w:widowControl w:val="0"/>
              <w:kinsoku/>
              <w:wordWrap/>
              <w:overflowPunct/>
              <w:topLinePunct w:val="0"/>
              <w:autoSpaceDE/>
              <w:autoSpaceDN/>
              <w:bidi w:val="0"/>
              <w:spacing w:line="500" w:lineRule="exact"/>
              <w:ind w:left="62" w:right="52"/>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投标文件格式</w:t>
            </w:r>
          </w:p>
        </w:tc>
        <w:tc>
          <w:tcPr>
            <w:tcW w:w="6323" w:type="dxa"/>
            <w:noWrap w:val="0"/>
            <w:vAlign w:val="center"/>
          </w:tcPr>
          <w:p w14:paraId="50D2B797">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符合第六章“投标文件格式”的规定</w:t>
            </w:r>
          </w:p>
        </w:tc>
      </w:tr>
      <w:tr w14:paraId="45385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645" w:type="dxa"/>
            <w:vMerge w:val="restart"/>
            <w:noWrap w:val="0"/>
            <w:vAlign w:val="center"/>
          </w:tcPr>
          <w:p w14:paraId="16DB20D6">
            <w:pPr>
              <w:pStyle w:val="20"/>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2.1.2</w:t>
            </w:r>
          </w:p>
        </w:tc>
        <w:tc>
          <w:tcPr>
            <w:tcW w:w="1107" w:type="dxa"/>
            <w:vMerge w:val="restart"/>
            <w:noWrap w:val="0"/>
            <w:vAlign w:val="center"/>
          </w:tcPr>
          <w:p w14:paraId="4366B974">
            <w:pPr>
              <w:pStyle w:val="20"/>
              <w:keepNext w:val="0"/>
              <w:keepLines w:val="0"/>
              <w:pageBreakBefore w:val="0"/>
              <w:widowControl w:val="0"/>
              <w:kinsoku/>
              <w:wordWrap/>
              <w:overflowPunct/>
              <w:topLinePunct w:val="0"/>
              <w:autoSpaceDE/>
              <w:autoSpaceDN/>
              <w:bidi w:val="0"/>
              <w:spacing w:line="500" w:lineRule="exact"/>
              <w:ind w:left="230" w:right="127" w:hanging="89"/>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资格评审标准</w:t>
            </w:r>
          </w:p>
        </w:tc>
        <w:tc>
          <w:tcPr>
            <w:tcW w:w="1740" w:type="dxa"/>
            <w:gridSpan w:val="2"/>
            <w:noWrap w:val="0"/>
            <w:vAlign w:val="center"/>
          </w:tcPr>
          <w:p w14:paraId="092FD739">
            <w:pPr>
              <w:pStyle w:val="20"/>
              <w:keepNext w:val="0"/>
              <w:keepLines w:val="0"/>
              <w:pageBreakBefore w:val="0"/>
              <w:widowControl w:val="0"/>
              <w:kinsoku/>
              <w:wordWrap/>
              <w:overflowPunct/>
              <w:topLinePunct w:val="0"/>
              <w:autoSpaceDE/>
              <w:autoSpaceDN/>
              <w:bidi w:val="0"/>
              <w:spacing w:line="500" w:lineRule="exact"/>
              <w:ind w:left="1027" w:right="175" w:hanging="841"/>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营业执照</w:t>
            </w:r>
          </w:p>
        </w:tc>
        <w:tc>
          <w:tcPr>
            <w:tcW w:w="6323" w:type="dxa"/>
            <w:noWrap w:val="0"/>
            <w:vAlign w:val="center"/>
          </w:tcPr>
          <w:p w14:paraId="2335FFE4">
            <w:pPr>
              <w:pStyle w:val="20"/>
              <w:keepNext w:val="0"/>
              <w:keepLines w:val="0"/>
              <w:pageBreakBefore w:val="0"/>
              <w:widowControl w:val="0"/>
              <w:kinsoku/>
              <w:wordWrap/>
              <w:overflowPunct/>
              <w:topLinePunct w:val="0"/>
              <w:autoSpaceDE/>
              <w:autoSpaceDN/>
              <w:bidi w:val="0"/>
              <w:spacing w:line="500" w:lineRule="exact"/>
              <w:ind w:left="108" w:right="41"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具备有效的营业执照</w:t>
            </w:r>
          </w:p>
        </w:tc>
      </w:tr>
      <w:tr w14:paraId="4E1DD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645" w:type="dxa"/>
            <w:vMerge w:val="continue"/>
            <w:noWrap w:val="0"/>
            <w:vAlign w:val="center"/>
          </w:tcPr>
          <w:p w14:paraId="245D3E2B">
            <w:pPr>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p>
        </w:tc>
        <w:tc>
          <w:tcPr>
            <w:tcW w:w="1107" w:type="dxa"/>
            <w:vMerge w:val="continue"/>
            <w:noWrap w:val="0"/>
            <w:vAlign w:val="center"/>
          </w:tcPr>
          <w:p w14:paraId="09A71513">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740" w:type="dxa"/>
            <w:gridSpan w:val="2"/>
            <w:noWrap w:val="0"/>
            <w:vAlign w:val="center"/>
          </w:tcPr>
          <w:p w14:paraId="753B8BF7">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资质要求</w:t>
            </w:r>
          </w:p>
        </w:tc>
        <w:tc>
          <w:tcPr>
            <w:tcW w:w="6323" w:type="dxa"/>
            <w:noWrap w:val="0"/>
            <w:vAlign w:val="center"/>
          </w:tcPr>
          <w:p w14:paraId="5BCDE041">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符合第二章“投标人须知”第 1.4.1 项规定</w:t>
            </w:r>
          </w:p>
        </w:tc>
      </w:tr>
      <w:tr w14:paraId="46BDB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645" w:type="dxa"/>
            <w:vMerge w:val="continue"/>
            <w:noWrap w:val="0"/>
            <w:vAlign w:val="center"/>
          </w:tcPr>
          <w:p w14:paraId="3EDB888B">
            <w:pPr>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p>
        </w:tc>
        <w:tc>
          <w:tcPr>
            <w:tcW w:w="1107" w:type="dxa"/>
            <w:vMerge w:val="continue"/>
            <w:noWrap w:val="0"/>
            <w:vAlign w:val="center"/>
          </w:tcPr>
          <w:p w14:paraId="38F8A154">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740" w:type="dxa"/>
            <w:gridSpan w:val="2"/>
            <w:noWrap w:val="0"/>
            <w:vAlign w:val="center"/>
          </w:tcPr>
          <w:p w14:paraId="3709669E">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信誉要求</w:t>
            </w:r>
          </w:p>
        </w:tc>
        <w:tc>
          <w:tcPr>
            <w:tcW w:w="6323" w:type="dxa"/>
            <w:noWrap w:val="0"/>
            <w:vAlign w:val="center"/>
          </w:tcPr>
          <w:p w14:paraId="79E15DEE">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符合第二章“投标人须知”第 1.4.1 项规定</w:t>
            </w:r>
          </w:p>
        </w:tc>
      </w:tr>
      <w:tr w14:paraId="12BDB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645" w:type="dxa"/>
            <w:vMerge w:val="continue"/>
            <w:noWrap w:val="0"/>
            <w:vAlign w:val="center"/>
          </w:tcPr>
          <w:p w14:paraId="64A490C0">
            <w:pPr>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p>
        </w:tc>
        <w:tc>
          <w:tcPr>
            <w:tcW w:w="1107" w:type="dxa"/>
            <w:vMerge w:val="continue"/>
            <w:noWrap w:val="0"/>
            <w:vAlign w:val="center"/>
          </w:tcPr>
          <w:p w14:paraId="278C2ED3">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740" w:type="dxa"/>
            <w:gridSpan w:val="2"/>
            <w:noWrap w:val="0"/>
            <w:vAlign w:val="center"/>
          </w:tcPr>
          <w:p w14:paraId="5DE675F5">
            <w:pPr>
              <w:pStyle w:val="20"/>
              <w:keepNext w:val="0"/>
              <w:keepLines w:val="0"/>
              <w:pageBreakBefore w:val="0"/>
              <w:widowControl w:val="0"/>
              <w:kinsoku/>
              <w:wordWrap/>
              <w:overflowPunct/>
              <w:topLinePunct w:val="0"/>
              <w:autoSpaceDE/>
              <w:autoSpaceDN/>
              <w:bidi w:val="0"/>
              <w:spacing w:line="500" w:lineRule="exact"/>
              <w:ind w:left="230" w:right="127" w:hanging="89"/>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不存在禁止投标的情形</w:t>
            </w:r>
          </w:p>
        </w:tc>
        <w:tc>
          <w:tcPr>
            <w:tcW w:w="6323" w:type="dxa"/>
            <w:noWrap w:val="0"/>
            <w:vAlign w:val="center"/>
          </w:tcPr>
          <w:p w14:paraId="59856085">
            <w:pPr>
              <w:pStyle w:val="20"/>
              <w:keepNext w:val="0"/>
              <w:keepLines w:val="0"/>
              <w:pageBreakBefore w:val="0"/>
              <w:widowControl w:val="0"/>
              <w:kinsoku/>
              <w:wordWrap/>
              <w:overflowPunct/>
              <w:topLinePunct w:val="0"/>
              <w:autoSpaceDE/>
              <w:autoSpaceDN/>
              <w:bidi w:val="0"/>
              <w:spacing w:line="500" w:lineRule="exact"/>
              <w:ind w:left="108" w:right="41"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不存在第二章“投标人须知”第 1.4.3 项规定的任何一种情形</w:t>
            </w:r>
          </w:p>
        </w:tc>
      </w:tr>
      <w:tr w14:paraId="09BCF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645" w:type="dxa"/>
            <w:vMerge w:val="restart"/>
            <w:noWrap w:val="0"/>
            <w:vAlign w:val="center"/>
          </w:tcPr>
          <w:p w14:paraId="7C55DDC6">
            <w:pPr>
              <w:pStyle w:val="20"/>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2.1.3</w:t>
            </w:r>
          </w:p>
        </w:tc>
        <w:tc>
          <w:tcPr>
            <w:tcW w:w="1107" w:type="dxa"/>
            <w:vMerge w:val="restart"/>
            <w:noWrap w:val="0"/>
            <w:vAlign w:val="center"/>
          </w:tcPr>
          <w:p w14:paraId="08FD4550">
            <w:pPr>
              <w:pStyle w:val="20"/>
              <w:keepNext w:val="0"/>
              <w:keepLines w:val="0"/>
              <w:pageBreakBefore w:val="0"/>
              <w:widowControl w:val="0"/>
              <w:kinsoku/>
              <w:wordWrap/>
              <w:overflowPunct/>
              <w:topLinePunct w:val="0"/>
              <w:autoSpaceDE/>
              <w:autoSpaceDN/>
              <w:bidi w:val="0"/>
              <w:spacing w:line="500" w:lineRule="exact"/>
              <w:ind w:left="4" w:right="127" w:hanging="4"/>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w:t>
            </w:r>
            <w:r>
              <w:rPr>
                <w:rFonts w:hint="eastAsia" w:ascii="宋体" w:hAnsi="宋体" w:eastAsia="宋体" w:cs="宋体"/>
                <w:color w:val="000000"/>
                <w:sz w:val="24"/>
                <w:highlight w:val="none"/>
                <w:lang w:val="en-US"/>
              </w:rPr>
              <w:t xml:space="preserve"> </w:t>
            </w:r>
            <w:r>
              <w:rPr>
                <w:rFonts w:hint="eastAsia" w:ascii="宋体" w:hAnsi="宋体" w:eastAsia="宋体" w:cs="宋体"/>
                <w:color w:val="000000"/>
                <w:sz w:val="24"/>
                <w:highlight w:val="none"/>
              </w:rPr>
              <w:t>应</w:t>
            </w:r>
            <w:r>
              <w:rPr>
                <w:rFonts w:hint="eastAsia" w:ascii="宋体" w:hAnsi="宋体" w:eastAsia="宋体" w:cs="宋体"/>
                <w:color w:val="000000"/>
                <w:sz w:val="24"/>
                <w:highlight w:val="none"/>
                <w:lang w:val="en-US"/>
              </w:rPr>
              <w:t xml:space="preserve"> </w:t>
            </w:r>
            <w:r>
              <w:rPr>
                <w:rFonts w:hint="eastAsia" w:ascii="宋体" w:hAnsi="宋体" w:eastAsia="宋体" w:cs="宋体"/>
                <w:color w:val="000000"/>
                <w:sz w:val="24"/>
                <w:highlight w:val="none"/>
              </w:rPr>
              <w:t>性评审标准</w:t>
            </w:r>
          </w:p>
        </w:tc>
        <w:tc>
          <w:tcPr>
            <w:tcW w:w="1740" w:type="dxa"/>
            <w:gridSpan w:val="2"/>
            <w:noWrap w:val="0"/>
            <w:vAlign w:val="center"/>
          </w:tcPr>
          <w:p w14:paraId="6A704FF7">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投标报价</w:t>
            </w:r>
          </w:p>
        </w:tc>
        <w:tc>
          <w:tcPr>
            <w:tcW w:w="6323" w:type="dxa"/>
            <w:noWrap w:val="0"/>
            <w:vAlign w:val="center"/>
          </w:tcPr>
          <w:p w14:paraId="520F19C1">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符合第二章“投标人须知”第 3.2</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 xml:space="preserve"> 款规定</w:t>
            </w:r>
          </w:p>
        </w:tc>
      </w:tr>
      <w:tr w14:paraId="404F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645" w:type="dxa"/>
            <w:vMerge w:val="continue"/>
            <w:tcBorders>
              <w:top w:val="nil"/>
            </w:tcBorders>
            <w:noWrap w:val="0"/>
            <w:vAlign w:val="top"/>
          </w:tcPr>
          <w:p w14:paraId="1B38FE70">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107" w:type="dxa"/>
            <w:vMerge w:val="continue"/>
            <w:tcBorders>
              <w:top w:val="nil"/>
            </w:tcBorders>
            <w:noWrap w:val="0"/>
            <w:vAlign w:val="top"/>
          </w:tcPr>
          <w:p w14:paraId="64AD3C67">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740" w:type="dxa"/>
            <w:gridSpan w:val="2"/>
            <w:noWrap w:val="0"/>
            <w:vAlign w:val="center"/>
          </w:tcPr>
          <w:p w14:paraId="0DBEF3D7">
            <w:pPr>
              <w:pStyle w:val="20"/>
              <w:keepNext w:val="0"/>
              <w:keepLines w:val="0"/>
              <w:pageBreakBefore w:val="0"/>
              <w:widowControl w:val="0"/>
              <w:kinsoku/>
              <w:wordWrap/>
              <w:overflowPunct/>
              <w:topLinePunct w:val="0"/>
              <w:autoSpaceDE/>
              <w:autoSpaceDN/>
              <w:bidi w:val="0"/>
              <w:spacing w:line="500" w:lineRule="exact"/>
              <w:ind w:left="62" w:right="52"/>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计划工期</w:t>
            </w:r>
          </w:p>
        </w:tc>
        <w:tc>
          <w:tcPr>
            <w:tcW w:w="6323" w:type="dxa"/>
            <w:noWrap w:val="0"/>
            <w:vAlign w:val="center"/>
          </w:tcPr>
          <w:p w14:paraId="6B076038">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符合第二章“投标人须知”第 1.3.2 项规定</w:t>
            </w:r>
          </w:p>
        </w:tc>
      </w:tr>
      <w:tr w14:paraId="2A976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645" w:type="dxa"/>
            <w:vMerge w:val="continue"/>
            <w:tcBorders>
              <w:top w:val="nil"/>
            </w:tcBorders>
            <w:noWrap w:val="0"/>
            <w:vAlign w:val="top"/>
          </w:tcPr>
          <w:p w14:paraId="353A760D">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107" w:type="dxa"/>
            <w:vMerge w:val="continue"/>
            <w:tcBorders>
              <w:top w:val="nil"/>
            </w:tcBorders>
            <w:noWrap w:val="0"/>
            <w:vAlign w:val="top"/>
          </w:tcPr>
          <w:p w14:paraId="2190186A">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740" w:type="dxa"/>
            <w:gridSpan w:val="2"/>
            <w:noWrap w:val="0"/>
            <w:vAlign w:val="center"/>
          </w:tcPr>
          <w:p w14:paraId="2E7192F2">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6323" w:type="dxa"/>
            <w:noWrap w:val="0"/>
            <w:vAlign w:val="center"/>
          </w:tcPr>
          <w:p w14:paraId="189B2C3B">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符合第二章“投标人须知”第 3.3.1 项规定</w:t>
            </w:r>
          </w:p>
        </w:tc>
      </w:tr>
      <w:tr w14:paraId="466E8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645" w:type="dxa"/>
            <w:vMerge w:val="continue"/>
            <w:tcBorders>
              <w:top w:val="nil"/>
            </w:tcBorders>
            <w:noWrap w:val="0"/>
            <w:vAlign w:val="top"/>
          </w:tcPr>
          <w:p w14:paraId="3CD45638">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107" w:type="dxa"/>
            <w:vMerge w:val="continue"/>
            <w:tcBorders>
              <w:top w:val="nil"/>
            </w:tcBorders>
            <w:noWrap w:val="0"/>
            <w:vAlign w:val="top"/>
          </w:tcPr>
          <w:p w14:paraId="42D22A41">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p>
        </w:tc>
        <w:tc>
          <w:tcPr>
            <w:tcW w:w="1740" w:type="dxa"/>
            <w:gridSpan w:val="2"/>
            <w:noWrap w:val="0"/>
            <w:vAlign w:val="center"/>
          </w:tcPr>
          <w:p w14:paraId="16A6B007">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6323" w:type="dxa"/>
            <w:noWrap w:val="0"/>
            <w:vAlign w:val="center"/>
          </w:tcPr>
          <w:p w14:paraId="36A25E02">
            <w:pPr>
              <w:pStyle w:val="20"/>
              <w:keepNext w:val="0"/>
              <w:keepLines w:val="0"/>
              <w:pageBreakBefore w:val="0"/>
              <w:widowControl w:val="0"/>
              <w:kinsoku/>
              <w:wordWrap/>
              <w:overflowPunct/>
              <w:topLinePunct w:val="0"/>
              <w:autoSpaceDE/>
              <w:autoSpaceDN/>
              <w:bidi w:val="0"/>
              <w:spacing w:line="500" w:lineRule="exact"/>
              <w:ind w:left="10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符合第二章“投标人须知”第 3.4.1 项规定</w:t>
            </w:r>
          </w:p>
        </w:tc>
      </w:tr>
      <w:tr w14:paraId="0F072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9815" w:type="dxa"/>
            <w:gridSpan w:val="5"/>
            <w:tcBorders>
              <w:top w:val="nil"/>
            </w:tcBorders>
            <w:noWrap w:val="0"/>
            <w:vAlign w:val="top"/>
          </w:tcPr>
          <w:p w14:paraId="00EEEE1B">
            <w:pPr>
              <w:pStyle w:val="20"/>
              <w:keepNext w:val="0"/>
              <w:keepLines w:val="0"/>
              <w:pageBreakBefore w:val="0"/>
              <w:widowControl w:val="0"/>
              <w:kinsoku/>
              <w:wordWrap/>
              <w:overflowPunct/>
              <w:topLinePunct w:val="0"/>
              <w:autoSpaceDE/>
              <w:autoSpaceDN/>
              <w:bidi w:val="0"/>
              <w:spacing w:line="500" w:lineRule="exact"/>
              <w:ind w:left="108"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委员会依据以上评审标准对投标人初步评审。有一项不符合评审标准的，作无效投标处理。如果评标委员会成员意见不一致时，通过记名投票表决方式(不得采用弃权方式)以少数服从多数的原则决定投标人是否通过审查。</w:t>
            </w:r>
          </w:p>
        </w:tc>
      </w:tr>
      <w:tr w14:paraId="10CF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1752" w:type="dxa"/>
            <w:gridSpan w:val="2"/>
            <w:noWrap w:val="0"/>
            <w:vAlign w:val="center"/>
          </w:tcPr>
          <w:p w14:paraId="3FD812A4">
            <w:pPr>
              <w:pStyle w:val="20"/>
              <w:keepNext w:val="0"/>
              <w:keepLines w:val="0"/>
              <w:pageBreakBefore w:val="0"/>
              <w:widowControl w:val="0"/>
              <w:kinsoku/>
              <w:wordWrap/>
              <w:overflowPunct/>
              <w:topLinePunct w:val="0"/>
              <w:autoSpaceDE/>
              <w:autoSpaceDN/>
              <w:bidi w:val="0"/>
              <w:spacing w:line="500" w:lineRule="exact"/>
              <w:ind w:left="420" w:right="43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1740" w:type="dxa"/>
            <w:gridSpan w:val="2"/>
            <w:noWrap w:val="0"/>
            <w:vAlign w:val="center"/>
          </w:tcPr>
          <w:p w14:paraId="5FE8BCF8">
            <w:pPr>
              <w:pStyle w:val="20"/>
              <w:keepNext w:val="0"/>
              <w:keepLines w:val="0"/>
              <w:pageBreakBefore w:val="0"/>
              <w:widowControl w:val="0"/>
              <w:kinsoku/>
              <w:wordWrap/>
              <w:overflowPunct/>
              <w:topLinePunct w:val="0"/>
              <w:autoSpaceDE/>
              <w:autoSpaceDN/>
              <w:bidi w:val="0"/>
              <w:spacing w:line="500" w:lineRule="exact"/>
              <w:ind w:left="62" w:right="5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条款内容</w:t>
            </w:r>
          </w:p>
        </w:tc>
        <w:tc>
          <w:tcPr>
            <w:tcW w:w="6323" w:type="dxa"/>
            <w:noWrap w:val="0"/>
            <w:vAlign w:val="center"/>
          </w:tcPr>
          <w:p w14:paraId="7323F409">
            <w:pPr>
              <w:pStyle w:val="20"/>
              <w:keepNext w:val="0"/>
              <w:keepLines w:val="0"/>
              <w:pageBreakBefore w:val="0"/>
              <w:widowControl w:val="0"/>
              <w:kinsoku/>
              <w:wordWrap/>
              <w:overflowPunct/>
              <w:topLinePunct w:val="0"/>
              <w:autoSpaceDE/>
              <w:autoSpaceDN/>
              <w:bidi w:val="0"/>
              <w:spacing w:line="500" w:lineRule="exact"/>
              <w:ind w:left="1900" w:right="189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编列内容</w:t>
            </w:r>
          </w:p>
        </w:tc>
      </w:tr>
      <w:tr w14:paraId="7B4F8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jc w:val="center"/>
        </w:trPr>
        <w:tc>
          <w:tcPr>
            <w:tcW w:w="1752" w:type="dxa"/>
            <w:gridSpan w:val="2"/>
            <w:noWrap w:val="0"/>
            <w:vAlign w:val="center"/>
          </w:tcPr>
          <w:p w14:paraId="7E4C7F25">
            <w:pPr>
              <w:pStyle w:val="20"/>
              <w:keepNext w:val="0"/>
              <w:keepLines w:val="0"/>
              <w:pageBreakBefore w:val="0"/>
              <w:widowControl w:val="0"/>
              <w:kinsoku/>
              <w:wordWrap/>
              <w:overflowPunct/>
              <w:topLinePunct w:val="0"/>
              <w:autoSpaceDE/>
              <w:autoSpaceDN/>
              <w:bidi w:val="0"/>
              <w:spacing w:line="500" w:lineRule="exact"/>
              <w:ind w:right="6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2.2.1</w:t>
            </w:r>
          </w:p>
        </w:tc>
        <w:tc>
          <w:tcPr>
            <w:tcW w:w="1740" w:type="dxa"/>
            <w:gridSpan w:val="2"/>
            <w:noWrap w:val="0"/>
            <w:vAlign w:val="center"/>
          </w:tcPr>
          <w:p w14:paraId="0095FA09">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分值构成</w:t>
            </w:r>
          </w:p>
          <w:p w14:paraId="7ABB2888">
            <w:pPr>
              <w:pStyle w:val="20"/>
              <w:keepNext w:val="0"/>
              <w:keepLines w:val="0"/>
              <w:pageBreakBefore w:val="0"/>
              <w:widowControl w:val="0"/>
              <w:kinsoku/>
              <w:wordWrap/>
              <w:overflowPunct/>
              <w:topLinePunct w:val="0"/>
              <w:autoSpaceDE/>
              <w:autoSpaceDN/>
              <w:bidi w:val="0"/>
              <w:spacing w:line="500" w:lineRule="exact"/>
              <w:ind w:left="63" w:right="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(总分100分)</w:t>
            </w:r>
          </w:p>
        </w:tc>
        <w:tc>
          <w:tcPr>
            <w:tcW w:w="6323" w:type="dxa"/>
            <w:noWrap w:val="0"/>
            <w:vAlign w:val="center"/>
          </w:tcPr>
          <w:p w14:paraId="17450CCE">
            <w:pPr>
              <w:pStyle w:val="20"/>
              <w:keepNext w:val="0"/>
              <w:keepLines w:val="0"/>
              <w:pageBreakBefore w:val="0"/>
              <w:widowControl w:val="0"/>
              <w:shd w:val="clear" w:color="auto" w:fill="auto"/>
              <w:kinsoku/>
              <w:wordWrap/>
              <w:overflowPunct/>
              <w:topLinePunct w:val="0"/>
              <w:autoSpaceDE/>
              <w:autoSpaceDN/>
              <w:bidi w:val="0"/>
              <w:spacing w:line="500" w:lineRule="exact"/>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商务部分</w:t>
            </w:r>
            <w:r>
              <w:rPr>
                <w:rFonts w:hint="eastAsia" w:ascii="宋体" w:hAnsi="宋体" w:eastAsia="宋体" w:cs="宋体"/>
                <w:color w:val="auto"/>
                <w:kern w:val="0"/>
                <w:sz w:val="24"/>
                <w:highlight w:val="none"/>
              </w:rPr>
              <w:t>F1</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50</w:t>
            </w:r>
            <w:r>
              <w:rPr>
                <w:rFonts w:hint="eastAsia" w:ascii="宋体" w:hAnsi="宋体" w:eastAsia="宋体" w:cs="宋体"/>
                <w:color w:val="auto"/>
                <w:sz w:val="24"/>
                <w:highlight w:val="none"/>
              </w:rPr>
              <w:t>分</w:t>
            </w:r>
          </w:p>
          <w:p w14:paraId="065C4AD8">
            <w:pPr>
              <w:pStyle w:val="20"/>
              <w:keepNext w:val="0"/>
              <w:keepLines w:val="0"/>
              <w:pageBreakBefore w:val="0"/>
              <w:widowControl w:val="0"/>
              <w:shd w:val="clear" w:color="auto" w:fill="auto"/>
              <w:kinsoku/>
              <w:wordWrap/>
              <w:overflowPunct/>
              <w:topLinePunct w:val="0"/>
              <w:autoSpaceDE/>
              <w:autoSpaceDN/>
              <w:bidi w:val="0"/>
              <w:spacing w:line="500" w:lineRule="exact"/>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技术部分</w:t>
            </w:r>
            <w:r>
              <w:rPr>
                <w:rFonts w:hint="eastAsia" w:ascii="宋体" w:hAnsi="宋体" w:eastAsia="宋体" w:cs="宋体"/>
                <w:color w:val="auto"/>
                <w:kern w:val="0"/>
                <w:sz w:val="24"/>
                <w:highlight w:val="none"/>
              </w:rPr>
              <w:t>F2</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40</w:t>
            </w:r>
            <w:r>
              <w:rPr>
                <w:rFonts w:hint="eastAsia" w:ascii="宋体" w:hAnsi="宋体" w:eastAsia="宋体" w:cs="宋体"/>
                <w:color w:val="auto"/>
                <w:sz w:val="24"/>
                <w:highlight w:val="none"/>
              </w:rPr>
              <w:t>分</w:t>
            </w:r>
          </w:p>
          <w:p w14:paraId="312EA7B2">
            <w:pPr>
              <w:pStyle w:val="20"/>
              <w:keepNext w:val="0"/>
              <w:keepLines w:val="0"/>
              <w:pageBreakBefore w:val="0"/>
              <w:widowControl w:val="0"/>
              <w:shd w:val="clear" w:color="auto" w:fill="auto"/>
              <w:kinsoku/>
              <w:wordWrap/>
              <w:overflowPunct/>
              <w:topLinePunct w:val="0"/>
              <w:autoSpaceDE/>
              <w:autoSpaceDN/>
              <w:bidi w:val="0"/>
              <w:spacing w:line="500" w:lineRule="exact"/>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r>
              <w:rPr>
                <w:rFonts w:hint="eastAsia" w:ascii="宋体" w:hAnsi="宋体" w:eastAsia="宋体" w:cs="宋体"/>
                <w:color w:val="auto"/>
                <w:kern w:val="0"/>
                <w:sz w:val="24"/>
                <w:highlight w:val="none"/>
              </w:rPr>
              <w:t>F3</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分</w:t>
            </w:r>
          </w:p>
        </w:tc>
      </w:tr>
      <w:tr w14:paraId="432E2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5" w:type="dxa"/>
            <w:vMerge w:val="restart"/>
            <w:noWrap w:val="0"/>
            <w:vAlign w:val="center"/>
          </w:tcPr>
          <w:p w14:paraId="7B4B2A75">
            <w:pPr>
              <w:pStyle w:val="20"/>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2.2.2（1）</w:t>
            </w:r>
          </w:p>
        </w:tc>
        <w:tc>
          <w:tcPr>
            <w:tcW w:w="1107" w:type="dxa"/>
            <w:vMerge w:val="restart"/>
            <w:noWrap w:val="0"/>
            <w:vAlign w:val="center"/>
          </w:tcPr>
          <w:p w14:paraId="07982618">
            <w:pPr>
              <w:pStyle w:val="20"/>
              <w:keepNext w:val="0"/>
              <w:keepLines w:val="0"/>
              <w:pageBreakBefore w:val="0"/>
              <w:widowControl w:val="0"/>
              <w:kinsoku/>
              <w:wordWrap/>
              <w:overflowPunct/>
              <w:topLinePunct w:val="0"/>
              <w:autoSpaceDE/>
              <w:autoSpaceDN/>
              <w:bidi w:val="0"/>
              <w:spacing w:line="500" w:lineRule="exact"/>
              <w:ind w:right="127"/>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商务部分F1</w:t>
            </w:r>
          </w:p>
          <w:p w14:paraId="17EE559D">
            <w:pPr>
              <w:pStyle w:val="20"/>
              <w:keepNext w:val="0"/>
              <w:keepLines w:val="0"/>
              <w:pageBreakBefore w:val="0"/>
              <w:widowControl w:val="0"/>
              <w:kinsoku/>
              <w:wordWrap/>
              <w:overflowPunct/>
              <w:topLinePunct w:val="0"/>
              <w:autoSpaceDE/>
              <w:autoSpaceDN/>
              <w:bidi w:val="0"/>
              <w:spacing w:line="500" w:lineRule="exact"/>
              <w:ind w:right="127"/>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（50分）</w:t>
            </w:r>
          </w:p>
        </w:tc>
        <w:tc>
          <w:tcPr>
            <w:tcW w:w="1740" w:type="dxa"/>
            <w:gridSpan w:val="2"/>
            <w:noWrap w:val="0"/>
            <w:vAlign w:val="center"/>
          </w:tcPr>
          <w:p w14:paraId="216239D3">
            <w:pPr>
              <w:pStyle w:val="20"/>
              <w:keepNext w:val="0"/>
              <w:keepLines w:val="0"/>
              <w:pageBreakBefore w:val="0"/>
              <w:widowControl w:val="0"/>
              <w:kinsoku/>
              <w:wordWrap/>
              <w:overflowPunct/>
              <w:topLinePunct w:val="0"/>
              <w:autoSpaceDE/>
              <w:autoSpaceDN/>
              <w:bidi w:val="0"/>
              <w:spacing w:line="500" w:lineRule="exact"/>
              <w:ind w:left="62" w:right="52"/>
              <w:jc w:val="center"/>
              <w:rPr>
                <w:rFonts w:hint="eastAsia" w:ascii="宋体" w:hAnsi="宋体" w:eastAsia="宋体" w:cs="宋体"/>
                <w:b w:val="0"/>
                <w:bCs w:val="0"/>
                <w:color w:val="000000"/>
                <w:sz w:val="24"/>
                <w:szCs w:val="24"/>
                <w:lang w:val="en-US"/>
              </w:rPr>
            </w:pPr>
            <w:r>
              <w:rPr>
                <w:rFonts w:hint="eastAsia" w:ascii="宋体" w:hAnsi="宋体" w:eastAsia="宋体" w:cs="宋体"/>
                <w:b w:val="0"/>
                <w:bCs w:val="0"/>
                <w:color w:val="000000"/>
                <w:sz w:val="24"/>
                <w:szCs w:val="24"/>
                <w:lang w:val="en-US"/>
              </w:rPr>
              <w:t>信用信息评价</w:t>
            </w:r>
          </w:p>
          <w:p w14:paraId="6B3BF8F9">
            <w:pPr>
              <w:pStyle w:val="20"/>
              <w:keepNext w:val="0"/>
              <w:keepLines w:val="0"/>
              <w:pageBreakBefore w:val="0"/>
              <w:widowControl w:val="0"/>
              <w:kinsoku/>
              <w:wordWrap/>
              <w:overflowPunct/>
              <w:topLinePunct w:val="0"/>
              <w:autoSpaceDE/>
              <w:autoSpaceDN/>
              <w:bidi w:val="0"/>
              <w:spacing w:line="500" w:lineRule="exact"/>
              <w:ind w:left="62" w:leftChars="0" w:right="52" w:rightChars="0"/>
              <w:jc w:val="center"/>
              <w:rPr>
                <w:rFonts w:hint="eastAsia" w:ascii="宋体" w:hAnsi="宋体" w:eastAsia="宋体" w:cs="宋体"/>
                <w:b w:val="0"/>
                <w:bCs w:val="0"/>
                <w:color w:val="000000"/>
                <w:kern w:val="2"/>
                <w:sz w:val="24"/>
                <w:szCs w:val="24"/>
                <w:lang w:val="en-US" w:eastAsia="zh-CN" w:bidi="zh-CN"/>
              </w:rPr>
            </w:pPr>
            <w:r>
              <w:rPr>
                <w:rFonts w:hint="eastAsia" w:ascii="宋体" w:hAnsi="宋体" w:eastAsia="宋体" w:cs="宋体"/>
                <w:b w:val="0"/>
                <w:bCs w:val="0"/>
                <w:color w:val="000000"/>
                <w:sz w:val="24"/>
                <w:szCs w:val="24"/>
                <w:lang w:val="en-US"/>
              </w:rPr>
              <w:t>（10分）</w:t>
            </w:r>
          </w:p>
        </w:tc>
        <w:tc>
          <w:tcPr>
            <w:tcW w:w="6323" w:type="dxa"/>
            <w:noWrap w:val="0"/>
            <w:vAlign w:val="center"/>
          </w:tcPr>
          <w:p w14:paraId="7C7D3B7D">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投标人（独立体或联合体</w:t>
            </w:r>
            <w:r>
              <w:rPr>
                <w:rFonts w:hint="eastAsia" w:ascii="宋体" w:hAnsi="宋体" w:eastAsia="宋体" w:cs="宋体"/>
                <w:b w:val="0"/>
                <w:bCs w:val="0"/>
                <w:color w:val="000000"/>
                <w:sz w:val="24"/>
                <w:szCs w:val="24"/>
                <w:lang w:val="en-US" w:eastAsia="zh-CN"/>
              </w:rPr>
              <w:t>各方</w:t>
            </w:r>
            <w:r>
              <w:rPr>
                <w:rFonts w:hint="eastAsia" w:ascii="宋体" w:hAnsi="宋体" w:eastAsia="宋体" w:cs="宋体"/>
                <w:b w:val="0"/>
                <w:bCs w:val="0"/>
                <w:color w:val="000000"/>
                <w:sz w:val="24"/>
                <w:szCs w:val="24"/>
              </w:rPr>
              <w:t>）根据广东省水利厅关于印发《广东省水利厅关于水利建设市场信用的管理办法》的通知[粤水规范字(2019)1号]及广东省水利厅关于延长《广东省水利厅关于水利建设市场信用的管理办法》有效期的通知，在广东省内依法建立了信用档案的水利建设市场主体初始信用分为100分，分值权重为10%，按照评标时查询的信用分值(超100分的按100分计算)乘以10%计算所得最终信用得分（两个或者两个以上水利建设市场主体组成联合体投标时，以信用分值较低主体的信用分值计算信用得分)。</w:t>
            </w:r>
          </w:p>
          <w:p w14:paraId="30200A5B">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注：提供</w:t>
            </w:r>
            <w:r>
              <w:rPr>
                <w:rFonts w:hint="eastAsia" w:ascii="宋体" w:hAnsi="宋体" w:eastAsia="宋体" w:cs="宋体"/>
                <w:b w:val="0"/>
                <w:bCs w:val="0"/>
                <w:color w:val="000000"/>
                <w:sz w:val="24"/>
                <w:szCs w:val="24"/>
              </w:rPr>
              <w:t>广东省水利厅网站(首页-公共服务-水利建设市场信用信息平台-广东省水利建设市场信用信息平台-</w:t>
            </w:r>
            <w:r>
              <w:rPr>
                <w:rFonts w:hint="eastAsia" w:ascii="宋体" w:hAnsi="宋体" w:eastAsia="宋体" w:cs="宋体"/>
                <w:b w:val="0"/>
                <w:bCs w:val="0"/>
                <w:color w:val="000000"/>
                <w:sz w:val="24"/>
                <w:szCs w:val="24"/>
                <w:lang w:val="en-US" w:eastAsia="zh-CN"/>
              </w:rPr>
              <w:t>动态信用</w:t>
            </w:r>
            <w:r>
              <w:rPr>
                <w:rFonts w:hint="eastAsia" w:ascii="宋体" w:hAnsi="宋体" w:eastAsia="宋体" w:cs="宋体"/>
                <w:b w:val="0"/>
                <w:bCs w:val="0"/>
                <w:color w:val="000000"/>
                <w:sz w:val="24"/>
                <w:szCs w:val="24"/>
              </w:rPr>
              <w:t>）栏信息及企业信用分值的网页截图。以开标当天招标代理机构在监督单位的见证下并在交易中心网上实时截图打印的为准。</w:t>
            </w:r>
          </w:p>
        </w:tc>
      </w:tr>
      <w:tr w14:paraId="08D4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0" w:hRule="atLeast"/>
          <w:jc w:val="center"/>
        </w:trPr>
        <w:tc>
          <w:tcPr>
            <w:tcW w:w="645" w:type="dxa"/>
            <w:vMerge w:val="continue"/>
            <w:noWrap w:val="0"/>
            <w:vAlign w:val="center"/>
          </w:tcPr>
          <w:p w14:paraId="24D65D43">
            <w:pPr>
              <w:pStyle w:val="20"/>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lang w:val="en-US" w:eastAsia="zh-CN"/>
              </w:rPr>
            </w:pPr>
          </w:p>
        </w:tc>
        <w:tc>
          <w:tcPr>
            <w:tcW w:w="1107" w:type="dxa"/>
            <w:vMerge w:val="continue"/>
            <w:noWrap w:val="0"/>
            <w:vAlign w:val="center"/>
          </w:tcPr>
          <w:p w14:paraId="3CCC9910">
            <w:pPr>
              <w:pStyle w:val="20"/>
              <w:keepNext w:val="0"/>
              <w:keepLines w:val="0"/>
              <w:pageBreakBefore w:val="0"/>
              <w:widowControl w:val="0"/>
              <w:kinsoku/>
              <w:wordWrap/>
              <w:overflowPunct/>
              <w:topLinePunct w:val="0"/>
              <w:autoSpaceDE/>
              <w:autoSpaceDN/>
              <w:bidi w:val="0"/>
              <w:spacing w:line="500" w:lineRule="exact"/>
              <w:ind w:right="127"/>
              <w:jc w:val="center"/>
              <w:rPr>
                <w:rFonts w:hint="eastAsia" w:ascii="宋体" w:hAnsi="宋体" w:eastAsia="宋体" w:cs="宋体"/>
                <w:color w:val="000000"/>
                <w:sz w:val="24"/>
                <w:highlight w:val="none"/>
                <w:lang w:val="en-US" w:eastAsia="zh-CN"/>
              </w:rPr>
            </w:pPr>
          </w:p>
        </w:tc>
        <w:tc>
          <w:tcPr>
            <w:tcW w:w="1740" w:type="dxa"/>
            <w:gridSpan w:val="2"/>
            <w:noWrap w:val="0"/>
            <w:vAlign w:val="center"/>
          </w:tcPr>
          <w:p w14:paraId="2B6B79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rPr>
              <w:t>投标人</w:t>
            </w:r>
            <w:r>
              <w:rPr>
                <w:rFonts w:hint="eastAsia" w:ascii="宋体" w:hAnsi="宋体" w:eastAsia="宋体" w:cs="宋体"/>
                <w:color w:val="auto"/>
                <w:sz w:val="24"/>
                <w:szCs w:val="24"/>
                <w:highlight w:val="none"/>
              </w:rPr>
              <w:t>业绩</w:t>
            </w:r>
          </w:p>
          <w:p w14:paraId="084DF304">
            <w:pPr>
              <w:pStyle w:val="20"/>
              <w:spacing w:line="276" w:lineRule="auto"/>
              <w:ind w:left="62" w:leftChars="0" w:right="52" w:rightChars="0"/>
              <w:jc w:val="center"/>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6323" w:type="dxa"/>
            <w:noWrap w:val="0"/>
            <w:vAlign w:val="center"/>
          </w:tcPr>
          <w:p w14:paraId="7923E272">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w:t>
            </w:r>
            <w:r>
              <w:rPr>
                <w:rFonts w:hint="eastAsia" w:ascii="宋体" w:hAnsi="宋体" w:eastAsia="宋体" w:cs="宋体"/>
                <w:color w:val="auto"/>
                <w:sz w:val="24"/>
                <w:szCs w:val="24"/>
                <w:highlight w:val="none"/>
                <w:lang w:eastAsia="zh-CN"/>
              </w:rPr>
              <w:t>起</w:t>
            </w:r>
            <w:r>
              <w:rPr>
                <w:rFonts w:hint="eastAsia" w:ascii="宋体" w:hAnsi="宋体" w:eastAsia="宋体" w:cs="宋体"/>
                <w:color w:val="auto"/>
                <w:sz w:val="24"/>
                <w:szCs w:val="24"/>
                <w:highlight w:val="none"/>
              </w:rPr>
              <w:t>至投标文件递交截止之日止，承担过</w:t>
            </w:r>
            <w:r>
              <w:rPr>
                <w:rFonts w:hint="eastAsia" w:ascii="宋体" w:hAnsi="宋体" w:eastAsia="宋体" w:cs="宋体"/>
                <w:color w:val="auto"/>
                <w:sz w:val="24"/>
                <w:szCs w:val="24"/>
                <w:highlight w:val="none"/>
                <w:lang w:val="en-US" w:eastAsia="zh-CN"/>
              </w:rPr>
              <w:t>耕地恢复或土地整治类工程</w:t>
            </w:r>
            <w:r>
              <w:rPr>
                <w:rFonts w:hint="eastAsia" w:ascii="宋体" w:hAnsi="宋体" w:eastAsia="宋体" w:cs="宋体"/>
                <w:color w:val="auto"/>
                <w:sz w:val="24"/>
                <w:szCs w:val="24"/>
                <w:highlight w:val="none"/>
              </w:rPr>
              <w:t>设计业绩</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，每项得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本项</w:t>
            </w:r>
            <w:r>
              <w:rPr>
                <w:rFonts w:hint="eastAsia" w:ascii="宋体" w:hAnsi="宋体" w:eastAsia="宋体" w:cs="宋体"/>
                <w:color w:val="auto"/>
                <w:sz w:val="24"/>
                <w:szCs w:val="24"/>
                <w:highlight w:val="none"/>
              </w:rPr>
              <w:t>最高得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4341AC5B">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注：1.</w:t>
            </w:r>
            <w:r>
              <w:rPr>
                <w:rFonts w:hint="eastAsia" w:ascii="宋体" w:hAnsi="宋体" w:eastAsia="宋体" w:cs="宋体"/>
                <w:color w:val="auto"/>
                <w:sz w:val="24"/>
                <w:szCs w:val="24"/>
                <w:highlight w:val="none"/>
                <w:lang w:eastAsia="zh-CN"/>
              </w:rPr>
              <w:t>要求提供中标通知书或设计合同（关键页）</w:t>
            </w:r>
            <w:r>
              <w:rPr>
                <w:rFonts w:hint="eastAsia" w:ascii="宋体" w:hAnsi="宋体" w:cs="宋体"/>
                <w:color w:val="auto"/>
                <w:sz w:val="24"/>
                <w:szCs w:val="24"/>
                <w:highlight w:val="none"/>
                <w:lang w:eastAsia="zh-CN"/>
              </w:rPr>
              <w:t>彩色</w:t>
            </w:r>
            <w:r>
              <w:rPr>
                <w:rFonts w:hint="eastAsia" w:ascii="宋体" w:hAnsi="宋体" w:eastAsia="宋体" w:cs="宋体"/>
                <w:color w:val="auto"/>
                <w:sz w:val="24"/>
                <w:szCs w:val="24"/>
                <w:highlight w:val="none"/>
                <w:lang w:eastAsia="zh-CN"/>
              </w:rPr>
              <w:t>扫描件，并加盖公章。</w:t>
            </w:r>
          </w:p>
          <w:p w14:paraId="7C610ABA">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业绩时间以合同签订日期为准、业绩规模以合同注明或业主证明材料注明的规模为准。</w:t>
            </w:r>
          </w:p>
          <w:p w14:paraId="024C7AC5">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同一项目业绩不累计、不重复得分。</w:t>
            </w:r>
          </w:p>
        </w:tc>
      </w:tr>
      <w:tr w14:paraId="1E21C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645" w:type="dxa"/>
            <w:vMerge w:val="continue"/>
            <w:noWrap w:val="0"/>
            <w:vAlign w:val="center"/>
          </w:tcPr>
          <w:p w14:paraId="497D2946">
            <w:pPr>
              <w:pStyle w:val="20"/>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lang w:val="en-US" w:eastAsia="zh-CN"/>
              </w:rPr>
            </w:pPr>
          </w:p>
        </w:tc>
        <w:tc>
          <w:tcPr>
            <w:tcW w:w="1107" w:type="dxa"/>
            <w:vMerge w:val="continue"/>
            <w:noWrap w:val="0"/>
            <w:vAlign w:val="center"/>
          </w:tcPr>
          <w:p w14:paraId="142972EB">
            <w:pPr>
              <w:pStyle w:val="20"/>
              <w:keepNext w:val="0"/>
              <w:keepLines w:val="0"/>
              <w:pageBreakBefore w:val="0"/>
              <w:widowControl w:val="0"/>
              <w:kinsoku/>
              <w:wordWrap/>
              <w:overflowPunct/>
              <w:topLinePunct w:val="0"/>
              <w:autoSpaceDE/>
              <w:autoSpaceDN/>
              <w:bidi w:val="0"/>
              <w:spacing w:line="500" w:lineRule="exact"/>
              <w:ind w:right="127"/>
              <w:jc w:val="center"/>
              <w:rPr>
                <w:rFonts w:hint="eastAsia" w:ascii="宋体" w:hAnsi="宋体" w:eastAsia="宋体" w:cs="宋体"/>
                <w:color w:val="000000"/>
                <w:sz w:val="24"/>
                <w:highlight w:val="none"/>
                <w:lang w:val="en-US" w:eastAsia="zh-CN"/>
              </w:rPr>
            </w:pPr>
          </w:p>
        </w:tc>
        <w:tc>
          <w:tcPr>
            <w:tcW w:w="1740" w:type="dxa"/>
            <w:gridSpan w:val="2"/>
            <w:noWrap w:val="0"/>
            <w:vAlign w:val="center"/>
          </w:tcPr>
          <w:p w14:paraId="22976DFF">
            <w:pPr>
              <w:pStyle w:val="20"/>
              <w:spacing w:line="276" w:lineRule="auto"/>
              <w:ind w:left="62" w:leftChars="0" w:right="52" w:right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企业信用认证</w:t>
            </w: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c>
          <w:tcPr>
            <w:tcW w:w="6323" w:type="dxa"/>
            <w:noWrap w:val="0"/>
            <w:vAlign w:val="center"/>
          </w:tcPr>
          <w:p w14:paraId="3A75FE5B">
            <w:p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企业获得AAA级信用证书</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本项最高得</w:t>
            </w:r>
            <w:r>
              <w:rPr>
                <w:rFonts w:hint="eastAsia" w:ascii="宋体" w:hAnsi="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67D1514F">
            <w:pPr>
              <w:spacing w:line="360" w:lineRule="auto"/>
              <w:rPr>
                <w:rFonts w:hint="eastAsia"/>
                <w:lang w:val="en-US" w:eastAsia="zh-CN"/>
              </w:rPr>
            </w:pPr>
            <w:r>
              <w:rPr>
                <w:rFonts w:hint="eastAsia" w:ascii="宋体" w:hAnsi="宋体" w:eastAsia="宋体" w:cs="宋体"/>
                <w:sz w:val="24"/>
                <w:szCs w:val="24"/>
                <w:lang w:eastAsia="zh-CN"/>
              </w:rPr>
              <w:t>注：</w:t>
            </w:r>
            <w:r>
              <w:rPr>
                <w:rFonts w:hint="eastAsia" w:ascii="宋体" w:hAnsi="宋体" w:cs="宋体"/>
                <w:sz w:val="24"/>
                <w:szCs w:val="24"/>
                <w:lang w:val="en-US" w:eastAsia="zh-CN"/>
              </w:rPr>
              <w:t>需提供证书彩色扫描件,及企业在全国信用企业公示平台的网址。</w:t>
            </w:r>
          </w:p>
        </w:tc>
      </w:tr>
      <w:tr w14:paraId="326A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645" w:type="dxa"/>
            <w:vMerge w:val="continue"/>
            <w:tcBorders>
              <w:bottom w:val="single" w:color="auto" w:sz="4" w:space="0"/>
            </w:tcBorders>
            <w:noWrap w:val="0"/>
            <w:vAlign w:val="center"/>
          </w:tcPr>
          <w:p w14:paraId="5F4C3659">
            <w:pPr>
              <w:pStyle w:val="20"/>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p>
        </w:tc>
        <w:tc>
          <w:tcPr>
            <w:tcW w:w="1107" w:type="dxa"/>
            <w:vMerge w:val="continue"/>
            <w:tcBorders>
              <w:bottom w:val="single" w:color="auto" w:sz="4" w:space="0"/>
            </w:tcBorders>
            <w:noWrap w:val="0"/>
            <w:vAlign w:val="center"/>
          </w:tcPr>
          <w:p w14:paraId="0B215FD3">
            <w:pPr>
              <w:pStyle w:val="20"/>
              <w:keepNext w:val="0"/>
              <w:keepLines w:val="0"/>
              <w:pageBreakBefore w:val="0"/>
              <w:widowControl w:val="0"/>
              <w:kinsoku/>
              <w:wordWrap/>
              <w:overflowPunct/>
              <w:topLinePunct w:val="0"/>
              <w:autoSpaceDE/>
              <w:autoSpaceDN/>
              <w:bidi w:val="0"/>
              <w:spacing w:line="500" w:lineRule="exact"/>
              <w:ind w:right="127"/>
              <w:jc w:val="center"/>
              <w:rPr>
                <w:rFonts w:hint="eastAsia" w:ascii="宋体" w:hAnsi="宋体" w:eastAsia="宋体" w:cs="宋体"/>
                <w:color w:val="000000"/>
                <w:sz w:val="24"/>
                <w:highlight w:val="none"/>
                <w:lang w:val="en-US"/>
              </w:rPr>
            </w:pPr>
          </w:p>
        </w:tc>
        <w:tc>
          <w:tcPr>
            <w:tcW w:w="841" w:type="dxa"/>
            <w:tcBorders>
              <w:bottom w:val="single" w:color="auto" w:sz="4" w:space="0"/>
            </w:tcBorders>
            <w:noWrap w:val="0"/>
            <w:vAlign w:val="center"/>
          </w:tcPr>
          <w:p w14:paraId="32DD4152">
            <w:pPr>
              <w:pStyle w:val="20"/>
              <w:keepNext w:val="0"/>
              <w:keepLines w:val="0"/>
              <w:pageBreakBefore w:val="0"/>
              <w:widowControl w:val="0"/>
              <w:kinsoku/>
              <w:wordWrap/>
              <w:overflowPunct/>
              <w:topLinePunct w:val="0"/>
              <w:autoSpaceDE/>
              <w:autoSpaceDN/>
              <w:bidi w:val="0"/>
              <w:spacing w:line="500" w:lineRule="exact"/>
              <w:ind w:left="62" w:right="52"/>
              <w:jc w:val="center"/>
              <w:rPr>
                <w:rFonts w:hint="eastAsia" w:ascii="宋体" w:hAnsi="宋体" w:eastAsia="宋体" w:cs="宋体"/>
                <w:color w:val="000000"/>
                <w:sz w:val="24"/>
                <w:highlight w:val="none"/>
                <w:lang w:val="en-US" w:eastAsia="zh-CN"/>
              </w:rPr>
            </w:pPr>
          </w:p>
        </w:tc>
        <w:tc>
          <w:tcPr>
            <w:tcW w:w="899" w:type="dxa"/>
            <w:tcBorders>
              <w:bottom w:val="single" w:color="auto" w:sz="4" w:space="0"/>
            </w:tcBorders>
            <w:noWrap w:val="0"/>
            <w:vAlign w:val="center"/>
          </w:tcPr>
          <w:p w14:paraId="063B684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项目人员要求</w:t>
            </w:r>
          </w:p>
          <w:p w14:paraId="4D00FF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sz w:val="24"/>
                <w:szCs w:val="24"/>
              </w:rPr>
              <w:t>（</w:t>
            </w:r>
            <w:r>
              <w:rPr>
                <w:rFonts w:hint="eastAsia" w:ascii="宋体" w:hAnsi="宋体" w:cs="宋体"/>
                <w:sz w:val="24"/>
                <w:szCs w:val="24"/>
                <w:lang w:val="en-US" w:eastAsia="zh-CN"/>
              </w:rPr>
              <w:t>25</w:t>
            </w:r>
            <w:r>
              <w:rPr>
                <w:rFonts w:hint="eastAsia" w:ascii="宋体" w:hAnsi="宋体" w:eastAsia="宋体" w:cs="宋体"/>
                <w:sz w:val="24"/>
                <w:szCs w:val="24"/>
              </w:rPr>
              <w:t>分）</w:t>
            </w:r>
          </w:p>
        </w:tc>
        <w:tc>
          <w:tcPr>
            <w:tcW w:w="6323" w:type="dxa"/>
            <w:noWrap w:val="0"/>
            <w:vAlign w:val="center"/>
          </w:tcPr>
          <w:p w14:paraId="2DA8657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拟投入本项目的人员（</w:t>
            </w:r>
            <w:r>
              <w:rPr>
                <w:rFonts w:hint="eastAsia" w:ascii="宋体" w:hAnsi="宋体" w:cs="宋体"/>
                <w:sz w:val="24"/>
                <w:szCs w:val="24"/>
                <w:lang w:val="en-US" w:eastAsia="zh-CN"/>
              </w:rPr>
              <w:t>项目</w:t>
            </w:r>
            <w:r>
              <w:rPr>
                <w:rFonts w:hint="eastAsia" w:ascii="宋体" w:hAnsi="宋体" w:eastAsia="宋体" w:cs="宋体"/>
                <w:sz w:val="24"/>
                <w:szCs w:val="24"/>
                <w:lang w:val="en-US" w:eastAsia="zh-CN"/>
              </w:rPr>
              <w:t>负责人除外）情况：</w:t>
            </w:r>
          </w:p>
          <w:p w14:paraId="3E91ADA8">
            <w:pPr>
              <w:numPr>
                <w:ilvl w:val="0"/>
                <w:numId w:val="0"/>
              </w:num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kern w:val="2"/>
                <w:sz w:val="24"/>
                <w:szCs w:val="24"/>
                <w:lang w:val="en-US" w:eastAsia="zh-CN" w:bidi="ar-SA"/>
              </w:rPr>
              <w:t>1.</w:t>
            </w:r>
            <w:r>
              <w:rPr>
                <w:rFonts w:hint="eastAsia" w:ascii="宋体" w:hAnsi="宋体" w:cs="宋体"/>
                <w:b/>
                <w:bCs/>
                <w:sz w:val="24"/>
                <w:szCs w:val="24"/>
                <w:lang w:val="en-US" w:eastAsia="zh-CN"/>
              </w:rPr>
              <w:t>设计</w:t>
            </w:r>
            <w:r>
              <w:rPr>
                <w:rFonts w:hint="eastAsia" w:ascii="宋体" w:hAnsi="宋体" w:eastAsia="宋体" w:cs="宋体"/>
                <w:b/>
                <w:bCs/>
                <w:sz w:val="24"/>
                <w:szCs w:val="24"/>
              </w:rPr>
              <w:t>专业负责人</w:t>
            </w:r>
            <w:r>
              <w:rPr>
                <w:rFonts w:hint="eastAsia" w:ascii="宋体" w:hAnsi="宋体" w:eastAsia="宋体" w:cs="宋体"/>
                <w:sz w:val="24"/>
                <w:szCs w:val="24"/>
              </w:rPr>
              <w:t>：具有</w:t>
            </w:r>
            <w:r>
              <w:rPr>
                <w:rFonts w:hint="eastAsia" w:ascii="宋体" w:hAnsi="宋体" w:cs="宋体"/>
                <w:sz w:val="24"/>
                <w:szCs w:val="24"/>
                <w:lang w:val="en-US" w:eastAsia="zh-CN"/>
              </w:rPr>
              <w:t>一级注册结构工程师注册职业证书，得3分；并具有结构专业高级工程师，</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本小项最高得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6EBEA3BA">
            <w:pPr>
              <w:numPr>
                <w:ilvl w:val="0"/>
                <w:numId w:val="0"/>
              </w:num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给</w:t>
            </w:r>
            <w:r>
              <w:rPr>
                <w:rFonts w:hint="eastAsia" w:ascii="宋体" w:hAnsi="宋体" w:eastAsia="宋体" w:cs="宋体"/>
                <w:b/>
                <w:bCs/>
                <w:sz w:val="24"/>
                <w:szCs w:val="24"/>
                <w:lang w:val="en-US" w:eastAsia="zh-CN"/>
              </w:rPr>
              <w:t>水排水</w:t>
            </w:r>
            <w:r>
              <w:rPr>
                <w:rFonts w:hint="eastAsia" w:ascii="宋体" w:hAnsi="宋体" w:eastAsia="宋体" w:cs="宋体"/>
                <w:b/>
                <w:bCs/>
                <w:sz w:val="24"/>
                <w:szCs w:val="24"/>
              </w:rPr>
              <w:t>专业负责人</w:t>
            </w:r>
            <w:r>
              <w:rPr>
                <w:rFonts w:hint="eastAsia" w:ascii="宋体" w:hAnsi="宋体" w:eastAsia="宋体" w:cs="宋体"/>
                <w:sz w:val="24"/>
                <w:szCs w:val="24"/>
              </w:rPr>
              <w:t>：具有</w:t>
            </w:r>
            <w:r>
              <w:rPr>
                <w:rFonts w:hint="eastAsia" w:ascii="宋体" w:hAnsi="宋体" w:cs="宋体"/>
                <w:sz w:val="24"/>
                <w:szCs w:val="24"/>
                <w:lang w:val="en-US" w:eastAsia="zh-CN"/>
              </w:rPr>
              <w:t>注册公用设备工程师（</w:t>
            </w:r>
            <w:r>
              <w:rPr>
                <w:rFonts w:hint="eastAsia" w:ascii="宋体" w:hAnsi="宋体" w:eastAsia="宋体" w:cs="宋体"/>
                <w:sz w:val="24"/>
                <w:szCs w:val="24"/>
              </w:rPr>
              <w:t>给</w:t>
            </w:r>
            <w:r>
              <w:rPr>
                <w:rFonts w:hint="eastAsia" w:ascii="宋体" w:hAnsi="宋体" w:cs="宋体"/>
                <w:sz w:val="24"/>
                <w:szCs w:val="24"/>
                <w:lang w:val="en-US" w:eastAsia="zh-CN"/>
              </w:rPr>
              <w:t>水</w:t>
            </w:r>
            <w:r>
              <w:rPr>
                <w:rFonts w:hint="eastAsia" w:ascii="宋体" w:hAnsi="宋体" w:eastAsia="宋体" w:cs="宋体"/>
                <w:sz w:val="24"/>
                <w:szCs w:val="24"/>
              </w:rPr>
              <w:t>排水</w:t>
            </w:r>
            <w:r>
              <w:rPr>
                <w:rFonts w:hint="eastAsia" w:ascii="宋体" w:hAnsi="宋体" w:cs="宋体"/>
                <w:sz w:val="24"/>
                <w:szCs w:val="24"/>
                <w:lang w:val="en-US" w:eastAsia="zh-CN"/>
              </w:rPr>
              <w:t>）注册职业证书，得3分；并具有给水排水专</w:t>
            </w:r>
            <w:r>
              <w:rPr>
                <w:rFonts w:hint="eastAsia" w:ascii="宋体" w:hAnsi="宋体" w:eastAsia="宋体" w:cs="宋体"/>
                <w:sz w:val="24"/>
                <w:szCs w:val="24"/>
              </w:rPr>
              <w:t>业高级工程师或以上职称，得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本小项最高得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027A1E55">
            <w:pPr>
              <w:spacing w:line="360" w:lineRule="auto"/>
              <w:ind w:firstLine="482" w:firstLineChars="200"/>
              <w:rPr>
                <w:rFonts w:hint="default" w:ascii="宋体" w:hAnsi="宋体" w:eastAsia="宋体" w:cs="宋体"/>
                <w:sz w:val="24"/>
                <w:szCs w:val="24"/>
                <w:lang w:val="en-US" w:eastAsia="zh-CN"/>
              </w:rPr>
            </w:pPr>
            <w:r>
              <w:rPr>
                <w:rFonts w:hint="eastAsia" w:ascii="宋体" w:hAnsi="宋体" w:cs="宋体"/>
                <w:b/>
                <w:bCs/>
                <w:sz w:val="24"/>
                <w:szCs w:val="24"/>
                <w:lang w:val="en-US" w:eastAsia="zh-CN"/>
              </w:rPr>
              <w:t>3.规划专业负责人：</w:t>
            </w:r>
            <w:r>
              <w:rPr>
                <w:rFonts w:hint="eastAsia" w:ascii="宋体" w:hAnsi="宋体" w:eastAsia="宋体" w:cs="宋体"/>
                <w:sz w:val="24"/>
                <w:szCs w:val="24"/>
              </w:rPr>
              <w:t>具有</w:t>
            </w:r>
            <w:r>
              <w:rPr>
                <w:rFonts w:hint="eastAsia" w:ascii="宋体" w:hAnsi="宋体" w:cs="宋体"/>
                <w:sz w:val="24"/>
                <w:szCs w:val="24"/>
                <w:lang w:val="en-US" w:eastAsia="zh-CN"/>
              </w:rPr>
              <w:t>注册城乡规划工程师注册职业证书，</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本小项最高得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5DC7B277">
            <w:pPr>
              <w:spacing w:line="360" w:lineRule="auto"/>
              <w:ind w:firstLine="482" w:firstLineChars="200"/>
              <w:rPr>
                <w:rFonts w:hint="eastAsia" w:ascii="宋体" w:hAnsi="宋体" w:eastAsia="宋体" w:cs="宋体"/>
                <w:sz w:val="24"/>
                <w:szCs w:val="24"/>
                <w:lang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造价专业</w:t>
            </w:r>
            <w:r>
              <w:rPr>
                <w:rFonts w:hint="eastAsia" w:ascii="宋体" w:hAnsi="宋体" w:eastAsia="宋体" w:cs="宋体"/>
                <w:b/>
                <w:bCs/>
                <w:sz w:val="24"/>
                <w:szCs w:val="24"/>
                <w:lang w:val="en-US" w:eastAsia="zh-CN"/>
              </w:rPr>
              <w:t>负责人</w:t>
            </w:r>
            <w:r>
              <w:rPr>
                <w:rFonts w:hint="eastAsia" w:ascii="宋体" w:hAnsi="宋体" w:eastAsia="宋体" w:cs="宋体"/>
                <w:b/>
                <w:bCs/>
                <w:sz w:val="24"/>
                <w:szCs w:val="24"/>
              </w:rPr>
              <w:t>：</w:t>
            </w:r>
            <w:r>
              <w:rPr>
                <w:rFonts w:hint="eastAsia" w:ascii="宋体" w:hAnsi="宋体" w:eastAsia="宋体" w:cs="宋体"/>
                <w:sz w:val="24"/>
                <w:szCs w:val="24"/>
              </w:rPr>
              <w:t>具</w:t>
            </w:r>
            <w:r>
              <w:rPr>
                <w:rFonts w:hint="eastAsia" w:ascii="宋体" w:hAnsi="宋体" w:eastAsia="宋体" w:cs="宋体"/>
                <w:sz w:val="24"/>
                <w:szCs w:val="24"/>
                <w:lang w:val="en-US" w:eastAsia="zh-CN"/>
              </w:rPr>
              <w:t>有</w:t>
            </w:r>
            <w:r>
              <w:rPr>
                <w:rFonts w:hint="eastAsia" w:ascii="宋体" w:hAnsi="宋体" w:eastAsia="宋体" w:cs="宋体"/>
                <w:sz w:val="24"/>
                <w:szCs w:val="24"/>
              </w:rPr>
              <w:t>国家一级注册造价师（</w:t>
            </w:r>
            <w:r>
              <w:rPr>
                <w:rFonts w:hint="eastAsia" w:ascii="宋体" w:hAnsi="宋体" w:cs="宋体"/>
                <w:sz w:val="24"/>
                <w:szCs w:val="24"/>
                <w:lang w:val="en-US" w:eastAsia="zh-CN"/>
              </w:rPr>
              <w:t>水利类</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本小项最高得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690B3862">
            <w:pPr>
              <w:spacing w:line="360" w:lineRule="auto"/>
              <w:ind w:firstLine="482" w:firstLineChars="200"/>
              <w:rPr>
                <w:rFonts w:hint="default" w:ascii="宋体" w:hAnsi="宋体" w:eastAsia="宋体" w:cs="宋体"/>
                <w:sz w:val="24"/>
                <w:szCs w:val="24"/>
                <w:lang w:val="en-US" w:eastAsia="zh-CN"/>
              </w:rPr>
            </w:pPr>
            <w:r>
              <w:rPr>
                <w:rFonts w:hint="eastAsia" w:ascii="宋体" w:hAnsi="宋体" w:cs="宋体"/>
                <w:b/>
                <w:bCs/>
                <w:sz w:val="24"/>
                <w:szCs w:val="24"/>
                <w:lang w:val="en-US" w:eastAsia="zh-CN"/>
              </w:rPr>
              <w:t>5.投入本项目中的其他设计人员：</w:t>
            </w:r>
            <w:r>
              <w:rPr>
                <w:rFonts w:hint="eastAsia" w:ascii="宋体" w:hAnsi="宋体" w:cs="宋体"/>
                <w:sz w:val="24"/>
                <w:szCs w:val="24"/>
                <w:lang w:val="en-US" w:eastAsia="zh-CN"/>
              </w:rPr>
              <w:t>具有农业或国土专业高级（含）或以上职称，</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cs="宋体"/>
                <w:sz w:val="24"/>
                <w:szCs w:val="24"/>
                <w:lang w:val="en-US" w:eastAsia="zh-CN"/>
              </w:rPr>
              <w:t>具有农业或国土专业</w:t>
            </w:r>
            <w:r>
              <w:rPr>
                <w:rFonts w:hint="eastAsia" w:ascii="宋体" w:hAnsi="宋体" w:eastAsia="宋体" w:cs="宋体"/>
                <w:sz w:val="24"/>
                <w:szCs w:val="24"/>
                <w:lang w:eastAsia="zh-CN"/>
              </w:rPr>
              <w:t>中级（含）或以上职称得</w:t>
            </w:r>
            <w:r>
              <w:rPr>
                <w:rFonts w:hint="eastAsia" w:ascii="宋体" w:hAnsi="宋体" w:eastAsia="宋体" w:cs="宋体"/>
                <w:sz w:val="24"/>
                <w:szCs w:val="24"/>
                <w:lang w:val="en-US" w:eastAsia="zh-CN"/>
              </w:rPr>
              <w:t>2分</w:t>
            </w:r>
            <w:r>
              <w:rPr>
                <w:rFonts w:hint="eastAsia" w:ascii="宋体" w:hAnsi="宋体" w:eastAsia="宋体" w:cs="宋体"/>
                <w:sz w:val="24"/>
                <w:szCs w:val="24"/>
                <w:lang w:eastAsia="zh-CN"/>
              </w:rPr>
              <w:t>，其他不得分。</w:t>
            </w:r>
            <w:r>
              <w:rPr>
                <w:rFonts w:hint="eastAsia" w:ascii="宋体" w:hAnsi="宋体" w:eastAsia="宋体" w:cs="宋体"/>
                <w:sz w:val="24"/>
                <w:szCs w:val="24"/>
              </w:rPr>
              <w:t>本小项最高得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4954439D">
            <w:pPr>
              <w:keepNext w:val="0"/>
              <w:keepLines w:val="0"/>
              <w:pageBreakBefore w:val="0"/>
              <w:widowControl w:val="0"/>
              <w:kinsoku/>
              <w:wordWrap/>
              <w:overflowPunct/>
              <w:topLinePunct w:val="0"/>
              <w:autoSpaceDE/>
              <w:autoSpaceDN/>
              <w:bidi w:val="0"/>
              <w:adjustRightInd/>
              <w:snapToGrid/>
              <w:spacing w:line="360" w:lineRule="auto"/>
              <w:ind w:right="202" w:rightChars="96"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w:t>
            </w:r>
            <w:r>
              <w:rPr>
                <w:rFonts w:hint="eastAsia" w:ascii="宋体" w:hAnsi="宋体" w:eastAsia="宋体" w:cs="宋体"/>
                <w:sz w:val="24"/>
                <w:szCs w:val="24"/>
              </w:rPr>
              <w:t>最高得</w:t>
            </w:r>
            <w:r>
              <w:rPr>
                <w:rFonts w:hint="eastAsia" w:ascii="宋体" w:hAnsi="宋体" w:cs="宋体"/>
                <w:sz w:val="24"/>
                <w:szCs w:val="24"/>
                <w:lang w:val="en-US" w:eastAsia="zh-CN"/>
              </w:rPr>
              <w:t>25</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6F86E1D3">
            <w:pPr>
              <w:keepNext w:val="0"/>
              <w:keepLines w:val="0"/>
              <w:pageBreakBefore w:val="0"/>
              <w:widowControl w:val="0"/>
              <w:kinsoku/>
              <w:wordWrap/>
              <w:overflowPunct/>
              <w:topLinePunct w:val="0"/>
              <w:autoSpaceDE/>
              <w:autoSpaceDN/>
              <w:bidi w:val="0"/>
              <w:adjustRightInd/>
              <w:snapToGrid/>
              <w:spacing w:line="360" w:lineRule="auto"/>
              <w:ind w:right="202" w:rightChars="96" w:firstLine="240" w:firstLineChars="100"/>
              <w:textAlignment w:val="auto"/>
              <w:rPr>
                <w:rFonts w:hint="eastAsia" w:ascii="宋体" w:hAnsi="宋体" w:eastAsia="宋体" w:cs="宋体"/>
                <w:b/>
                <w:color w:val="000000"/>
                <w:kern w:val="2"/>
                <w:sz w:val="24"/>
                <w:szCs w:val="24"/>
                <w:highlight w:val="none"/>
                <w:lang w:val="en-US" w:eastAsia="zh-CN" w:bidi="ar"/>
              </w:rPr>
            </w:pPr>
            <w:r>
              <w:rPr>
                <w:rFonts w:hint="eastAsia" w:ascii="宋体" w:hAnsi="宋体" w:cs="宋体"/>
                <w:sz w:val="24"/>
                <w:szCs w:val="24"/>
                <w:lang w:val="en-US" w:eastAsia="zh-CN"/>
              </w:rPr>
              <w:t>注：须提供以上相关证书彩色扫描件及近三个月（其中必须有2025年12月）的社保证明彩色扫描件，并加盖投标人公章，否则不得分。</w:t>
            </w:r>
          </w:p>
        </w:tc>
      </w:tr>
      <w:tr w14:paraId="13A17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14:paraId="440F0450">
            <w:pPr>
              <w:pStyle w:val="20"/>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2.2.</w:t>
            </w:r>
            <w:r>
              <w:rPr>
                <w:rFonts w:hint="eastAsia" w:ascii="宋体" w:hAnsi="宋体" w:eastAsia="宋体" w:cs="宋体"/>
                <w:color w:val="000000"/>
                <w:sz w:val="24"/>
                <w:highlight w:val="none"/>
                <w:lang w:val="en-US"/>
              </w:rPr>
              <w:t>2</w:t>
            </w:r>
            <w:r>
              <w:rPr>
                <w:rFonts w:hint="eastAsia" w:ascii="宋体" w:hAnsi="宋体" w:eastAsia="宋体" w:cs="宋体"/>
                <w:color w:val="000000"/>
                <w:sz w:val="24"/>
                <w:highlight w:val="none"/>
              </w:rPr>
              <w:t>（2）</w:t>
            </w:r>
          </w:p>
        </w:tc>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14:paraId="332ED48B">
            <w:pPr>
              <w:pStyle w:val="20"/>
              <w:keepNext w:val="0"/>
              <w:keepLines w:val="0"/>
              <w:pageBreakBefore w:val="0"/>
              <w:widowControl w:val="0"/>
              <w:kinsoku/>
              <w:wordWrap/>
              <w:overflowPunct/>
              <w:topLinePunct w:val="0"/>
              <w:autoSpaceDE/>
              <w:autoSpaceDN/>
              <w:bidi w:val="0"/>
              <w:spacing w:line="500" w:lineRule="exact"/>
              <w:ind w:left="141" w:right="127"/>
              <w:jc w:val="center"/>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lang w:val="en-US"/>
              </w:rPr>
              <w:t>技术部分</w:t>
            </w:r>
            <w:r>
              <w:rPr>
                <w:rFonts w:hint="eastAsia" w:ascii="宋体" w:hAnsi="宋体" w:eastAsia="宋体" w:cs="宋体"/>
                <w:color w:val="000000"/>
                <w:kern w:val="0"/>
                <w:sz w:val="24"/>
                <w:highlight w:val="none"/>
              </w:rPr>
              <w:t>F2</w:t>
            </w:r>
          </w:p>
          <w:p w14:paraId="37E0AE7B">
            <w:pPr>
              <w:pStyle w:val="20"/>
              <w:keepNext w:val="0"/>
              <w:keepLines w:val="0"/>
              <w:pageBreakBefore w:val="0"/>
              <w:widowControl w:val="0"/>
              <w:kinsoku/>
              <w:wordWrap/>
              <w:overflowPunct/>
              <w:topLinePunct w:val="0"/>
              <w:autoSpaceDE/>
              <w:autoSpaceDN/>
              <w:bidi w:val="0"/>
              <w:spacing w:line="500" w:lineRule="exact"/>
              <w:ind w:left="141" w:right="127"/>
              <w:jc w:val="center"/>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w:t>
            </w:r>
            <w:r>
              <w:rPr>
                <w:rFonts w:hint="eastAsia" w:ascii="宋体" w:hAnsi="宋体" w:eastAsia="宋体" w:cs="宋体"/>
                <w:color w:val="000000"/>
                <w:sz w:val="24"/>
                <w:highlight w:val="none"/>
                <w:lang w:val="en-US" w:eastAsia="zh-CN"/>
              </w:rPr>
              <w:t>40</w:t>
            </w:r>
            <w:r>
              <w:rPr>
                <w:rFonts w:hint="eastAsia" w:ascii="宋体" w:hAnsi="宋体" w:eastAsia="宋体" w:cs="宋体"/>
                <w:color w:val="000000"/>
                <w:sz w:val="24"/>
                <w:highlight w:val="none"/>
                <w:lang w:val="en-US"/>
              </w:rPr>
              <w:t>分)</w:t>
            </w:r>
          </w:p>
        </w:tc>
        <w:tc>
          <w:tcPr>
            <w:tcW w:w="1740" w:type="dxa"/>
            <w:gridSpan w:val="2"/>
            <w:tcBorders>
              <w:top w:val="single" w:color="auto" w:sz="4" w:space="0"/>
              <w:left w:val="single" w:color="auto" w:sz="4" w:space="0"/>
              <w:bottom w:val="single" w:color="auto" w:sz="4" w:space="0"/>
              <w:right w:val="single" w:color="auto" w:sz="4" w:space="0"/>
            </w:tcBorders>
            <w:noWrap w:val="0"/>
            <w:vAlign w:val="center"/>
          </w:tcPr>
          <w:p w14:paraId="26A8B6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000000"/>
                <w:spacing w:val="-2"/>
                <w:highlight w:val="none"/>
              </w:rPr>
            </w:pPr>
            <w:r>
              <w:rPr>
                <w:rFonts w:hint="eastAsia" w:ascii="宋体" w:hAnsi="宋体" w:eastAsia="宋体" w:cs="宋体"/>
                <w:color w:val="000000"/>
                <w:kern w:val="0"/>
                <w:sz w:val="24"/>
                <w:highlight w:val="none"/>
              </w:rPr>
              <w:t>项目设计重点、难点分析（10分）</w:t>
            </w:r>
          </w:p>
        </w:tc>
        <w:tc>
          <w:tcPr>
            <w:tcW w:w="6323" w:type="dxa"/>
            <w:tcBorders>
              <w:left w:val="single" w:color="auto" w:sz="4" w:space="0"/>
            </w:tcBorders>
            <w:noWrap w:val="0"/>
            <w:vAlign w:val="center"/>
          </w:tcPr>
          <w:p w14:paraId="717D37B8">
            <w:pPr>
              <w:keepNext w:val="0"/>
              <w:keepLines w:val="0"/>
              <w:pageBreakBefore w:val="0"/>
              <w:widowControl w:val="0"/>
              <w:kinsoku/>
              <w:wordWrap/>
              <w:overflowPunct/>
              <w:topLinePunct w:val="0"/>
              <w:autoSpaceDE/>
              <w:autoSpaceDN/>
              <w:bidi w:val="0"/>
              <w:adjustRightInd/>
              <w:snapToGrid/>
              <w:spacing w:line="500" w:lineRule="exact"/>
              <w:ind w:right="202" w:rightChars="96"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根据投标人对本招标项目的重点、难点的分析，以及相关应对措施对比评分。（</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≤X≤10，按优得10分、良得9分、合格得</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分计算，不提供不得分）</w:t>
            </w:r>
          </w:p>
        </w:tc>
      </w:tr>
      <w:tr w14:paraId="68A1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150A2ACC">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Cs w:val="21"/>
                <w:highlight w:val="none"/>
              </w:rPr>
            </w:pPr>
          </w:p>
        </w:tc>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14:paraId="7EB2C72C">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Cs w:val="21"/>
                <w:highlight w:val="none"/>
              </w:rPr>
            </w:pPr>
          </w:p>
        </w:tc>
        <w:tc>
          <w:tcPr>
            <w:tcW w:w="1740" w:type="dxa"/>
            <w:gridSpan w:val="2"/>
            <w:tcBorders>
              <w:top w:val="single" w:color="auto" w:sz="4" w:space="0"/>
              <w:left w:val="single" w:color="auto" w:sz="4" w:space="0"/>
              <w:bottom w:val="single" w:color="auto" w:sz="4" w:space="0"/>
              <w:right w:val="single" w:color="auto" w:sz="4" w:space="0"/>
            </w:tcBorders>
            <w:noWrap w:val="0"/>
            <w:vAlign w:val="center"/>
          </w:tcPr>
          <w:p w14:paraId="5840D6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000000"/>
                <w:spacing w:val="-2"/>
                <w:sz w:val="24"/>
                <w:highlight w:val="none"/>
              </w:rPr>
            </w:pPr>
            <w:r>
              <w:rPr>
                <w:rFonts w:hint="eastAsia" w:ascii="宋体" w:hAnsi="宋体" w:eastAsia="宋体" w:cs="宋体"/>
                <w:bCs/>
                <w:color w:val="000000"/>
                <w:spacing w:val="-2"/>
                <w:sz w:val="24"/>
                <w:highlight w:val="none"/>
              </w:rPr>
              <w:t>勘察设计大纲（10分）</w:t>
            </w:r>
          </w:p>
        </w:tc>
        <w:tc>
          <w:tcPr>
            <w:tcW w:w="6323" w:type="dxa"/>
            <w:tcBorders>
              <w:left w:val="single" w:color="auto" w:sz="4" w:space="0"/>
            </w:tcBorders>
            <w:noWrap w:val="0"/>
            <w:vAlign w:val="center"/>
          </w:tcPr>
          <w:p w14:paraId="6D01B1D4">
            <w:pPr>
              <w:keepNext w:val="0"/>
              <w:keepLines w:val="0"/>
              <w:pageBreakBefore w:val="0"/>
              <w:widowControl w:val="0"/>
              <w:kinsoku/>
              <w:wordWrap/>
              <w:overflowPunct/>
              <w:topLinePunct w:val="0"/>
              <w:autoSpaceDE/>
              <w:autoSpaceDN/>
              <w:bidi w:val="0"/>
              <w:adjustRightInd/>
              <w:snapToGrid/>
              <w:spacing w:line="500" w:lineRule="exact"/>
              <w:ind w:right="202" w:rightChars="96"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根据投标人的勘察设计大纲对比评分，考查、对比投标应人对本项目的总体技术方案，包括但不限于研究区域现状的分析、基础资料的掌握情况，对相关上层规划、本地现行技术工作大纲、规程等。（</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≤X≤10，按优得10分、良得9分、合格得</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分计算，不提供不得分）</w:t>
            </w:r>
          </w:p>
        </w:tc>
      </w:tr>
      <w:tr w14:paraId="632B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101D1B2F">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Cs w:val="21"/>
                <w:highlight w:val="none"/>
              </w:rPr>
            </w:pPr>
          </w:p>
        </w:tc>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14:paraId="78DDE819">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Cs w:val="21"/>
                <w:highlight w:val="none"/>
              </w:rPr>
            </w:pPr>
          </w:p>
        </w:tc>
        <w:tc>
          <w:tcPr>
            <w:tcW w:w="1740" w:type="dxa"/>
            <w:gridSpan w:val="2"/>
            <w:tcBorders>
              <w:top w:val="single" w:color="auto" w:sz="4" w:space="0"/>
              <w:left w:val="single" w:color="auto" w:sz="4" w:space="0"/>
              <w:bottom w:val="single" w:color="auto" w:sz="4" w:space="0"/>
              <w:right w:val="single" w:color="auto" w:sz="4" w:space="0"/>
            </w:tcBorders>
            <w:noWrap w:val="0"/>
            <w:vAlign w:val="center"/>
          </w:tcPr>
          <w:p w14:paraId="13F65B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000000"/>
                <w:spacing w:val="-2"/>
                <w:sz w:val="24"/>
                <w:highlight w:val="none"/>
              </w:rPr>
            </w:pPr>
            <w:r>
              <w:rPr>
                <w:rFonts w:hint="eastAsia" w:ascii="宋体" w:hAnsi="宋体" w:eastAsia="宋体" w:cs="宋体"/>
                <w:bCs/>
                <w:color w:val="000000"/>
                <w:spacing w:val="-2"/>
                <w:sz w:val="24"/>
                <w:highlight w:val="none"/>
              </w:rPr>
              <w:t>质量和进度保证措施（10分）</w:t>
            </w:r>
          </w:p>
        </w:tc>
        <w:tc>
          <w:tcPr>
            <w:tcW w:w="6323" w:type="dxa"/>
            <w:tcBorders>
              <w:left w:val="single" w:color="auto" w:sz="4" w:space="0"/>
            </w:tcBorders>
            <w:noWrap w:val="0"/>
            <w:vAlign w:val="center"/>
          </w:tcPr>
          <w:p w14:paraId="20AD7FBA">
            <w:pPr>
              <w:keepNext w:val="0"/>
              <w:keepLines w:val="0"/>
              <w:pageBreakBefore w:val="0"/>
              <w:widowControl w:val="0"/>
              <w:kinsoku/>
              <w:wordWrap/>
              <w:overflowPunct/>
              <w:topLinePunct w:val="0"/>
              <w:autoSpaceDE/>
              <w:autoSpaceDN/>
              <w:bidi w:val="0"/>
              <w:adjustRightInd/>
              <w:snapToGrid/>
              <w:spacing w:line="500" w:lineRule="exact"/>
              <w:ind w:right="202" w:rightChars="96"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对质量和进度保证措施对比评分，考查、对比投标人针对本项目的成果质量、进度保证措施是否全面、合理，保证措施是否得当。（</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≤X≤10，按优得10分、良得9分、合格得</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分计算，不提供不得分）</w:t>
            </w:r>
          </w:p>
        </w:tc>
      </w:tr>
      <w:tr w14:paraId="7B18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566C52C3">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Cs w:val="21"/>
                <w:highlight w:val="none"/>
              </w:rPr>
            </w:pPr>
          </w:p>
        </w:tc>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14:paraId="12DAED21">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Cs w:val="21"/>
                <w:highlight w:val="none"/>
              </w:rPr>
            </w:pPr>
          </w:p>
        </w:tc>
        <w:tc>
          <w:tcPr>
            <w:tcW w:w="1740" w:type="dxa"/>
            <w:gridSpan w:val="2"/>
            <w:tcBorders>
              <w:top w:val="single" w:color="auto" w:sz="4" w:space="0"/>
              <w:left w:val="single" w:color="auto" w:sz="4" w:space="0"/>
              <w:bottom w:val="single" w:color="auto" w:sz="4" w:space="0"/>
              <w:right w:val="single" w:color="auto" w:sz="4" w:space="0"/>
            </w:tcBorders>
            <w:noWrap w:val="0"/>
            <w:vAlign w:val="center"/>
          </w:tcPr>
          <w:p w14:paraId="726EC1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000000"/>
                <w:spacing w:val="-2"/>
                <w:sz w:val="24"/>
                <w:highlight w:val="none"/>
              </w:rPr>
            </w:pPr>
            <w:r>
              <w:rPr>
                <w:rFonts w:hint="eastAsia" w:ascii="宋体" w:hAnsi="宋体" w:eastAsia="宋体" w:cs="宋体"/>
                <w:bCs/>
                <w:color w:val="000000"/>
                <w:spacing w:val="-2"/>
                <w:sz w:val="24"/>
                <w:highlight w:val="none"/>
              </w:rPr>
              <w:t>项目组织管理（10分）</w:t>
            </w:r>
          </w:p>
        </w:tc>
        <w:tc>
          <w:tcPr>
            <w:tcW w:w="6323" w:type="dxa"/>
            <w:tcBorders>
              <w:left w:val="single" w:color="auto" w:sz="4" w:space="0"/>
            </w:tcBorders>
            <w:noWrap w:val="0"/>
            <w:vAlign w:val="center"/>
          </w:tcPr>
          <w:p w14:paraId="34060BE1">
            <w:pPr>
              <w:keepNext w:val="0"/>
              <w:keepLines w:val="0"/>
              <w:pageBreakBefore w:val="0"/>
              <w:widowControl w:val="0"/>
              <w:kinsoku/>
              <w:wordWrap/>
              <w:overflowPunct/>
              <w:topLinePunct w:val="0"/>
              <w:autoSpaceDE/>
              <w:autoSpaceDN/>
              <w:bidi w:val="0"/>
              <w:adjustRightInd/>
              <w:snapToGrid/>
              <w:spacing w:line="500" w:lineRule="exact"/>
              <w:ind w:right="202" w:rightChars="96"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根据投标人的项目组织管理体系及承诺对比评分，考查、对比投标人的项目组织方案，包括但不限于针对本项目的总体部署、质量管理体系等是否全面、详细、合理、清晰。（</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≤X≤10，按优得10分、良得9分、合格得</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分计算，不提供不得分）</w:t>
            </w:r>
          </w:p>
        </w:tc>
      </w:tr>
      <w:tr w14:paraId="1AE9D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4" w:hRule="atLeast"/>
          <w:jc w:val="center"/>
        </w:trPr>
        <w:tc>
          <w:tcPr>
            <w:tcW w:w="645" w:type="dxa"/>
            <w:tcBorders>
              <w:top w:val="single" w:color="auto" w:sz="4" w:space="0"/>
            </w:tcBorders>
            <w:noWrap w:val="0"/>
            <w:vAlign w:val="center"/>
          </w:tcPr>
          <w:p w14:paraId="1538C641">
            <w:pPr>
              <w:pStyle w:val="20"/>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2.2.</w:t>
            </w:r>
            <w:r>
              <w:rPr>
                <w:rFonts w:hint="eastAsia" w:ascii="宋体" w:hAnsi="宋体" w:eastAsia="宋体" w:cs="宋体"/>
                <w:color w:val="000000"/>
                <w:sz w:val="24"/>
                <w:highlight w:val="none"/>
                <w:lang w:val="en-US"/>
              </w:rPr>
              <w:t>2</w:t>
            </w:r>
            <w:r>
              <w:rPr>
                <w:rFonts w:hint="eastAsia" w:ascii="宋体" w:hAnsi="宋体" w:eastAsia="宋体" w:cs="宋体"/>
                <w:color w:val="000000"/>
                <w:sz w:val="24"/>
                <w:highlight w:val="none"/>
              </w:rPr>
              <w:t>（3）</w:t>
            </w:r>
          </w:p>
        </w:tc>
        <w:tc>
          <w:tcPr>
            <w:tcW w:w="1107" w:type="dxa"/>
            <w:tcBorders>
              <w:top w:val="single" w:color="auto" w:sz="4" w:space="0"/>
            </w:tcBorders>
            <w:noWrap w:val="0"/>
            <w:vAlign w:val="center"/>
          </w:tcPr>
          <w:p w14:paraId="22314A8D">
            <w:pPr>
              <w:keepNext w:val="0"/>
              <w:keepLines w:val="0"/>
              <w:pageBreakBefore w:val="0"/>
              <w:widowControl w:val="0"/>
              <w:kinsoku/>
              <w:wordWrap/>
              <w:overflowPunct/>
              <w:topLinePunct w:val="0"/>
              <w:autoSpaceDE/>
              <w:autoSpaceDN/>
              <w:bidi w:val="0"/>
              <w:spacing w:line="5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报价部分</w:t>
            </w:r>
            <w:r>
              <w:rPr>
                <w:rFonts w:hint="eastAsia" w:ascii="宋体" w:hAnsi="宋体" w:eastAsia="宋体" w:cs="宋体"/>
                <w:color w:val="000000"/>
                <w:kern w:val="0"/>
                <w:sz w:val="24"/>
                <w:highlight w:val="none"/>
              </w:rPr>
              <w:t>F3</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分)</w:t>
            </w:r>
          </w:p>
        </w:tc>
        <w:tc>
          <w:tcPr>
            <w:tcW w:w="8063" w:type="dxa"/>
            <w:gridSpan w:val="3"/>
            <w:tcBorders>
              <w:top w:val="single" w:color="auto" w:sz="4" w:space="0"/>
            </w:tcBorders>
            <w:noWrap w:val="0"/>
            <w:vAlign w:val="center"/>
          </w:tcPr>
          <w:p w14:paraId="6941260D">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投标人仅需填报投标报价下浮率（有效投标报价下浮率</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0.000%，保留至小数点后</w:t>
            </w:r>
            <w:r>
              <w:rPr>
                <w:rFonts w:hint="eastAsia" w:ascii="宋体" w:hAnsi="宋体" w:eastAsia="宋体" w:cs="宋体"/>
                <w:color w:val="000000"/>
                <w:sz w:val="24"/>
                <w:highlight w:val="none"/>
                <w:lang w:eastAsia="zh-CN"/>
              </w:rPr>
              <w:t>3</w:t>
            </w:r>
            <w:r>
              <w:rPr>
                <w:rFonts w:hint="eastAsia" w:ascii="宋体" w:hAnsi="宋体" w:eastAsia="宋体" w:cs="宋体"/>
                <w:color w:val="000000"/>
                <w:sz w:val="24"/>
                <w:highlight w:val="none"/>
              </w:rPr>
              <w:t>位），不在此范围内的投标报价均为无效投标报价。</w:t>
            </w:r>
          </w:p>
          <w:p w14:paraId="4D633897">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评标基准下浮率计算：A为所有有效投标人报价下浮率的算术平均值，计算A时，当有效报价下浮率的个数（n＞5）去掉一个最高值和一个最低值的算术平均值。</w:t>
            </w:r>
          </w:p>
          <w:p w14:paraId="4FE13A3E">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投标报价计算方法：评标基准下浮率为A，投标人投标报价下浮率为B；投标报价得分计算系数为C（C取值范围为</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00）。</w:t>
            </w:r>
          </w:p>
          <w:p w14:paraId="7855411C">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投标报价得分=</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lang w:eastAsia="zh-CN"/>
              </w:rPr>
              <w:t>-∣B-A∣×C（精确到小数点后3位，如最终计算结果为负值，则报价得分为0）。</w:t>
            </w:r>
          </w:p>
        </w:tc>
      </w:tr>
    </w:tbl>
    <w:p w14:paraId="4BAA2D66">
      <w:pPr>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b/>
          <w:color w:val="000000"/>
          <w:sz w:val="32"/>
          <w:highlight w:val="none"/>
        </w:rPr>
        <w:br w:type="page"/>
      </w:r>
      <w:bookmarkStart w:id="117" w:name="_Toc29931"/>
      <w:r>
        <w:rPr>
          <w:rFonts w:hint="eastAsia" w:ascii="宋体" w:hAnsi="宋体" w:eastAsia="宋体" w:cs="宋体"/>
          <w:b/>
          <w:color w:val="000000"/>
          <w:spacing w:val="-4"/>
          <w:kern w:val="0"/>
          <w:sz w:val="24"/>
          <w:szCs w:val="24"/>
          <w:highlight w:val="none"/>
        </w:rPr>
        <w:t>1.评标方法</w:t>
      </w:r>
      <w:bookmarkEnd w:id="117"/>
    </w:p>
    <w:p w14:paraId="1371FE2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本次评标采用综合评估法。评标委员会对满足招标文件实质性要求的投标文件，按照本章第 2.2 款规定的评分标准进行打分，并按总得分由高至低依次推荐三个中标候选人，并标明推荐顺序。如果出现两个或两个以上投标人得分相同且为最高分，则由评标委员会按照少数服从多数的原则投票决定中标候选顺序。</w:t>
      </w:r>
    </w:p>
    <w:p w14:paraId="7E38C0BC">
      <w:pPr>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color w:val="000000"/>
          <w:spacing w:val="-4"/>
          <w:kern w:val="0"/>
          <w:sz w:val="24"/>
          <w:szCs w:val="24"/>
          <w:highlight w:val="none"/>
        </w:rPr>
      </w:pPr>
      <w:bookmarkStart w:id="118" w:name="_Toc2958"/>
      <w:r>
        <w:rPr>
          <w:rFonts w:hint="eastAsia" w:ascii="宋体" w:hAnsi="宋体" w:eastAsia="宋体" w:cs="宋体"/>
          <w:b/>
          <w:color w:val="000000"/>
          <w:spacing w:val="-4"/>
          <w:kern w:val="0"/>
          <w:sz w:val="24"/>
          <w:szCs w:val="24"/>
          <w:highlight w:val="none"/>
        </w:rPr>
        <w:t>2.评审标准</w:t>
      </w:r>
      <w:bookmarkEnd w:id="118"/>
    </w:p>
    <w:p w14:paraId="5A28F3A4">
      <w:pPr>
        <w:pageBreakBefore w:val="0"/>
        <w:widowControl w:val="0"/>
        <w:numPr>
          <w:ilvl w:val="1"/>
          <w:numId w:val="2"/>
        </w:numPr>
        <w:tabs>
          <w:tab w:val="left" w:pos="620"/>
        </w:tabs>
        <w:kinsoku/>
        <w:wordWrap/>
        <w:overflowPunct/>
        <w:topLinePunct w:val="0"/>
        <w:autoSpaceDE/>
        <w:autoSpaceDN/>
        <w:bidi w:val="0"/>
        <w:adjustRightInd/>
        <w:snapToGrid/>
        <w:spacing w:line="500" w:lineRule="exact"/>
        <w:ind w:left="620" w:hanging="483"/>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初步评审标准</w:t>
      </w:r>
    </w:p>
    <w:p w14:paraId="7136E16B">
      <w:pPr>
        <w:pageBreakBefore w:val="0"/>
        <w:widowControl w:val="0"/>
        <w:numPr>
          <w:ilvl w:val="2"/>
          <w:numId w:val="2"/>
        </w:numPr>
        <w:tabs>
          <w:tab w:val="left" w:pos="940"/>
        </w:tabs>
        <w:kinsoku/>
        <w:wordWrap/>
        <w:overflowPunct/>
        <w:topLinePunct w:val="0"/>
        <w:autoSpaceDE/>
        <w:autoSpaceDN/>
        <w:bidi w:val="0"/>
        <w:adjustRightInd/>
        <w:snapToGrid/>
        <w:spacing w:line="500" w:lineRule="exact"/>
        <w:ind w:left="941" w:hanging="52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形式评审标准：见评标办法前附表</w:t>
      </w:r>
      <w:r>
        <w:rPr>
          <w:rFonts w:hint="eastAsia" w:ascii="宋体" w:hAnsi="宋体" w:eastAsia="宋体" w:cs="宋体"/>
          <w:color w:val="000000"/>
          <w:sz w:val="24"/>
          <w:szCs w:val="24"/>
          <w:highlight w:val="none"/>
          <w:lang w:eastAsia="zh-CN"/>
        </w:rPr>
        <w:t>；</w:t>
      </w:r>
    </w:p>
    <w:p w14:paraId="1AC21686">
      <w:pPr>
        <w:pageBreakBefore w:val="0"/>
        <w:widowControl w:val="0"/>
        <w:numPr>
          <w:ilvl w:val="2"/>
          <w:numId w:val="2"/>
        </w:numPr>
        <w:tabs>
          <w:tab w:val="left" w:pos="940"/>
        </w:tabs>
        <w:kinsoku/>
        <w:wordWrap/>
        <w:overflowPunct/>
        <w:topLinePunct w:val="0"/>
        <w:autoSpaceDE/>
        <w:autoSpaceDN/>
        <w:bidi w:val="0"/>
        <w:adjustRightInd/>
        <w:snapToGrid/>
        <w:spacing w:line="500" w:lineRule="exact"/>
        <w:ind w:left="941" w:hanging="52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资格评审标准：见评标办法前附表</w:t>
      </w:r>
      <w:r>
        <w:rPr>
          <w:rFonts w:hint="eastAsia" w:ascii="宋体" w:hAnsi="宋体" w:eastAsia="宋体" w:cs="宋体"/>
          <w:color w:val="000000"/>
          <w:sz w:val="24"/>
          <w:szCs w:val="24"/>
          <w:highlight w:val="none"/>
          <w:lang w:eastAsia="zh-CN"/>
        </w:rPr>
        <w:t>；</w:t>
      </w:r>
    </w:p>
    <w:p w14:paraId="660A1D9B">
      <w:pPr>
        <w:pageBreakBefore w:val="0"/>
        <w:widowControl w:val="0"/>
        <w:numPr>
          <w:ilvl w:val="2"/>
          <w:numId w:val="2"/>
        </w:numPr>
        <w:tabs>
          <w:tab w:val="left" w:pos="940"/>
        </w:tabs>
        <w:kinsoku/>
        <w:wordWrap/>
        <w:overflowPunct/>
        <w:topLinePunct w:val="0"/>
        <w:autoSpaceDE/>
        <w:autoSpaceDN/>
        <w:bidi w:val="0"/>
        <w:adjustRightInd/>
        <w:snapToGrid/>
        <w:spacing w:line="500" w:lineRule="exact"/>
        <w:ind w:left="941" w:hanging="52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响应性评审标准：见评标办法前附表。</w:t>
      </w:r>
    </w:p>
    <w:p w14:paraId="6F78CB4F">
      <w:pPr>
        <w:pageBreakBefore w:val="0"/>
        <w:widowControl w:val="0"/>
        <w:numPr>
          <w:ilvl w:val="1"/>
          <w:numId w:val="2"/>
        </w:numPr>
        <w:tabs>
          <w:tab w:val="left" w:pos="620"/>
        </w:tabs>
        <w:kinsoku/>
        <w:wordWrap/>
        <w:overflowPunct/>
        <w:topLinePunct w:val="0"/>
        <w:autoSpaceDE/>
        <w:autoSpaceDN/>
        <w:bidi w:val="0"/>
        <w:adjustRightInd/>
        <w:snapToGrid/>
        <w:spacing w:line="500" w:lineRule="exact"/>
        <w:ind w:left="620" w:hanging="483"/>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分值构成与评分标准</w:t>
      </w:r>
    </w:p>
    <w:p w14:paraId="36628494">
      <w:pPr>
        <w:pageBreakBefore w:val="0"/>
        <w:widowControl w:val="0"/>
        <w:numPr>
          <w:ilvl w:val="2"/>
          <w:numId w:val="3"/>
        </w:numPr>
        <w:tabs>
          <w:tab w:val="left" w:pos="940"/>
        </w:tabs>
        <w:kinsoku/>
        <w:wordWrap/>
        <w:overflowPunct/>
        <w:topLinePunct w:val="0"/>
        <w:autoSpaceDE/>
        <w:autoSpaceDN/>
        <w:bidi w:val="0"/>
        <w:adjustRightInd/>
        <w:snapToGrid/>
        <w:spacing w:line="500" w:lineRule="exact"/>
        <w:ind w:left="940" w:hanging="5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p w14:paraId="2DCE84D1">
      <w:pPr>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（1）商务部分：见评标办法前附表；</w:t>
      </w:r>
    </w:p>
    <w:p w14:paraId="18B428A5">
      <w:pPr>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（2）技术部分：见评标办法前附表；</w:t>
      </w:r>
    </w:p>
    <w:p w14:paraId="1AE63DF8">
      <w:pPr>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（3）投标报价：见评标办法前附表</w:t>
      </w:r>
      <w:r>
        <w:rPr>
          <w:rFonts w:hint="eastAsia" w:ascii="宋体" w:hAnsi="宋体" w:eastAsia="宋体" w:cs="宋体"/>
          <w:color w:val="000000"/>
          <w:sz w:val="24"/>
          <w:szCs w:val="24"/>
          <w:highlight w:val="none"/>
          <w:lang w:eastAsia="zh-CN"/>
        </w:rPr>
        <w:t>。</w:t>
      </w:r>
    </w:p>
    <w:p w14:paraId="747F50B0">
      <w:pPr>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 评分标准</w:t>
      </w:r>
    </w:p>
    <w:p w14:paraId="330A20DE">
      <w:pPr>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（1）商务评分标准：见评标办法前附表；</w:t>
      </w:r>
    </w:p>
    <w:p w14:paraId="2FB50222">
      <w:pPr>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（2）技术部分标准：见评标办法前附表；</w:t>
      </w:r>
    </w:p>
    <w:p w14:paraId="700F98AE">
      <w:pPr>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（3）投标报价评分标准：见评标办法前附表</w:t>
      </w:r>
      <w:r>
        <w:rPr>
          <w:rFonts w:hint="eastAsia" w:ascii="宋体" w:hAnsi="宋体" w:eastAsia="宋体" w:cs="宋体"/>
          <w:color w:val="000000"/>
          <w:sz w:val="24"/>
          <w:szCs w:val="24"/>
          <w:highlight w:val="none"/>
          <w:lang w:eastAsia="zh-CN"/>
        </w:rPr>
        <w:t>。</w:t>
      </w:r>
    </w:p>
    <w:p w14:paraId="1DBF0EBE">
      <w:pPr>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color w:val="000000"/>
          <w:spacing w:val="-4"/>
          <w:kern w:val="0"/>
          <w:sz w:val="24"/>
          <w:szCs w:val="24"/>
          <w:highlight w:val="none"/>
        </w:rPr>
      </w:pPr>
      <w:bookmarkStart w:id="119" w:name="_Toc21322"/>
      <w:r>
        <w:rPr>
          <w:rFonts w:hint="eastAsia" w:ascii="宋体" w:hAnsi="宋体" w:eastAsia="宋体" w:cs="宋体"/>
          <w:b/>
          <w:color w:val="000000"/>
          <w:spacing w:val="-4"/>
          <w:kern w:val="0"/>
          <w:sz w:val="24"/>
          <w:szCs w:val="24"/>
          <w:highlight w:val="none"/>
        </w:rPr>
        <w:t>3.评标程序</w:t>
      </w:r>
      <w:bookmarkEnd w:id="119"/>
    </w:p>
    <w:p w14:paraId="3F3C8DDC">
      <w:pPr>
        <w:pageBreakBefore w:val="0"/>
        <w:widowControl w:val="0"/>
        <w:numPr>
          <w:ilvl w:val="1"/>
          <w:numId w:val="4"/>
        </w:numPr>
        <w:tabs>
          <w:tab w:val="left" w:pos="620"/>
        </w:tabs>
        <w:kinsoku/>
        <w:wordWrap/>
        <w:overflowPunct/>
        <w:topLinePunct w:val="0"/>
        <w:autoSpaceDE/>
        <w:autoSpaceDN/>
        <w:bidi w:val="0"/>
        <w:adjustRightInd/>
        <w:snapToGrid/>
        <w:spacing w:line="500" w:lineRule="exact"/>
        <w:ind w:left="620" w:hanging="483"/>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初步评审</w:t>
      </w:r>
    </w:p>
    <w:p w14:paraId="18BFDC62">
      <w:pPr>
        <w:pageBreakBefore w:val="0"/>
        <w:widowControl w:val="0"/>
        <w:numPr>
          <w:ilvl w:val="2"/>
          <w:numId w:val="4"/>
        </w:numPr>
        <w:tabs>
          <w:tab w:val="left" w:pos="946"/>
        </w:tabs>
        <w:kinsoku/>
        <w:wordWrap/>
        <w:overflowPunct/>
        <w:topLinePunct w:val="0"/>
        <w:autoSpaceDE/>
        <w:autoSpaceDN/>
        <w:bidi w:val="0"/>
        <w:adjustRightInd/>
        <w:snapToGrid/>
        <w:spacing w:line="500" w:lineRule="exact"/>
        <w:ind w:right="20"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评标委员会依据本章第 2.1 款规定的标准对投标文件进行初步评审。有一项不符合评审标准的，评标委员会应当否决其投标。如果评标委员会成员意见不一致时，通过记名投票表决方式(不得采用弃权方式)以少数服从多数的原则决定投标人是否通过审查。</w:t>
      </w:r>
    </w:p>
    <w:p w14:paraId="5B26BFB1">
      <w:pPr>
        <w:pageBreakBefore w:val="0"/>
        <w:widowControl w:val="0"/>
        <w:numPr>
          <w:ilvl w:val="2"/>
          <w:numId w:val="4"/>
        </w:numPr>
        <w:tabs>
          <w:tab w:val="left" w:pos="940"/>
        </w:tabs>
        <w:kinsoku/>
        <w:wordWrap/>
        <w:overflowPunct/>
        <w:topLinePunct w:val="0"/>
        <w:autoSpaceDE/>
        <w:autoSpaceDN/>
        <w:bidi w:val="0"/>
        <w:adjustRightInd/>
        <w:snapToGrid/>
        <w:spacing w:line="500" w:lineRule="exact"/>
        <w:ind w:left="940" w:hanging="5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投标人有以下情形之一的，评标委员会应当否决其投标：</w:t>
      </w:r>
    </w:p>
    <w:p w14:paraId="740E229A">
      <w:pPr>
        <w:pageBreakBefore w:val="0"/>
        <w:widowControl w:val="0"/>
        <w:kinsoku/>
        <w:wordWrap/>
        <w:overflowPunct/>
        <w:topLinePunct w:val="0"/>
        <w:autoSpaceDE/>
        <w:autoSpaceDN/>
        <w:bidi w:val="0"/>
        <w:adjustRightInd/>
        <w:snapToGrid/>
        <w:spacing w:line="500" w:lineRule="exact"/>
        <w:ind w:right="12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（1）投标文件没有对招标文件的实质性要求和条件作出响应，或者对招标文件的偏差超出招标文件规定的偏差范围或最高项数；</w:t>
      </w:r>
    </w:p>
    <w:p w14:paraId="15A8FC00">
      <w:pPr>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（2）有串通投标、弄虚作假、行贿等违法行为。</w:t>
      </w:r>
    </w:p>
    <w:p w14:paraId="1D468FAA">
      <w:pPr>
        <w:pageBreakBefore w:val="0"/>
        <w:widowControl w:val="0"/>
        <w:numPr>
          <w:ilvl w:val="1"/>
          <w:numId w:val="5"/>
        </w:numPr>
        <w:tabs>
          <w:tab w:val="left" w:pos="946"/>
        </w:tabs>
        <w:kinsoku/>
        <w:wordWrap/>
        <w:overflowPunct/>
        <w:topLinePunct w:val="0"/>
        <w:autoSpaceDE/>
        <w:autoSpaceDN/>
        <w:bidi w:val="0"/>
        <w:adjustRightInd/>
        <w:snapToGrid/>
        <w:spacing w:line="500" w:lineRule="exact"/>
        <w:ind w:right="120"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5FF647B2">
      <w:pPr>
        <w:pageBreakBefore w:val="0"/>
        <w:widowControl w:val="0"/>
        <w:kinsoku/>
        <w:wordWrap/>
        <w:overflowPunct/>
        <w:topLinePunct w:val="0"/>
        <w:autoSpaceDE/>
        <w:autoSpaceDN/>
        <w:bidi w:val="0"/>
        <w:adjustRightInd/>
        <w:snapToGrid/>
        <w:spacing w:line="500" w:lineRule="exact"/>
        <w:ind w:right="12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（1）投标文件中的大写金额与小写金额不一致的，以大写金额为准；</w:t>
      </w:r>
    </w:p>
    <w:p w14:paraId="6327179E">
      <w:pPr>
        <w:pageBreakBefore w:val="0"/>
        <w:widowControl w:val="0"/>
        <w:kinsoku/>
        <w:wordWrap/>
        <w:overflowPunct/>
        <w:topLinePunct w:val="0"/>
        <w:autoSpaceDE/>
        <w:autoSpaceDN/>
        <w:bidi w:val="0"/>
        <w:adjustRightInd/>
        <w:snapToGrid/>
        <w:spacing w:line="500" w:lineRule="exact"/>
        <w:ind w:right="12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（2）总价金额与单价金额不一致的，以单价金额为准，但单价金额小数点有明显错误的除外。</w:t>
      </w:r>
    </w:p>
    <w:p w14:paraId="525BA09F">
      <w:pPr>
        <w:pageBreakBefore w:val="0"/>
        <w:widowControl w:val="0"/>
        <w:numPr>
          <w:ilvl w:val="0"/>
          <w:numId w:val="6"/>
        </w:numPr>
        <w:tabs>
          <w:tab w:val="left" w:pos="620"/>
        </w:tabs>
        <w:kinsoku/>
        <w:wordWrap/>
        <w:overflowPunct/>
        <w:topLinePunct w:val="0"/>
        <w:autoSpaceDE/>
        <w:autoSpaceDN/>
        <w:bidi w:val="0"/>
        <w:adjustRightInd/>
        <w:snapToGrid/>
        <w:spacing w:line="500" w:lineRule="exact"/>
        <w:ind w:left="620" w:hanging="483"/>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详细评审</w:t>
      </w:r>
    </w:p>
    <w:p w14:paraId="362655A5">
      <w:pPr>
        <w:pageBreakBefore w:val="0"/>
        <w:widowControl w:val="0"/>
        <w:tabs>
          <w:tab w:val="left" w:pos="94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3.2.1评标委员会按本章第 2.2 款规定的量化因素和分值进行打分，并计算出综合评估得分。</w:t>
      </w:r>
    </w:p>
    <w:p w14:paraId="4274A05B">
      <w:pPr>
        <w:pageBreakBefore w:val="0"/>
        <w:widowControl w:val="0"/>
        <w:numPr>
          <w:ilvl w:val="0"/>
          <w:numId w:val="7"/>
        </w:numPr>
        <w:tabs>
          <w:tab w:val="left" w:pos="94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按本章第 2.2.2（1）目规定的评审因素和分值对商务部分，</w:t>
      </w:r>
      <w:r>
        <w:rPr>
          <w:rFonts w:hint="eastAsia" w:ascii="宋体" w:hAnsi="宋体" w:eastAsia="宋体" w:cs="宋体"/>
          <w:color w:val="000000"/>
          <w:kern w:val="0"/>
          <w:sz w:val="24"/>
          <w:szCs w:val="24"/>
          <w:highlight w:val="none"/>
        </w:rPr>
        <w:t>F1得分分值为评标委员会中所有评标专家</w:t>
      </w:r>
      <w:r>
        <w:rPr>
          <w:rFonts w:hint="eastAsia" w:ascii="宋体" w:hAnsi="宋体" w:eastAsia="宋体" w:cs="宋体"/>
          <w:color w:val="000000"/>
          <w:sz w:val="24"/>
          <w:szCs w:val="24"/>
          <w:highlight w:val="none"/>
        </w:rPr>
        <w:t>的算术平均值（</w:t>
      </w:r>
      <w:r>
        <w:rPr>
          <w:rFonts w:hint="eastAsia" w:ascii="宋体" w:hAnsi="宋体" w:eastAsia="宋体" w:cs="宋体"/>
          <w:color w:val="000000"/>
          <w:kern w:val="0"/>
          <w:sz w:val="24"/>
          <w:szCs w:val="24"/>
          <w:highlight w:val="none"/>
        </w:rPr>
        <w:t>保留小数点后三位，小数点后第四位“四舍五入”</w:t>
      </w:r>
      <w:r>
        <w:rPr>
          <w:rFonts w:hint="eastAsia" w:ascii="宋体" w:hAnsi="宋体" w:eastAsia="宋体" w:cs="宋体"/>
          <w:color w:val="000000"/>
          <w:sz w:val="24"/>
          <w:szCs w:val="24"/>
          <w:highlight w:val="none"/>
        </w:rPr>
        <w:t>）；</w:t>
      </w:r>
    </w:p>
    <w:p w14:paraId="7A945220">
      <w:pPr>
        <w:pageBreakBefore w:val="0"/>
        <w:widowControl w:val="0"/>
        <w:numPr>
          <w:ilvl w:val="0"/>
          <w:numId w:val="7"/>
        </w:numPr>
        <w:tabs>
          <w:tab w:val="left" w:pos="94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按本章第 2.2.2（2）目规定的评审因素和分值对技术部分，</w:t>
      </w:r>
      <w:r>
        <w:rPr>
          <w:rFonts w:hint="eastAsia" w:ascii="宋体" w:hAnsi="宋体" w:eastAsia="宋体" w:cs="宋体"/>
          <w:color w:val="000000"/>
          <w:kern w:val="0"/>
          <w:sz w:val="24"/>
          <w:szCs w:val="24"/>
          <w:highlight w:val="none"/>
        </w:rPr>
        <w:t>F2得分分值为评标委员会中所有评标专家评分中去掉一个最高分、去掉一个最低分后的算术平均值</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rPr>
        <w:t>保留小数点后三位，小数点后第四位“四舍五入”</w:t>
      </w:r>
      <w:r>
        <w:rPr>
          <w:rFonts w:hint="eastAsia" w:ascii="宋体" w:hAnsi="宋体" w:eastAsia="宋体" w:cs="宋体"/>
          <w:color w:val="000000"/>
          <w:sz w:val="24"/>
          <w:szCs w:val="24"/>
          <w:highlight w:val="none"/>
        </w:rPr>
        <w:t>）；</w:t>
      </w:r>
    </w:p>
    <w:p w14:paraId="6CE9E9F3">
      <w:pPr>
        <w:pageBreakBefore w:val="0"/>
        <w:widowControl w:val="0"/>
        <w:numPr>
          <w:ilvl w:val="0"/>
          <w:numId w:val="7"/>
        </w:numPr>
        <w:tabs>
          <w:tab w:val="left" w:pos="94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按本章第 2.2.2（3）目规定的评审因素和分值对投标报价，</w:t>
      </w:r>
      <w:r>
        <w:rPr>
          <w:rFonts w:hint="eastAsia" w:ascii="宋体" w:hAnsi="宋体" w:eastAsia="宋体" w:cs="宋体"/>
          <w:color w:val="000000"/>
          <w:kern w:val="0"/>
          <w:sz w:val="24"/>
          <w:szCs w:val="24"/>
          <w:highlight w:val="none"/>
        </w:rPr>
        <w:t>F3投标报价得分保留小数点后三位，小数点后第四位“四舍五入”</w:t>
      </w:r>
      <w:r>
        <w:rPr>
          <w:rFonts w:hint="eastAsia" w:ascii="宋体" w:hAnsi="宋体" w:eastAsia="宋体" w:cs="宋体"/>
          <w:color w:val="000000"/>
          <w:sz w:val="24"/>
          <w:szCs w:val="24"/>
          <w:highlight w:val="none"/>
        </w:rPr>
        <w:t>；</w:t>
      </w:r>
    </w:p>
    <w:p w14:paraId="59CB2578">
      <w:pPr>
        <w:pageBreakBefore w:val="0"/>
        <w:widowControl w:val="0"/>
        <w:tabs>
          <w:tab w:val="left" w:pos="9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w:t>
      </w:r>
      <w:r>
        <w:rPr>
          <w:rFonts w:hint="eastAsia" w:ascii="宋体" w:hAnsi="宋体" w:eastAsia="宋体" w:cs="宋体"/>
          <w:color w:val="000000"/>
          <w:kern w:val="0"/>
          <w:sz w:val="24"/>
          <w:szCs w:val="24"/>
          <w:highlight w:val="none"/>
        </w:rPr>
        <w:t xml:space="preserve">投标人总得分= F1 + F2+ F3 </w:t>
      </w:r>
      <w:r>
        <w:rPr>
          <w:rFonts w:hint="eastAsia" w:ascii="宋体" w:hAnsi="宋体" w:eastAsia="宋体" w:cs="宋体"/>
          <w:color w:val="000000"/>
          <w:sz w:val="24"/>
          <w:szCs w:val="24"/>
          <w:highlight w:val="none"/>
        </w:rPr>
        <w:t>（保留小数点后三位，小数点后第四位“四舍五入”）。</w:t>
      </w:r>
    </w:p>
    <w:p w14:paraId="7EEA62E5">
      <w:pPr>
        <w:pageBreakBefore w:val="0"/>
        <w:widowControl w:val="0"/>
        <w:tabs>
          <w:tab w:val="left" w:pos="9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评标委员会发现投标人投标报价下浮率大于15%时，根据投标人所附说明及证明材料判断该投标人是否以低于成本报价竞标，当认定以低于成本报价竞标时其投标作废标处理；不能提供相应的书面说明及证明材料的，按低于成本报价竞标处理。</w:t>
      </w:r>
    </w:p>
    <w:p w14:paraId="09782E18">
      <w:pPr>
        <w:pageBreakBefore w:val="0"/>
        <w:widowControl w:val="0"/>
        <w:numPr>
          <w:ilvl w:val="0"/>
          <w:numId w:val="6"/>
        </w:numPr>
        <w:tabs>
          <w:tab w:val="left" w:pos="620"/>
        </w:tabs>
        <w:kinsoku/>
        <w:wordWrap/>
        <w:overflowPunct/>
        <w:topLinePunct w:val="0"/>
        <w:autoSpaceDE/>
        <w:autoSpaceDN/>
        <w:bidi w:val="0"/>
        <w:adjustRightInd/>
        <w:snapToGrid/>
        <w:spacing w:line="500" w:lineRule="exact"/>
        <w:ind w:left="620" w:hanging="483"/>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投标文件的澄清</w:t>
      </w:r>
    </w:p>
    <w:p w14:paraId="6DBE4C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300853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3.3.2澄清、说明或补正不得超出投标文件的范围且不得改变投标文件的实质性内容，并构成投标文件的组成部分。</w:t>
      </w:r>
    </w:p>
    <w:p w14:paraId="0E72DEF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3.3.3评标委员会对投标人提交的澄清、说明或补正有疑问的，可以要求投标人进一步澄清、说明或补正，直至满足评标委员会的要求。</w:t>
      </w:r>
    </w:p>
    <w:p w14:paraId="243335A1">
      <w:pPr>
        <w:pageBreakBefore w:val="0"/>
        <w:widowControl w:val="0"/>
        <w:numPr>
          <w:ilvl w:val="0"/>
          <w:numId w:val="8"/>
        </w:numPr>
        <w:tabs>
          <w:tab w:val="left" w:pos="620"/>
        </w:tabs>
        <w:kinsoku/>
        <w:wordWrap/>
        <w:overflowPunct/>
        <w:topLinePunct w:val="0"/>
        <w:autoSpaceDE/>
        <w:autoSpaceDN/>
        <w:bidi w:val="0"/>
        <w:adjustRightInd/>
        <w:snapToGrid/>
        <w:spacing w:line="500" w:lineRule="exact"/>
        <w:ind w:left="620" w:hanging="483"/>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评标结果</w:t>
      </w:r>
    </w:p>
    <w:p w14:paraId="0CF39B19">
      <w:pPr>
        <w:pageBreakBefore w:val="0"/>
        <w:widowControl w:val="0"/>
        <w:tabs>
          <w:tab w:val="left" w:pos="94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3.4.1除第二章“投标人须知”前附表授权直接确定中标人外，评标委员会按照得分由高到低的顺序推荐三个中标候选人，并标明推荐顺序。如果出现两个或两个以上投标人得分相同且为最高分，则由评标委员会按照少数服从多数的原则投票决定中标候选顺序。</w:t>
      </w:r>
    </w:p>
    <w:p w14:paraId="45918E00">
      <w:pPr>
        <w:pageBreakBefore w:val="0"/>
        <w:widowControl w:val="0"/>
        <w:tabs>
          <w:tab w:val="left" w:pos="94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3.4.2评标委员会完成评标后，应当向招标人提交书面评标报告和中标候选人名单。</w:t>
      </w:r>
    </w:p>
    <w:p w14:paraId="112D53FD">
      <w:pPr>
        <w:pStyle w:val="3"/>
        <w:pageBreakBefore w:val="0"/>
        <w:widowControl w:val="0"/>
        <w:kinsoku/>
        <w:wordWrap/>
        <w:overflowPunct/>
        <w:topLinePunct w:val="0"/>
        <w:autoSpaceDE/>
        <w:autoSpaceDN/>
        <w:bidi w:val="0"/>
        <w:adjustRightInd/>
        <w:snapToGrid/>
        <w:spacing w:line="500" w:lineRule="exact"/>
        <w:jc w:val="center"/>
        <w:textAlignment w:val="auto"/>
        <w:outlineLvl w:val="0"/>
        <w:rPr>
          <w:rStyle w:val="21"/>
          <w:rFonts w:hint="eastAsia" w:ascii="宋体" w:hAnsi="宋体" w:eastAsia="宋体" w:cs="宋体"/>
          <w:b/>
          <w:bCs/>
          <w:color w:val="000000"/>
        </w:rPr>
      </w:pPr>
      <w:r>
        <w:rPr>
          <w:rFonts w:hint="eastAsia" w:ascii="宋体" w:hAnsi="宋体" w:eastAsia="宋体" w:cs="宋体"/>
          <w:color w:val="000000"/>
          <w:sz w:val="24"/>
          <w:szCs w:val="24"/>
          <w:highlight w:val="none"/>
        </w:rPr>
        <w:br w:type="page"/>
      </w:r>
      <w:bookmarkStart w:id="120" w:name="_Toc3"/>
      <w:r>
        <w:rPr>
          <w:rStyle w:val="21"/>
          <w:rFonts w:hint="eastAsia" w:ascii="宋体" w:hAnsi="宋体" w:eastAsia="宋体" w:cs="宋体"/>
          <w:b/>
          <w:bCs/>
          <w:color w:val="000000"/>
        </w:rPr>
        <w:t>第四章</w:t>
      </w:r>
      <w:bookmarkEnd w:id="103"/>
      <w:r>
        <w:rPr>
          <w:rStyle w:val="21"/>
          <w:rFonts w:hint="eastAsia" w:ascii="宋体" w:hAnsi="宋体" w:eastAsia="宋体" w:cs="宋体"/>
          <w:b/>
          <w:bCs/>
          <w:color w:val="000000"/>
          <w:lang w:val="en-US"/>
        </w:rPr>
        <w:t xml:space="preserve">  </w:t>
      </w:r>
      <w:r>
        <w:rPr>
          <w:rStyle w:val="21"/>
          <w:rFonts w:hint="eastAsia" w:ascii="宋体" w:hAnsi="宋体" w:eastAsia="宋体" w:cs="宋体"/>
          <w:b/>
          <w:bCs/>
          <w:color w:val="000000"/>
        </w:rPr>
        <w:t>合同条款及格式</w:t>
      </w:r>
      <w:bookmarkEnd w:id="120"/>
    </w:p>
    <w:p w14:paraId="529D59F2">
      <w:pPr>
        <w:pStyle w:val="4"/>
        <w:bidi w:val="0"/>
        <w:spacing w:line="360" w:lineRule="auto"/>
        <w:rPr>
          <w:rFonts w:hint="eastAsia" w:ascii="宋体" w:hAnsi="宋体" w:eastAsia="宋体" w:cs="宋体"/>
          <w:color w:val="000000"/>
          <w:sz w:val="28"/>
          <w:szCs w:val="28"/>
        </w:rPr>
      </w:pPr>
      <w:bookmarkStart w:id="121" w:name="_Toc14964"/>
      <w:r>
        <w:rPr>
          <w:rFonts w:hint="eastAsia" w:ascii="宋体" w:hAnsi="宋体" w:eastAsia="宋体" w:cs="宋体"/>
          <w:color w:val="000000"/>
          <w:sz w:val="28"/>
          <w:szCs w:val="28"/>
        </w:rPr>
        <w:t>第一节</w:t>
      </w:r>
      <w:r>
        <w:rPr>
          <w:rFonts w:hint="eastAsia" w:ascii="宋体" w:hAnsi="宋体" w:eastAsia="宋体" w:cs="宋体"/>
          <w:color w:val="000000"/>
          <w:sz w:val="28"/>
          <w:szCs w:val="28"/>
          <w:lang w:val="en-US"/>
        </w:rPr>
        <w:t xml:space="preserve">  </w:t>
      </w:r>
      <w:r>
        <w:rPr>
          <w:rFonts w:hint="eastAsia" w:ascii="宋体" w:hAnsi="宋体" w:eastAsia="宋体" w:cs="宋体"/>
          <w:color w:val="000000"/>
          <w:sz w:val="28"/>
          <w:szCs w:val="28"/>
        </w:rPr>
        <w:t>通用合同条款</w:t>
      </w:r>
      <w:bookmarkEnd w:id="121"/>
    </w:p>
    <w:p w14:paraId="6F969C16">
      <w:pPr>
        <w:spacing w:line="360" w:lineRule="auto"/>
        <w:ind w:firstLine="480" w:firstLineChars="200"/>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通用合同条款按《中华人民共和国标准勘察招标文件》（2017 年版）和《中华人民共和国标准设计招标文件》（2017 年版）执行。</w:t>
      </w:r>
    </w:p>
    <w:p w14:paraId="4D57AB8D">
      <w:pPr>
        <w:spacing w:line="360" w:lineRule="auto"/>
        <w:rPr>
          <w:rFonts w:hint="eastAsia" w:ascii="宋体" w:hAnsi="宋体" w:eastAsia="宋体" w:cs="宋体"/>
          <w:color w:val="000000"/>
          <w:highlight w:val="none"/>
        </w:rPr>
      </w:pPr>
    </w:p>
    <w:p w14:paraId="30695ACD">
      <w:pPr>
        <w:rPr>
          <w:rFonts w:hint="eastAsia" w:ascii="宋体" w:hAnsi="宋体" w:eastAsia="宋体" w:cs="宋体"/>
          <w:color w:val="000000"/>
          <w:highlight w:val="none"/>
        </w:rPr>
      </w:pPr>
    </w:p>
    <w:p w14:paraId="32026A02">
      <w:pPr>
        <w:rPr>
          <w:rFonts w:hint="eastAsia" w:ascii="宋体" w:hAnsi="宋体" w:eastAsia="宋体" w:cs="宋体"/>
          <w:color w:val="000000"/>
          <w:highlight w:val="none"/>
        </w:rPr>
      </w:pPr>
    </w:p>
    <w:p w14:paraId="3002BBD0">
      <w:pPr>
        <w:rPr>
          <w:rFonts w:hint="eastAsia" w:ascii="宋体" w:hAnsi="宋体" w:eastAsia="宋体" w:cs="宋体"/>
          <w:color w:val="000000"/>
          <w:highlight w:val="none"/>
        </w:rPr>
      </w:pPr>
    </w:p>
    <w:p w14:paraId="277B297A">
      <w:pPr>
        <w:rPr>
          <w:rFonts w:hint="eastAsia" w:ascii="宋体" w:hAnsi="宋体" w:eastAsia="宋体" w:cs="宋体"/>
          <w:color w:val="000000"/>
          <w:highlight w:val="none"/>
        </w:rPr>
      </w:pPr>
    </w:p>
    <w:p w14:paraId="60271E35">
      <w:pPr>
        <w:rPr>
          <w:rFonts w:hint="eastAsia" w:ascii="宋体" w:hAnsi="宋体" w:eastAsia="宋体" w:cs="宋体"/>
          <w:color w:val="000000"/>
          <w:highlight w:val="none"/>
        </w:rPr>
      </w:pPr>
    </w:p>
    <w:p w14:paraId="7A53E46D">
      <w:pPr>
        <w:rPr>
          <w:rFonts w:hint="eastAsia" w:ascii="宋体" w:hAnsi="宋体" w:eastAsia="宋体" w:cs="宋体"/>
          <w:color w:val="000000"/>
          <w:highlight w:val="none"/>
        </w:rPr>
      </w:pPr>
    </w:p>
    <w:p w14:paraId="3D434E70">
      <w:pPr>
        <w:rPr>
          <w:rFonts w:hint="eastAsia" w:ascii="宋体" w:hAnsi="宋体" w:eastAsia="宋体" w:cs="宋体"/>
          <w:color w:val="000000"/>
          <w:highlight w:val="none"/>
        </w:rPr>
      </w:pPr>
    </w:p>
    <w:p w14:paraId="59F01D6E">
      <w:pPr>
        <w:rPr>
          <w:rFonts w:hint="eastAsia" w:ascii="宋体" w:hAnsi="宋体" w:eastAsia="宋体" w:cs="宋体"/>
          <w:color w:val="000000"/>
          <w:highlight w:val="none"/>
        </w:rPr>
      </w:pPr>
    </w:p>
    <w:p w14:paraId="26B7D4F2">
      <w:pPr>
        <w:rPr>
          <w:rFonts w:hint="eastAsia" w:ascii="宋体" w:hAnsi="宋体" w:eastAsia="宋体" w:cs="宋体"/>
          <w:color w:val="000000"/>
          <w:highlight w:val="none"/>
        </w:rPr>
      </w:pPr>
    </w:p>
    <w:p w14:paraId="24C8BAF0">
      <w:pPr>
        <w:rPr>
          <w:rFonts w:hint="eastAsia" w:ascii="宋体" w:hAnsi="宋体" w:eastAsia="宋体" w:cs="宋体"/>
          <w:color w:val="000000"/>
          <w:highlight w:val="none"/>
        </w:rPr>
      </w:pPr>
    </w:p>
    <w:p w14:paraId="5BBC2F0D">
      <w:pPr>
        <w:rPr>
          <w:rFonts w:hint="eastAsia" w:ascii="宋体" w:hAnsi="宋体" w:eastAsia="宋体" w:cs="宋体"/>
          <w:color w:val="000000"/>
          <w:highlight w:val="none"/>
        </w:rPr>
      </w:pPr>
    </w:p>
    <w:p w14:paraId="512DDDC6">
      <w:pPr>
        <w:rPr>
          <w:rFonts w:hint="eastAsia" w:ascii="宋体" w:hAnsi="宋体" w:eastAsia="宋体" w:cs="宋体"/>
          <w:color w:val="000000"/>
          <w:highlight w:val="none"/>
        </w:rPr>
      </w:pPr>
    </w:p>
    <w:p w14:paraId="48F936EC">
      <w:pPr>
        <w:rPr>
          <w:rFonts w:hint="eastAsia" w:ascii="宋体" w:hAnsi="宋体" w:eastAsia="宋体" w:cs="宋体"/>
          <w:color w:val="000000"/>
          <w:highlight w:val="none"/>
        </w:rPr>
      </w:pPr>
    </w:p>
    <w:p w14:paraId="4D18DB38">
      <w:pPr>
        <w:rPr>
          <w:rFonts w:hint="eastAsia" w:ascii="宋体" w:hAnsi="宋体" w:eastAsia="宋体" w:cs="宋体"/>
          <w:color w:val="000000"/>
          <w:highlight w:val="none"/>
        </w:rPr>
      </w:pPr>
    </w:p>
    <w:p w14:paraId="16AF3150">
      <w:pPr>
        <w:rPr>
          <w:rFonts w:hint="eastAsia" w:ascii="宋体" w:hAnsi="宋体" w:eastAsia="宋体" w:cs="宋体"/>
          <w:color w:val="000000"/>
          <w:highlight w:val="none"/>
        </w:rPr>
      </w:pPr>
    </w:p>
    <w:p w14:paraId="4388842E">
      <w:pPr>
        <w:rPr>
          <w:rFonts w:hint="eastAsia" w:ascii="宋体" w:hAnsi="宋体" w:eastAsia="宋体" w:cs="宋体"/>
          <w:color w:val="000000"/>
          <w:highlight w:val="none"/>
        </w:rPr>
      </w:pPr>
    </w:p>
    <w:p w14:paraId="27A24E28">
      <w:pPr>
        <w:pStyle w:val="4"/>
        <w:jc w:val="center"/>
        <w:outlineLvl w:val="1"/>
        <w:rPr>
          <w:rStyle w:val="19"/>
          <w:rFonts w:hint="eastAsia" w:ascii="宋体" w:hAnsi="宋体" w:eastAsia="宋体" w:cs="宋体"/>
          <w:b/>
          <w:bCs/>
          <w:color w:val="000000"/>
          <w:sz w:val="28"/>
          <w:szCs w:val="28"/>
        </w:rPr>
      </w:pPr>
      <w:r>
        <w:rPr>
          <w:rFonts w:hint="eastAsia" w:ascii="宋体" w:hAnsi="宋体" w:eastAsia="宋体" w:cs="宋体"/>
          <w:color w:val="000000"/>
          <w:szCs w:val="32"/>
          <w:highlight w:val="none"/>
        </w:rPr>
        <w:br w:type="page"/>
      </w:r>
      <w:bookmarkStart w:id="122" w:name="_Toc8259"/>
      <w:r>
        <w:rPr>
          <w:rStyle w:val="19"/>
          <w:rFonts w:hint="eastAsia" w:ascii="宋体" w:hAnsi="宋体" w:eastAsia="宋体" w:cs="宋体"/>
          <w:b/>
          <w:bCs/>
          <w:color w:val="000000"/>
          <w:sz w:val="28"/>
          <w:szCs w:val="28"/>
        </w:rPr>
        <w:t>第二节</w:t>
      </w:r>
      <w:r>
        <w:rPr>
          <w:rStyle w:val="19"/>
          <w:rFonts w:hint="eastAsia" w:ascii="宋体" w:hAnsi="宋体" w:eastAsia="宋体" w:cs="宋体"/>
          <w:b/>
          <w:bCs/>
          <w:color w:val="000000"/>
          <w:sz w:val="28"/>
          <w:szCs w:val="28"/>
          <w:lang w:val="en-US"/>
        </w:rPr>
        <w:t xml:space="preserve">  </w:t>
      </w:r>
      <w:r>
        <w:rPr>
          <w:rStyle w:val="19"/>
          <w:rFonts w:hint="eastAsia" w:ascii="宋体" w:hAnsi="宋体" w:eastAsia="宋体" w:cs="宋体"/>
          <w:b/>
          <w:bCs/>
          <w:color w:val="000000"/>
          <w:sz w:val="28"/>
          <w:szCs w:val="28"/>
        </w:rPr>
        <w:t>合同</w:t>
      </w:r>
      <w:r>
        <w:rPr>
          <w:rStyle w:val="19"/>
          <w:rFonts w:hint="eastAsia" w:ascii="宋体" w:hAnsi="宋体" w:eastAsia="宋体" w:cs="宋体"/>
          <w:b/>
          <w:bCs/>
          <w:color w:val="000000"/>
          <w:sz w:val="28"/>
          <w:szCs w:val="28"/>
          <w:lang w:val="en-US"/>
        </w:rPr>
        <w:t>主要条款</w:t>
      </w:r>
      <w:bookmarkEnd w:id="104"/>
      <w:bookmarkEnd w:id="122"/>
    </w:p>
    <w:p w14:paraId="67D14F2F">
      <w:pPr>
        <w:adjustRightInd w:val="0"/>
        <w:snapToGrid w:val="0"/>
        <w:spacing w:line="300" w:lineRule="auto"/>
        <w:jc w:val="center"/>
        <w:outlineLvl w:val="9"/>
        <w:rPr>
          <w:rFonts w:hint="eastAsia" w:ascii="宋体" w:hAnsi="宋体" w:eastAsia="宋体" w:cs="宋体"/>
          <w:b/>
          <w:bCs/>
          <w:color w:val="000000"/>
          <w:sz w:val="28"/>
          <w:szCs w:val="28"/>
          <w:highlight w:val="none"/>
        </w:rPr>
      </w:pPr>
      <w:bookmarkStart w:id="123" w:name="_Toc17818"/>
      <w:r>
        <w:rPr>
          <w:rFonts w:hint="eastAsia" w:ascii="宋体" w:hAnsi="宋体" w:eastAsia="宋体" w:cs="宋体"/>
          <w:b/>
          <w:bCs/>
          <w:color w:val="000000"/>
          <w:sz w:val="28"/>
          <w:szCs w:val="28"/>
          <w:highlight w:val="none"/>
        </w:rPr>
        <w:t>工程</w:t>
      </w:r>
      <w:r>
        <w:rPr>
          <w:rFonts w:hint="eastAsia" w:ascii="宋体" w:hAnsi="宋体" w:eastAsia="宋体" w:cs="宋体"/>
          <w:b/>
          <w:bCs/>
          <w:color w:val="000000"/>
          <w:sz w:val="28"/>
          <w:szCs w:val="28"/>
          <w:highlight w:val="none"/>
          <w:lang w:val="en-US" w:eastAsia="zh-CN"/>
        </w:rPr>
        <w:t>勘察</w:t>
      </w:r>
      <w:r>
        <w:rPr>
          <w:rFonts w:hint="eastAsia" w:ascii="宋体" w:hAnsi="宋体" w:eastAsia="宋体" w:cs="宋体"/>
          <w:b/>
          <w:bCs/>
          <w:color w:val="000000"/>
          <w:sz w:val="28"/>
          <w:szCs w:val="28"/>
          <w:highlight w:val="none"/>
        </w:rPr>
        <w:t>设计合同（格式）</w:t>
      </w:r>
      <w:bookmarkEnd w:id="123"/>
    </w:p>
    <w:p w14:paraId="3239E948">
      <w:pPr>
        <w:keepNext w:val="0"/>
        <w:keepLines w:val="0"/>
        <w:pageBreakBefore w:val="0"/>
        <w:kinsoku/>
        <w:wordWrap/>
        <w:overflowPunct/>
        <w:topLinePunct w:val="0"/>
        <w:autoSpaceDE/>
        <w:autoSpaceDN/>
        <w:bidi w:val="0"/>
        <w:adjustRightInd/>
        <w:snapToGrid/>
        <w:spacing w:before="156" w:beforeLines="50" w:line="50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发包方（以下简称甲方）：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5C675470">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承包方（以下简称乙方）：</w:t>
      </w:r>
      <w:r>
        <w:rPr>
          <w:rFonts w:hint="eastAsia" w:ascii="宋体" w:hAnsi="宋体" w:eastAsia="宋体" w:cs="宋体"/>
          <w:color w:val="000000"/>
          <w:sz w:val="24"/>
          <w:szCs w:val="24"/>
          <w:highlight w:val="none"/>
          <w:u w:val="single"/>
        </w:rPr>
        <w:t xml:space="preserve">                               </w:t>
      </w:r>
    </w:p>
    <w:p w14:paraId="177EDDCE">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sz w:val="24"/>
          <w:szCs w:val="24"/>
          <w:highlight w:val="none"/>
        </w:rPr>
      </w:pPr>
    </w:p>
    <w:p w14:paraId="74279693">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甲方委托乙方承担</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工程</w:t>
      </w:r>
      <w:r>
        <w:rPr>
          <w:rFonts w:hint="eastAsia" w:ascii="宋体" w:hAnsi="宋体" w:eastAsia="宋体" w:cs="宋体"/>
          <w:color w:val="000000"/>
          <w:sz w:val="24"/>
          <w:szCs w:val="24"/>
          <w:highlight w:val="none"/>
          <w:lang w:val="en-US" w:eastAsia="zh-CN"/>
        </w:rPr>
        <w:t>勘察</w:t>
      </w:r>
      <w:r>
        <w:rPr>
          <w:rFonts w:hint="eastAsia" w:ascii="宋体" w:hAnsi="宋体" w:eastAsia="宋体" w:cs="宋体"/>
          <w:color w:val="000000"/>
          <w:sz w:val="24"/>
          <w:szCs w:val="24"/>
          <w:highlight w:val="none"/>
        </w:rPr>
        <w:t>设计工作，工程地点为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，经双方协商一致，签订本合同，共同执行。</w:t>
      </w:r>
    </w:p>
    <w:p w14:paraId="7EA520FA">
      <w:pPr>
        <w:keepNext w:val="0"/>
        <w:keepLines w:val="0"/>
        <w:pageBreakBefore w:val="0"/>
        <w:kinsoku/>
        <w:wordWrap/>
        <w:overflowPunct/>
        <w:topLinePunct w:val="0"/>
        <w:autoSpaceDE/>
        <w:autoSpaceDN/>
        <w:bidi w:val="0"/>
        <w:adjustRightInd/>
        <w:snapToGrid/>
        <w:spacing w:before="156" w:beforeLines="50" w:line="500" w:lineRule="exact"/>
        <w:ind w:firstLine="482" w:firstLineChars="200"/>
        <w:textAlignment w:val="auto"/>
        <w:outlineLvl w:val="9"/>
        <w:rPr>
          <w:rFonts w:hint="eastAsia" w:ascii="宋体" w:hAnsi="宋体" w:eastAsia="宋体" w:cs="宋体"/>
          <w:color w:val="000000"/>
          <w:sz w:val="24"/>
          <w:szCs w:val="24"/>
          <w:highlight w:val="none"/>
        </w:rPr>
      </w:pPr>
      <w:bookmarkStart w:id="124" w:name="_Toc7060"/>
      <w:r>
        <w:rPr>
          <w:rFonts w:hint="eastAsia" w:ascii="宋体" w:hAnsi="宋体" w:eastAsia="宋体" w:cs="宋体"/>
          <w:b/>
          <w:bCs/>
          <w:color w:val="000000"/>
          <w:sz w:val="24"/>
          <w:szCs w:val="24"/>
          <w:highlight w:val="none"/>
        </w:rPr>
        <w:t>第一条  本合同签订依据</w:t>
      </w:r>
      <w:bookmarkEnd w:id="124"/>
    </w:p>
    <w:p w14:paraId="66E07DDC">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《中华人民共和国民法典》</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《建设工程勘察设计管理条例》。</w:t>
      </w:r>
    </w:p>
    <w:p w14:paraId="21AC3B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国家及地方有关建设工程勘察设计管理法规和规章。</w:t>
      </w:r>
    </w:p>
    <w:p w14:paraId="1BC94614">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建设工程批准文件。</w:t>
      </w:r>
    </w:p>
    <w:p w14:paraId="4B27AE4E">
      <w:pPr>
        <w:keepNext w:val="0"/>
        <w:keepLines w:val="0"/>
        <w:pageBreakBefore w:val="0"/>
        <w:kinsoku/>
        <w:wordWrap/>
        <w:overflowPunct/>
        <w:topLinePunct w:val="0"/>
        <w:autoSpaceDE/>
        <w:autoSpaceDN/>
        <w:bidi w:val="0"/>
        <w:adjustRightInd/>
        <w:snapToGrid/>
        <w:spacing w:before="156" w:beforeLines="50" w:line="500" w:lineRule="exact"/>
        <w:ind w:firstLine="482" w:firstLineChars="200"/>
        <w:textAlignment w:val="auto"/>
        <w:outlineLvl w:val="9"/>
        <w:rPr>
          <w:rFonts w:hint="eastAsia" w:ascii="宋体" w:hAnsi="宋体" w:eastAsia="宋体" w:cs="宋体"/>
          <w:color w:val="000000"/>
          <w:sz w:val="24"/>
          <w:szCs w:val="24"/>
          <w:highlight w:val="none"/>
        </w:rPr>
      </w:pPr>
      <w:bookmarkStart w:id="125" w:name="_Toc5096"/>
      <w:r>
        <w:rPr>
          <w:rFonts w:hint="eastAsia" w:ascii="宋体" w:hAnsi="宋体" w:eastAsia="宋体" w:cs="宋体"/>
          <w:b/>
          <w:bCs/>
          <w:color w:val="000000"/>
          <w:sz w:val="24"/>
          <w:szCs w:val="24"/>
          <w:highlight w:val="none"/>
        </w:rPr>
        <w:t>第二条  设计依据</w:t>
      </w:r>
      <w:bookmarkEnd w:id="125"/>
    </w:p>
    <w:p w14:paraId="39215E83">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甲方给乙方的委托书或</w:t>
      </w:r>
      <w:r>
        <w:rPr>
          <w:rFonts w:hint="eastAsia" w:ascii="宋体" w:hAnsi="宋体" w:eastAsia="宋体" w:cs="宋体"/>
          <w:color w:val="000000"/>
          <w:sz w:val="24"/>
          <w:szCs w:val="24"/>
          <w:highlight w:val="none"/>
          <w:lang w:val="en-US" w:eastAsia="zh-CN"/>
        </w:rPr>
        <w:t>勘察</w:t>
      </w:r>
      <w:r>
        <w:rPr>
          <w:rFonts w:hint="eastAsia" w:ascii="宋体" w:hAnsi="宋体" w:eastAsia="宋体" w:cs="宋体"/>
          <w:color w:val="000000"/>
          <w:sz w:val="24"/>
          <w:szCs w:val="24"/>
          <w:highlight w:val="none"/>
        </w:rPr>
        <w:t>设计中标文件。</w:t>
      </w:r>
    </w:p>
    <w:p w14:paraId="0F7CFE3A">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甲方提交的基础资料。</w:t>
      </w:r>
    </w:p>
    <w:p w14:paraId="1855BA2E">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乙方采用的主要技术标准是：</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70A3AAED">
      <w:pPr>
        <w:keepNext w:val="0"/>
        <w:keepLines w:val="0"/>
        <w:pageBreakBefore w:val="0"/>
        <w:kinsoku/>
        <w:wordWrap/>
        <w:overflowPunct/>
        <w:topLinePunct w:val="0"/>
        <w:autoSpaceDE/>
        <w:autoSpaceDN/>
        <w:bidi w:val="0"/>
        <w:adjustRightInd/>
        <w:snapToGrid/>
        <w:spacing w:before="156" w:beforeLines="50" w:line="500" w:lineRule="exact"/>
        <w:ind w:firstLine="482" w:firstLineChars="200"/>
        <w:textAlignment w:val="auto"/>
        <w:outlineLvl w:val="9"/>
        <w:rPr>
          <w:rFonts w:hint="eastAsia" w:ascii="宋体" w:hAnsi="宋体" w:eastAsia="宋体" w:cs="宋体"/>
          <w:color w:val="000000"/>
          <w:sz w:val="24"/>
          <w:szCs w:val="24"/>
          <w:highlight w:val="none"/>
        </w:rPr>
      </w:pPr>
      <w:bookmarkStart w:id="126" w:name="_Toc29521"/>
      <w:r>
        <w:rPr>
          <w:rFonts w:hint="eastAsia" w:ascii="宋体" w:hAnsi="宋体" w:eastAsia="宋体" w:cs="宋体"/>
          <w:b/>
          <w:bCs/>
          <w:color w:val="000000"/>
          <w:sz w:val="24"/>
          <w:szCs w:val="24"/>
          <w:highlight w:val="none"/>
        </w:rPr>
        <w:t>第三条  合同文件的优先次序</w:t>
      </w:r>
      <w:bookmarkEnd w:id="126"/>
    </w:p>
    <w:p w14:paraId="5F9D7AA7">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构成本合同的文件可视为是能互相说明的，如果合同文件存在歧义或不一致，则根据如下优先次序来判断：</w:t>
      </w:r>
    </w:p>
    <w:p w14:paraId="3DF45CB8">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3.1协议书（包括补充协议）；</w:t>
      </w:r>
    </w:p>
    <w:p w14:paraId="1CD0306F">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3.2中标通知书；</w:t>
      </w:r>
    </w:p>
    <w:p w14:paraId="68F2BD14">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3.3投标文件及其附件；</w:t>
      </w:r>
    </w:p>
    <w:p w14:paraId="1E503A7D">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3.4合同条款；</w:t>
      </w:r>
    </w:p>
    <w:p w14:paraId="64BFA80C">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3.5承诺书；</w:t>
      </w:r>
    </w:p>
    <w:p w14:paraId="2DE9CDC5">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3.6技术规范；</w:t>
      </w:r>
    </w:p>
    <w:p w14:paraId="5D713A7B">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3.7经双方确认进入合同的其它文件。</w:t>
      </w:r>
    </w:p>
    <w:p w14:paraId="02B38615">
      <w:pPr>
        <w:keepNext w:val="0"/>
        <w:keepLines w:val="0"/>
        <w:pageBreakBefore w:val="0"/>
        <w:numPr>
          <w:ilvl w:val="0"/>
          <w:numId w:val="9"/>
        </w:numPr>
        <w:kinsoku/>
        <w:wordWrap/>
        <w:overflowPunct/>
        <w:topLinePunct w:val="0"/>
        <w:autoSpaceDE/>
        <w:autoSpaceDN/>
        <w:bidi w:val="0"/>
        <w:adjustRightInd/>
        <w:snapToGrid/>
        <w:spacing w:after="156" w:afterLines="50" w:line="500" w:lineRule="exact"/>
        <w:ind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 </w:t>
      </w:r>
      <w:bookmarkStart w:id="127" w:name="_Toc5723"/>
      <w:r>
        <w:rPr>
          <w:rFonts w:hint="eastAsia" w:ascii="宋体" w:hAnsi="宋体" w:eastAsia="宋体" w:cs="宋体"/>
          <w:b/>
          <w:bCs/>
          <w:color w:val="000000"/>
          <w:sz w:val="24"/>
          <w:szCs w:val="24"/>
          <w:highlight w:val="none"/>
        </w:rPr>
        <w:t>本合同设计项目的名称、阶段、设计内容及标准：</w:t>
      </w:r>
      <w:bookmarkEnd w:id="127"/>
    </w:p>
    <w:p w14:paraId="0755456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乙方的任务主要是完成工程勘察、工程测量、编制初步设计、设计概算、施工图设计、施工图预算、招标图工程量计算、招标图工程量清单等文件、工程实施到竣工验收全过程的设计服务（包括设计变更报告和施工现场指导等）。</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050"/>
        <w:gridCol w:w="2415"/>
        <w:gridCol w:w="2989"/>
      </w:tblGrid>
      <w:tr w14:paraId="7230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4" w:type="dxa"/>
            <w:noWrap w:val="0"/>
            <w:vAlign w:val="center"/>
          </w:tcPr>
          <w:p w14:paraId="398977C6">
            <w:pPr>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3050" w:type="dxa"/>
            <w:noWrap w:val="0"/>
            <w:vAlign w:val="center"/>
          </w:tcPr>
          <w:p w14:paraId="726EC723">
            <w:pPr>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 目 名 称</w:t>
            </w:r>
          </w:p>
        </w:tc>
        <w:tc>
          <w:tcPr>
            <w:tcW w:w="2415" w:type="dxa"/>
            <w:noWrap w:val="0"/>
            <w:vAlign w:val="center"/>
          </w:tcPr>
          <w:p w14:paraId="0B3F8E2C">
            <w:pPr>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阶 段</w:t>
            </w:r>
          </w:p>
        </w:tc>
        <w:tc>
          <w:tcPr>
            <w:tcW w:w="2989" w:type="dxa"/>
            <w:noWrap w:val="0"/>
            <w:vAlign w:val="center"/>
          </w:tcPr>
          <w:p w14:paraId="0435D4E7">
            <w:pPr>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设 计 内 容 及 标 准</w:t>
            </w:r>
          </w:p>
        </w:tc>
      </w:tr>
      <w:tr w14:paraId="26C3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4" w:type="dxa"/>
            <w:noWrap w:val="0"/>
            <w:vAlign w:val="center"/>
          </w:tcPr>
          <w:p w14:paraId="50A08E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3050" w:type="dxa"/>
            <w:vMerge w:val="restart"/>
            <w:noWrap w:val="0"/>
            <w:vAlign w:val="center"/>
          </w:tcPr>
          <w:p w14:paraId="464516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广东省韶关市武江区农业产业基础设施建设项目-武江区2026年农业产业基础设施建设项目（江湾镇）勘察设计</w:t>
            </w:r>
          </w:p>
        </w:tc>
        <w:tc>
          <w:tcPr>
            <w:tcW w:w="2415" w:type="dxa"/>
            <w:noWrap w:val="0"/>
            <w:vAlign w:val="center"/>
          </w:tcPr>
          <w:p w14:paraId="325D65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初步设计</w:t>
            </w:r>
          </w:p>
        </w:tc>
        <w:tc>
          <w:tcPr>
            <w:tcW w:w="2989" w:type="dxa"/>
            <w:noWrap w:val="0"/>
            <w:vAlign w:val="center"/>
          </w:tcPr>
          <w:p w14:paraId="339B0C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国家和部颁相关规范要求</w:t>
            </w:r>
          </w:p>
        </w:tc>
      </w:tr>
      <w:tr w14:paraId="7385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4" w:type="dxa"/>
            <w:noWrap w:val="0"/>
            <w:vAlign w:val="center"/>
          </w:tcPr>
          <w:p w14:paraId="6905E1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3050" w:type="dxa"/>
            <w:vMerge w:val="continue"/>
            <w:noWrap w:val="0"/>
            <w:vAlign w:val="center"/>
          </w:tcPr>
          <w:p w14:paraId="7DD3CF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rPr>
            </w:pPr>
          </w:p>
        </w:tc>
        <w:tc>
          <w:tcPr>
            <w:tcW w:w="2415" w:type="dxa"/>
            <w:noWrap w:val="0"/>
            <w:vAlign w:val="center"/>
          </w:tcPr>
          <w:p w14:paraId="18D640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招标设计</w:t>
            </w:r>
          </w:p>
        </w:tc>
        <w:tc>
          <w:tcPr>
            <w:tcW w:w="2989" w:type="dxa"/>
            <w:noWrap w:val="0"/>
            <w:vAlign w:val="center"/>
          </w:tcPr>
          <w:p w14:paraId="11A19E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同上</w:t>
            </w:r>
          </w:p>
        </w:tc>
      </w:tr>
      <w:tr w14:paraId="2BC2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noWrap w:val="0"/>
            <w:vAlign w:val="center"/>
          </w:tcPr>
          <w:p w14:paraId="447FE0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3050" w:type="dxa"/>
            <w:vMerge w:val="continue"/>
            <w:noWrap w:val="0"/>
            <w:vAlign w:val="center"/>
          </w:tcPr>
          <w:p w14:paraId="6DCBA0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rPr>
            </w:pPr>
          </w:p>
        </w:tc>
        <w:tc>
          <w:tcPr>
            <w:tcW w:w="2415" w:type="dxa"/>
            <w:noWrap w:val="0"/>
            <w:vAlign w:val="center"/>
          </w:tcPr>
          <w:p w14:paraId="053748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施工图设计</w:t>
            </w:r>
          </w:p>
        </w:tc>
        <w:tc>
          <w:tcPr>
            <w:tcW w:w="2989" w:type="dxa"/>
            <w:noWrap w:val="0"/>
            <w:vAlign w:val="center"/>
          </w:tcPr>
          <w:p w14:paraId="731F9C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同上</w:t>
            </w:r>
          </w:p>
        </w:tc>
      </w:tr>
      <w:tr w14:paraId="3B04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noWrap w:val="0"/>
            <w:vAlign w:val="center"/>
          </w:tcPr>
          <w:p w14:paraId="69DFE5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5</w:t>
            </w:r>
          </w:p>
        </w:tc>
        <w:tc>
          <w:tcPr>
            <w:tcW w:w="3050" w:type="dxa"/>
            <w:vMerge w:val="continue"/>
            <w:noWrap w:val="0"/>
            <w:vAlign w:val="center"/>
          </w:tcPr>
          <w:p w14:paraId="51213B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rPr>
            </w:pPr>
          </w:p>
        </w:tc>
        <w:tc>
          <w:tcPr>
            <w:tcW w:w="2415" w:type="dxa"/>
            <w:noWrap w:val="0"/>
            <w:vAlign w:val="center"/>
          </w:tcPr>
          <w:p w14:paraId="723F7D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施工图工程量计算及清单编制</w:t>
            </w:r>
          </w:p>
        </w:tc>
        <w:tc>
          <w:tcPr>
            <w:tcW w:w="2989" w:type="dxa"/>
            <w:noWrap w:val="0"/>
            <w:vAlign w:val="center"/>
          </w:tcPr>
          <w:p w14:paraId="4FC138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同上</w:t>
            </w:r>
          </w:p>
        </w:tc>
      </w:tr>
      <w:tr w14:paraId="3DC2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4" w:type="dxa"/>
            <w:noWrap w:val="0"/>
            <w:vAlign w:val="center"/>
          </w:tcPr>
          <w:p w14:paraId="1CDA12B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c>
          <w:tcPr>
            <w:tcW w:w="3050" w:type="dxa"/>
            <w:vMerge w:val="continue"/>
            <w:noWrap w:val="0"/>
            <w:vAlign w:val="center"/>
          </w:tcPr>
          <w:p w14:paraId="219D72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rPr>
            </w:pPr>
          </w:p>
        </w:tc>
        <w:tc>
          <w:tcPr>
            <w:tcW w:w="2415" w:type="dxa"/>
            <w:noWrap w:val="0"/>
            <w:vAlign w:val="center"/>
          </w:tcPr>
          <w:p w14:paraId="66C8C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施工期设计服务</w:t>
            </w:r>
          </w:p>
        </w:tc>
        <w:tc>
          <w:tcPr>
            <w:tcW w:w="2989" w:type="dxa"/>
            <w:noWrap w:val="0"/>
            <w:vAlign w:val="center"/>
          </w:tcPr>
          <w:p w14:paraId="64566B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同上</w:t>
            </w:r>
          </w:p>
        </w:tc>
      </w:tr>
      <w:tr w14:paraId="1187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4" w:type="dxa"/>
            <w:noWrap w:val="0"/>
            <w:vAlign w:val="center"/>
          </w:tcPr>
          <w:p w14:paraId="6676B4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w:t>
            </w:r>
          </w:p>
        </w:tc>
        <w:tc>
          <w:tcPr>
            <w:tcW w:w="3050" w:type="dxa"/>
            <w:vMerge w:val="continue"/>
            <w:noWrap w:val="0"/>
            <w:vAlign w:val="center"/>
          </w:tcPr>
          <w:p w14:paraId="408DC3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rPr>
            </w:pPr>
          </w:p>
        </w:tc>
        <w:tc>
          <w:tcPr>
            <w:tcW w:w="2415" w:type="dxa"/>
            <w:noWrap w:val="0"/>
            <w:vAlign w:val="center"/>
          </w:tcPr>
          <w:p w14:paraId="50D923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工程完工</w:t>
            </w:r>
            <w:r>
              <w:rPr>
                <w:rFonts w:hint="eastAsia" w:ascii="宋体" w:hAnsi="宋体" w:eastAsia="宋体" w:cs="宋体"/>
                <w:color w:val="000000"/>
                <w:sz w:val="24"/>
                <w:highlight w:val="none"/>
              </w:rPr>
              <w:t>验收服务</w:t>
            </w:r>
          </w:p>
        </w:tc>
        <w:tc>
          <w:tcPr>
            <w:tcW w:w="2989" w:type="dxa"/>
            <w:noWrap w:val="0"/>
            <w:vAlign w:val="center"/>
          </w:tcPr>
          <w:p w14:paraId="6A0F9D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同上</w:t>
            </w:r>
          </w:p>
        </w:tc>
      </w:tr>
      <w:tr w14:paraId="7BE7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4" w:type="dxa"/>
            <w:noWrap w:val="0"/>
            <w:vAlign w:val="center"/>
          </w:tcPr>
          <w:p w14:paraId="333662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w:t>
            </w:r>
          </w:p>
        </w:tc>
        <w:tc>
          <w:tcPr>
            <w:tcW w:w="3050" w:type="dxa"/>
            <w:vMerge w:val="continue"/>
            <w:noWrap w:val="0"/>
            <w:vAlign w:val="center"/>
          </w:tcPr>
          <w:p w14:paraId="4402C4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000000"/>
                <w:sz w:val="24"/>
                <w:highlight w:val="none"/>
              </w:rPr>
            </w:pPr>
          </w:p>
        </w:tc>
        <w:tc>
          <w:tcPr>
            <w:tcW w:w="2415" w:type="dxa"/>
            <w:noWrap w:val="0"/>
            <w:vAlign w:val="center"/>
          </w:tcPr>
          <w:p w14:paraId="6FB8D4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航拍或其他视频格式文件</w:t>
            </w:r>
          </w:p>
        </w:tc>
        <w:tc>
          <w:tcPr>
            <w:tcW w:w="2989" w:type="dxa"/>
            <w:noWrap w:val="0"/>
            <w:vAlign w:val="center"/>
          </w:tcPr>
          <w:p w14:paraId="0629DE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同上</w:t>
            </w:r>
          </w:p>
        </w:tc>
      </w:tr>
    </w:tbl>
    <w:p w14:paraId="52AF7FC3">
      <w:pPr>
        <w:keepNext w:val="0"/>
        <w:keepLines w:val="0"/>
        <w:pageBreakBefore w:val="0"/>
        <w:widowControl w:val="0"/>
        <w:numPr>
          <w:ilvl w:val="0"/>
          <w:numId w:val="9"/>
        </w:numPr>
        <w:kinsoku/>
        <w:wordWrap/>
        <w:overflowPunct/>
        <w:topLinePunct w:val="0"/>
        <w:autoSpaceDE/>
        <w:autoSpaceDN/>
        <w:bidi w:val="0"/>
        <w:spacing w:before="312" w:beforeLines="100" w:line="500" w:lineRule="exact"/>
        <w:ind w:firstLine="482"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 xml:space="preserve"> </w:t>
      </w:r>
      <w:bookmarkStart w:id="128" w:name="_Toc23072"/>
      <w:r>
        <w:rPr>
          <w:rFonts w:hint="eastAsia" w:ascii="宋体" w:hAnsi="宋体" w:eastAsia="宋体" w:cs="宋体"/>
          <w:b/>
          <w:bCs/>
          <w:color w:val="000000"/>
          <w:sz w:val="24"/>
          <w:highlight w:val="none"/>
        </w:rPr>
        <w:t>甲方向乙方提交的有关资料、文件及时间：</w:t>
      </w:r>
      <w:bookmarkEnd w:id="128"/>
      <w:r>
        <w:rPr>
          <w:rFonts w:hint="eastAsia" w:ascii="宋体" w:hAnsi="宋体" w:eastAsia="宋体" w:cs="宋体"/>
          <w:color w:val="000000"/>
          <w:sz w:val="24"/>
          <w:highlight w:val="none"/>
        </w:rPr>
        <w:t xml:space="preserve"> </w:t>
      </w:r>
    </w:p>
    <w:p w14:paraId="77DB29DF">
      <w:pPr>
        <w:keepNext w:val="0"/>
        <w:keepLines w:val="0"/>
        <w:pageBreakBefore w:val="0"/>
        <w:widowControl w:val="0"/>
        <w:kinsoku/>
        <w:wordWrap/>
        <w:overflowPunct/>
        <w:topLinePunct w:val="0"/>
        <w:autoSpaceDE/>
        <w:autoSpaceDN/>
        <w:bidi w:val="0"/>
        <w:adjustRightInd w:val="0"/>
        <w:snapToGrid w:val="0"/>
        <w:spacing w:line="500" w:lineRule="exact"/>
        <w:ind w:left="6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5.1发包人向承包人提交的有关资料及文件：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751"/>
        <w:gridCol w:w="833"/>
        <w:gridCol w:w="4956"/>
      </w:tblGrid>
      <w:tr w14:paraId="0569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58" w:type="dxa"/>
            <w:noWrap w:val="0"/>
            <w:vAlign w:val="center"/>
          </w:tcPr>
          <w:p w14:paraId="68734478">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2751" w:type="dxa"/>
            <w:noWrap w:val="0"/>
            <w:vAlign w:val="center"/>
          </w:tcPr>
          <w:p w14:paraId="4CA57558">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资料及文件名称</w:t>
            </w:r>
          </w:p>
        </w:tc>
        <w:tc>
          <w:tcPr>
            <w:tcW w:w="833" w:type="dxa"/>
            <w:noWrap w:val="0"/>
            <w:vAlign w:val="center"/>
          </w:tcPr>
          <w:p w14:paraId="16A48D00">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份数</w:t>
            </w:r>
          </w:p>
        </w:tc>
        <w:tc>
          <w:tcPr>
            <w:tcW w:w="4956" w:type="dxa"/>
            <w:noWrap w:val="0"/>
            <w:vAlign w:val="center"/>
          </w:tcPr>
          <w:p w14:paraId="14A87724">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提 交 时 间</w:t>
            </w:r>
          </w:p>
        </w:tc>
      </w:tr>
      <w:tr w14:paraId="5B12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58" w:type="dxa"/>
            <w:noWrap w:val="0"/>
            <w:vAlign w:val="center"/>
          </w:tcPr>
          <w:p w14:paraId="0B375B30">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2751" w:type="dxa"/>
            <w:noWrap w:val="0"/>
            <w:vAlign w:val="center"/>
          </w:tcPr>
          <w:p w14:paraId="48628698">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省、市有关批文</w:t>
            </w:r>
          </w:p>
        </w:tc>
        <w:tc>
          <w:tcPr>
            <w:tcW w:w="833" w:type="dxa"/>
            <w:noWrap w:val="0"/>
            <w:vAlign w:val="center"/>
          </w:tcPr>
          <w:p w14:paraId="70DDA0AB">
            <w:pPr>
              <w:keepNext w:val="0"/>
              <w:keepLines w:val="0"/>
              <w:pageBreakBefore w:val="0"/>
              <w:widowControl w:val="0"/>
              <w:kinsoku/>
              <w:wordWrap/>
              <w:overflowPunct/>
              <w:topLinePunct w:val="0"/>
              <w:autoSpaceDE/>
              <w:autoSpaceDN/>
              <w:bidi w:val="0"/>
              <w:spacing w:line="500" w:lineRule="exact"/>
              <w:ind w:left="-107" w:leftChars="-51" w:right="-107" w:rightChars="-51"/>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4956" w:type="dxa"/>
            <w:noWrap w:val="0"/>
            <w:vAlign w:val="center"/>
          </w:tcPr>
          <w:p w14:paraId="18554C40">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根据审批部门的审批情况，双方另行协商。</w:t>
            </w:r>
          </w:p>
        </w:tc>
      </w:tr>
      <w:tr w14:paraId="1F77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58" w:type="dxa"/>
            <w:noWrap w:val="0"/>
            <w:vAlign w:val="center"/>
          </w:tcPr>
          <w:p w14:paraId="543E4FEB">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2751" w:type="dxa"/>
            <w:noWrap w:val="0"/>
            <w:vAlign w:val="center"/>
          </w:tcPr>
          <w:p w14:paraId="46984E3C">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水文资料（若有）</w:t>
            </w:r>
          </w:p>
        </w:tc>
        <w:tc>
          <w:tcPr>
            <w:tcW w:w="833" w:type="dxa"/>
            <w:noWrap w:val="0"/>
            <w:vAlign w:val="center"/>
          </w:tcPr>
          <w:p w14:paraId="1392BCB6">
            <w:pPr>
              <w:keepNext w:val="0"/>
              <w:keepLines w:val="0"/>
              <w:pageBreakBefore w:val="0"/>
              <w:widowControl w:val="0"/>
              <w:kinsoku/>
              <w:wordWrap/>
              <w:overflowPunct/>
              <w:topLinePunct w:val="0"/>
              <w:autoSpaceDE/>
              <w:autoSpaceDN/>
              <w:bidi w:val="0"/>
              <w:spacing w:line="500" w:lineRule="exact"/>
              <w:ind w:left="-107" w:leftChars="-51" w:right="-107" w:rightChars="-51"/>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4956" w:type="dxa"/>
            <w:noWrap w:val="0"/>
            <w:vAlign w:val="center"/>
          </w:tcPr>
          <w:p w14:paraId="37857F31">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乙方可向甲方借用(签订合同后三天内)</w:t>
            </w:r>
          </w:p>
        </w:tc>
      </w:tr>
      <w:tr w14:paraId="5022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858" w:type="dxa"/>
            <w:noWrap w:val="0"/>
            <w:vAlign w:val="center"/>
          </w:tcPr>
          <w:p w14:paraId="73BDFAD5">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2751" w:type="dxa"/>
            <w:noWrap w:val="0"/>
            <w:vAlign w:val="center"/>
          </w:tcPr>
          <w:p w14:paraId="365EF68A">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地质资料</w:t>
            </w:r>
          </w:p>
        </w:tc>
        <w:tc>
          <w:tcPr>
            <w:tcW w:w="833" w:type="dxa"/>
            <w:noWrap w:val="0"/>
            <w:vAlign w:val="center"/>
          </w:tcPr>
          <w:p w14:paraId="4DE353F2">
            <w:pPr>
              <w:keepNext w:val="0"/>
              <w:keepLines w:val="0"/>
              <w:pageBreakBefore w:val="0"/>
              <w:widowControl w:val="0"/>
              <w:kinsoku/>
              <w:wordWrap/>
              <w:overflowPunct/>
              <w:topLinePunct w:val="0"/>
              <w:autoSpaceDE/>
              <w:autoSpaceDN/>
              <w:bidi w:val="0"/>
              <w:spacing w:line="500" w:lineRule="exact"/>
              <w:ind w:left="-107" w:leftChars="-51" w:right="-107" w:rightChars="-51"/>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4956" w:type="dxa"/>
            <w:noWrap w:val="0"/>
            <w:vAlign w:val="center"/>
          </w:tcPr>
          <w:p w14:paraId="1211361D">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另行协商。</w:t>
            </w:r>
          </w:p>
        </w:tc>
      </w:tr>
    </w:tbl>
    <w:p w14:paraId="5F1456DE">
      <w:pPr>
        <w:keepNext w:val="0"/>
        <w:keepLines w:val="0"/>
        <w:pageBreakBefore w:val="0"/>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5.2发包人按合同第5.1条规定的内容，在规定的时间内向承包人提交资料及文件，并对其完整性，正确性及时限负责。</w:t>
      </w:r>
    </w:p>
    <w:p w14:paraId="08493CCC">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5.3由于承包人自身的原因引起的勘察设计修改，发包人不再支付任何费用。</w:t>
      </w:r>
    </w:p>
    <w:p w14:paraId="61CDA81F">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5.4在合同履行期间，发包人要求终止或解除合同，承包人未开始勘察设计工作的，发包人双倍退还承包人已付的履约保证金；已开始勘察设计工作的，发包人除了退还承包人的履约保证金外，还应根据承包人已进行的阶段实际工作量，不足一半时，按该阶段勘察设计费的一半支付，超过一半时，按该阶段勘察设计费的全部支付。</w:t>
      </w:r>
    </w:p>
    <w:p w14:paraId="6C004123">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5.5发包人应按合同规定的金额和时间向承包人支付勘察设计费用。每逾期超过30天以上时，承包人有权暂停履行下阶段工作，并书面通知发包人。</w:t>
      </w:r>
    </w:p>
    <w:p w14:paraId="62B31F23">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5.6发包人按本合同规定为承包人进行工程勘察设计提供必要的协助，并协助承包人进行外部关系的协调，协助承包人办理有关人员在当地的安全、劳动管理等其他有关手续。但发包人不为承包人任何工作人员提供工作、生活、交通及通讯等方便条件。因勘察设计工作需要所发生的一切费用已包含在承包人的投标报价中。</w:t>
      </w:r>
    </w:p>
    <w:p w14:paraId="0DED8F50">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5.7发包人有权对承包人的工作进行监督，包括检查其工作质量及进度、提出质疑、要求承包人就某一问题提出报告等。</w:t>
      </w:r>
    </w:p>
    <w:p w14:paraId="2A128076">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5.8发包人对技术方案有最后的决定权。经符合资质要求的水利水电咨询公司咨询或上级技术审查部门审查后，发包人对技术方案提出的修改为最终决定。</w:t>
      </w:r>
    </w:p>
    <w:p w14:paraId="7C6F82BD">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5.9承包人为本合同项目所采用的国家或地方标准图，由承包人自费向有关出版部门购买。</w:t>
      </w:r>
    </w:p>
    <w:p w14:paraId="63506E37">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5.10超过本合同规定承包人交付的勘察设计文件份数，发包人另付工本费。</w:t>
      </w:r>
    </w:p>
    <w:p w14:paraId="6211B57E">
      <w:pPr>
        <w:keepNext w:val="0"/>
        <w:keepLines w:val="0"/>
        <w:pageBreakBefore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5.11发包人无须对承包人派出的人员伤亡或遭受意外在法律上获得的赔偿承担责任。</w:t>
      </w:r>
    </w:p>
    <w:p w14:paraId="6EA8397C">
      <w:pPr>
        <w:keepNext w:val="0"/>
        <w:keepLines w:val="0"/>
        <w:pageBreakBefore w:val="0"/>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5.12发包人应在合同工程完工验收后一个月内一次性退还履约保证金。</w:t>
      </w:r>
    </w:p>
    <w:p w14:paraId="5C5D44E0">
      <w:pPr>
        <w:keepNext w:val="0"/>
        <w:keepLines w:val="0"/>
        <w:pageBreakBefore w:val="0"/>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5.13所有合同内要求提交的勘察设计文件版权均属于发包人所有。</w:t>
      </w:r>
    </w:p>
    <w:p w14:paraId="2D4E4161">
      <w:pPr>
        <w:keepNext w:val="0"/>
        <w:keepLines w:val="0"/>
        <w:pageBreakBefore w:val="0"/>
        <w:kinsoku/>
        <w:wordWrap/>
        <w:overflowPunct/>
        <w:topLinePunct w:val="0"/>
        <w:autoSpaceDE/>
        <w:autoSpaceDN/>
        <w:bidi w:val="0"/>
        <w:spacing w:before="156" w:beforeLines="50" w:line="500" w:lineRule="exact"/>
        <w:ind w:left="420" w:leftChars="200"/>
        <w:outlineLvl w:val="9"/>
        <w:rPr>
          <w:rFonts w:hint="eastAsia" w:ascii="宋体" w:hAnsi="宋体" w:eastAsia="宋体" w:cs="宋体"/>
          <w:b/>
          <w:bCs/>
          <w:color w:val="000000"/>
          <w:sz w:val="24"/>
          <w:szCs w:val="24"/>
          <w:highlight w:val="none"/>
        </w:rPr>
      </w:pPr>
      <w:bookmarkStart w:id="129" w:name="_Toc30233"/>
      <w:r>
        <w:rPr>
          <w:rFonts w:hint="eastAsia" w:ascii="宋体" w:hAnsi="宋体" w:eastAsia="宋体" w:cs="宋体"/>
          <w:b/>
          <w:bCs/>
          <w:color w:val="000000"/>
          <w:sz w:val="24"/>
          <w:szCs w:val="24"/>
          <w:highlight w:val="none"/>
        </w:rPr>
        <w:t>第六条 乙方向甲方交付的设计文件、份数及时间：</w:t>
      </w:r>
      <w:bookmarkEnd w:id="129"/>
    </w:p>
    <w:p w14:paraId="7E040CDB">
      <w:pPr>
        <w:pStyle w:val="6"/>
        <w:keepNext w:val="0"/>
        <w:keepLines w:val="0"/>
        <w:pageBreakBefore w:val="0"/>
        <w:kinsoku/>
        <w:wordWrap/>
        <w:overflowPunct/>
        <w:topLinePunct w:val="0"/>
        <w:autoSpaceDE/>
        <w:autoSpaceDN/>
        <w:bidi w:val="0"/>
        <w:spacing w:line="500" w:lineRule="exact"/>
        <w:ind w:left="420" w:left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6.1项目</w:t>
      </w:r>
      <w:r>
        <w:rPr>
          <w:rFonts w:hint="eastAsia" w:ascii="宋体" w:hAnsi="宋体" w:eastAsia="宋体" w:cs="宋体"/>
          <w:color w:val="000000"/>
          <w:sz w:val="24"/>
          <w:szCs w:val="24"/>
          <w:highlight w:val="none"/>
          <w:lang w:val="en-US" w:eastAsia="zh-CN"/>
        </w:rPr>
        <w:t>勘察</w:t>
      </w:r>
      <w:r>
        <w:rPr>
          <w:rFonts w:hint="eastAsia" w:ascii="宋体" w:hAnsi="宋体" w:eastAsia="宋体" w:cs="宋体"/>
          <w:color w:val="000000"/>
          <w:sz w:val="24"/>
          <w:szCs w:val="24"/>
          <w:highlight w:val="none"/>
        </w:rPr>
        <w:t>设计工作进度</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509"/>
        <w:gridCol w:w="783"/>
        <w:gridCol w:w="1220"/>
        <w:gridCol w:w="3174"/>
      </w:tblGrid>
      <w:tr w14:paraId="3843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75" w:type="dxa"/>
            <w:noWrap w:val="0"/>
            <w:vAlign w:val="center"/>
          </w:tcPr>
          <w:p w14:paraId="215DA4E2">
            <w:pPr>
              <w:keepNext w:val="0"/>
              <w:keepLines w:val="0"/>
              <w:pageBreakBefore w:val="0"/>
              <w:kinsoku/>
              <w:wordWrap/>
              <w:overflowPunct/>
              <w:topLinePunct w:val="0"/>
              <w:autoSpaceDE/>
              <w:autoSpaceDN/>
              <w:bidi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509" w:type="dxa"/>
            <w:noWrap w:val="0"/>
            <w:vAlign w:val="center"/>
          </w:tcPr>
          <w:p w14:paraId="608E7ABA">
            <w:pPr>
              <w:keepNext w:val="0"/>
              <w:keepLines w:val="0"/>
              <w:pageBreakBefore w:val="0"/>
              <w:kinsoku/>
              <w:wordWrap/>
              <w:overflowPunct/>
              <w:topLinePunct w:val="0"/>
              <w:autoSpaceDE/>
              <w:autoSpaceDN/>
              <w:bidi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资料及文件名称</w:t>
            </w:r>
          </w:p>
        </w:tc>
        <w:tc>
          <w:tcPr>
            <w:tcW w:w="783" w:type="dxa"/>
            <w:noWrap w:val="0"/>
            <w:vAlign w:val="center"/>
          </w:tcPr>
          <w:p w14:paraId="586683C2">
            <w:pPr>
              <w:keepNext w:val="0"/>
              <w:keepLines w:val="0"/>
              <w:pageBreakBefore w:val="0"/>
              <w:kinsoku/>
              <w:wordWrap/>
              <w:overflowPunct/>
              <w:topLinePunct w:val="0"/>
              <w:autoSpaceDE/>
              <w:autoSpaceDN/>
              <w:bidi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份数</w:t>
            </w:r>
          </w:p>
        </w:tc>
        <w:tc>
          <w:tcPr>
            <w:tcW w:w="1220" w:type="dxa"/>
            <w:noWrap w:val="0"/>
            <w:vAlign w:val="center"/>
          </w:tcPr>
          <w:p w14:paraId="681BEA9B">
            <w:pPr>
              <w:keepNext w:val="0"/>
              <w:keepLines w:val="0"/>
              <w:pageBreakBefore w:val="0"/>
              <w:kinsoku/>
              <w:wordWrap/>
              <w:overflowPunct/>
              <w:topLinePunct w:val="0"/>
              <w:autoSpaceDE/>
              <w:autoSpaceDN/>
              <w:bidi w:val="0"/>
              <w:spacing w:line="500" w:lineRule="exact"/>
              <w:ind w:hanging="1"/>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内容要求</w:t>
            </w:r>
          </w:p>
        </w:tc>
        <w:tc>
          <w:tcPr>
            <w:tcW w:w="3174" w:type="dxa"/>
            <w:noWrap w:val="0"/>
            <w:vAlign w:val="center"/>
          </w:tcPr>
          <w:p w14:paraId="316B2A43">
            <w:pPr>
              <w:keepNext w:val="0"/>
              <w:keepLines w:val="0"/>
              <w:pageBreakBefore w:val="0"/>
              <w:kinsoku/>
              <w:wordWrap/>
              <w:overflowPunct/>
              <w:topLinePunct w:val="0"/>
              <w:autoSpaceDE/>
              <w:autoSpaceDN/>
              <w:bidi w:val="0"/>
              <w:spacing w:line="500" w:lineRule="exact"/>
              <w:ind w:firstLine="198"/>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提交时间</w:t>
            </w:r>
          </w:p>
        </w:tc>
      </w:tr>
      <w:tr w14:paraId="2AB9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75" w:type="dxa"/>
            <w:noWrap w:val="0"/>
            <w:vAlign w:val="center"/>
          </w:tcPr>
          <w:p w14:paraId="3DF3498C">
            <w:pPr>
              <w:keepNext w:val="0"/>
              <w:keepLines w:val="0"/>
              <w:pageBreakBefore w:val="0"/>
              <w:kinsoku/>
              <w:wordWrap/>
              <w:overflowPunct/>
              <w:topLinePunct w:val="0"/>
              <w:autoSpaceDE/>
              <w:autoSpaceDN/>
              <w:bidi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509" w:type="dxa"/>
            <w:noWrap w:val="0"/>
            <w:vAlign w:val="center"/>
          </w:tcPr>
          <w:p w14:paraId="190A0272">
            <w:pPr>
              <w:keepNext w:val="0"/>
              <w:keepLines w:val="0"/>
              <w:pageBreakBefore w:val="0"/>
              <w:kinsoku/>
              <w:wordWrap/>
              <w:overflowPunct/>
              <w:topLinePunct w:val="0"/>
              <w:autoSpaceDE/>
              <w:autoSpaceDN/>
              <w:bidi w:val="0"/>
              <w:spacing w:line="500" w:lineRule="exact"/>
              <w:ind w:left="-2" w:leftChars="0" w:right="-107" w:rightChars="-51" w:firstLine="2" w:firstLineChars="0"/>
              <w:rPr>
                <w:rFonts w:hint="eastAsia" w:ascii="宋体" w:hAnsi="宋体" w:eastAsia="宋体" w:cs="宋体"/>
                <w:b/>
                <w:color w:val="000000"/>
                <w:sz w:val="24"/>
                <w:szCs w:val="24"/>
                <w:highlight w:val="none"/>
                <w:lang w:val="en-US" w:eastAsia="zh-CN"/>
              </w:rPr>
            </w:pPr>
            <w:r>
              <w:rPr>
                <w:rFonts w:hint="eastAsia" w:ascii="宋体" w:hAnsi="宋体" w:eastAsia="宋体" w:cs="宋体"/>
                <w:color w:val="000000"/>
                <w:sz w:val="24"/>
                <w:szCs w:val="24"/>
                <w:highlight w:val="none"/>
              </w:rPr>
              <w:t>初步设计报告及图纸、工程概算书</w:t>
            </w:r>
          </w:p>
        </w:tc>
        <w:tc>
          <w:tcPr>
            <w:tcW w:w="783" w:type="dxa"/>
            <w:noWrap w:val="0"/>
            <w:vAlign w:val="center"/>
          </w:tcPr>
          <w:p w14:paraId="2B1FDFBE">
            <w:pPr>
              <w:keepNext w:val="0"/>
              <w:keepLines w:val="0"/>
              <w:pageBreakBefore w:val="0"/>
              <w:kinsoku/>
              <w:wordWrap/>
              <w:overflowPunct/>
              <w:topLinePunct w:val="0"/>
              <w:autoSpaceDE/>
              <w:autoSpaceDN/>
              <w:bidi w:val="0"/>
              <w:adjustRightInd w:val="0"/>
              <w:snapToGrid w:val="0"/>
              <w:spacing w:line="500" w:lineRule="exact"/>
              <w:ind w:hanging="2"/>
              <w:jc w:val="center"/>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1220" w:type="dxa"/>
            <w:noWrap w:val="0"/>
            <w:vAlign w:val="center"/>
          </w:tcPr>
          <w:p w14:paraId="3FA20871">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按国家和</w:t>
            </w:r>
          </w:p>
          <w:p w14:paraId="3EA5A4CA">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部颁规范</w:t>
            </w:r>
          </w:p>
        </w:tc>
        <w:tc>
          <w:tcPr>
            <w:tcW w:w="3174" w:type="dxa"/>
            <w:noWrap w:val="0"/>
            <w:vAlign w:val="center"/>
          </w:tcPr>
          <w:p w14:paraId="0E3AD7C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以双方约定为准。</w:t>
            </w:r>
          </w:p>
        </w:tc>
      </w:tr>
      <w:tr w14:paraId="3B3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1B03ECB3">
            <w:pPr>
              <w:keepNext w:val="0"/>
              <w:keepLines w:val="0"/>
              <w:pageBreakBefore w:val="0"/>
              <w:kinsoku/>
              <w:wordWrap/>
              <w:overflowPunct/>
              <w:topLinePunct w:val="0"/>
              <w:autoSpaceDE/>
              <w:autoSpaceDN/>
              <w:bidi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509" w:type="dxa"/>
            <w:noWrap w:val="0"/>
            <w:vAlign w:val="center"/>
          </w:tcPr>
          <w:p w14:paraId="40D4C105">
            <w:pPr>
              <w:keepNext w:val="0"/>
              <w:keepLines w:val="0"/>
              <w:pageBreakBefore w:val="0"/>
              <w:kinsoku/>
              <w:wordWrap/>
              <w:overflowPunct/>
              <w:topLinePunct w:val="0"/>
              <w:autoSpaceDE/>
              <w:autoSpaceDN/>
              <w:bidi w:val="0"/>
              <w:spacing w:line="500" w:lineRule="exact"/>
              <w:ind w:left="-2" w:leftChars="0" w:right="-107" w:rightChars="-51" w:firstLine="2"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招标设计图纸、招标工程量清单、招标预算及相应的技术规范和技术条款</w:t>
            </w:r>
          </w:p>
        </w:tc>
        <w:tc>
          <w:tcPr>
            <w:tcW w:w="783" w:type="dxa"/>
            <w:noWrap w:val="0"/>
            <w:vAlign w:val="center"/>
          </w:tcPr>
          <w:p w14:paraId="3C0387ED">
            <w:pPr>
              <w:keepNext w:val="0"/>
              <w:keepLines w:val="0"/>
              <w:pageBreakBefore w:val="0"/>
              <w:kinsoku/>
              <w:wordWrap/>
              <w:overflowPunct/>
              <w:topLinePunct w:val="0"/>
              <w:autoSpaceDE/>
              <w:autoSpaceDN/>
              <w:bidi w:val="0"/>
              <w:spacing w:line="500" w:lineRule="exact"/>
              <w:ind w:left="-1" w:leftChars="-52" w:right="-107" w:rightChars="-51" w:hanging="108"/>
              <w:jc w:val="center"/>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0</w:t>
            </w:r>
          </w:p>
        </w:tc>
        <w:tc>
          <w:tcPr>
            <w:tcW w:w="1220" w:type="dxa"/>
            <w:noWrap w:val="0"/>
            <w:vAlign w:val="center"/>
          </w:tcPr>
          <w:p w14:paraId="1F32CCD2">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达到招</w:t>
            </w:r>
          </w:p>
          <w:p w14:paraId="77B01B61">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标要求</w:t>
            </w:r>
          </w:p>
        </w:tc>
        <w:tc>
          <w:tcPr>
            <w:tcW w:w="3174" w:type="dxa"/>
            <w:noWrap w:val="0"/>
            <w:vAlign w:val="center"/>
          </w:tcPr>
          <w:p w14:paraId="3776D49F">
            <w:pPr>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以双方约定为准。</w:t>
            </w:r>
          </w:p>
        </w:tc>
      </w:tr>
      <w:tr w14:paraId="1274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75" w:type="dxa"/>
            <w:noWrap w:val="0"/>
            <w:vAlign w:val="center"/>
          </w:tcPr>
          <w:p w14:paraId="4DAE009E">
            <w:pPr>
              <w:keepNext w:val="0"/>
              <w:keepLines w:val="0"/>
              <w:pageBreakBefore w:val="0"/>
              <w:kinsoku/>
              <w:wordWrap/>
              <w:overflowPunct/>
              <w:topLinePunct w:val="0"/>
              <w:autoSpaceDE/>
              <w:autoSpaceDN/>
              <w:bidi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509" w:type="dxa"/>
            <w:noWrap w:val="0"/>
            <w:vAlign w:val="center"/>
          </w:tcPr>
          <w:p w14:paraId="3D1E182E">
            <w:pPr>
              <w:keepNext w:val="0"/>
              <w:keepLines w:val="0"/>
              <w:pageBreakBefore w:val="0"/>
              <w:kinsoku/>
              <w:wordWrap/>
              <w:overflowPunct/>
              <w:topLinePunct w:val="0"/>
              <w:autoSpaceDE/>
              <w:autoSpaceDN/>
              <w:bidi w:val="0"/>
              <w:spacing w:line="500" w:lineRule="exact"/>
              <w:ind w:left="-2" w:leftChars="0" w:right="-107" w:rightChars="-51" w:firstLine="2"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施工图设计阶段施工图纸</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施工图预算</w:t>
            </w:r>
          </w:p>
        </w:tc>
        <w:tc>
          <w:tcPr>
            <w:tcW w:w="783" w:type="dxa"/>
            <w:noWrap w:val="0"/>
            <w:vAlign w:val="center"/>
          </w:tcPr>
          <w:p w14:paraId="036A2299">
            <w:pPr>
              <w:keepNext w:val="0"/>
              <w:keepLines w:val="0"/>
              <w:pageBreakBefore w:val="0"/>
              <w:kinsoku/>
              <w:wordWrap/>
              <w:overflowPunct/>
              <w:topLinePunct w:val="0"/>
              <w:autoSpaceDE/>
              <w:autoSpaceDN/>
              <w:bidi w:val="0"/>
              <w:spacing w:line="500" w:lineRule="exact"/>
              <w:ind w:left="-1" w:leftChars="-52" w:right="-107" w:rightChars="-51" w:hanging="108"/>
              <w:jc w:val="center"/>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0</w:t>
            </w:r>
          </w:p>
        </w:tc>
        <w:tc>
          <w:tcPr>
            <w:tcW w:w="1220" w:type="dxa"/>
            <w:noWrap w:val="0"/>
            <w:vAlign w:val="center"/>
          </w:tcPr>
          <w:p w14:paraId="6C5444FA">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按国家和</w:t>
            </w:r>
          </w:p>
          <w:p w14:paraId="7EF50FC2">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部颁规范</w:t>
            </w:r>
          </w:p>
        </w:tc>
        <w:tc>
          <w:tcPr>
            <w:tcW w:w="3174" w:type="dxa"/>
            <w:noWrap w:val="0"/>
            <w:vAlign w:val="center"/>
          </w:tcPr>
          <w:p w14:paraId="0DC65B88">
            <w:pPr>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以双方约定为准。</w:t>
            </w:r>
          </w:p>
        </w:tc>
      </w:tr>
      <w:tr w14:paraId="2FFF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75" w:type="dxa"/>
            <w:noWrap w:val="0"/>
            <w:vAlign w:val="center"/>
          </w:tcPr>
          <w:p w14:paraId="559232A0">
            <w:pPr>
              <w:keepNext w:val="0"/>
              <w:keepLines w:val="0"/>
              <w:pageBreakBefore w:val="0"/>
              <w:kinsoku/>
              <w:wordWrap/>
              <w:overflowPunct/>
              <w:topLinePunct w:val="0"/>
              <w:autoSpaceDE/>
              <w:autoSpaceDN/>
              <w:bidi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509" w:type="dxa"/>
            <w:noWrap w:val="0"/>
            <w:vAlign w:val="center"/>
          </w:tcPr>
          <w:p w14:paraId="61574BDF">
            <w:pPr>
              <w:keepNext w:val="0"/>
              <w:keepLines w:val="0"/>
              <w:pageBreakBefore w:val="0"/>
              <w:kinsoku/>
              <w:wordWrap/>
              <w:overflowPunct/>
              <w:topLinePunct w:val="0"/>
              <w:autoSpaceDE/>
              <w:autoSpaceDN/>
              <w:bidi w:val="0"/>
              <w:spacing w:line="500" w:lineRule="exact"/>
              <w:ind w:left="-2" w:leftChars="0" w:right="-107" w:rightChars="-51" w:firstLine="2"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施工图工程量计算及清单编制</w:t>
            </w:r>
          </w:p>
        </w:tc>
        <w:tc>
          <w:tcPr>
            <w:tcW w:w="783" w:type="dxa"/>
            <w:noWrap w:val="0"/>
            <w:vAlign w:val="center"/>
          </w:tcPr>
          <w:p w14:paraId="2E76C2C9">
            <w:pPr>
              <w:keepNext w:val="0"/>
              <w:keepLines w:val="0"/>
              <w:pageBreakBefore w:val="0"/>
              <w:kinsoku/>
              <w:wordWrap/>
              <w:overflowPunct/>
              <w:topLinePunct w:val="0"/>
              <w:autoSpaceDE/>
              <w:autoSpaceDN/>
              <w:bidi w:val="0"/>
              <w:spacing w:line="500" w:lineRule="exact"/>
              <w:ind w:left="-1" w:leftChars="-52" w:right="-107" w:rightChars="-51" w:hanging="108"/>
              <w:jc w:val="center"/>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1220" w:type="dxa"/>
            <w:noWrap w:val="0"/>
            <w:vAlign w:val="center"/>
          </w:tcPr>
          <w:p w14:paraId="319D5ED1">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按有关规范规定</w:t>
            </w:r>
          </w:p>
        </w:tc>
        <w:tc>
          <w:tcPr>
            <w:tcW w:w="3174" w:type="dxa"/>
            <w:noWrap w:val="0"/>
            <w:vAlign w:val="center"/>
          </w:tcPr>
          <w:p w14:paraId="14FC17E8">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以双方约定为准。</w:t>
            </w:r>
          </w:p>
        </w:tc>
      </w:tr>
      <w:tr w14:paraId="067B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5" w:type="dxa"/>
            <w:noWrap w:val="0"/>
            <w:vAlign w:val="center"/>
          </w:tcPr>
          <w:p w14:paraId="50BEAA59">
            <w:pPr>
              <w:keepNext w:val="0"/>
              <w:keepLines w:val="0"/>
              <w:pageBreakBefore w:val="0"/>
              <w:kinsoku/>
              <w:wordWrap/>
              <w:overflowPunct/>
              <w:topLinePunct w:val="0"/>
              <w:autoSpaceDE/>
              <w:autoSpaceDN/>
              <w:bidi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509" w:type="dxa"/>
            <w:noWrap w:val="0"/>
            <w:vAlign w:val="center"/>
          </w:tcPr>
          <w:p w14:paraId="4A12C4FF">
            <w:pPr>
              <w:keepNext w:val="0"/>
              <w:keepLines w:val="0"/>
              <w:pageBreakBefore w:val="0"/>
              <w:kinsoku/>
              <w:wordWrap/>
              <w:overflowPunct/>
              <w:topLinePunct w:val="0"/>
              <w:autoSpaceDE/>
              <w:autoSpaceDN/>
              <w:bidi w:val="0"/>
              <w:adjustRightInd w:val="0"/>
              <w:snapToGrid w:val="0"/>
              <w:spacing w:line="500" w:lineRule="exact"/>
              <w:ind w:right="-107" w:rightChars="-51"/>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w:t>
            </w:r>
            <w:r>
              <w:rPr>
                <w:rFonts w:hint="eastAsia" w:ascii="宋体" w:hAnsi="宋体" w:eastAsia="宋体" w:cs="宋体"/>
                <w:color w:val="000000"/>
                <w:sz w:val="24"/>
                <w:szCs w:val="24"/>
                <w:highlight w:val="none"/>
                <w:lang w:val="en-US" w:eastAsia="zh-CN"/>
              </w:rPr>
              <w:t>勘察</w:t>
            </w:r>
            <w:r>
              <w:rPr>
                <w:rFonts w:hint="eastAsia" w:ascii="宋体" w:hAnsi="宋体" w:eastAsia="宋体" w:cs="宋体"/>
                <w:color w:val="000000"/>
                <w:sz w:val="24"/>
                <w:szCs w:val="24"/>
                <w:highlight w:val="none"/>
              </w:rPr>
              <w:t>设计文件、航拍视频及图纸光盘</w:t>
            </w:r>
          </w:p>
        </w:tc>
        <w:tc>
          <w:tcPr>
            <w:tcW w:w="783" w:type="dxa"/>
            <w:noWrap w:val="0"/>
            <w:vAlign w:val="center"/>
          </w:tcPr>
          <w:p w14:paraId="28579BB2">
            <w:pPr>
              <w:keepNext w:val="0"/>
              <w:keepLines w:val="0"/>
              <w:pageBreakBefore w:val="0"/>
              <w:kinsoku/>
              <w:wordWrap/>
              <w:overflowPunct/>
              <w:topLinePunct w:val="0"/>
              <w:autoSpaceDE/>
              <w:autoSpaceDN/>
              <w:bidi w:val="0"/>
              <w:adjustRightInd w:val="0"/>
              <w:snapToGrid w:val="0"/>
              <w:spacing w:line="500" w:lineRule="exact"/>
              <w:ind w:left="-109" w:leftChars="-52" w:right="-107" w:rightChars="-51" w:firstLine="1"/>
              <w:jc w:val="center"/>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p>
        </w:tc>
        <w:tc>
          <w:tcPr>
            <w:tcW w:w="1220" w:type="dxa"/>
            <w:noWrap w:val="0"/>
            <w:vAlign w:val="center"/>
          </w:tcPr>
          <w:p w14:paraId="11DC19B5">
            <w:pPr>
              <w:keepNext w:val="0"/>
              <w:keepLines w:val="0"/>
              <w:pageBreakBefore w:val="0"/>
              <w:kinsoku/>
              <w:wordWrap/>
              <w:overflowPunct/>
              <w:topLinePunct w:val="0"/>
              <w:autoSpaceDE/>
              <w:autoSpaceDN/>
              <w:bidi w:val="0"/>
              <w:adjustRightInd w:val="0"/>
              <w:snapToGrid w:val="0"/>
              <w:spacing w:line="500" w:lineRule="exact"/>
              <w:ind w:firstLine="198"/>
              <w:jc w:val="center"/>
              <w:outlineLvl w:val="9"/>
              <w:rPr>
                <w:rFonts w:hint="eastAsia" w:ascii="宋体" w:hAnsi="宋体" w:eastAsia="宋体" w:cs="宋体"/>
                <w:color w:val="000000"/>
                <w:sz w:val="24"/>
                <w:szCs w:val="24"/>
                <w:highlight w:val="none"/>
              </w:rPr>
            </w:pPr>
          </w:p>
        </w:tc>
        <w:tc>
          <w:tcPr>
            <w:tcW w:w="3174" w:type="dxa"/>
            <w:noWrap w:val="0"/>
            <w:vAlign w:val="center"/>
          </w:tcPr>
          <w:p w14:paraId="2958B22C">
            <w:pPr>
              <w:keepNext w:val="0"/>
              <w:keepLines w:val="0"/>
              <w:pageBreakBefore w:val="0"/>
              <w:kinsoku/>
              <w:wordWrap/>
              <w:overflowPunct/>
              <w:topLinePunct w:val="0"/>
              <w:autoSpaceDE/>
              <w:autoSpaceDN/>
              <w:bidi w:val="0"/>
              <w:adjustRightInd w:val="0"/>
              <w:snapToGrid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以双方约定为准。</w:t>
            </w:r>
          </w:p>
        </w:tc>
      </w:tr>
      <w:tr w14:paraId="66A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5" w:type="dxa"/>
            <w:noWrap w:val="0"/>
            <w:vAlign w:val="center"/>
          </w:tcPr>
          <w:p w14:paraId="5CE87643">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p>
        </w:tc>
        <w:tc>
          <w:tcPr>
            <w:tcW w:w="3509" w:type="dxa"/>
            <w:noWrap w:val="0"/>
            <w:vAlign w:val="center"/>
          </w:tcPr>
          <w:p w14:paraId="769B284E">
            <w:pPr>
              <w:keepNext w:val="0"/>
              <w:keepLines w:val="0"/>
              <w:pageBreakBefore w:val="0"/>
              <w:kinsoku/>
              <w:wordWrap/>
              <w:overflowPunct/>
              <w:topLinePunct w:val="0"/>
              <w:autoSpaceDE/>
              <w:autoSpaceDN/>
              <w:bidi w:val="0"/>
              <w:adjustRightInd w:val="0"/>
              <w:snapToGrid w:val="0"/>
              <w:spacing w:line="500" w:lineRule="exact"/>
              <w:ind w:left="-107" w:leftChars="-51" w:right="-107" w:rightChars="-51" w:firstLine="120" w:firstLineChars="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完成初步设计与施工图设计阶段必要的勘察工作</w:t>
            </w:r>
            <w:r>
              <w:rPr>
                <w:rFonts w:hint="eastAsia" w:ascii="宋体" w:hAnsi="宋体" w:eastAsia="宋体" w:cs="宋体"/>
                <w:color w:val="000000"/>
                <w:sz w:val="24"/>
                <w:szCs w:val="24"/>
                <w:highlight w:val="none"/>
                <w:lang w:eastAsia="zh-CN"/>
              </w:rPr>
              <w:t>，以及上级要求的其他必要的设计工作</w:t>
            </w:r>
          </w:p>
        </w:tc>
        <w:tc>
          <w:tcPr>
            <w:tcW w:w="783" w:type="dxa"/>
            <w:noWrap w:val="0"/>
            <w:vAlign w:val="center"/>
          </w:tcPr>
          <w:p w14:paraId="49B778EF">
            <w:pPr>
              <w:keepNext w:val="0"/>
              <w:keepLines w:val="0"/>
              <w:pageBreakBefore w:val="0"/>
              <w:kinsoku/>
              <w:wordWrap/>
              <w:overflowPunct/>
              <w:topLinePunct w:val="0"/>
              <w:autoSpaceDE/>
              <w:autoSpaceDN/>
              <w:bidi w:val="0"/>
              <w:adjustRightInd w:val="0"/>
              <w:snapToGrid w:val="0"/>
              <w:spacing w:line="500" w:lineRule="exact"/>
              <w:ind w:left="-109" w:leftChars="-52" w:right="-107" w:rightChars="-51" w:firstLine="1"/>
              <w:jc w:val="center"/>
              <w:outlineLvl w:val="9"/>
              <w:rPr>
                <w:rFonts w:hint="eastAsia" w:ascii="宋体" w:hAnsi="宋体" w:eastAsia="宋体" w:cs="宋体"/>
                <w:color w:val="000000"/>
                <w:sz w:val="24"/>
                <w:szCs w:val="24"/>
                <w:highlight w:val="none"/>
                <w:lang w:val="en-US" w:eastAsia="zh-CN"/>
              </w:rPr>
            </w:pPr>
          </w:p>
        </w:tc>
        <w:tc>
          <w:tcPr>
            <w:tcW w:w="1220" w:type="dxa"/>
            <w:noWrap w:val="0"/>
            <w:vAlign w:val="center"/>
          </w:tcPr>
          <w:p w14:paraId="5F61E697">
            <w:pPr>
              <w:keepNext w:val="0"/>
              <w:keepLines w:val="0"/>
              <w:pageBreakBefore w:val="0"/>
              <w:kinsoku/>
              <w:wordWrap/>
              <w:overflowPunct/>
              <w:topLinePunct w:val="0"/>
              <w:autoSpaceDE/>
              <w:autoSpaceDN/>
              <w:bidi w:val="0"/>
              <w:adjustRightInd w:val="0"/>
              <w:snapToGrid w:val="0"/>
              <w:spacing w:line="500" w:lineRule="exact"/>
              <w:ind w:firstLine="198"/>
              <w:jc w:val="center"/>
              <w:outlineLvl w:val="9"/>
              <w:rPr>
                <w:rFonts w:hint="eastAsia" w:ascii="宋体" w:hAnsi="宋体" w:eastAsia="宋体" w:cs="宋体"/>
                <w:color w:val="000000"/>
                <w:sz w:val="24"/>
                <w:szCs w:val="24"/>
                <w:highlight w:val="none"/>
              </w:rPr>
            </w:pPr>
          </w:p>
        </w:tc>
        <w:tc>
          <w:tcPr>
            <w:tcW w:w="3174" w:type="dxa"/>
            <w:noWrap w:val="0"/>
            <w:vAlign w:val="center"/>
          </w:tcPr>
          <w:p w14:paraId="440EBDBD">
            <w:pPr>
              <w:keepNext w:val="0"/>
              <w:keepLines w:val="0"/>
              <w:pageBreakBefore w:val="0"/>
              <w:kinsoku/>
              <w:wordWrap/>
              <w:overflowPunct/>
              <w:topLinePunct w:val="0"/>
              <w:autoSpaceDE/>
              <w:autoSpaceDN/>
              <w:bidi w:val="0"/>
              <w:adjustRightInd w:val="0"/>
              <w:snapToGrid w:val="0"/>
              <w:spacing w:line="50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以双方约定为准。</w:t>
            </w:r>
          </w:p>
        </w:tc>
      </w:tr>
    </w:tbl>
    <w:p w14:paraId="674D0D92">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注：提交的设计文件应包含但不限于以上内容</w:t>
      </w:r>
    </w:p>
    <w:p w14:paraId="1453DDC6">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6.2工期延误。发生以下情况造成工期延误时，由发包人承担责任。</w:t>
      </w:r>
    </w:p>
    <w:p w14:paraId="3E41DEB1">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6.2.1合同中涉及的由发包人责任引起的工期延误。</w:t>
      </w:r>
    </w:p>
    <w:p w14:paraId="6D7DAE21">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6.2.2不可抗力。</w:t>
      </w:r>
    </w:p>
    <w:p w14:paraId="3BD0C1AE">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说明：表中文件按照</w:t>
      </w:r>
      <w:r>
        <w:rPr>
          <w:rFonts w:hint="eastAsia" w:ascii="宋体" w:hAnsi="宋体" w:cs="宋体"/>
          <w:color w:val="000000"/>
          <w:sz w:val="24"/>
          <w:highlight w:val="none"/>
          <w:lang w:eastAsia="zh-CN"/>
        </w:rPr>
        <w:t>广东省韶关市武江区农业产业基础设施建设项目-武江区2026年农业产业基础设施建设项目（江湾镇）勘察设计</w:t>
      </w:r>
      <w:r>
        <w:rPr>
          <w:rFonts w:hint="eastAsia" w:ascii="宋体" w:hAnsi="宋体" w:eastAsia="宋体" w:cs="宋体"/>
          <w:color w:val="000000"/>
          <w:sz w:val="24"/>
          <w:highlight w:val="none"/>
        </w:rPr>
        <w:t>；所有设计成果需附电子版，图纸CAD格式、文档Word格式或Excel格式；招标设计图纸PDF格式。</w:t>
      </w:r>
    </w:p>
    <w:p w14:paraId="372B553D">
      <w:pPr>
        <w:keepNext w:val="0"/>
        <w:keepLines w:val="0"/>
        <w:pageBreakBefore w:val="0"/>
        <w:widowControl w:val="0"/>
        <w:shd w:val="clear" w:color="auto" w:fill="auto"/>
        <w:kinsoku/>
        <w:wordWrap/>
        <w:overflowPunct/>
        <w:topLinePunct w:val="0"/>
        <w:autoSpaceDE/>
        <w:autoSpaceDN/>
        <w:bidi w:val="0"/>
        <w:spacing w:before="156" w:beforeLines="50" w:line="500" w:lineRule="exact"/>
        <w:ind w:firstLine="482" w:firstLineChars="200"/>
        <w:outlineLvl w:val="9"/>
        <w:rPr>
          <w:rFonts w:hint="eastAsia" w:ascii="宋体" w:hAnsi="宋体" w:eastAsia="宋体" w:cs="宋体"/>
          <w:b/>
          <w:bCs/>
          <w:color w:val="000000"/>
          <w:sz w:val="24"/>
          <w:highlight w:val="none"/>
        </w:rPr>
      </w:pPr>
      <w:bookmarkStart w:id="130" w:name="_Toc25221"/>
      <w:r>
        <w:rPr>
          <w:rFonts w:hint="eastAsia" w:ascii="宋体" w:hAnsi="宋体" w:eastAsia="宋体" w:cs="宋体"/>
          <w:b/>
          <w:bCs/>
          <w:color w:val="000000"/>
          <w:sz w:val="24"/>
          <w:highlight w:val="none"/>
        </w:rPr>
        <w:t>第七条  勘察设计费的计算</w:t>
      </w:r>
      <w:bookmarkEnd w:id="130"/>
    </w:p>
    <w:p w14:paraId="76D1202A">
      <w:pPr>
        <w:keepNext w:val="0"/>
        <w:keepLines w:val="0"/>
        <w:pageBreakBefore w:val="0"/>
        <w:widowControl w:val="0"/>
        <w:shd w:val="clear" w:color="auto" w:fill="auto"/>
        <w:kinsoku/>
        <w:wordWrap/>
        <w:overflowPunct/>
        <w:topLinePunct w:val="0"/>
        <w:autoSpaceDE/>
        <w:autoSpaceDN/>
        <w:bidi w:val="0"/>
        <w:spacing w:line="500" w:lineRule="exact"/>
        <w:ind w:firstLine="482" w:firstLineChars="200"/>
        <w:outlineLvl w:val="9"/>
        <w:rPr>
          <w:rFonts w:hint="eastAsia" w:ascii="宋体" w:hAnsi="宋体" w:eastAsia="宋体" w:cs="宋体"/>
          <w:b/>
          <w:bCs/>
          <w:color w:val="000000"/>
          <w:kern w:val="0"/>
          <w:sz w:val="24"/>
          <w:highlight w:val="none"/>
        </w:rPr>
      </w:pPr>
      <w:r>
        <w:rPr>
          <w:rFonts w:hint="eastAsia" w:ascii="宋体" w:hAnsi="宋体" w:eastAsia="宋体" w:cs="宋体"/>
          <w:b/>
          <w:bCs/>
          <w:color w:val="000000"/>
          <w:sz w:val="24"/>
          <w:highlight w:val="none"/>
          <w:lang w:val="en-US" w:eastAsia="zh-CN"/>
        </w:rPr>
        <w:t>本次招标最高限价：叁拾万元整（¥300,000.00元），</w:t>
      </w:r>
      <w:r>
        <w:rPr>
          <w:rFonts w:hint="eastAsia" w:ascii="宋体" w:hAnsi="宋体" w:eastAsia="宋体" w:cs="宋体"/>
          <w:b/>
          <w:bCs/>
          <w:color w:val="000000"/>
          <w:sz w:val="24"/>
          <w:highlight w:val="none"/>
        </w:rPr>
        <w:t>勘察设计费结算价=初步设计批复的勘察设计费×(1-下浮率)。</w:t>
      </w:r>
    </w:p>
    <w:p w14:paraId="4DE3007C">
      <w:pPr>
        <w:keepNext w:val="0"/>
        <w:keepLines w:val="0"/>
        <w:pageBreakBefore w:val="0"/>
        <w:widowControl w:val="0"/>
        <w:shd w:val="clear" w:color="auto" w:fill="auto"/>
        <w:kinsoku/>
        <w:wordWrap/>
        <w:overflowPunct/>
        <w:topLinePunct w:val="0"/>
        <w:autoSpaceDE/>
        <w:autoSpaceDN/>
        <w:bidi w:val="0"/>
        <w:spacing w:line="500" w:lineRule="exact"/>
        <w:ind w:firstLine="482" w:firstLineChars="200"/>
        <w:outlineLvl w:val="9"/>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若计算的最终勘察设计费(结算价)超过本次招标的勘察设计费最高限价人民币</w:t>
      </w:r>
      <w:r>
        <w:rPr>
          <w:rFonts w:hint="eastAsia" w:ascii="宋体" w:hAnsi="宋体" w:eastAsia="宋体" w:cs="宋体"/>
          <w:b/>
          <w:bCs/>
          <w:color w:val="000000"/>
          <w:sz w:val="24"/>
          <w:highlight w:val="none"/>
          <w:lang w:val="en-US" w:eastAsia="zh-CN"/>
        </w:rPr>
        <w:t>300,000.00</w:t>
      </w:r>
      <w:r>
        <w:rPr>
          <w:rFonts w:hint="eastAsia" w:ascii="宋体" w:hAnsi="宋体" w:eastAsia="宋体" w:cs="宋体"/>
          <w:b/>
          <w:bCs/>
          <w:color w:val="000000"/>
          <w:sz w:val="24"/>
          <w:highlight w:val="none"/>
        </w:rPr>
        <w:t>元×(1-下浮率)，则最终勘察设计费(结算价)按人民币</w:t>
      </w:r>
      <w:r>
        <w:rPr>
          <w:rFonts w:hint="eastAsia" w:ascii="宋体" w:hAnsi="宋体" w:eastAsia="宋体" w:cs="宋体"/>
          <w:b/>
          <w:bCs/>
          <w:color w:val="000000"/>
          <w:sz w:val="24"/>
          <w:highlight w:val="none"/>
          <w:lang w:val="en-US" w:eastAsia="zh-CN"/>
        </w:rPr>
        <w:t>300,000.00元</w:t>
      </w:r>
      <w:r>
        <w:rPr>
          <w:rFonts w:hint="eastAsia" w:ascii="宋体" w:hAnsi="宋体" w:eastAsia="宋体" w:cs="宋体"/>
          <w:b/>
          <w:bCs/>
          <w:color w:val="000000"/>
          <w:sz w:val="24"/>
          <w:highlight w:val="none"/>
        </w:rPr>
        <w:t>×(1-下浮率)结算。</w:t>
      </w:r>
    </w:p>
    <w:p w14:paraId="5C68603A">
      <w:pPr>
        <w:keepNext w:val="0"/>
        <w:keepLines w:val="0"/>
        <w:pageBreakBefore w:val="0"/>
        <w:widowControl w:val="0"/>
        <w:shd w:val="clear" w:color="auto" w:fill="auto"/>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备注：</w:t>
      </w:r>
      <w:r>
        <w:rPr>
          <w:rFonts w:hint="eastAsia" w:ascii="宋体" w:hAnsi="宋体" w:eastAsia="宋体" w:cs="宋体"/>
          <w:color w:val="000000"/>
          <w:sz w:val="24"/>
          <w:highlight w:val="none"/>
        </w:rPr>
        <w:t xml:space="preserve">上述下浮率为中标人的投标报价下浮率。招标合同价格包括所有税收、单位应交的保险、应承担的风险及应提供的服务等，甲方不再为本合同范围内的工作支付额外的费用。 </w:t>
      </w:r>
    </w:p>
    <w:p w14:paraId="4022E740">
      <w:pPr>
        <w:keepNext w:val="0"/>
        <w:keepLines w:val="0"/>
        <w:pageBreakBefore w:val="0"/>
        <w:widowControl w:val="0"/>
        <w:kinsoku/>
        <w:wordWrap/>
        <w:overflowPunct/>
        <w:topLinePunct w:val="0"/>
        <w:autoSpaceDE/>
        <w:autoSpaceDN/>
        <w:bidi w:val="0"/>
        <w:spacing w:before="156" w:beforeLines="50" w:line="500" w:lineRule="exact"/>
        <w:ind w:firstLine="482" w:firstLineChars="200"/>
        <w:outlineLvl w:val="9"/>
        <w:rPr>
          <w:rFonts w:hint="eastAsia" w:ascii="宋体" w:hAnsi="宋体" w:eastAsia="宋体" w:cs="宋体"/>
          <w:b/>
          <w:bCs/>
          <w:color w:val="000000"/>
          <w:sz w:val="24"/>
          <w:highlight w:val="none"/>
        </w:rPr>
      </w:pPr>
      <w:bookmarkStart w:id="131" w:name="_Toc14760"/>
      <w:r>
        <w:rPr>
          <w:rFonts w:hint="eastAsia" w:ascii="宋体" w:hAnsi="宋体" w:eastAsia="宋体" w:cs="宋体"/>
          <w:b/>
          <w:bCs/>
          <w:color w:val="000000"/>
          <w:sz w:val="24"/>
          <w:highlight w:val="none"/>
        </w:rPr>
        <w:t>第八条  勘察设计费的支付方式</w:t>
      </w:r>
      <w:bookmarkEnd w:id="131"/>
    </w:p>
    <w:p w14:paraId="115D833C">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8.1勘察设计费的支付方法为：</w:t>
      </w:r>
    </w:p>
    <w:p w14:paraId="641277A2">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乙方提交初步设计报告</w:t>
      </w:r>
      <w:r>
        <w:rPr>
          <w:rFonts w:hint="eastAsia" w:ascii="宋体" w:hAnsi="宋体" w:eastAsia="宋体" w:cs="宋体"/>
          <w:color w:val="000000"/>
          <w:sz w:val="24"/>
          <w:highlight w:val="none"/>
          <w:lang w:val="en-US" w:eastAsia="zh-CN"/>
        </w:rPr>
        <w:t>成果文件</w:t>
      </w:r>
      <w:r>
        <w:rPr>
          <w:rFonts w:hint="eastAsia" w:ascii="宋体" w:hAnsi="宋体" w:eastAsia="宋体" w:cs="宋体"/>
          <w:color w:val="000000"/>
          <w:sz w:val="24"/>
          <w:highlight w:val="none"/>
        </w:rPr>
        <w:t>后，甲方支付本合同价款的</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0%，累计支付至合同价款的</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0%</w:t>
      </w:r>
      <w:r>
        <w:rPr>
          <w:rFonts w:hint="eastAsia" w:ascii="宋体" w:hAnsi="宋体" w:eastAsia="宋体" w:cs="宋体"/>
          <w:color w:val="000000"/>
          <w:sz w:val="24"/>
          <w:highlight w:val="none"/>
          <w:lang w:eastAsia="zh-CN"/>
        </w:rPr>
        <w:t>。</w:t>
      </w:r>
    </w:p>
    <w:p w14:paraId="27356B1D">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乙方提交</w:t>
      </w:r>
      <w:r>
        <w:rPr>
          <w:rFonts w:hint="eastAsia" w:ascii="宋体" w:hAnsi="宋体" w:eastAsia="宋体" w:cs="宋体"/>
          <w:color w:val="000000"/>
          <w:sz w:val="24"/>
          <w:highlight w:val="none"/>
          <w:lang w:val="en-US" w:eastAsia="zh-CN"/>
        </w:rPr>
        <w:t>的初步设计报告经批复后</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甲方</w:t>
      </w:r>
      <w:r>
        <w:rPr>
          <w:rFonts w:hint="eastAsia" w:ascii="宋体" w:hAnsi="宋体" w:eastAsia="宋体" w:cs="宋体"/>
          <w:color w:val="000000"/>
          <w:sz w:val="24"/>
          <w:highlight w:val="none"/>
        </w:rPr>
        <w:t>支付合同价的</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0%</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累计支付至合同价款的</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0%。</w:t>
      </w:r>
    </w:p>
    <w:p w14:paraId="568980D7">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eastAsia="zh-CN"/>
        </w:rPr>
        <w:t>）乙方提交技施阶段设计文件(图纸、预算书等)，甲方再支付本合同价款的</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eastAsia="zh-CN"/>
        </w:rPr>
        <w:t>0%，累计支付至合同价款的</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lang w:eastAsia="zh-CN"/>
        </w:rPr>
        <w:t>0%。</w:t>
      </w:r>
    </w:p>
    <w:p w14:paraId="26D61ED5">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工程施工期间，甲方根据工程施工进度情况支付勘察设计费，</w:t>
      </w:r>
      <w:r>
        <w:rPr>
          <w:rFonts w:hint="eastAsia" w:ascii="宋体" w:hAnsi="宋体" w:eastAsia="宋体" w:cs="宋体"/>
          <w:color w:val="000000"/>
          <w:sz w:val="24"/>
          <w:highlight w:val="none"/>
          <w:lang w:val="en-US" w:eastAsia="zh-CN"/>
        </w:rPr>
        <w:t>累计支付至合同价款（结算价）的100%。</w:t>
      </w:r>
    </w:p>
    <w:p w14:paraId="52ABEDCF">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注：</w:t>
      </w:r>
      <w:r>
        <w:rPr>
          <w:rFonts w:hint="eastAsia" w:ascii="宋体" w:hAnsi="宋体" w:eastAsia="宋体" w:cs="宋体"/>
          <w:color w:val="000000"/>
          <w:sz w:val="24"/>
          <w:highlight w:val="none"/>
        </w:rPr>
        <w:t>本项目费用要根据财政资金已安排到位后进行支付，甲方不对财政的审核方式和付款时间作具体规定。投标人需承担相应风险</w:t>
      </w:r>
      <w:r>
        <w:rPr>
          <w:rFonts w:hint="eastAsia" w:ascii="宋体" w:hAnsi="宋体" w:eastAsia="宋体" w:cs="宋体"/>
          <w:color w:val="000000"/>
          <w:sz w:val="24"/>
          <w:highlight w:val="none"/>
          <w:lang w:eastAsia="zh-CN"/>
        </w:rPr>
        <w:t>。</w:t>
      </w:r>
    </w:p>
    <w:p w14:paraId="420530A1">
      <w:pPr>
        <w:keepNext w:val="0"/>
        <w:keepLines w:val="0"/>
        <w:pageBreakBefore w:val="0"/>
        <w:widowControl w:val="0"/>
        <w:kinsoku/>
        <w:wordWrap/>
        <w:overflowPunct/>
        <w:topLinePunct w:val="0"/>
        <w:autoSpaceDE/>
        <w:autoSpaceDN/>
        <w:bidi w:val="0"/>
        <w:adjustRightInd w:val="0"/>
        <w:snapToGrid w:val="0"/>
        <w:spacing w:before="156" w:beforeLines="50" w:line="500" w:lineRule="exact"/>
        <w:ind w:firstLine="482" w:firstLineChars="200"/>
        <w:outlineLvl w:val="9"/>
        <w:rPr>
          <w:rFonts w:hint="eastAsia" w:ascii="宋体" w:hAnsi="宋体" w:eastAsia="宋体" w:cs="宋体"/>
          <w:b/>
          <w:bCs/>
          <w:color w:val="000000"/>
          <w:sz w:val="24"/>
          <w:highlight w:val="none"/>
        </w:rPr>
      </w:pPr>
      <w:bookmarkStart w:id="132" w:name="_Toc1724"/>
      <w:r>
        <w:rPr>
          <w:rFonts w:hint="eastAsia" w:ascii="宋体" w:hAnsi="宋体" w:eastAsia="宋体" w:cs="宋体"/>
          <w:b/>
          <w:bCs/>
          <w:color w:val="000000"/>
          <w:sz w:val="24"/>
          <w:highlight w:val="none"/>
        </w:rPr>
        <w:t>第九条  承包人主要责任和义务</w:t>
      </w:r>
      <w:bookmarkEnd w:id="132"/>
    </w:p>
    <w:p w14:paraId="2BBA63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9.1投标单位在中标后按有关规定办理相关备案手续。</w:t>
      </w:r>
    </w:p>
    <w:p w14:paraId="2225F6AB">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9.2承包人应按照发包人的具体要求，提交勘察设计文件。</w:t>
      </w:r>
    </w:p>
    <w:p w14:paraId="79204A3E">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9.3承包人应按本合同规定的内容、时间及份数向发包人交付勘察设计成果。</w:t>
      </w:r>
    </w:p>
    <w:p w14:paraId="061289CF">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9.4承包人对勘察设计文件出现的遗漏或错误负责修改或补充。由于承包人勘察设计错误造成工程质量问题和投资损失，承包人除负责采取补救措施外，应免收受损失部分的勘察设计费，并根据损失程度向发包人偿付赔偿金，赔偿金最多与免收的勘察设计费金额相等。</w:t>
      </w:r>
    </w:p>
    <w:p w14:paraId="4ABAFB8C">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9.5由于承包人自身原因，延误了按本合同第7条规定的勘察设计成果交付时间，每延误一天，应减收该项目应收勘察设计费的千分之二。</w:t>
      </w:r>
    </w:p>
    <w:p w14:paraId="3CCA4214">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9.6合同生效后，承包人要求终止或解除合同，发包人将没收其履约保证金，但因发包人未能按合同的规定履行其义务，而导致或可能导致承包人无法继续履行合同或承包人的合法权益受到严重侵害的情形除外。</w:t>
      </w:r>
    </w:p>
    <w:p w14:paraId="47ACE5CE">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9.7承包人应按本合同第5.9条规定执行。</w:t>
      </w:r>
    </w:p>
    <w:p w14:paraId="71464FE5">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9.8阶段性勘察设计任务的审查及返工。承包人提交的勘察设计成果，如须经过符合资质要求的水利水电咨询公司咨询或上级技术审查部门审查，承包人须按照审查意见对合同内工程勘察设计进行修改和返工。发包人不再为修改或返工支付费用。</w:t>
      </w:r>
    </w:p>
    <w:p w14:paraId="3AE4F005">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9.9承包人负责向施工单位进行设计交底、现场施工服务及处理有关设计变更问题和参加各阶段验收等。</w:t>
      </w:r>
    </w:p>
    <w:p w14:paraId="7ACF868A">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9.10工程施工过程中，一般勘察设计修改，发包人应以书面形式通知承包人，承包人应在自收到通知之日起3天内回复。重大勘察设计修改由双方共同协商解决。</w:t>
      </w:r>
    </w:p>
    <w:p w14:paraId="33995FB1">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9.11承包人不得随便更换投标文件中所列本项目的专业技术人员。如需更换，承包人须提出书面申请，得到发包人批准后才可更换。</w:t>
      </w:r>
    </w:p>
    <w:p w14:paraId="02CE184A">
      <w:pPr>
        <w:keepNext w:val="0"/>
        <w:keepLines w:val="0"/>
        <w:pageBreakBefore w:val="0"/>
        <w:widowControl w:val="0"/>
        <w:kinsoku/>
        <w:wordWrap/>
        <w:overflowPunct/>
        <w:topLinePunct w:val="0"/>
        <w:autoSpaceDE/>
        <w:autoSpaceDN/>
        <w:bidi w:val="0"/>
        <w:adjustRightInd w:val="0"/>
        <w:snapToGrid w:val="0"/>
        <w:spacing w:line="5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9.12承包人不得向第三方扩散、转让本工程中所有技术经济资料。如发生以上情况，发包人有权索赔。   </w:t>
      </w:r>
    </w:p>
    <w:p w14:paraId="12117240">
      <w:pPr>
        <w:keepNext w:val="0"/>
        <w:keepLines w:val="0"/>
        <w:pageBreakBefore w:val="0"/>
        <w:widowControl w:val="0"/>
        <w:kinsoku/>
        <w:wordWrap/>
        <w:overflowPunct/>
        <w:topLinePunct w:val="0"/>
        <w:autoSpaceDE/>
        <w:autoSpaceDN/>
        <w:bidi w:val="0"/>
        <w:adjustRightInd w:val="0"/>
        <w:snapToGrid w:val="0"/>
        <w:spacing w:line="5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9.13档案要求</w:t>
      </w:r>
    </w:p>
    <w:p w14:paraId="05ABBF4E">
      <w:pPr>
        <w:keepNext w:val="0"/>
        <w:keepLines w:val="0"/>
        <w:pageBreakBefore w:val="0"/>
        <w:widowControl w:val="0"/>
        <w:kinsoku/>
        <w:wordWrap/>
        <w:overflowPunct/>
        <w:topLinePunct w:val="0"/>
        <w:autoSpaceDE/>
        <w:autoSpaceDN/>
        <w:bidi w:val="0"/>
        <w:adjustRightInd w:val="0"/>
        <w:snapToGrid w:val="0"/>
        <w:spacing w:line="5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9.13.1 承包人需设立专门的档案管理机构，明确相关人员的主要职责。</w:t>
      </w:r>
    </w:p>
    <w:p w14:paraId="45BB9819">
      <w:pPr>
        <w:keepNext w:val="0"/>
        <w:keepLines w:val="0"/>
        <w:pageBreakBefore w:val="0"/>
        <w:widowControl w:val="0"/>
        <w:kinsoku/>
        <w:wordWrap/>
        <w:overflowPunct/>
        <w:topLinePunct w:val="0"/>
        <w:autoSpaceDE/>
        <w:autoSpaceDN/>
        <w:bidi w:val="0"/>
        <w:adjustRightInd w:val="0"/>
        <w:snapToGrid w:val="0"/>
        <w:spacing w:line="5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9.13.2 承包人需按《水利基本建设项目(工程)档案资料管理规定》及《水利水电建设工程验收规范》里所列勘察设计归档文件材料进行档案资料的收集及整理工作。</w:t>
      </w:r>
    </w:p>
    <w:p w14:paraId="3DC0561E">
      <w:pPr>
        <w:keepNext w:val="0"/>
        <w:keepLines w:val="0"/>
        <w:pageBreakBefore w:val="0"/>
        <w:widowControl w:val="0"/>
        <w:kinsoku/>
        <w:wordWrap/>
        <w:overflowPunct/>
        <w:topLinePunct w:val="0"/>
        <w:autoSpaceDE/>
        <w:autoSpaceDN/>
        <w:bidi w:val="0"/>
        <w:adjustRightInd w:val="0"/>
        <w:snapToGrid w:val="0"/>
        <w:spacing w:line="5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9.13.3 设计过程中重要阶段或事件的材料、设计变更文件等必须数字化（不可编辑电子材料）。</w:t>
      </w:r>
    </w:p>
    <w:p w14:paraId="7041121C">
      <w:pPr>
        <w:keepNext w:val="0"/>
        <w:keepLines w:val="0"/>
        <w:pageBreakBefore w:val="0"/>
        <w:widowControl w:val="0"/>
        <w:kinsoku/>
        <w:wordWrap/>
        <w:overflowPunct/>
        <w:topLinePunct w:val="0"/>
        <w:autoSpaceDE/>
        <w:autoSpaceDN/>
        <w:bidi w:val="0"/>
        <w:adjustRightInd w:val="0"/>
        <w:snapToGrid w:val="0"/>
        <w:spacing w:line="5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9.13.4 承包人于合同工程完工验收后一个月内提交符合归档要求的纸质材料四份及电子版设计文档(招标范围内容的设计报告及设计图纸等资料)给建设单位。</w:t>
      </w:r>
    </w:p>
    <w:p w14:paraId="60D1DE22">
      <w:pPr>
        <w:pStyle w:val="6"/>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kern w:val="2"/>
          <w:highlight w:val="none"/>
        </w:rPr>
        <w:t xml:space="preserve">9.13.5 </w:t>
      </w:r>
      <w:r>
        <w:rPr>
          <w:rFonts w:hint="eastAsia" w:ascii="宋体" w:hAnsi="宋体" w:eastAsia="宋体" w:cs="宋体"/>
          <w:color w:val="000000"/>
          <w:highlight w:val="none"/>
        </w:rPr>
        <w:t>如承包人未能按期提交符合要求的档案资料，将扣违约金</w:t>
      </w:r>
      <w:r>
        <w:rPr>
          <w:rFonts w:hint="eastAsia" w:hAnsi="宋体" w:eastAsia="宋体" w:cs="宋体"/>
          <w:color w:val="000000"/>
          <w:highlight w:val="none"/>
          <w:lang w:val="en-US" w:eastAsia="zh-CN"/>
        </w:rPr>
        <w:t>5</w:t>
      </w:r>
      <w:r>
        <w:rPr>
          <w:rFonts w:hint="eastAsia" w:ascii="宋体" w:hAnsi="宋体" w:eastAsia="宋体" w:cs="宋体"/>
          <w:color w:val="000000"/>
          <w:highlight w:val="none"/>
        </w:rPr>
        <w:t>000元。</w:t>
      </w:r>
    </w:p>
    <w:p w14:paraId="1BC6BF00">
      <w:pPr>
        <w:keepNext w:val="0"/>
        <w:keepLines w:val="0"/>
        <w:pageBreakBefore w:val="0"/>
        <w:widowControl w:val="0"/>
        <w:kinsoku/>
        <w:wordWrap/>
        <w:overflowPunct/>
        <w:topLinePunct w:val="0"/>
        <w:autoSpaceDE/>
        <w:autoSpaceDN/>
        <w:bidi w:val="0"/>
        <w:adjustRightInd w:val="0"/>
        <w:snapToGrid w:val="0"/>
        <w:spacing w:before="156" w:beforeLines="50" w:line="500" w:lineRule="exact"/>
        <w:ind w:firstLine="482" w:firstLineChars="200"/>
        <w:outlineLvl w:val="9"/>
        <w:rPr>
          <w:rFonts w:hint="eastAsia" w:ascii="宋体" w:hAnsi="宋体" w:eastAsia="宋体" w:cs="宋体"/>
          <w:b/>
          <w:bCs/>
          <w:color w:val="000000"/>
          <w:sz w:val="24"/>
          <w:highlight w:val="none"/>
        </w:rPr>
      </w:pPr>
      <w:bookmarkStart w:id="133" w:name="_Toc28920"/>
      <w:r>
        <w:rPr>
          <w:rFonts w:hint="eastAsia" w:ascii="宋体" w:hAnsi="宋体" w:eastAsia="宋体" w:cs="宋体"/>
          <w:b/>
          <w:bCs/>
          <w:color w:val="000000"/>
          <w:sz w:val="24"/>
          <w:highlight w:val="none"/>
        </w:rPr>
        <w:t>第十条 质量与验收</w:t>
      </w:r>
      <w:bookmarkEnd w:id="133"/>
    </w:p>
    <w:p w14:paraId="082831D5">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勘察设计文件应满足有关规范要求，并满足审查批准的技术要求。</w:t>
      </w:r>
    </w:p>
    <w:p w14:paraId="14A5903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outlineLvl w:val="9"/>
        <w:rPr>
          <w:rFonts w:hint="eastAsia" w:ascii="宋体" w:hAnsi="宋体" w:eastAsia="宋体" w:cs="宋体"/>
          <w:b/>
          <w:bCs/>
          <w:color w:val="000000"/>
          <w:sz w:val="24"/>
          <w:highlight w:val="none"/>
        </w:rPr>
      </w:pPr>
      <w:bookmarkStart w:id="134" w:name="_Toc8974"/>
      <w:r>
        <w:rPr>
          <w:rFonts w:hint="eastAsia" w:ascii="宋体" w:hAnsi="宋体" w:eastAsia="宋体" w:cs="宋体"/>
          <w:b/>
          <w:bCs/>
          <w:color w:val="000000"/>
          <w:sz w:val="24"/>
          <w:highlight w:val="none"/>
        </w:rPr>
        <w:t>第十一条 变更</w:t>
      </w:r>
      <w:bookmarkEnd w:id="134"/>
    </w:p>
    <w:p w14:paraId="708613AB">
      <w:pPr>
        <w:keepNext w:val="0"/>
        <w:keepLines w:val="0"/>
        <w:pageBreakBefore w:val="0"/>
        <w:widowControl w:val="0"/>
        <w:kinsoku/>
        <w:wordWrap/>
        <w:overflowPunct/>
        <w:topLinePunct w:val="0"/>
        <w:autoSpaceDE/>
        <w:autoSpaceDN/>
        <w:bidi w:val="0"/>
        <w:adjustRightInd w:val="0"/>
        <w:snapToGrid w:val="0"/>
        <w:spacing w:line="500" w:lineRule="exact"/>
        <w:ind w:firstLine="612"/>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不得对经评审批准的勘察设计文件及图纸随便进行修改。施工现场一般设计变更须经区级水行政主管部门同意和批准；施工现场重大设计变更须经原设计批复部门同意和批准。由于承包人原因造成的设计变更需要第三方评审的一切费用由承包方承担。</w:t>
      </w:r>
    </w:p>
    <w:p w14:paraId="7CC9F2A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outlineLvl w:val="9"/>
        <w:rPr>
          <w:rFonts w:hint="eastAsia" w:ascii="宋体" w:hAnsi="宋体" w:eastAsia="宋体" w:cs="宋体"/>
          <w:color w:val="000000"/>
          <w:sz w:val="24"/>
          <w:highlight w:val="none"/>
        </w:rPr>
      </w:pPr>
      <w:bookmarkStart w:id="135" w:name="_Toc19166"/>
      <w:r>
        <w:rPr>
          <w:rFonts w:hint="eastAsia" w:ascii="宋体" w:hAnsi="宋体" w:eastAsia="宋体" w:cs="宋体"/>
          <w:b/>
          <w:bCs/>
          <w:color w:val="000000"/>
          <w:sz w:val="24"/>
          <w:highlight w:val="none"/>
        </w:rPr>
        <w:t>第十二条</w:t>
      </w:r>
      <w:r>
        <w:rPr>
          <w:rFonts w:hint="eastAsia" w:ascii="宋体" w:hAnsi="宋体" w:eastAsia="宋体" w:cs="宋体"/>
          <w:color w:val="000000"/>
          <w:sz w:val="24"/>
          <w:highlight w:val="none"/>
        </w:rPr>
        <w:t xml:space="preserve"> </w:t>
      </w:r>
      <w:r>
        <w:rPr>
          <w:rFonts w:hint="eastAsia" w:ascii="宋体" w:hAnsi="宋体" w:eastAsia="宋体" w:cs="宋体"/>
          <w:b/>
          <w:bCs/>
          <w:color w:val="000000"/>
          <w:sz w:val="24"/>
          <w:highlight w:val="none"/>
        </w:rPr>
        <w:t>完工与保修</w:t>
      </w:r>
      <w:bookmarkEnd w:id="135"/>
    </w:p>
    <w:p w14:paraId="6EE8075D">
      <w:pPr>
        <w:keepNext w:val="0"/>
        <w:keepLines w:val="0"/>
        <w:pageBreakBefore w:val="0"/>
        <w:widowControl w:val="0"/>
        <w:kinsoku/>
        <w:wordWrap/>
        <w:overflowPunct/>
        <w:topLinePunct w:val="0"/>
        <w:autoSpaceDE/>
        <w:autoSpaceDN/>
        <w:bidi w:val="0"/>
        <w:adjustRightInd w:val="0"/>
        <w:snapToGrid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承包人应在保修期内负责由于设计原因而引起的相关工作。</w:t>
      </w:r>
    </w:p>
    <w:p w14:paraId="5B03044E">
      <w:pPr>
        <w:keepNext w:val="0"/>
        <w:keepLines w:val="0"/>
        <w:pageBreakBefore w:val="0"/>
        <w:widowControl w:val="0"/>
        <w:kinsoku/>
        <w:wordWrap/>
        <w:overflowPunct/>
        <w:topLinePunct w:val="0"/>
        <w:autoSpaceDE/>
        <w:autoSpaceDN/>
        <w:bidi w:val="0"/>
        <w:spacing w:before="156" w:beforeLines="50" w:line="500" w:lineRule="exact"/>
        <w:ind w:firstLine="482" w:firstLineChars="200"/>
        <w:outlineLvl w:val="9"/>
        <w:rPr>
          <w:rFonts w:hint="eastAsia" w:ascii="宋体" w:hAnsi="宋体" w:eastAsia="宋体" w:cs="宋体"/>
          <w:color w:val="000000"/>
          <w:sz w:val="24"/>
          <w:highlight w:val="none"/>
        </w:rPr>
      </w:pPr>
      <w:bookmarkStart w:id="136" w:name="_Toc10211"/>
      <w:r>
        <w:rPr>
          <w:rFonts w:hint="eastAsia" w:ascii="宋体" w:hAnsi="宋体" w:eastAsia="宋体" w:cs="宋体"/>
          <w:b/>
          <w:bCs/>
          <w:color w:val="000000"/>
          <w:sz w:val="24"/>
          <w:highlight w:val="none"/>
        </w:rPr>
        <w:t>第十三条 保密</w:t>
      </w:r>
      <w:bookmarkEnd w:id="136"/>
    </w:p>
    <w:p w14:paraId="064B6AE2">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5F6C2281">
      <w:pPr>
        <w:keepNext w:val="0"/>
        <w:keepLines w:val="0"/>
        <w:pageBreakBefore w:val="0"/>
        <w:widowControl w:val="0"/>
        <w:kinsoku/>
        <w:wordWrap/>
        <w:overflowPunct/>
        <w:topLinePunct w:val="0"/>
        <w:autoSpaceDE/>
        <w:autoSpaceDN/>
        <w:bidi w:val="0"/>
        <w:spacing w:before="156" w:beforeLines="50" w:line="500" w:lineRule="exact"/>
        <w:ind w:firstLine="482" w:firstLineChars="200"/>
        <w:outlineLvl w:val="9"/>
        <w:rPr>
          <w:rFonts w:hint="eastAsia" w:ascii="宋体" w:hAnsi="宋体" w:eastAsia="宋体" w:cs="宋体"/>
          <w:color w:val="000000"/>
          <w:sz w:val="24"/>
          <w:highlight w:val="none"/>
        </w:rPr>
      </w:pPr>
      <w:bookmarkStart w:id="137" w:name="_Toc10087"/>
      <w:r>
        <w:rPr>
          <w:rFonts w:hint="eastAsia" w:ascii="宋体" w:hAnsi="宋体" w:eastAsia="宋体" w:cs="宋体"/>
          <w:b/>
          <w:bCs/>
          <w:color w:val="000000"/>
          <w:sz w:val="24"/>
          <w:highlight w:val="none"/>
        </w:rPr>
        <w:t>第十四条 仲裁</w:t>
      </w:r>
      <w:bookmarkEnd w:id="137"/>
    </w:p>
    <w:p w14:paraId="6FC6943C">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本合同在履行过程中发生的争议，由双方协商解决并请水行政主管部门调解，调解不成的，按下列第（一）种方式解决：</w:t>
      </w:r>
    </w:p>
    <w:p w14:paraId="039B843C">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（一）提交工程所在地仲裁委员会仲裁；</w:t>
      </w:r>
    </w:p>
    <w:p w14:paraId="6EAB88CC">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（二）依法向</w:t>
      </w:r>
      <w:r>
        <w:rPr>
          <w:rFonts w:hint="eastAsia" w:ascii="宋体" w:hAnsi="宋体" w:eastAsia="宋体" w:cs="宋体"/>
          <w:color w:val="000000"/>
          <w:sz w:val="24"/>
          <w:highlight w:val="none"/>
          <w:lang w:val="en-US" w:eastAsia="zh-CN"/>
        </w:rPr>
        <w:t>工程所在地</w:t>
      </w:r>
      <w:r>
        <w:rPr>
          <w:rFonts w:hint="eastAsia" w:ascii="宋体" w:hAnsi="宋体" w:eastAsia="宋体" w:cs="宋体"/>
          <w:color w:val="000000"/>
          <w:sz w:val="24"/>
          <w:highlight w:val="none"/>
        </w:rPr>
        <w:t>人民法院起诉。</w:t>
      </w:r>
    </w:p>
    <w:p w14:paraId="6BAA1727">
      <w:pPr>
        <w:keepNext w:val="0"/>
        <w:keepLines w:val="0"/>
        <w:pageBreakBefore w:val="0"/>
        <w:widowControl w:val="0"/>
        <w:kinsoku/>
        <w:wordWrap/>
        <w:overflowPunct/>
        <w:topLinePunct w:val="0"/>
        <w:autoSpaceDE/>
        <w:autoSpaceDN/>
        <w:bidi w:val="0"/>
        <w:spacing w:before="156" w:beforeLines="50" w:line="500" w:lineRule="exact"/>
        <w:ind w:firstLine="482" w:firstLineChars="200"/>
        <w:outlineLvl w:val="9"/>
        <w:rPr>
          <w:rFonts w:hint="eastAsia" w:ascii="宋体" w:hAnsi="宋体" w:eastAsia="宋体" w:cs="宋体"/>
          <w:b/>
          <w:bCs/>
          <w:color w:val="000000"/>
          <w:sz w:val="24"/>
          <w:highlight w:val="none"/>
        </w:rPr>
      </w:pPr>
      <w:bookmarkStart w:id="138" w:name="_Toc26961"/>
      <w:r>
        <w:rPr>
          <w:rFonts w:hint="eastAsia" w:ascii="宋体" w:hAnsi="宋体" w:eastAsia="宋体" w:cs="宋体"/>
          <w:b/>
          <w:bCs/>
          <w:color w:val="000000"/>
          <w:sz w:val="24"/>
          <w:highlight w:val="none"/>
        </w:rPr>
        <w:t>第十五条  合同生效与其他</w:t>
      </w:r>
      <w:bookmarkEnd w:id="138"/>
    </w:p>
    <w:p w14:paraId="5EEE95D7">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15.1工程开工后，乙方应派现场设计代表负责解决施工过程中的设计问题，并参加隐蔽工程及重要工序的验收工作。若乙方在工程开工后未派现场代表或在工程未完工之前撤回现场代表的，将对其进行</w:t>
      </w:r>
      <w:r>
        <w:rPr>
          <w:rFonts w:hint="eastAsia" w:ascii="宋体" w:hAnsi="宋体" w:eastAsia="宋体" w:cs="宋体"/>
          <w:color w:val="000000"/>
          <w:sz w:val="24"/>
          <w:highlight w:val="none"/>
          <w:lang w:val="en-US" w:eastAsia="zh-CN"/>
        </w:rPr>
        <w:t>5000</w:t>
      </w:r>
      <w:r>
        <w:rPr>
          <w:rFonts w:hint="eastAsia" w:ascii="宋体" w:hAnsi="宋体" w:eastAsia="宋体" w:cs="宋体"/>
          <w:color w:val="000000"/>
          <w:sz w:val="24"/>
          <w:highlight w:val="none"/>
        </w:rPr>
        <w:t>元罚款。</w:t>
      </w:r>
    </w:p>
    <w:p w14:paraId="7FCF804F">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 甲方委托乙方承担本合同内容以外的工作服务，另行签订协议并支付费用。</w:t>
      </w:r>
    </w:p>
    <w:p w14:paraId="142D640F">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15.3遇不可抗力因素，如战争、地震、洪水等灾害，致使合同无法履行时，由双方协商解决。</w:t>
      </w:r>
    </w:p>
    <w:p w14:paraId="2C299BE9">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15.4本合同自双方法定代表人或授权代表签字并加盖单位公章之日起生效，正本两份，双方各执一份；副本六份，双方各执三份。</w:t>
      </w:r>
    </w:p>
    <w:p w14:paraId="353F01EE">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15.5 在工程竣工验收、甲方支付完毕，本合同即告终止。</w:t>
      </w:r>
    </w:p>
    <w:p w14:paraId="6B6371A8">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15.6 双方认可的来往传真、邮件、会议纪要等，均为合同的组成部分，与本合同具有同等法律效力。</w:t>
      </w:r>
    </w:p>
    <w:p w14:paraId="5CF316D4">
      <w:pPr>
        <w:keepNext w:val="0"/>
        <w:keepLines w:val="0"/>
        <w:pageBreakBefore w:val="0"/>
        <w:widowControl w:val="0"/>
        <w:kinsoku/>
        <w:wordWrap/>
        <w:overflowPunct/>
        <w:topLinePunct w:val="0"/>
        <w:autoSpaceDE/>
        <w:autoSpaceDN/>
        <w:bidi w:val="0"/>
        <w:spacing w:line="500" w:lineRule="exact"/>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15.7 本合同未尽事宜，双方可签订补充协议，补充协议与本合同具有同等效力。</w:t>
      </w:r>
    </w:p>
    <w:p w14:paraId="74116C52">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p>
    <w:p w14:paraId="45AA15C1">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  方：                        乙  方：</w:t>
      </w:r>
    </w:p>
    <w:p w14:paraId="430923FB">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                    法定代表人：</w:t>
      </w:r>
    </w:p>
    <w:p w14:paraId="7948CF93">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或委托代理人：                  或委托代理人：</w:t>
      </w:r>
    </w:p>
    <w:p w14:paraId="33B8816A">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邮编：                          邮编：</w:t>
      </w:r>
    </w:p>
    <w:p w14:paraId="5B80BDAE">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                          电话：</w:t>
      </w:r>
    </w:p>
    <w:p w14:paraId="015247F2">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传真：                          传真：</w:t>
      </w:r>
    </w:p>
    <w:p w14:paraId="56E99BBB">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                      开户银行：</w:t>
      </w:r>
    </w:p>
    <w:p w14:paraId="36D1D6E4">
      <w:pPr>
        <w:keepNext w:val="0"/>
        <w:keepLines w:val="0"/>
        <w:pageBreakBefore w:val="0"/>
        <w:widowControl w:val="0"/>
        <w:kinsoku/>
        <w:wordWrap/>
        <w:overflowPunct/>
        <w:topLinePunct w:val="0"/>
        <w:autoSpaceDE/>
        <w:autoSpaceDN/>
        <w:bidi w:val="0"/>
        <w:spacing w:line="50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账号：                          账号：</w:t>
      </w:r>
    </w:p>
    <w:p w14:paraId="35545894">
      <w:pPr>
        <w:spacing w:line="360" w:lineRule="auto"/>
        <w:jc w:val="center"/>
        <w:outlineLvl w:val="0"/>
        <w:rPr>
          <w:rStyle w:val="21"/>
          <w:rFonts w:hint="eastAsia" w:ascii="宋体" w:hAnsi="宋体" w:eastAsia="宋体" w:cs="宋体"/>
          <w:color w:val="000000"/>
          <w:sz w:val="36"/>
          <w:szCs w:val="48"/>
        </w:rPr>
      </w:pPr>
      <w:r>
        <w:rPr>
          <w:rFonts w:hint="eastAsia" w:ascii="宋体" w:hAnsi="宋体" w:eastAsia="宋体" w:cs="宋体"/>
          <w:color w:val="000000"/>
          <w:highlight w:val="none"/>
        </w:rPr>
        <w:br w:type="page"/>
      </w:r>
      <w:bookmarkStart w:id="139" w:name="_Toc22882"/>
      <w:r>
        <w:rPr>
          <w:rStyle w:val="21"/>
          <w:rFonts w:hint="eastAsia" w:ascii="宋体" w:hAnsi="宋体" w:eastAsia="宋体" w:cs="宋体"/>
          <w:color w:val="000000"/>
          <w:sz w:val="36"/>
          <w:szCs w:val="48"/>
        </w:rPr>
        <w:t>第五章  技术标准及规范</w:t>
      </w:r>
    </w:p>
    <w:bookmarkEnd w:id="139"/>
    <w:p w14:paraId="0CDF7550">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b/>
          <w:bCs/>
          <w:color w:val="000000"/>
          <w:sz w:val="28"/>
          <w:szCs w:val="28"/>
          <w:highlight w:val="none"/>
        </w:rPr>
      </w:pPr>
      <w:bookmarkStart w:id="140" w:name="_Toc24632"/>
      <w:bookmarkStart w:id="141" w:name="_Toc255981662"/>
      <w:r>
        <w:rPr>
          <w:rFonts w:hint="eastAsia" w:ascii="宋体" w:hAnsi="宋体" w:eastAsia="宋体" w:cs="宋体"/>
          <w:b/>
          <w:bCs/>
          <w:color w:val="000000"/>
          <w:sz w:val="28"/>
          <w:szCs w:val="28"/>
          <w:highlight w:val="none"/>
          <w:lang w:val="en-US" w:eastAsia="zh-CN"/>
        </w:rPr>
        <w:t>勘察</w:t>
      </w:r>
      <w:r>
        <w:rPr>
          <w:rFonts w:hint="eastAsia" w:ascii="宋体" w:hAnsi="宋体" w:eastAsia="宋体" w:cs="宋体"/>
          <w:b/>
          <w:bCs/>
          <w:color w:val="000000"/>
          <w:sz w:val="28"/>
          <w:szCs w:val="28"/>
          <w:highlight w:val="none"/>
        </w:rPr>
        <w:t>设计规范清单</w:t>
      </w:r>
      <w:bookmarkEnd w:id="140"/>
      <w:bookmarkEnd w:id="141"/>
    </w:p>
    <w:p w14:paraId="31960B8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b/>
          <w:color w:val="000000"/>
          <w:sz w:val="24"/>
          <w:highlight w:val="none"/>
        </w:rPr>
        <w:t xml:space="preserve"> 本工程</w:t>
      </w:r>
      <w:r>
        <w:rPr>
          <w:rFonts w:hint="eastAsia" w:ascii="宋体" w:hAnsi="宋体" w:eastAsia="宋体" w:cs="宋体"/>
          <w:b/>
          <w:color w:val="000000"/>
          <w:sz w:val="24"/>
          <w:highlight w:val="none"/>
          <w:lang w:val="en-US" w:eastAsia="zh-CN"/>
        </w:rPr>
        <w:t>勘察</w:t>
      </w:r>
      <w:r>
        <w:rPr>
          <w:rFonts w:hint="eastAsia" w:ascii="宋体" w:hAnsi="宋体" w:eastAsia="宋体" w:cs="宋体"/>
          <w:b/>
          <w:color w:val="000000"/>
          <w:sz w:val="24"/>
          <w:highlight w:val="none"/>
        </w:rPr>
        <w:t>设计须按照下列规范(不仅限于)进行：</w:t>
      </w:r>
    </w:p>
    <w:p w14:paraId="45430BB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《水利工程水利计算规范》（SL104-2015）；</w:t>
      </w:r>
    </w:p>
    <w:p w14:paraId="63206F7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2）《水利水电工程等级划分及洪水标准》（SL252-2017）；</w:t>
      </w:r>
    </w:p>
    <w:p w14:paraId="699337E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3）《建筑地基基础设计规范》（GB5007-2011）；</w:t>
      </w:r>
    </w:p>
    <w:p w14:paraId="5EDEC6A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4）《水利水电工程水文计算规范》（SL278-2020）；</w:t>
      </w:r>
    </w:p>
    <w:p w14:paraId="0B25861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5）《水利水电工程设计洪水计算规范》（SL44-2006）；</w:t>
      </w:r>
    </w:p>
    <w:p w14:paraId="1C0FC6F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6）《水工挡土墙设计规范》（SL379-2007）；</w:t>
      </w:r>
    </w:p>
    <w:p w14:paraId="0CC0B0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7）《水工混凝土结构设计规范》（SL191-2008）；</w:t>
      </w:r>
    </w:p>
    <w:p w14:paraId="0CE09D7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8）《灌溉与排水工程设计标准》（GB52088-2018）；</w:t>
      </w:r>
    </w:p>
    <w:p w14:paraId="70334DD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9）《堤防工程设计规范》（GB50286-2013）；</w:t>
      </w:r>
    </w:p>
    <w:p w14:paraId="2461609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10）《防洪标准》（GB50201-2014）；</w:t>
      </w:r>
    </w:p>
    <w:p w14:paraId="4473CED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11）《灌溉排水工程项目可行性研究报告编制规程》（SL560-2012）；</w:t>
      </w:r>
    </w:p>
    <w:p w14:paraId="64AD7DD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12）《节水灌溉工程技术标准》（GB/T50363-2018）；</w:t>
      </w:r>
    </w:p>
    <w:p w14:paraId="5E7C927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13）《灌区规划规范》（GB/T 50509-2009）；</w:t>
      </w:r>
    </w:p>
    <w:p w14:paraId="3846E7D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14）《渠道防渗工程技术规范》（SL18-2004）；</w:t>
      </w:r>
    </w:p>
    <w:p w14:paraId="3ECDDE8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15）《渠道防渗衬砌工程技术标准》（GB/T50600-2020）；</w:t>
      </w:r>
    </w:p>
    <w:p w14:paraId="2B87D16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16）《灌区改造技术标准》（GB/T50599-2020）；</w:t>
      </w:r>
    </w:p>
    <w:p w14:paraId="4E31B0F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17）《农田灌溉水质标准》（GB 5084-2021）；</w:t>
      </w:r>
    </w:p>
    <w:p w14:paraId="6D00E93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18）《灌溉与排水工程技术管理规程》（SL/T 246-2019）；</w:t>
      </w:r>
    </w:p>
    <w:p w14:paraId="0D315FB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19）《灌溉与排水渠系建筑物设计规范》（SL 482-2011）；</w:t>
      </w:r>
    </w:p>
    <w:p w14:paraId="7D26C17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20）《水闸设计规范》（SL265-2016）；</w:t>
      </w:r>
    </w:p>
    <w:p w14:paraId="3A97DCA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21）《水利水电工程可行性研究报告编制规程》（SL/T618-2021）；</w:t>
      </w:r>
    </w:p>
    <w:p w14:paraId="23FEDC6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Chars="200"/>
        <w:textAlignment w:val="auto"/>
        <w:rPr>
          <w:rFonts w:hint="eastAsia" w:ascii="宋体" w:hAnsi="宋体" w:eastAsia="宋体" w:cs="宋体"/>
          <w:color w:val="000000"/>
          <w:sz w:val="24"/>
          <w:highlight w:val="none"/>
          <w:lang w:val="zh-CN"/>
        </w:rPr>
      </w:pPr>
      <w:r>
        <w:rPr>
          <w:rStyle w:val="22"/>
          <w:rFonts w:hint="eastAsia" w:ascii="宋体" w:hAnsi="宋体" w:eastAsia="宋体" w:cs="宋体"/>
          <w:bCs/>
          <w:color w:val="000000"/>
          <w:sz w:val="24"/>
          <w:highlight w:val="none"/>
          <w:lang w:val="en-US" w:eastAsia="zh-CN"/>
        </w:rPr>
        <w:t>22）</w:t>
      </w:r>
      <w:r>
        <w:rPr>
          <w:rStyle w:val="22"/>
          <w:rFonts w:hint="eastAsia" w:ascii="宋体" w:hAnsi="宋体" w:eastAsia="宋体" w:cs="宋体"/>
          <w:bCs/>
          <w:color w:val="000000"/>
          <w:sz w:val="24"/>
          <w:highlight w:val="none"/>
        </w:rPr>
        <w:t>《岩土工程勘察规范》(GB50021－2001)</w:t>
      </w:r>
      <w:r>
        <w:rPr>
          <w:rStyle w:val="22"/>
          <w:rFonts w:hint="eastAsia" w:ascii="宋体" w:hAnsi="宋体" w:eastAsia="宋体" w:cs="宋体"/>
          <w:bCs/>
          <w:color w:val="000000"/>
          <w:sz w:val="24"/>
          <w:highlight w:val="none"/>
          <w:lang w:eastAsia="zh-CN"/>
        </w:rPr>
        <w:t>。</w:t>
      </w:r>
    </w:p>
    <w:p w14:paraId="2D220A1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lang w:eastAsia="zh-CN"/>
        </w:rPr>
      </w:pPr>
    </w:p>
    <w:p w14:paraId="219270C1">
      <w:pPr>
        <w:bidi w:val="0"/>
        <w:rPr>
          <w:rFonts w:hint="eastAsia" w:ascii="宋体" w:hAnsi="宋体" w:eastAsia="宋体" w:cs="宋体"/>
          <w:color w:val="000000"/>
          <w:lang w:val="zh-CN"/>
        </w:rPr>
      </w:pPr>
    </w:p>
    <w:p w14:paraId="2E0D6A48">
      <w:pPr>
        <w:bidi w:val="0"/>
        <w:rPr>
          <w:rFonts w:hint="eastAsia" w:ascii="宋体" w:hAnsi="宋体" w:eastAsia="宋体" w:cs="宋体"/>
          <w:color w:val="000000"/>
          <w:lang w:val="zh-CN"/>
        </w:rPr>
      </w:pPr>
    </w:p>
    <w:p w14:paraId="70926F7B">
      <w:pPr>
        <w:bidi w:val="0"/>
        <w:rPr>
          <w:rFonts w:hint="eastAsia" w:ascii="宋体" w:hAnsi="宋体" w:eastAsia="宋体" w:cs="宋体"/>
          <w:color w:val="000000"/>
          <w:lang w:val="zh-CN"/>
        </w:rPr>
      </w:pPr>
    </w:p>
    <w:p w14:paraId="049A23E0">
      <w:pPr>
        <w:pStyle w:val="3"/>
        <w:bidi w:val="0"/>
        <w:jc w:val="center"/>
        <w:rPr>
          <w:rFonts w:hint="eastAsia" w:ascii="宋体" w:hAnsi="宋体" w:eastAsia="宋体" w:cs="宋体"/>
          <w:color w:val="000000"/>
        </w:rPr>
      </w:pPr>
      <w:bookmarkStart w:id="142" w:name="_Toc12437"/>
      <w:r>
        <w:rPr>
          <w:rFonts w:hint="eastAsia" w:ascii="宋体" w:hAnsi="宋体" w:eastAsia="宋体" w:cs="宋体"/>
          <w:color w:val="000000"/>
        </w:rPr>
        <w:t>第六章  投标文件格式</w:t>
      </w:r>
      <w:bookmarkEnd w:id="142"/>
    </w:p>
    <w:p w14:paraId="4EDA65E7">
      <w:pPr>
        <w:rPr>
          <w:rFonts w:hint="eastAsia" w:ascii="宋体" w:hAnsi="宋体" w:eastAsia="宋体" w:cs="宋体"/>
          <w:color w:val="000000"/>
          <w:highlight w:val="none"/>
          <w:lang w:val="zh-CN"/>
        </w:rPr>
      </w:pPr>
    </w:p>
    <w:p w14:paraId="13DA9B7E">
      <w:pPr>
        <w:pStyle w:val="4"/>
        <w:ind w:left="0" w:leftChars="0" w:firstLine="0" w:firstLineChars="0"/>
        <w:jc w:val="left"/>
        <w:outlineLvl w:val="1"/>
        <w:rPr>
          <w:rFonts w:hint="eastAsia" w:ascii="宋体" w:hAnsi="宋体" w:eastAsia="宋体" w:cs="宋体"/>
          <w:color w:val="000000"/>
          <w:sz w:val="28"/>
          <w:szCs w:val="28"/>
          <w:highlight w:val="none"/>
        </w:rPr>
      </w:pPr>
      <w:bookmarkStart w:id="143" w:name="_Toc465627488"/>
      <w:bookmarkStart w:id="144" w:name="_Toc7356"/>
      <w:bookmarkStart w:id="145" w:name="_Toc466542228"/>
      <w:bookmarkStart w:id="146" w:name="_Toc466542557"/>
      <w:bookmarkStart w:id="147" w:name="_Toc20059"/>
      <w:bookmarkStart w:id="148" w:name="_Toc29319"/>
      <w:bookmarkStart w:id="149" w:name="_Toc11715"/>
      <w:r>
        <w:rPr>
          <w:rFonts w:hint="eastAsia" w:ascii="宋体" w:hAnsi="宋体" w:eastAsia="宋体" w:cs="宋体"/>
          <w:color w:val="000000"/>
          <w:sz w:val="28"/>
          <w:szCs w:val="28"/>
          <w:highlight w:val="none"/>
        </w:rPr>
        <w:t>格式1：</w:t>
      </w:r>
      <w:bookmarkEnd w:id="143"/>
      <w:bookmarkEnd w:id="144"/>
      <w:bookmarkEnd w:id="145"/>
      <w:bookmarkEnd w:id="146"/>
      <w:bookmarkEnd w:id="147"/>
      <w:r>
        <w:rPr>
          <w:rFonts w:hint="eastAsia" w:ascii="宋体" w:hAnsi="宋体" w:eastAsia="宋体" w:cs="宋体"/>
          <w:color w:val="000000"/>
          <w:sz w:val="28"/>
          <w:szCs w:val="28"/>
          <w:highlight w:val="none"/>
          <w:lang w:val="en-US"/>
        </w:rPr>
        <w:t xml:space="preserve">                                              </w:t>
      </w:r>
      <w:bookmarkEnd w:id="148"/>
      <w:bookmarkEnd w:id="149"/>
    </w:p>
    <w:p w14:paraId="449F700D">
      <w:pPr>
        <w:spacing w:line="360" w:lineRule="auto"/>
        <w:jc w:val="center"/>
        <w:rPr>
          <w:rFonts w:hint="eastAsia" w:ascii="宋体" w:hAnsi="宋体" w:eastAsia="宋体" w:cs="宋体"/>
          <w:b/>
          <w:color w:val="000000"/>
          <w:sz w:val="48"/>
          <w:szCs w:val="48"/>
          <w:highlight w:val="none"/>
        </w:rPr>
      </w:pPr>
    </w:p>
    <w:p w14:paraId="00F9409D">
      <w:pPr>
        <w:spacing w:line="360" w:lineRule="auto"/>
        <w:jc w:val="center"/>
        <w:outlineLvl w:val="9"/>
        <w:rPr>
          <w:rFonts w:hint="eastAsia" w:ascii="宋体" w:hAnsi="宋体" w:eastAsia="宋体" w:cs="宋体"/>
          <w:b/>
          <w:color w:val="000000"/>
          <w:spacing w:val="-6"/>
          <w:sz w:val="32"/>
          <w:szCs w:val="32"/>
          <w:highlight w:val="none"/>
        </w:rPr>
      </w:pPr>
      <w:r>
        <w:rPr>
          <w:rFonts w:hint="eastAsia" w:ascii="宋体" w:hAnsi="宋体" w:cs="宋体"/>
          <w:b/>
          <w:color w:val="000000"/>
          <w:sz w:val="48"/>
          <w:szCs w:val="48"/>
          <w:highlight w:val="none"/>
          <w:lang w:eastAsia="zh-CN"/>
        </w:rPr>
        <w:t>广东省韶关市武江区农业产业基础设施建设项目-武江区2026年农业产业基础设施建设项目（江湾镇）勘察设计</w:t>
      </w:r>
    </w:p>
    <w:p w14:paraId="6F847A4E">
      <w:pPr>
        <w:pStyle w:val="6"/>
        <w:outlineLvl w:val="9"/>
        <w:rPr>
          <w:rFonts w:hint="eastAsia" w:ascii="宋体" w:hAnsi="宋体" w:eastAsia="宋体" w:cs="宋体"/>
          <w:b/>
          <w:color w:val="000000"/>
          <w:spacing w:val="-6"/>
          <w:sz w:val="44"/>
          <w:szCs w:val="44"/>
          <w:highlight w:val="none"/>
        </w:rPr>
      </w:pPr>
    </w:p>
    <w:p w14:paraId="7B8AC062">
      <w:pPr>
        <w:rPr>
          <w:rFonts w:hint="eastAsia" w:ascii="宋体" w:hAnsi="宋体" w:eastAsia="宋体" w:cs="宋体"/>
          <w:b/>
          <w:color w:val="000000"/>
          <w:spacing w:val="-6"/>
          <w:sz w:val="44"/>
          <w:szCs w:val="44"/>
          <w:highlight w:val="none"/>
        </w:rPr>
      </w:pPr>
    </w:p>
    <w:p w14:paraId="40EBB908">
      <w:pPr>
        <w:pStyle w:val="2"/>
        <w:rPr>
          <w:rFonts w:hint="eastAsia"/>
        </w:rPr>
      </w:pPr>
    </w:p>
    <w:p w14:paraId="2A0F358D">
      <w:pPr>
        <w:pStyle w:val="6"/>
        <w:outlineLvl w:val="9"/>
        <w:rPr>
          <w:rFonts w:hint="eastAsia" w:ascii="宋体" w:hAnsi="宋体" w:eastAsia="宋体" w:cs="宋体"/>
          <w:b/>
          <w:color w:val="000000"/>
          <w:spacing w:val="-6"/>
          <w:sz w:val="44"/>
          <w:szCs w:val="44"/>
          <w:highlight w:val="none"/>
        </w:rPr>
      </w:pPr>
    </w:p>
    <w:p w14:paraId="485E9BA2">
      <w:pPr>
        <w:snapToGrid w:val="0"/>
        <w:spacing w:before="480" w:after="360"/>
        <w:jc w:val="center"/>
        <w:outlineLvl w:val="9"/>
        <w:rPr>
          <w:rFonts w:hint="eastAsia" w:ascii="宋体" w:hAnsi="宋体" w:eastAsia="宋体" w:cs="宋体"/>
          <w:b/>
          <w:bCs/>
          <w:color w:val="000000"/>
          <w:spacing w:val="-16"/>
          <w:sz w:val="72"/>
          <w:szCs w:val="72"/>
          <w:highlight w:val="none"/>
        </w:rPr>
      </w:pPr>
      <w:r>
        <w:rPr>
          <w:rFonts w:hint="eastAsia" w:ascii="宋体" w:hAnsi="宋体" w:eastAsia="宋体" w:cs="宋体"/>
          <w:b/>
          <w:bCs/>
          <w:color w:val="000000"/>
          <w:spacing w:val="-16"/>
          <w:sz w:val="72"/>
          <w:szCs w:val="72"/>
          <w:highlight w:val="none"/>
        </w:rPr>
        <w:t>投  标  文  件</w:t>
      </w:r>
    </w:p>
    <w:p w14:paraId="21F36DA8">
      <w:pPr>
        <w:snapToGrid w:val="0"/>
        <w:spacing w:before="480" w:after="360"/>
        <w:jc w:val="center"/>
        <w:outlineLvl w:val="9"/>
        <w:rPr>
          <w:rFonts w:hint="eastAsia" w:ascii="宋体" w:hAnsi="宋体" w:eastAsia="宋体" w:cs="宋体"/>
          <w:b/>
          <w:bCs/>
          <w:color w:val="000000"/>
          <w:spacing w:val="-16"/>
          <w:sz w:val="72"/>
          <w:szCs w:val="72"/>
          <w:highlight w:val="none"/>
        </w:rPr>
      </w:pPr>
      <w:r>
        <w:rPr>
          <w:rFonts w:hint="eastAsia" w:ascii="宋体" w:hAnsi="宋体" w:eastAsia="宋体" w:cs="宋体"/>
          <w:b/>
          <w:bCs/>
          <w:color w:val="000000"/>
          <w:sz w:val="44"/>
          <w:szCs w:val="44"/>
          <w:highlight w:val="none"/>
        </w:rPr>
        <w:t>（第一册 投标报价书）</w:t>
      </w:r>
    </w:p>
    <w:p w14:paraId="7CA3ED20">
      <w:pPr>
        <w:snapToGrid w:val="0"/>
        <w:spacing w:before="480" w:after="360"/>
        <w:jc w:val="both"/>
        <w:outlineLvl w:val="9"/>
        <w:rPr>
          <w:rFonts w:hint="eastAsia" w:ascii="宋体" w:hAnsi="宋体" w:eastAsia="宋体" w:cs="宋体"/>
          <w:b/>
          <w:bCs/>
          <w:color w:val="000000"/>
          <w:spacing w:val="-16"/>
          <w:sz w:val="72"/>
          <w:szCs w:val="72"/>
          <w:highlight w:val="none"/>
        </w:rPr>
      </w:pPr>
    </w:p>
    <w:p w14:paraId="0D36E775">
      <w:pPr>
        <w:pStyle w:val="2"/>
        <w:rPr>
          <w:rFonts w:hint="eastAsia"/>
        </w:rPr>
      </w:pPr>
    </w:p>
    <w:p w14:paraId="46B6FF2C">
      <w:pPr>
        <w:pStyle w:val="23"/>
        <w:jc w:val="center"/>
        <w:outlineLvl w:val="9"/>
        <w:rPr>
          <w:rFonts w:hint="eastAsia" w:ascii="宋体" w:hAnsi="宋体" w:eastAsia="宋体" w:cs="宋体"/>
          <w:b/>
          <w:color w:val="000000"/>
          <w:sz w:val="30"/>
          <w:szCs w:val="30"/>
          <w:highlight w:val="none"/>
          <w:u w:val="single"/>
        </w:rPr>
      </w:pPr>
      <w:r>
        <w:rPr>
          <w:rFonts w:hint="eastAsia" w:ascii="宋体" w:hAnsi="宋体" w:eastAsia="宋体" w:cs="宋体"/>
          <w:b/>
          <w:color w:val="000000"/>
          <w:sz w:val="30"/>
          <w:szCs w:val="30"/>
          <w:highlight w:val="none"/>
        </w:rPr>
        <w:t>投标人：</w:t>
      </w:r>
      <w:r>
        <w:rPr>
          <w:rFonts w:hint="eastAsia" w:ascii="宋体" w:hAnsi="宋体" w:eastAsia="宋体" w:cs="宋体"/>
          <w:b/>
          <w:color w:val="000000"/>
          <w:sz w:val="30"/>
          <w:szCs w:val="30"/>
          <w:highlight w:val="none"/>
          <w:u w:val="single"/>
        </w:rPr>
        <w:t xml:space="preserve">     (投标人名称)</w:t>
      </w:r>
      <w:r>
        <w:rPr>
          <w:rFonts w:hint="eastAsia" w:ascii="宋体" w:hAnsi="宋体" w:eastAsia="宋体" w:cs="宋体"/>
          <w:b/>
          <w:color w:val="000000"/>
          <w:sz w:val="30"/>
          <w:szCs w:val="30"/>
          <w:highlight w:val="none"/>
        </w:rPr>
        <w:t xml:space="preserve">  (盖单位章)</w:t>
      </w:r>
    </w:p>
    <w:p w14:paraId="0A6EC923">
      <w:pPr>
        <w:pStyle w:val="25"/>
        <w:tabs>
          <w:tab w:val="left" w:pos="3600"/>
        </w:tabs>
        <w:autoSpaceDE w:val="0"/>
        <w:autoSpaceDN w:val="0"/>
        <w:spacing w:line="360" w:lineRule="auto"/>
        <w:jc w:val="center"/>
        <w:textAlignment w:val="bottom"/>
        <w:outlineLvl w:val="9"/>
        <w:rPr>
          <w:rFonts w:hint="eastAsia" w:ascii="宋体" w:hAnsi="宋体" w:eastAsia="宋体" w:cs="宋体"/>
          <w:b/>
          <w:bCs/>
          <w:color w:val="000000"/>
          <w:kern w:val="2"/>
          <w:sz w:val="30"/>
          <w:szCs w:val="30"/>
          <w:highlight w:val="none"/>
          <w:u w:val="single"/>
        </w:rPr>
      </w:pPr>
      <w:r>
        <w:rPr>
          <w:rFonts w:hint="eastAsia" w:ascii="宋体" w:hAnsi="宋体" w:eastAsia="宋体" w:cs="宋体"/>
          <w:b/>
          <w:color w:val="000000"/>
          <w:sz w:val="30"/>
          <w:szCs w:val="30"/>
          <w:highlight w:val="none"/>
        </w:rPr>
        <w:t>法定代表人或其委托代理人：</w:t>
      </w:r>
      <w:r>
        <w:rPr>
          <w:rFonts w:hint="eastAsia" w:ascii="宋体" w:hAnsi="宋体" w:eastAsia="宋体" w:cs="宋体"/>
          <w:b/>
          <w:bCs/>
          <w:color w:val="000000"/>
          <w:kern w:val="2"/>
          <w:sz w:val="30"/>
          <w:szCs w:val="30"/>
          <w:highlight w:val="none"/>
          <w:u w:val="single"/>
        </w:rPr>
        <w:t xml:space="preserve">     (签字或盖章)</w:t>
      </w:r>
    </w:p>
    <w:p w14:paraId="64A98F0E">
      <w:pPr>
        <w:spacing w:line="360" w:lineRule="auto"/>
        <w:jc w:val="center"/>
        <w:outlineLvl w:val="9"/>
        <w:rPr>
          <w:rFonts w:hint="eastAsia" w:ascii="宋体" w:hAnsi="宋体" w:eastAsia="宋体" w:cs="宋体"/>
          <w:lang w:val="zh-CN"/>
        </w:rPr>
      </w:pP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rPr>
        <w:t>年</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rPr>
        <w:t>月</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rPr>
        <w:t>日</w:t>
      </w:r>
    </w:p>
    <w:p w14:paraId="71842D1C">
      <w:pPr>
        <w:jc w:val="center"/>
        <w:outlineLvl w:val="9"/>
        <w:rPr>
          <w:rFonts w:hint="eastAsia" w:ascii="宋体" w:hAnsi="宋体" w:eastAsia="宋体" w:cs="宋体"/>
          <w:b/>
          <w:color w:val="000000"/>
          <w:sz w:val="32"/>
          <w:szCs w:val="32"/>
          <w:highlight w:val="none"/>
        </w:rPr>
      </w:pPr>
      <w:bookmarkStart w:id="150" w:name="_Toc464198578"/>
    </w:p>
    <w:p w14:paraId="173CD152">
      <w:pPr>
        <w:jc w:val="center"/>
        <w:outlineLvl w:val="9"/>
        <w:rPr>
          <w:rFonts w:hint="eastAsia" w:ascii="宋体" w:hAnsi="宋体" w:eastAsia="宋体" w:cs="宋体"/>
          <w:b/>
          <w:color w:val="000000"/>
          <w:sz w:val="32"/>
          <w:szCs w:val="32"/>
          <w:highlight w:val="none"/>
        </w:rPr>
      </w:pPr>
    </w:p>
    <w:p w14:paraId="30FE1D1E">
      <w:pPr>
        <w:jc w:val="center"/>
        <w:outlineLvl w:val="9"/>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投标报价书</w:t>
      </w:r>
      <w:bookmarkEnd w:id="150"/>
    </w:p>
    <w:p w14:paraId="5C621D40">
      <w:pPr>
        <w:outlineLvl w:val="9"/>
        <w:rPr>
          <w:rFonts w:hint="eastAsia" w:ascii="宋体" w:hAnsi="宋体" w:eastAsia="宋体" w:cs="宋体"/>
          <w:color w:val="000000"/>
          <w:kern w:val="0"/>
          <w:szCs w:val="21"/>
          <w:highlight w:val="none"/>
          <w:u w:val="single"/>
        </w:rPr>
      </w:pPr>
    </w:p>
    <w:p w14:paraId="3B22345B">
      <w:pPr>
        <w:outlineLvl w:val="9"/>
        <w:rPr>
          <w:rFonts w:hint="eastAsia" w:ascii="宋体" w:hAnsi="宋体" w:eastAsia="宋体" w:cs="宋体"/>
          <w:color w:val="000000"/>
          <w:sz w:val="28"/>
          <w:szCs w:val="28"/>
          <w:highlight w:val="none"/>
          <w:u w:val="single"/>
        </w:rPr>
      </w:pPr>
      <w:r>
        <w:rPr>
          <w:rFonts w:hint="eastAsia" w:ascii="宋体" w:hAnsi="宋体" w:eastAsia="宋体" w:cs="宋体"/>
          <w:color w:val="000000"/>
          <w:kern w:val="0"/>
          <w:sz w:val="28"/>
          <w:szCs w:val="28"/>
          <w:highlight w:val="none"/>
          <w:u w:val="single"/>
        </w:rPr>
        <w:t xml:space="preserve">      （招标人名称）    ：</w:t>
      </w:r>
    </w:p>
    <w:p w14:paraId="463D6EC5">
      <w:pPr>
        <w:adjustRightInd w:val="0"/>
        <w:snapToGrid w:val="0"/>
        <w:spacing w:line="480" w:lineRule="auto"/>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0724FD24">
      <w:pPr>
        <w:spacing w:line="360" w:lineRule="auto"/>
        <w:ind w:firstLine="560" w:firstLineChars="200"/>
        <w:jc w:val="left"/>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我方已仔细研究了</w:t>
      </w:r>
      <w:r>
        <w:rPr>
          <w:rFonts w:hint="eastAsia" w:ascii="宋体" w:hAnsi="宋体" w:cs="宋体"/>
          <w:b w:val="0"/>
          <w:bCs/>
          <w:color w:val="000000"/>
          <w:sz w:val="28"/>
          <w:szCs w:val="28"/>
          <w:highlight w:val="none"/>
          <w:u w:val="single"/>
          <w:lang w:eastAsia="zh-CN"/>
        </w:rPr>
        <w:t>广东省韶关市武江区农业产业基础设施建设项目-武江区2026年农业产业基础设施建设项目（江湾镇）勘察设计</w:t>
      </w:r>
      <w:r>
        <w:rPr>
          <w:rFonts w:hint="eastAsia" w:ascii="宋体" w:hAnsi="宋体" w:eastAsia="宋体" w:cs="宋体"/>
          <w:color w:val="000000"/>
          <w:sz w:val="28"/>
          <w:szCs w:val="28"/>
          <w:highlight w:val="none"/>
        </w:rPr>
        <w:t>招标文件的全部内容，愿意以下浮率</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（大写：百分之</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）投标。</w:t>
      </w:r>
    </w:p>
    <w:p w14:paraId="29C08105">
      <w:pPr>
        <w:adjustRightInd w:val="0"/>
        <w:snapToGrid w:val="0"/>
        <w:ind w:firstLine="560" w:firstLineChars="200"/>
        <w:outlineLvl w:val="9"/>
        <w:rPr>
          <w:rFonts w:hint="eastAsia" w:ascii="宋体" w:hAnsi="宋体" w:eastAsia="宋体" w:cs="宋体"/>
          <w:color w:val="000000"/>
          <w:sz w:val="28"/>
          <w:szCs w:val="28"/>
          <w:highlight w:val="none"/>
        </w:rPr>
      </w:pPr>
    </w:p>
    <w:p w14:paraId="51CE1CA5">
      <w:pPr>
        <w:adjustRightInd w:val="0"/>
        <w:snapToGrid w:val="0"/>
        <w:ind w:firstLine="560" w:firstLineChars="200"/>
        <w:outlineLvl w:val="9"/>
        <w:rPr>
          <w:rFonts w:hint="eastAsia" w:ascii="宋体" w:hAnsi="宋体" w:eastAsia="宋体" w:cs="宋体"/>
          <w:color w:val="000000"/>
          <w:sz w:val="28"/>
          <w:szCs w:val="28"/>
          <w:highlight w:val="none"/>
        </w:rPr>
      </w:pPr>
    </w:p>
    <w:p w14:paraId="3FE9F01F">
      <w:pPr>
        <w:adjustRightInd w:val="0"/>
        <w:snapToGrid w:val="0"/>
        <w:ind w:firstLine="560" w:firstLineChars="200"/>
        <w:outlineLvl w:val="9"/>
        <w:rPr>
          <w:rFonts w:hint="eastAsia" w:ascii="宋体" w:hAnsi="宋体" w:eastAsia="宋体" w:cs="宋体"/>
          <w:color w:val="000000"/>
          <w:sz w:val="28"/>
          <w:szCs w:val="28"/>
          <w:highlight w:val="none"/>
        </w:rPr>
      </w:pPr>
    </w:p>
    <w:p w14:paraId="3A71B6C3">
      <w:pPr>
        <w:adjustRightInd w:val="0"/>
        <w:snapToGrid w:val="0"/>
        <w:ind w:firstLine="560" w:firstLineChars="200"/>
        <w:outlineLvl w:val="9"/>
        <w:rPr>
          <w:rFonts w:hint="eastAsia" w:ascii="宋体" w:hAnsi="宋体" w:eastAsia="宋体" w:cs="宋体"/>
          <w:color w:val="000000"/>
          <w:sz w:val="28"/>
          <w:szCs w:val="28"/>
          <w:highlight w:val="none"/>
        </w:rPr>
      </w:pPr>
    </w:p>
    <w:p w14:paraId="5835435D">
      <w:pPr>
        <w:adjustRightInd w:val="0"/>
        <w:snapToGrid w:val="0"/>
        <w:ind w:firstLine="560" w:firstLineChars="200"/>
        <w:outlineLvl w:val="9"/>
        <w:rPr>
          <w:rFonts w:hint="eastAsia" w:ascii="宋体" w:hAnsi="宋体" w:eastAsia="宋体" w:cs="宋体"/>
          <w:color w:val="000000"/>
          <w:sz w:val="28"/>
          <w:szCs w:val="28"/>
          <w:highlight w:val="none"/>
        </w:rPr>
      </w:pPr>
    </w:p>
    <w:p w14:paraId="56C440AC">
      <w:pPr>
        <w:adjustRightInd w:val="0"/>
        <w:snapToGrid w:val="0"/>
        <w:ind w:firstLine="560" w:firstLineChars="200"/>
        <w:outlineLvl w:val="9"/>
        <w:rPr>
          <w:rFonts w:hint="eastAsia" w:ascii="宋体" w:hAnsi="宋体" w:eastAsia="宋体" w:cs="宋体"/>
          <w:color w:val="000000"/>
          <w:sz w:val="28"/>
          <w:szCs w:val="28"/>
          <w:highlight w:val="none"/>
        </w:rPr>
      </w:pPr>
    </w:p>
    <w:p w14:paraId="65670682">
      <w:pPr>
        <w:adjustRightInd w:val="0"/>
        <w:snapToGrid w:val="0"/>
        <w:ind w:firstLine="560" w:firstLineChars="200"/>
        <w:outlineLvl w:val="9"/>
        <w:rPr>
          <w:rFonts w:hint="eastAsia" w:ascii="宋体" w:hAnsi="宋体" w:eastAsia="宋体" w:cs="宋体"/>
          <w:color w:val="000000"/>
          <w:sz w:val="28"/>
          <w:szCs w:val="28"/>
          <w:highlight w:val="none"/>
        </w:rPr>
      </w:pPr>
    </w:p>
    <w:p w14:paraId="386A6B3A">
      <w:pPr>
        <w:adjustRightInd w:val="0"/>
        <w:snapToGrid w:val="0"/>
        <w:ind w:firstLine="560" w:firstLineChars="200"/>
        <w:outlineLvl w:val="9"/>
        <w:rPr>
          <w:rFonts w:hint="eastAsia" w:ascii="宋体" w:hAnsi="宋体" w:eastAsia="宋体" w:cs="宋体"/>
          <w:color w:val="000000"/>
          <w:sz w:val="28"/>
          <w:szCs w:val="28"/>
          <w:highlight w:val="none"/>
        </w:rPr>
      </w:pPr>
    </w:p>
    <w:p w14:paraId="37A6C7CE">
      <w:pPr>
        <w:adjustRightInd w:val="0"/>
        <w:snapToGrid w:val="0"/>
        <w:ind w:firstLine="560" w:firstLineChars="200"/>
        <w:outlineLvl w:val="9"/>
        <w:rPr>
          <w:rFonts w:hint="eastAsia" w:ascii="宋体" w:hAnsi="宋体" w:eastAsia="宋体" w:cs="宋体"/>
          <w:color w:val="000000"/>
          <w:sz w:val="28"/>
          <w:szCs w:val="28"/>
          <w:highlight w:val="none"/>
        </w:rPr>
      </w:pPr>
    </w:p>
    <w:p w14:paraId="5F60ED2F">
      <w:pPr>
        <w:tabs>
          <w:tab w:val="left" w:pos="5970"/>
        </w:tabs>
        <w:adjustRightInd w:val="0"/>
        <w:snapToGrid w:val="0"/>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ab/>
      </w:r>
    </w:p>
    <w:p w14:paraId="57D8C10F">
      <w:pPr>
        <w:adjustRightInd w:val="0"/>
        <w:snapToGrid w:val="0"/>
        <w:spacing w:line="480" w:lineRule="auto"/>
        <w:ind w:firstLine="3080" w:firstLineChars="11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  标  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（盖单位章）</w:t>
      </w:r>
    </w:p>
    <w:p w14:paraId="18ED0E6F">
      <w:pPr>
        <w:adjustRightInd w:val="0"/>
        <w:snapToGrid w:val="0"/>
        <w:spacing w:line="480" w:lineRule="auto"/>
        <w:ind w:firstLine="3080" w:firstLineChars="11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法定代表人（委托代理人）：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（签字或盖章）</w:t>
      </w:r>
    </w:p>
    <w:p w14:paraId="436ADB04">
      <w:pPr>
        <w:adjustRightInd w:val="0"/>
        <w:snapToGrid w:val="0"/>
        <w:spacing w:line="480" w:lineRule="auto"/>
        <w:ind w:firstLine="6804" w:firstLineChars="2430"/>
        <w:outlineLvl w:val="9"/>
        <w:rPr>
          <w:rFonts w:hint="eastAsia" w:ascii="宋体" w:hAnsi="宋体" w:eastAsia="宋体" w:cs="宋体"/>
          <w:color w:val="000000"/>
          <w:sz w:val="28"/>
          <w:szCs w:val="28"/>
          <w:highlight w:val="none"/>
        </w:rPr>
      </w:pPr>
    </w:p>
    <w:p w14:paraId="257BE90B">
      <w:pPr>
        <w:adjustRightInd w:val="0"/>
        <w:snapToGrid w:val="0"/>
        <w:spacing w:line="480" w:lineRule="auto"/>
        <w:ind w:firstLine="5880" w:firstLineChars="21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43F7A997">
      <w:pPr>
        <w:outlineLvl w:val="9"/>
        <w:rPr>
          <w:rFonts w:hint="eastAsia" w:ascii="宋体" w:hAnsi="宋体" w:eastAsia="宋体" w:cs="宋体"/>
          <w:color w:val="000000"/>
          <w:highlight w:val="none"/>
          <w:lang w:val="zh-CN"/>
        </w:rPr>
      </w:pPr>
    </w:p>
    <w:p w14:paraId="4C65D047">
      <w:pPr>
        <w:outlineLvl w:val="9"/>
        <w:rPr>
          <w:rFonts w:hint="eastAsia" w:ascii="宋体" w:hAnsi="宋体" w:eastAsia="宋体" w:cs="宋体"/>
          <w:color w:val="000000"/>
          <w:highlight w:val="none"/>
          <w:lang w:val="zh-CN"/>
        </w:rPr>
      </w:pPr>
    </w:p>
    <w:p w14:paraId="6CE47E53">
      <w:pPr>
        <w:outlineLvl w:val="9"/>
        <w:rPr>
          <w:rFonts w:hint="eastAsia" w:ascii="宋体" w:hAnsi="宋体" w:eastAsia="宋体" w:cs="宋体"/>
          <w:color w:val="000000"/>
          <w:highlight w:val="none"/>
          <w:lang w:val="zh-CN"/>
        </w:rPr>
      </w:pPr>
    </w:p>
    <w:p w14:paraId="67BB1960">
      <w:pPr>
        <w:outlineLvl w:val="9"/>
        <w:rPr>
          <w:rFonts w:hint="eastAsia" w:ascii="宋体" w:hAnsi="宋体" w:eastAsia="宋体" w:cs="宋体"/>
          <w:color w:val="000000"/>
          <w:highlight w:val="none"/>
          <w:lang w:val="zh-CN"/>
        </w:rPr>
      </w:pPr>
    </w:p>
    <w:p w14:paraId="0DDF329E">
      <w:pPr>
        <w:outlineLvl w:val="9"/>
        <w:rPr>
          <w:rFonts w:hint="eastAsia" w:ascii="宋体" w:hAnsi="宋体" w:eastAsia="宋体" w:cs="宋体"/>
          <w:color w:val="000000"/>
          <w:highlight w:val="none"/>
          <w:lang w:val="zh-CN"/>
        </w:rPr>
      </w:pPr>
    </w:p>
    <w:p w14:paraId="4B0524BB">
      <w:pPr>
        <w:outlineLvl w:val="9"/>
        <w:rPr>
          <w:rFonts w:hint="eastAsia" w:ascii="宋体" w:hAnsi="宋体" w:eastAsia="宋体" w:cs="宋体"/>
          <w:color w:val="000000"/>
          <w:highlight w:val="none"/>
          <w:lang w:val="zh-CN"/>
        </w:rPr>
      </w:pPr>
    </w:p>
    <w:p w14:paraId="315D34EE">
      <w:pPr>
        <w:outlineLvl w:val="9"/>
        <w:rPr>
          <w:rFonts w:hint="eastAsia" w:ascii="宋体" w:hAnsi="宋体" w:eastAsia="宋体" w:cs="宋体"/>
          <w:color w:val="000000"/>
          <w:highlight w:val="none"/>
          <w:lang w:val="zh-CN"/>
        </w:rPr>
      </w:pPr>
    </w:p>
    <w:p w14:paraId="791DC011">
      <w:pPr>
        <w:pStyle w:val="4"/>
        <w:ind w:left="0" w:leftChars="0" w:firstLine="0" w:firstLineChars="0"/>
        <w:jc w:val="both"/>
        <w:outlineLvl w:val="1"/>
        <w:rPr>
          <w:rFonts w:hint="eastAsia" w:ascii="宋体" w:hAnsi="宋体" w:eastAsia="宋体" w:cs="宋体"/>
          <w:color w:val="000000"/>
          <w:sz w:val="28"/>
          <w:szCs w:val="28"/>
          <w:highlight w:val="none"/>
          <w:lang w:val="en-US"/>
        </w:rPr>
      </w:pPr>
      <w:bookmarkStart w:id="151" w:name="_Toc466542229"/>
      <w:bookmarkStart w:id="152" w:name="_Toc22195"/>
      <w:bookmarkStart w:id="153" w:name="_Toc466542558"/>
      <w:bookmarkStart w:id="154" w:name="_Toc29873"/>
      <w:bookmarkStart w:id="155" w:name="_Toc13570"/>
      <w:bookmarkStart w:id="156" w:name="_Toc20615"/>
      <w:r>
        <w:rPr>
          <w:rFonts w:hint="eastAsia" w:ascii="宋体" w:hAnsi="宋体" w:eastAsia="宋体" w:cs="宋体"/>
          <w:color w:val="000000"/>
          <w:sz w:val="28"/>
          <w:szCs w:val="28"/>
          <w:highlight w:val="none"/>
        </w:rPr>
        <w:t>格式2：</w:t>
      </w:r>
      <w:bookmarkEnd w:id="151"/>
      <w:bookmarkEnd w:id="152"/>
      <w:bookmarkEnd w:id="153"/>
      <w:bookmarkEnd w:id="154"/>
      <w:r>
        <w:rPr>
          <w:rFonts w:hint="eastAsia" w:ascii="宋体" w:hAnsi="宋体" w:eastAsia="宋体" w:cs="宋体"/>
          <w:color w:val="000000"/>
          <w:sz w:val="28"/>
          <w:szCs w:val="28"/>
          <w:highlight w:val="none"/>
          <w:lang w:val="en-US"/>
        </w:rPr>
        <w:t xml:space="preserve">                                       </w:t>
      </w:r>
      <w:bookmarkEnd w:id="155"/>
      <w:bookmarkEnd w:id="156"/>
    </w:p>
    <w:p w14:paraId="2DE9F870">
      <w:pPr>
        <w:spacing w:line="360" w:lineRule="auto"/>
        <w:jc w:val="center"/>
        <w:rPr>
          <w:rFonts w:hint="eastAsia" w:ascii="宋体" w:hAnsi="宋体" w:eastAsia="宋体" w:cs="宋体"/>
          <w:b/>
          <w:color w:val="000000"/>
          <w:sz w:val="48"/>
          <w:szCs w:val="48"/>
          <w:highlight w:val="none"/>
        </w:rPr>
      </w:pPr>
    </w:p>
    <w:p w14:paraId="638DFE29">
      <w:pPr>
        <w:spacing w:line="360" w:lineRule="auto"/>
        <w:jc w:val="center"/>
        <w:rPr>
          <w:rFonts w:hint="eastAsia" w:ascii="宋体" w:hAnsi="宋体" w:eastAsia="宋体" w:cs="宋体"/>
          <w:b/>
          <w:color w:val="000000"/>
          <w:sz w:val="36"/>
          <w:szCs w:val="36"/>
          <w:highlight w:val="none"/>
        </w:rPr>
      </w:pPr>
      <w:r>
        <w:rPr>
          <w:rFonts w:hint="eastAsia" w:ascii="宋体" w:hAnsi="宋体" w:cs="宋体"/>
          <w:b/>
          <w:color w:val="000000"/>
          <w:sz w:val="48"/>
          <w:szCs w:val="48"/>
          <w:highlight w:val="none"/>
          <w:lang w:eastAsia="zh-CN"/>
        </w:rPr>
        <w:t>广东省韶关市武江区农业产业基础设施建设项目-武江区2026年农业产业基础设施建设项目（江湾镇）勘察设计</w:t>
      </w:r>
    </w:p>
    <w:p w14:paraId="7B155712">
      <w:pPr>
        <w:snapToGrid w:val="0"/>
        <w:spacing w:before="480" w:after="360"/>
        <w:jc w:val="center"/>
        <w:rPr>
          <w:rFonts w:hint="eastAsia" w:ascii="宋体" w:hAnsi="宋体" w:eastAsia="宋体" w:cs="宋体"/>
          <w:b/>
          <w:color w:val="000000"/>
          <w:spacing w:val="-6"/>
          <w:sz w:val="44"/>
          <w:szCs w:val="44"/>
          <w:highlight w:val="none"/>
        </w:rPr>
      </w:pPr>
    </w:p>
    <w:p w14:paraId="77FA159B">
      <w:pPr>
        <w:pStyle w:val="6"/>
        <w:rPr>
          <w:rFonts w:hint="eastAsia" w:ascii="宋体" w:hAnsi="宋体" w:eastAsia="宋体" w:cs="宋体"/>
          <w:b/>
          <w:color w:val="000000"/>
          <w:spacing w:val="-6"/>
          <w:sz w:val="44"/>
          <w:szCs w:val="44"/>
          <w:highlight w:val="none"/>
        </w:rPr>
      </w:pPr>
    </w:p>
    <w:p w14:paraId="61AA7E85">
      <w:pPr>
        <w:pStyle w:val="6"/>
        <w:rPr>
          <w:rFonts w:hint="eastAsia" w:ascii="宋体" w:hAnsi="宋体" w:eastAsia="宋体" w:cs="宋体"/>
          <w:b/>
          <w:color w:val="000000"/>
          <w:spacing w:val="-6"/>
          <w:sz w:val="44"/>
          <w:szCs w:val="44"/>
          <w:highlight w:val="none"/>
        </w:rPr>
      </w:pPr>
    </w:p>
    <w:p w14:paraId="58CBE330">
      <w:pPr>
        <w:snapToGrid w:val="0"/>
        <w:spacing w:before="480" w:after="360"/>
        <w:jc w:val="center"/>
        <w:rPr>
          <w:rFonts w:hint="eastAsia" w:ascii="宋体" w:hAnsi="宋体" w:eastAsia="宋体" w:cs="宋体"/>
          <w:b/>
          <w:bCs/>
          <w:color w:val="000000"/>
          <w:spacing w:val="-16"/>
          <w:sz w:val="72"/>
          <w:szCs w:val="72"/>
          <w:highlight w:val="none"/>
        </w:rPr>
      </w:pPr>
      <w:r>
        <w:rPr>
          <w:rFonts w:hint="eastAsia" w:ascii="宋体" w:hAnsi="宋体" w:eastAsia="宋体" w:cs="宋体"/>
          <w:b/>
          <w:bCs/>
          <w:color w:val="000000"/>
          <w:spacing w:val="-16"/>
          <w:sz w:val="72"/>
          <w:szCs w:val="72"/>
          <w:highlight w:val="none"/>
        </w:rPr>
        <w:t>投  标  文  件</w:t>
      </w:r>
    </w:p>
    <w:p w14:paraId="612B60AB">
      <w:pPr>
        <w:spacing w:line="360" w:lineRule="auto"/>
        <w:jc w:val="center"/>
        <w:rPr>
          <w:rFonts w:hint="eastAsia" w:ascii="宋体" w:hAnsi="宋体" w:eastAsia="宋体" w:cs="宋体"/>
          <w:color w:val="000000"/>
          <w:sz w:val="44"/>
          <w:szCs w:val="44"/>
          <w:highlight w:val="none"/>
        </w:rPr>
      </w:pPr>
      <w:r>
        <w:rPr>
          <w:rFonts w:hint="eastAsia" w:ascii="宋体" w:hAnsi="宋体" w:eastAsia="宋体" w:cs="宋体"/>
          <w:b/>
          <w:bCs/>
          <w:color w:val="000000"/>
          <w:sz w:val="44"/>
          <w:szCs w:val="44"/>
          <w:highlight w:val="none"/>
        </w:rPr>
        <w:t>（第二册 商务标书）</w:t>
      </w:r>
    </w:p>
    <w:p w14:paraId="1A86DC9D">
      <w:pPr>
        <w:snapToGrid w:val="0"/>
        <w:spacing w:before="480" w:after="360"/>
        <w:jc w:val="center"/>
        <w:rPr>
          <w:rFonts w:hint="eastAsia" w:ascii="宋体" w:hAnsi="宋体" w:eastAsia="宋体" w:cs="宋体"/>
          <w:b/>
          <w:bCs/>
          <w:color w:val="000000"/>
          <w:spacing w:val="-16"/>
          <w:sz w:val="72"/>
          <w:szCs w:val="72"/>
          <w:highlight w:val="none"/>
        </w:rPr>
      </w:pPr>
    </w:p>
    <w:p w14:paraId="0C11B47D">
      <w:pPr>
        <w:snapToGrid w:val="0"/>
        <w:spacing w:before="480" w:after="360"/>
        <w:jc w:val="center"/>
        <w:rPr>
          <w:rFonts w:hint="eastAsia" w:ascii="宋体" w:hAnsi="宋体" w:eastAsia="宋体" w:cs="宋体"/>
          <w:b/>
          <w:bCs/>
          <w:color w:val="000000"/>
          <w:spacing w:val="-16"/>
          <w:sz w:val="72"/>
          <w:szCs w:val="72"/>
          <w:highlight w:val="none"/>
        </w:rPr>
      </w:pPr>
    </w:p>
    <w:p w14:paraId="23D7A9F6">
      <w:pPr>
        <w:pStyle w:val="23"/>
        <w:jc w:val="center"/>
        <w:rPr>
          <w:rFonts w:hint="eastAsia" w:ascii="宋体" w:hAnsi="宋体" w:eastAsia="宋体" w:cs="宋体"/>
          <w:b/>
          <w:color w:val="000000"/>
          <w:sz w:val="30"/>
          <w:szCs w:val="30"/>
          <w:highlight w:val="none"/>
          <w:u w:val="single"/>
        </w:rPr>
      </w:pPr>
      <w:r>
        <w:rPr>
          <w:rFonts w:hint="eastAsia" w:ascii="宋体" w:hAnsi="宋体" w:eastAsia="宋体" w:cs="宋体"/>
          <w:b/>
          <w:color w:val="000000"/>
          <w:sz w:val="30"/>
          <w:szCs w:val="30"/>
          <w:highlight w:val="none"/>
        </w:rPr>
        <w:t>投标人：</w:t>
      </w:r>
      <w:r>
        <w:rPr>
          <w:rFonts w:hint="eastAsia" w:ascii="宋体" w:hAnsi="宋体" w:eastAsia="宋体" w:cs="宋体"/>
          <w:b/>
          <w:color w:val="000000"/>
          <w:sz w:val="30"/>
          <w:szCs w:val="30"/>
          <w:highlight w:val="none"/>
          <w:u w:val="single"/>
        </w:rPr>
        <w:t xml:space="preserve">     (投标人名称)</w:t>
      </w:r>
      <w:r>
        <w:rPr>
          <w:rFonts w:hint="eastAsia" w:ascii="宋体" w:hAnsi="宋体" w:eastAsia="宋体" w:cs="宋体"/>
          <w:b/>
          <w:color w:val="000000"/>
          <w:sz w:val="30"/>
          <w:szCs w:val="30"/>
          <w:highlight w:val="none"/>
        </w:rPr>
        <w:t xml:space="preserve">  (盖单位章)</w:t>
      </w:r>
    </w:p>
    <w:p w14:paraId="0C86FA83">
      <w:pPr>
        <w:pStyle w:val="25"/>
        <w:tabs>
          <w:tab w:val="left" w:pos="3600"/>
        </w:tabs>
        <w:autoSpaceDE w:val="0"/>
        <w:autoSpaceDN w:val="0"/>
        <w:spacing w:line="360" w:lineRule="auto"/>
        <w:jc w:val="center"/>
        <w:textAlignment w:val="bottom"/>
        <w:rPr>
          <w:rFonts w:hint="eastAsia" w:ascii="宋体" w:hAnsi="宋体" w:eastAsia="宋体" w:cs="宋体"/>
          <w:b/>
          <w:bCs/>
          <w:color w:val="000000"/>
          <w:kern w:val="2"/>
          <w:sz w:val="30"/>
          <w:szCs w:val="30"/>
          <w:highlight w:val="none"/>
          <w:u w:val="single"/>
        </w:rPr>
      </w:pPr>
      <w:r>
        <w:rPr>
          <w:rFonts w:hint="eastAsia" w:ascii="宋体" w:hAnsi="宋体" w:eastAsia="宋体" w:cs="宋体"/>
          <w:b/>
          <w:color w:val="000000"/>
          <w:sz w:val="30"/>
          <w:szCs w:val="30"/>
          <w:highlight w:val="none"/>
        </w:rPr>
        <w:t>法定代表人或其委托代理人：</w:t>
      </w:r>
      <w:r>
        <w:rPr>
          <w:rFonts w:hint="eastAsia" w:ascii="宋体" w:hAnsi="宋体" w:eastAsia="宋体" w:cs="宋体"/>
          <w:b/>
          <w:bCs/>
          <w:color w:val="000000"/>
          <w:kern w:val="2"/>
          <w:sz w:val="30"/>
          <w:szCs w:val="30"/>
          <w:highlight w:val="none"/>
          <w:u w:val="single"/>
        </w:rPr>
        <w:t xml:space="preserve">     (签字或盖章)</w:t>
      </w:r>
    </w:p>
    <w:p w14:paraId="5296D44F">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rPr>
        <w:t>年</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rPr>
        <w:t>月</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rPr>
        <w:t>日</w:t>
      </w:r>
    </w:p>
    <w:p w14:paraId="63255EB6">
      <w:pPr>
        <w:pStyle w:val="24"/>
        <w:spacing w:line="540" w:lineRule="atLeast"/>
        <w:ind w:right="71"/>
        <w:jc w:val="center"/>
        <w:rPr>
          <w:rFonts w:hint="eastAsia" w:ascii="宋体" w:hAnsi="宋体" w:eastAsia="宋体" w:cs="宋体"/>
          <w:b/>
          <w:bCs/>
          <w:color w:val="000000"/>
          <w:sz w:val="32"/>
          <w:szCs w:val="32"/>
          <w:highlight w:val="none"/>
        </w:rPr>
      </w:pPr>
    </w:p>
    <w:p w14:paraId="441B94A1">
      <w:pPr>
        <w:pStyle w:val="24"/>
        <w:spacing w:line="540" w:lineRule="atLeast"/>
        <w:ind w:right="71"/>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目  录</w:t>
      </w:r>
    </w:p>
    <w:p w14:paraId="13F96B3D">
      <w:pPr>
        <w:spacing w:line="480" w:lineRule="auto"/>
        <w:ind w:firstLine="480" w:firstLineChars="200"/>
        <w:rPr>
          <w:rFonts w:hint="eastAsia" w:ascii="宋体" w:hAnsi="宋体" w:eastAsia="宋体" w:cs="宋体"/>
          <w:color w:val="000000"/>
          <w:sz w:val="24"/>
          <w:highlight w:val="none"/>
          <w:lang w:val="zh-CN"/>
        </w:rPr>
      </w:pPr>
    </w:p>
    <w:p w14:paraId="16E089CE">
      <w:pPr>
        <w:spacing w:line="48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一、投标函</w:t>
      </w:r>
    </w:p>
    <w:p w14:paraId="5BE4A770">
      <w:pPr>
        <w:spacing w:line="48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二、法定代表人证明书</w:t>
      </w:r>
    </w:p>
    <w:p w14:paraId="00DE5CBE">
      <w:pPr>
        <w:spacing w:line="48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三、授权委托书</w:t>
      </w:r>
    </w:p>
    <w:p w14:paraId="32E658E1">
      <w:pPr>
        <w:spacing w:line="48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四、资格审查资料</w:t>
      </w:r>
    </w:p>
    <w:p w14:paraId="36495D98">
      <w:pPr>
        <w:spacing w:line="48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五、缴纳投标保证的凭证</w:t>
      </w:r>
    </w:p>
    <w:p w14:paraId="4BE2D604">
      <w:pPr>
        <w:spacing w:line="48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六、投标辅助资料</w:t>
      </w:r>
    </w:p>
    <w:p w14:paraId="61D4A415">
      <w:pPr>
        <w:spacing w:line="48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七、其他材料</w:t>
      </w:r>
    </w:p>
    <w:p w14:paraId="15ABFD41">
      <w:pPr>
        <w:spacing w:line="360" w:lineRule="auto"/>
        <w:ind w:firstLine="420" w:firstLineChars="20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本目录不作为格式目录，为便于评标委员会评审，</w:t>
      </w:r>
      <w:r>
        <w:rPr>
          <w:rFonts w:hint="eastAsia" w:ascii="宋体" w:hAnsi="宋体" w:eastAsia="宋体" w:cs="宋体"/>
          <w:color w:val="000000"/>
          <w:szCs w:val="21"/>
          <w:highlight w:val="none"/>
          <w:lang w:val="zh-CN"/>
        </w:rPr>
        <w:t>投标人可自行编制目录并编制页码。</w:t>
      </w:r>
    </w:p>
    <w:p w14:paraId="5914B5D2">
      <w:pPr>
        <w:rPr>
          <w:rFonts w:hint="eastAsia" w:ascii="宋体" w:hAnsi="宋体" w:eastAsia="宋体" w:cs="宋体"/>
          <w:color w:val="000000"/>
          <w:highlight w:val="none"/>
        </w:rPr>
      </w:pPr>
    </w:p>
    <w:p w14:paraId="2863A4C6">
      <w:pPr>
        <w:rPr>
          <w:rFonts w:hint="eastAsia" w:ascii="宋体" w:hAnsi="宋体" w:eastAsia="宋体" w:cs="宋体"/>
          <w:color w:val="000000"/>
          <w:highlight w:val="none"/>
        </w:rPr>
      </w:pPr>
    </w:p>
    <w:p w14:paraId="7FBE469D">
      <w:pPr>
        <w:rPr>
          <w:rFonts w:hint="eastAsia" w:ascii="宋体" w:hAnsi="宋体" w:eastAsia="宋体" w:cs="宋体"/>
          <w:color w:val="000000"/>
          <w:highlight w:val="none"/>
        </w:rPr>
      </w:pPr>
    </w:p>
    <w:p w14:paraId="15939BC3">
      <w:pPr>
        <w:rPr>
          <w:rFonts w:hint="eastAsia" w:ascii="宋体" w:hAnsi="宋体" w:eastAsia="宋体" w:cs="宋体"/>
          <w:color w:val="000000"/>
          <w:highlight w:val="none"/>
        </w:rPr>
      </w:pPr>
    </w:p>
    <w:p w14:paraId="413A7D0E">
      <w:pPr>
        <w:rPr>
          <w:rFonts w:hint="eastAsia" w:ascii="宋体" w:hAnsi="宋体" w:eastAsia="宋体" w:cs="宋体"/>
          <w:color w:val="000000"/>
          <w:highlight w:val="none"/>
        </w:rPr>
      </w:pPr>
    </w:p>
    <w:p w14:paraId="064BD4CC">
      <w:pPr>
        <w:rPr>
          <w:rFonts w:hint="eastAsia" w:ascii="宋体" w:hAnsi="宋体" w:eastAsia="宋体" w:cs="宋体"/>
          <w:color w:val="000000"/>
          <w:highlight w:val="none"/>
        </w:rPr>
      </w:pPr>
    </w:p>
    <w:p w14:paraId="2D91A35A">
      <w:pPr>
        <w:bidi w:val="0"/>
        <w:rPr>
          <w:rFonts w:hint="eastAsia" w:ascii="宋体" w:hAnsi="宋体" w:eastAsia="宋体" w:cs="宋体"/>
          <w:color w:val="000000"/>
        </w:rPr>
      </w:pPr>
    </w:p>
    <w:p w14:paraId="452A58A3">
      <w:pPr>
        <w:bidi w:val="0"/>
        <w:rPr>
          <w:rFonts w:hint="eastAsia" w:ascii="宋体" w:hAnsi="宋体" w:eastAsia="宋体" w:cs="宋体"/>
          <w:color w:val="000000"/>
        </w:rPr>
      </w:pPr>
    </w:p>
    <w:p w14:paraId="428A526F">
      <w:pPr>
        <w:bidi w:val="0"/>
        <w:rPr>
          <w:rFonts w:hint="eastAsia" w:ascii="宋体" w:hAnsi="宋体" w:eastAsia="宋体" w:cs="宋体"/>
          <w:color w:val="000000"/>
        </w:rPr>
      </w:pPr>
    </w:p>
    <w:p w14:paraId="6CA2972C">
      <w:pPr>
        <w:bidi w:val="0"/>
        <w:rPr>
          <w:rFonts w:hint="eastAsia" w:ascii="宋体" w:hAnsi="宋体" w:eastAsia="宋体" w:cs="宋体"/>
          <w:color w:val="000000"/>
        </w:rPr>
      </w:pPr>
    </w:p>
    <w:p w14:paraId="4C83D3A9">
      <w:pPr>
        <w:bidi w:val="0"/>
        <w:rPr>
          <w:rFonts w:hint="eastAsia" w:ascii="宋体" w:hAnsi="宋体" w:eastAsia="宋体" w:cs="宋体"/>
          <w:color w:val="000000"/>
        </w:rPr>
      </w:pPr>
    </w:p>
    <w:p w14:paraId="0E8F53AA">
      <w:pPr>
        <w:bidi w:val="0"/>
        <w:rPr>
          <w:rFonts w:hint="eastAsia" w:ascii="宋体" w:hAnsi="宋体" w:eastAsia="宋体" w:cs="宋体"/>
          <w:color w:val="000000"/>
        </w:rPr>
      </w:pPr>
    </w:p>
    <w:p w14:paraId="5A4CE243">
      <w:pPr>
        <w:bidi w:val="0"/>
        <w:rPr>
          <w:rFonts w:hint="eastAsia" w:ascii="宋体" w:hAnsi="宋体" w:eastAsia="宋体" w:cs="宋体"/>
          <w:color w:val="000000"/>
        </w:rPr>
      </w:pPr>
    </w:p>
    <w:p w14:paraId="1CA99AEB">
      <w:pPr>
        <w:bidi w:val="0"/>
        <w:rPr>
          <w:rFonts w:hint="eastAsia" w:ascii="宋体" w:hAnsi="宋体" w:eastAsia="宋体" w:cs="宋体"/>
          <w:color w:val="000000"/>
        </w:rPr>
      </w:pPr>
    </w:p>
    <w:p w14:paraId="0DE4A905">
      <w:pPr>
        <w:bidi w:val="0"/>
        <w:rPr>
          <w:rFonts w:hint="eastAsia" w:ascii="宋体" w:hAnsi="宋体" w:eastAsia="宋体" w:cs="宋体"/>
          <w:color w:val="000000"/>
        </w:rPr>
      </w:pPr>
    </w:p>
    <w:p w14:paraId="24B58A2D">
      <w:pPr>
        <w:bidi w:val="0"/>
        <w:rPr>
          <w:rFonts w:hint="eastAsia" w:ascii="宋体" w:hAnsi="宋体" w:eastAsia="宋体" w:cs="宋体"/>
          <w:color w:val="000000"/>
        </w:rPr>
      </w:pPr>
    </w:p>
    <w:p w14:paraId="05F4F3E8">
      <w:pPr>
        <w:bidi w:val="0"/>
        <w:rPr>
          <w:rFonts w:hint="eastAsia" w:ascii="宋体" w:hAnsi="宋体" w:eastAsia="宋体" w:cs="宋体"/>
          <w:color w:val="000000"/>
        </w:rPr>
      </w:pPr>
    </w:p>
    <w:p w14:paraId="38D90CBE">
      <w:pPr>
        <w:bidi w:val="0"/>
        <w:rPr>
          <w:rFonts w:hint="eastAsia" w:ascii="宋体" w:hAnsi="宋体" w:eastAsia="宋体" w:cs="宋体"/>
          <w:color w:val="000000"/>
        </w:rPr>
      </w:pPr>
    </w:p>
    <w:p w14:paraId="337ACB67">
      <w:pPr>
        <w:bidi w:val="0"/>
        <w:rPr>
          <w:rFonts w:hint="eastAsia" w:ascii="宋体" w:hAnsi="宋体" w:eastAsia="宋体" w:cs="宋体"/>
          <w:color w:val="000000"/>
        </w:rPr>
      </w:pPr>
    </w:p>
    <w:p w14:paraId="51B6C849">
      <w:pPr>
        <w:bidi w:val="0"/>
        <w:rPr>
          <w:rFonts w:hint="eastAsia" w:ascii="宋体" w:hAnsi="宋体" w:eastAsia="宋体" w:cs="宋体"/>
          <w:color w:val="000000"/>
        </w:rPr>
      </w:pPr>
    </w:p>
    <w:p w14:paraId="20979EA6">
      <w:pPr>
        <w:bidi w:val="0"/>
        <w:rPr>
          <w:rFonts w:hint="eastAsia" w:ascii="宋体" w:hAnsi="宋体" w:eastAsia="宋体" w:cs="宋体"/>
          <w:color w:val="000000"/>
        </w:rPr>
      </w:pPr>
    </w:p>
    <w:p w14:paraId="37557A2D">
      <w:pPr>
        <w:bidi w:val="0"/>
        <w:rPr>
          <w:rFonts w:hint="eastAsia" w:ascii="宋体" w:hAnsi="宋体" w:eastAsia="宋体" w:cs="宋体"/>
          <w:color w:val="000000"/>
        </w:rPr>
      </w:pPr>
    </w:p>
    <w:p w14:paraId="48BE315E">
      <w:pPr>
        <w:spacing w:before="156" w:beforeLines="50" w:after="156" w:afterLines="50" w:line="540" w:lineRule="exact"/>
        <w:jc w:val="center"/>
        <w:outlineLvl w:val="9"/>
        <w:rPr>
          <w:rFonts w:hint="eastAsia" w:ascii="宋体" w:hAnsi="宋体" w:eastAsia="宋体" w:cs="宋体"/>
          <w:b/>
          <w:color w:val="000000"/>
          <w:sz w:val="30"/>
          <w:szCs w:val="30"/>
          <w:highlight w:val="none"/>
        </w:rPr>
      </w:pPr>
      <w:bookmarkStart w:id="157" w:name="_Toc5492"/>
    </w:p>
    <w:p w14:paraId="4FE8207E">
      <w:pPr>
        <w:spacing w:before="156" w:beforeLines="50" w:after="156" w:afterLines="50" w:line="540" w:lineRule="exact"/>
        <w:jc w:val="center"/>
        <w:outlineLvl w:val="9"/>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一、投标函</w:t>
      </w:r>
      <w:bookmarkEnd w:id="157"/>
    </w:p>
    <w:p w14:paraId="2C2A3912">
      <w:pPr>
        <w:spacing w:line="500" w:lineRule="exact"/>
        <w:outlineLvl w:val="9"/>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u w:val="single"/>
        </w:rPr>
        <w:t xml:space="preserve">                    （招标人）</w:t>
      </w:r>
      <w:r>
        <w:rPr>
          <w:rFonts w:hint="eastAsia" w:ascii="宋体" w:hAnsi="宋体" w:eastAsia="宋体" w:cs="宋体"/>
          <w:color w:val="000000"/>
          <w:spacing w:val="2"/>
          <w:sz w:val="24"/>
          <w:highlight w:val="none"/>
        </w:rPr>
        <w:t>：</w:t>
      </w:r>
    </w:p>
    <w:p w14:paraId="258359BB">
      <w:pPr>
        <w:spacing w:line="500" w:lineRule="exact"/>
        <w:ind w:firstLine="567"/>
        <w:jc w:val="left"/>
        <w:outlineLvl w:val="9"/>
        <w:rPr>
          <w:rFonts w:hint="eastAsia" w:ascii="宋体" w:hAnsi="宋体" w:eastAsia="宋体" w:cs="宋体"/>
          <w:color w:val="000000"/>
          <w:spacing w:val="2"/>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pacing w:val="2"/>
          <w:sz w:val="24"/>
          <w:highlight w:val="none"/>
        </w:rPr>
        <w:t>.我方已仔细研究了</w:t>
      </w:r>
      <w:r>
        <w:rPr>
          <w:rFonts w:hint="eastAsia" w:ascii="宋体" w:hAnsi="宋体" w:eastAsia="宋体" w:cs="宋体"/>
          <w:color w:val="000000"/>
          <w:spacing w:val="2"/>
          <w:sz w:val="24"/>
          <w:highlight w:val="none"/>
          <w:u w:val="single"/>
        </w:rPr>
        <w:t xml:space="preserve">   </w:t>
      </w:r>
      <w:r>
        <w:rPr>
          <w:rFonts w:hint="eastAsia" w:ascii="宋体" w:hAnsi="宋体" w:eastAsia="宋体" w:cs="宋体"/>
          <w:color w:val="000000"/>
          <w:sz w:val="24"/>
          <w:highlight w:val="none"/>
          <w:u w:val="single"/>
        </w:rPr>
        <w:t>（项目名称）</w:t>
      </w:r>
      <w:r>
        <w:rPr>
          <w:rFonts w:hint="eastAsia" w:ascii="宋体" w:hAnsi="宋体" w:eastAsia="宋体" w:cs="宋体"/>
          <w:color w:val="000000"/>
          <w:spacing w:val="2"/>
          <w:sz w:val="24"/>
          <w:highlight w:val="none"/>
          <w:u w:val="single"/>
        </w:rPr>
        <w:t xml:space="preserve">              </w:t>
      </w:r>
      <w:r>
        <w:rPr>
          <w:rFonts w:hint="eastAsia" w:ascii="宋体" w:hAnsi="宋体" w:eastAsia="宋体" w:cs="宋体"/>
          <w:color w:val="000000"/>
          <w:spacing w:val="2"/>
          <w:sz w:val="24"/>
          <w:highlight w:val="none"/>
        </w:rPr>
        <w:t>招标文件的全部内容并察勘了现场，决定参与该工程的投标，勘察</w:t>
      </w:r>
      <w:r>
        <w:rPr>
          <w:rFonts w:hint="eastAsia" w:ascii="宋体" w:hAnsi="宋体" w:eastAsia="宋体" w:cs="宋体"/>
          <w:color w:val="000000"/>
          <w:spacing w:val="-3"/>
          <w:sz w:val="24"/>
          <w:highlight w:val="none"/>
        </w:rPr>
        <w:t>设</w:t>
      </w:r>
      <w:r>
        <w:rPr>
          <w:rFonts w:hint="eastAsia" w:ascii="宋体" w:hAnsi="宋体" w:eastAsia="宋体" w:cs="宋体"/>
          <w:color w:val="000000"/>
          <w:sz w:val="24"/>
          <w:highlight w:val="none"/>
        </w:rPr>
        <w:t>计</w:t>
      </w:r>
      <w:r>
        <w:rPr>
          <w:rFonts w:hint="eastAsia" w:ascii="宋体" w:hAnsi="宋体" w:eastAsia="宋体" w:cs="宋体"/>
          <w:color w:val="000000"/>
          <w:spacing w:val="-3"/>
          <w:sz w:val="24"/>
          <w:highlight w:val="none"/>
        </w:rPr>
        <w:t>服</w:t>
      </w:r>
      <w:r>
        <w:rPr>
          <w:rFonts w:hint="eastAsia" w:ascii="宋体" w:hAnsi="宋体" w:eastAsia="宋体" w:cs="宋体"/>
          <w:color w:val="000000"/>
          <w:sz w:val="24"/>
          <w:highlight w:val="none"/>
        </w:rPr>
        <w:t>务期</w:t>
      </w:r>
      <w:r>
        <w:rPr>
          <w:rFonts w:hint="eastAsia" w:ascii="宋体" w:hAnsi="宋体" w:eastAsia="宋体" w:cs="宋体"/>
          <w:color w:val="000000"/>
          <w:spacing w:val="-3"/>
          <w:sz w:val="24"/>
          <w:highlight w:val="none"/>
        </w:rPr>
        <w:t>限</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rPr>
        <w:t>日</w:t>
      </w:r>
      <w:r>
        <w:rPr>
          <w:rFonts w:hint="eastAsia" w:ascii="宋体" w:hAnsi="宋体" w:eastAsia="宋体" w:cs="宋体"/>
          <w:color w:val="000000"/>
          <w:spacing w:val="-3"/>
          <w:sz w:val="24"/>
          <w:highlight w:val="none"/>
        </w:rPr>
        <w:t>历</w:t>
      </w:r>
      <w:r>
        <w:rPr>
          <w:rFonts w:hint="eastAsia" w:ascii="宋体" w:hAnsi="宋体" w:eastAsia="宋体" w:cs="宋体"/>
          <w:color w:val="000000"/>
          <w:sz w:val="24"/>
          <w:highlight w:val="none"/>
        </w:rPr>
        <w:t>天</w:t>
      </w:r>
      <w:r>
        <w:rPr>
          <w:rFonts w:hint="eastAsia" w:ascii="宋体" w:hAnsi="宋体" w:eastAsia="宋体" w:cs="宋体"/>
          <w:color w:val="000000"/>
          <w:spacing w:val="-3"/>
          <w:sz w:val="24"/>
          <w:highlight w:val="none"/>
        </w:rPr>
        <w:t>。</w:t>
      </w:r>
      <w:r>
        <w:rPr>
          <w:rFonts w:hint="eastAsia" w:ascii="宋体" w:hAnsi="宋体" w:eastAsia="宋体" w:cs="宋体"/>
          <w:color w:val="000000"/>
          <w:spacing w:val="2"/>
          <w:sz w:val="24"/>
          <w:highlight w:val="none"/>
        </w:rPr>
        <w:t>我方将按照招标文件的有关规定完成合同规定的全部工作，并承担相关责任。</w:t>
      </w:r>
    </w:p>
    <w:p w14:paraId="129E27B5">
      <w:pPr>
        <w:spacing w:line="500" w:lineRule="exact"/>
        <w:ind w:firstLine="567"/>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提交的投标文件（包括投标报价书和其他投标文件）直至投标有效期满，在此期间被你方接受的上述文件对我方一直具有约束力。我方保证在投标文件有效期内不撤回投标文件，除招标文件另有规定外，不修改投标文件。</w:t>
      </w:r>
    </w:p>
    <w:p w14:paraId="68335E0A">
      <w:pPr>
        <w:spacing w:line="500" w:lineRule="exact"/>
        <w:ind w:firstLine="567"/>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3.随同本投标函递交投标保证金一份，金额为人民币（大写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6F50CDDD">
      <w:pPr>
        <w:spacing w:line="500" w:lineRule="exact"/>
        <w:ind w:firstLine="567"/>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4.若我方中标，我方保证在收到中标通知书后，按中标通知规定的期限，及时派代表前去签订合同</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并承诺在合同签订时不向你方提出附加条件，在合同规定的期限内完成合同规定的全部义务</w:t>
      </w:r>
      <w:r>
        <w:rPr>
          <w:rFonts w:hint="eastAsia" w:ascii="宋体" w:hAnsi="宋体" w:eastAsia="宋体" w:cs="宋体"/>
          <w:color w:val="000000"/>
          <w:sz w:val="24"/>
          <w:highlight w:val="none"/>
        </w:rPr>
        <w:t>。</w:t>
      </w:r>
    </w:p>
    <w:p w14:paraId="0F838210">
      <w:pPr>
        <w:spacing w:line="500" w:lineRule="exact"/>
        <w:ind w:firstLine="567"/>
        <w:outlineLvl w:val="9"/>
        <w:rPr>
          <w:rFonts w:hint="eastAsia" w:ascii="宋体" w:hAnsi="宋体" w:eastAsia="宋体" w:cs="宋体"/>
          <w:color w:val="000000"/>
          <w:sz w:val="24"/>
          <w:highlight w:val="none"/>
        </w:rPr>
      </w:pPr>
      <w:bookmarkStart w:id="158" w:name="_Toc2260"/>
      <w:r>
        <w:rPr>
          <w:rFonts w:hint="eastAsia" w:ascii="宋体" w:hAnsi="宋体" w:eastAsia="宋体" w:cs="宋体"/>
          <w:color w:val="000000"/>
          <w:sz w:val="24"/>
          <w:highlight w:val="none"/>
        </w:rPr>
        <w:t>5.我方完全理解你方不保证投标价最低的投标人中标。</w:t>
      </w:r>
      <w:bookmarkEnd w:id="158"/>
    </w:p>
    <w:p w14:paraId="1C3B368C">
      <w:pPr>
        <w:spacing w:line="500" w:lineRule="exact"/>
        <w:ind w:firstLine="567"/>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6.我方在此声明，所递交的投标文件及有关资料内容完整、真实和准确，且不存在第二章“投标人须知”第 1.4.3 项规定的任何一种情形。</w:t>
      </w:r>
    </w:p>
    <w:p w14:paraId="50C1B47A">
      <w:pPr>
        <w:spacing w:line="500" w:lineRule="exact"/>
        <w:ind w:firstLine="567"/>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u w:val="single"/>
        </w:rPr>
        <w:t>（其它补充说明）</w:t>
      </w:r>
      <w:r>
        <w:rPr>
          <w:rFonts w:hint="eastAsia" w:ascii="宋体" w:hAnsi="宋体" w:eastAsia="宋体" w:cs="宋体"/>
          <w:color w:val="000000"/>
          <w:sz w:val="24"/>
          <w:highlight w:val="none"/>
        </w:rPr>
        <w:t>。</w:t>
      </w:r>
    </w:p>
    <w:p w14:paraId="048FD6C3">
      <w:pPr>
        <w:pStyle w:val="7"/>
        <w:tabs>
          <w:tab w:val="left" w:pos="7381"/>
        </w:tabs>
        <w:wordWrap w:val="0"/>
        <w:adjustRightInd w:val="0"/>
        <w:snapToGrid w:val="0"/>
        <w:spacing w:before="7"/>
        <w:ind w:left="2761"/>
        <w:outlineLvl w:val="9"/>
        <w:rPr>
          <w:rFonts w:hint="eastAsia" w:ascii="宋体" w:hAnsi="宋体" w:eastAsia="宋体" w:cs="宋体"/>
          <w:color w:val="000000"/>
          <w:sz w:val="24"/>
          <w:szCs w:val="24"/>
          <w:highlight w:val="none"/>
        </w:rPr>
      </w:pPr>
    </w:p>
    <w:p w14:paraId="4539500A">
      <w:pPr>
        <w:pStyle w:val="7"/>
        <w:tabs>
          <w:tab w:val="left" w:pos="7381"/>
        </w:tabs>
        <w:wordWrap w:val="0"/>
        <w:adjustRightInd w:val="0"/>
        <w:snapToGrid w:val="0"/>
        <w:spacing w:before="7"/>
        <w:ind w:left="2761"/>
        <w:outlineLvl w:val="9"/>
        <w:rPr>
          <w:rFonts w:hint="eastAsia" w:ascii="宋体" w:hAnsi="宋体" w:eastAsia="宋体" w:cs="宋体"/>
          <w:color w:val="000000"/>
          <w:sz w:val="24"/>
          <w:szCs w:val="24"/>
          <w:highlight w:val="none"/>
        </w:rPr>
      </w:pPr>
    </w:p>
    <w:p w14:paraId="7F338BDF">
      <w:pPr>
        <w:pStyle w:val="7"/>
        <w:tabs>
          <w:tab w:val="left" w:pos="7381"/>
        </w:tabs>
        <w:wordWrap w:val="0"/>
        <w:adjustRightInd w:val="0"/>
        <w:snapToGrid w:val="0"/>
        <w:spacing w:before="7"/>
        <w:ind w:left="2761"/>
        <w:outlineLvl w:val="9"/>
        <w:rPr>
          <w:rFonts w:hint="eastAsia" w:ascii="宋体" w:hAnsi="宋体" w:eastAsia="宋体" w:cs="宋体"/>
          <w:color w:val="000000"/>
          <w:sz w:val="24"/>
          <w:szCs w:val="24"/>
          <w:highlight w:val="none"/>
        </w:rPr>
      </w:pPr>
    </w:p>
    <w:p w14:paraId="270D9589">
      <w:pPr>
        <w:pStyle w:val="7"/>
        <w:tabs>
          <w:tab w:val="left" w:pos="7381"/>
        </w:tabs>
        <w:wordWrap w:val="0"/>
        <w:adjustRightInd w:val="0"/>
        <w:snapToGrid w:val="0"/>
        <w:spacing w:before="7"/>
        <w:ind w:left="2761"/>
        <w:outlineLvl w:val="9"/>
        <w:rPr>
          <w:rFonts w:hint="eastAsia" w:ascii="宋体" w:hAnsi="宋体" w:eastAsia="宋体" w:cs="宋体"/>
          <w:color w:val="000000"/>
          <w:sz w:val="24"/>
          <w:szCs w:val="24"/>
          <w:highlight w:val="none"/>
        </w:rPr>
      </w:pPr>
    </w:p>
    <w:p w14:paraId="347B9B99">
      <w:pPr>
        <w:pStyle w:val="7"/>
        <w:tabs>
          <w:tab w:val="left" w:pos="7381"/>
        </w:tabs>
        <w:wordWrap w:val="0"/>
        <w:adjustRightInd w:val="0"/>
        <w:snapToGrid w:val="0"/>
        <w:spacing w:before="7" w:line="360" w:lineRule="auto"/>
        <w:ind w:left="2761"/>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  标</w:t>
      </w:r>
      <w:r>
        <w:rPr>
          <w:rFonts w:hint="eastAsia" w:ascii="宋体" w:hAnsi="宋体" w:eastAsia="宋体" w:cs="宋体"/>
          <w:color w:val="000000"/>
          <w:spacing w:val="45"/>
          <w:sz w:val="24"/>
          <w:szCs w:val="24"/>
          <w:highlight w:val="none"/>
        </w:rPr>
        <w:t xml:space="preserve"> </w:t>
      </w:r>
      <w:r>
        <w:rPr>
          <w:rFonts w:hint="eastAsia" w:ascii="宋体" w:hAnsi="宋体" w:eastAsia="宋体" w:cs="宋体"/>
          <w:color w:val="000000"/>
          <w:sz w:val="24"/>
          <w:szCs w:val="24"/>
          <w:highlight w:val="none"/>
        </w:rPr>
        <w:t>人</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pacing w:val="-3"/>
          <w:sz w:val="24"/>
          <w:szCs w:val="24"/>
          <w:highlight w:val="none"/>
          <w:u w:val="single"/>
        </w:rPr>
        <w:t xml:space="preserve"> </w:t>
      </w:r>
      <w:r>
        <w:rPr>
          <w:rFonts w:hint="eastAsia" w:ascii="宋体" w:hAnsi="宋体" w:eastAsia="宋体" w:cs="宋体"/>
          <w:color w:val="000000"/>
          <w:spacing w:val="-3"/>
          <w:sz w:val="24"/>
          <w:szCs w:val="24"/>
          <w:highlight w:val="none"/>
          <w:u w:val="single"/>
        </w:rPr>
        <w:tab/>
      </w:r>
      <w:r>
        <w:rPr>
          <w:rFonts w:hint="eastAsia" w:ascii="宋体" w:hAnsi="宋体" w:eastAsia="宋体" w:cs="宋体"/>
          <w:color w:val="000000"/>
          <w:sz w:val="24"/>
          <w:szCs w:val="24"/>
          <w:highlight w:val="none"/>
        </w:rPr>
        <w:t>（盖</w:t>
      </w:r>
      <w:r>
        <w:rPr>
          <w:rFonts w:hint="eastAsia" w:ascii="宋体" w:hAnsi="宋体" w:eastAsia="宋体" w:cs="宋体"/>
          <w:color w:val="000000"/>
          <w:spacing w:val="-3"/>
          <w:sz w:val="24"/>
          <w:szCs w:val="24"/>
          <w:highlight w:val="none"/>
        </w:rPr>
        <w:t>单</w:t>
      </w:r>
      <w:r>
        <w:rPr>
          <w:rFonts w:hint="eastAsia" w:ascii="宋体" w:hAnsi="宋体" w:eastAsia="宋体" w:cs="宋体"/>
          <w:color w:val="000000"/>
          <w:sz w:val="24"/>
          <w:szCs w:val="24"/>
          <w:highlight w:val="none"/>
        </w:rPr>
        <w:t>位</w:t>
      </w:r>
      <w:r>
        <w:rPr>
          <w:rFonts w:hint="eastAsia" w:ascii="宋体" w:hAnsi="宋体" w:eastAsia="宋体" w:cs="宋体"/>
          <w:color w:val="000000"/>
          <w:spacing w:val="-3"/>
          <w:sz w:val="24"/>
          <w:szCs w:val="24"/>
          <w:highlight w:val="none"/>
        </w:rPr>
        <w:t>章</w:t>
      </w:r>
      <w:r>
        <w:rPr>
          <w:rFonts w:hint="eastAsia" w:ascii="宋体" w:hAnsi="宋体" w:eastAsia="宋体" w:cs="宋体"/>
          <w:color w:val="000000"/>
          <w:sz w:val="24"/>
          <w:szCs w:val="24"/>
          <w:highlight w:val="none"/>
        </w:rPr>
        <w:t>）</w:t>
      </w:r>
    </w:p>
    <w:p w14:paraId="4081B99B">
      <w:pPr>
        <w:pStyle w:val="7"/>
        <w:tabs>
          <w:tab w:val="left" w:pos="7360"/>
        </w:tabs>
        <w:wordWrap w:val="0"/>
        <w:adjustRightInd w:val="0"/>
        <w:snapToGrid w:val="0"/>
        <w:spacing w:before="18" w:line="360" w:lineRule="auto"/>
        <w:ind w:firstLine="2498" w:firstLineChars="1041"/>
        <w:outlineLvl w:val="9"/>
        <w:rPr>
          <w:rFonts w:hint="eastAsia" w:ascii="宋体" w:hAnsi="宋体" w:eastAsia="宋体" w:cs="宋体"/>
          <w:color w:val="000000"/>
          <w:sz w:val="24"/>
          <w:szCs w:val="24"/>
          <w:highlight w:val="none"/>
        </w:rPr>
      </w:pPr>
      <w:bookmarkStart w:id="159" w:name="_Toc2714"/>
      <w:r>
        <w:rPr>
          <w:rFonts w:hint="eastAsia" w:ascii="宋体" w:hAnsi="宋体" w:eastAsia="宋体" w:cs="宋体"/>
          <w:color w:val="000000"/>
          <w:sz w:val="24"/>
          <w:szCs w:val="24"/>
          <w:highlight w:val="none"/>
        </w:rPr>
        <w:t>法</w:t>
      </w:r>
      <w:r>
        <w:rPr>
          <w:rFonts w:hint="eastAsia" w:ascii="宋体" w:hAnsi="宋体" w:eastAsia="宋体" w:cs="宋体"/>
          <w:color w:val="000000"/>
          <w:spacing w:val="-3"/>
          <w:sz w:val="24"/>
          <w:szCs w:val="24"/>
          <w:highlight w:val="none"/>
        </w:rPr>
        <w:t>定</w:t>
      </w:r>
      <w:r>
        <w:rPr>
          <w:rFonts w:hint="eastAsia" w:ascii="宋体" w:hAnsi="宋体" w:eastAsia="宋体" w:cs="宋体"/>
          <w:color w:val="000000"/>
          <w:sz w:val="24"/>
          <w:szCs w:val="24"/>
          <w:highlight w:val="none"/>
        </w:rPr>
        <w:t>代</w:t>
      </w:r>
      <w:r>
        <w:rPr>
          <w:rFonts w:hint="eastAsia" w:ascii="宋体" w:hAnsi="宋体" w:eastAsia="宋体" w:cs="宋体"/>
          <w:color w:val="000000"/>
          <w:spacing w:val="-3"/>
          <w:sz w:val="24"/>
          <w:szCs w:val="24"/>
          <w:highlight w:val="none"/>
        </w:rPr>
        <w:t>表</w:t>
      </w:r>
      <w:r>
        <w:rPr>
          <w:rFonts w:hint="eastAsia" w:ascii="宋体" w:hAnsi="宋体" w:eastAsia="宋体" w:cs="宋体"/>
          <w:color w:val="000000"/>
          <w:sz w:val="24"/>
          <w:szCs w:val="24"/>
          <w:highlight w:val="none"/>
        </w:rPr>
        <w:t>人</w:t>
      </w:r>
      <w:r>
        <w:rPr>
          <w:rFonts w:hint="eastAsia" w:ascii="宋体" w:hAnsi="宋体" w:eastAsia="宋体" w:cs="宋体"/>
          <w:color w:val="000000"/>
          <w:spacing w:val="-3"/>
          <w:sz w:val="24"/>
          <w:szCs w:val="24"/>
          <w:highlight w:val="none"/>
        </w:rPr>
        <w:t>或</w:t>
      </w:r>
      <w:r>
        <w:rPr>
          <w:rFonts w:hint="eastAsia" w:ascii="宋体" w:hAnsi="宋体" w:eastAsia="宋体" w:cs="宋体"/>
          <w:color w:val="000000"/>
          <w:sz w:val="24"/>
          <w:szCs w:val="24"/>
          <w:highlight w:val="none"/>
        </w:rPr>
        <w:t>其</w:t>
      </w:r>
      <w:r>
        <w:rPr>
          <w:rFonts w:hint="eastAsia" w:ascii="宋体" w:hAnsi="宋体" w:eastAsia="宋体" w:cs="宋体"/>
          <w:color w:val="000000"/>
          <w:spacing w:val="-3"/>
          <w:sz w:val="24"/>
          <w:szCs w:val="24"/>
          <w:highlight w:val="none"/>
        </w:rPr>
        <w:t>委</w:t>
      </w:r>
      <w:r>
        <w:rPr>
          <w:rFonts w:hint="eastAsia" w:ascii="宋体" w:hAnsi="宋体" w:eastAsia="宋体" w:cs="宋体"/>
          <w:color w:val="000000"/>
          <w:sz w:val="24"/>
          <w:szCs w:val="24"/>
          <w:highlight w:val="none"/>
        </w:rPr>
        <w:t>托</w:t>
      </w:r>
      <w:r>
        <w:rPr>
          <w:rFonts w:hint="eastAsia" w:ascii="宋体" w:hAnsi="宋体" w:eastAsia="宋体" w:cs="宋体"/>
          <w:color w:val="000000"/>
          <w:spacing w:val="-3"/>
          <w:sz w:val="24"/>
          <w:szCs w:val="24"/>
          <w:highlight w:val="none"/>
        </w:rPr>
        <w:t>代理</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（签字或盖章）</w:t>
      </w:r>
      <w:bookmarkEnd w:id="159"/>
    </w:p>
    <w:p w14:paraId="6B2C7B67">
      <w:pPr>
        <w:pStyle w:val="7"/>
        <w:tabs>
          <w:tab w:val="left" w:pos="3392"/>
          <w:tab w:val="left" w:pos="8689"/>
        </w:tabs>
        <w:wordWrap w:val="0"/>
        <w:adjustRightInd w:val="0"/>
        <w:snapToGrid w:val="0"/>
        <w:spacing w:before="53" w:line="360" w:lineRule="auto"/>
        <w:ind w:left="2761"/>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址</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tab/>
      </w:r>
    </w:p>
    <w:p w14:paraId="4A651C0E">
      <w:pPr>
        <w:pStyle w:val="7"/>
        <w:tabs>
          <w:tab w:val="left" w:pos="3392"/>
          <w:tab w:val="left" w:pos="8689"/>
        </w:tabs>
        <w:wordWrap w:val="0"/>
        <w:adjustRightInd w:val="0"/>
        <w:snapToGrid w:val="0"/>
        <w:spacing w:before="55" w:line="360" w:lineRule="auto"/>
        <w:ind w:left="2761"/>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址</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tab/>
      </w:r>
    </w:p>
    <w:p w14:paraId="769BBA54">
      <w:pPr>
        <w:pStyle w:val="7"/>
        <w:tabs>
          <w:tab w:val="left" w:pos="3392"/>
          <w:tab w:val="left" w:pos="8689"/>
        </w:tabs>
        <w:wordWrap w:val="0"/>
        <w:adjustRightInd w:val="0"/>
        <w:snapToGrid w:val="0"/>
        <w:spacing w:before="53" w:line="360" w:lineRule="auto"/>
        <w:ind w:left="2761"/>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话</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tab/>
      </w:r>
    </w:p>
    <w:p w14:paraId="731E51B7">
      <w:pPr>
        <w:pStyle w:val="7"/>
        <w:tabs>
          <w:tab w:val="left" w:pos="3392"/>
          <w:tab w:val="left" w:pos="8689"/>
        </w:tabs>
        <w:wordWrap w:val="0"/>
        <w:adjustRightInd w:val="0"/>
        <w:snapToGrid w:val="0"/>
        <w:spacing w:before="53" w:line="360" w:lineRule="auto"/>
        <w:ind w:left="2761"/>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真</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tab/>
      </w:r>
    </w:p>
    <w:p w14:paraId="34A539EB">
      <w:pPr>
        <w:pStyle w:val="7"/>
        <w:tabs>
          <w:tab w:val="left" w:pos="8689"/>
        </w:tabs>
        <w:wordWrap w:val="0"/>
        <w:adjustRightInd w:val="0"/>
        <w:snapToGrid w:val="0"/>
        <w:spacing w:before="55" w:line="360" w:lineRule="auto"/>
        <w:ind w:left="2761"/>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w:t>
      </w:r>
      <w:r>
        <w:rPr>
          <w:rFonts w:hint="eastAsia" w:ascii="宋体" w:hAnsi="宋体" w:eastAsia="宋体" w:cs="宋体"/>
          <w:color w:val="000000"/>
          <w:spacing w:val="-3"/>
          <w:sz w:val="24"/>
          <w:szCs w:val="24"/>
          <w:highlight w:val="none"/>
        </w:rPr>
        <w:t>编</w:t>
      </w:r>
      <w:r>
        <w:rPr>
          <w:rFonts w:hint="eastAsia" w:ascii="宋体" w:hAnsi="宋体" w:eastAsia="宋体" w:cs="宋体"/>
          <w:color w:val="000000"/>
          <w:sz w:val="24"/>
          <w:szCs w:val="24"/>
          <w:highlight w:val="none"/>
        </w:rPr>
        <w:t>码</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tab/>
      </w:r>
    </w:p>
    <w:p w14:paraId="695BC922">
      <w:pPr>
        <w:wordWrap w:val="0"/>
        <w:adjustRightInd w:val="0"/>
        <w:snapToGrid w:val="0"/>
        <w:spacing w:line="360" w:lineRule="auto"/>
        <w:jc w:val="righ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rPr>
        <w:t>日</w:t>
      </w:r>
    </w:p>
    <w:p w14:paraId="69952804">
      <w:pPr>
        <w:bidi w:val="0"/>
        <w:rPr>
          <w:rFonts w:hint="eastAsia" w:ascii="宋体" w:hAnsi="宋体" w:eastAsia="宋体" w:cs="宋体"/>
          <w:color w:val="000000"/>
        </w:rPr>
      </w:pPr>
    </w:p>
    <w:p w14:paraId="78C0DFA7">
      <w:pPr>
        <w:bidi w:val="0"/>
        <w:rPr>
          <w:rFonts w:hint="eastAsia" w:ascii="宋体" w:hAnsi="宋体" w:eastAsia="宋体" w:cs="宋体"/>
          <w:color w:val="000000"/>
        </w:rPr>
      </w:pPr>
    </w:p>
    <w:p w14:paraId="21CF6F35">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color w:val="000000"/>
          <w:sz w:val="30"/>
          <w:szCs w:val="30"/>
          <w:highlight w:val="none"/>
        </w:rPr>
      </w:pPr>
      <w:bookmarkStart w:id="160" w:name="_Toc21831"/>
      <w:r>
        <w:rPr>
          <w:rFonts w:hint="eastAsia" w:ascii="宋体" w:hAnsi="宋体" w:eastAsia="宋体" w:cs="宋体"/>
          <w:b/>
          <w:color w:val="000000"/>
          <w:sz w:val="30"/>
          <w:szCs w:val="30"/>
          <w:highlight w:val="none"/>
        </w:rPr>
        <w:t>二、法定代表人身份证明书</w:t>
      </w:r>
      <w:bookmarkEnd w:id="160"/>
    </w:p>
    <w:p w14:paraId="5EC75891">
      <w:pPr>
        <w:adjustRightInd w:val="0"/>
        <w:snapToGrid w:val="0"/>
        <w:jc w:val="center"/>
        <w:outlineLvl w:val="9"/>
        <w:rPr>
          <w:rFonts w:hint="eastAsia" w:ascii="宋体" w:hAnsi="宋体" w:eastAsia="宋体" w:cs="宋体"/>
          <w:b/>
          <w:color w:val="000000"/>
          <w:sz w:val="36"/>
          <w:highlight w:val="none"/>
          <w:u w:val="single"/>
        </w:rPr>
      </w:pPr>
    </w:p>
    <w:p w14:paraId="1E10BB2B">
      <w:pPr>
        <w:snapToGrid w:val="0"/>
        <w:spacing w:line="560" w:lineRule="exact"/>
        <w:jc w:val="left"/>
        <w:outlineLvl w:val="9"/>
        <w:rPr>
          <w:rFonts w:hint="eastAsia" w:ascii="宋体" w:hAnsi="宋体" w:eastAsia="宋体" w:cs="宋体"/>
          <w:color w:val="000000"/>
          <w:highlight w:val="none"/>
          <w:u w:val="single"/>
        </w:rPr>
      </w:pPr>
    </w:p>
    <w:p w14:paraId="5F927D05">
      <w:pPr>
        <w:pStyle w:val="26"/>
        <w:snapToGrid w:val="0"/>
        <w:spacing w:after="100" w:afterAutospacing="1" w:line="360" w:lineRule="auto"/>
        <w:ind w:firstLine="600" w:firstLineChars="250"/>
        <w:jc w:val="both"/>
        <w:outlineLvl w:val="9"/>
        <w:rPr>
          <w:rFonts w:hint="eastAsia" w:ascii="宋体" w:hAnsi="宋体" w:eastAsia="宋体" w:cs="宋体"/>
          <w:color w:val="000000"/>
          <w:highlight w:val="none"/>
        </w:rPr>
      </w:pPr>
      <w:r>
        <w:rPr>
          <w:rFonts w:hint="eastAsia" w:ascii="宋体" w:hAnsi="宋体" w:eastAsia="宋体" w:cs="宋体"/>
          <w:color w:val="000000"/>
          <w:highlight w:val="none"/>
        </w:rPr>
        <w:t>投标人名称：</w:t>
      </w:r>
      <w:r>
        <w:rPr>
          <w:rFonts w:hint="eastAsia" w:ascii="宋体" w:hAnsi="宋体" w:eastAsia="宋体" w:cs="宋体"/>
          <w:color w:val="000000"/>
          <w:highlight w:val="none"/>
          <w:u w:val="single"/>
        </w:rPr>
        <w:t xml:space="preserve">                          </w:t>
      </w:r>
    </w:p>
    <w:p w14:paraId="41270E62">
      <w:pPr>
        <w:pStyle w:val="26"/>
        <w:snapToGrid w:val="0"/>
        <w:spacing w:after="100" w:afterAutospacing="1" w:line="360" w:lineRule="auto"/>
        <w:ind w:firstLine="616" w:firstLineChars="257"/>
        <w:outlineLvl w:val="9"/>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287AACE0">
      <w:pPr>
        <w:pStyle w:val="27"/>
        <w:snapToGrid w:val="0"/>
        <w:spacing w:after="100" w:afterAutospacing="1" w:line="360" w:lineRule="auto"/>
        <w:ind w:firstLine="616" w:firstLineChars="257"/>
        <w:outlineLvl w:val="9"/>
        <w:rPr>
          <w:rFonts w:hint="eastAsia" w:ascii="宋体" w:hAnsi="宋体" w:eastAsia="宋体" w:cs="宋体"/>
          <w:color w:val="000000"/>
          <w:highlight w:val="none"/>
          <w:u w:val="single"/>
        </w:rPr>
      </w:pPr>
      <w:r>
        <w:rPr>
          <w:rFonts w:hint="eastAsia" w:ascii="宋体" w:hAnsi="宋体" w:eastAsia="宋体" w:cs="宋体"/>
          <w:color w:val="000000"/>
          <w:highlight w:val="none"/>
        </w:rPr>
        <w:t>地    址：</w:t>
      </w:r>
      <w:r>
        <w:rPr>
          <w:rFonts w:hint="eastAsia" w:ascii="宋体" w:hAnsi="宋体" w:eastAsia="宋体" w:cs="宋体"/>
          <w:color w:val="000000"/>
          <w:highlight w:val="none"/>
          <w:u w:val="single"/>
        </w:rPr>
        <w:t xml:space="preserve">                            </w:t>
      </w:r>
    </w:p>
    <w:p w14:paraId="762EA9D5">
      <w:pPr>
        <w:pStyle w:val="24"/>
        <w:snapToGrid w:val="0"/>
        <w:spacing w:after="100" w:afterAutospacing="1" w:line="360" w:lineRule="auto"/>
        <w:ind w:firstLine="616" w:firstLineChars="257"/>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成立时间：</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年</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月</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日</w:t>
      </w:r>
    </w:p>
    <w:p w14:paraId="718970A2">
      <w:pPr>
        <w:pStyle w:val="24"/>
        <w:snapToGrid w:val="0"/>
        <w:spacing w:after="100" w:afterAutospacing="1" w:line="360" w:lineRule="auto"/>
        <w:ind w:firstLine="616" w:firstLineChars="257"/>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经营期限：</w:t>
      </w:r>
      <w:r>
        <w:rPr>
          <w:rFonts w:hint="eastAsia" w:ascii="宋体" w:hAnsi="宋体" w:eastAsia="宋体" w:cs="宋体"/>
          <w:color w:val="000000"/>
          <w:szCs w:val="24"/>
          <w:highlight w:val="none"/>
          <w:u w:val="single"/>
        </w:rPr>
        <w:t xml:space="preserve">                            </w:t>
      </w:r>
    </w:p>
    <w:p w14:paraId="4E5D0AFA">
      <w:pPr>
        <w:pStyle w:val="24"/>
        <w:snapToGrid w:val="0"/>
        <w:spacing w:after="100" w:afterAutospacing="1" w:line="360" w:lineRule="auto"/>
        <w:ind w:firstLine="616" w:firstLineChars="257"/>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姓名：</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 xml:space="preserve"> 性别：</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 xml:space="preserve"> 年龄：</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 xml:space="preserve"> </w:t>
      </w:r>
    </w:p>
    <w:p w14:paraId="74C2BF01">
      <w:pPr>
        <w:pStyle w:val="24"/>
        <w:snapToGrid w:val="0"/>
        <w:spacing w:after="100" w:afterAutospacing="1" w:line="360" w:lineRule="auto"/>
        <w:ind w:firstLine="616" w:firstLineChars="257"/>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身份证号码：</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职务：</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系</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(投标人名称)的法定代表人。</w:t>
      </w:r>
    </w:p>
    <w:p w14:paraId="01B623B3">
      <w:pPr>
        <w:pStyle w:val="24"/>
        <w:snapToGrid w:val="0"/>
        <w:spacing w:after="100" w:afterAutospacing="1" w:line="360" w:lineRule="auto"/>
        <w:ind w:firstLine="1027" w:firstLineChars="428"/>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特此证明。</w:t>
      </w:r>
    </w:p>
    <w:p w14:paraId="3BC8F0C7">
      <w:pPr>
        <w:pStyle w:val="24"/>
        <w:snapToGrid w:val="0"/>
        <w:spacing w:after="100" w:afterAutospacing="1" w:line="360" w:lineRule="auto"/>
        <w:outlineLvl w:val="9"/>
        <w:rPr>
          <w:rFonts w:hint="eastAsia" w:ascii="宋体" w:hAnsi="宋体" w:eastAsia="宋体" w:cs="宋体"/>
          <w:b/>
          <w:bCs/>
          <w:color w:val="000000"/>
          <w:sz w:val="28"/>
          <w:szCs w:val="28"/>
          <w:highlight w:val="none"/>
        </w:rPr>
      </w:pPr>
      <w:bookmarkStart w:id="161" w:name="_Toc6704"/>
      <w:r>
        <w:rPr>
          <w:rFonts w:hint="eastAsia" w:ascii="宋体" w:hAnsi="宋体" w:eastAsia="宋体" w:cs="宋体"/>
          <w:color w:val="000000"/>
          <w:highlight w:val="none"/>
        </w:rPr>
        <w:t>附：法定代表人身份证正面及背面</w:t>
      </w:r>
      <w:r>
        <w:rPr>
          <w:rFonts w:hint="eastAsia" w:ascii="宋体" w:hAnsi="宋体" w:eastAsia="宋体" w:cs="宋体"/>
          <w:b/>
          <w:bCs/>
          <w:color w:val="000000"/>
          <w:highlight w:val="none"/>
        </w:rPr>
        <w:t>彩色扫描件</w:t>
      </w:r>
      <w:bookmarkEnd w:id="161"/>
    </w:p>
    <w:p w14:paraId="24872306">
      <w:pPr>
        <w:pStyle w:val="24"/>
        <w:outlineLvl w:val="9"/>
        <w:rPr>
          <w:rFonts w:hint="eastAsia" w:ascii="宋体" w:hAnsi="宋体" w:eastAsia="宋体" w:cs="宋体"/>
          <w:b w:val="0"/>
          <w:bCs w:val="0"/>
          <w:color w:val="000000"/>
          <w:highlight w:val="none"/>
        </w:rPr>
      </w:pPr>
    </w:p>
    <w:tbl>
      <w:tblPr>
        <w:tblStyle w:val="15"/>
        <w:tblW w:w="0" w:type="auto"/>
        <w:tblInd w:w="1932"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49911C1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14:paraId="18955296">
            <w:pPr>
              <w:adjustRightInd w:val="0"/>
              <w:ind w:firstLine="502"/>
              <w:jc w:val="center"/>
              <w:outlineLvl w:val="9"/>
              <w:rPr>
                <w:rFonts w:hint="eastAsia" w:ascii="宋体" w:hAnsi="宋体" w:eastAsia="宋体" w:cs="宋体"/>
                <w:b w:val="0"/>
                <w:bCs w:val="0"/>
                <w:color w:val="000000"/>
                <w:highlight w:val="none"/>
              </w:rPr>
            </w:pPr>
          </w:p>
          <w:p w14:paraId="610E1306">
            <w:pPr>
              <w:adjustRightInd w:val="0"/>
              <w:ind w:firstLine="502"/>
              <w:jc w:val="center"/>
              <w:outlineLvl w:val="9"/>
              <w:rPr>
                <w:rFonts w:hint="eastAsia" w:ascii="宋体" w:hAnsi="宋体" w:eastAsia="宋体" w:cs="宋体"/>
                <w:b w:val="0"/>
                <w:bCs w:val="0"/>
                <w:color w:val="000000"/>
                <w:highlight w:val="none"/>
              </w:rPr>
            </w:pPr>
          </w:p>
          <w:p w14:paraId="57C6134C">
            <w:pPr>
              <w:pStyle w:val="24"/>
              <w:spacing w:after="100" w:afterAutospacing="1" w:line="360" w:lineRule="auto"/>
              <w:jc w:val="center"/>
              <w:outlineLvl w:val="9"/>
              <w:rPr>
                <w:rFonts w:hint="eastAsia" w:ascii="宋体" w:hAnsi="宋体" w:eastAsia="宋体" w:cs="宋体"/>
                <w:b/>
                <w:bCs/>
                <w:color w:val="000000"/>
                <w:highlight w:val="none"/>
              </w:rPr>
            </w:pPr>
            <w:r>
              <w:rPr>
                <w:rFonts w:hint="eastAsia" w:ascii="宋体" w:hAnsi="宋体" w:eastAsia="宋体" w:cs="宋体"/>
                <w:b w:val="0"/>
                <w:bCs w:val="0"/>
                <w:color w:val="000000"/>
                <w:highlight w:val="none"/>
              </w:rPr>
              <w:t>附法定代表人身份证正面及背面</w:t>
            </w:r>
            <w:r>
              <w:rPr>
                <w:rFonts w:hint="eastAsia" w:ascii="宋体" w:hAnsi="宋体" w:eastAsia="宋体" w:cs="宋体"/>
                <w:b/>
                <w:bCs/>
                <w:color w:val="000000"/>
                <w:highlight w:val="none"/>
              </w:rPr>
              <w:t>彩色扫描件</w:t>
            </w:r>
          </w:p>
          <w:p w14:paraId="533766C0">
            <w:pPr>
              <w:adjustRightInd w:val="0"/>
              <w:jc w:val="center"/>
              <w:outlineLvl w:val="9"/>
              <w:rPr>
                <w:rFonts w:hint="eastAsia" w:ascii="宋体" w:hAnsi="宋体" w:eastAsia="宋体" w:cs="宋体"/>
                <w:b w:val="0"/>
                <w:bCs w:val="0"/>
                <w:color w:val="000000"/>
                <w:highlight w:val="none"/>
              </w:rPr>
            </w:pPr>
          </w:p>
        </w:tc>
      </w:tr>
    </w:tbl>
    <w:p w14:paraId="629C8606">
      <w:pPr>
        <w:pStyle w:val="24"/>
        <w:outlineLvl w:val="9"/>
        <w:rPr>
          <w:rFonts w:hint="eastAsia" w:ascii="宋体" w:hAnsi="宋体" w:eastAsia="宋体" w:cs="宋体"/>
          <w:color w:val="000000"/>
          <w:highlight w:val="none"/>
        </w:rPr>
      </w:pPr>
    </w:p>
    <w:p w14:paraId="464697BA">
      <w:pPr>
        <w:pStyle w:val="28"/>
        <w:widowControl w:val="0"/>
        <w:adjustRightInd w:val="0"/>
        <w:spacing w:before="0" w:beforeAutospacing="0" w:after="0" w:afterAutospacing="0" w:line="300" w:lineRule="auto"/>
        <w:outlineLvl w:val="9"/>
        <w:rPr>
          <w:rFonts w:hint="eastAsia" w:ascii="宋体" w:hAnsi="宋体" w:eastAsia="宋体" w:cs="宋体"/>
          <w:color w:val="000000"/>
          <w:kern w:val="2"/>
          <w:highlight w:val="none"/>
        </w:rPr>
      </w:pPr>
    </w:p>
    <w:p w14:paraId="59D0B982">
      <w:pPr>
        <w:pStyle w:val="24"/>
        <w:spacing w:line="360" w:lineRule="auto"/>
        <w:ind w:firstLine="5280" w:firstLineChars="2200"/>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投标人：</w:t>
      </w: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(盖单位章)</w:t>
      </w:r>
    </w:p>
    <w:p w14:paraId="45958E54">
      <w:pPr>
        <w:adjustRightInd w:val="0"/>
        <w:spacing w:line="360" w:lineRule="auto"/>
        <w:ind w:firstLine="5280" w:firstLineChars="2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14C3AE45">
      <w:pPr>
        <w:snapToGrid w:val="0"/>
        <w:spacing w:line="560" w:lineRule="exact"/>
        <w:jc w:val="center"/>
        <w:outlineLvl w:val="9"/>
        <w:rPr>
          <w:rFonts w:hint="eastAsia" w:ascii="宋体" w:hAnsi="宋体" w:eastAsia="宋体" w:cs="宋体"/>
          <w:color w:val="000000"/>
          <w:szCs w:val="28"/>
          <w:highlight w:val="none"/>
        </w:rPr>
      </w:pPr>
      <w:r>
        <w:rPr>
          <w:rFonts w:hint="eastAsia" w:ascii="宋体" w:hAnsi="宋体" w:eastAsia="宋体" w:cs="宋体"/>
          <w:b/>
          <w:color w:val="000000"/>
          <w:sz w:val="24"/>
          <w:szCs w:val="24"/>
          <w:highlight w:val="none"/>
        </w:rPr>
        <w:br w:type="page"/>
      </w:r>
      <w:bookmarkStart w:id="162" w:name="_Toc24025"/>
      <w:r>
        <w:rPr>
          <w:rFonts w:hint="eastAsia" w:ascii="宋体" w:hAnsi="宋体" w:eastAsia="宋体" w:cs="宋体"/>
          <w:b/>
          <w:color w:val="000000"/>
          <w:sz w:val="30"/>
          <w:szCs w:val="30"/>
          <w:highlight w:val="none"/>
        </w:rPr>
        <w:t>三、授权委托书</w:t>
      </w:r>
      <w:bookmarkEnd w:id="162"/>
    </w:p>
    <w:p w14:paraId="15EE6BD8">
      <w:pPr>
        <w:snapToGrid w:val="0"/>
        <w:spacing w:after="312" w:afterLines="100" w:line="560" w:lineRule="exact"/>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（招标人）</w:t>
      </w:r>
      <w:r>
        <w:rPr>
          <w:rFonts w:hint="eastAsia" w:ascii="宋体" w:hAnsi="宋体" w:eastAsia="宋体" w:cs="宋体"/>
          <w:color w:val="000000"/>
          <w:sz w:val="24"/>
          <w:highlight w:val="none"/>
        </w:rPr>
        <w:t>：</w:t>
      </w:r>
    </w:p>
    <w:p w14:paraId="358F78D0">
      <w:pPr>
        <w:snapToGrid w:val="0"/>
        <w:spacing w:line="480" w:lineRule="auto"/>
        <w:ind w:firstLine="460" w:firstLineChars="192"/>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本人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（姓名）系 </w:t>
      </w:r>
      <w:r>
        <w:rPr>
          <w:rFonts w:hint="eastAsia" w:ascii="宋体" w:hAnsi="宋体" w:eastAsia="宋体" w:cs="宋体"/>
          <w:color w:val="000000"/>
          <w:sz w:val="24"/>
          <w:highlight w:val="none"/>
          <w:u w:val="single"/>
        </w:rPr>
        <w:t xml:space="preserve">       （投标人名称）</w:t>
      </w:r>
      <w:r>
        <w:rPr>
          <w:rFonts w:hint="eastAsia" w:ascii="宋体" w:hAnsi="宋体" w:eastAsia="宋体" w:cs="宋体"/>
          <w:color w:val="000000"/>
          <w:sz w:val="24"/>
          <w:highlight w:val="none"/>
        </w:rPr>
        <w:t>的法定代表人，现委托</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（姓名）为我方代理人。代表我单位就</w:t>
      </w:r>
      <w:r>
        <w:rPr>
          <w:rFonts w:hint="eastAsia" w:ascii="宋体" w:hAnsi="宋体" w:eastAsia="宋体" w:cs="宋体"/>
          <w:color w:val="000000"/>
          <w:sz w:val="24"/>
          <w:highlight w:val="none"/>
          <w:u w:val="single"/>
        </w:rPr>
        <w:t xml:space="preserve">                （项目名称）</w:t>
      </w:r>
      <w:r>
        <w:rPr>
          <w:rFonts w:hint="eastAsia" w:ascii="宋体" w:hAnsi="宋体" w:eastAsia="宋体" w:cs="宋体"/>
          <w:color w:val="000000"/>
          <w:sz w:val="24"/>
          <w:highlight w:val="none"/>
        </w:rPr>
        <w:t>签署、澄清、说明、补正、递交、撤回、修改该项目投标文件、进行谈判、签订合同和处理与之有关的一切事务，其法律后果由我方承担。</w:t>
      </w:r>
    </w:p>
    <w:p w14:paraId="3DCA4B1E">
      <w:pPr>
        <w:spacing w:line="360" w:lineRule="auto"/>
        <w:ind w:firstLine="588"/>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委托期限：</w:t>
      </w:r>
      <w:r>
        <w:rPr>
          <w:rFonts w:hint="eastAsia" w:ascii="宋体" w:hAnsi="宋体" w:eastAsia="宋体" w:cs="宋体"/>
          <w:color w:val="000000"/>
          <w:sz w:val="24"/>
          <w:highlight w:val="none"/>
          <w:u w:val="single"/>
        </w:rPr>
        <w:t>至投标有效期的期满之日止。</w:t>
      </w:r>
    </w:p>
    <w:p w14:paraId="4E0CB37F">
      <w:pPr>
        <w:spacing w:line="360" w:lineRule="auto"/>
        <w:ind w:firstLine="588"/>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14:paraId="19AACA20">
      <w:pPr>
        <w:spacing w:line="360" w:lineRule="auto"/>
        <w:ind w:firstLine="588"/>
        <w:outlineLvl w:val="9"/>
        <w:rPr>
          <w:rFonts w:hint="eastAsia" w:ascii="宋体" w:hAnsi="宋体" w:eastAsia="宋体" w:cs="宋体"/>
          <w:b/>
          <w:bCs/>
          <w:color w:val="000000"/>
          <w:sz w:val="24"/>
          <w:highlight w:val="none"/>
        </w:rPr>
      </w:pPr>
      <w:bookmarkStart w:id="163" w:name="_Toc6178"/>
      <w:r>
        <w:rPr>
          <w:rFonts w:hint="eastAsia" w:ascii="宋体" w:hAnsi="宋体" w:eastAsia="宋体" w:cs="宋体"/>
          <w:color w:val="000000"/>
          <w:sz w:val="24"/>
          <w:highlight w:val="none"/>
        </w:rPr>
        <w:t>附：法定代表人证明书、授权委托人身份证</w:t>
      </w:r>
      <w:r>
        <w:rPr>
          <w:rFonts w:hint="eastAsia" w:ascii="宋体" w:hAnsi="宋体" w:eastAsia="宋体" w:cs="宋体"/>
          <w:b/>
          <w:bCs/>
          <w:color w:val="000000"/>
          <w:sz w:val="24"/>
          <w:highlight w:val="none"/>
        </w:rPr>
        <w:t>彩色扫描件</w:t>
      </w:r>
      <w:bookmarkEnd w:id="163"/>
    </w:p>
    <w:tbl>
      <w:tblPr>
        <w:tblStyle w:val="15"/>
        <w:tblpPr w:leftFromText="180" w:rightFromText="180" w:vertAnchor="text" w:horzAnchor="page" w:tblpX="3522" w:tblpY="1105"/>
        <w:tblOverlap w:val="never"/>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7924768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14:paraId="0BC476A8">
            <w:pPr>
              <w:ind w:firstLine="502"/>
              <w:jc w:val="center"/>
              <w:outlineLvl w:val="9"/>
              <w:rPr>
                <w:rFonts w:hint="eastAsia" w:ascii="宋体" w:hAnsi="宋体" w:eastAsia="宋体" w:cs="宋体"/>
                <w:b w:val="0"/>
                <w:bCs w:val="0"/>
                <w:color w:val="000000"/>
                <w:highlight w:val="none"/>
              </w:rPr>
            </w:pPr>
          </w:p>
          <w:p w14:paraId="5F64D0B4">
            <w:pPr>
              <w:ind w:firstLine="502"/>
              <w:jc w:val="center"/>
              <w:outlineLvl w:val="9"/>
              <w:rPr>
                <w:rFonts w:hint="eastAsia" w:ascii="宋体" w:hAnsi="宋体" w:eastAsia="宋体" w:cs="宋体"/>
                <w:b w:val="0"/>
                <w:bCs w:val="0"/>
                <w:color w:val="000000"/>
                <w:highlight w:val="none"/>
              </w:rPr>
            </w:pPr>
          </w:p>
          <w:p w14:paraId="0798287C">
            <w:pPr>
              <w:pStyle w:val="24"/>
              <w:spacing w:after="100" w:afterAutospacing="1" w:line="360" w:lineRule="auto"/>
              <w:jc w:val="center"/>
              <w:outlineLvl w:val="9"/>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附委托代理人身份证正面及背面</w:t>
            </w:r>
            <w:r>
              <w:rPr>
                <w:rFonts w:hint="eastAsia" w:ascii="宋体" w:hAnsi="宋体" w:eastAsia="宋体" w:cs="宋体"/>
                <w:b/>
                <w:bCs/>
                <w:color w:val="000000"/>
                <w:highlight w:val="none"/>
              </w:rPr>
              <w:t>彩色扫描件</w:t>
            </w:r>
          </w:p>
          <w:p w14:paraId="3C8D847F">
            <w:pPr>
              <w:jc w:val="center"/>
              <w:outlineLvl w:val="9"/>
              <w:rPr>
                <w:rFonts w:hint="eastAsia" w:ascii="宋体" w:hAnsi="宋体" w:eastAsia="宋体" w:cs="宋体"/>
                <w:b w:val="0"/>
                <w:bCs w:val="0"/>
                <w:color w:val="000000"/>
                <w:highlight w:val="none"/>
              </w:rPr>
            </w:pPr>
          </w:p>
        </w:tc>
      </w:tr>
    </w:tbl>
    <w:p w14:paraId="543B13B2">
      <w:pPr>
        <w:snapToGrid w:val="0"/>
        <w:spacing w:line="560" w:lineRule="exact"/>
        <w:ind w:firstLine="616" w:firstLineChars="257"/>
        <w:jc w:val="left"/>
        <w:outlineLvl w:val="9"/>
        <w:rPr>
          <w:rFonts w:hint="eastAsia" w:ascii="宋体" w:hAnsi="宋体" w:eastAsia="宋体" w:cs="宋体"/>
          <w:color w:val="000000"/>
          <w:sz w:val="24"/>
          <w:highlight w:val="none"/>
        </w:rPr>
      </w:pPr>
    </w:p>
    <w:p w14:paraId="2F96ED11">
      <w:pPr>
        <w:snapToGrid w:val="0"/>
        <w:spacing w:line="560" w:lineRule="exact"/>
        <w:jc w:val="left"/>
        <w:outlineLvl w:val="9"/>
        <w:rPr>
          <w:rFonts w:hint="eastAsia" w:ascii="宋体" w:hAnsi="宋体" w:eastAsia="宋体" w:cs="宋体"/>
          <w:color w:val="000000"/>
          <w:sz w:val="24"/>
          <w:highlight w:val="none"/>
        </w:rPr>
      </w:pPr>
    </w:p>
    <w:p w14:paraId="71D7231F">
      <w:pPr>
        <w:snapToGrid w:val="0"/>
        <w:spacing w:line="560" w:lineRule="exact"/>
        <w:ind w:firstLine="616" w:firstLineChars="257"/>
        <w:jc w:val="left"/>
        <w:outlineLvl w:val="9"/>
        <w:rPr>
          <w:rFonts w:hint="eastAsia" w:ascii="宋体" w:hAnsi="宋体" w:eastAsia="宋体" w:cs="宋体"/>
          <w:color w:val="000000"/>
          <w:sz w:val="24"/>
          <w:highlight w:val="none"/>
        </w:rPr>
      </w:pPr>
    </w:p>
    <w:p w14:paraId="36BD8425">
      <w:pPr>
        <w:pStyle w:val="24"/>
        <w:snapToGrid w:val="0"/>
        <w:spacing w:line="480" w:lineRule="auto"/>
        <w:ind w:firstLine="3496" w:firstLineChars="1457"/>
        <w:outlineLvl w:val="9"/>
        <w:rPr>
          <w:rFonts w:hint="eastAsia" w:ascii="宋体" w:hAnsi="宋体" w:eastAsia="宋体" w:cs="宋体"/>
          <w:color w:val="000000"/>
          <w:highlight w:val="none"/>
        </w:rPr>
      </w:pPr>
      <w:r>
        <w:rPr>
          <w:rFonts w:hint="eastAsia" w:ascii="宋体" w:hAnsi="宋体" w:eastAsia="宋体" w:cs="宋体"/>
          <w:color w:val="000000"/>
          <w:highlight w:val="none"/>
        </w:rPr>
        <w:t>投  标  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19D131E">
      <w:pPr>
        <w:pStyle w:val="24"/>
        <w:snapToGrid w:val="0"/>
        <w:spacing w:line="480" w:lineRule="auto"/>
        <w:ind w:firstLine="3496" w:firstLineChars="1457"/>
        <w:outlineLvl w:val="9"/>
        <w:rPr>
          <w:rFonts w:hint="eastAsia" w:ascii="宋体" w:hAnsi="宋体" w:eastAsia="宋体" w:cs="宋体"/>
          <w:color w:val="000000"/>
          <w:highlight w:val="none"/>
        </w:rPr>
      </w:pPr>
      <w:r>
        <w:rPr>
          <w:rFonts w:hint="eastAsia" w:ascii="宋体" w:hAnsi="宋体" w:eastAsia="宋体" w:cs="宋体"/>
          <w:color w:val="000000"/>
          <w:highlight w:val="none"/>
        </w:rPr>
        <w:t>法定代表人：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(签字或盖章)  </w:t>
      </w:r>
    </w:p>
    <w:p w14:paraId="763270A9">
      <w:pPr>
        <w:pStyle w:val="24"/>
        <w:snapToGrid w:val="0"/>
        <w:spacing w:line="480" w:lineRule="auto"/>
        <w:ind w:firstLine="3496" w:firstLineChars="1457"/>
        <w:outlineLvl w:val="9"/>
        <w:rPr>
          <w:rFonts w:hint="eastAsia" w:ascii="宋体" w:hAnsi="宋体" w:eastAsia="宋体" w:cs="宋体"/>
          <w:color w:val="000000"/>
          <w:highlight w:val="non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155CA610">
      <w:pPr>
        <w:pStyle w:val="24"/>
        <w:snapToGrid w:val="0"/>
        <w:spacing w:line="480" w:lineRule="auto"/>
        <w:ind w:firstLine="3496" w:firstLineChars="1457"/>
        <w:outlineLvl w:val="9"/>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(签字或盖章)</w:t>
      </w:r>
    </w:p>
    <w:p w14:paraId="7F125BCF">
      <w:pPr>
        <w:pStyle w:val="24"/>
        <w:snapToGrid w:val="0"/>
        <w:spacing w:line="480" w:lineRule="auto"/>
        <w:ind w:firstLine="3496" w:firstLineChars="1457"/>
        <w:outlineLvl w:val="9"/>
        <w:rPr>
          <w:rFonts w:hint="eastAsia" w:ascii="宋体" w:hAnsi="宋体" w:eastAsia="宋体" w:cs="宋体"/>
          <w:color w:val="000000"/>
          <w:highlight w:val="non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1CD719F7">
      <w:pPr>
        <w:pStyle w:val="24"/>
        <w:snapToGrid w:val="0"/>
        <w:spacing w:line="480" w:lineRule="auto"/>
        <w:ind w:firstLine="3480" w:firstLineChars="1450"/>
        <w:outlineLvl w:val="9"/>
        <w:rPr>
          <w:rFonts w:hint="eastAsia" w:ascii="宋体" w:hAnsi="宋体" w:eastAsia="宋体" w:cs="宋体"/>
          <w:color w:val="000000"/>
          <w:highlight w:val="none"/>
        </w:rPr>
      </w:pPr>
      <w:r>
        <w:rPr>
          <w:rFonts w:hint="eastAsia" w:ascii="宋体" w:hAnsi="宋体" w:eastAsia="宋体" w:cs="宋体"/>
          <w:color w:val="000000"/>
          <w:highlight w:val="none"/>
        </w:rPr>
        <w:t>日      期：</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E9E4475">
      <w:pPr>
        <w:autoSpaceDE w:val="0"/>
        <w:autoSpaceDN w:val="0"/>
        <w:adjustRightInd w:val="0"/>
        <w:snapToGrid w:val="0"/>
        <w:spacing w:before="156" w:beforeLines="50" w:after="156" w:afterLines="50" w:line="300" w:lineRule="auto"/>
        <w:jc w:val="left"/>
        <w:outlineLvl w:val="9"/>
        <w:rPr>
          <w:rFonts w:hint="eastAsia" w:ascii="宋体" w:hAnsi="宋体" w:eastAsia="宋体" w:cs="宋体"/>
          <w:b/>
          <w:bCs/>
          <w:color w:val="000000"/>
          <w:szCs w:val="28"/>
          <w:highlight w:val="none"/>
        </w:rPr>
      </w:pPr>
      <w:r>
        <w:rPr>
          <w:rFonts w:hint="eastAsia" w:ascii="宋体" w:hAnsi="宋体" w:eastAsia="宋体" w:cs="宋体"/>
          <w:color w:val="000000"/>
          <w:szCs w:val="21"/>
          <w:highlight w:val="none"/>
        </w:rPr>
        <w:t>注：如法人负责投标相关事宜，则无需提供授权委托书。</w:t>
      </w:r>
    </w:p>
    <w:p w14:paraId="7030AE8B">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Cs w:val="28"/>
          <w:highlight w:val="none"/>
        </w:rPr>
      </w:pPr>
    </w:p>
    <w:p w14:paraId="6BA80B50">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 w:val="30"/>
          <w:szCs w:val="30"/>
          <w:highlight w:val="none"/>
        </w:rPr>
      </w:pPr>
      <w:r>
        <w:rPr>
          <w:rFonts w:hint="eastAsia" w:ascii="宋体" w:hAnsi="宋体" w:eastAsia="宋体" w:cs="宋体"/>
          <w:b/>
          <w:bCs/>
          <w:color w:val="000000"/>
          <w:szCs w:val="28"/>
          <w:highlight w:val="none"/>
        </w:rPr>
        <w:br w:type="page"/>
      </w:r>
      <w:bookmarkStart w:id="164" w:name="_Toc25647"/>
      <w:bookmarkStart w:id="165" w:name="_Toc280255580"/>
      <w:bookmarkStart w:id="166" w:name="_Toc199156281"/>
      <w:bookmarkStart w:id="167" w:name="_Toc189386302"/>
      <w:r>
        <w:rPr>
          <w:rFonts w:hint="eastAsia" w:ascii="宋体" w:hAnsi="宋体" w:eastAsia="宋体" w:cs="宋体"/>
          <w:b/>
          <w:bCs/>
          <w:color w:val="000000"/>
          <w:sz w:val="30"/>
          <w:szCs w:val="30"/>
          <w:highlight w:val="none"/>
        </w:rPr>
        <w:t>四、资格审查资料</w:t>
      </w:r>
      <w:bookmarkEnd w:id="164"/>
    </w:p>
    <w:p w14:paraId="3BB11601">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 w:val="24"/>
          <w:highlight w:val="none"/>
        </w:rPr>
      </w:pPr>
      <w:bookmarkStart w:id="168" w:name="_Toc12098"/>
      <w:r>
        <w:rPr>
          <w:rFonts w:hint="eastAsia" w:ascii="宋体" w:hAnsi="宋体" w:eastAsia="宋体" w:cs="宋体"/>
          <w:b/>
          <w:bCs/>
          <w:color w:val="000000"/>
          <w:sz w:val="24"/>
          <w:highlight w:val="none"/>
        </w:rPr>
        <w:t>4.1  投标人基本情况表</w:t>
      </w:r>
      <w:bookmarkEnd w:id="165"/>
      <w:bookmarkEnd w:id="166"/>
      <w:bookmarkEnd w:id="167"/>
      <w:bookmarkEnd w:id="168"/>
    </w:p>
    <w:tbl>
      <w:tblPr>
        <w:tblStyle w:val="15"/>
        <w:tblW w:w="0" w:type="auto"/>
        <w:jc w:val="center"/>
        <w:tblLayout w:type="fixed"/>
        <w:tblCellMar>
          <w:top w:w="0" w:type="dxa"/>
          <w:left w:w="108" w:type="dxa"/>
          <w:bottom w:w="0" w:type="dxa"/>
          <w:right w:w="108" w:type="dxa"/>
        </w:tblCellMar>
      </w:tblPr>
      <w:tblGrid>
        <w:gridCol w:w="1919"/>
        <w:gridCol w:w="1112"/>
        <w:gridCol w:w="939"/>
        <w:gridCol w:w="395"/>
        <w:gridCol w:w="494"/>
        <w:gridCol w:w="840"/>
        <w:gridCol w:w="1525"/>
        <w:gridCol w:w="70"/>
        <w:gridCol w:w="911"/>
        <w:gridCol w:w="1274"/>
      </w:tblGrid>
      <w:tr w14:paraId="71E277F0">
        <w:tblPrEx>
          <w:tblCellMar>
            <w:top w:w="0" w:type="dxa"/>
            <w:left w:w="108" w:type="dxa"/>
            <w:bottom w:w="0" w:type="dxa"/>
            <w:right w:w="108" w:type="dxa"/>
          </w:tblCellMar>
        </w:tblPrEx>
        <w:trPr>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09AC141E">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投标人名称</w:t>
            </w:r>
          </w:p>
        </w:tc>
        <w:tc>
          <w:tcPr>
            <w:tcW w:w="7560" w:type="dxa"/>
            <w:gridSpan w:val="9"/>
            <w:tcBorders>
              <w:top w:val="single" w:color="000000" w:sz="4" w:space="0"/>
              <w:left w:val="single" w:color="000000" w:sz="4" w:space="0"/>
              <w:bottom w:val="single" w:color="000000" w:sz="4" w:space="0"/>
              <w:right w:val="single" w:color="000000" w:sz="4" w:space="0"/>
            </w:tcBorders>
            <w:noWrap w:val="0"/>
            <w:vAlign w:val="center"/>
          </w:tcPr>
          <w:p w14:paraId="37C1FB2C">
            <w:pPr>
              <w:pStyle w:val="24"/>
              <w:spacing w:line="300" w:lineRule="auto"/>
              <w:jc w:val="center"/>
              <w:outlineLvl w:val="9"/>
              <w:rPr>
                <w:rFonts w:hint="eastAsia" w:ascii="宋体" w:hAnsi="宋体" w:eastAsia="宋体" w:cs="宋体"/>
                <w:color w:val="000000"/>
                <w:szCs w:val="24"/>
                <w:highlight w:val="none"/>
              </w:rPr>
            </w:pPr>
          </w:p>
        </w:tc>
      </w:tr>
      <w:tr w14:paraId="76902F4D">
        <w:tblPrEx>
          <w:tblCellMar>
            <w:top w:w="0" w:type="dxa"/>
            <w:left w:w="108" w:type="dxa"/>
            <w:bottom w:w="0" w:type="dxa"/>
            <w:right w:w="108" w:type="dxa"/>
          </w:tblCellMar>
        </w:tblPrEx>
        <w:trPr>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6876AF6F">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注册地址</w:t>
            </w:r>
          </w:p>
        </w:tc>
        <w:tc>
          <w:tcPr>
            <w:tcW w:w="3780" w:type="dxa"/>
            <w:gridSpan w:val="5"/>
            <w:tcBorders>
              <w:top w:val="single" w:color="000000" w:sz="4" w:space="0"/>
              <w:left w:val="single" w:color="000000" w:sz="4" w:space="0"/>
              <w:bottom w:val="single" w:color="000000" w:sz="4" w:space="0"/>
              <w:right w:val="single" w:color="000000" w:sz="4" w:space="0"/>
            </w:tcBorders>
            <w:noWrap w:val="0"/>
            <w:vAlign w:val="center"/>
          </w:tcPr>
          <w:p w14:paraId="4862F536">
            <w:pPr>
              <w:pStyle w:val="24"/>
              <w:spacing w:line="300" w:lineRule="auto"/>
              <w:jc w:val="center"/>
              <w:outlineLvl w:val="9"/>
              <w:rPr>
                <w:rFonts w:hint="eastAsia" w:ascii="宋体" w:hAnsi="宋体" w:eastAsia="宋体" w:cs="宋体"/>
                <w:color w:val="000000"/>
                <w:szCs w:val="24"/>
                <w:highlight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77661A0">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邮政编码</w:t>
            </w:r>
          </w:p>
        </w:tc>
        <w:tc>
          <w:tcPr>
            <w:tcW w:w="2255" w:type="dxa"/>
            <w:gridSpan w:val="3"/>
            <w:tcBorders>
              <w:top w:val="single" w:color="000000" w:sz="4" w:space="0"/>
              <w:left w:val="single" w:color="000000" w:sz="4" w:space="0"/>
              <w:bottom w:val="single" w:color="000000" w:sz="4" w:space="0"/>
              <w:right w:val="single" w:color="000000" w:sz="4" w:space="0"/>
            </w:tcBorders>
            <w:noWrap w:val="0"/>
            <w:vAlign w:val="center"/>
          </w:tcPr>
          <w:p w14:paraId="1B907A3D">
            <w:pPr>
              <w:pStyle w:val="24"/>
              <w:spacing w:line="300" w:lineRule="auto"/>
              <w:jc w:val="center"/>
              <w:outlineLvl w:val="9"/>
              <w:rPr>
                <w:rFonts w:hint="eastAsia" w:ascii="宋体" w:hAnsi="宋体" w:eastAsia="宋体" w:cs="宋体"/>
                <w:color w:val="000000"/>
                <w:szCs w:val="24"/>
                <w:highlight w:val="none"/>
              </w:rPr>
            </w:pPr>
          </w:p>
        </w:tc>
      </w:tr>
      <w:tr w14:paraId="005FB073">
        <w:tblPrEx>
          <w:tblCellMar>
            <w:top w:w="0" w:type="dxa"/>
            <w:left w:w="108" w:type="dxa"/>
            <w:bottom w:w="0" w:type="dxa"/>
            <w:right w:w="108" w:type="dxa"/>
          </w:tblCellMar>
        </w:tblPrEx>
        <w:trPr>
          <w:cantSplit/>
          <w:trHeight w:val="691" w:hRule="atLeast"/>
          <w:jc w:val="center"/>
        </w:trPr>
        <w:tc>
          <w:tcPr>
            <w:tcW w:w="1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8C993">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联系方式</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B641517">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联系人</w:t>
            </w:r>
          </w:p>
        </w:tc>
        <w:tc>
          <w:tcPr>
            <w:tcW w:w="2668" w:type="dxa"/>
            <w:gridSpan w:val="4"/>
            <w:tcBorders>
              <w:top w:val="single" w:color="000000" w:sz="4" w:space="0"/>
              <w:left w:val="single" w:color="000000" w:sz="4" w:space="0"/>
              <w:bottom w:val="single" w:color="000000" w:sz="4" w:space="0"/>
              <w:right w:val="single" w:color="000000" w:sz="4" w:space="0"/>
            </w:tcBorders>
            <w:noWrap w:val="0"/>
            <w:vAlign w:val="center"/>
          </w:tcPr>
          <w:p w14:paraId="233FC620">
            <w:pPr>
              <w:pStyle w:val="24"/>
              <w:spacing w:line="300" w:lineRule="auto"/>
              <w:jc w:val="center"/>
              <w:outlineLvl w:val="9"/>
              <w:rPr>
                <w:rFonts w:hint="eastAsia" w:ascii="宋体" w:hAnsi="宋体" w:eastAsia="宋体" w:cs="宋体"/>
                <w:color w:val="000000"/>
                <w:szCs w:val="24"/>
                <w:highlight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3B7212A">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电话</w:t>
            </w:r>
          </w:p>
        </w:tc>
        <w:tc>
          <w:tcPr>
            <w:tcW w:w="2255" w:type="dxa"/>
            <w:gridSpan w:val="3"/>
            <w:tcBorders>
              <w:top w:val="single" w:color="000000" w:sz="4" w:space="0"/>
              <w:left w:val="single" w:color="000000" w:sz="4" w:space="0"/>
              <w:bottom w:val="single" w:color="000000" w:sz="4" w:space="0"/>
              <w:right w:val="single" w:color="000000" w:sz="4" w:space="0"/>
            </w:tcBorders>
            <w:noWrap w:val="0"/>
            <w:vAlign w:val="center"/>
          </w:tcPr>
          <w:p w14:paraId="31BA1052">
            <w:pPr>
              <w:pStyle w:val="24"/>
              <w:spacing w:line="300" w:lineRule="auto"/>
              <w:jc w:val="center"/>
              <w:outlineLvl w:val="9"/>
              <w:rPr>
                <w:rFonts w:hint="eastAsia" w:ascii="宋体" w:hAnsi="宋体" w:eastAsia="宋体" w:cs="宋体"/>
                <w:color w:val="000000"/>
                <w:szCs w:val="24"/>
                <w:highlight w:val="none"/>
              </w:rPr>
            </w:pPr>
          </w:p>
        </w:tc>
      </w:tr>
      <w:tr w14:paraId="4B19F842">
        <w:tblPrEx>
          <w:tblCellMar>
            <w:top w:w="0" w:type="dxa"/>
            <w:left w:w="108" w:type="dxa"/>
            <w:bottom w:w="0" w:type="dxa"/>
            <w:right w:w="108" w:type="dxa"/>
          </w:tblCellMar>
        </w:tblPrEx>
        <w:trPr>
          <w:cantSplit/>
          <w:trHeight w:val="691" w:hRule="atLeast"/>
          <w:jc w:val="center"/>
        </w:trPr>
        <w:tc>
          <w:tcPr>
            <w:tcW w:w="1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74D6D">
            <w:pPr>
              <w:pStyle w:val="24"/>
              <w:spacing w:line="300" w:lineRule="auto"/>
              <w:jc w:val="center"/>
              <w:outlineLvl w:val="9"/>
              <w:rPr>
                <w:rFonts w:hint="eastAsia" w:ascii="宋体" w:hAnsi="宋体" w:eastAsia="宋体" w:cs="宋体"/>
                <w:color w:val="000000"/>
                <w:szCs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BF7BBCC">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传真</w:t>
            </w:r>
          </w:p>
        </w:tc>
        <w:tc>
          <w:tcPr>
            <w:tcW w:w="2668" w:type="dxa"/>
            <w:gridSpan w:val="4"/>
            <w:tcBorders>
              <w:top w:val="single" w:color="000000" w:sz="4" w:space="0"/>
              <w:left w:val="single" w:color="000000" w:sz="4" w:space="0"/>
              <w:bottom w:val="single" w:color="000000" w:sz="4" w:space="0"/>
              <w:right w:val="single" w:color="000000" w:sz="4" w:space="0"/>
            </w:tcBorders>
            <w:noWrap w:val="0"/>
            <w:vAlign w:val="center"/>
          </w:tcPr>
          <w:p w14:paraId="3106577B">
            <w:pPr>
              <w:pStyle w:val="24"/>
              <w:spacing w:line="300" w:lineRule="auto"/>
              <w:jc w:val="center"/>
              <w:outlineLvl w:val="9"/>
              <w:rPr>
                <w:rFonts w:hint="eastAsia" w:ascii="宋体" w:hAnsi="宋体" w:eastAsia="宋体" w:cs="宋体"/>
                <w:color w:val="000000"/>
                <w:szCs w:val="24"/>
                <w:highlight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1886BDE">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网址</w:t>
            </w:r>
          </w:p>
        </w:tc>
        <w:tc>
          <w:tcPr>
            <w:tcW w:w="2255" w:type="dxa"/>
            <w:gridSpan w:val="3"/>
            <w:tcBorders>
              <w:top w:val="single" w:color="000000" w:sz="4" w:space="0"/>
              <w:left w:val="single" w:color="000000" w:sz="4" w:space="0"/>
              <w:bottom w:val="single" w:color="000000" w:sz="4" w:space="0"/>
              <w:right w:val="single" w:color="000000" w:sz="4" w:space="0"/>
            </w:tcBorders>
            <w:noWrap w:val="0"/>
            <w:vAlign w:val="center"/>
          </w:tcPr>
          <w:p w14:paraId="59428A2F">
            <w:pPr>
              <w:pStyle w:val="24"/>
              <w:spacing w:line="300" w:lineRule="auto"/>
              <w:jc w:val="center"/>
              <w:outlineLvl w:val="9"/>
              <w:rPr>
                <w:rFonts w:hint="eastAsia" w:ascii="宋体" w:hAnsi="宋体" w:eastAsia="宋体" w:cs="宋体"/>
                <w:color w:val="000000"/>
                <w:szCs w:val="24"/>
                <w:highlight w:val="none"/>
              </w:rPr>
            </w:pPr>
          </w:p>
        </w:tc>
      </w:tr>
      <w:tr w14:paraId="00D4C8EC">
        <w:tblPrEx>
          <w:tblCellMar>
            <w:top w:w="0" w:type="dxa"/>
            <w:left w:w="108" w:type="dxa"/>
            <w:bottom w:w="0" w:type="dxa"/>
            <w:right w:w="108" w:type="dxa"/>
          </w:tblCellMar>
        </w:tblPrEx>
        <w:trPr>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59A348FD">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法定代表人</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892CE0C">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姓名</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29EB97E7">
            <w:pPr>
              <w:pStyle w:val="24"/>
              <w:spacing w:line="300" w:lineRule="auto"/>
              <w:jc w:val="center"/>
              <w:outlineLvl w:val="9"/>
              <w:rPr>
                <w:rFonts w:hint="eastAsia" w:ascii="宋体" w:hAnsi="宋体" w:eastAsia="宋体" w:cs="宋体"/>
                <w:color w:val="000000"/>
                <w:szCs w:val="24"/>
                <w:highlight w:val="none"/>
              </w:rPr>
            </w:pP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9BF9800">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技术职称</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D213D17">
            <w:pPr>
              <w:pStyle w:val="24"/>
              <w:spacing w:line="300" w:lineRule="auto"/>
              <w:jc w:val="center"/>
              <w:outlineLvl w:val="9"/>
              <w:rPr>
                <w:rFonts w:hint="eastAsia" w:ascii="宋体" w:hAnsi="宋体" w:eastAsia="宋体" w:cs="宋体"/>
                <w:color w:val="000000"/>
                <w:szCs w:val="24"/>
                <w:highlight w:val="none"/>
              </w:rPr>
            </w:pP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14:paraId="0CC2A9C0">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电话</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714BC14">
            <w:pPr>
              <w:pStyle w:val="24"/>
              <w:spacing w:line="300" w:lineRule="auto"/>
              <w:jc w:val="center"/>
              <w:outlineLvl w:val="9"/>
              <w:rPr>
                <w:rFonts w:hint="eastAsia" w:ascii="宋体" w:hAnsi="宋体" w:eastAsia="宋体" w:cs="宋体"/>
                <w:color w:val="000000"/>
                <w:szCs w:val="24"/>
                <w:highlight w:val="none"/>
              </w:rPr>
            </w:pPr>
          </w:p>
        </w:tc>
      </w:tr>
      <w:tr w14:paraId="20FEAEA1">
        <w:tblPrEx>
          <w:tblCellMar>
            <w:top w:w="0" w:type="dxa"/>
            <w:left w:w="108" w:type="dxa"/>
            <w:bottom w:w="0" w:type="dxa"/>
            <w:right w:w="108" w:type="dxa"/>
          </w:tblCellMar>
        </w:tblPrEx>
        <w:trPr>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4EF9C49B">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技术负责人</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C1598BA">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姓名</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24B12D24">
            <w:pPr>
              <w:pStyle w:val="24"/>
              <w:spacing w:line="300" w:lineRule="auto"/>
              <w:jc w:val="center"/>
              <w:outlineLvl w:val="9"/>
              <w:rPr>
                <w:rFonts w:hint="eastAsia" w:ascii="宋体" w:hAnsi="宋体" w:eastAsia="宋体" w:cs="宋体"/>
                <w:color w:val="000000"/>
                <w:szCs w:val="24"/>
                <w:highlight w:val="none"/>
              </w:rPr>
            </w:pP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1CEA3E6A">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技术职称</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9AED29E">
            <w:pPr>
              <w:pStyle w:val="24"/>
              <w:spacing w:line="300" w:lineRule="auto"/>
              <w:jc w:val="center"/>
              <w:outlineLvl w:val="9"/>
              <w:rPr>
                <w:rFonts w:hint="eastAsia" w:ascii="宋体" w:hAnsi="宋体" w:eastAsia="宋体" w:cs="宋体"/>
                <w:color w:val="000000"/>
                <w:szCs w:val="24"/>
                <w:highlight w:val="none"/>
              </w:rPr>
            </w:pPr>
          </w:p>
        </w:tc>
        <w:tc>
          <w:tcPr>
            <w:tcW w:w="981" w:type="dxa"/>
            <w:gridSpan w:val="2"/>
            <w:tcBorders>
              <w:top w:val="single" w:color="000000" w:sz="4" w:space="0"/>
              <w:left w:val="single" w:color="000000" w:sz="4" w:space="0"/>
              <w:bottom w:val="single" w:color="000000" w:sz="4" w:space="0"/>
              <w:right w:val="single" w:color="000000" w:sz="4" w:space="0"/>
            </w:tcBorders>
            <w:noWrap w:val="0"/>
            <w:vAlign w:val="center"/>
          </w:tcPr>
          <w:p w14:paraId="6CEEAAAC">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电话</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4C8BE34">
            <w:pPr>
              <w:pStyle w:val="24"/>
              <w:spacing w:line="300" w:lineRule="auto"/>
              <w:jc w:val="center"/>
              <w:outlineLvl w:val="9"/>
              <w:rPr>
                <w:rFonts w:hint="eastAsia" w:ascii="宋体" w:hAnsi="宋体" w:eastAsia="宋体" w:cs="宋体"/>
                <w:color w:val="000000"/>
                <w:szCs w:val="24"/>
                <w:highlight w:val="none"/>
              </w:rPr>
            </w:pPr>
          </w:p>
        </w:tc>
      </w:tr>
      <w:tr w14:paraId="5649148E">
        <w:tblPrEx>
          <w:tblCellMar>
            <w:top w:w="0" w:type="dxa"/>
            <w:left w:w="108" w:type="dxa"/>
            <w:bottom w:w="0" w:type="dxa"/>
            <w:right w:w="108" w:type="dxa"/>
          </w:tblCellMar>
        </w:tblPrEx>
        <w:trPr>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0C9E113E">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成立时间</w:t>
            </w:r>
          </w:p>
        </w:tc>
        <w:tc>
          <w:tcPr>
            <w:tcW w:w="2051" w:type="dxa"/>
            <w:gridSpan w:val="2"/>
            <w:tcBorders>
              <w:top w:val="single" w:color="000000" w:sz="4" w:space="0"/>
              <w:left w:val="single" w:color="000000" w:sz="4" w:space="0"/>
              <w:bottom w:val="single" w:color="000000" w:sz="4" w:space="0"/>
              <w:right w:val="single" w:color="000000" w:sz="4" w:space="0"/>
            </w:tcBorders>
            <w:noWrap w:val="0"/>
            <w:vAlign w:val="center"/>
          </w:tcPr>
          <w:p w14:paraId="3C8FC63F">
            <w:pPr>
              <w:pStyle w:val="24"/>
              <w:spacing w:line="300" w:lineRule="auto"/>
              <w:jc w:val="center"/>
              <w:outlineLvl w:val="9"/>
              <w:rPr>
                <w:rFonts w:hint="eastAsia" w:ascii="宋体" w:hAnsi="宋体" w:eastAsia="宋体" w:cs="宋体"/>
                <w:color w:val="000000"/>
                <w:szCs w:val="24"/>
                <w:highlight w:val="none"/>
              </w:rPr>
            </w:pPr>
          </w:p>
        </w:tc>
        <w:tc>
          <w:tcPr>
            <w:tcW w:w="5509" w:type="dxa"/>
            <w:gridSpan w:val="7"/>
            <w:tcBorders>
              <w:top w:val="single" w:color="000000" w:sz="4" w:space="0"/>
              <w:left w:val="single" w:color="000000" w:sz="4" w:space="0"/>
              <w:bottom w:val="single" w:color="000000" w:sz="4" w:space="0"/>
              <w:right w:val="single" w:color="000000" w:sz="4" w:space="0"/>
            </w:tcBorders>
            <w:noWrap w:val="0"/>
            <w:vAlign w:val="center"/>
          </w:tcPr>
          <w:p w14:paraId="3162D748">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员工总人数：</w:t>
            </w:r>
          </w:p>
        </w:tc>
      </w:tr>
      <w:tr w14:paraId="5E3B8E6C">
        <w:tblPrEx>
          <w:tblCellMar>
            <w:top w:w="0" w:type="dxa"/>
            <w:left w:w="108" w:type="dxa"/>
            <w:bottom w:w="0" w:type="dxa"/>
            <w:right w:w="108" w:type="dxa"/>
          </w:tblCellMar>
        </w:tblPrEx>
        <w:trPr>
          <w:cantSplit/>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2E48007E">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企业资质等级</w:t>
            </w:r>
          </w:p>
        </w:tc>
        <w:tc>
          <w:tcPr>
            <w:tcW w:w="2051" w:type="dxa"/>
            <w:gridSpan w:val="2"/>
            <w:tcBorders>
              <w:top w:val="single" w:color="000000" w:sz="4" w:space="0"/>
              <w:left w:val="single" w:color="000000" w:sz="4" w:space="0"/>
              <w:bottom w:val="single" w:color="000000" w:sz="4" w:space="0"/>
              <w:right w:val="single" w:color="000000" w:sz="4" w:space="0"/>
            </w:tcBorders>
            <w:noWrap w:val="0"/>
            <w:vAlign w:val="center"/>
          </w:tcPr>
          <w:p w14:paraId="7C3A68CC">
            <w:pPr>
              <w:pStyle w:val="24"/>
              <w:spacing w:line="300" w:lineRule="auto"/>
              <w:jc w:val="center"/>
              <w:outlineLvl w:val="9"/>
              <w:rPr>
                <w:rFonts w:hint="eastAsia" w:ascii="宋体" w:hAnsi="宋体" w:eastAsia="宋体" w:cs="宋体"/>
                <w:color w:val="000000"/>
                <w:szCs w:val="24"/>
                <w:highlight w:val="none"/>
              </w:rPr>
            </w:pPr>
          </w:p>
        </w:tc>
        <w:tc>
          <w:tcPr>
            <w:tcW w:w="889" w:type="dxa"/>
            <w:gridSpan w:val="2"/>
            <w:vMerge w:val="restart"/>
            <w:tcBorders>
              <w:top w:val="single" w:color="000000" w:sz="4" w:space="0"/>
              <w:left w:val="single" w:color="000000" w:sz="4" w:space="0"/>
              <w:right w:val="single" w:color="000000" w:sz="4" w:space="0"/>
            </w:tcBorders>
            <w:noWrap w:val="0"/>
            <w:vAlign w:val="center"/>
          </w:tcPr>
          <w:p w14:paraId="2C3ED238">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其中</w:t>
            </w:r>
          </w:p>
        </w:tc>
        <w:tc>
          <w:tcPr>
            <w:tcW w:w="2435" w:type="dxa"/>
            <w:gridSpan w:val="3"/>
            <w:tcBorders>
              <w:top w:val="single" w:color="000000" w:sz="4" w:space="0"/>
              <w:left w:val="single" w:color="000000" w:sz="4" w:space="0"/>
              <w:bottom w:val="single" w:color="000000" w:sz="4" w:space="0"/>
              <w:right w:val="single" w:color="000000" w:sz="4" w:space="0"/>
            </w:tcBorders>
            <w:noWrap w:val="0"/>
            <w:vAlign w:val="center"/>
          </w:tcPr>
          <w:p w14:paraId="14A7DC05">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高级职称人员</w:t>
            </w: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14:paraId="70ED55CA">
            <w:pPr>
              <w:pStyle w:val="24"/>
              <w:spacing w:line="300" w:lineRule="auto"/>
              <w:jc w:val="center"/>
              <w:outlineLvl w:val="9"/>
              <w:rPr>
                <w:rFonts w:hint="eastAsia" w:ascii="宋体" w:hAnsi="宋体" w:eastAsia="宋体" w:cs="宋体"/>
                <w:color w:val="000000"/>
                <w:szCs w:val="24"/>
                <w:highlight w:val="none"/>
              </w:rPr>
            </w:pPr>
          </w:p>
        </w:tc>
      </w:tr>
      <w:tr w14:paraId="157FF957">
        <w:tblPrEx>
          <w:tblCellMar>
            <w:top w:w="0" w:type="dxa"/>
            <w:left w:w="108" w:type="dxa"/>
            <w:bottom w:w="0" w:type="dxa"/>
            <w:right w:w="108" w:type="dxa"/>
          </w:tblCellMar>
        </w:tblPrEx>
        <w:trPr>
          <w:cantSplit/>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0FE93FE2">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营业执照号</w:t>
            </w:r>
          </w:p>
        </w:tc>
        <w:tc>
          <w:tcPr>
            <w:tcW w:w="2051" w:type="dxa"/>
            <w:gridSpan w:val="2"/>
            <w:tcBorders>
              <w:top w:val="single" w:color="000000" w:sz="4" w:space="0"/>
              <w:left w:val="single" w:color="000000" w:sz="4" w:space="0"/>
              <w:bottom w:val="single" w:color="000000" w:sz="4" w:space="0"/>
              <w:right w:val="single" w:color="000000" w:sz="4" w:space="0"/>
            </w:tcBorders>
            <w:noWrap w:val="0"/>
            <w:vAlign w:val="center"/>
          </w:tcPr>
          <w:p w14:paraId="3F22D471">
            <w:pPr>
              <w:pStyle w:val="24"/>
              <w:spacing w:line="300" w:lineRule="auto"/>
              <w:jc w:val="center"/>
              <w:outlineLvl w:val="9"/>
              <w:rPr>
                <w:rFonts w:hint="eastAsia" w:ascii="宋体" w:hAnsi="宋体" w:eastAsia="宋体" w:cs="宋体"/>
                <w:color w:val="000000"/>
                <w:szCs w:val="24"/>
                <w:highlight w:val="none"/>
              </w:rPr>
            </w:pPr>
          </w:p>
        </w:tc>
        <w:tc>
          <w:tcPr>
            <w:tcW w:w="889" w:type="dxa"/>
            <w:gridSpan w:val="2"/>
            <w:vMerge w:val="continue"/>
            <w:tcBorders>
              <w:left w:val="single" w:color="000000" w:sz="4" w:space="0"/>
              <w:right w:val="single" w:color="000000" w:sz="4" w:space="0"/>
            </w:tcBorders>
            <w:noWrap w:val="0"/>
            <w:vAlign w:val="center"/>
          </w:tcPr>
          <w:p w14:paraId="0B2A71F7">
            <w:pPr>
              <w:pStyle w:val="24"/>
              <w:spacing w:line="300" w:lineRule="auto"/>
              <w:jc w:val="center"/>
              <w:outlineLvl w:val="9"/>
              <w:rPr>
                <w:rFonts w:hint="eastAsia" w:ascii="宋体" w:hAnsi="宋体" w:eastAsia="宋体" w:cs="宋体"/>
                <w:color w:val="000000"/>
                <w:szCs w:val="24"/>
                <w:highlight w:val="none"/>
              </w:rPr>
            </w:pPr>
          </w:p>
        </w:tc>
        <w:tc>
          <w:tcPr>
            <w:tcW w:w="2435" w:type="dxa"/>
            <w:gridSpan w:val="3"/>
            <w:tcBorders>
              <w:top w:val="single" w:color="000000" w:sz="4" w:space="0"/>
              <w:left w:val="single" w:color="000000" w:sz="4" w:space="0"/>
              <w:bottom w:val="single" w:color="000000" w:sz="4" w:space="0"/>
              <w:right w:val="single" w:color="000000" w:sz="4" w:space="0"/>
            </w:tcBorders>
            <w:noWrap w:val="0"/>
            <w:vAlign w:val="center"/>
          </w:tcPr>
          <w:p w14:paraId="34104264">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中级职称人员</w:t>
            </w: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14:paraId="13DDAF2B">
            <w:pPr>
              <w:pStyle w:val="24"/>
              <w:spacing w:line="300" w:lineRule="auto"/>
              <w:jc w:val="center"/>
              <w:outlineLvl w:val="9"/>
              <w:rPr>
                <w:rFonts w:hint="eastAsia" w:ascii="宋体" w:hAnsi="宋体" w:eastAsia="宋体" w:cs="宋体"/>
                <w:color w:val="000000"/>
                <w:szCs w:val="24"/>
                <w:highlight w:val="none"/>
              </w:rPr>
            </w:pPr>
          </w:p>
        </w:tc>
      </w:tr>
      <w:tr w14:paraId="2E4CFB51">
        <w:tblPrEx>
          <w:tblCellMar>
            <w:top w:w="0" w:type="dxa"/>
            <w:left w:w="108" w:type="dxa"/>
            <w:bottom w:w="0" w:type="dxa"/>
            <w:right w:w="108" w:type="dxa"/>
          </w:tblCellMar>
        </w:tblPrEx>
        <w:trPr>
          <w:cantSplit/>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1B852042">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注册资金</w:t>
            </w:r>
          </w:p>
        </w:tc>
        <w:tc>
          <w:tcPr>
            <w:tcW w:w="2051" w:type="dxa"/>
            <w:gridSpan w:val="2"/>
            <w:tcBorders>
              <w:top w:val="single" w:color="000000" w:sz="4" w:space="0"/>
              <w:left w:val="single" w:color="000000" w:sz="4" w:space="0"/>
              <w:bottom w:val="single" w:color="000000" w:sz="4" w:space="0"/>
              <w:right w:val="single" w:color="000000" w:sz="4" w:space="0"/>
            </w:tcBorders>
            <w:noWrap w:val="0"/>
            <w:vAlign w:val="center"/>
          </w:tcPr>
          <w:p w14:paraId="4F5AB3E2">
            <w:pPr>
              <w:pStyle w:val="24"/>
              <w:spacing w:line="300" w:lineRule="auto"/>
              <w:jc w:val="center"/>
              <w:outlineLvl w:val="9"/>
              <w:rPr>
                <w:rFonts w:hint="eastAsia" w:ascii="宋体" w:hAnsi="宋体" w:eastAsia="宋体" w:cs="宋体"/>
                <w:color w:val="000000"/>
                <w:szCs w:val="24"/>
                <w:highlight w:val="none"/>
              </w:rPr>
            </w:pPr>
          </w:p>
        </w:tc>
        <w:tc>
          <w:tcPr>
            <w:tcW w:w="889" w:type="dxa"/>
            <w:gridSpan w:val="2"/>
            <w:vMerge w:val="continue"/>
            <w:tcBorders>
              <w:left w:val="single" w:color="000000" w:sz="4" w:space="0"/>
              <w:right w:val="single" w:color="000000" w:sz="4" w:space="0"/>
            </w:tcBorders>
            <w:noWrap w:val="0"/>
            <w:vAlign w:val="center"/>
          </w:tcPr>
          <w:p w14:paraId="628E061F">
            <w:pPr>
              <w:pStyle w:val="24"/>
              <w:spacing w:line="300" w:lineRule="auto"/>
              <w:jc w:val="center"/>
              <w:outlineLvl w:val="9"/>
              <w:rPr>
                <w:rFonts w:hint="eastAsia" w:ascii="宋体" w:hAnsi="宋体" w:eastAsia="宋体" w:cs="宋体"/>
                <w:color w:val="000000"/>
                <w:szCs w:val="24"/>
                <w:highlight w:val="none"/>
              </w:rPr>
            </w:pPr>
          </w:p>
        </w:tc>
        <w:tc>
          <w:tcPr>
            <w:tcW w:w="2435" w:type="dxa"/>
            <w:gridSpan w:val="3"/>
            <w:tcBorders>
              <w:top w:val="single" w:color="000000" w:sz="4" w:space="0"/>
              <w:left w:val="single" w:color="000000" w:sz="4" w:space="0"/>
              <w:bottom w:val="single" w:color="000000" w:sz="4" w:space="0"/>
              <w:right w:val="single" w:color="000000" w:sz="4" w:space="0"/>
            </w:tcBorders>
            <w:noWrap w:val="0"/>
            <w:vAlign w:val="center"/>
          </w:tcPr>
          <w:p w14:paraId="61E9616A">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初级职称人员</w:t>
            </w: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14:paraId="72B3A730">
            <w:pPr>
              <w:pStyle w:val="24"/>
              <w:spacing w:line="300" w:lineRule="auto"/>
              <w:jc w:val="center"/>
              <w:outlineLvl w:val="9"/>
              <w:rPr>
                <w:rFonts w:hint="eastAsia" w:ascii="宋体" w:hAnsi="宋体" w:eastAsia="宋体" w:cs="宋体"/>
                <w:color w:val="000000"/>
                <w:szCs w:val="24"/>
                <w:highlight w:val="none"/>
              </w:rPr>
            </w:pPr>
          </w:p>
        </w:tc>
      </w:tr>
      <w:tr w14:paraId="6160435F">
        <w:tblPrEx>
          <w:tblCellMar>
            <w:top w:w="0" w:type="dxa"/>
            <w:left w:w="108" w:type="dxa"/>
            <w:bottom w:w="0" w:type="dxa"/>
            <w:right w:w="108" w:type="dxa"/>
          </w:tblCellMar>
        </w:tblPrEx>
        <w:trPr>
          <w:trHeight w:val="69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51353887">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经营范围</w:t>
            </w:r>
          </w:p>
        </w:tc>
        <w:tc>
          <w:tcPr>
            <w:tcW w:w="7560" w:type="dxa"/>
            <w:gridSpan w:val="9"/>
            <w:tcBorders>
              <w:top w:val="single" w:color="000000" w:sz="4" w:space="0"/>
              <w:left w:val="single" w:color="000000" w:sz="4" w:space="0"/>
              <w:bottom w:val="single" w:color="000000" w:sz="4" w:space="0"/>
              <w:right w:val="single" w:color="000000" w:sz="4" w:space="0"/>
            </w:tcBorders>
            <w:noWrap w:val="0"/>
            <w:vAlign w:val="center"/>
          </w:tcPr>
          <w:p w14:paraId="390BCFC0">
            <w:pPr>
              <w:pStyle w:val="24"/>
              <w:spacing w:line="300" w:lineRule="auto"/>
              <w:jc w:val="center"/>
              <w:outlineLvl w:val="9"/>
              <w:rPr>
                <w:rFonts w:hint="eastAsia" w:ascii="宋体" w:hAnsi="宋体" w:eastAsia="宋体" w:cs="宋体"/>
                <w:color w:val="000000"/>
                <w:szCs w:val="24"/>
                <w:highlight w:val="none"/>
              </w:rPr>
            </w:pPr>
          </w:p>
        </w:tc>
      </w:tr>
      <w:tr w14:paraId="533FD3D5">
        <w:tblPrEx>
          <w:tblCellMar>
            <w:top w:w="0" w:type="dxa"/>
            <w:left w:w="108" w:type="dxa"/>
            <w:bottom w:w="0" w:type="dxa"/>
            <w:right w:w="108" w:type="dxa"/>
          </w:tblCellMar>
        </w:tblPrEx>
        <w:trPr>
          <w:trHeight w:val="701" w:hRule="atLeast"/>
          <w:jc w:val="center"/>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60C1C044">
            <w:pPr>
              <w:pStyle w:val="24"/>
              <w:spacing w:line="300" w:lineRule="auto"/>
              <w:jc w:val="center"/>
              <w:outlineLvl w:val="9"/>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备注</w:t>
            </w:r>
          </w:p>
        </w:tc>
        <w:tc>
          <w:tcPr>
            <w:tcW w:w="7560" w:type="dxa"/>
            <w:gridSpan w:val="9"/>
            <w:tcBorders>
              <w:top w:val="single" w:color="000000" w:sz="4" w:space="0"/>
              <w:left w:val="single" w:color="000000" w:sz="4" w:space="0"/>
              <w:bottom w:val="single" w:color="000000" w:sz="4" w:space="0"/>
              <w:right w:val="single" w:color="000000" w:sz="4" w:space="0"/>
            </w:tcBorders>
            <w:noWrap w:val="0"/>
            <w:vAlign w:val="center"/>
          </w:tcPr>
          <w:p w14:paraId="3A2539BB">
            <w:pPr>
              <w:pStyle w:val="24"/>
              <w:spacing w:line="300" w:lineRule="auto"/>
              <w:jc w:val="center"/>
              <w:outlineLvl w:val="9"/>
              <w:rPr>
                <w:rFonts w:hint="eastAsia" w:ascii="宋体" w:hAnsi="宋体" w:eastAsia="宋体" w:cs="宋体"/>
                <w:color w:val="000000"/>
                <w:szCs w:val="24"/>
                <w:highlight w:val="none"/>
              </w:rPr>
            </w:pPr>
          </w:p>
        </w:tc>
      </w:tr>
    </w:tbl>
    <w:p w14:paraId="14F6A61F">
      <w:pPr>
        <w:spacing w:line="360" w:lineRule="auto"/>
        <w:outlineLvl w:val="9"/>
        <w:rPr>
          <w:rFonts w:hint="eastAsia" w:ascii="宋体" w:hAnsi="宋体" w:eastAsia="宋体" w:cs="宋体"/>
          <w:color w:val="000000"/>
          <w:sz w:val="24"/>
          <w:highlight w:val="none"/>
        </w:rPr>
      </w:pPr>
    </w:p>
    <w:p w14:paraId="1962A5AC">
      <w:pPr>
        <w:spacing w:line="360" w:lineRule="auto"/>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(盖单位章)                  </w:t>
      </w:r>
    </w:p>
    <w:p w14:paraId="46B1C058">
      <w:pPr>
        <w:spacing w:line="360" w:lineRule="auto"/>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法定代表人或其委托代理人：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(签字或盖章)  </w:t>
      </w:r>
    </w:p>
    <w:p w14:paraId="20E0E88E">
      <w:pPr>
        <w:spacing w:line="360" w:lineRule="auto"/>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7EF087B9">
      <w:pPr>
        <w:bidi w:val="0"/>
        <w:rPr>
          <w:rFonts w:hint="eastAsia" w:ascii="宋体" w:hAnsi="宋体" w:eastAsia="宋体" w:cs="宋体"/>
          <w:color w:val="000000"/>
        </w:rPr>
      </w:pPr>
    </w:p>
    <w:p w14:paraId="2D5267A2">
      <w:pPr>
        <w:bidi w:val="0"/>
        <w:rPr>
          <w:rFonts w:hint="eastAsia" w:ascii="宋体" w:hAnsi="宋体" w:eastAsia="宋体" w:cs="宋体"/>
          <w:color w:val="000000"/>
        </w:rPr>
      </w:pPr>
    </w:p>
    <w:p w14:paraId="70A4678A">
      <w:pPr>
        <w:bidi w:val="0"/>
        <w:rPr>
          <w:rFonts w:hint="eastAsia" w:ascii="宋体" w:hAnsi="宋体" w:eastAsia="宋体" w:cs="宋体"/>
          <w:color w:val="000000"/>
        </w:rPr>
      </w:pPr>
    </w:p>
    <w:p w14:paraId="70C188BB">
      <w:pPr>
        <w:bidi w:val="0"/>
        <w:rPr>
          <w:rFonts w:hint="eastAsia" w:ascii="宋体" w:hAnsi="宋体" w:eastAsia="宋体" w:cs="宋体"/>
          <w:color w:val="000000"/>
        </w:rPr>
      </w:pPr>
    </w:p>
    <w:p w14:paraId="199DD161">
      <w:pPr>
        <w:bidi w:val="0"/>
        <w:rPr>
          <w:rFonts w:hint="eastAsia" w:ascii="宋体" w:hAnsi="宋体" w:eastAsia="宋体" w:cs="宋体"/>
          <w:color w:val="000000"/>
        </w:rPr>
      </w:pPr>
    </w:p>
    <w:p w14:paraId="14001D80">
      <w:pPr>
        <w:bidi w:val="0"/>
        <w:rPr>
          <w:rFonts w:hint="eastAsia" w:ascii="宋体" w:hAnsi="宋体" w:eastAsia="宋体" w:cs="宋体"/>
          <w:color w:val="000000"/>
        </w:rPr>
      </w:pPr>
    </w:p>
    <w:p w14:paraId="6A362A73">
      <w:pPr>
        <w:bidi w:val="0"/>
        <w:rPr>
          <w:rFonts w:hint="eastAsia" w:ascii="宋体" w:hAnsi="宋体" w:eastAsia="宋体" w:cs="宋体"/>
          <w:color w:val="000000"/>
        </w:rPr>
      </w:pPr>
    </w:p>
    <w:p w14:paraId="49EB2C18">
      <w:pPr>
        <w:bidi w:val="0"/>
        <w:rPr>
          <w:rFonts w:hint="eastAsia" w:ascii="宋体" w:hAnsi="宋体" w:eastAsia="宋体" w:cs="宋体"/>
          <w:color w:val="000000"/>
        </w:rPr>
      </w:pPr>
    </w:p>
    <w:p w14:paraId="3047980D">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 w:val="24"/>
          <w:highlight w:val="none"/>
        </w:rPr>
      </w:pPr>
      <w:bookmarkStart w:id="169" w:name="_Toc8330"/>
      <w:r>
        <w:rPr>
          <w:rFonts w:hint="eastAsia" w:ascii="宋体" w:hAnsi="宋体" w:eastAsia="宋体" w:cs="宋体"/>
          <w:b/>
          <w:bCs/>
          <w:color w:val="000000"/>
          <w:sz w:val="24"/>
          <w:highlight w:val="none"/>
        </w:rPr>
        <w:t>4.2  营业执照、组织机构代码证、资质证书等</w:t>
      </w:r>
      <w:bookmarkEnd w:id="169"/>
    </w:p>
    <w:p w14:paraId="3A62E905">
      <w:pPr>
        <w:spacing w:line="360" w:lineRule="auto"/>
        <w:ind w:firstLine="480" w:firstLineChars="200"/>
        <w:outlineLvl w:val="9"/>
        <w:rPr>
          <w:rFonts w:hint="eastAsia" w:ascii="宋体" w:hAnsi="宋体" w:eastAsia="宋体" w:cs="宋体"/>
          <w:color w:val="000000"/>
          <w:sz w:val="24"/>
          <w:highlight w:val="none"/>
        </w:rPr>
      </w:pPr>
    </w:p>
    <w:p w14:paraId="783CA8B8">
      <w:pPr>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附：投标人营业执照、组织机构代码证（已更换三证合一营业执照的，无需再提供组织机构代码证）、勘察资质证书、设计资质证书的</w:t>
      </w:r>
      <w:r>
        <w:rPr>
          <w:rFonts w:hint="eastAsia" w:ascii="宋体" w:hAnsi="宋体" w:eastAsia="宋体" w:cs="宋体"/>
          <w:b/>
          <w:bCs/>
          <w:color w:val="000000"/>
          <w:sz w:val="24"/>
          <w:highlight w:val="none"/>
        </w:rPr>
        <w:t>彩色扫描件</w:t>
      </w:r>
      <w:r>
        <w:rPr>
          <w:rFonts w:hint="eastAsia" w:ascii="宋体" w:hAnsi="宋体" w:eastAsia="宋体" w:cs="宋体"/>
          <w:color w:val="000000"/>
          <w:sz w:val="24"/>
          <w:highlight w:val="none"/>
        </w:rPr>
        <w:t>等。</w:t>
      </w:r>
    </w:p>
    <w:p w14:paraId="20E39978">
      <w:pPr>
        <w:spacing w:line="360" w:lineRule="auto"/>
        <w:ind w:firstLine="480" w:firstLineChars="200"/>
        <w:outlineLvl w:val="9"/>
        <w:rPr>
          <w:rFonts w:hint="eastAsia" w:ascii="宋体" w:hAnsi="宋体" w:eastAsia="宋体" w:cs="宋体"/>
          <w:color w:val="000000"/>
          <w:sz w:val="24"/>
          <w:highlight w:val="none"/>
        </w:rPr>
      </w:pPr>
    </w:p>
    <w:p w14:paraId="47378DA7">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Cs w:val="28"/>
          <w:highlight w:val="none"/>
        </w:rPr>
      </w:pPr>
    </w:p>
    <w:p w14:paraId="4ADC99D6">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Cs w:val="28"/>
          <w:highlight w:val="none"/>
        </w:rPr>
      </w:pPr>
    </w:p>
    <w:p w14:paraId="088CD1DB">
      <w:pPr>
        <w:bidi w:val="0"/>
        <w:rPr>
          <w:rFonts w:hint="eastAsia" w:ascii="宋体" w:hAnsi="宋体" w:eastAsia="宋体" w:cs="宋体"/>
          <w:color w:val="000000"/>
        </w:rPr>
      </w:pPr>
    </w:p>
    <w:p w14:paraId="0428567D">
      <w:pPr>
        <w:bidi w:val="0"/>
        <w:rPr>
          <w:rFonts w:hint="eastAsia" w:ascii="宋体" w:hAnsi="宋体" w:eastAsia="宋体" w:cs="宋体"/>
          <w:color w:val="000000"/>
        </w:rPr>
      </w:pPr>
    </w:p>
    <w:p w14:paraId="4BE6057B">
      <w:pPr>
        <w:bidi w:val="0"/>
        <w:rPr>
          <w:rFonts w:hint="eastAsia" w:ascii="宋体" w:hAnsi="宋体" w:eastAsia="宋体" w:cs="宋体"/>
          <w:color w:val="000000"/>
        </w:rPr>
      </w:pPr>
    </w:p>
    <w:p w14:paraId="19F34763">
      <w:pPr>
        <w:bidi w:val="0"/>
        <w:rPr>
          <w:rFonts w:hint="eastAsia" w:ascii="宋体" w:hAnsi="宋体" w:eastAsia="宋体" w:cs="宋体"/>
          <w:color w:val="000000"/>
        </w:rPr>
      </w:pPr>
    </w:p>
    <w:p w14:paraId="4E758F05">
      <w:pPr>
        <w:bidi w:val="0"/>
        <w:rPr>
          <w:rFonts w:hint="eastAsia" w:ascii="宋体" w:hAnsi="宋体" w:eastAsia="宋体" w:cs="宋体"/>
          <w:color w:val="000000"/>
        </w:rPr>
      </w:pPr>
    </w:p>
    <w:p w14:paraId="0EDF1212">
      <w:pPr>
        <w:bidi w:val="0"/>
        <w:rPr>
          <w:rFonts w:hint="eastAsia" w:ascii="宋体" w:hAnsi="宋体" w:eastAsia="宋体" w:cs="宋体"/>
          <w:color w:val="000000"/>
        </w:rPr>
      </w:pPr>
    </w:p>
    <w:p w14:paraId="6B25F21E">
      <w:pPr>
        <w:bidi w:val="0"/>
        <w:rPr>
          <w:rFonts w:hint="eastAsia" w:ascii="宋体" w:hAnsi="宋体" w:eastAsia="宋体" w:cs="宋体"/>
          <w:color w:val="000000"/>
        </w:rPr>
      </w:pPr>
    </w:p>
    <w:p w14:paraId="6A1EA8F2">
      <w:pPr>
        <w:bidi w:val="0"/>
        <w:rPr>
          <w:rFonts w:hint="eastAsia" w:ascii="宋体" w:hAnsi="宋体" w:eastAsia="宋体" w:cs="宋体"/>
          <w:color w:val="000000"/>
        </w:rPr>
      </w:pPr>
    </w:p>
    <w:p w14:paraId="2874D43F">
      <w:pPr>
        <w:bidi w:val="0"/>
        <w:rPr>
          <w:rFonts w:hint="eastAsia" w:ascii="宋体" w:hAnsi="宋体" w:eastAsia="宋体" w:cs="宋体"/>
          <w:color w:val="000000"/>
        </w:rPr>
      </w:pPr>
    </w:p>
    <w:p w14:paraId="2690C114">
      <w:pPr>
        <w:bidi w:val="0"/>
        <w:rPr>
          <w:rFonts w:hint="eastAsia" w:ascii="宋体" w:hAnsi="宋体" w:eastAsia="宋体" w:cs="宋体"/>
          <w:color w:val="000000"/>
        </w:rPr>
      </w:pPr>
    </w:p>
    <w:p w14:paraId="7EB1E51C">
      <w:pPr>
        <w:bidi w:val="0"/>
        <w:rPr>
          <w:rFonts w:hint="eastAsia" w:ascii="宋体" w:hAnsi="宋体" w:eastAsia="宋体" w:cs="宋体"/>
          <w:color w:val="000000"/>
        </w:rPr>
      </w:pPr>
    </w:p>
    <w:p w14:paraId="02416CC7">
      <w:pPr>
        <w:bidi w:val="0"/>
        <w:rPr>
          <w:rFonts w:hint="eastAsia" w:ascii="宋体" w:hAnsi="宋体" w:eastAsia="宋体" w:cs="宋体"/>
          <w:color w:val="000000"/>
        </w:rPr>
      </w:pPr>
    </w:p>
    <w:p w14:paraId="516519D0">
      <w:pPr>
        <w:bidi w:val="0"/>
        <w:rPr>
          <w:rFonts w:hint="eastAsia" w:ascii="宋体" w:hAnsi="宋体" w:eastAsia="宋体" w:cs="宋体"/>
          <w:color w:val="000000"/>
        </w:rPr>
      </w:pPr>
    </w:p>
    <w:p w14:paraId="02CA9A3E">
      <w:pPr>
        <w:bidi w:val="0"/>
        <w:rPr>
          <w:rFonts w:hint="eastAsia" w:ascii="宋体" w:hAnsi="宋体" w:eastAsia="宋体" w:cs="宋体"/>
          <w:color w:val="000000"/>
        </w:rPr>
      </w:pPr>
    </w:p>
    <w:p w14:paraId="47923A29">
      <w:pPr>
        <w:bidi w:val="0"/>
        <w:rPr>
          <w:rFonts w:hint="eastAsia" w:ascii="宋体" w:hAnsi="宋体" w:eastAsia="宋体" w:cs="宋体"/>
          <w:color w:val="000000"/>
        </w:rPr>
      </w:pPr>
    </w:p>
    <w:p w14:paraId="4A0196D2">
      <w:pPr>
        <w:bidi w:val="0"/>
        <w:rPr>
          <w:rFonts w:hint="eastAsia" w:ascii="宋体" w:hAnsi="宋体" w:eastAsia="宋体" w:cs="宋体"/>
          <w:color w:val="000000"/>
        </w:rPr>
      </w:pPr>
    </w:p>
    <w:p w14:paraId="0AE5882D">
      <w:pPr>
        <w:bidi w:val="0"/>
        <w:rPr>
          <w:rFonts w:hint="eastAsia" w:ascii="宋体" w:hAnsi="宋体" w:eastAsia="宋体" w:cs="宋体"/>
          <w:color w:val="000000"/>
        </w:rPr>
      </w:pPr>
    </w:p>
    <w:p w14:paraId="0B80E893">
      <w:pPr>
        <w:bidi w:val="0"/>
        <w:rPr>
          <w:rFonts w:hint="eastAsia" w:ascii="宋体" w:hAnsi="宋体" w:eastAsia="宋体" w:cs="宋体"/>
          <w:color w:val="000000"/>
        </w:rPr>
      </w:pPr>
    </w:p>
    <w:p w14:paraId="0CEA3D91">
      <w:pPr>
        <w:bidi w:val="0"/>
        <w:rPr>
          <w:rFonts w:hint="eastAsia" w:ascii="宋体" w:hAnsi="宋体" w:eastAsia="宋体" w:cs="宋体"/>
          <w:color w:val="000000"/>
        </w:rPr>
      </w:pPr>
    </w:p>
    <w:p w14:paraId="4A1AE4C9">
      <w:pPr>
        <w:bidi w:val="0"/>
        <w:rPr>
          <w:rFonts w:hint="eastAsia" w:ascii="宋体" w:hAnsi="宋体" w:eastAsia="宋体" w:cs="宋体"/>
          <w:color w:val="000000"/>
        </w:rPr>
      </w:pPr>
    </w:p>
    <w:p w14:paraId="110B6306">
      <w:pPr>
        <w:bidi w:val="0"/>
        <w:rPr>
          <w:rFonts w:hint="eastAsia" w:ascii="宋体" w:hAnsi="宋体" w:eastAsia="宋体" w:cs="宋体"/>
          <w:color w:val="000000"/>
        </w:rPr>
      </w:pPr>
    </w:p>
    <w:p w14:paraId="5A839953">
      <w:pPr>
        <w:bidi w:val="0"/>
        <w:rPr>
          <w:rFonts w:hint="eastAsia" w:ascii="宋体" w:hAnsi="宋体" w:eastAsia="宋体" w:cs="宋体"/>
          <w:color w:val="000000"/>
        </w:rPr>
      </w:pPr>
    </w:p>
    <w:p w14:paraId="69A21319">
      <w:pPr>
        <w:bidi w:val="0"/>
        <w:rPr>
          <w:rFonts w:hint="eastAsia" w:ascii="宋体" w:hAnsi="宋体" w:eastAsia="宋体" w:cs="宋体"/>
          <w:color w:val="000000"/>
        </w:rPr>
      </w:pPr>
    </w:p>
    <w:p w14:paraId="7DEB46DE">
      <w:pPr>
        <w:bidi w:val="0"/>
        <w:rPr>
          <w:rFonts w:hint="eastAsia" w:ascii="宋体" w:hAnsi="宋体" w:eastAsia="宋体" w:cs="宋体"/>
          <w:color w:val="000000"/>
        </w:rPr>
      </w:pPr>
    </w:p>
    <w:p w14:paraId="0BD30429">
      <w:pPr>
        <w:bidi w:val="0"/>
        <w:rPr>
          <w:rFonts w:hint="eastAsia" w:ascii="宋体" w:hAnsi="宋体" w:eastAsia="宋体" w:cs="宋体"/>
          <w:color w:val="000000"/>
        </w:rPr>
      </w:pPr>
    </w:p>
    <w:p w14:paraId="1D51EB24">
      <w:pPr>
        <w:bidi w:val="0"/>
        <w:rPr>
          <w:rFonts w:hint="eastAsia" w:ascii="宋体" w:hAnsi="宋体" w:eastAsia="宋体" w:cs="宋体"/>
          <w:color w:val="000000"/>
        </w:rPr>
      </w:pPr>
    </w:p>
    <w:p w14:paraId="7998A97C">
      <w:pPr>
        <w:bidi w:val="0"/>
        <w:rPr>
          <w:rFonts w:hint="eastAsia" w:ascii="宋体" w:hAnsi="宋体" w:eastAsia="宋体" w:cs="宋体"/>
          <w:color w:val="000000"/>
        </w:rPr>
      </w:pPr>
    </w:p>
    <w:p w14:paraId="48ADE2CB">
      <w:pPr>
        <w:bidi w:val="0"/>
        <w:rPr>
          <w:rFonts w:hint="eastAsia" w:ascii="宋体" w:hAnsi="宋体" w:eastAsia="宋体" w:cs="宋体"/>
          <w:color w:val="000000"/>
        </w:rPr>
      </w:pPr>
    </w:p>
    <w:p w14:paraId="37B384D4">
      <w:pPr>
        <w:bidi w:val="0"/>
        <w:rPr>
          <w:rFonts w:hint="eastAsia" w:ascii="宋体" w:hAnsi="宋体" w:eastAsia="宋体" w:cs="宋体"/>
          <w:color w:val="000000"/>
        </w:rPr>
      </w:pPr>
    </w:p>
    <w:p w14:paraId="00BD65D5">
      <w:pPr>
        <w:bidi w:val="0"/>
        <w:rPr>
          <w:rFonts w:hint="eastAsia" w:ascii="宋体" w:hAnsi="宋体" w:eastAsia="宋体" w:cs="宋体"/>
          <w:color w:val="000000"/>
        </w:rPr>
      </w:pPr>
    </w:p>
    <w:p w14:paraId="59E16E64">
      <w:pPr>
        <w:bidi w:val="0"/>
        <w:rPr>
          <w:rFonts w:hint="eastAsia" w:ascii="宋体" w:hAnsi="宋体" w:eastAsia="宋体" w:cs="宋体"/>
          <w:color w:val="000000"/>
        </w:rPr>
      </w:pPr>
    </w:p>
    <w:p w14:paraId="1159CB2C">
      <w:pPr>
        <w:bidi w:val="0"/>
        <w:rPr>
          <w:rFonts w:hint="eastAsia" w:ascii="宋体" w:hAnsi="宋体" w:eastAsia="宋体" w:cs="宋体"/>
          <w:color w:val="000000"/>
        </w:rPr>
      </w:pPr>
    </w:p>
    <w:p w14:paraId="4029916D">
      <w:pPr>
        <w:bidi w:val="0"/>
        <w:rPr>
          <w:rFonts w:hint="eastAsia" w:ascii="宋体" w:hAnsi="宋体" w:eastAsia="宋体" w:cs="宋体"/>
          <w:color w:val="000000"/>
        </w:rPr>
      </w:pPr>
    </w:p>
    <w:p w14:paraId="199CE340">
      <w:pPr>
        <w:autoSpaceDE w:val="0"/>
        <w:autoSpaceDN w:val="0"/>
        <w:adjustRightInd w:val="0"/>
        <w:snapToGrid w:val="0"/>
        <w:spacing w:before="156" w:beforeLines="50" w:after="156" w:afterLines="50" w:line="300" w:lineRule="auto"/>
        <w:jc w:val="center"/>
        <w:outlineLvl w:val="9"/>
        <w:rPr>
          <w:rFonts w:hint="eastAsia" w:ascii="宋体" w:hAnsi="宋体" w:eastAsia="宋体" w:cs="宋体"/>
          <w:color w:val="000000"/>
          <w:highlight w:val="none"/>
        </w:rPr>
      </w:pPr>
      <w:bookmarkStart w:id="170" w:name="_Toc29855"/>
      <w:r>
        <w:rPr>
          <w:rFonts w:hint="eastAsia" w:ascii="宋体" w:hAnsi="宋体" w:eastAsia="宋体" w:cs="宋体"/>
          <w:b/>
          <w:bCs/>
          <w:color w:val="000000"/>
          <w:sz w:val="24"/>
          <w:highlight w:val="none"/>
        </w:rPr>
        <w:t>4.</w:t>
      </w:r>
      <w:r>
        <w:rPr>
          <w:rFonts w:hint="eastAsia" w:ascii="宋体" w:hAnsi="宋体" w:eastAsia="宋体" w:cs="宋体"/>
          <w:b/>
          <w:bCs/>
          <w:color w:val="000000"/>
          <w:sz w:val="24"/>
          <w:highlight w:val="none"/>
          <w:lang w:val="en-US"/>
        </w:rPr>
        <w:t>3</w:t>
      </w:r>
      <w:r>
        <w:rPr>
          <w:rFonts w:hint="eastAsia" w:ascii="宋体" w:hAnsi="宋体" w:eastAsia="宋体" w:cs="宋体"/>
          <w:b/>
          <w:bCs/>
          <w:color w:val="000000"/>
          <w:sz w:val="24"/>
          <w:highlight w:val="none"/>
        </w:rPr>
        <w:t xml:space="preserve">  联合体共同投标协议书（</w:t>
      </w:r>
      <w:r>
        <w:rPr>
          <w:rFonts w:hint="eastAsia" w:ascii="宋体" w:hAnsi="宋体" w:eastAsia="宋体" w:cs="宋体"/>
          <w:b/>
          <w:bCs/>
          <w:color w:val="000000"/>
          <w:sz w:val="24"/>
          <w:highlight w:val="none"/>
          <w:lang w:val="en-US"/>
        </w:rPr>
        <w:t>如需）</w:t>
      </w:r>
      <w:bookmarkEnd w:id="170"/>
    </w:p>
    <w:p w14:paraId="7DFCBD2C">
      <w:pPr>
        <w:pStyle w:val="7"/>
        <w:spacing w:line="360" w:lineRule="auto"/>
        <w:ind w:left="49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 </w:t>
      </w:r>
    </w:p>
    <w:p w14:paraId="29C7F5C7">
      <w:pPr>
        <w:pStyle w:val="7"/>
        <w:spacing w:line="360" w:lineRule="auto"/>
        <w:ind w:left="49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乙方： </w:t>
      </w:r>
    </w:p>
    <w:p w14:paraId="2BCB5F85">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甲乙双方自愿组成联合体，决定联合投标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项目，双方本着优势互补、真诚合作的原则，经共同协商，签订如下协议。</w:t>
      </w:r>
    </w:p>
    <w:p w14:paraId="27F22D5A">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1、联合投标体双方一致同意甲方为联合体牵头单位，代表联合体双方负责投标和合同签订工作。</w:t>
      </w:r>
    </w:p>
    <w:p w14:paraId="71326552">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2</w:t>
      </w:r>
      <w:r>
        <w:rPr>
          <w:rFonts w:hint="eastAsia" w:ascii="宋体" w:hAnsi="宋体" w:eastAsia="宋体" w:cs="宋体"/>
          <w:color w:val="000000"/>
          <w:sz w:val="24"/>
          <w:szCs w:val="24"/>
          <w:highlight w:val="none"/>
        </w:rPr>
        <w:t>、联合体的投标文件、招标人的招标文件、联合体与招标人签订的合同均对双方具有约束力。</w:t>
      </w:r>
    </w:p>
    <w:p w14:paraId="36D97223">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3</w:t>
      </w:r>
      <w:r>
        <w:rPr>
          <w:rFonts w:hint="eastAsia" w:ascii="宋体" w:hAnsi="宋体" w:eastAsia="宋体" w:cs="宋体"/>
          <w:color w:val="000000"/>
          <w:sz w:val="24"/>
          <w:szCs w:val="24"/>
          <w:highlight w:val="none"/>
        </w:rPr>
        <w:t>、如果联合体中标，甲方负责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等技术工作，乙方负责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等技术工作。具体工作任务、分工以中标后双方协商签订的合同为准。</w:t>
      </w:r>
    </w:p>
    <w:p w14:paraId="491A831B">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4</w:t>
      </w:r>
      <w:r>
        <w:rPr>
          <w:rFonts w:hint="eastAsia" w:ascii="宋体" w:hAnsi="宋体" w:eastAsia="宋体" w:cs="宋体"/>
          <w:color w:val="000000"/>
          <w:sz w:val="24"/>
          <w:szCs w:val="24"/>
          <w:highlight w:val="none"/>
        </w:rPr>
        <w:t>、甲乙双方将共同享有和承担完成本项目的权利和义务，并获得由此而得到的收益和承担相关的责任。双方具体合同金额以中标后双方协商签订的合同为准。</w:t>
      </w:r>
    </w:p>
    <w:p w14:paraId="3B2B749D">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5</w:t>
      </w:r>
      <w:r>
        <w:rPr>
          <w:rFonts w:hint="eastAsia" w:ascii="宋体" w:hAnsi="宋体" w:eastAsia="宋体" w:cs="宋体"/>
          <w:color w:val="000000"/>
          <w:sz w:val="24"/>
          <w:szCs w:val="24"/>
          <w:highlight w:val="none"/>
        </w:rPr>
        <w:t>、联合体形成后，各方不得再以自己名义在本项目中单独投标，联合投标的项目负责人不能作为其它联合体或单独投标单位的项目组成员。因发生上述问题导致联合体投标成为废标，联合体的另一方可追究其违约行为。</w:t>
      </w:r>
    </w:p>
    <w:p w14:paraId="3C7D8ED8">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6</w:t>
      </w:r>
      <w:r>
        <w:rPr>
          <w:rFonts w:hint="eastAsia" w:ascii="宋体" w:hAnsi="宋体" w:eastAsia="宋体" w:cs="宋体"/>
          <w:color w:val="000000"/>
          <w:sz w:val="24"/>
          <w:szCs w:val="24"/>
          <w:highlight w:val="none"/>
        </w:rPr>
        <w:t>、在实施工程中，本协议未竟事宜，由双方协商解决。</w:t>
      </w:r>
    </w:p>
    <w:p w14:paraId="4792911D">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7</w:t>
      </w:r>
      <w:r>
        <w:rPr>
          <w:rFonts w:hint="eastAsia" w:ascii="宋体" w:hAnsi="宋体" w:eastAsia="宋体" w:cs="宋体"/>
          <w:color w:val="000000"/>
          <w:sz w:val="24"/>
          <w:szCs w:val="24"/>
          <w:highlight w:val="none"/>
        </w:rPr>
        <w:t>、因履行本协议所引起的一切争议，双方应在诚信原则基础上协商解决。如协商不成，可向项目所在地人民法院起诉。</w:t>
      </w:r>
    </w:p>
    <w:p w14:paraId="00EB6DE6">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8</w:t>
      </w:r>
      <w:r>
        <w:rPr>
          <w:rFonts w:hint="eastAsia" w:ascii="宋体" w:hAnsi="宋体" w:eastAsia="宋体" w:cs="宋体"/>
          <w:color w:val="000000"/>
          <w:sz w:val="24"/>
          <w:szCs w:val="24"/>
          <w:highlight w:val="none"/>
        </w:rPr>
        <w:t>、本协议经双方签字盖章后生效，履行完协议约定的全部义务、结算项目费用或者该项目未能中标，则本协议自动终止。</w:t>
      </w:r>
    </w:p>
    <w:p w14:paraId="49E80A90">
      <w:pPr>
        <w:pStyle w:val="7"/>
        <w:spacing w:line="360" w:lineRule="auto"/>
        <w:ind w:left="490"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9</w:t>
      </w:r>
      <w:r>
        <w:rPr>
          <w:rFonts w:hint="eastAsia" w:ascii="宋体" w:hAnsi="宋体" w:eastAsia="宋体" w:cs="宋体"/>
          <w:color w:val="000000"/>
          <w:sz w:val="24"/>
          <w:szCs w:val="24"/>
          <w:highlight w:val="none"/>
        </w:rPr>
        <w:t>、本协议壹式</w:t>
      </w:r>
      <w:r>
        <w:rPr>
          <w:rFonts w:hint="eastAsia" w:ascii="宋体" w:hAnsi="宋体" w:eastAsia="宋体" w:cs="宋体"/>
          <w:color w:val="000000"/>
          <w:sz w:val="24"/>
          <w:szCs w:val="24"/>
          <w:highlight w:val="none"/>
          <w:lang w:val="en-US"/>
        </w:rPr>
        <w:t>伍</w:t>
      </w:r>
      <w:r>
        <w:rPr>
          <w:rFonts w:hint="eastAsia" w:ascii="宋体" w:hAnsi="宋体" w:eastAsia="宋体" w:cs="宋体"/>
          <w:color w:val="000000"/>
          <w:sz w:val="24"/>
          <w:szCs w:val="24"/>
          <w:highlight w:val="none"/>
        </w:rPr>
        <w:t>份，联合投标双方各执二份，投标书正本一份。</w:t>
      </w:r>
    </w:p>
    <w:p w14:paraId="74E73D3B">
      <w:pPr>
        <w:pStyle w:val="7"/>
        <w:spacing w:line="360" w:lineRule="auto"/>
        <w:ind w:left="490"/>
        <w:outlineLvl w:val="9"/>
        <w:rPr>
          <w:rFonts w:hint="eastAsia" w:ascii="宋体" w:hAnsi="宋体" w:eastAsia="宋体" w:cs="宋体"/>
          <w:color w:val="000000"/>
          <w:sz w:val="24"/>
          <w:szCs w:val="24"/>
          <w:highlight w:val="none"/>
        </w:rPr>
      </w:pPr>
    </w:p>
    <w:p w14:paraId="05E51C81">
      <w:pPr>
        <w:pStyle w:val="7"/>
        <w:spacing w:line="360" w:lineRule="auto"/>
        <w:ind w:left="49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r>
        <w:rPr>
          <w:rFonts w:hint="eastAsia" w:ascii="宋体" w:hAnsi="宋体" w:eastAsia="宋体" w:cs="宋体"/>
          <w:color w:val="000000"/>
          <w:sz w:val="24"/>
          <w:szCs w:val="24"/>
          <w:highlight w:val="none"/>
          <w:lang w:val="en-US"/>
        </w:rPr>
        <w:t>名称 ：</w:t>
      </w:r>
      <w:r>
        <w:rPr>
          <w:rFonts w:hint="eastAsia" w:ascii="宋体" w:hAnsi="宋体" w:eastAsia="宋体" w:cs="宋体"/>
          <w:color w:val="000000"/>
          <w:sz w:val="24"/>
          <w:szCs w:val="24"/>
          <w:highlight w:val="none"/>
          <w:u w:val="single"/>
          <w:lang w:val="en-US"/>
        </w:rPr>
        <w:t xml:space="preserve">           </w:t>
      </w:r>
      <w:r>
        <w:rPr>
          <w:rFonts w:hint="eastAsia" w:ascii="宋体" w:hAnsi="宋体" w:eastAsia="宋体" w:cs="宋体"/>
          <w:color w:val="000000"/>
          <w:sz w:val="24"/>
          <w:szCs w:val="24"/>
          <w:highlight w:val="none"/>
        </w:rPr>
        <w:t xml:space="preserve">(甲方公章)              </w:t>
      </w:r>
      <w:r>
        <w:rPr>
          <w:rFonts w:hint="eastAsia" w:ascii="宋体" w:hAnsi="宋体" w:eastAsia="宋体" w:cs="宋体"/>
          <w:color w:val="000000"/>
          <w:sz w:val="24"/>
          <w:szCs w:val="24"/>
          <w:highlight w:val="none"/>
          <w:lang w:val="en-US"/>
        </w:rPr>
        <w:t xml:space="preserve">    </w:t>
      </w:r>
      <w:r>
        <w:rPr>
          <w:rFonts w:hint="eastAsia" w:ascii="宋体" w:hAnsi="宋体" w:eastAsia="宋体" w:cs="宋体"/>
          <w:color w:val="000000"/>
          <w:sz w:val="24"/>
          <w:szCs w:val="24"/>
          <w:highlight w:val="none"/>
        </w:rPr>
        <w:t>日  期：    年   月   日　</w:t>
      </w:r>
    </w:p>
    <w:p w14:paraId="4480953F">
      <w:pPr>
        <w:pStyle w:val="7"/>
        <w:spacing w:line="360" w:lineRule="auto"/>
        <w:ind w:left="49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法定代表人(或委托代理人)：</w:t>
      </w:r>
      <w:r>
        <w:rPr>
          <w:rFonts w:hint="eastAsia" w:ascii="宋体" w:hAnsi="宋体" w:eastAsia="宋体" w:cs="宋体"/>
          <w:color w:val="000000"/>
          <w:sz w:val="24"/>
          <w:szCs w:val="24"/>
          <w:highlight w:val="none"/>
          <w:u w:val="single"/>
          <w:lang w:val="en-US"/>
        </w:rPr>
        <w:t xml:space="preserve">      </w:t>
      </w:r>
      <w:r>
        <w:rPr>
          <w:rFonts w:hint="eastAsia" w:ascii="宋体" w:hAnsi="宋体" w:eastAsia="宋体" w:cs="宋体"/>
          <w:color w:val="000000"/>
          <w:sz w:val="24"/>
          <w:szCs w:val="24"/>
          <w:highlight w:val="none"/>
        </w:rPr>
        <w:t>(签字或盖章)</w:t>
      </w:r>
    </w:p>
    <w:p w14:paraId="641C4280">
      <w:pPr>
        <w:pStyle w:val="7"/>
        <w:spacing w:line="360" w:lineRule="auto"/>
        <w:outlineLvl w:val="9"/>
        <w:rPr>
          <w:rFonts w:hint="eastAsia" w:ascii="宋体" w:hAnsi="宋体" w:eastAsia="宋体" w:cs="宋体"/>
          <w:color w:val="000000"/>
          <w:sz w:val="24"/>
          <w:szCs w:val="24"/>
          <w:highlight w:val="none"/>
        </w:rPr>
      </w:pPr>
    </w:p>
    <w:p w14:paraId="76592222">
      <w:pPr>
        <w:pStyle w:val="7"/>
        <w:spacing w:line="360" w:lineRule="auto"/>
        <w:ind w:left="49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乙</w:t>
      </w:r>
      <w:r>
        <w:rPr>
          <w:rFonts w:hint="eastAsia" w:ascii="宋体" w:hAnsi="宋体" w:eastAsia="宋体" w:cs="宋体"/>
          <w:color w:val="000000"/>
          <w:sz w:val="24"/>
          <w:szCs w:val="24"/>
          <w:highlight w:val="none"/>
        </w:rPr>
        <w:t>方</w:t>
      </w:r>
      <w:r>
        <w:rPr>
          <w:rFonts w:hint="eastAsia" w:ascii="宋体" w:hAnsi="宋体" w:eastAsia="宋体" w:cs="宋体"/>
          <w:color w:val="000000"/>
          <w:sz w:val="24"/>
          <w:szCs w:val="24"/>
          <w:highlight w:val="none"/>
          <w:lang w:val="en-US"/>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rPr>
        <w:t xml:space="preserve">            </w:t>
      </w:r>
      <w:r>
        <w:rPr>
          <w:rFonts w:hint="eastAsia" w:ascii="宋体" w:hAnsi="宋体" w:eastAsia="宋体" w:cs="宋体"/>
          <w:color w:val="000000"/>
          <w:sz w:val="24"/>
          <w:szCs w:val="24"/>
          <w:highlight w:val="none"/>
          <w:lang w:val="en-US"/>
        </w:rPr>
        <w:t xml:space="preserve"> </w:t>
      </w:r>
      <w:r>
        <w:rPr>
          <w:rFonts w:hint="eastAsia" w:ascii="宋体" w:hAnsi="宋体" w:eastAsia="宋体" w:cs="宋体"/>
          <w:color w:val="000000"/>
          <w:sz w:val="24"/>
          <w:szCs w:val="24"/>
          <w:highlight w:val="none"/>
        </w:rPr>
        <w:t xml:space="preserve">(乙方公章)             </w:t>
      </w:r>
      <w:r>
        <w:rPr>
          <w:rFonts w:hint="eastAsia" w:ascii="宋体" w:hAnsi="宋体" w:eastAsia="宋体" w:cs="宋体"/>
          <w:color w:val="000000"/>
          <w:sz w:val="24"/>
          <w:szCs w:val="24"/>
          <w:highlight w:val="none"/>
          <w:lang w:val="en-US"/>
        </w:rPr>
        <w:t xml:space="preserve">  </w:t>
      </w:r>
      <w:r>
        <w:rPr>
          <w:rFonts w:hint="eastAsia" w:ascii="宋体" w:hAnsi="宋体" w:eastAsia="宋体" w:cs="宋体"/>
          <w:color w:val="000000"/>
          <w:sz w:val="24"/>
          <w:szCs w:val="24"/>
          <w:highlight w:val="none"/>
        </w:rPr>
        <w:t xml:space="preserve"> 日  期：    年   月   日</w:t>
      </w:r>
    </w:p>
    <w:p w14:paraId="2426B3D5">
      <w:pPr>
        <w:pStyle w:val="7"/>
        <w:spacing w:line="360" w:lineRule="auto"/>
        <w:ind w:left="49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法定代表人(或委托代理人)：</w:t>
      </w:r>
      <w:r>
        <w:rPr>
          <w:rFonts w:hint="eastAsia" w:ascii="宋体" w:hAnsi="宋体" w:eastAsia="宋体" w:cs="宋体"/>
          <w:color w:val="000000"/>
          <w:sz w:val="24"/>
          <w:szCs w:val="24"/>
          <w:highlight w:val="none"/>
          <w:u w:val="single"/>
          <w:lang w:val="en-US"/>
        </w:rPr>
        <w:t xml:space="preserve">      </w:t>
      </w:r>
      <w:r>
        <w:rPr>
          <w:rFonts w:hint="eastAsia" w:ascii="宋体" w:hAnsi="宋体" w:eastAsia="宋体" w:cs="宋体"/>
          <w:color w:val="000000"/>
          <w:sz w:val="24"/>
          <w:szCs w:val="24"/>
          <w:highlight w:val="none"/>
        </w:rPr>
        <w:t>(签字或盖章)</w:t>
      </w:r>
    </w:p>
    <w:p w14:paraId="1B02B7B3">
      <w:pPr>
        <w:spacing w:line="480" w:lineRule="exact"/>
        <w:jc w:val="center"/>
        <w:outlineLvl w:val="9"/>
        <w:rPr>
          <w:rFonts w:hint="eastAsia" w:ascii="宋体" w:hAnsi="宋体" w:eastAsia="宋体" w:cs="宋体"/>
          <w:b/>
          <w:color w:val="000000"/>
          <w:sz w:val="30"/>
          <w:szCs w:val="30"/>
          <w:highlight w:val="none"/>
        </w:rPr>
      </w:pPr>
      <w:r>
        <w:rPr>
          <w:rFonts w:hint="eastAsia" w:ascii="宋体" w:hAnsi="宋体" w:eastAsia="宋体" w:cs="宋体"/>
          <w:b/>
          <w:bCs/>
          <w:color w:val="000000"/>
          <w:szCs w:val="28"/>
          <w:highlight w:val="none"/>
        </w:rPr>
        <w:br w:type="page"/>
      </w:r>
      <w:bookmarkStart w:id="171" w:name="_Toc456966065"/>
      <w:bookmarkStart w:id="172" w:name="_Toc456953787"/>
      <w:bookmarkStart w:id="173" w:name="_Toc256773238"/>
      <w:bookmarkStart w:id="174" w:name="_Toc459446232"/>
      <w:bookmarkStart w:id="175" w:name="_Toc456951624"/>
      <w:bookmarkStart w:id="176" w:name="_Toc263413237"/>
      <w:r>
        <w:rPr>
          <w:rFonts w:hint="eastAsia" w:ascii="宋体" w:hAnsi="宋体" w:eastAsia="宋体" w:cs="宋体"/>
          <w:b/>
          <w:bCs/>
          <w:color w:val="000000"/>
          <w:sz w:val="30"/>
          <w:szCs w:val="30"/>
          <w:highlight w:val="none"/>
        </w:rPr>
        <w:t>五、</w:t>
      </w:r>
      <w:bookmarkEnd w:id="171"/>
      <w:bookmarkEnd w:id="172"/>
      <w:bookmarkEnd w:id="173"/>
      <w:bookmarkEnd w:id="174"/>
      <w:bookmarkEnd w:id="175"/>
      <w:bookmarkEnd w:id="176"/>
      <w:r>
        <w:rPr>
          <w:rFonts w:hint="eastAsia" w:ascii="宋体" w:hAnsi="宋体" w:eastAsia="宋体" w:cs="宋体"/>
          <w:b/>
          <w:color w:val="000000"/>
          <w:sz w:val="30"/>
          <w:szCs w:val="30"/>
          <w:highlight w:val="none"/>
        </w:rPr>
        <w:t>缴纳投标保证的凭证</w:t>
      </w:r>
    </w:p>
    <w:p w14:paraId="36508095">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500" w:lineRule="exact"/>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bCs/>
          <w:color w:val="000000"/>
          <w:sz w:val="30"/>
          <w:szCs w:val="30"/>
          <w:highlight w:val="none"/>
          <w:lang w:val="en-US" w:eastAsia="zh-CN"/>
        </w:rPr>
        <w:t xml:space="preserve">  </w:t>
      </w:r>
      <w:r>
        <w:rPr>
          <w:rFonts w:hint="eastAsia" w:ascii="宋体" w:hAnsi="宋体" w:eastAsia="宋体" w:cs="宋体"/>
          <w:b w:val="0"/>
          <w:bCs w:val="0"/>
          <w:color w:val="000000"/>
          <w:sz w:val="24"/>
          <w:szCs w:val="24"/>
          <w:highlight w:val="none"/>
          <w:lang w:val="en-US" w:eastAsia="zh-CN"/>
        </w:rPr>
        <w:t xml:space="preserve"> 投标保证缴纳证明（投标人采用投标保证金的，附建设工程交易系统《缴纳投标保证金通知书》页面截图和银行转账单</w:t>
      </w:r>
      <w:r>
        <w:rPr>
          <w:rFonts w:hint="eastAsia" w:ascii="宋体" w:hAnsi="宋体" w:eastAsia="宋体" w:cs="宋体"/>
          <w:b/>
          <w:bCs/>
          <w:color w:val="000000"/>
          <w:sz w:val="24"/>
          <w:szCs w:val="24"/>
          <w:highlight w:val="none"/>
          <w:lang w:val="en-US" w:eastAsia="zh-CN"/>
        </w:rPr>
        <w:t>彩色扫描件</w:t>
      </w:r>
      <w:r>
        <w:rPr>
          <w:rFonts w:hint="eastAsia" w:ascii="宋体" w:hAnsi="宋体" w:eastAsia="宋体" w:cs="宋体"/>
          <w:b w:val="0"/>
          <w:bCs w:val="0"/>
          <w:color w:val="000000"/>
          <w:sz w:val="24"/>
          <w:szCs w:val="24"/>
          <w:highlight w:val="none"/>
          <w:lang w:val="en-US" w:eastAsia="zh-CN"/>
        </w:rPr>
        <w:t>；采用投标保证担保的，附银行保函</w:t>
      </w:r>
      <w:r>
        <w:rPr>
          <w:rFonts w:hint="eastAsia" w:ascii="宋体" w:hAnsi="宋体" w:eastAsia="宋体" w:cs="宋体"/>
          <w:b/>
          <w:bCs/>
          <w:color w:val="000000"/>
          <w:sz w:val="24"/>
          <w:szCs w:val="24"/>
          <w:highlight w:val="none"/>
          <w:lang w:val="en-US" w:eastAsia="zh-CN"/>
        </w:rPr>
        <w:t>彩色扫描件</w:t>
      </w:r>
      <w:r>
        <w:rPr>
          <w:rFonts w:hint="eastAsia" w:ascii="宋体" w:hAnsi="宋体" w:eastAsia="宋体" w:cs="宋体"/>
          <w:b w:val="0"/>
          <w:bCs w:val="0"/>
          <w:color w:val="000000"/>
          <w:sz w:val="24"/>
          <w:szCs w:val="24"/>
          <w:highlight w:val="none"/>
          <w:lang w:val="en-US" w:eastAsia="zh-CN"/>
        </w:rPr>
        <w:t>；采用投标保证保险的，附电子保单和《韶关市公共资源交易一体化平台保证金缴纳信息》页面截图）</w:t>
      </w:r>
      <w:r>
        <w:rPr>
          <w:rFonts w:hint="eastAsia" w:ascii="宋体" w:hAnsi="宋体" w:eastAsia="宋体" w:cs="宋体"/>
          <w:b w:val="0"/>
          <w:bCs w:val="0"/>
          <w:color w:val="000000"/>
          <w:sz w:val="24"/>
          <w:szCs w:val="24"/>
          <w:highlight w:val="none"/>
        </w:rPr>
        <w:t>。</w:t>
      </w:r>
    </w:p>
    <w:p w14:paraId="714AB2F4">
      <w:pPr>
        <w:outlineLvl w:val="9"/>
        <w:rPr>
          <w:rFonts w:hint="eastAsia" w:ascii="宋体" w:hAnsi="宋体" w:eastAsia="宋体" w:cs="宋体"/>
          <w:color w:val="000000"/>
          <w:szCs w:val="28"/>
          <w:highlight w:val="none"/>
        </w:rPr>
      </w:pPr>
    </w:p>
    <w:p w14:paraId="279A0FBE">
      <w:pPr>
        <w:spacing w:line="480" w:lineRule="exact"/>
        <w:outlineLvl w:val="9"/>
        <w:rPr>
          <w:rFonts w:hint="eastAsia" w:ascii="宋体" w:hAnsi="宋体" w:eastAsia="宋体" w:cs="宋体"/>
          <w:color w:val="000000"/>
          <w:sz w:val="24"/>
          <w:highlight w:val="none"/>
        </w:rPr>
      </w:pPr>
    </w:p>
    <w:p w14:paraId="70F2A1A2">
      <w:pPr>
        <w:spacing w:line="480" w:lineRule="exact"/>
        <w:outlineLvl w:val="9"/>
        <w:rPr>
          <w:rFonts w:hint="eastAsia" w:ascii="宋体" w:hAnsi="宋体" w:eastAsia="宋体" w:cs="宋体"/>
          <w:color w:val="000000"/>
          <w:sz w:val="24"/>
          <w:highlight w:val="none"/>
        </w:rPr>
      </w:pPr>
    </w:p>
    <w:p w14:paraId="6F81A1E1">
      <w:pPr>
        <w:spacing w:line="480" w:lineRule="exact"/>
        <w:outlineLvl w:val="9"/>
        <w:rPr>
          <w:rFonts w:hint="eastAsia" w:ascii="宋体" w:hAnsi="宋体" w:eastAsia="宋体" w:cs="宋体"/>
          <w:color w:val="000000"/>
          <w:sz w:val="24"/>
          <w:highlight w:val="none"/>
        </w:rPr>
      </w:pPr>
    </w:p>
    <w:p w14:paraId="27E5F190">
      <w:pPr>
        <w:spacing w:line="480" w:lineRule="exact"/>
        <w:ind w:left="3720" w:hanging="3720" w:hangingChars="155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3DEA8DAC">
      <w:pPr>
        <w:spacing w:line="480" w:lineRule="exact"/>
        <w:ind w:left="3720" w:hanging="3720" w:hangingChars="1550"/>
        <w:outlineLvl w:val="9"/>
        <w:rPr>
          <w:rFonts w:hint="eastAsia" w:ascii="宋体" w:hAnsi="宋体" w:eastAsia="宋体" w:cs="宋体"/>
          <w:color w:val="000000"/>
          <w:sz w:val="24"/>
          <w:highlight w:val="none"/>
        </w:rPr>
      </w:pPr>
    </w:p>
    <w:p w14:paraId="61F2A82A">
      <w:pPr>
        <w:spacing w:line="480" w:lineRule="exact"/>
        <w:ind w:left="3720" w:hanging="3720" w:hangingChars="1550"/>
        <w:outlineLvl w:val="9"/>
        <w:rPr>
          <w:rFonts w:hint="eastAsia" w:ascii="宋体" w:hAnsi="宋体" w:eastAsia="宋体" w:cs="宋体"/>
          <w:color w:val="000000"/>
          <w:sz w:val="24"/>
          <w:highlight w:val="none"/>
        </w:rPr>
      </w:pPr>
    </w:p>
    <w:p w14:paraId="6F0B2F18">
      <w:pPr>
        <w:spacing w:line="480" w:lineRule="exact"/>
        <w:ind w:left="3720" w:hanging="3720" w:hangingChars="1550"/>
        <w:outlineLvl w:val="9"/>
        <w:rPr>
          <w:rFonts w:hint="eastAsia" w:ascii="宋体" w:hAnsi="宋体" w:eastAsia="宋体" w:cs="宋体"/>
          <w:color w:val="000000"/>
          <w:sz w:val="24"/>
          <w:highlight w:val="none"/>
        </w:rPr>
      </w:pPr>
    </w:p>
    <w:p w14:paraId="6620D979">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Cs w:val="28"/>
          <w:highlight w:val="none"/>
        </w:rPr>
      </w:pPr>
    </w:p>
    <w:p w14:paraId="6A3C7D13">
      <w:pPr>
        <w:autoSpaceDE w:val="0"/>
        <w:autoSpaceDN w:val="0"/>
        <w:adjustRightInd w:val="0"/>
        <w:snapToGrid w:val="0"/>
        <w:spacing w:before="156" w:beforeLines="50" w:after="156" w:afterLines="50" w:line="300" w:lineRule="auto"/>
        <w:jc w:val="center"/>
        <w:outlineLvl w:val="9"/>
        <w:rPr>
          <w:rFonts w:hint="eastAsia" w:ascii="宋体" w:hAnsi="宋体" w:eastAsia="宋体" w:cs="宋体"/>
          <w:color w:val="000000"/>
          <w:highlight w:val="none"/>
        </w:rPr>
      </w:pPr>
      <w:r>
        <w:rPr>
          <w:rFonts w:hint="eastAsia" w:ascii="宋体" w:hAnsi="宋体" w:eastAsia="宋体" w:cs="宋体"/>
          <w:b/>
          <w:bCs/>
          <w:color w:val="000000"/>
          <w:szCs w:val="28"/>
          <w:highlight w:val="none"/>
        </w:rPr>
        <w:br w:type="page"/>
      </w:r>
      <w:r>
        <w:rPr>
          <w:rFonts w:hint="eastAsia" w:ascii="宋体" w:hAnsi="宋体" w:eastAsia="宋体" w:cs="宋体"/>
          <w:b/>
          <w:bCs/>
          <w:color w:val="000000"/>
          <w:sz w:val="30"/>
          <w:szCs w:val="30"/>
          <w:highlight w:val="none"/>
        </w:rPr>
        <w:t>六、</w:t>
      </w:r>
      <w:bookmarkStart w:id="177" w:name="_Toc287388354"/>
      <w:bookmarkStart w:id="178" w:name="_Toc148722069"/>
      <w:bookmarkStart w:id="179" w:name="_Toc99506530"/>
      <w:r>
        <w:rPr>
          <w:rFonts w:hint="eastAsia" w:ascii="宋体" w:hAnsi="宋体" w:eastAsia="宋体" w:cs="宋体"/>
          <w:b/>
          <w:bCs/>
          <w:color w:val="000000"/>
          <w:sz w:val="30"/>
          <w:szCs w:val="30"/>
          <w:highlight w:val="none"/>
        </w:rPr>
        <w:t>投标辅助资料</w:t>
      </w:r>
      <w:bookmarkEnd w:id="177"/>
      <w:bookmarkEnd w:id="178"/>
      <w:bookmarkEnd w:id="179"/>
    </w:p>
    <w:p w14:paraId="7709D14F">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 w:val="24"/>
          <w:highlight w:val="none"/>
        </w:rPr>
      </w:pPr>
      <w:bookmarkStart w:id="180" w:name="_Toc25161"/>
      <w:r>
        <w:rPr>
          <w:rFonts w:hint="eastAsia" w:ascii="宋体" w:hAnsi="宋体" w:eastAsia="宋体" w:cs="宋体"/>
          <w:b/>
          <w:bCs/>
          <w:color w:val="000000"/>
          <w:sz w:val="24"/>
          <w:highlight w:val="none"/>
        </w:rPr>
        <w:t>6.1  业绩情况表</w:t>
      </w:r>
      <w:bookmarkEnd w:id="180"/>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267"/>
      </w:tblGrid>
      <w:tr w14:paraId="792D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0"/>
            <w:vAlign w:val="center"/>
          </w:tcPr>
          <w:p w14:paraId="00BA80A1">
            <w:pPr>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合同名称</w:t>
            </w:r>
          </w:p>
        </w:tc>
        <w:tc>
          <w:tcPr>
            <w:tcW w:w="7267" w:type="dxa"/>
            <w:noWrap w:val="0"/>
            <w:vAlign w:val="top"/>
          </w:tcPr>
          <w:p w14:paraId="2348E2BC">
            <w:pPr>
              <w:tabs>
                <w:tab w:val="left" w:pos="1455"/>
              </w:tabs>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ab/>
            </w:r>
          </w:p>
        </w:tc>
      </w:tr>
      <w:tr w14:paraId="3ED2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0"/>
            <w:vAlign w:val="center"/>
          </w:tcPr>
          <w:p w14:paraId="7F8827A4">
            <w:pPr>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合同项目所在地</w:t>
            </w:r>
          </w:p>
        </w:tc>
        <w:tc>
          <w:tcPr>
            <w:tcW w:w="7267" w:type="dxa"/>
            <w:noWrap w:val="0"/>
            <w:vAlign w:val="top"/>
          </w:tcPr>
          <w:p w14:paraId="71AEC43F">
            <w:pPr>
              <w:topLinePunct/>
              <w:spacing w:line="440" w:lineRule="exact"/>
              <w:outlineLvl w:val="9"/>
              <w:rPr>
                <w:rFonts w:hint="eastAsia" w:ascii="宋体" w:hAnsi="宋体" w:eastAsia="宋体" w:cs="宋体"/>
                <w:color w:val="000000"/>
                <w:sz w:val="24"/>
                <w:highlight w:val="none"/>
              </w:rPr>
            </w:pPr>
          </w:p>
        </w:tc>
      </w:tr>
      <w:tr w14:paraId="0E7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0"/>
            <w:vAlign w:val="center"/>
          </w:tcPr>
          <w:p w14:paraId="1DC3D470">
            <w:pPr>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发包人名称</w:t>
            </w:r>
          </w:p>
        </w:tc>
        <w:tc>
          <w:tcPr>
            <w:tcW w:w="7267" w:type="dxa"/>
            <w:noWrap w:val="0"/>
            <w:vAlign w:val="top"/>
          </w:tcPr>
          <w:p w14:paraId="6F0E33C8">
            <w:pPr>
              <w:topLinePunct/>
              <w:spacing w:line="440" w:lineRule="exact"/>
              <w:outlineLvl w:val="9"/>
              <w:rPr>
                <w:rFonts w:hint="eastAsia" w:ascii="宋体" w:hAnsi="宋体" w:eastAsia="宋体" w:cs="宋体"/>
                <w:color w:val="000000"/>
                <w:sz w:val="24"/>
                <w:highlight w:val="none"/>
              </w:rPr>
            </w:pPr>
          </w:p>
        </w:tc>
      </w:tr>
      <w:tr w14:paraId="4B0A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noWrap w:val="0"/>
            <w:vAlign w:val="center"/>
          </w:tcPr>
          <w:p w14:paraId="0E763EB4">
            <w:pPr>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发包人地址</w:t>
            </w:r>
          </w:p>
        </w:tc>
        <w:tc>
          <w:tcPr>
            <w:tcW w:w="7267" w:type="dxa"/>
            <w:noWrap w:val="0"/>
            <w:vAlign w:val="top"/>
          </w:tcPr>
          <w:p w14:paraId="28110402">
            <w:pPr>
              <w:topLinePunct/>
              <w:spacing w:line="440" w:lineRule="exact"/>
              <w:outlineLvl w:val="9"/>
              <w:rPr>
                <w:rFonts w:hint="eastAsia" w:ascii="宋体" w:hAnsi="宋体" w:eastAsia="宋体" w:cs="宋体"/>
                <w:color w:val="000000"/>
                <w:sz w:val="24"/>
                <w:highlight w:val="none"/>
              </w:rPr>
            </w:pPr>
          </w:p>
        </w:tc>
      </w:tr>
      <w:tr w14:paraId="6DA8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0"/>
            <w:vAlign w:val="center"/>
          </w:tcPr>
          <w:p w14:paraId="1B8702FD">
            <w:pPr>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发包人电话</w:t>
            </w:r>
          </w:p>
        </w:tc>
        <w:tc>
          <w:tcPr>
            <w:tcW w:w="7267" w:type="dxa"/>
            <w:noWrap w:val="0"/>
            <w:vAlign w:val="top"/>
          </w:tcPr>
          <w:p w14:paraId="1E19E493">
            <w:pPr>
              <w:topLinePunct/>
              <w:spacing w:line="440" w:lineRule="exact"/>
              <w:outlineLvl w:val="9"/>
              <w:rPr>
                <w:rFonts w:hint="eastAsia" w:ascii="宋体" w:hAnsi="宋体" w:eastAsia="宋体" w:cs="宋体"/>
                <w:color w:val="000000"/>
                <w:sz w:val="24"/>
                <w:highlight w:val="none"/>
              </w:rPr>
            </w:pPr>
          </w:p>
        </w:tc>
      </w:tr>
      <w:tr w14:paraId="71E7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0"/>
            <w:vAlign w:val="center"/>
          </w:tcPr>
          <w:p w14:paraId="5C702AC2">
            <w:pPr>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合同价格</w:t>
            </w:r>
          </w:p>
        </w:tc>
        <w:tc>
          <w:tcPr>
            <w:tcW w:w="7267" w:type="dxa"/>
            <w:noWrap w:val="0"/>
            <w:vAlign w:val="top"/>
          </w:tcPr>
          <w:p w14:paraId="48165E63">
            <w:pPr>
              <w:topLinePunct/>
              <w:spacing w:line="440" w:lineRule="exact"/>
              <w:outlineLvl w:val="9"/>
              <w:rPr>
                <w:rFonts w:hint="eastAsia" w:ascii="宋体" w:hAnsi="宋体" w:eastAsia="宋体" w:cs="宋体"/>
                <w:color w:val="000000"/>
                <w:sz w:val="24"/>
                <w:highlight w:val="none"/>
              </w:rPr>
            </w:pPr>
          </w:p>
        </w:tc>
      </w:tr>
      <w:tr w14:paraId="7289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0"/>
            <w:vAlign w:val="center"/>
          </w:tcPr>
          <w:p w14:paraId="2D84AA77">
            <w:pPr>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承担的工作</w:t>
            </w:r>
          </w:p>
        </w:tc>
        <w:tc>
          <w:tcPr>
            <w:tcW w:w="7267" w:type="dxa"/>
            <w:noWrap w:val="0"/>
            <w:vAlign w:val="top"/>
          </w:tcPr>
          <w:p w14:paraId="282082AF">
            <w:pPr>
              <w:topLinePunct/>
              <w:spacing w:line="440" w:lineRule="exact"/>
              <w:outlineLvl w:val="9"/>
              <w:rPr>
                <w:rFonts w:hint="eastAsia" w:ascii="宋体" w:hAnsi="宋体" w:eastAsia="宋体" w:cs="宋体"/>
                <w:color w:val="000000"/>
                <w:sz w:val="24"/>
                <w:highlight w:val="none"/>
              </w:rPr>
            </w:pPr>
          </w:p>
        </w:tc>
      </w:tr>
      <w:tr w14:paraId="1C2E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269" w:type="dxa"/>
            <w:noWrap w:val="0"/>
            <w:vAlign w:val="center"/>
          </w:tcPr>
          <w:p w14:paraId="78DE8EA0">
            <w:pPr>
              <w:topLinePunct/>
              <w:spacing w:line="440" w:lineRule="exac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合同项目描述</w:t>
            </w:r>
          </w:p>
        </w:tc>
        <w:tc>
          <w:tcPr>
            <w:tcW w:w="7267" w:type="dxa"/>
            <w:noWrap w:val="0"/>
            <w:vAlign w:val="top"/>
          </w:tcPr>
          <w:p w14:paraId="46580329">
            <w:pPr>
              <w:topLinePunct/>
              <w:spacing w:line="440" w:lineRule="exact"/>
              <w:outlineLvl w:val="9"/>
              <w:rPr>
                <w:rFonts w:hint="eastAsia" w:ascii="宋体" w:hAnsi="宋体" w:eastAsia="宋体" w:cs="宋体"/>
                <w:color w:val="000000"/>
                <w:sz w:val="24"/>
                <w:highlight w:val="none"/>
              </w:rPr>
            </w:pPr>
          </w:p>
          <w:p w14:paraId="42BCF7C4">
            <w:pPr>
              <w:topLinePunct/>
              <w:spacing w:line="440" w:lineRule="exact"/>
              <w:outlineLvl w:val="9"/>
              <w:rPr>
                <w:rFonts w:hint="eastAsia" w:ascii="宋体" w:hAnsi="宋体" w:eastAsia="宋体" w:cs="宋体"/>
                <w:color w:val="000000"/>
                <w:sz w:val="24"/>
                <w:highlight w:val="none"/>
              </w:rPr>
            </w:pPr>
          </w:p>
          <w:p w14:paraId="171FD562">
            <w:pPr>
              <w:topLinePunct/>
              <w:spacing w:line="440" w:lineRule="exact"/>
              <w:outlineLvl w:val="9"/>
              <w:rPr>
                <w:rFonts w:hint="eastAsia" w:ascii="宋体" w:hAnsi="宋体" w:eastAsia="宋体" w:cs="宋体"/>
                <w:color w:val="000000"/>
                <w:sz w:val="24"/>
                <w:highlight w:val="none"/>
              </w:rPr>
            </w:pPr>
          </w:p>
          <w:p w14:paraId="2711293A">
            <w:pPr>
              <w:topLinePunct/>
              <w:spacing w:line="440" w:lineRule="exact"/>
              <w:outlineLvl w:val="9"/>
              <w:rPr>
                <w:rFonts w:hint="eastAsia" w:ascii="宋体" w:hAnsi="宋体" w:eastAsia="宋体" w:cs="宋体"/>
                <w:color w:val="000000"/>
                <w:sz w:val="24"/>
                <w:highlight w:val="none"/>
              </w:rPr>
            </w:pPr>
          </w:p>
          <w:p w14:paraId="4F50551C">
            <w:pPr>
              <w:topLinePunct/>
              <w:spacing w:line="440" w:lineRule="exact"/>
              <w:outlineLvl w:val="9"/>
              <w:rPr>
                <w:rFonts w:hint="eastAsia" w:ascii="宋体" w:hAnsi="宋体" w:eastAsia="宋体" w:cs="宋体"/>
                <w:color w:val="000000"/>
                <w:sz w:val="24"/>
                <w:highlight w:val="none"/>
              </w:rPr>
            </w:pPr>
          </w:p>
        </w:tc>
      </w:tr>
    </w:tbl>
    <w:p w14:paraId="2665D04A">
      <w:pPr>
        <w:spacing w:line="480" w:lineRule="auto"/>
        <w:ind w:firstLine="4680" w:firstLineChars="1950"/>
        <w:jc w:val="left"/>
        <w:outlineLvl w:val="9"/>
        <w:rPr>
          <w:rFonts w:hint="eastAsia" w:ascii="宋体" w:hAnsi="宋体" w:eastAsia="宋体" w:cs="宋体"/>
          <w:color w:val="000000"/>
          <w:sz w:val="24"/>
          <w:highlight w:val="none"/>
        </w:rPr>
      </w:pPr>
    </w:p>
    <w:p w14:paraId="286509EE">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注：1、投标人根据评标办法前附表提供承接的类似项目业绩，有多个项目的每个项目单独列表；</w:t>
      </w:r>
    </w:p>
    <w:p w14:paraId="699165B6">
      <w:pPr>
        <w:adjustRightInd w:val="0"/>
        <w:snapToGrid w:val="0"/>
        <w:spacing w:line="360" w:lineRule="auto"/>
        <w:ind w:firstLine="960" w:firstLineChars="4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2、本表后附（</w:t>
      </w:r>
      <w:r>
        <w:rPr>
          <w:rFonts w:hint="eastAsia" w:ascii="宋体" w:hAnsi="宋体" w:eastAsia="宋体" w:cs="宋体"/>
          <w:color w:val="000000"/>
          <w:sz w:val="24"/>
          <w:highlight w:val="none"/>
          <w:lang w:val="en-US" w:eastAsia="zh-CN"/>
        </w:rPr>
        <w:t>评标办法前附表中要求提供的相关证明材料</w:t>
      </w:r>
      <w:r>
        <w:rPr>
          <w:rFonts w:hint="eastAsia" w:ascii="宋体" w:hAnsi="宋体" w:eastAsia="宋体" w:cs="宋体"/>
          <w:b/>
          <w:bCs/>
          <w:color w:val="000000"/>
          <w:sz w:val="24"/>
          <w:highlight w:val="none"/>
          <w:lang w:val="en-US" w:eastAsia="zh-CN"/>
        </w:rPr>
        <w:t>彩色扫描件</w:t>
      </w:r>
      <w:r>
        <w:rPr>
          <w:rFonts w:hint="eastAsia" w:ascii="宋体" w:hAnsi="宋体" w:eastAsia="宋体" w:cs="宋体"/>
          <w:color w:val="000000"/>
          <w:sz w:val="24"/>
          <w:highlight w:val="none"/>
        </w:rPr>
        <w:t>）。</w:t>
      </w:r>
    </w:p>
    <w:p w14:paraId="728D69B6">
      <w:pPr>
        <w:adjustRightInd w:val="0"/>
        <w:snapToGrid w:val="0"/>
        <w:spacing w:line="360" w:lineRule="auto"/>
        <w:ind w:firstLine="420" w:firstLineChars="200"/>
        <w:outlineLvl w:val="9"/>
        <w:rPr>
          <w:rFonts w:hint="eastAsia" w:ascii="宋体" w:hAnsi="宋体" w:eastAsia="宋体" w:cs="宋体"/>
          <w:color w:val="000000"/>
          <w:highlight w:val="none"/>
        </w:rPr>
      </w:pPr>
    </w:p>
    <w:p w14:paraId="17C73A66">
      <w:pPr>
        <w:adjustRightInd w:val="0"/>
        <w:snapToGrid w:val="0"/>
        <w:spacing w:line="360" w:lineRule="auto"/>
        <w:ind w:firstLine="420" w:firstLineChars="200"/>
        <w:outlineLvl w:val="9"/>
        <w:rPr>
          <w:rFonts w:hint="eastAsia" w:ascii="宋体" w:hAnsi="宋体" w:eastAsia="宋体" w:cs="宋体"/>
          <w:color w:val="000000"/>
          <w:highlight w:val="none"/>
        </w:rPr>
      </w:pPr>
    </w:p>
    <w:p w14:paraId="3D7CFBDF">
      <w:pPr>
        <w:spacing w:line="360" w:lineRule="auto"/>
        <w:ind w:firstLine="3091" w:firstLineChars="1288"/>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(盖单位章)                    </w:t>
      </w:r>
    </w:p>
    <w:p w14:paraId="7C0BF174">
      <w:pPr>
        <w:spacing w:line="360" w:lineRule="auto"/>
        <w:ind w:firstLine="2973" w:firstLineChars="1239"/>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bookmarkStart w:id="181" w:name="_Toc30331"/>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bookmarkEnd w:id="181"/>
      <w:r>
        <w:rPr>
          <w:rFonts w:hint="eastAsia" w:ascii="宋体" w:hAnsi="宋体" w:eastAsia="宋体" w:cs="宋体"/>
          <w:color w:val="000000"/>
          <w:sz w:val="24"/>
          <w:highlight w:val="none"/>
        </w:rPr>
        <w:t xml:space="preserve">    </w:t>
      </w:r>
    </w:p>
    <w:p w14:paraId="40F29C39">
      <w:pPr>
        <w:autoSpaceDE w:val="0"/>
        <w:autoSpaceDN w:val="0"/>
        <w:adjustRightInd w:val="0"/>
        <w:snapToGrid w:val="0"/>
        <w:spacing w:before="156" w:beforeLines="50" w:after="156" w:afterLines="50" w:line="300" w:lineRule="auto"/>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0EA41FAB">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 w:val="24"/>
          <w:highlight w:val="none"/>
        </w:rPr>
      </w:pPr>
      <w:r>
        <w:rPr>
          <w:rFonts w:hint="eastAsia" w:ascii="宋体" w:hAnsi="宋体" w:eastAsia="宋体" w:cs="宋体"/>
          <w:b/>
          <w:bCs/>
          <w:color w:val="000000"/>
          <w:szCs w:val="28"/>
          <w:highlight w:val="none"/>
        </w:rPr>
        <w:br w:type="page"/>
      </w:r>
      <w:bookmarkStart w:id="182" w:name="_Toc4479"/>
      <w:r>
        <w:rPr>
          <w:rFonts w:hint="eastAsia" w:ascii="宋体" w:hAnsi="宋体" w:eastAsia="宋体" w:cs="宋体"/>
          <w:b/>
          <w:bCs/>
          <w:color w:val="000000"/>
          <w:sz w:val="24"/>
          <w:highlight w:val="none"/>
        </w:rPr>
        <w:t>6.2  拟投入主要人员情况汇总表</w:t>
      </w:r>
      <w:bookmarkEnd w:id="182"/>
    </w:p>
    <w:tbl>
      <w:tblPr>
        <w:tblStyle w:val="15"/>
        <w:tblW w:w="0" w:type="auto"/>
        <w:jc w:val="center"/>
        <w:tblLayout w:type="fixed"/>
        <w:tblCellMar>
          <w:top w:w="0" w:type="dxa"/>
          <w:left w:w="108" w:type="dxa"/>
          <w:bottom w:w="0" w:type="dxa"/>
          <w:right w:w="108" w:type="dxa"/>
        </w:tblCellMar>
      </w:tblPr>
      <w:tblGrid>
        <w:gridCol w:w="854"/>
        <w:gridCol w:w="1505"/>
        <w:gridCol w:w="1139"/>
        <w:gridCol w:w="949"/>
        <w:gridCol w:w="855"/>
        <w:gridCol w:w="759"/>
        <w:gridCol w:w="1709"/>
        <w:gridCol w:w="1423"/>
      </w:tblGrid>
      <w:tr w14:paraId="2D749975">
        <w:tblPrEx>
          <w:tblCellMar>
            <w:top w:w="0" w:type="dxa"/>
            <w:left w:w="108" w:type="dxa"/>
            <w:bottom w:w="0" w:type="dxa"/>
            <w:right w:w="108" w:type="dxa"/>
          </w:tblCellMar>
        </w:tblPrEx>
        <w:trPr>
          <w:trHeight w:val="975"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center"/>
          </w:tcPr>
          <w:p w14:paraId="708E1B53">
            <w:pPr>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505" w:type="dxa"/>
            <w:tcBorders>
              <w:top w:val="single" w:color="auto" w:sz="6" w:space="0"/>
              <w:left w:val="single" w:color="auto" w:sz="6" w:space="0"/>
              <w:bottom w:val="single" w:color="auto" w:sz="6" w:space="0"/>
              <w:right w:val="single" w:color="auto" w:sz="6" w:space="0"/>
            </w:tcBorders>
            <w:noWrap w:val="0"/>
            <w:vAlign w:val="center"/>
          </w:tcPr>
          <w:p w14:paraId="1D7B9944">
            <w:pPr>
              <w:jc w:val="center"/>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姓名</w:t>
            </w:r>
          </w:p>
        </w:tc>
        <w:tc>
          <w:tcPr>
            <w:tcW w:w="1139" w:type="dxa"/>
            <w:tcBorders>
              <w:top w:val="single" w:color="auto" w:sz="6" w:space="0"/>
              <w:left w:val="single" w:color="auto" w:sz="6" w:space="0"/>
              <w:bottom w:val="single" w:color="auto" w:sz="6" w:space="0"/>
              <w:right w:val="single" w:color="auto" w:sz="6" w:space="0"/>
            </w:tcBorders>
            <w:noWrap w:val="0"/>
            <w:vAlign w:val="center"/>
          </w:tcPr>
          <w:p w14:paraId="459E2AF1">
            <w:pPr>
              <w:jc w:val="center"/>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性别</w:t>
            </w:r>
          </w:p>
        </w:tc>
        <w:tc>
          <w:tcPr>
            <w:tcW w:w="949" w:type="dxa"/>
            <w:tcBorders>
              <w:top w:val="single" w:color="auto" w:sz="6" w:space="0"/>
              <w:left w:val="single" w:color="auto" w:sz="6" w:space="0"/>
              <w:bottom w:val="single" w:color="auto" w:sz="6" w:space="0"/>
              <w:right w:val="single" w:color="auto" w:sz="6" w:space="0"/>
            </w:tcBorders>
            <w:noWrap w:val="0"/>
            <w:vAlign w:val="center"/>
          </w:tcPr>
          <w:p w14:paraId="44E75E36">
            <w:pPr>
              <w:jc w:val="center"/>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年龄</w:t>
            </w:r>
          </w:p>
        </w:tc>
        <w:tc>
          <w:tcPr>
            <w:tcW w:w="855" w:type="dxa"/>
            <w:tcBorders>
              <w:top w:val="single" w:color="auto" w:sz="6" w:space="0"/>
              <w:left w:val="single" w:color="auto" w:sz="6" w:space="0"/>
              <w:bottom w:val="single" w:color="auto" w:sz="6" w:space="0"/>
              <w:right w:val="single" w:color="auto" w:sz="6" w:space="0"/>
            </w:tcBorders>
            <w:noWrap w:val="0"/>
            <w:vAlign w:val="center"/>
          </w:tcPr>
          <w:p w14:paraId="5C817A85">
            <w:pPr>
              <w:ind w:left="-90" w:firstLine="21"/>
              <w:jc w:val="center"/>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专 业</w:t>
            </w:r>
          </w:p>
        </w:tc>
        <w:tc>
          <w:tcPr>
            <w:tcW w:w="759" w:type="dxa"/>
            <w:tcBorders>
              <w:top w:val="single" w:color="auto" w:sz="6" w:space="0"/>
              <w:left w:val="single" w:color="auto" w:sz="6" w:space="0"/>
              <w:bottom w:val="single" w:color="auto" w:sz="6" w:space="0"/>
              <w:right w:val="single" w:color="auto" w:sz="6" w:space="0"/>
            </w:tcBorders>
            <w:noWrap w:val="0"/>
            <w:vAlign w:val="center"/>
          </w:tcPr>
          <w:p w14:paraId="0ABE7FE3">
            <w:pPr>
              <w:ind w:left="-90" w:hanging="18"/>
              <w:jc w:val="center"/>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职称</w:t>
            </w:r>
          </w:p>
        </w:tc>
        <w:tc>
          <w:tcPr>
            <w:tcW w:w="1709" w:type="dxa"/>
            <w:tcBorders>
              <w:top w:val="single" w:color="auto" w:sz="6" w:space="0"/>
              <w:left w:val="single" w:color="auto" w:sz="6" w:space="0"/>
              <w:bottom w:val="single" w:color="auto" w:sz="6" w:space="0"/>
              <w:right w:val="single" w:color="auto" w:sz="4" w:space="0"/>
            </w:tcBorders>
            <w:noWrap w:val="0"/>
            <w:vAlign w:val="center"/>
          </w:tcPr>
          <w:p w14:paraId="06064179">
            <w:pPr>
              <w:ind w:left="-90" w:hanging="4"/>
              <w:jc w:val="center"/>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职业资格证</w:t>
            </w:r>
          </w:p>
        </w:tc>
        <w:tc>
          <w:tcPr>
            <w:tcW w:w="1423" w:type="dxa"/>
            <w:tcBorders>
              <w:top w:val="single" w:color="auto" w:sz="6" w:space="0"/>
              <w:left w:val="single" w:color="auto" w:sz="6" w:space="0"/>
              <w:bottom w:val="single" w:color="auto" w:sz="6" w:space="0"/>
              <w:right w:val="single" w:color="auto" w:sz="4" w:space="0"/>
            </w:tcBorders>
            <w:noWrap w:val="0"/>
            <w:vAlign w:val="center"/>
          </w:tcPr>
          <w:p w14:paraId="0840DABD">
            <w:pPr>
              <w:ind w:left="-90" w:hanging="4"/>
              <w:jc w:val="center"/>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拟在本合同担任的职务</w:t>
            </w:r>
          </w:p>
        </w:tc>
      </w:tr>
      <w:tr w14:paraId="5FCF0BA8">
        <w:tblPrEx>
          <w:tblCellMar>
            <w:top w:w="0" w:type="dxa"/>
            <w:left w:w="108" w:type="dxa"/>
            <w:bottom w:w="0" w:type="dxa"/>
            <w:right w:w="108" w:type="dxa"/>
          </w:tblCellMar>
        </w:tblPrEx>
        <w:trPr>
          <w:trHeight w:val="475"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04A2E6EE">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1E74D46D">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7B8E4DAF">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3047346B">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012A4C65">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5C546B37">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75EA5C25">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3728B88E">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785A9C83">
        <w:tblPrEx>
          <w:tblCellMar>
            <w:top w:w="0" w:type="dxa"/>
            <w:left w:w="108" w:type="dxa"/>
            <w:bottom w:w="0" w:type="dxa"/>
            <w:right w:w="108" w:type="dxa"/>
          </w:tblCellMar>
        </w:tblPrEx>
        <w:trPr>
          <w:trHeight w:val="475"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4BA20DB4">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2CC0BE1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07171081">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0262C290">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298BFC10">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2992D79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1A48EA2C">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10F74A66">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611C7B05">
        <w:tblPrEx>
          <w:tblCellMar>
            <w:top w:w="0" w:type="dxa"/>
            <w:left w:w="108" w:type="dxa"/>
            <w:bottom w:w="0" w:type="dxa"/>
            <w:right w:w="108" w:type="dxa"/>
          </w:tblCellMar>
        </w:tblPrEx>
        <w:trPr>
          <w:trHeight w:val="475"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2B7DD5F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211BB4B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40440CC4">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17E09AC4">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4B472E6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2E7ECF17">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1BADA802">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4236C658">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4A2E608D">
        <w:tblPrEx>
          <w:tblCellMar>
            <w:top w:w="0" w:type="dxa"/>
            <w:left w:w="108" w:type="dxa"/>
            <w:bottom w:w="0" w:type="dxa"/>
            <w:right w:w="108" w:type="dxa"/>
          </w:tblCellMar>
        </w:tblPrEx>
        <w:trPr>
          <w:trHeight w:val="480"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1BF9CADB">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60C17375">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1A03460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0472DB1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589E7256">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2386DCBD">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208ABE16">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40E0427F">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4A877B8F">
        <w:tblPrEx>
          <w:tblCellMar>
            <w:top w:w="0" w:type="dxa"/>
            <w:left w:w="108" w:type="dxa"/>
            <w:bottom w:w="0" w:type="dxa"/>
            <w:right w:w="108" w:type="dxa"/>
          </w:tblCellMar>
        </w:tblPrEx>
        <w:trPr>
          <w:trHeight w:val="469"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7C087CEE">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4A2468E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792DFC1F">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092FD123">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77CDBB10">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672D7E94">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017EEBA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6BCDD53D">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275DCE36">
        <w:tblPrEx>
          <w:tblCellMar>
            <w:top w:w="0" w:type="dxa"/>
            <w:left w:w="108" w:type="dxa"/>
            <w:bottom w:w="0" w:type="dxa"/>
            <w:right w:w="108" w:type="dxa"/>
          </w:tblCellMar>
        </w:tblPrEx>
        <w:trPr>
          <w:trHeight w:val="475"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7DCDE77D">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04BBEBB4">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70681FCD">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03B05945">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2F3F5B8F">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71714A6B">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3F2E7CB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0B030842">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43AE1B9D">
        <w:tblPrEx>
          <w:tblCellMar>
            <w:top w:w="0" w:type="dxa"/>
            <w:left w:w="108" w:type="dxa"/>
            <w:bottom w:w="0" w:type="dxa"/>
            <w:right w:w="108" w:type="dxa"/>
          </w:tblCellMar>
        </w:tblPrEx>
        <w:trPr>
          <w:trHeight w:val="480"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6A7E6D83">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0FA9D11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458639E7">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097032FD">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4E355A8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52499B3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6781B727">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54D8281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3E51B94B">
        <w:tblPrEx>
          <w:tblCellMar>
            <w:top w:w="0" w:type="dxa"/>
            <w:left w:w="108" w:type="dxa"/>
            <w:bottom w:w="0" w:type="dxa"/>
            <w:right w:w="108" w:type="dxa"/>
          </w:tblCellMar>
        </w:tblPrEx>
        <w:trPr>
          <w:trHeight w:val="480"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3C6B0033">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0A7BB52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2C02676F">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738B68CD">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49A5C3B4">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4E399A52">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70D8A036">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7AFC13E7">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690A5550">
        <w:tblPrEx>
          <w:tblCellMar>
            <w:top w:w="0" w:type="dxa"/>
            <w:left w:w="108" w:type="dxa"/>
            <w:bottom w:w="0" w:type="dxa"/>
            <w:right w:w="108" w:type="dxa"/>
          </w:tblCellMar>
        </w:tblPrEx>
        <w:trPr>
          <w:trHeight w:val="475"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359835EF">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300C0CE8">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44D5DD53">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4BEA135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0709C54E">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5B065E40">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21E91D18">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219D0913">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28318CF8">
        <w:tblPrEx>
          <w:tblCellMar>
            <w:top w:w="0" w:type="dxa"/>
            <w:left w:w="108" w:type="dxa"/>
            <w:bottom w:w="0" w:type="dxa"/>
            <w:right w:w="108" w:type="dxa"/>
          </w:tblCellMar>
        </w:tblPrEx>
        <w:trPr>
          <w:trHeight w:val="480"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1C98E5F3">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10EE9888">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149D0723">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2B3184A1">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13AB0598">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7A3E1F36">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5866083E">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6D8235D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59ED71E0">
        <w:tblPrEx>
          <w:tblCellMar>
            <w:top w:w="0" w:type="dxa"/>
            <w:left w:w="108" w:type="dxa"/>
            <w:bottom w:w="0" w:type="dxa"/>
            <w:right w:w="108" w:type="dxa"/>
          </w:tblCellMar>
        </w:tblPrEx>
        <w:trPr>
          <w:trHeight w:val="480"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5F7CA926">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70CC0B6E">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53A10984">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61847932">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2F6D237B">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5E0D19A5">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64E3857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3F6B705B">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r w14:paraId="2FB79612">
        <w:tblPrEx>
          <w:tblCellMar>
            <w:top w:w="0" w:type="dxa"/>
            <w:left w:w="108" w:type="dxa"/>
            <w:bottom w:w="0" w:type="dxa"/>
            <w:right w:w="108" w:type="dxa"/>
          </w:tblCellMar>
        </w:tblPrEx>
        <w:trPr>
          <w:trHeight w:val="490"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top"/>
          </w:tcPr>
          <w:p w14:paraId="62ADD97B">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505" w:type="dxa"/>
            <w:tcBorders>
              <w:top w:val="single" w:color="auto" w:sz="6" w:space="0"/>
              <w:left w:val="single" w:color="auto" w:sz="6" w:space="0"/>
              <w:bottom w:val="single" w:color="auto" w:sz="6" w:space="0"/>
              <w:right w:val="single" w:color="auto" w:sz="6" w:space="0"/>
            </w:tcBorders>
            <w:noWrap w:val="0"/>
            <w:vAlign w:val="top"/>
          </w:tcPr>
          <w:p w14:paraId="04FEB34B">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139" w:type="dxa"/>
            <w:tcBorders>
              <w:top w:val="single" w:color="auto" w:sz="6" w:space="0"/>
              <w:left w:val="single" w:color="auto" w:sz="6" w:space="0"/>
              <w:bottom w:val="single" w:color="auto" w:sz="6" w:space="0"/>
              <w:right w:val="single" w:color="auto" w:sz="6" w:space="0"/>
            </w:tcBorders>
            <w:noWrap w:val="0"/>
            <w:vAlign w:val="top"/>
          </w:tcPr>
          <w:p w14:paraId="68C4937A">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949" w:type="dxa"/>
            <w:tcBorders>
              <w:top w:val="single" w:color="auto" w:sz="6" w:space="0"/>
              <w:left w:val="single" w:color="auto" w:sz="6" w:space="0"/>
              <w:bottom w:val="single" w:color="auto" w:sz="6" w:space="0"/>
              <w:right w:val="single" w:color="auto" w:sz="6" w:space="0"/>
            </w:tcBorders>
            <w:noWrap w:val="0"/>
            <w:vAlign w:val="top"/>
          </w:tcPr>
          <w:p w14:paraId="459F3199">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top"/>
          </w:tcPr>
          <w:p w14:paraId="1AC4E6D2">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4E40B1D2">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709" w:type="dxa"/>
            <w:tcBorders>
              <w:top w:val="single" w:color="auto" w:sz="6" w:space="0"/>
              <w:left w:val="single" w:color="auto" w:sz="6" w:space="0"/>
              <w:bottom w:val="single" w:color="auto" w:sz="6" w:space="0"/>
              <w:right w:val="single" w:color="auto" w:sz="4" w:space="0"/>
            </w:tcBorders>
            <w:noWrap w:val="0"/>
            <w:vAlign w:val="top"/>
          </w:tcPr>
          <w:p w14:paraId="650B1A71">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c>
          <w:tcPr>
            <w:tcW w:w="1423" w:type="dxa"/>
            <w:tcBorders>
              <w:top w:val="single" w:color="auto" w:sz="6" w:space="0"/>
              <w:left w:val="single" w:color="auto" w:sz="6" w:space="0"/>
              <w:bottom w:val="single" w:color="auto" w:sz="6" w:space="0"/>
              <w:right w:val="single" w:color="auto" w:sz="4" w:space="0"/>
            </w:tcBorders>
            <w:noWrap w:val="0"/>
            <w:vAlign w:val="top"/>
          </w:tcPr>
          <w:p w14:paraId="476EB6A7">
            <w:pPr>
              <w:spacing w:before="100" w:beforeAutospacing="1" w:after="100" w:afterAutospacing="1"/>
              <w:ind w:left="-90" w:firstLine="340"/>
              <w:jc w:val="left"/>
              <w:outlineLvl w:val="9"/>
              <w:rPr>
                <w:rFonts w:hint="eastAsia" w:ascii="宋体" w:hAnsi="宋体" w:eastAsia="宋体" w:cs="宋体"/>
                <w:color w:val="000000"/>
                <w:kern w:val="0"/>
                <w:sz w:val="24"/>
                <w:highlight w:val="none"/>
              </w:rPr>
            </w:pPr>
          </w:p>
        </w:tc>
      </w:tr>
    </w:tbl>
    <w:p w14:paraId="36B757B0">
      <w:pPr>
        <w:adjustRightInd w:val="0"/>
        <w:snapToGrid w:val="0"/>
        <w:spacing w:before="156" w:beforeLines="50" w:line="360" w:lineRule="auto"/>
        <w:ind w:firstLine="480" w:firstLineChars="200"/>
        <w:outlineLvl w:val="9"/>
        <w:rPr>
          <w:rFonts w:hint="eastAsia" w:ascii="宋体" w:hAnsi="宋体" w:eastAsia="宋体" w:cs="宋体"/>
          <w:color w:val="000000"/>
          <w:sz w:val="24"/>
          <w:highlight w:val="none"/>
        </w:rPr>
      </w:pPr>
    </w:p>
    <w:p w14:paraId="37779609">
      <w:pPr>
        <w:spacing w:line="360" w:lineRule="auto"/>
        <w:ind w:firstLine="4800" w:firstLineChars="2000"/>
        <w:outlineLvl w:val="9"/>
        <w:rPr>
          <w:rFonts w:hint="eastAsia" w:ascii="宋体" w:hAnsi="宋体" w:eastAsia="宋体" w:cs="宋体"/>
          <w:color w:val="000000"/>
          <w:sz w:val="24"/>
          <w:highlight w:val="none"/>
        </w:rPr>
      </w:pPr>
    </w:p>
    <w:p w14:paraId="122175A9">
      <w:pPr>
        <w:spacing w:line="360" w:lineRule="auto"/>
        <w:ind w:firstLine="4800" w:firstLineChars="2000"/>
        <w:outlineLvl w:val="9"/>
        <w:rPr>
          <w:rFonts w:hint="eastAsia" w:ascii="宋体" w:hAnsi="宋体" w:eastAsia="宋体" w:cs="宋体"/>
          <w:color w:val="000000"/>
          <w:sz w:val="24"/>
          <w:highlight w:val="none"/>
        </w:rPr>
      </w:pPr>
    </w:p>
    <w:p w14:paraId="194F2DF3">
      <w:pPr>
        <w:spacing w:line="360" w:lineRule="auto"/>
        <w:ind w:firstLine="4800" w:firstLineChars="2000"/>
        <w:outlineLvl w:val="9"/>
        <w:rPr>
          <w:rFonts w:hint="eastAsia" w:ascii="宋体" w:hAnsi="宋体" w:eastAsia="宋体" w:cs="宋体"/>
          <w:color w:val="000000"/>
          <w:sz w:val="24"/>
          <w:highlight w:val="none"/>
        </w:rPr>
      </w:pPr>
    </w:p>
    <w:p w14:paraId="5A61C2CF">
      <w:pPr>
        <w:spacing w:line="360" w:lineRule="auto"/>
        <w:jc w:val="righ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4E450F8C">
      <w:pPr>
        <w:spacing w:line="360" w:lineRule="auto"/>
        <w:jc w:val="right"/>
        <w:outlineLvl w:val="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p>
    <w:p w14:paraId="35BCAE10">
      <w:pPr>
        <w:ind w:firstLine="4800" w:firstLineChars="20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643AC9B6">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Cs w:val="28"/>
          <w:highlight w:val="none"/>
        </w:rPr>
      </w:pPr>
      <w:r>
        <w:rPr>
          <w:rFonts w:hint="eastAsia" w:ascii="宋体" w:hAnsi="宋体" w:eastAsia="宋体" w:cs="宋体"/>
          <w:b/>
          <w:bCs/>
          <w:color w:val="000000"/>
          <w:szCs w:val="28"/>
          <w:highlight w:val="none"/>
        </w:rPr>
        <w:br w:type="page"/>
      </w:r>
      <w:bookmarkStart w:id="183" w:name="_Toc11286"/>
      <w:r>
        <w:rPr>
          <w:rFonts w:hint="eastAsia" w:ascii="宋体" w:hAnsi="宋体" w:eastAsia="宋体" w:cs="宋体"/>
          <w:b/>
          <w:bCs/>
          <w:color w:val="000000"/>
          <w:sz w:val="24"/>
          <w:highlight w:val="none"/>
        </w:rPr>
        <w:t>6.3  拟投入的主要人员履历表</w:t>
      </w:r>
      <w:bookmarkEnd w:id="183"/>
    </w:p>
    <w:tbl>
      <w:tblPr>
        <w:tblStyle w:val="15"/>
        <w:tblW w:w="0" w:type="auto"/>
        <w:tblInd w:w="0" w:type="dxa"/>
        <w:tblLayout w:type="fixed"/>
        <w:tblCellMar>
          <w:top w:w="0" w:type="dxa"/>
          <w:left w:w="108" w:type="dxa"/>
          <w:bottom w:w="0" w:type="dxa"/>
          <w:right w:w="108" w:type="dxa"/>
        </w:tblCellMar>
      </w:tblPr>
      <w:tblGrid>
        <w:gridCol w:w="1435"/>
        <w:gridCol w:w="1511"/>
        <w:gridCol w:w="755"/>
        <w:gridCol w:w="945"/>
        <w:gridCol w:w="377"/>
        <w:gridCol w:w="566"/>
        <w:gridCol w:w="566"/>
        <w:gridCol w:w="1323"/>
        <w:gridCol w:w="645"/>
        <w:gridCol w:w="143"/>
        <w:gridCol w:w="1289"/>
      </w:tblGrid>
      <w:tr w14:paraId="70BAEFE1">
        <w:tblPrEx>
          <w:tblCellMar>
            <w:top w:w="0" w:type="dxa"/>
            <w:left w:w="108" w:type="dxa"/>
            <w:bottom w:w="0" w:type="dxa"/>
            <w:right w:w="108" w:type="dxa"/>
          </w:tblCellMar>
        </w:tblPrEx>
        <w:trPr>
          <w:trHeight w:val="801" w:hRule="atLeast"/>
        </w:trPr>
        <w:tc>
          <w:tcPr>
            <w:tcW w:w="1435" w:type="dxa"/>
            <w:tcBorders>
              <w:top w:val="single" w:color="auto" w:sz="6" w:space="0"/>
              <w:left w:val="single" w:color="auto" w:sz="6" w:space="0"/>
              <w:bottom w:val="single" w:color="auto" w:sz="6" w:space="0"/>
              <w:right w:val="single" w:color="auto" w:sz="6" w:space="0"/>
            </w:tcBorders>
            <w:noWrap w:val="0"/>
            <w:vAlign w:val="center"/>
          </w:tcPr>
          <w:p w14:paraId="17B9D0DC">
            <w:pPr>
              <w:spacing w:before="100" w:beforeAutospacing="1" w:after="100" w:afterAutospacing="1"/>
              <w:ind w:right="-107" w:rightChars="-51"/>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姓名</w:t>
            </w:r>
          </w:p>
        </w:tc>
        <w:tc>
          <w:tcPr>
            <w:tcW w:w="1511" w:type="dxa"/>
            <w:tcBorders>
              <w:top w:val="single" w:color="auto" w:sz="6" w:space="0"/>
              <w:left w:val="single" w:color="auto" w:sz="6" w:space="0"/>
              <w:bottom w:val="single" w:color="auto" w:sz="6" w:space="0"/>
              <w:right w:val="single" w:color="auto" w:sz="6" w:space="0"/>
            </w:tcBorders>
            <w:noWrap w:val="0"/>
            <w:vAlign w:val="center"/>
          </w:tcPr>
          <w:p w14:paraId="09781300">
            <w:pPr>
              <w:spacing w:before="100" w:beforeAutospacing="1" w:after="100" w:afterAutospacing="1"/>
              <w:ind w:left="-90" w:firstLine="340"/>
              <w:jc w:val="center"/>
              <w:outlineLvl w:val="9"/>
              <w:rPr>
                <w:rFonts w:hint="eastAsia" w:ascii="宋体" w:hAnsi="宋体" w:eastAsia="宋体" w:cs="宋体"/>
                <w:bCs/>
                <w:color w:val="000000"/>
                <w:sz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14:paraId="7A84DE13">
            <w:pPr>
              <w:spacing w:before="100" w:beforeAutospacing="1" w:after="100" w:afterAutospacing="1"/>
              <w:ind w:left="-90" w:right="-107" w:rightChars="-51"/>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性别</w:t>
            </w:r>
          </w:p>
        </w:tc>
        <w:tc>
          <w:tcPr>
            <w:tcW w:w="1322" w:type="dxa"/>
            <w:gridSpan w:val="2"/>
            <w:tcBorders>
              <w:top w:val="single" w:color="auto" w:sz="6" w:space="0"/>
              <w:left w:val="single" w:color="auto" w:sz="6" w:space="0"/>
              <w:bottom w:val="single" w:color="auto" w:sz="6" w:space="0"/>
              <w:right w:val="single" w:color="auto" w:sz="6" w:space="0"/>
            </w:tcBorders>
            <w:noWrap w:val="0"/>
            <w:vAlign w:val="center"/>
          </w:tcPr>
          <w:p w14:paraId="51917F93">
            <w:pPr>
              <w:spacing w:before="100" w:beforeAutospacing="1" w:after="100" w:afterAutospacing="1"/>
              <w:ind w:left="-90" w:firstLine="340"/>
              <w:jc w:val="center"/>
              <w:outlineLvl w:val="9"/>
              <w:rPr>
                <w:rFonts w:hint="eastAsia" w:ascii="宋体" w:hAnsi="宋体" w:eastAsia="宋体" w:cs="宋体"/>
                <w:bCs/>
                <w:color w:val="000000"/>
                <w:sz w:val="24"/>
                <w:highlight w:val="none"/>
              </w:rPr>
            </w:pPr>
          </w:p>
        </w:tc>
        <w:tc>
          <w:tcPr>
            <w:tcW w:w="566" w:type="dxa"/>
            <w:tcBorders>
              <w:top w:val="single" w:color="auto" w:sz="6" w:space="0"/>
              <w:left w:val="single" w:color="auto" w:sz="6" w:space="0"/>
              <w:bottom w:val="single" w:color="auto" w:sz="6" w:space="0"/>
              <w:right w:val="single" w:color="auto" w:sz="6" w:space="0"/>
            </w:tcBorders>
            <w:noWrap w:val="0"/>
            <w:vAlign w:val="center"/>
          </w:tcPr>
          <w:p w14:paraId="669E4487">
            <w:pPr>
              <w:spacing w:before="100" w:beforeAutospacing="1" w:after="100" w:afterAutospacing="1"/>
              <w:ind w:left="-90" w:right="-107" w:rightChars="-51"/>
              <w:jc w:val="center"/>
              <w:outlineLvl w:val="9"/>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出生年月</w:t>
            </w:r>
          </w:p>
        </w:tc>
        <w:tc>
          <w:tcPr>
            <w:tcW w:w="1889" w:type="dxa"/>
            <w:gridSpan w:val="2"/>
            <w:tcBorders>
              <w:top w:val="single" w:color="auto" w:sz="6" w:space="0"/>
              <w:left w:val="single" w:color="auto" w:sz="6" w:space="0"/>
              <w:bottom w:val="single" w:color="auto" w:sz="6" w:space="0"/>
              <w:right w:val="single" w:color="auto" w:sz="6" w:space="0"/>
            </w:tcBorders>
            <w:noWrap w:val="0"/>
            <w:vAlign w:val="center"/>
          </w:tcPr>
          <w:p w14:paraId="31C9B73A">
            <w:pPr>
              <w:spacing w:before="100" w:beforeAutospacing="1" w:after="100" w:afterAutospacing="1"/>
              <w:ind w:left="-90" w:firstLine="340"/>
              <w:jc w:val="center"/>
              <w:outlineLvl w:val="9"/>
              <w:rPr>
                <w:rFonts w:hint="eastAsia" w:ascii="宋体" w:hAnsi="宋体" w:eastAsia="宋体" w:cs="宋体"/>
                <w:bCs/>
                <w:color w:val="000000"/>
                <w:kern w:val="0"/>
                <w:sz w:val="24"/>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7D78F762">
            <w:pPr>
              <w:spacing w:before="100" w:beforeAutospacing="1" w:after="100" w:afterAutospacing="1"/>
              <w:ind w:left="-90" w:right="-107" w:rightChars="-51"/>
              <w:jc w:val="center"/>
              <w:outlineLvl w:val="9"/>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文化程度</w:t>
            </w:r>
          </w:p>
        </w:tc>
        <w:tc>
          <w:tcPr>
            <w:tcW w:w="1432" w:type="dxa"/>
            <w:gridSpan w:val="2"/>
            <w:tcBorders>
              <w:top w:val="single" w:color="auto" w:sz="6" w:space="0"/>
              <w:left w:val="single" w:color="auto" w:sz="6" w:space="0"/>
              <w:bottom w:val="single" w:color="auto" w:sz="6" w:space="0"/>
              <w:right w:val="single" w:color="auto" w:sz="6" w:space="0"/>
            </w:tcBorders>
            <w:noWrap w:val="0"/>
            <w:vAlign w:val="center"/>
          </w:tcPr>
          <w:p w14:paraId="6AB282F3">
            <w:pPr>
              <w:spacing w:before="100" w:beforeAutospacing="1" w:after="100" w:afterAutospacing="1"/>
              <w:ind w:left="-90" w:right="372" w:rightChars="177" w:firstLine="340"/>
              <w:jc w:val="center"/>
              <w:outlineLvl w:val="9"/>
              <w:rPr>
                <w:rFonts w:hint="eastAsia" w:ascii="宋体" w:hAnsi="宋体" w:eastAsia="宋体" w:cs="宋体"/>
                <w:bCs/>
                <w:color w:val="000000"/>
                <w:kern w:val="0"/>
                <w:sz w:val="24"/>
                <w:highlight w:val="none"/>
              </w:rPr>
            </w:pPr>
          </w:p>
        </w:tc>
      </w:tr>
      <w:tr w14:paraId="7E733187">
        <w:tblPrEx>
          <w:tblCellMar>
            <w:top w:w="0" w:type="dxa"/>
            <w:left w:w="108" w:type="dxa"/>
            <w:bottom w:w="0" w:type="dxa"/>
            <w:right w:w="108" w:type="dxa"/>
          </w:tblCellMar>
        </w:tblPrEx>
        <w:trPr>
          <w:trHeight w:val="706" w:hRule="atLeast"/>
        </w:trPr>
        <w:tc>
          <w:tcPr>
            <w:tcW w:w="1435" w:type="dxa"/>
            <w:tcBorders>
              <w:top w:val="single" w:color="auto" w:sz="6" w:space="0"/>
              <w:left w:val="single" w:color="auto" w:sz="6" w:space="0"/>
              <w:bottom w:val="single" w:color="auto" w:sz="6" w:space="0"/>
              <w:right w:val="single" w:color="auto" w:sz="6" w:space="0"/>
            </w:tcBorders>
            <w:noWrap w:val="0"/>
            <w:vAlign w:val="center"/>
          </w:tcPr>
          <w:p w14:paraId="62EB0580">
            <w:pPr>
              <w:spacing w:before="100" w:beforeAutospacing="1" w:after="100" w:afterAutospacing="1"/>
              <w:ind w:left="-90" w:right="-107" w:rightChars="-51"/>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毕业院校</w:t>
            </w:r>
          </w:p>
        </w:tc>
        <w:tc>
          <w:tcPr>
            <w:tcW w:w="1511" w:type="dxa"/>
            <w:tcBorders>
              <w:top w:val="single" w:color="auto" w:sz="6" w:space="0"/>
              <w:left w:val="single" w:color="auto" w:sz="6" w:space="0"/>
              <w:bottom w:val="single" w:color="auto" w:sz="6" w:space="0"/>
              <w:right w:val="single" w:color="auto" w:sz="6" w:space="0"/>
            </w:tcBorders>
            <w:noWrap w:val="0"/>
            <w:vAlign w:val="center"/>
          </w:tcPr>
          <w:p w14:paraId="59E0C12A">
            <w:pPr>
              <w:spacing w:before="100" w:beforeAutospacing="1" w:after="100" w:afterAutospacing="1"/>
              <w:ind w:left="-90" w:firstLine="340"/>
              <w:jc w:val="center"/>
              <w:outlineLvl w:val="9"/>
              <w:rPr>
                <w:rFonts w:hint="eastAsia" w:ascii="宋体" w:hAnsi="宋体" w:eastAsia="宋体" w:cs="宋体"/>
                <w:bCs/>
                <w:color w:val="000000"/>
                <w:sz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14:paraId="29550096">
            <w:pPr>
              <w:spacing w:before="100" w:beforeAutospacing="1" w:after="100" w:afterAutospacing="1"/>
              <w:ind w:left="-90"/>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专业</w:t>
            </w:r>
          </w:p>
        </w:tc>
        <w:tc>
          <w:tcPr>
            <w:tcW w:w="1888" w:type="dxa"/>
            <w:gridSpan w:val="3"/>
            <w:tcBorders>
              <w:top w:val="single" w:color="auto" w:sz="6" w:space="0"/>
              <w:left w:val="single" w:color="auto" w:sz="6" w:space="0"/>
              <w:bottom w:val="single" w:color="auto" w:sz="6" w:space="0"/>
              <w:right w:val="single" w:color="auto" w:sz="6" w:space="0"/>
            </w:tcBorders>
            <w:noWrap w:val="0"/>
            <w:vAlign w:val="center"/>
          </w:tcPr>
          <w:p w14:paraId="4AB72152">
            <w:pPr>
              <w:spacing w:before="100" w:beforeAutospacing="1" w:after="100" w:afterAutospacing="1"/>
              <w:ind w:left="-90"/>
              <w:jc w:val="center"/>
              <w:outlineLvl w:val="9"/>
              <w:rPr>
                <w:rFonts w:hint="eastAsia" w:ascii="宋体" w:hAnsi="宋体" w:eastAsia="宋体" w:cs="宋体"/>
                <w:bCs/>
                <w:color w:val="000000"/>
                <w:kern w:val="0"/>
                <w:sz w:val="24"/>
                <w:highlight w:val="none"/>
              </w:rPr>
            </w:pPr>
          </w:p>
        </w:tc>
        <w:tc>
          <w:tcPr>
            <w:tcW w:w="566" w:type="dxa"/>
            <w:tcBorders>
              <w:top w:val="single" w:color="auto" w:sz="6" w:space="0"/>
              <w:left w:val="single" w:color="auto" w:sz="6" w:space="0"/>
              <w:bottom w:val="single" w:color="auto" w:sz="6" w:space="0"/>
              <w:right w:val="single" w:color="auto" w:sz="6" w:space="0"/>
            </w:tcBorders>
            <w:noWrap w:val="0"/>
            <w:vAlign w:val="center"/>
          </w:tcPr>
          <w:p w14:paraId="00C2F615">
            <w:pPr>
              <w:snapToGrid w:val="0"/>
              <w:spacing w:before="100" w:beforeAutospacing="1" w:after="100" w:afterAutospacing="1" w:line="240" w:lineRule="atLeast"/>
              <w:ind w:left="-91" w:right="-107" w:rightChars="-51"/>
              <w:jc w:val="center"/>
              <w:outlineLvl w:val="9"/>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毕业时间</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0A55BBAA">
            <w:pPr>
              <w:spacing w:before="100" w:beforeAutospacing="1" w:after="100" w:afterAutospacing="1"/>
              <w:ind w:left="-90"/>
              <w:jc w:val="center"/>
              <w:outlineLvl w:val="9"/>
              <w:rPr>
                <w:rFonts w:hint="eastAsia" w:ascii="宋体" w:hAnsi="宋体" w:eastAsia="宋体" w:cs="宋体"/>
                <w:bCs/>
                <w:color w:val="000000"/>
                <w:kern w:val="0"/>
                <w:sz w:val="24"/>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4A4FB094">
            <w:pPr>
              <w:spacing w:before="100" w:beforeAutospacing="1" w:after="100" w:afterAutospacing="1"/>
              <w:ind w:left="-90" w:right="-107" w:rightChars="-51"/>
              <w:jc w:val="center"/>
              <w:outlineLvl w:val="9"/>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技术职称</w:t>
            </w:r>
          </w:p>
        </w:tc>
        <w:tc>
          <w:tcPr>
            <w:tcW w:w="1432" w:type="dxa"/>
            <w:gridSpan w:val="2"/>
            <w:tcBorders>
              <w:top w:val="single" w:color="auto" w:sz="6" w:space="0"/>
              <w:left w:val="single" w:color="auto" w:sz="6" w:space="0"/>
              <w:bottom w:val="single" w:color="auto" w:sz="6" w:space="0"/>
              <w:right w:val="single" w:color="auto" w:sz="6" w:space="0"/>
            </w:tcBorders>
            <w:noWrap w:val="0"/>
            <w:vAlign w:val="center"/>
          </w:tcPr>
          <w:p w14:paraId="69679E5C">
            <w:pPr>
              <w:spacing w:before="100" w:beforeAutospacing="1" w:after="100" w:afterAutospacing="1"/>
              <w:ind w:left="-90"/>
              <w:jc w:val="center"/>
              <w:outlineLvl w:val="9"/>
              <w:rPr>
                <w:rFonts w:hint="eastAsia" w:ascii="宋体" w:hAnsi="宋体" w:eastAsia="宋体" w:cs="宋体"/>
                <w:bCs/>
                <w:color w:val="000000"/>
                <w:kern w:val="0"/>
                <w:sz w:val="24"/>
                <w:highlight w:val="none"/>
              </w:rPr>
            </w:pPr>
          </w:p>
        </w:tc>
      </w:tr>
      <w:tr w14:paraId="303337DD">
        <w:tblPrEx>
          <w:tblCellMar>
            <w:top w:w="0" w:type="dxa"/>
            <w:left w:w="108" w:type="dxa"/>
            <w:bottom w:w="0" w:type="dxa"/>
            <w:right w:w="108" w:type="dxa"/>
          </w:tblCellMar>
        </w:tblPrEx>
        <w:trPr>
          <w:trHeight w:val="778" w:hRule="atLeast"/>
        </w:trPr>
        <w:tc>
          <w:tcPr>
            <w:tcW w:w="1435" w:type="dxa"/>
            <w:tcBorders>
              <w:top w:val="single" w:color="auto" w:sz="6" w:space="0"/>
              <w:left w:val="single" w:color="auto" w:sz="6" w:space="0"/>
              <w:bottom w:val="single" w:color="auto" w:sz="6" w:space="0"/>
              <w:right w:val="single" w:color="auto" w:sz="6" w:space="0"/>
            </w:tcBorders>
            <w:noWrap w:val="0"/>
            <w:vAlign w:val="center"/>
          </w:tcPr>
          <w:p w14:paraId="187AE116">
            <w:pPr>
              <w:spacing w:before="100" w:beforeAutospacing="1" w:after="100" w:afterAutospacing="1"/>
              <w:ind w:left="-90" w:right="-107" w:rightChars="-51"/>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拟在本项目担任的职务</w:t>
            </w:r>
          </w:p>
        </w:tc>
        <w:tc>
          <w:tcPr>
            <w:tcW w:w="1511" w:type="dxa"/>
            <w:tcBorders>
              <w:top w:val="single" w:color="auto" w:sz="6" w:space="0"/>
              <w:left w:val="single" w:color="auto" w:sz="6" w:space="0"/>
              <w:bottom w:val="single" w:color="auto" w:sz="6" w:space="0"/>
              <w:right w:val="single" w:color="auto" w:sz="6" w:space="0"/>
            </w:tcBorders>
            <w:noWrap w:val="0"/>
            <w:vAlign w:val="center"/>
          </w:tcPr>
          <w:p w14:paraId="70A214E7">
            <w:pPr>
              <w:spacing w:before="100" w:beforeAutospacing="1" w:after="100" w:afterAutospacing="1"/>
              <w:ind w:left="-90" w:firstLine="340"/>
              <w:jc w:val="center"/>
              <w:outlineLvl w:val="9"/>
              <w:rPr>
                <w:rFonts w:hint="eastAsia" w:ascii="宋体" w:hAnsi="宋体" w:eastAsia="宋体" w:cs="宋体"/>
                <w:bCs/>
                <w:color w:val="000000"/>
                <w:sz w:val="24"/>
                <w:highlight w:val="none"/>
              </w:rPr>
            </w:pPr>
          </w:p>
        </w:tc>
        <w:tc>
          <w:tcPr>
            <w:tcW w:w="1700" w:type="dxa"/>
            <w:gridSpan w:val="2"/>
            <w:tcBorders>
              <w:top w:val="single" w:color="auto" w:sz="6" w:space="0"/>
              <w:left w:val="single" w:color="auto" w:sz="6" w:space="0"/>
              <w:bottom w:val="single" w:color="auto" w:sz="6" w:space="0"/>
              <w:right w:val="single" w:color="auto" w:sz="6" w:space="0"/>
            </w:tcBorders>
            <w:noWrap w:val="0"/>
            <w:vAlign w:val="center"/>
          </w:tcPr>
          <w:p w14:paraId="6FA59D2A">
            <w:pPr>
              <w:spacing w:before="100" w:beforeAutospacing="1" w:after="100" w:afterAutospacing="1"/>
              <w:ind w:left="-90" w:right="-107" w:rightChars="-51"/>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从事勘察设计工作年限</w:t>
            </w:r>
          </w:p>
        </w:tc>
        <w:tc>
          <w:tcPr>
            <w:tcW w:w="943" w:type="dxa"/>
            <w:gridSpan w:val="2"/>
            <w:tcBorders>
              <w:top w:val="single" w:color="auto" w:sz="6" w:space="0"/>
              <w:left w:val="single" w:color="auto" w:sz="6" w:space="0"/>
              <w:bottom w:val="single" w:color="auto" w:sz="6" w:space="0"/>
              <w:right w:val="single" w:color="auto" w:sz="6" w:space="0"/>
            </w:tcBorders>
            <w:noWrap w:val="0"/>
            <w:vAlign w:val="center"/>
          </w:tcPr>
          <w:p w14:paraId="2E538F38">
            <w:pPr>
              <w:spacing w:before="100" w:beforeAutospacing="1" w:after="100" w:afterAutospacing="1"/>
              <w:ind w:left="-90"/>
              <w:jc w:val="center"/>
              <w:outlineLvl w:val="9"/>
              <w:rPr>
                <w:rFonts w:hint="eastAsia" w:ascii="宋体" w:hAnsi="宋体" w:eastAsia="宋体" w:cs="宋体"/>
                <w:bCs/>
                <w:color w:val="000000"/>
                <w:kern w:val="0"/>
                <w:sz w:val="24"/>
                <w:highlight w:val="none"/>
              </w:rPr>
            </w:pPr>
          </w:p>
        </w:tc>
        <w:tc>
          <w:tcPr>
            <w:tcW w:w="566" w:type="dxa"/>
            <w:tcBorders>
              <w:top w:val="single" w:color="auto" w:sz="6" w:space="0"/>
              <w:left w:val="single" w:color="auto" w:sz="6" w:space="0"/>
              <w:bottom w:val="single" w:color="auto" w:sz="6" w:space="0"/>
              <w:right w:val="single" w:color="auto" w:sz="6" w:space="0"/>
            </w:tcBorders>
            <w:noWrap w:val="0"/>
            <w:vAlign w:val="center"/>
          </w:tcPr>
          <w:p w14:paraId="25EECB31">
            <w:pPr>
              <w:spacing w:before="100" w:beforeAutospacing="1" w:after="100" w:afterAutospacing="1"/>
              <w:ind w:left="-90" w:right="-107" w:rightChars="-51"/>
              <w:jc w:val="center"/>
              <w:outlineLvl w:val="9"/>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现任职务</w:t>
            </w:r>
          </w:p>
        </w:tc>
        <w:tc>
          <w:tcPr>
            <w:tcW w:w="3400" w:type="dxa"/>
            <w:gridSpan w:val="4"/>
            <w:tcBorders>
              <w:top w:val="single" w:color="auto" w:sz="6" w:space="0"/>
              <w:left w:val="single" w:color="auto" w:sz="6" w:space="0"/>
              <w:bottom w:val="single" w:color="auto" w:sz="6" w:space="0"/>
              <w:right w:val="single" w:color="auto" w:sz="6" w:space="0"/>
            </w:tcBorders>
            <w:noWrap w:val="0"/>
            <w:vAlign w:val="center"/>
          </w:tcPr>
          <w:p w14:paraId="7EDCC565">
            <w:pPr>
              <w:spacing w:before="100" w:beforeAutospacing="1" w:after="100" w:afterAutospacing="1"/>
              <w:ind w:left="-90"/>
              <w:jc w:val="center"/>
              <w:outlineLvl w:val="9"/>
              <w:rPr>
                <w:rFonts w:hint="eastAsia" w:ascii="宋体" w:hAnsi="宋体" w:eastAsia="宋体" w:cs="宋体"/>
                <w:bCs/>
                <w:color w:val="000000"/>
                <w:kern w:val="0"/>
                <w:sz w:val="24"/>
                <w:highlight w:val="none"/>
              </w:rPr>
            </w:pPr>
          </w:p>
        </w:tc>
      </w:tr>
      <w:tr w14:paraId="4A4B58B3">
        <w:tblPrEx>
          <w:tblCellMar>
            <w:top w:w="0" w:type="dxa"/>
            <w:left w:w="108" w:type="dxa"/>
            <w:bottom w:w="0" w:type="dxa"/>
            <w:right w:w="108" w:type="dxa"/>
          </w:tblCellMar>
        </w:tblPrEx>
        <w:trPr>
          <w:trHeight w:val="778" w:hRule="atLeast"/>
        </w:trPr>
        <w:tc>
          <w:tcPr>
            <w:tcW w:w="9555" w:type="dxa"/>
            <w:gridSpan w:val="11"/>
            <w:tcBorders>
              <w:top w:val="single" w:color="auto" w:sz="6" w:space="0"/>
              <w:left w:val="single" w:color="auto" w:sz="6" w:space="0"/>
              <w:bottom w:val="single" w:color="auto" w:sz="6" w:space="0"/>
              <w:right w:val="single" w:color="auto" w:sz="6" w:space="0"/>
            </w:tcBorders>
            <w:noWrap w:val="0"/>
            <w:vAlign w:val="center"/>
          </w:tcPr>
          <w:p w14:paraId="7F5C9252">
            <w:pPr>
              <w:spacing w:before="100" w:beforeAutospacing="1" w:after="100" w:afterAutospacing="1"/>
              <w:ind w:left="-90" w:firstLine="340"/>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勘察设计工作</w:t>
            </w:r>
            <w:r>
              <w:rPr>
                <w:rFonts w:hint="eastAsia" w:ascii="宋体" w:hAnsi="宋体" w:eastAsia="宋体" w:cs="宋体"/>
                <w:bCs/>
                <w:color w:val="000000"/>
                <w:sz w:val="24"/>
                <w:highlight w:val="none"/>
              </w:rPr>
              <w:t>经历</w:t>
            </w:r>
          </w:p>
        </w:tc>
      </w:tr>
      <w:tr w14:paraId="61B739C0">
        <w:tblPrEx>
          <w:tblCellMar>
            <w:top w:w="0" w:type="dxa"/>
            <w:left w:w="108" w:type="dxa"/>
            <w:bottom w:w="0" w:type="dxa"/>
            <w:right w:w="108" w:type="dxa"/>
          </w:tblCellMar>
        </w:tblPrEx>
        <w:trPr>
          <w:trHeight w:val="778" w:hRule="atLeast"/>
        </w:trPr>
        <w:tc>
          <w:tcPr>
            <w:tcW w:w="1435" w:type="dxa"/>
            <w:tcBorders>
              <w:top w:val="single" w:color="auto" w:sz="6" w:space="0"/>
              <w:left w:val="single" w:color="auto" w:sz="6" w:space="0"/>
              <w:bottom w:val="single" w:color="auto" w:sz="6" w:space="0"/>
              <w:right w:val="single" w:color="auto" w:sz="6" w:space="0"/>
            </w:tcBorders>
            <w:noWrap w:val="0"/>
            <w:vAlign w:val="center"/>
          </w:tcPr>
          <w:p w14:paraId="017D384C">
            <w:pPr>
              <w:spacing w:before="100" w:beforeAutospacing="1" w:after="100" w:afterAutospacing="1"/>
              <w:ind w:left="-90"/>
              <w:jc w:val="center"/>
              <w:outlineLvl w:val="9"/>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起止年月</w:t>
            </w:r>
          </w:p>
        </w:tc>
        <w:tc>
          <w:tcPr>
            <w:tcW w:w="3211" w:type="dxa"/>
            <w:gridSpan w:val="3"/>
            <w:tcBorders>
              <w:top w:val="single" w:color="auto" w:sz="6" w:space="0"/>
              <w:left w:val="single" w:color="auto" w:sz="6" w:space="0"/>
              <w:bottom w:val="single" w:color="auto" w:sz="6" w:space="0"/>
              <w:right w:val="single" w:color="auto" w:sz="6" w:space="0"/>
            </w:tcBorders>
            <w:noWrap w:val="0"/>
            <w:vAlign w:val="center"/>
          </w:tcPr>
          <w:p w14:paraId="49C1646E">
            <w:pPr>
              <w:spacing w:before="100" w:beforeAutospacing="1" w:after="100" w:afterAutospacing="1"/>
              <w:ind w:left="-90" w:firstLine="340"/>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勘察设计</w:t>
            </w:r>
            <w:r>
              <w:rPr>
                <w:rFonts w:hint="eastAsia" w:ascii="宋体" w:hAnsi="宋体" w:eastAsia="宋体" w:cs="宋体"/>
                <w:bCs/>
                <w:color w:val="000000"/>
                <w:sz w:val="24"/>
                <w:highlight w:val="none"/>
              </w:rPr>
              <w:t>项目名称</w:t>
            </w:r>
          </w:p>
        </w:tc>
        <w:tc>
          <w:tcPr>
            <w:tcW w:w="2832" w:type="dxa"/>
            <w:gridSpan w:val="4"/>
            <w:tcBorders>
              <w:top w:val="single" w:color="auto" w:sz="6" w:space="0"/>
              <w:left w:val="single" w:color="auto" w:sz="6" w:space="0"/>
              <w:bottom w:val="single" w:color="auto" w:sz="6" w:space="0"/>
              <w:right w:val="single" w:color="auto" w:sz="6" w:space="0"/>
            </w:tcBorders>
            <w:noWrap w:val="0"/>
            <w:vAlign w:val="center"/>
          </w:tcPr>
          <w:p w14:paraId="16D0113B">
            <w:pPr>
              <w:adjustRightInd w:val="0"/>
              <w:snapToGrid w:val="0"/>
              <w:spacing w:line="300" w:lineRule="auto"/>
              <w:ind w:left="-91" w:right="-107" w:rightChars="-51"/>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kern w:val="0"/>
                <w:sz w:val="24"/>
                <w:highlight w:val="none"/>
              </w:rPr>
              <w:t>承担的主要工作内容</w:t>
            </w:r>
          </w:p>
        </w:tc>
        <w:tc>
          <w:tcPr>
            <w:tcW w:w="788" w:type="dxa"/>
            <w:gridSpan w:val="2"/>
            <w:tcBorders>
              <w:top w:val="single" w:color="auto" w:sz="6" w:space="0"/>
              <w:left w:val="single" w:color="auto" w:sz="6" w:space="0"/>
              <w:bottom w:val="single" w:color="auto" w:sz="6" w:space="0"/>
              <w:right w:val="single" w:color="auto" w:sz="6" w:space="0"/>
            </w:tcBorders>
            <w:noWrap w:val="0"/>
            <w:vAlign w:val="center"/>
          </w:tcPr>
          <w:p w14:paraId="6FDE111C">
            <w:pPr>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担任</w:t>
            </w:r>
          </w:p>
          <w:p w14:paraId="3A5FB785">
            <w:pPr>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职务</w:t>
            </w:r>
          </w:p>
        </w:tc>
        <w:tc>
          <w:tcPr>
            <w:tcW w:w="1289" w:type="dxa"/>
            <w:tcBorders>
              <w:top w:val="single" w:color="auto" w:sz="6" w:space="0"/>
              <w:left w:val="single" w:color="auto" w:sz="6" w:space="0"/>
              <w:bottom w:val="single" w:color="auto" w:sz="6" w:space="0"/>
              <w:right w:val="single" w:color="auto" w:sz="6" w:space="0"/>
            </w:tcBorders>
            <w:noWrap w:val="0"/>
            <w:vAlign w:val="center"/>
          </w:tcPr>
          <w:p w14:paraId="120B896A">
            <w:pPr>
              <w:spacing w:before="100" w:beforeAutospacing="1" w:after="100" w:afterAutospacing="1"/>
              <w:ind w:left="-90" w:right="-107" w:rightChars="-51"/>
              <w:jc w:val="center"/>
              <w:outlineLvl w:val="9"/>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工程规模及等级</w:t>
            </w:r>
          </w:p>
        </w:tc>
      </w:tr>
      <w:tr w14:paraId="78036530">
        <w:tblPrEx>
          <w:tblCellMar>
            <w:top w:w="0" w:type="dxa"/>
            <w:left w:w="108" w:type="dxa"/>
            <w:bottom w:w="0" w:type="dxa"/>
            <w:right w:w="108" w:type="dxa"/>
          </w:tblCellMar>
        </w:tblPrEx>
        <w:trPr>
          <w:trHeight w:val="3145" w:hRule="atLeast"/>
        </w:trPr>
        <w:tc>
          <w:tcPr>
            <w:tcW w:w="1435" w:type="dxa"/>
            <w:tcBorders>
              <w:top w:val="single" w:color="auto" w:sz="6" w:space="0"/>
              <w:left w:val="single" w:color="auto" w:sz="6" w:space="0"/>
              <w:bottom w:val="single" w:color="auto" w:sz="6" w:space="0"/>
              <w:right w:val="single" w:color="auto" w:sz="6" w:space="0"/>
            </w:tcBorders>
            <w:noWrap w:val="0"/>
            <w:vAlign w:val="center"/>
          </w:tcPr>
          <w:p w14:paraId="0E7A404F">
            <w:pPr>
              <w:spacing w:before="100" w:beforeAutospacing="1" w:after="100" w:afterAutospacing="1"/>
              <w:ind w:left="-90" w:firstLine="340"/>
              <w:jc w:val="center"/>
              <w:outlineLvl w:val="9"/>
              <w:rPr>
                <w:rFonts w:hint="eastAsia" w:ascii="宋体" w:hAnsi="宋体" w:eastAsia="宋体" w:cs="宋体"/>
                <w:b/>
                <w:color w:val="000000"/>
                <w:sz w:val="24"/>
                <w:highlight w:val="none"/>
              </w:rPr>
            </w:pPr>
          </w:p>
        </w:tc>
        <w:tc>
          <w:tcPr>
            <w:tcW w:w="3211" w:type="dxa"/>
            <w:gridSpan w:val="3"/>
            <w:tcBorders>
              <w:top w:val="single" w:color="auto" w:sz="6" w:space="0"/>
              <w:left w:val="single" w:color="auto" w:sz="6" w:space="0"/>
              <w:bottom w:val="single" w:color="auto" w:sz="6" w:space="0"/>
              <w:right w:val="single" w:color="auto" w:sz="6" w:space="0"/>
            </w:tcBorders>
            <w:noWrap w:val="0"/>
            <w:vAlign w:val="center"/>
          </w:tcPr>
          <w:p w14:paraId="4427A5E7">
            <w:pPr>
              <w:spacing w:before="100" w:beforeAutospacing="1" w:after="100" w:afterAutospacing="1"/>
              <w:ind w:left="-90" w:firstLine="340"/>
              <w:jc w:val="center"/>
              <w:outlineLvl w:val="9"/>
              <w:rPr>
                <w:rFonts w:hint="eastAsia" w:ascii="宋体" w:hAnsi="宋体" w:eastAsia="宋体" w:cs="宋体"/>
                <w:b/>
                <w:color w:val="000000"/>
                <w:sz w:val="24"/>
                <w:highlight w:val="none"/>
              </w:rPr>
            </w:pPr>
          </w:p>
        </w:tc>
        <w:tc>
          <w:tcPr>
            <w:tcW w:w="2832" w:type="dxa"/>
            <w:gridSpan w:val="4"/>
            <w:tcBorders>
              <w:top w:val="single" w:color="auto" w:sz="6" w:space="0"/>
              <w:left w:val="single" w:color="auto" w:sz="6" w:space="0"/>
              <w:bottom w:val="single" w:color="auto" w:sz="6" w:space="0"/>
              <w:right w:val="single" w:color="auto" w:sz="6" w:space="0"/>
            </w:tcBorders>
            <w:noWrap w:val="0"/>
            <w:vAlign w:val="center"/>
          </w:tcPr>
          <w:p w14:paraId="3ECD8DF4">
            <w:pPr>
              <w:spacing w:before="100" w:beforeAutospacing="1" w:after="100" w:afterAutospacing="1"/>
              <w:ind w:left="-90" w:firstLine="340"/>
              <w:jc w:val="center"/>
              <w:outlineLvl w:val="9"/>
              <w:rPr>
                <w:rFonts w:hint="eastAsia" w:ascii="宋体" w:hAnsi="宋体" w:eastAsia="宋体" w:cs="宋体"/>
                <w:b/>
                <w:color w:val="000000"/>
                <w:sz w:val="24"/>
                <w:highlight w:val="none"/>
              </w:rPr>
            </w:pPr>
          </w:p>
        </w:tc>
        <w:tc>
          <w:tcPr>
            <w:tcW w:w="788" w:type="dxa"/>
            <w:gridSpan w:val="2"/>
            <w:tcBorders>
              <w:top w:val="single" w:color="auto" w:sz="6" w:space="0"/>
              <w:left w:val="single" w:color="auto" w:sz="6" w:space="0"/>
              <w:bottom w:val="single" w:color="auto" w:sz="6" w:space="0"/>
              <w:right w:val="single" w:color="auto" w:sz="6" w:space="0"/>
            </w:tcBorders>
            <w:noWrap w:val="0"/>
            <w:vAlign w:val="center"/>
          </w:tcPr>
          <w:p w14:paraId="35155F02">
            <w:pPr>
              <w:spacing w:before="100" w:beforeAutospacing="1" w:after="100" w:afterAutospacing="1"/>
              <w:ind w:left="-90" w:firstLine="340"/>
              <w:jc w:val="center"/>
              <w:outlineLvl w:val="9"/>
              <w:rPr>
                <w:rFonts w:hint="eastAsia" w:ascii="宋体" w:hAnsi="宋体" w:eastAsia="宋体" w:cs="宋体"/>
                <w:b/>
                <w:color w:val="000000"/>
                <w:sz w:val="24"/>
                <w:highlight w:val="none"/>
              </w:rPr>
            </w:pPr>
          </w:p>
        </w:tc>
        <w:tc>
          <w:tcPr>
            <w:tcW w:w="1289" w:type="dxa"/>
            <w:tcBorders>
              <w:top w:val="single" w:color="auto" w:sz="6" w:space="0"/>
              <w:left w:val="single" w:color="auto" w:sz="6" w:space="0"/>
              <w:bottom w:val="single" w:color="auto" w:sz="6" w:space="0"/>
              <w:right w:val="single" w:color="auto" w:sz="6" w:space="0"/>
            </w:tcBorders>
            <w:noWrap w:val="0"/>
            <w:vAlign w:val="center"/>
          </w:tcPr>
          <w:p w14:paraId="7490A65F">
            <w:pPr>
              <w:spacing w:before="100" w:beforeAutospacing="1" w:after="100" w:afterAutospacing="1"/>
              <w:ind w:left="-90" w:firstLine="340"/>
              <w:jc w:val="center"/>
              <w:outlineLvl w:val="9"/>
              <w:rPr>
                <w:rFonts w:hint="eastAsia" w:ascii="宋体" w:hAnsi="宋体" w:eastAsia="宋体" w:cs="宋体"/>
                <w:b/>
                <w:color w:val="000000"/>
                <w:sz w:val="24"/>
                <w:highlight w:val="none"/>
              </w:rPr>
            </w:pPr>
          </w:p>
        </w:tc>
      </w:tr>
    </w:tbl>
    <w:p w14:paraId="2A4A97A8">
      <w:pPr>
        <w:spacing w:line="360" w:lineRule="auto"/>
        <w:jc w:val="left"/>
        <w:outlineLvl w:val="9"/>
        <w:rPr>
          <w:rFonts w:hint="eastAsia" w:ascii="宋体" w:hAnsi="宋体" w:eastAsia="宋体" w:cs="宋体"/>
          <w:color w:val="000000"/>
          <w:sz w:val="24"/>
          <w:szCs w:val="22"/>
          <w:highlight w:val="none"/>
        </w:rPr>
      </w:pPr>
    </w:p>
    <w:p w14:paraId="5D5B2E98">
      <w:pPr>
        <w:spacing w:line="360" w:lineRule="auto"/>
        <w:jc w:val="left"/>
        <w:outlineLvl w:val="9"/>
        <w:rPr>
          <w:rFonts w:hint="eastAsia" w:ascii="宋体" w:hAnsi="宋体" w:eastAsia="宋体" w:cs="宋体"/>
          <w:b w:val="0"/>
          <w:bCs w:val="0"/>
          <w:color w:val="000000"/>
          <w:sz w:val="24"/>
          <w:highlight w:val="none"/>
        </w:rPr>
      </w:pPr>
      <w:r>
        <w:rPr>
          <w:rFonts w:hint="eastAsia" w:ascii="宋体" w:hAnsi="宋体" w:eastAsia="宋体" w:cs="宋体"/>
          <w:color w:val="000000"/>
          <w:sz w:val="24"/>
          <w:highlight w:val="none"/>
        </w:rPr>
        <w:t>注：需附身份证、职称证</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、资格证</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或注册证</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等</w:t>
      </w:r>
      <w:r>
        <w:rPr>
          <w:rFonts w:hint="eastAsia" w:ascii="宋体" w:hAnsi="宋体" w:eastAsia="宋体" w:cs="宋体"/>
          <w:b/>
          <w:bCs/>
          <w:color w:val="000000"/>
          <w:sz w:val="24"/>
          <w:highlight w:val="none"/>
        </w:rPr>
        <w:t>彩色扫描件</w:t>
      </w:r>
      <w:r>
        <w:rPr>
          <w:rFonts w:hint="eastAsia" w:ascii="宋体" w:hAnsi="宋体" w:eastAsia="宋体" w:cs="宋体"/>
          <w:b w:val="0"/>
          <w:bCs w:val="0"/>
          <w:color w:val="000000"/>
          <w:sz w:val="24"/>
          <w:highlight w:val="none"/>
        </w:rPr>
        <w:t>及在本单位近</w:t>
      </w:r>
      <w:r>
        <w:rPr>
          <w:rFonts w:hint="eastAsia" w:ascii="宋体" w:hAnsi="宋体" w:eastAsia="宋体" w:cs="宋体"/>
          <w:b w:val="0"/>
          <w:bCs w:val="0"/>
          <w:color w:val="000000"/>
          <w:sz w:val="24"/>
          <w:highlight w:val="none"/>
          <w:lang w:val="en-US" w:eastAsia="zh-CN"/>
        </w:rPr>
        <w:t>三</w:t>
      </w:r>
      <w:r>
        <w:rPr>
          <w:rFonts w:hint="eastAsia" w:ascii="宋体" w:hAnsi="宋体" w:eastAsia="宋体" w:cs="宋体"/>
          <w:b w:val="0"/>
          <w:bCs w:val="0"/>
          <w:color w:val="000000"/>
          <w:sz w:val="24"/>
          <w:highlight w:val="none"/>
        </w:rPr>
        <w:t>个月</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lang w:val="en-US" w:eastAsia="zh-CN"/>
        </w:rPr>
        <w:t>其中必须有2025年12月</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rPr>
        <w:t>的社保证明</w:t>
      </w:r>
      <w:r>
        <w:rPr>
          <w:rFonts w:hint="eastAsia" w:ascii="宋体" w:hAnsi="宋体" w:eastAsia="宋体" w:cs="宋体"/>
          <w:b/>
          <w:bCs/>
          <w:color w:val="000000"/>
          <w:sz w:val="24"/>
          <w:highlight w:val="none"/>
        </w:rPr>
        <w:t>彩色扫描件</w:t>
      </w:r>
      <w:r>
        <w:rPr>
          <w:rFonts w:hint="eastAsia" w:ascii="宋体" w:hAnsi="宋体" w:eastAsia="宋体" w:cs="宋体"/>
          <w:b w:val="0"/>
          <w:bCs w:val="0"/>
          <w:color w:val="000000"/>
          <w:sz w:val="24"/>
          <w:highlight w:val="none"/>
          <w:lang w:val="en-US" w:eastAsia="zh-CN"/>
        </w:rPr>
        <w:t>和评标办法前附表中要求提供的相关证明材料</w:t>
      </w:r>
      <w:r>
        <w:rPr>
          <w:rFonts w:hint="eastAsia" w:ascii="宋体" w:hAnsi="宋体" w:eastAsia="宋体" w:cs="宋体"/>
          <w:b w:val="0"/>
          <w:bCs w:val="0"/>
          <w:color w:val="000000"/>
          <w:sz w:val="24"/>
          <w:highlight w:val="none"/>
        </w:rPr>
        <w:t>。</w:t>
      </w:r>
    </w:p>
    <w:p w14:paraId="468DCF24">
      <w:pPr>
        <w:spacing w:line="360" w:lineRule="auto"/>
        <w:jc w:val="left"/>
        <w:outlineLvl w:val="9"/>
        <w:rPr>
          <w:rFonts w:hint="eastAsia" w:ascii="宋体" w:hAnsi="宋体" w:eastAsia="宋体" w:cs="宋体"/>
          <w:color w:val="000000"/>
          <w:sz w:val="24"/>
          <w:szCs w:val="22"/>
          <w:highlight w:val="none"/>
        </w:rPr>
      </w:pPr>
    </w:p>
    <w:p w14:paraId="62C7B950">
      <w:pPr>
        <w:spacing w:line="360" w:lineRule="auto"/>
        <w:jc w:val="left"/>
        <w:outlineLvl w:val="9"/>
        <w:rPr>
          <w:rFonts w:hint="eastAsia" w:ascii="宋体" w:hAnsi="宋体" w:eastAsia="宋体" w:cs="宋体"/>
          <w:color w:val="000000"/>
          <w:sz w:val="24"/>
          <w:szCs w:val="22"/>
          <w:highlight w:val="none"/>
        </w:rPr>
      </w:pPr>
    </w:p>
    <w:p w14:paraId="2784D6D0">
      <w:pPr>
        <w:spacing w:before="156" w:beforeLines="50" w:line="360" w:lineRule="auto"/>
        <w:outlineLvl w:val="9"/>
        <w:rPr>
          <w:rFonts w:hint="eastAsia" w:ascii="宋体" w:hAnsi="宋体" w:eastAsia="宋体" w:cs="宋体"/>
          <w:color w:val="000000"/>
          <w:sz w:val="24"/>
          <w:highlight w:val="none"/>
        </w:rPr>
      </w:pPr>
    </w:p>
    <w:p w14:paraId="41AA4AF4">
      <w:pPr>
        <w:spacing w:before="156" w:beforeLines="50" w:line="360" w:lineRule="auto"/>
        <w:outlineLvl w:val="9"/>
        <w:rPr>
          <w:rFonts w:hint="eastAsia" w:ascii="宋体" w:hAnsi="宋体" w:eastAsia="宋体" w:cs="宋体"/>
          <w:color w:val="000000"/>
          <w:sz w:val="24"/>
          <w:highlight w:val="none"/>
        </w:rPr>
      </w:pPr>
    </w:p>
    <w:p w14:paraId="3FE48984">
      <w:pPr>
        <w:spacing w:line="360" w:lineRule="auto"/>
        <w:jc w:val="righ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5B1FA887">
      <w:pPr>
        <w:spacing w:line="360" w:lineRule="auto"/>
        <w:jc w:val="right"/>
        <w:outlineLvl w:val="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p>
    <w:p w14:paraId="73E97F56">
      <w:pPr>
        <w:spacing w:line="360" w:lineRule="auto"/>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26D2D0FB">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 w:val="24"/>
          <w:highlight w:val="none"/>
        </w:rPr>
      </w:pPr>
      <w:r>
        <w:rPr>
          <w:rFonts w:hint="eastAsia" w:ascii="宋体" w:hAnsi="宋体" w:eastAsia="宋体" w:cs="宋体"/>
          <w:color w:val="000000"/>
          <w:highlight w:val="none"/>
        </w:rPr>
        <w:br w:type="page"/>
      </w:r>
      <w:bookmarkStart w:id="184" w:name="_Toc538"/>
      <w:r>
        <w:rPr>
          <w:rFonts w:hint="eastAsia" w:ascii="宋体" w:hAnsi="宋体" w:eastAsia="宋体" w:cs="宋体"/>
          <w:b/>
          <w:bCs/>
          <w:color w:val="000000"/>
          <w:sz w:val="24"/>
          <w:highlight w:val="none"/>
        </w:rPr>
        <w:t xml:space="preserve">6.4 </w:t>
      </w:r>
      <w:r>
        <w:rPr>
          <w:rFonts w:hint="eastAsia" w:ascii="宋体" w:hAnsi="宋体" w:eastAsia="宋体" w:cs="宋体"/>
          <w:color w:val="000000"/>
          <w:highlight w:val="none"/>
        </w:rPr>
        <w:t xml:space="preserve"> </w:t>
      </w:r>
      <w:r>
        <w:rPr>
          <w:rFonts w:hint="eastAsia" w:ascii="宋体" w:hAnsi="宋体" w:eastAsia="宋体" w:cs="宋体"/>
          <w:b/>
          <w:bCs/>
          <w:color w:val="000000"/>
          <w:sz w:val="24"/>
          <w:highlight w:val="none"/>
        </w:rPr>
        <w:t>近3年财务状况</w:t>
      </w:r>
      <w:bookmarkEnd w:id="184"/>
      <w:r>
        <w:rPr>
          <w:rFonts w:hint="eastAsia" w:ascii="宋体" w:hAnsi="宋体" w:eastAsia="宋体" w:cs="宋体"/>
          <w:b/>
          <w:bCs/>
          <w:color w:val="000000"/>
          <w:sz w:val="24"/>
          <w:highlight w:val="none"/>
        </w:rPr>
        <w:t>（近3年指</w:t>
      </w:r>
      <w:r>
        <w:rPr>
          <w:rFonts w:hint="eastAsia" w:ascii="宋体" w:hAnsi="宋体" w:eastAsia="宋体" w:cs="宋体"/>
          <w:b/>
          <w:bCs/>
          <w:color w:val="000000"/>
          <w:sz w:val="24"/>
          <w:highlight w:val="none"/>
          <w:lang w:val="en-US" w:eastAsia="zh-CN"/>
        </w:rPr>
        <w:t>2022</w:t>
      </w:r>
      <w:r>
        <w:rPr>
          <w:rFonts w:hint="eastAsia" w:ascii="宋体" w:hAnsi="宋体" w:eastAsia="宋体" w:cs="宋体"/>
          <w:b/>
          <w:bCs/>
          <w:color w:val="000000"/>
          <w:sz w:val="24"/>
          <w:highlight w:val="none"/>
        </w:rPr>
        <w:t>年至</w:t>
      </w:r>
      <w:r>
        <w:rPr>
          <w:rFonts w:hint="eastAsia" w:ascii="宋体" w:hAnsi="宋体" w:eastAsia="宋体" w:cs="宋体"/>
          <w:b/>
          <w:bCs/>
          <w:color w:val="000000"/>
          <w:sz w:val="24"/>
          <w:highlight w:val="none"/>
          <w:lang w:val="en-US" w:eastAsia="zh-CN"/>
        </w:rPr>
        <w:t>2024</w:t>
      </w:r>
      <w:r>
        <w:rPr>
          <w:rFonts w:hint="eastAsia" w:ascii="宋体" w:hAnsi="宋体" w:eastAsia="宋体" w:cs="宋体"/>
          <w:b/>
          <w:bCs/>
          <w:color w:val="000000"/>
          <w:sz w:val="24"/>
          <w:highlight w:val="none"/>
        </w:rPr>
        <w:t>年）</w:t>
      </w:r>
    </w:p>
    <w:p w14:paraId="710D051A">
      <w:pPr>
        <w:spacing w:before="0" w:after="0" w:line="240" w:lineRule="auto"/>
        <w:outlineLvl w:val="9"/>
        <w:rPr>
          <w:rFonts w:hint="eastAsia" w:ascii="宋体" w:hAnsi="宋体" w:eastAsia="宋体" w:cs="宋体"/>
          <w:color w:val="000000"/>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891"/>
        <w:gridCol w:w="1891"/>
        <w:gridCol w:w="1891"/>
        <w:gridCol w:w="1892"/>
      </w:tblGrid>
      <w:tr w14:paraId="51F4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526A7A41">
            <w:pPr>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p>
        </w:tc>
        <w:tc>
          <w:tcPr>
            <w:tcW w:w="1891" w:type="dxa"/>
            <w:noWrap w:val="0"/>
            <w:vAlign w:val="center"/>
          </w:tcPr>
          <w:p w14:paraId="31E37E9B">
            <w:pPr>
              <w:jc w:val="cente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w:t>
            </w:r>
          </w:p>
        </w:tc>
        <w:tc>
          <w:tcPr>
            <w:tcW w:w="1891" w:type="dxa"/>
            <w:noWrap w:val="0"/>
            <w:vAlign w:val="center"/>
          </w:tcPr>
          <w:p w14:paraId="1B5BAFE7">
            <w:pPr>
              <w:ind w:firstLine="240" w:firstLineChars="1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lang w:val="en-US" w:eastAsia="zh-CN"/>
              </w:rPr>
              <w:t>2022</w:t>
            </w:r>
            <w:r>
              <w:rPr>
                <w:rFonts w:hint="eastAsia" w:ascii="宋体" w:hAnsi="宋体" w:eastAsia="宋体" w:cs="宋体"/>
                <w:color w:val="000000"/>
                <w:sz w:val="24"/>
                <w:highlight w:val="none"/>
                <w:u w:val="none"/>
              </w:rPr>
              <w:t>年</w:t>
            </w:r>
          </w:p>
        </w:tc>
        <w:tc>
          <w:tcPr>
            <w:tcW w:w="1891" w:type="dxa"/>
            <w:noWrap w:val="0"/>
            <w:vAlign w:val="center"/>
          </w:tcPr>
          <w:p w14:paraId="39233E05">
            <w:pPr>
              <w:ind w:firstLine="240" w:firstLineChars="1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lang w:val="en-US" w:eastAsia="zh-CN"/>
              </w:rPr>
              <w:t>2023</w:t>
            </w:r>
            <w:r>
              <w:rPr>
                <w:rFonts w:hint="eastAsia" w:ascii="宋体" w:hAnsi="宋体" w:eastAsia="宋体" w:cs="宋体"/>
                <w:color w:val="000000"/>
                <w:sz w:val="24"/>
                <w:highlight w:val="none"/>
              </w:rPr>
              <w:t>年</w:t>
            </w:r>
          </w:p>
        </w:tc>
        <w:tc>
          <w:tcPr>
            <w:tcW w:w="1892" w:type="dxa"/>
            <w:noWrap w:val="0"/>
            <w:vAlign w:val="center"/>
          </w:tcPr>
          <w:p w14:paraId="3BE4D1F0">
            <w:pPr>
              <w:ind w:firstLine="240" w:firstLineChars="1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lang w:val="en-US" w:eastAsia="zh-CN"/>
              </w:rPr>
              <w:t>2024</w:t>
            </w:r>
            <w:r>
              <w:rPr>
                <w:rFonts w:hint="eastAsia" w:ascii="宋体" w:hAnsi="宋体" w:eastAsia="宋体" w:cs="宋体"/>
                <w:color w:val="000000"/>
                <w:sz w:val="24"/>
                <w:highlight w:val="none"/>
              </w:rPr>
              <w:t>年</w:t>
            </w:r>
          </w:p>
        </w:tc>
      </w:tr>
      <w:tr w14:paraId="2F84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6BCCBA5D">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一、注册资金</w:t>
            </w:r>
          </w:p>
        </w:tc>
        <w:tc>
          <w:tcPr>
            <w:tcW w:w="1891" w:type="dxa"/>
            <w:noWrap w:val="0"/>
            <w:vAlign w:val="top"/>
          </w:tcPr>
          <w:p w14:paraId="27BED217">
            <w:pPr>
              <w:outlineLvl w:val="9"/>
              <w:rPr>
                <w:rFonts w:hint="eastAsia" w:ascii="宋体" w:hAnsi="宋体" w:eastAsia="宋体" w:cs="宋体"/>
                <w:color w:val="000000"/>
                <w:sz w:val="24"/>
                <w:highlight w:val="none"/>
              </w:rPr>
            </w:pPr>
          </w:p>
        </w:tc>
        <w:tc>
          <w:tcPr>
            <w:tcW w:w="1891" w:type="dxa"/>
            <w:noWrap w:val="0"/>
            <w:vAlign w:val="top"/>
          </w:tcPr>
          <w:p w14:paraId="61B32F66">
            <w:pPr>
              <w:outlineLvl w:val="9"/>
              <w:rPr>
                <w:rFonts w:hint="eastAsia" w:ascii="宋体" w:hAnsi="宋体" w:eastAsia="宋体" w:cs="宋体"/>
                <w:color w:val="000000"/>
                <w:sz w:val="24"/>
                <w:highlight w:val="none"/>
              </w:rPr>
            </w:pPr>
          </w:p>
        </w:tc>
        <w:tc>
          <w:tcPr>
            <w:tcW w:w="1891" w:type="dxa"/>
            <w:noWrap w:val="0"/>
            <w:vAlign w:val="top"/>
          </w:tcPr>
          <w:p w14:paraId="333C65AC">
            <w:pPr>
              <w:outlineLvl w:val="9"/>
              <w:rPr>
                <w:rFonts w:hint="eastAsia" w:ascii="宋体" w:hAnsi="宋体" w:eastAsia="宋体" w:cs="宋体"/>
                <w:color w:val="000000"/>
                <w:sz w:val="24"/>
                <w:highlight w:val="none"/>
              </w:rPr>
            </w:pPr>
          </w:p>
        </w:tc>
        <w:tc>
          <w:tcPr>
            <w:tcW w:w="1892" w:type="dxa"/>
            <w:noWrap w:val="0"/>
            <w:vAlign w:val="top"/>
          </w:tcPr>
          <w:p w14:paraId="0AE87562">
            <w:pPr>
              <w:outlineLvl w:val="9"/>
              <w:rPr>
                <w:rFonts w:hint="eastAsia" w:ascii="宋体" w:hAnsi="宋体" w:eastAsia="宋体" w:cs="宋体"/>
                <w:color w:val="000000"/>
                <w:sz w:val="24"/>
                <w:highlight w:val="none"/>
              </w:rPr>
            </w:pPr>
          </w:p>
        </w:tc>
      </w:tr>
      <w:tr w14:paraId="7953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0E293D96">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二、净资产</w:t>
            </w:r>
          </w:p>
        </w:tc>
        <w:tc>
          <w:tcPr>
            <w:tcW w:w="1891" w:type="dxa"/>
            <w:noWrap w:val="0"/>
            <w:vAlign w:val="top"/>
          </w:tcPr>
          <w:p w14:paraId="2E5B2D4D">
            <w:pPr>
              <w:outlineLvl w:val="9"/>
              <w:rPr>
                <w:rFonts w:hint="eastAsia" w:ascii="宋体" w:hAnsi="宋体" w:eastAsia="宋体" w:cs="宋体"/>
                <w:color w:val="000000"/>
                <w:sz w:val="24"/>
                <w:highlight w:val="none"/>
              </w:rPr>
            </w:pPr>
          </w:p>
        </w:tc>
        <w:tc>
          <w:tcPr>
            <w:tcW w:w="1891" w:type="dxa"/>
            <w:noWrap w:val="0"/>
            <w:vAlign w:val="top"/>
          </w:tcPr>
          <w:p w14:paraId="27293BD4">
            <w:pPr>
              <w:outlineLvl w:val="9"/>
              <w:rPr>
                <w:rFonts w:hint="eastAsia" w:ascii="宋体" w:hAnsi="宋体" w:eastAsia="宋体" w:cs="宋体"/>
                <w:color w:val="000000"/>
                <w:sz w:val="24"/>
                <w:highlight w:val="none"/>
              </w:rPr>
            </w:pPr>
          </w:p>
        </w:tc>
        <w:tc>
          <w:tcPr>
            <w:tcW w:w="1891" w:type="dxa"/>
            <w:noWrap w:val="0"/>
            <w:vAlign w:val="top"/>
          </w:tcPr>
          <w:p w14:paraId="4F96AD3E">
            <w:pPr>
              <w:outlineLvl w:val="9"/>
              <w:rPr>
                <w:rFonts w:hint="eastAsia" w:ascii="宋体" w:hAnsi="宋体" w:eastAsia="宋体" w:cs="宋体"/>
                <w:color w:val="000000"/>
                <w:sz w:val="24"/>
                <w:highlight w:val="none"/>
              </w:rPr>
            </w:pPr>
          </w:p>
        </w:tc>
        <w:tc>
          <w:tcPr>
            <w:tcW w:w="1892" w:type="dxa"/>
            <w:noWrap w:val="0"/>
            <w:vAlign w:val="top"/>
          </w:tcPr>
          <w:p w14:paraId="36B651A9">
            <w:pPr>
              <w:outlineLvl w:val="9"/>
              <w:rPr>
                <w:rFonts w:hint="eastAsia" w:ascii="宋体" w:hAnsi="宋体" w:eastAsia="宋体" w:cs="宋体"/>
                <w:color w:val="000000"/>
                <w:sz w:val="24"/>
                <w:highlight w:val="none"/>
              </w:rPr>
            </w:pPr>
          </w:p>
        </w:tc>
      </w:tr>
      <w:tr w14:paraId="6312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532B9811">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三、总资产</w:t>
            </w:r>
          </w:p>
        </w:tc>
        <w:tc>
          <w:tcPr>
            <w:tcW w:w="1891" w:type="dxa"/>
            <w:noWrap w:val="0"/>
            <w:vAlign w:val="top"/>
          </w:tcPr>
          <w:p w14:paraId="0C1DF568">
            <w:pPr>
              <w:outlineLvl w:val="9"/>
              <w:rPr>
                <w:rFonts w:hint="eastAsia" w:ascii="宋体" w:hAnsi="宋体" w:eastAsia="宋体" w:cs="宋体"/>
                <w:color w:val="000000"/>
                <w:sz w:val="24"/>
                <w:highlight w:val="none"/>
              </w:rPr>
            </w:pPr>
          </w:p>
        </w:tc>
        <w:tc>
          <w:tcPr>
            <w:tcW w:w="1891" w:type="dxa"/>
            <w:noWrap w:val="0"/>
            <w:vAlign w:val="top"/>
          </w:tcPr>
          <w:p w14:paraId="68366C2D">
            <w:pPr>
              <w:outlineLvl w:val="9"/>
              <w:rPr>
                <w:rFonts w:hint="eastAsia" w:ascii="宋体" w:hAnsi="宋体" w:eastAsia="宋体" w:cs="宋体"/>
                <w:color w:val="000000"/>
                <w:sz w:val="24"/>
                <w:highlight w:val="none"/>
              </w:rPr>
            </w:pPr>
          </w:p>
        </w:tc>
        <w:tc>
          <w:tcPr>
            <w:tcW w:w="1891" w:type="dxa"/>
            <w:noWrap w:val="0"/>
            <w:vAlign w:val="top"/>
          </w:tcPr>
          <w:p w14:paraId="70B40FE0">
            <w:pPr>
              <w:outlineLvl w:val="9"/>
              <w:rPr>
                <w:rFonts w:hint="eastAsia" w:ascii="宋体" w:hAnsi="宋体" w:eastAsia="宋体" w:cs="宋体"/>
                <w:color w:val="000000"/>
                <w:sz w:val="24"/>
                <w:highlight w:val="none"/>
              </w:rPr>
            </w:pPr>
          </w:p>
        </w:tc>
        <w:tc>
          <w:tcPr>
            <w:tcW w:w="1892" w:type="dxa"/>
            <w:noWrap w:val="0"/>
            <w:vAlign w:val="top"/>
          </w:tcPr>
          <w:p w14:paraId="02BDE98D">
            <w:pPr>
              <w:outlineLvl w:val="9"/>
              <w:rPr>
                <w:rFonts w:hint="eastAsia" w:ascii="宋体" w:hAnsi="宋体" w:eastAsia="宋体" w:cs="宋体"/>
                <w:color w:val="000000"/>
                <w:sz w:val="24"/>
                <w:highlight w:val="none"/>
              </w:rPr>
            </w:pPr>
          </w:p>
        </w:tc>
      </w:tr>
      <w:tr w14:paraId="78C6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49B0460E">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四、固定资产</w:t>
            </w:r>
          </w:p>
        </w:tc>
        <w:tc>
          <w:tcPr>
            <w:tcW w:w="1891" w:type="dxa"/>
            <w:noWrap w:val="0"/>
            <w:vAlign w:val="top"/>
          </w:tcPr>
          <w:p w14:paraId="3CBB3830">
            <w:pPr>
              <w:outlineLvl w:val="9"/>
              <w:rPr>
                <w:rFonts w:hint="eastAsia" w:ascii="宋体" w:hAnsi="宋体" w:eastAsia="宋体" w:cs="宋体"/>
                <w:color w:val="000000"/>
                <w:sz w:val="24"/>
                <w:highlight w:val="none"/>
              </w:rPr>
            </w:pPr>
          </w:p>
        </w:tc>
        <w:tc>
          <w:tcPr>
            <w:tcW w:w="1891" w:type="dxa"/>
            <w:noWrap w:val="0"/>
            <w:vAlign w:val="top"/>
          </w:tcPr>
          <w:p w14:paraId="1C81714C">
            <w:pPr>
              <w:outlineLvl w:val="9"/>
              <w:rPr>
                <w:rFonts w:hint="eastAsia" w:ascii="宋体" w:hAnsi="宋体" w:eastAsia="宋体" w:cs="宋体"/>
                <w:color w:val="000000"/>
                <w:sz w:val="24"/>
                <w:highlight w:val="none"/>
              </w:rPr>
            </w:pPr>
          </w:p>
        </w:tc>
        <w:tc>
          <w:tcPr>
            <w:tcW w:w="1891" w:type="dxa"/>
            <w:noWrap w:val="0"/>
            <w:vAlign w:val="top"/>
          </w:tcPr>
          <w:p w14:paraId="4E1669FE">
            <w:pPr>
              <w:outlineLvl w:val="9"/>
              <w:rPr>
                <w:rFonts w:hint="eastAsia" w:ascii="宋体" w:hAnsi="宋体" w:eastAsia="宋体" w:cs="宋体"/>
                <w:color w:val="000000"/>
                <w:sz w:val="24"/>
                <w:highlight w:val="none"/>
              </w:rPr>
            </w:pPr>
          </w:p>
        </w:tc>
        <w:tc>
          <w:tcPr>
            <w:tcW w:w="1892" w:type="dxa"/>
            <w:noWrap w:val="0"/>
            <w:vAlign w:val="top"/>
          </w:tcPr>
          <w:p w14:paraId="65874CAC">
            <w:pPr>
              <w:outlineLvl w:val="9"/>
              <w:rPr>
                <w:rFonts w:hint="eastAsia" w:ascii="宋体" w:hAnsi="宋体" w:eastAsia="宋体" w:cs="宋体"/>
                <w:color w:val="000000"/>
                <w:sz w:val="24"/>
                <w:highlight w:val="none"/>
              </w:rPr>
            </w:pPr>
          </w:p>
        </w:tc>
      </w:tr>
      <w:tr w14:paraId="5647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2797DE95">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五、流动资产</w:t>
            </w:r>
          </w:p>
        </w:tc>
        <w:tc>
          <w:tcPr>
            <w:tcW w:w="1891" w:type="dxa"/>
            <w:noWrap w:val="0"/>
            <w:vAlign w:val="top"/>
          </w:tcPr>
          <w:p w14:paraId="7E34F4DD">
            <w:pPr>
              <w:outlineLvl w:val="9"/>
              <w:rPr>
                <w:rFonts w:hint="eastAsia" w:ascii="宋体" w:hAnsi="宋体" w:eastAsia="宋体" w:cs="宋体"/>
                <w:color w:val="000000"/>
                <w:sz w:val="24"/>
                <w:highlight w:val="none"/>
              </w:rPr>
            </w:pPr>
          </w:p>
        </w:tc>
        <w:tc>
          <w:tcPr>
            <w:tcW w:w="1891" w:type="dxa"/>
            <w:noWrap w:val="0"/>
            <w:vAlign w:val="top"/>
          </w:tcPr>
          <w:p w14:paraId="37B503A1">
            <w:pPr>
              <w:outlineLvl w:val="9"/>
              <w:rPr>
                <w:rFonts w:hint="eastAsia" w:ascii="宋体" w:hAnsi="宋体" w:eastAsia="宋体" w:cs="宋体"/>
                <w:color w:val="000000"/>
                <w:sz w:val="24"/>
                <w:highlight w:val="none"/>
              </w:rPr>
            </w:pPr>
          </w:p>
        </w:tc>
        <w:tc>
          <w:tcPr>
            <w:tcW w:w="1891" w:type="dxa"/>
            <w:noWrap w:val="0"/>
            <w:vAlign w:val="top"/>
          </w:tcPr>
          <w:p w14:paraId="1CDD6A3F">
            <w:pPr>
              <w:outlineLvl w:val="9"/>
              <w:rPr>
                <w:rFonts w:hint="eastAsia" w:ascii="宋体" w:hAnsi="宋体" w:eastAsia="宋体" w:cs="宋体"/>
                <w:color w:val="000000"/>
                <w:sz w:val="24"/>
                <w:highlight w:val="none"/>
              </w:rPr>
            </w:pPr>
          </w:p>
        </w:tc>
        <w:tc>
          <w:tcPr>
            <w:tcW w:w="1892" w:type="dxa"/>
            <w:noWrap w:val="0"/>
            <w:vAlign w:val="top"/>
          </w:tcPr>
          <w:p w14:paraId="5AC3B4BA">
            <w:pPr>
              <w:outlineLvl w:val="9"/>
              <w:rPr>
                <w:rFonts w:hint="eastAsia" w:ascii="宋体" w:hAnsi="宋体" w:eastAsia="宋体" w:cs="宋体"/>
                <w:color w:val="000000"/>
                <w:sz w:val="24"/>
                <w:highlight w:val="none"/>
              </w:rPr>
            </w:pPr>
          </w:p>
        </w:tc>
      </w:tr>
      <w:tr w14:paraId="703E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09F6D89E">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六、流动负债</w:t>
            </w:r>
          </w:p>
        </w:tc>
        <w:tc>
          <w:tcPr>
            <w:tcW w:w="1891" w:type="dxa"/>
            <w:noWrap w:val="0"/>
            <w:vAlign w:val="top"/>
          </w:tcPr>
          <w:p w14:paraId="640AF5C3">
            <w:pPr>
              <w:outlineLvl w:val="9"/>
              <w:rPr>
                <w:rFonts w:hint="eastAsia" w:ascii="宋体" w:hAnsi="宋体" w:eastAsia="宋体" w:cs="宋体"/>
                <w:color w:val="000000"/>
                <w:sz w:val="24"/>
                <w:highlight w:val="none"/>
              </w:rPr>
            </w:pPr>
          </w:p>
        </w:tc>
        <w:tc>
          <w:tcPr>
            <w:tcW w:w="1891" w:type="dxa"/>
            <w:noWrap w:val="0"/>
            <w:vAlign w:val="top"/>
          </w:tcPr>
          <w:p w14:paraId="7F9F8FC8">
            <w:pPr>
              <w:outlineLvl w:val="9"/>
              <w:rPr>
                <w:rFonts w:hint="eastAsia" w:ascii="宋体" w:hAnsi="宋体" w:eastAsia="宋体" w:cs="宋体"/>
                <w:color w:val="000000"/>
                <w:sz w:val="24"/>
                <w:highlight w:val="none"/>
              </w:rPr>
            </w:pPr>
          </w:p>
        </w:tc>
        <w:tc>
          <w:tcPr>
            <w:tcW w:w="1891" w:type="dxa"/>
            <w:noWrap w:val="0"/>
            <w:vAlign w:val="top"/>
          </w:tcPr>
          <w:p w14:paraId="6AC005D0">
            <w:pPr>
              <w:outlineLvl w:val="9"/>
              <w:rPr>
                <w:rFonts w:hint="eastAsia" w:ascii="宋体" w:hAnsi="宋体" w:eastAsia="宋体" w:cs="宋体"/>
                <w:color w:val="000000"/>
                <w:sz w:val="24"/>
                <w:highlight w:val="none"/>
              </w:rPr>
            </w:pPr>
          </w:p>
        </w:tc>
        <w:tc>
          <w:tcPr>
            <w:tcW w:w="1892" w:type="dxa"/>
            <w:noWrap w:val="0"/>
            <w:vAlign w:val="top"/>
          </w:tcPr>
          <w:p w14:paraId="54F25424">
            <w:pPr>
              <w:outlineLvl w:val="9"/>
              <w:rPr>
                <w:rFonts w:hint="eastAsia" w:ascii="宋体" w:hAnsi="宋体" w:eastAsia="宋体" w:cs="宋体"/>
                <w:color w:val="000000"/>
                <w:sz w:val="24"/>
                <w:highlight w:val="none"/>
              </w:rPr>
            </w:pPr>
          </w:p>
        </w:tc>
      </w:tr>
      <w:tr w14:paraId="4BB2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4B723709">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七、负债合计</w:t>
            </w:r>
          </w:p>
        </w:tc>
        <w:tc>
          <w:tcPr>
            <w:tcW w:w="1891" w:type="dxa"/>
            <w:noWrap w:val="0"/>
            <w:vAlign w:val="top"/>
          </w:tcPr>
          <w:p w14:paraId="383EF141">
            <w:pPr>
              <w:outlineLvl w:val="9"/>
              <w:rPr>
                <w:rFonts w:hint="eastAsia" w:ascii="宋体" w:hAnsi="宋体" w:eastAsia="宋体" w:cs="宋体"/>
                <w:color w:val="000000"/>
                <w:sz w:val="24"/>
                <w:highlight w:val="none"/>
              </w:rPr>
            </w:pPr>
          </w:p>
        </w:tc>
        <w:tc>
          <w:tcPr>
            <w:tcW w:w="1891" w:type="dxa"/>
            <w:noWrap w:val="0"/>
            <w:vAlign w:val="top"/>
          </w:tcPr>
          <w:p w14:paraId="6D57A027">
            <w:pPr>
              <w:outlineLvl w:val="9"/>
              <w:rPr>
                <w:rFonts w:hint="eastAsia" w:ascii="宋体" w:hAnsi="宋体" w:eastAsia="宋体" w:cs="宋体"/>
                <w:color w:val="000000"/>
                <w:sz w:val="24"/>
                <w:highlight w:val="none"/>
              </w:rPr>
            </w:pPr>
          </w:p>
        </w:tc>
        <w:tc>
          <w:tcPr>
            <w:tcW w:w="1891" w:type="dxa"/>
            <w:noWrap w:val="0"/>
            <w:vAlign w:val="top"/>
          </w:tcPr>
          <w:p w14:paraId="632AED8B">
            <w:pPr>
              <w:outlineLvl w:val="9"/>
              <w:rPr>
                <w:rFonts w:hint="eastAsia" w:ascii="宋体" w:hAnsi="宋体" w:eastAsia="宋体" w:cs="宋体"/>
                <w:color w:val="000000"/>
                <w:sz w:val="24"/>
                <w:highlight w:val="none"/>
              </w:rPr>
            </w:pPr>
          </w:p>
        </w:tc>
        <w:tc>
          <w:tcPr>
            <w:tcW w:w="1892" w:type="dxa"/>
            <w:noWrap w:val="0"/>
            <w:vAlign w:val="top"/>
          </w:tcPr>
          <w:p w14:paraId="5E03BE60">
            <w:pPr>
              <w:outlineLvl w:val="9"/>
              <w:rPr>
                <w:rFonts w:hint="eastAsia" w:ascii="宋体" w:hAnsi="宋体" w:eastAsia="宋体" w:cs="宋体"/>
                <w:color w:val="000000"/>
                <w:sz w:val="24"/>
                <w:highlight w:val="none"/>
              </w:rPr>
            </w:pPr>
          </w:p>
        </w:tc>
      </w:tr>
      <w:tr w14:paraId="2CC0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1" w:type="dxa"/>
            <w:noWrap w:val="0"/>
            <w:vAlign w:val="center"/>
          </w:tcPr>
          <w:p w14:paraId="09725576">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八、营业收入</w:t>
            </w:r>
          </w:p>
        </w:tc>
        <w:tc>
          <w:tcPr>
            <w:tcW w:w="1891" w:type="dxa"/>
            <w:noWrap w:val="0"/>
            <w:vAlign w:val="top"/>
          </w:tcPr>
          <w:p w14:paraId="6A4C9FB1">
            <w:pPr>
              <w:outlineLvl w:val="9"/>
              <w:rPr>
                <w:rFonts w:hint="eastAsia" w:ascii="宋体" w:hAnsi="宋体" w:eastAsia="宋体" w:cs="宋体"/>
                <w:color w:val="000000"/>
                <w:sz w:val="24"/>
                <w:highlight w:val="none"/>
              </w:rPr>
            </w:pPr>
          </w:p>
        </w:tc>
        <w:tc>
          <w:tcPr>
            <w:tcW w:w="1891" w:type="dxa"/>
            <w:noWrap w:val="0"/>
            <w:vAlign w:val="top"/>
          </w:tcPr>
          <w:p w14:paraId="51FAF54A">
            <w:pPr>
              <w:outlineLvl w:val="9"/>
              <w:rPr>
                <w:rFonts w:hint="eastAsia" w:ascii="宋体" w:hAnsi="宋体" w:eastAsia="宋体" w:cs="宋体"/>
                <w:color w:val="000000"/>
                <w:sz w:val="24"/>
                <w:highlight w:val="none"/>
              </w:rPr>
            </w:pPr>
          </w:p>
        </w:tc>
        <w:tc>
          <w:tcPr>
            <w:tcW w:w="1891" w:type="dxa"/>
            <w:noWrap w:val="0"/>
            <w:vAlign w:val="top"/>
          </w:tcPr>
          <w:p w14:paraId="4AE3B44F">
            <w:pPr>
              <w:outlineLvl w:val="9"/>
              <w:rPr>
                <w:rFonts w:hint="eastAsia" w:ascii="宋体" w:hAnsi="宋体" w:eastAsia="宋体" w:cs="宋体"/>
                <w:color w:val="000000"/>
                <w:sz w:val="24"/>
                <w:highlight w:val="none"/>
              </w:rPr>
            </w:pPr>
          </w:p>
        </w:tc>
        <w:tc>
          <w:tcPr>
            <w:tcW w:w="1892" w:type="dxa"/>
            <w:noWrap w:val="0"/>
            <w:vAlign w:val="top"/>
          </w:tcPr>
          <w:p w14:paraId="2558AD40">
            <w:pPr>
              <w:outlineLvl w:val="9"/>
              <w:rPr>
                <w:rFonts w:hint="eastAsia" w:ascii="宋体" w:hAnsi="宋体" w:eastAsia="宋体" w:cs="宋体"/>
                <w:color w:val="000000"/>
                <w:sz w:val="24"/>
                <w:highlight w:val="none"/>
              </w:rPr>
            </w:pPr>
          </w:p>
        </w:tc>
      </w:tr>
      <w:tr w14:paraId="18B9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891" w:type="dxa"/>
            <w:noWrap w:val="0"/>
            <w:vAlign w:val="center"/>
          </w:tcPr>
          <w:p w14:paraId="1E758D3A">
            <w:pPr>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九、净利润</w:t>
            </w:r>
          </w:p>
        </w:tc>
        <w:tc>
          <w:tcPr>
            <w:tcW w:w="1891" w:type="dxa"/>
            <w:noWrap w:val="0"/>
            <w:vAlign w:val="top"/>
          </w:tcPr>
          <w:p w14:paraId="6F7E40AB">
            <w:pPr>
              <w:outlineLvl w:val="9"/>
              <w:rPr>
                <w:rFonts w:hint="eastAsia" w:ascii="宋体" w:hAnsi="宋体" w:eastAsia="宋体" w:cs="宋体"/>
                <w:color w:val="000000"/>
                <w:sz w:val="24"/>
                <w:highlight w:val="none"/>
              </w:rPr>
            </w:pPr>
          </w:p>
        </w:tc>
        <w:tc>
          <w:tcPr>
            <w:tcW w:w="1891" w:type="dxa"/>
            <w:noWrap w:val="0"/>
            <w:vAlign w:val="top"/>
          </w:tcPr>
          <w:p w14:paraId="788A366B">
            <w:pPr>
              <w:outlineLvl w:val="9"/>
              <w:rPr>
                <w:rFonts w:hint="eastAsia" w:ascii="宋体" w:hAnsi="宋体" w:eastAsia="宋体" w:cs="宋体"/>
                <w:color w:val="000000"/>
                <w:sz w:val="24"/>
                <w:highlight w:val="none"/>
              </w:rPr>
            </w:pPr>
          </w:p>
        </w:tc>
        <w:tc>
          <w:tcPr>
            <w:tcW w:w="1891" w:type="dxa"/>
            <w:noWrap w:val="0"/>
            <w:vAlign w:val="top"/>
          </w:tcPr>
          <w:p w14:paraId="5852B7D0">
            <w:pPr>
              <w:outlineLvl w:val="9"/>
              <w:rPr>
                <w:rFonts w:hint="eastAsia" w:ascii="宋体" w:hAnsi="宋体" w:eastAsia="宋体" w:cs="宋体"/>
                <w:color w:val="000000"/>
                <w:sz w:val="24"/>
                <w:highlight w:val="none"/>
              </w:rPr>
            </w:pPr>
          </w:p>
        </w:tc>
        <w:tc>
          <w:tcPr>
            <w:tcW w:w="1892" w:type="dxa"/>
            <w:noWrap w:val="0"/>
            <w:vAlign w:val="top"/>
          </w:tcPr>
          <w:p w14:paraId="53FF8A23">
            <w:pPr>
              <w:outlineLvl w:val="9"/>
              <w:rPr>
                <w:rFonts w:hint="eastAsia" w:ascii="宋体" w:hAnsi="宋体" w:eastAsia="宋体" w:cs="宋体"/>
                <w:color w:val="000000"/>
                <w:sz w:val="24"/>
                <w:highlight w:val="none"/>
              </w:rPr>
            </w:pPr>
          </w:p>
        </w:tc>
      </w:tr>
    </w:tbl>
    <w:p w14:paraId="1A00A41C">
      <w:pPr>
        <w:spacing w:line="360" w:lineRule="auto"/>
        <w:jc w:val="left"/>
        <w:outlineLvl w:val="9"/>
        <w:rPr>
          <w:rFonts w:hint="eastAsia" w:ascii="宋体" w:hAnsi="宋体" w:eastAsia="宋体" w:cs="宋体"/>
          <w:b/>
          <w:bCs/>
          <w:color w:val="000000"/>
          <w:sz w:val="24"/>
          <w:highlight w:val="none"/>
        </w:rPr>
      </w:pPr>
    </w:p>
    <w:p w14:paraId="1A818CE6">
      <w:pPr>
        <w:numPr>
          <w:ilvl w:val="0"/>
          <w:numId w:val="0"/>
        </w:numPr>
        <w:spacing w:line="360" w:lineRule="auto"/>
        <w:ind w:firstLine="482" w:firstLineChars="200"/>
        <w:jc w:val="left"/>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注：1、新成立的企业以自成立以来的财务审计报告为准。</w:t>
      </w:r>
    </w:p>
    <w:p w14:paraId="09AB6794">
      <w:pPr>
        <w:spacing w:line="360" w:lineRule="auto"/>
        <w:ind w:firstLine="964" w:firstLineChars="400"/>
        <w:jc w:val="left"/>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、附近3年</w:t>
      </w:r>
      <w:r>
        <w:rPr>
          <w:rFonts w:hint="eastAsia" w:ascii="宋体" w:hAnsi="宋体" w:eastAsia="宋体" w:cs="宋体"/>
          <w:b/>
          <w:bCs/>
          <w:color w:val="000000"/>
          <w:sz w:val="24"/>
          <w:highlight w:val="none"/>
          <w:lang w:val="zh-CN"/>
        </w:rPr>
        <w:t>财务审计报告（至少应包括财务审计报表、财务资产负债表和损益表（利润表））</w:t>
      </w:r>
      <w:r>
        <w:rPr>
          <w:rFonts w:hint="eastAsia" w:ascii="宋体" w:hAnsi="宋体" w:eastAsia="宋体" w:cs="宋体"/>
          <w:b/>
          <w:bCs/>
          <w:color w:val="000000"/>
          <w:sz w:val="24"/>
          <w:highlight w:val="none"/>
        </w:rPr>
        <w:t>彩色扫描件。</w:t>
      </w:r>
    </w:p>
    <w:p w14:paraId="4FB75B80">
      <w:pPr>
        <w:pStyle w:val="14"/>
        <w:shd w:val="clear" w:color="auto" w:fill="auto"/>
        <w:spacing w:before="0" w:beforeAutospacing="0" w:after="0" w:afterAutospacing="0" w:line="330" w:lineRule="atLeast"/>
        <w:jc w:val="center"/>
        <w:outlineLvl w:val="9"/>
        <w:rPr>
          <w:rFonts w:hint="eastAsia" w:ascii="宋体" w:hAnsi="宋体" w:eastAsia="宋体" w:cs="宋体"/>
          <w:color w:val="000000"/>
          <w:highlight w:val="none"/>
        </w:rPr>
      </w:pPr>
      <w:r>
        <w:rPr>
          <w:rFonts w:hint="eastAsia" w:ascii="宋体" w:hAnsi="宋体" w:eastAsia="宋体" w:cs="宋体"/>
          <w:color w:val="000000"/>
          <w:highlight w:val="none"/>
        </w:rPr>
        <w:br w:type="page"/>
      </w:r>
      <w:bookmarkStart w:id="185" w:name="_Toc5285"/>
      <w:r>
        <w:rPr>
          <w:rFonts w:hint="eastAsia" w:ascii="宋体" w:hAnsi="宋体" w:eastAsia="宋体" w:cs="宋体"/>
          <w:b/>
          <w:bCs/>
          <w:color w:val="000000"/>
          <w:kern w:val="2"/>
          <w:highlight w:val="none"/>
        </w:rPr>
        <w:t>6.5   承诺书</w:t>
      </w:r>
      <w:bookmarkEnd w:id="185"/>
    </w:p>
    <w:p w14:paraId="5AAC27BA">
      <w:pPr>
        <w:pStyle w:val="14"/>
        <w:shd w:val="clear" w:color="auto" w:fill="auto"/>
        <w:spacing w:before="0" w:beforeAutospacing="0" w:after="0" w:afterAutospacing="0" w:line="360" w:lineRule="auto"/>
        <w:outlineLvl w:val="9"/>
        <w:rPr>
          <w:rFonts w:hint="eastAsia" w:ascii="宋体" w:hAnsi="宋体" w:eastAsia="宋体" w:cs="宋体"/>
          <w:color w:val="000000"/>
          <w:highlight w:val="none"/>
        </w:rPr>
      </w:pPr>
    </w:p>
    <w:p w14:paraId="39389694">
      <w:pPr>
        <w:pStyle w:val="14"/>
        <w:shd w:val="clear" w:color="auto" w:fill="auto"/>
        <w:spacing w:before="0" w:beforeAutospacing="0" w:after="0" w:afterAutospacing="0" w:line="360" w:lineRule="auto"/>
        <w:outlineLvl w:val="9"/>
        <w:rPr>
          <w:rFonts w:hint="eastAsia" w:ascii="宋体" w:hAnsi="宋体" w:eastAsia="宋体" w:cs="宋体"/>
          <w:color w:val="000000"/>
          <w:highlight w:val="none"/>
        </w:rPr>
      </w:pPr>
      <w:r>
        <w:rPr>
          <w:rFonts w:hint="eastAsia" w:ascii="宋体" w:hAnsi="宋体" w:eastAsia="宋体" w:cs="宋体"/>
          <w:color w:val="000000"/>
          <w:highlight w:val="none"/>
        </w:rPr>
        <w:t>致：</w:t>
      </w:r>
      <w:r>
        <w:rPr>
          <w:rFonts w:hint="eastAsia" w:ascii="宋体" w:hAnsi="宋体" w:eastAsia="宋体" w:cs="宋体"/>
          <w:color w:val="000000"/>
          <w:highlight w:val="none"/>
          <w:u w:val="single"/>
        </w:rPr>
        <w:t>（招标人）</w:t>
      </w:r>
    </w:p>
    <w:p w14:paraId="11E11910">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highlight w:val="none"/>
        </w:rPr>
        <w:t>我方现参加</w:t>
      </w:r>
      <w:r>
        <w:rPr>
          <w:rFonts w:hint="eastAsia" w:cs="宋体"/>
          <w:color w:val="000000"/>
          <w:highlight w:val="none"/>
          <w:u w:val="single"/>
          <w:lang w:eastAsia="zh-CN"/>
        </w:rPr>
        <w:t>广东省韶关市武江区农业产业基础设施建设项目-武江区2026年农业产业基础设施建设项目（江湾镇）勘察设计</w:t>
      </w:r>
      <w:r>
        <w:rPr>
          <w:rFonts w:hint="eastAsia" w:ascii="宋体" w:hAnsi="宋体" w:eastAsia="宋体" w:cs="宋体"/>
          <w:color w:val="000000"/>
          <w:highlight w:val="none"/>
        </w:rPr>
        <w:t>项目投标，如我方中标，为确保按时、保质、保量完成项目任务，特此作出如下承诺：</w:t>
      </w:r>
    </w:p>
    <w:p w14:paraId="78F4A826">
      <w:pPr>
        <w:pStyle w:val="14"/>
        <w:shd w:val="clear" w:color="auto" w:fill="auto"/>
        <w:spacing w:before="0" w:beforeAutospacing="0" w:after="0" w:afterAutospacing="0" w:line="360" w:lineRule="auto"/>
        <w:ind w:firstLine="420" w:firstLineChars="200"/>
        <w:outlineLvl w:val="9"/>
        <w:rPr>
          <w:rFonts w:hint="eastAsia" w:ascii="宋体" w:hAnsi="宋体" w:eastAsia="宋体" w:cs="宋体"/>
          <w:color w:val="000000"/>
          <w:highlight w:val="none"/>
        </w:rPr>
      </w:pPr>
      <w:r>
        <w:rPr>
          <w:rFonts w:hint="eastAsia" w:ascii="宋体" w:hAnsi="宋体" w:eastAsia="宋体" w:cs="宋体"/>
          <w:color w:val="000000"/>
          <w:sz w:val="21"/>
          <w:szCs w:val="21"/>
          <w:highlight w:val="none"/>
        </w:rPr>
        <w:t>一</w:t>
      </w:r>
      <w:r>
        <w:rPr>
          <w:rFonts w:hint="eastAsia" w:ascii="宋体" w:hAnsi="宋体" w:eastAsia="宋体" w:cs="宋体"/>
          <w:color w:val="000000"/>
          <w:highlight w:val="none"/>
        </w:rPr>
        <w:t>、进度承诺：我方保证</w:t>
      </w:r>
      <w:r>
        <w:rPr>
          <w:rFonts w:hint="eastAsia" w:cs="宋体"/>
          <w:color w:val="000000"/>
          <w:highlight w:val="none"/>
          <w:u w:val="single"/>
          <w:lang w:eastAsia="zh-CN"/>
        </w:rPr>
        <w:t>广东省韶关市武江区农业产业基础设施建设项目-武江区2026年农业产业基础设施建设项目（江湾镇）勘察设计</w:t>
      </w:r>
      <w:r>
        <w:rPr>
          <w:rFonts w:hint="eastAsia" w:ascii="宋体" w:hAnsi="宋体" w:eastAsia="宋体" w:cs="宋体"/>
          <w:color w:val="000000"/>
          <w:highlight w:val="none"/>
        </w:rPr>
        <w:t>的项目在</w:t>
      </w:r>
      <w:r>
        <w:rPr>
          <w:rFonts w:hint="eastAsia" w:ascii="宋体" w:hAnsi="宋体" w:eastAsia="宋体" w:cs="宋体"/>
          <w:color w:val="000000"/>
          <w:highlight w:val="none"/>
          <w:lang w:val="en-US" w:eastAsia="zh-CN"/>
        </w:rPr>
        <w:t>30</w:t>
      </w:r>
      <w:r>
        <w:rPr>
          <w:rFonts w:hint="eastAsia" w:ascii="宋体" w:hAnsi="宋体" w:eastAsia="宋体" w:cs="宋体"/>
          <w:color w:val="000000"/>
          <w:highlight w:val="none"/>
        </w:rPr>
        <w:t>日历天内完成。</w:t>
      </w:r>
    </w:p>
    <w:p w14:paraId="585BDD29">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（1）初步设计计划工期：</w:t>
      </w:r>
      <w:r>
        <w:rPr>
          <w:rFonts w:hint="eastAsia" w:ascii="宋体" w:hAnsi="宋体" w:eastAsia="宋体" w:cs="宋体"/>
          <w:color w:val="000000"/>
          <w:sz w:val="24"/>
          <w:szCs w:val="32"/>
          <w:shd w:val="clear" w:color="auto" w:fill="auto"/>
          <w:lang w:val="en-US" w:eastAsia="zh-CN"/>
        </w:rPr>
        <w:t>20个日历天</w:t>
      </w:r>
      <w:r>
        <w:rPr>
          <w:rFonts w:hint="eastAsia" w:ascii="宋体" w:hAnsi="宋体" w:eastAsia="宋体" w:cs="宋体"/>
          <w:color w:val="000000"/>
          <w:sz w:val="24"/>
          <w:szCs w:val="32"/>
        </w:rPr>
        <w:t>内完成初步设计并提交包括初步设计报告、工程量清单、工程量计算书、工程概算及工程相关图纸等能参加技术评审的所有成果；</w:t>
      </w:r>
    </w:p>
    <w:p w14:paraId="1115FCE6">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（2）开完技术评审会次日起</w:t>
      </w:r>
      <w:r>
        <w:rPr>
          <w:rFonts w:hint="eastAsia" w:ascii="宋体" w:hAnsi="宋体" w:eastAsia="宋体" w:cs="宋体"/>
          <w:color w:val="000000"/>
          <w:sz w:val="24"/>
          <w:szCs w:val="32"/>
          <w:shd w:val="clear" w:color="auto" w:fill="auto"/>
          <w:lang w:val="en-US" w:eastAsia="zh-CN"/>
        </w:rPr>
        <w:t>3个日历天</w:t>
      </w:r>
      <w:r>
        <w:rPr>
          <w:rFonts w:hint="eastAsia" w:ascii="宋体" w:hAnsi="宋体" w:eastAsia="宋体" w:cs="宋体"/>
          <w:color w:val="000000"/>
          <w:sz w:val="24"/>
          <w:szCs w:val="32"/>
        </w:rPr>
        <w:t>内完成对本项目初步设计技术评审会专家的评审修改意见的修改；</w:t>
      </w:r>
    </w:p>
    <w:p w14:paraId="60B2ACD8">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（3）自发包人书面通知之日起</w:t>
      </w:r>
      <w:r>
        <w:rPr>
          <w:rFonts w:hint="eastAsia" w:ascii="宋体" w:hAnsi="宋体" w:eastAsia="宋体" w:cs="宋体"/>
          <w:color w:val="000000"/>
          <w:sz w:val="24"/>
          <w:szCs w:val="32"/>
          <w:shd w:val="clear" w:color="auto" w:fill="auto"/>
          <w:lang w:val="en-US" w:eastAsia="zh-CN"/>
        </w:rPr>
        <w:t>3个日历天内</w:t>
      </w:r>
      <w:r>
        <w:rPr>
          <w:rFonts w:hint="eastAsia" w:ascii="宋体" w:hAnsi="宋体" w:eastAsia="宋体" w:cs="宋体"/>
          <w:color w:val="000000"/>
          <w:sz w:val="24"/>
          <w:szCs w:val="32"/>
        </w:rPr>
        <w:t>提交施工招标设计、工程量清单及招标图纸；</w:t>
      </w:r>
    </w:p>
    <w:p w14:paraId="67BF3382">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color w:val="000000"/>
          <w:sz w:val="24"/>
          <w:szCs w:val="32"/>
        </w:rPr>
      </w:pPr>
      <w:r>
        <w:rPr>
          <w:rFonts w:hint="eastAsia" w:ascii="宋体" w:hAnsi="宋体" w:eastAsia="宋体" w:cs="宋体"/>
          <w:color w:val="000000"/>
          <w:sz w:val="24"/>
          <w:szCs w:val="32"/>
        </w:rPr>
        <w:t>（4）自发包人书面通知之日起</w:t>
      </w:r>
      <w:r>
        <w:rPr>
          <w:rFonts w:hint="eastAsia" w:ascii="宋体" w:hAnsi="宋体" w:eastAsia="宋体" w:cs="宋体"/>
          <w:color w:val="000000"/>
          <w:sz w:val="24"/>
          <w:szCs w:val="32"/>
          <w:shd w:val="clear" w:color="auto" w:fill="auto"/>
          <w:lang w:val="en-US" w:eastAsia="zh-CN"/>
        </w:rPr>
        <w:t>4个日历天内</w:t>
      </w:r>
      <w:r>
        <w:rPr>
          <w:rFonts w:hint="eastAsia" w:ascii="宋体" w:hAnsi="宋体" w:eastAsia="宋体" w:cs="宋体"/>
          <w:color w:val="000000"/>
          <w:sz w:val="24"/>
          <w:szCs w:val="32"/>
        </w:rPr>
        <w:t>提交施工图设计图纸及施工图预算。</w:t>
      </w:r>
    </w:p>
    <w:p w14:paraId="6A37BBAF">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highlight w:val="none"/>
        </w:rPr>
        <w:t>违约责任：①若因我方原因，未按上述要求完成初步设计工作时，我方在逾期第一天起按合同约定向招标人缴纳违约金每天5000元，逾期达到10日历天，招标人有权解除合同，我方承担所有由此引起的责任及经济损失；②若因我方原因，未按上述要求完成对本项目初步设计技术评审会专家的评审修改意见的修改工作时，我方在逾期第一天起按合同约定向招标人缴纳违约金每天5000元，逾期达到5日历天，招标人有权解除合同，我方承担所有由此引起的责任及经济损失；③若因我方原因，未按上述要求提交施工招标设计图时，我方在逾期第一天起按合同约定向招标人缴纳违约金每天5000元，逾期达到5日历天，招标人有权解除合同，我方承担所有由此引起的责任及经济损失；④若因我方原因，未按上述要求提交施工图设计成果时，我方在逾期第一天起按合同约定向招标人缴纳违约金每天5000元，逾期达到5日历天，招标人有权解除合同，我方承担所有由此引起的责任及经济损失。</w:t>
      </w:r>
    </w:p>
    <w:p w14:paraId="48A21AF3">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bookmarkStart w:id="186" w:name="_Toc19827"/>
      <w:r>
        <w:rPr>
          <w:rFonts w:hint="eastAsia" w:ascii="宋体" w:hAnsi="宋体" w:eastAsia="宋体" w:cs="宋体"/>
          <w:color w:val="000000"/>
          <w:highlight w:val="none"/>
        </w:rPr>
        <w:t>二、项目人员管理承诺：</w:t>
      </w:r>
      <w:bookmarkEnd w:id="186"/>
    </w:p>
    <w:p w14:paraId="0F3B5D15">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highlight w:val="none"/>
        </w:rPr>
        <w:t>1、投标文件中拟派的项目技术负责人（或设计负责人）及其他技术人员全部进驻本项目管理部且所有人员保证依时参加由招标人组织的现场踏勘协调、安全生产、技术评审等会议。</w:t>
      </w:r>
    </w:p>
    <w:p w14:paraId="62013A3C">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highlight w:val="none"/>
        </w:rPr>
        <w:t>2、我方保证派设计负责人及其他技术人员长驻施工现场进行施工现场指导并参加监理例会以便配合与解决与工程有关的一切业务问题。</w:t>
      </w:r>
    </w:p>
    <w:p w14:paraId="510A3FC6">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highlight w:val="none"/>
        </w:rPr>
        <w:t>3、我方保证：未经招标人批准不得更换投标文件中所到本项目的专业技术人员。</w:t>
      </w:r>
    </w:p>
    <w:p w14:paraId="7958B649">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highlight w:val="none"/>
        </w:rPr>
        <w:t>若我方违反上述任何条款均视为违约，如经过三次整改或警告仍未彻底解决问题，招标人有权解除合同并上报行业主管部门作不良记录处理，我方承担由此造成的所有责任及经济损失。</w:t>
      </w:r>
    </w:p>
    <w:p w14:paraId="103F97AF">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highlight w:val="none"/>
        </w:rPr>
        <w:t>4、我方保证所有参与本项目的勘察设计人员均为我方员工，绝不转包或临时聘用临时闲散参与其中。若我方违反该条款将视为违约，招标人有权解除合同且可将我方列入企业不良行为记录，并承担所有由此引起的责任及经济损失。</w:t>
      </w:r>
    </w:p>
    <w:p w14:paraId="4E62F305">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p>
    <w:p w14:paraId="0BAA04FC">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highlight w:val="none"/>
        </w:rPr>
        <w:t xml:space="preserve">                          投标人名称：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B0ACD80">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p>
    <w:p w14:paraId="3A6FADC6">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r>
        <w:rPr>
          <w:rFonts w:hint="eastAsia" w:ascii="宋体" w:hAnsi="宋体" w:eastAsia="宋体" w:cs="宋体"/>
          <w:color w:val="000000"/>
          <w:highlight w:val="none"/>
        </w:rPr>
        <w:t xml:space="preserve">                          法定代表人：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（签字或盖章）</w:t>
      </w:r>
    </w:p>
    <w:p w14:paraId="510FE656">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color w:val="000000"/>
          <w:highlight w:val="none"/>
        </w:rPr>
      </w:pPr>
    </w:p>
    <w:p w14:paraId="429B25FA">
      <w:pPr>
        <w:pStyle w:val="14"/>
        <w:shd w:val="clear" w:color="auto" w:fill="auto"/>
        <w:spacing w:before="0" w:beforeAutospacing="0" w:after="0" w:afterAutospacing="0" w:line="360" w:lineRule="auto"/>
        <w:ind w:firstLine="480" w:firstLineChars="200"/>
        <w:outlineLvl w:val="9"/>
        <w:rPr>
          <w:rFonts w:hint="eastAsia" w:ascii="宋体" w:hAnsi="宋体" w:eastAsia="宋体" w:cs="宋体"/>
          <w:b/>
          <w:color w:val="000000"/>
          <w:highlight w:val="none"/>
        </w:rPr>
      </w:pPr>
      <w:r>
        <w:rPr>
          <w:rFonts w:hint="eastAsia" w:ascii="宋体" w:hAnsi="宋体" w:eastAsia="宋体" w:cs="宋体"/>
          <w:color w:val="000000"/>
          <w:highlight w:val="none"/>
        </w:rPr>
        <w:t xml:space="preserve">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79A3D3E8">
      <w:pPr>
        <w:pStyle w:val="14"/>
        <w:shd w:val="clear" w:color="auto" w:fill="auto"/>
        <w:spacing w:before="0" w:beforeAutospacing="0" w:after="0" w:afterAutospacing="0" w:line="360" w:lineRule="exact"/>
        <w:ind w:firstLine="420"/>
        <w:outlineLvl w:val="9"/>
        <w:rPr>
          <w:rFonts w:hint="eastAsia" w:ascii="宋体" w:hAnsi="宋体" w:eastAsia="宋体" w:cs="宋体"/>
          <w:b/>
          <w:color w:val="000000"/>
          <w:highlight w:val="none"/>
        </w:rPr>
      </w:pPr>
    </w:p>
    <w:p w14:paraId="7AF0414B">
      <w:pPr>
        <w:pStyle w:val="14"/>
        <w:shd w:val="clear" w:color="auto" w:fill="FFFFFF"/>
        <w:spacing w:before="0" w:beforeAutospacing="0" w:after="0" w:afterAutospacing="0" w:line="330" w:lineRule="atLeast"/>
        <w:outlineLvl w:val="9"/>
        <w:rPr>
          <w:rFonts w:hint="eastAsia" w:ascii="宋体" w:hAnsi="宋体" w:eastAsia="宋体" w:cs="宋体"/>
          <w:b/>
          <w:bCs/>
          <w:color w:val="000000"/>
          <w:sz w:val="30"/>
          <w:szCs w:val="30"/>
          <w:highlight w:val="none"/>
          <w:shd w:val="clear" w:color="auto" w:fill="auto"/>
        </w:rPr>
      </w:pPr>
      <w:r>
        <w:rPr>
          <w:rFonts w:hint="eastAsia" w:ascii="宋体" w:hAnsi="宋体" w:eastAsia="宋体" w:cs="宋体"/>
          <w:b/>
          <w:color w:val="000000"/>
          <w:highlight w:val="none"/>
        </w:rPr>
        <w:br w:type="page"/>
      </w:r>
      <w:bookmarkStart w:id="187" w:name="_Toc1836"/>
      <w:r>
        <w:rPr>
          <w:rFonts w:hint="eastAsia" w:ascii="宋体" w:hAnsi="宋体" w:eastAsia="宋体" w:cs="宋体"/>
          <w:b/>
          <w:bCs/>
          <w:color w:val="000000"/>
          <w:sz w:val="30"/>
          <w:szCs w:val="30"/>
          <w:highlight w:val="none"/>
          <w:shd w:val="clear" w:color="auto" w:fill="auto"/>
        </w:rPr>
        <w:t>七、 其他资料</w:t>
      </w:r>
      <w:bookmarkEnd w:id="187"/>
    </w:p>
    <w:p w14:paraId="0FA796F5">
      <w:pPr>
        <w:autoSpaceDE w:val="0"/>
        <w:autoSpaceDN w:val="0"/>
        <w:adjustRightInd w:val="0"/>
        <w:snapToGrid w:val="0"/>
        <w:spacing w:before="156" w:beforeLines="50" w:after="156" w:afterLines="50" w:line="300" w:lineRule="auto"/>
        <w:jc w:val="center"/>
        <w:outlineLvl w:val="9"/>
        <w:rPr>
          <w:rFonts w:hint="eastAsia" w:ascii="宋体" w:hAnsi="宋体" w:eastAsia="宋体" w:cs="宋体"/>
          <w:b/>
          <w:bCs/>
          <w:color w:val="000000"/>
          <w:szCs w:val="28"/>
          <w:highlight w:val="none"/>
        </w:rPr>
      </w:pPr>
    </w:p>
    <w:p w14:paraId="4BA93915">
      <w:pPr>
        <w:autoSpaceDE w:val="0"/>
        <w:autoSpaceDN w:val="0"/>
        <w:adjustRightInd w:val="0"/>
        <w:snapToGrid w:val="0"/>
        <w:spacing w:before="93" w:beforeLines="30" w:after="93" w:afterLines="30" w:line="360" w:lineRule="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投标人根据招标文件认为需要提交的其他资料。若无其他资料，投标人则填写“无”。</w:t>
      </w:r>
    </w:p>
    <w:p w14:paraId="15D5363D">
      <w:pPr>
        <w:adjustRightInd w:val="0"/>
        <w:snapToGrid w:val="0"/>
        <w:spacing w:line="360" w:lineRule="auto"/>
        <w:outlineLvl w:val="9"/>
        <w:rPr>
          <w:rFonts w:hint="eastAsia" w:ascii="宋体" w:hAnsi="宋体" w:eastAsia="宋体" w:cs="宋体"/>
          <w:color w:val="000000"/>
          <w:highlight w:val="none"/>
        </w:rPr>
      </w:pPr>
    </w:p>
    <w:p w14:paraId="0D8A65CF">
      <w:pPr>
        <w:adjustRightInd w:val="0"/>
        <w:snapToGrid w:val="0"/>
        <w:spacing w:line="360" w:lineRule="auto"/>
        <w:outlineLvl w:val="9"/>
        <w:rPr>
          <w:rFonts w:hint="eastAsia" w:ascii="宋体" w:hAnsi="宋体" w:eastAsia="宋体" w:cs="宋体"/>
          <w:color w:val="000000"/>
          <w:highlight w:val="none"/>
        </w:rPr>
      </w:pPr>
    </w:p>
    <w:p w14:paraId="495EF207">
      <w:pPr>
        <w:adjustRightInd w:val="0"/>
        <w:snapToGrid w:val="0"/>
        <w:spacing w:line="360" w:lineRule="auto"/>
        <w:outlineLvl w:val="9"/>
        <w:rPr>
          <w:rFonts w:hint="eastAsia" w:ascii="宋体" w:hAnsi="宋体" w:eastAsia="宋体" w:cs="宋体"/>
          <w:color w:val="000000"/>
          <w:highlight w:val="none"/>
        </w:rPr>
      </w:pPr>
    </w:p>
    <w:p w14:paraId="37325603">
      <w:pPr>
        <w:adjustRightInd w:val="0"/>
        <w:snapToGrid w:val="0"/>
        <w:spacing w:line="360" w:lineRule="auto"/>
        <w:outlineLvl w:val="9"/>
        <w:rPr>
          <w:rFonts w:hint="eastAsia" w:ascii="宋体" w:hAnsi="宋体" w:eastAsia="宋体" w:cs="宋体"/>
          <w:color w:val="000000"/>
          <w:highlight w:val="none"/>
        </w:rPr>
      </w:pPr>
    </w:p>
    <w:p w14:paraId="45EDB50F">
      <w:pPr>
        <w:adjustRightInd w:val="0"/>
        <w:snapToGrid w:val="0"/>
        <w:spacing w:line="360" w:lineRule="auto"/>
        <w:outlineLvl w:val="9"/>
        <w:rPr>
          <w:rFonts w:hint="eastAsia" w:ascii="宋体" w:hAnsi="宋体" w:eastAsia="宋体" w:cs="宋体"/>
          <w:color w:val="000000"/>
          <w:highlight w:val="none"/>
        </w:rPr>
      </w:pPr>
    </w:p>
    <w:p w14:paraId="76BF53EC">
      <w:pPr>
        <w:adjustRightInd w:val="0"/>
        <w:snapToGrid w:val="0"/>
        <w:spacing w:line="360" w:lineRule="auto"/>
        <w:outlineLvl w:val="9"/>
        <w:rPr>
          <w:rFonts w:hint="eastAsia" w:ascii="宋体" w:hAnsi="宋体" w:eastAsia="宋体" w:cs="宋体"/>
          <w:color w:val="000000"/>
          <w:highlight w:val="none"/>
        </w:rPr>
      </w:pPr>
    </w:p>
    <w:p w14:paraId="19298E2D">
      <w:pPr>
        <w:adjustRightInd w:val="0"/>
        <w:snapToGrid w:val="0"/>
        <w:spacing w:line="360" w:lineRule="auto"/>
        <w:outlineLvl w:val="9"/>
        <w:rPr>
          <w:rFonts w:hint="eastAsia" w:ascii="宋体" w:hAnsi="宋体" w:eastAsia="宋体" w:cs="宋体"/>
          <w:color w:val="000000"/>
          <w:highlight w:val="none"/>
        </w:rPr>
      </w:pPr>
    </w:p>
    <w:p w14:paraId="76A4B1D1">
      <w:pPr>
        <w:adjustRightInd w:val="0"/>
        <w:snapToGrid w:val="0"/>
        <w:spacing w:line="360" w:lineRule="auto"/>
        <w:outlineLvl w:val="9"/>
        <w:rPr>
          <w:rFonts w:hint="eastAsia" w:ascii="宋体" w:hAnsi="宋体" w:eastAsia="宋体" w:cs="宋体"/>
          <w:color w:val="000000"/>
          <w:highlight w:val="none"/>
        </w:rPr>
      </w:pPr>
    </w:p>
    <w:p w14:paraId="697BF40D">
      <w:pPr>
        <w:adjustRightInd w:val="0"/>
        <w:snapToGrid w:val="0"/>
        <w:spacing w:line="360" w:lineRule="auto"/>
        <w:outlineLvl w:val="9"/>
        <w:rPr>
          <w:rFonts w:hint="eastAsia" w:ascii="宋体" w:hAnsi="宋体" w:eastAsia="宋体" w:cs="宋体"/>
          <w:color w:val="000000"/>
          <w:highlight w:val="none"/>
        </w:rPr>
      </w:pPr>
    </w:p>
    <w:p w14:paraId="6BC7B463">
      <w:pPr>
        <w:adjustRightInd w:val="0"/>
        <w:snapToGrid w:val="0"/>
        <w:spacing w:line="360" w:lineRule="auto"/>
        <w:outlineLvl w:val="9"/>
        <w:rPr>
          <w:rFonts w:hint="eastAsia" w:ascii="宋体" w:hAnsi="宋体" w:eastAsia="宋体" w:cs="宋体"/>
          <w:color w:val="000000"/>
          <w:highlight w:val="none"/>
        </w:rPr>
      </w:pPr>
    </w:p>
    <w:p w14:paraId="4F49B3BE">
      <w:pPr>
        <w:adjustRightInd w:val="0"/>
        <w:snapToGrid w:val="0"/>
        <w:spacing w:line="360" w:lineRule="auto"/>
        <w:outlineLvl w:val="9"/>
        <w:rPr>
          <w:rFonts w:hint="eastAsia" w:ascii="宋体" w:hAnsi="宋体" w:eastAsia="宋体" w:cs="宋体"/>
          <w:color w:val="000000"/>
          <w:highlight w:val="none"/>
        </w:rPr>
      </w:pPr>
    </w:p>
    <w:p w14:paraId="7BE6737D">
      <w:pPr>
        <w:adjustRightInd w:val="0"/>
        <w:snapToGrid w:val="0"/>
        <w:spacing w:line="360" w:lineRule="auto"/>
        <w:outlineLvl w:val="9"/>
        <w:rPr>
          <w:rFonts w:hint="eastAsia" w:ascii="宋体" w:hAnsi="宋体" w:eastAsia="宋体" w:cs="宋体"/>
          <w:color w:val="000000"/>
          <w:highlight w:val="none"/>
        </w:rPr>
      </w:pPr>
    </w:p>
    <w:p w14:paraId="389AD0F4">
      <w:pPr>
        <w:adjustRightInd w:val="0"/>
        <w:snapToGrid w:val="0"/>
        <w:spacing w:line="360" w:lineRule="auto"/>
        <w:outlineLvl w:val="9"/>
        <w:rPr>
          <w:rFonts w:hint="eastAsia" w:ascii="宋体" w:hAnsi="宋体" w:eastAsia="宋体" w:cs="宋体"/>
          <w:color w:val="000000"/>
          <w:highlight w:val="none"/>
        </w:rPr>
      </w:pPr>
    </w:p>
    <w:p w14:paraId="21398D90">
      <w:pPr>
        <w:adjustRightInd w:val="0"/>
        <w:snapToGrid w:val="0"/>
        <w:spacing w:line="360" w:lineRule="auto"/>
        <w:outlineLvl w:val="9"/>
        <w:rPr>
          <w:rFonts w:hint="eastAsia" w:ascii="宋体" w:hAnsi="宋体" w:eastAsia="宋体" w:cs="宋体"/>
          <w:color w:val="000000"/>
          <w:highlight w:val="none"/>
        </w:rPr>
      </w:pPr>
    </w:p>
    <w:p w14:paraId="7992231D">
      <w:pPr>
        <w:adjustRightInd w:val="0"/>
        <w:snapToGrid w:val="0"/>
        <w:spacing w:line="360" w:lineRule="auto"/>
        <w:outlineLvl w:val="9"/>
        <w:rPr>
          <w:rFonts w:hint="eastAsia" w:ascii="宋体" w:hAnsi="宋体" w:eastAsia="宋体" w:cs="宋体"/>
          <w:color w:val="000000"/>
          <w:highlight w:val="none"/>
        </w:rPr>
      </w:pPr>
    </w:p>
    <w:p w14:paraId="468A35ED">
      <w:pPr>
        <w:adjustRightInd w:val="0"/>
        <w:snapToGrid w:val="0"/>
        <w:spacing w:line="360" w:lineRule="auto"/>
        <w:outlineLvl w:val="9"/>
        <w:rPr>
          <w:rFonts w:hint="eastAsia" w:ascii="宋体" w:hAnsi="宋体" w:eastAsia="宋体" w:cs="宋体"/>
          <w:color w:val="000000"/>
          <w:highlight w:val="none"/>
        </w:rPr>
      </w:pPr>
    </w:p>
    <w:p w14:paraId="2EAFEBEC">
      <w:pPr>
        <w:adjustRightInd w:val="0"/>
        <w:snapToGrid w:val="0"/>
        <w:spacing w:line="360" w:lineRule="auto"/>
        <w:outlineLvl w:val="9"/>
        <w:rPr>
          <w:rFonts w:hint="eastAsia" w:ascii="宋体" w:hAnsi="宋体" w:eastAsia="宋体" w:cs="宋体"/>
          <w:color w:val="000000"/>
          <w:highlight w:val="none"/>
        </w:rPr>
      </w:pPr>
    </w:p>
    <w:p w14:paraId="2BA8D977">
      <w:pPr>
        <w:adjustRightInd w:val="0"/>
        <w:snapToGrid w:val="0"/>
        <w:spacing w:line="360" w:lineRule="auto"/>
        <w:outlineLvl w:val="9"/>
        <w:rPr>
          <w:rFonts w:hint="eastAsia" w:ascii="宋体" w:hAnsi="宋体" w:eastAsia="宋体" w:cs="宋体"/>
          <w:color w:val="000000"/>
          <w:highlight w:val="none"/>
        </w:rPr>
      </w:pPr>
    </w:p>
    <w:p w14:paraId="0F6FBA0C">
      <w:pPr>
        <w:adjustRightInd w:val="0"/>
        <w:snapToGrid w:val="0"/>
        <w:spacing w:line="360" w:lineRule="auto"/>
        <w:outlineLvl w:val="9"/>
        <w:rPr>
          <w:rFonts w:hint="eastAsia" w:ascii="宋体" w:hAnsi="宋体" w:eastAsia="宋体" w:cs="宋体"/>
          <w:color w:val="000000"/>
          <w:highlight w:val="none"/>
        </w:rPr>
      </w:pPr>
    </w:p>
    <w:p w14:paraId="53CB15CB">
      <w:pPr>
        <w:outlineLvl w:val="1"/>
        <w:rPr>
          <w:rStyle w:val="19"/>
          <w:rFonts w:hint="eastAsia" w:ascii="宋体" w:hAnsi="宋体" w:eastAsia="宋体" w:cs="宋体"/>
          <w:color w:val="000000"/>
          <w:sz w:val="28"/>
          <w:szCs w:val="28"/>
          <w:lang w:val="en-US"/>
        </w:rPr>
      </w:pPr>
      <w:r>
        <w:rPr>
          <w:rFonts w:hint="eastAsia" w:ascii="宋体" w:hAnsi="宋体" w:eastAsia="宋体" w:cs="宋体"/>
          <w:color w:val="000000"/>
          <w:highlight w:val="none"/>
        </w:rPr>
        <w:br w:type="page"/>
      </w:r>
      <w:bookmarkStart w:id="188" w:name="_Toc2556"/>
      <w:bookmarkStart w:id="189" w:name="_Toc465627490"/>
      <w:bookmarkStart w:id="190" w:name="_Toc466542230"/>
      <w:bookmarkStart w:id="191" w:name="_Toc29306"/>
      <w:bookmarkStart w:id="192" w:name="_Toc466542559"/>
      <w:bookmarkStart w:id="193" w:name="_Toc18108"/>
      <w:bookmarkStart w:id="194" w:name="_Toc5148"/>
      <w:r>
        <w:rPr>
          <w:rStyle w:val="19"/>
          <w:rFonts w:hint="eastAsia" w:ascii="宋体" w:hAnsi="宋体" w:eastAsia="宋体" w:cs="宋体"/>
          <w:color w:val="000000"/>
          <w:sz w:val="28"/>
          <w:szCs w:val="28"/>
        </w:rPr>
        <w:t>格式3：</w:t>
      </w:r>
      <w:bookmarkEnd w:id="188"/>
      <w:bookmarkEnd w:id="189"/>
      <w:bookmarkEnd w:id="190"/>
      <w:bookmarkEnd w:id="191"/>
      <w:bookmarkEnd w:id="192"/>
      <w:r>
        <w:rPr>
          <w:rStyle w:val="19"/>
          <w:rFonts w:hint="eastAsia" w:ascii="宋体" w:hAnsi="宋体" w:eastAsia="宋体" w:cs="宋体"/>
          <w:color w:val="000000"/>
          <w:sz w:val="28"/>
          <w:szCs w:val="28"/>
          <w:lang w:val="en-US"/>
        </w:rPr>
        <w:t xml:space="preserve">                                       </w:t>
      </w:r>
      <w:bookmarkEnd w:id="193"/>
      <w:bookmarkEnd w:id="194"/>
    </w:p>
    <w:p w14:paraId="6AF46C69">
      <w:pPr>
        <w:adjustRightInd w:val="0"/>
        <w:snapToGrid w:val="0"/>
        <w:spacing w:line="360" w:lineRule="auto"/>
        <w:rPr>
          <w:rFonts w:hint="eastAsia" w:ascii="宋体" w:hAnsi="宋体" w:eastAsia="宋体" w:cs="宋体"/>
          <w:color w:val="000000"/>
          <w:highlight w:val="none"/>
        </w:rPr>
      </w:pPr>
    </w:p>
    <w:p w14:paraId="368DCBB7">
      <w:pPr>
        <w:spacing w:line="360" w:lineRule="auto"/>
        <w:jc w:val="center"/>
        <w:outlineLvl w:val="9"/>
        <w:rPr>
          <w:rFonts w:hint="eastAsia" w:ascii="宋体" w:hAnsi="宋体" w:eastAsia="宋体" w:cs="宋体"/>
          <w:b/>
          <w:color w:val="000000"/>
          <w:sz w:val="48"/>
          <w:szCs w:val="48"/>
          <w:highlight w:val="none"/>
          <w:lang w:eastAsia="zh-CN"/>
        </w:rPr>
      </w:pPr>
      <w:r>
        <w:rPr>
          <w:rFonts w:hint="eastAsia" w:ascii="宋体" w:hAnsi="宋体" w:cs="宋体"/>
          <w:b/>
          <w:color w:val="000000"/>
          <w:sz w:val="48"/>
          <w:szCs w:val="48"/>
          <w:highlight w:val="none"/>
          <w:lang w:eastAsia="zh-CN"/>
        </w:rPr>
        <w:t>广东省韶关市武江区农业产业基础设施建设项目-武江区2026年农业产业基础设施建设项目（江湾镇）勘察设计</w:t>
      </w:r>
    </w:p>
    <w:p w14:paraId="2AFACD40">
      <w:pPr>
        <w:snapToGrid w:val="0"/>
        <w:spacing w:before="480" w:after="360"/>
        <w:jc w:val="center"/>
        <w:outlineLvl w:val="9"/>
        <w:rPr>
          <w:rFonts w:hint="eastAsia" w:ascii="宋体" w:hAnsi="宋体" w:eastAsia="宋体" w:cs="宋体"/>
          <w:b/>
          <w:color w:val="000000"/>
          <w:spacing w:val="-6"/>
          <w:sz w:val="44"/>
          <w:szCs w:val="44"/>
          <w:highlight w:val="none"/>
        </w:rPr>
      </w:pPr>
    </w:p>
    <w:p w14:paraId="0332E439">
      <w:pPr>
        <w:pStyle w:val="6"/>
        <w:outlineLvl w:val="9"/>
        <w:rPr>
          <w:rFonts w:hint="eastAsia" w:ascii="宋体" w:hAnsi="宋体" w:eastAsia="宋体" w:cs="宋体"/>
          <w:b/>
          <w:color w:val="000000"/>
          <w:spacing w:val="-6"/>
          <w:sz w:val="44"/>
          <w:szCs w:val="44"/>
          <w:highlight w:val="none"/>
        </w:rPr>
      </w:pPr>
    </w:p>
    <w:p w14:paraId="5CA3C472">
      <w:pPr>
        <w:pStyle w:val="6"/>
        <w:outlineLvl w:val="9"/>
        <w:rPr>
          <w:rFonts w:hint="eastAsia" w:ascii="宋体" w:hAnsi="宋体" w:eastAsia="宋体" w:cs="宋体"/>
          <w:b/>
          <w:color w:val="000000"/>
          <w:spacing w:val="-6"/>
          <w:sz w:val="44"/>
          <w:szCs w:val="44"/>
          <w:highlight w:val="none"/>
        </w:rPr>
      </w:pPr>
    </w:p>
    <w:p w14:paraId="07DB80B4">
      <w:pPr>
        <w:snapToGrid w:val="0"/>
        <w:spacing w:before="480" w:after="360"/>
        <w:jc w:val="center"/>
        <w:outlineLvl w:val="9"/>
        <w:rPr>
          <w:rFonts w:hint="eastAsia" w:ascii="宋体" w:hAnsi="宋体" w:eastAsia="宋体" w:cs="宋体"/>
          <w:b/>
          <w:bCs/>
          <w:color w:val="000000"/>
          <w:spacing w:val="-16"/>
          <w:sz w:val="72"/>
          <w:szCs w:val="72"/>
          <w:highlight w:val="none"/>
        </w:rPr>
      </w:pPr>
      <w:bookmarkStart w:id="195" w:name="_Toc27475"/>
      <w:r>
        <w:rPr>
          <w:rFonts w:hint="eastAsia" w:ascii="宋体" w:hAnsi="宋体" w:eastAsia="宋体" w:cs="宋体"/>
          <w:b/>
          <w:bCs/>
          <w:color w:val="000000"/>
          <w:spacing w:val="-16"/>
          <w:sz w:val="72"/>
          <w:szCs w:val="72"/>
          <w:highlight w:val="none"/>
        </w:rPr>
        <w:t>投  标  文  件</w:t>
      </w:r>
      <w:bookmarkEnd w:id="195"/>
    </w:p>
    <w:p w14:paraId="5D47F4E8">
      <w:pPr>
        <w:spacing w:line="360" w:lineRule="auto"/>
        <w:jc w:val="center"/>
        <w:outlineLvl w:val="9"/>
        <w:rPr>
          <w:rFonts w:hint="eastAsia" w:ascii="宋体" w:hAnsi="宋体" w:eastAsia="宋体" w:cs="宋体"/>
          <w:b/>
          <w:bCs/>
          <w:color w:val="000000"/>
          <w:sz w:val="44"/>
          <w:szCs w:val="44"/>
          <w:highlight w:val="none"/>
        </w:rPr>
      </w:pPr>
      <w:bookmarkStart w:id="196" w:name="_Toc230"/>
      <w:r>
        <w:rPr>
          <w:rFonts w:hint="eastAsia" w:ascii="宋体" w:hAnsi="宋体" w:eastAsia="宋体" w:cs="宋体"/>
          <w:b/>
          <w:bCs/>
          <w:color w:val="000000"/>
          <w:sz w:val="44"/>
          <w:szCs w:val="44"/>
          <w:highlight w:val="none"/>
        </w:rPr>
        <w:t>（第三册：技术标书）</w:t>
      </w:r>
      <w:bookmarkEnd w:id="196"/>
    </w:p>
    <w:p w14:paraId="259B268A">
      <w:pPr>
        <w:snapToGrid w:val="0"/>
        <w:spacing w:before="480" w:after="360"/>
        <w:jc w:val="center"/>
        <w:outlineLvl w:val="9"/>
        <w:rPr>
          <w:rFonts w:hint="eastAsia" w:ascii="宋体" w:hAnsi="宋体" w:eastAsia="宋体" w:cs="宋体"/>
          <w:b/>
          <w:bCs/>
          <w:color w:val="000000"/>
          <w:spacing w:val="-16"/>
          <w:sz w:val="72"/>
          <w:szCs w:val="72"/>
          <w:highlight w:val="none"/>
        </w:rPr>
      </w:pPr>
    </w:p>
    <w:p w14:paraId="71112A79">
      <w:pPr>
        <w:pStyle w:val="23"/>
        <w:jc w:val="center"/>
        <w:outlineLvl w:val="9"/>
        <w:rPr>
          <w:rFonts w:hint="eastAsia" w:ascii="宋体" w:hAnsi="宋体" w:eastAsia="宋体" w:cs="宋体"/>
          <w:b/>
          <w:color w:val="000000"/>
          <w:sz w:val="30"/>
          <w:szCs w:val="30"/>
          <w:highlight w:val="none"/>
          <w:u w:val="single"/>
        </w:rPr>
      </w:pPr>
      <w:bookmarkStart w:id="197" w:name="_Toc21319"/>
      <w:r>
        <w:rPr>
          <w:rFonts w:hint="eastAsia" w:ascii="宋体" w:hAnsi="宋体" w:eastAsia="宋体" w:cs="宋体"/>
          <w:b/>
          <w:color w:val="000000"/>
          <w:sz w:val="30"/>
          <w:szCs w:val="30"/>
          <w:highlight w:val="none"/>
        </w:rPr>
        <w:t>投标人：</w:t>
      </w:r>
      <w:r>
        <w:rPr>
          <w:rFonts w:hint="eastAsia" w:ascii="宋体" w:hAnsi="宋体" w:eastAsia="宋体" w:cs="宋体"/>
          <w:b/>
          <w:color w:val="000000"/>
          <w:sz w:val="30"/>
          <w:szCs w:val="30"/>
          <w:highlight w:val="none"/>
          <w:u w:val="single"/>
        </w:rPr>
        <w:t xml:space="preserve">     (投标人名称)</w:t>
      </w:r>
      <w:r>
        <w:rPr>
          <w:rFonts w:hint="eastAsia" w:ascii="宋体" w:hAnsi="宋体" w:eastAsia="宋体" w:cs="宋体"/>
          <w:b/>
          <w:color w:val="000000"/>
          <w:sz w:val="30"/>
          <w:szCs w:val="30"/>
          <w:highlight w:val="none"/>
        </w:rPr>
        <w:t xml:space="preserve">  (盖单位章)</w:t>
      </w:r>
      <w:bookmarkEnd w:id="197"/>
    </w:p>
    <w:p w14:paraId="5EED6A9C">
      <w:pPr>
        <w:pStyle w:val="25"/>
        <w:tabs>
          <w:tab w:val="left" w:pos="3600"/>
        </w:tabs>
        <w:autoSpaceDE w:val="0"/>
        <w:autoSpaceDN w:val="0"/>
        <w:spacing w:line="360" w:lineRule="auto"/>
        <w:jc w:val="center"/>
        <w:textAlignment w:val="bottom"/>
        <w:outlineLvl w:val="9"/>
        <w:rPr>
          <w:rFonts w:hint="eastAsia" w:ascii="宋体" w:hAnsi="宋体" w:eastAsia="宋体" w:cs="宋体"/>
          <w:b/>
          <w:bCs/>
          <w:color w:val="000000"/>
          <w:kern w:val="2"/>
          <w:sz w:val="30"/>
          <w:szCs w:val="30"/>
          <w:highlight w:val="none"/>
          <w:u w:val="single"/>
        </w:rPr>
      </w:pPr>
      <w:bookmarkStart w:id="198" w:name="_Toc20166"/>
      <w:r>
        <w:rPr>
          <w:rFonts w:hint="eastAsia" w:ascii="宋体" w:hAnsi="宋体" w:eastAsia="宋体" w:cs="宋体"/>
          <w:b/>
          <w:color w:val="000000"/>
          <w:sz w:val="30"/>
          <w:szCs w:val="30"/>
          <w:highlight w:val="none"/>
        </w:rPr>
        <w:t>法定代表人或其委托代理人：</w:t>
      </w:r>
      <w:r>
        <w:rPr>
          <w:rFonts w:hint="eastAsia" w:ascii="宋体" w:hAnsi="宋体" w:eastAsia="宋体" w:cs="宋体"/>
          <w:b/>
          <w:bCs/>
          <w:color w:val="000000"/>
          <w:kern w:val="2"/>
          <w:sz w:val="30"/>
          <w:szCs w:val="30"/>
          <w:highlight w:val="none"/>
          <w:u w:val="single"/>
        </w:rPr>
        <w:t xml:space="preserve">     (签字或盖章)</w:t>
      </w:r>
      <w:bookmarkEnd w:id="198"/>
    </w:p>
    <w:p w14:paraId="505E3944">
      <w:pPr>
        <w:pStyle w:val="24"/>
        <w:spacing w:line="360" w:lineRule="auto"/>
        <w:outlineLvl w:val="9"/>
        <w:rPr>
          <w:rFonts w:hint="eastAsia" w:ascii="宋体" w:hAnsi="宋体" w:eastAsia="宋体" w:cs="宋体"/>
          <w:b/>
          <w:bCs/>
          <w:color w:val="000000"/>
          <w:sz w:val="32"/>
          <w:szCs w:val="32"/>
          <w:highlight w:val="none"/>
          <w:u w:val="single"/>
        </w:rPr>
      </w:pPr>
    </w:p>
    <w:p w14:paraId="0616A95B">
      <w:pPr>
        <w:pStyle w:val="24"/>
        <w:spacing w:line="360" w:lineRule="auto"/>
        <w:ind w:firstLine="2731" w:firstLineChars="850"/>
        <w:outlineLvl w:val="9"/>
        <w:rPr>
          <w:rFonts w:hint="eastAsia" w:ascii="宋体" w:hAnsi="宋体" w:eastAsia="宋体" w:cs="宋体"/>
          <w:color w:val="000000"/>
          <w:highlight w:val="none"/>
        </w:rPr>
      </w:pPr>
      <w:r>
        <w:rPr>
          <w:rFonts w:hint="eastAsia" w:ascii="宋体" w:hAnsi="宋体" w:eastAsia="宋体" w:cs="宋体"/>
          <w:b/>
          <w:bCs/>
          <w:color w:val="000000"/>
          <w:sz w:val="32"/>
          <w:szCs w:val="32"/>
          <w:highlight w:val="none"/>
          <w:u w:val="single"/>
        </w:rPr>
        <w:t xml:space="preserve">       </w:t>
      </w:r>
      <w:bookmarkStart w:id="199" w:name="_Toc16533"/>
      <w:r>
        <w:rPr>
          <w:rFonts w:hint="eastAsia" w:ascii="宋体" w:hAnsi="宋体" w:eastAsia="宋体" w:cs="宋体"/>
          <w:b/>
          <w:bCs/>
          <w:color w:val="000000"/>
          <w:sz w:val="32"/>
          <w:szCs w:val="32"/>
          <w:highlight w:val="none"/>
        </w:rPr>
        <w:t>年</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rPr>
        <w:t>月</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rPr>
        <w:t>日</w:t>
      </w:r>
      <w:bookmarkEnd w:id="199"/>
    </w:p>
    <w:p w14:paraId="53BD8CE4">
      <w:pPr>
        <w:pStyle w:val="24"/>
        <w:spacing w:line="540" w:lineRule="atLeast"/>
        <w:ind w:right="71"/>
        <w:jc w:val="center"/>
        <w:outlineLvl w:val="9"/>
        <w:rPr>
          <w:rFonts w:hint="eastAsia" w:ascii="宋体" w:hAnsi="宋体" w:eastAsia="宋体" w:cs="宋体"/>
          <w:b/>
          <w:bCs/>
          <w:color w:val="000000"/>
          <w:sz w:val="32"/>
          <w:szCs w:val="32"/>
          <w:highlight w:val="none"/>
        </w:rPr>
      </w:pPr>
    </w:p>
    <w:p w14:paraId="511CC284">
      <w:pPr>
        <w:pStyle w:val="24"/>
        <w:spacing w:line="540" w:lineRule="atLeast"/>
        <w:ind w:right="71"/>
        <w:jc w:val="center"/>
        <w:outlineLvl w:val="9"/>
        <w:rPr>
          <w:rFonts w:hint="eastAsia" w:ascii="宋体" w:hAnsi="宋体" w:eastAsia="宋体" w:cs="宋体"/>
          <w:b/>
          <w:bCs/>
          <w:color w:val="000000"/>
          <w:sz w:val="32"/>
          <w:szCs w:val="32"/>
          <w:highlight w:val="none"/>
        </w:rPr>
      </w:pPr>
    </w:p>
    <w:p w14:paraId="28E57008">
      <w:pPr>
        <w:pStyle w:val="24"/>
        <w:spacing w:line="540" w:lineRule="atLeast"/>
        <w:ind w:right="71"/>
        <w:jc w:val="center"/>
        <w:outlineLvl w:val="9"/>
        <w:rPr>
          <w:rFonts w:hint="eastAsia" w:ascii="宋体" w:hAnsi="宋体" w:eastAsia="宋体" w:cs="宋体"/>
          <w:b/>
          <w:bCs/>
          <w:color w:val="000000"/>
          <w:sz w:val="32"/>
          <w:szCs w:val="32"/>
          <w:highlight w:val="none"/>
        </w:rPr>
      </w:pPr>
    </w:p>
    <w:p w14:paraId="4DF3EFBE">
      <w:pPr>
        <w:pStyle w:val="24"/>
        <w:spacing w:line="540" w:lineRule="atLeast"/>
        <w:ind w:right="71"/>
        <w:jc w:val="center"/>
        <w:outlineLvl w:val="9"/>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目  录</w:t>
      </w:r>
    </w:p>
    <w:p w14:paraId="4F3A5D1E">
      <w:pPr>
        <w:spacing w:line="540" w:lineRule="atLeast"/>
        <w:ind w:right="2402" w:rightChars="1144"/>
        <w:outlineLvl w:val="9"/>
        <w:rPr>
          <w:rFonts w:hint="eastAsia" w:ascii="宋体" w:hAnsi="宋体" w:eastAsia="宋体" w:cs="宋体"/>
          <w:color w:val="000000"/>
          <w:sz w:val="30"/>
          <w:szCs w:val="30"/>
          <w:highlight w:val="none"/>
          <w:lang w:val="zh-CN"/>
        </w:rPr>
      </w:pPr>
    </w:p>
    <w:p w14:paraId="3B63D3E9">
      <w:pPr>
        <w:bidi w:val="0"/>
        <w:ind w:firstLine="480" w:firstLineChars="200"/>
        <w:rPr>
          <w:rFonts w:hint="eastAsia" w:ascii="宋体" w:hAnsi="宋体" w:eastAsia="宋体" w:cs="宋体"/>
          <w:color w:val="000000"/>
        </w:rPr>
      </w:pPr>
      <w:r>
        <w:rPr>
          <w:rFonts w:hint="eastAsia" w:ascii="宋体" w:hAnsi="宋体" w:eastAsia="宋体" w:cs="宋体"/>
          <w:iCs/>
          <w:color w:val="000000"/>
          <w:sz w:val="24"/>
          <w:highlight w:val="none"/>
        </w:rPr>
        <w:t>注：内容自拟，为便于评标委员会评审，投标人根据技术评审办法自行编制目录并编制页码。</w:t>
      </w:r>
    </w:p>
    <w:p w14:paraId="36C8C094">
      <w:pPr>
        <w:bidi w:val="0"/>
        <w:rPr>
          <w:rFonts w:hint="eastAsia" w:ascii="宋体" w:hAnsi="宋体" w:eastAsia="宋体" w:cs="宋体"/>
          <w:color w:val="000000"/>
        </w:rPr>
      </w:pPr>
    </w:p>
    <w:p w14:paraId="2704250C">
      <w:pPr>
        <w:bidi w:val="0"/>
        <w:rPr>
          <w:rFonts w:hint="eastAsia" w:ascii="宋体" w:hAnsi="宋体" w:eastAsia="宋体" w:cs="宋体"/>
          <w:color w:val="000000"/>
        </w:rPr>
      </w:pPr>
    </w:p>
    <w:p w14:paraId="6FBC1729">
      <w:pPr>
        <w:bidi w:val="0"/>
        <w:rPr>
          <w:rFonts w:hint="eastAsia" w:ascii="宋体" w:hAnsi="宋体" w:eastAsia="宋体" w:cs="宋体"/>
          <w:color w:val="000000"/>
        </w:rPr>
      </w:pPr>
    </w:p>
    <w:p w14:paraId="2E7B70C1">
      <w:pPr>
        <w:bidi w:val="0"/>
        <w:rPr>
          <w:rFonts w:hint="eastAsia" w:ascii="宋体" w:hAnsi="宋体" w:eastAsia="宋体" w:cs="宋体"/>
          <w:color w:val="000000"/>
        </w:rPr>
      </w:pPr>
    </w:p>
    <w:p w14:paraId="202D4658">
      <w:pPr>
        <w:bidi w:val="0"/>
        <w:rPr>
          <w:rFonts w:hint="eastAsia" w:ascii="宋体" w:hAnsi="宋体" w:eastAsia="宋体" w:cs="宋体"/>
          <w:color w:val="000000"/>
        </w:rPr>
      </w:pPr>
    </w:p>
    <w:p w14:paraId="7873BBBF">
      <w:pPr>
        <w:bidi w:val="0"/>
        <w:rPr>
          <w:rFonts w:hint="eastAsia" w:ascii="宋体" w:hAnsi="宋体" w:eastAsia="宋体" w:cs="宋体"/>
          <w:color w:val="000000"/>
        </w:rPr>
      </w:pPr>
    </w:p>
    <w:p w14:paraId="013544F2">
      <w:pPr>
        <w:bidi w:val="0"/>
        <w:rPr>
          <w:rFonts w:hint="eastAsia" w:ascii="宋体" w:hAnsi="宋体" w:eastAsia="宋体" w:cs="宋体"/>
          <w:color w:val="000000"/>
        </w:rPr>
      </w:pPr>
    </w:p>
    <w:p w14:paraId="4DC5E8B9">
      <w:pPr>
        <w:bidi w:val="0"/>
        <w:rPr>
          <w:rFonts w:hint="eastAsia" w:ascii="宋体" w:hAnsi="宋体" w:eastAsia="宋体" w:cs="宋体"/>
          <w:color w:val="000000"/>
        </w:rPr>
      </w:pPr>
    </w:p>
    <w:p w14:paraId="519FAFB7">
      <w:pPr>
        <w:bidi w:val="0"/>
        <w:rPr>
          <w:rFonts w:hint="eastAsia" w:ascii="宋体" w:hAnsi="宋体" w:eastAsia="宋体" w:cs="宋体"/>
          <w:color w:val="000000"/>
        </w:rPr>
      </w:pPr>
    </w:p>
    <w:p w14:paraId="74080D80">
      <w:pPr>
        <w:bidi w:val="0"/>
        <w:rPr>
          <w:rFonts w:hint="eastAsia" w:ascii="宋体" w:hAnsi="宋体" w:eastAsia="宋体" w:cs="宋体"/>
          <w:color w:val="000000"/>
        </w:rPr>
      </w:pPr>
    </w:p>
    <w:p w14:paraId="50C55284">
      <w:pPr>
        <w:bidi w:val="0"/>
        <w:rPr>
          <w:rFonts w:hint="eastAsia" w:ascii="宋体" w:hAnsi="宋体" w:eastAsia="宋体" w:cs="宋体"/>
          <w:color w:val="000000"/>
        </w:rPr>
      </w:pPr>
    </w:p>
    <w:p w14:paraId="6C73A27E">
      <w:pPr>
        <w:bidi w:val="0"/>
        <w:rPr>
          <w:rFonts w:hint="eastAsia" w:ascii="宋体" w:hAnsi="宋体" w:eastAsia="宋体" w:cs="宋体"/>
          <w:color w:val="000000"/>
        </w:rPr>
      </w:pPr>
    </w:p>
    <w:p w14:paraId="3DB14471">
      <w:pPr>
        <w:bidi w:val="0"/>
        <w:rPr>
          <w:rFonts w:hint="eastAsia" w:ascii="宋体" w:hAnsi="宋体" w:eastAsia="宋体" w:cs="宋体"/>
          <w:color w:val="000000"/>
        </w:rPr>
      </w:pPr>
    </w:p>
    <w:p w14:paraId="5A989D90">
      <w:pPr>
        <w:bidi w:val="0"/>
        <w:rPr>
          <w:rFonts w:hint="eastAsia" w:ascii="宋体" w:hAnsi="宋体" w:eastAsia="宋体" w:cs="宋体"/>
          <w:color w:val="000000"/>
        </w:rPr>
      </w:pPr>
    </w:p>
    <w:p w14:paraId="61F84BCB">
      <w:pPr>
        <w:bidi w:val="0"/>
        <w:rPr>
          <w:rFonts w:hint="eastAsia" w:ascii="宋体" w:hAnsi="宋体" w:eastAsia="宋体" w:cs="宋体"/>
          <w:color w:val="000000"/>
        </w:rPr>
      </w:pPr>
    </w:p>
    <w:p w14:paraId="1CBB1A30">
      <w:pPr>
        <w:bidi w:val="0"/>
        <w:rPr>
          <w:rFonts w:hint="eastAsia" w:ascii="宋体" w:hAnsi="宋体" w:eastAsia="宋体" w:cs="宋体"/>
          <w:color w:val="000000"/>
        </w:rPr>
      </w:pPr>
    </w:p>
    <w:p w14:paraId="6F11893B">
      <w:pPr>
        <w:bidi w:val="0"/>
        <w:rPr>
          <w:rFonts w:hint="eastAsia" w:ascii="宋体" w:hAnsi="宋体" w:eastAsia="宋体" w:cs="宋体"/>
          <w:color w:val="000000"/>
        </w:rPr>
      </w:pPr>
    </w:p>
    <w:p w14:paraId="14C9C354">
      <w:pPr>
        <w:bidi w:val="0"/>
        <w:rPr>
          <w:rFonts w:hint="eastAsia" w:ascii="宋体" w:hAnsi="宋体" w:eastAsia="宋体" w:cs="宋体"/>
          <w:color w:val="000000"/>
        </w:rPr>
      </w:pPr>
    </w:p>
    <w:p w14:paraId="44158465">
      <w:pPr>
        <w:bidi w:val="0"/>
        <w:rPr>
          <w:rFonts w:hint="eastAsia" w:ascii="宋体" w:hAnsi="宋体" w:eastAsia="宋体" w:cs="宋体"/>
          <w:color w:val="000000"/>
        </w:rPr>
      </w:pPr>
    </w:p>
    <w:p w14:paraId="6DEA85CC">
      <w:pPr>
        <w:bidi w:val="0"/>
        <w:rPr>
          <w:rFonts w:hint="eastAsia" w:ascii="宋体" w:hAnsi="宋体" w:eastAsia="宋体" w:cs="宋体"/>
          <w:color w:val="000000"/>
        </w:rPr>
      </w:pPr>
    </w:p>
    <w:p w14:paraId="32267A7F">
      <w:pPr>
        <w:bidi w:val="0"/>
        <w:rPr>
          <w:rFonts w:hint="eastAsia" w:ascii="宋体" w:hAnsi="宋体" w:eastAsia="宋体" w:cs="宋体"/>
          <w:color w:val="000000"/>
        </w:rPr>
      </w:pPr>
    </w:p>
    <w:p w14:paraId="371F7477">
      <w:pPr>
        <w:bidi w:val="0"/>
        <w:rPr>
          <w:rFonts w:hint="eastAsia" w:ascii="宋体" w:hAnsi="宋体" w:eastAsia="宋体" w:cs="宋体"/>
          <w:color w:val="000000"/>
        </w:rPr>
      </w:pPr>
    </w:p>
    <w:p w14:paraId="53BB5E89">
      <w:pPr>
        <w:bidi w:val="0"/>
        <w:rPr>
          <w:rFonts w:hint="eastAsia" w:ascii="宋体" w:hAnsi="宋体" w:eastAsia="宋体" w:cs="宋体"/>
          <w:color w:val="000000"/>
        </w:rPr>
      </w:pPr>
    </w:p>
    <w:p w14:paraId="1D5BC89C">
      <w:pPr>
        <w:bidi w:val="0"/>
        <w:rPr>
          <w:rFonts w:hint="eastAsia" w:ascii="宋体" w:hAnsi="宋体" w:eastAsia="宋体" w:cs="宋体"/>
          <w:color w:val="000000"/>
        </w:rPr>
      </w:pPr>
    </w:p>
    <w:p w14:paraId="5850B2DF"/>
    <w:sectPr>
      <w:footerReference r:id="rId3" w:type="default"/>
      <w:pgSz w:w="11906" w:h="16838"/>
      <w:pgMar w:top="1134" w:right="130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Fallback">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52ECB">
    <w:pPr>
      <w:pStyle w:val="9"/>
    </w:pPr>
    <w:r>
      <mc:AlternateContent>
        <mc:Choice Requires="wps">
          <w:drawing>
            <wp:anchor distT="0" distB="0" distL="114300" distR="114300" simplePos="0" relativeHeight="251659264" behindDoc="0" locked="0" layoutInCell="1" allowOverlap="1">
              <wp:simplePos x="0" y="0"/>
              <wp:positionH relativeFrom="margin">
                <wp:posOffset>2894330</wp:posOffset>
              </wp:positionH>
              <wp:positionV relativeFrom="paragraph">
                <wp:posOffset>139065</wp:posOffset>
              </wp:positionV>
              <wp:extent cx="229870" cy="149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9870" cy="149225"/>
                      </a:xfrm>
                      <a:prstGeom prst="rect">
                        <a:avLst/>
                      </a:prstGeom>
                      <a:noFill/>
                      <a:ln w="6350">
                        <a:noFill/>
                      </a:ln>
                    </wps:spPr>
                    <wps:txbx>
                      <w:txbxContent>
                        <w:p w14:paraId="4B6BA09F">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lIns="0" tIns="0" rIns="0" bIns="0" upright="0"/>
                  </wps:wsp>
                </a:graphicData>
              </a:graphic>
            </wp:anchor>
          </w:drawing>
        </mc:Choice>
        <mc:Fallback>
          <w:pict>
            <v:shape id="_x0000_s1026" o:spid="_x0000_s1026" o:spt="202" type="#_x0000_t202" style="position:absolute;left:0pt;margin-left:227.9pt;margin-top:10.95pt;height:11.75pt;width:18.1pt;mso-position-horizontal-relative:margin;z-index:251659264;mso-width-relative:page;mso-height-relative:page;" filled="f" stroked="f" coordsize="21600,21600" o:gfxdata="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cSI9cAAAAJAQAADwAAAAAAAAABACAAAAAiAAAAZHJzL2Rvd25yZXYu&#10;eG1sUEsBAhQAFAAAAAgAh07iQLLad9fDAQAAegMAAA4AAAAAAAAAAQAgAAAAJgEAAGRycy9lMm9E&#10;b2MueG1sUEsFBgAAAAAGAAYAWQEAAFsFAAAAAA==&#10;">
              <v:fill on="f" focussize="0,0"/>
              <v:stroke on="f" weight="0.5pt"/>
              <v:imagedata o:title=""/>
              <o:lock v:ext="edit" aspectratio="f"/>
              <v:textbox inset="0mm,0mm,0mm,0mm">
                <w:txbxContent>
                  <w:p w14:paraId="4B6BA09F">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p w14:paraId="3F1945C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0A22D"/>
    <w:multiLevelType w:val="singleLevel"/>
    <w:tmpl w:val="A540A22D"/>
    <w:lvl w:ilvl="0" w:tentative="0">
      <w:start w:val="1"/>
      <w:numFmt w:val="decimal"/>
      <w:suff w:val="nothing"/>
      <w:lvlText w:val="（%1）"/>
      <w:lvlJc w:val="left"/>
    </w:lvl>
  </w:abstractNum>
  <w:abstractNum w:abstractNumId="1">
    <w:nsid w:val="0000002A"/>
    <w:multiLevelType w:val="multilevel"/>
    <w:tmpl w:val="0000002A"/>
    <w:lvl w:ilvl="0" w:tentative="0">
      <w:start w:val="2"/>
      <w:numFmt w:val="decimal"/>
      <w:lvlText w:val="%1."/>
      <w:lvlJc w:val="left"/>
    </w:lvl>
    <w:lvl w:ilvl="1" w:tentative="0">
      <w:start w:val="1"/>
      <w:numFmt w:val="decimal"/>
      <w:lvlText w:val="2.%2"/>
      <w:lvlJc w:val="left"/>
    </w:lvl>
    <w:lvl w:ilvl="2" w:tentative="0">
      <w:start w:val="1"/>
      <w:numFmt w:val="decimal"/>
      <w:lvlText w:val="2.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2B"/>
    <w:multiLevelType w:val="multilevel"/>
    <w:tmpl w:val="0000002B"/>
    <w:lvl w:ilvl="0" w:tentative="0">
      <w:start w:val="1"/>
      <w:numFmt w:val="decimal"/>
      <w:lvlText w:val="%1"/>
      <w:lvlJc w:val="left"/>
    </w:lvl>
    <w:lvl w:ilvl="1" w:tentative="0">
      <w:start w:val="1"/>
      <w:numFmt w:val="decimal"/>
      <w:lvlText w:val="%2"/>
      <w:lvlJc w:val="left"/>
    </w:lvl>
    <w:lvl w:ilvl="2" w:tentative="0">
      <w:start w:val="1"/>
      <w:numFmt w:val="decimal"/>
      <w:lvlText w:val="2.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2D"/>
    <w:multiLevelType w:val="multilevel"/>
    <w:tmpl w:val="0000002D"/>
    <w:lvl w:ilvl="0" w:tentative="0">
      <w:start w:val="3"/>
      <w:numFmt w:val="decimal"/>
      <w:lvlText w:val="%1."/>
      <w:lvlJc w:val="left"/>
    </w:lvl>
    <w:lvl w:ilvl="1" w:tentative="0">
      <w:start w:val="1"/>
      <w:numFmt w:val="decimal"/>
      <w:lvlText w:val="3.%2"/>
      <w:lvlJc w:val="left"/>
    </w:lvl>
    <w:lvl w:ilvl="2" w:tentative="0">
      <w:start w:val="1"/>
      <w:numFmt w:val="decimal"/>
      <w:lvlText w:val="3.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2E"/>
    <w:multiLevelType w:val="multilevel"/>
    <w:tmpl w:val="0000002E"/>
    <w:lvl w:ilvl="0" w:tentative="0">
      <w:start w:val="1"/>
      <w:numFmt w:val="decimal"/>
      <w:lvlText w:val="%1"/>
      <w:lvlJc w:val="left"/>
    </w:lvl>
    <w:lvl w:ilvl="1" w:tentative="0">
      <w:start w:val="3"/>
      <w:numFmt w:val="decimal"/>
      <w:lvlText w:val="3.1.%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2F"/>
    <w:multiLevelType w:val="multilevel"/>
    <w:tmpl w:val="0000002F"/>
    <w:lvl w:ilvl="0" w:tentative="0">
      <w:start w:val="2"/>
      <w:numFmt w:val="decimal"/>
      <w:lvlText w:val="3.%1"/>
      <w:lvlJc w:val="left"/>
    </w:lvl>
    <w:lvl w:ilvl="1" w:tentative="0">
      <w:start w:val="1"/>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32"/>
    <w:multiLevelType w:val="multilevel"/>
    <w:tmpl w:val="00000032"/>
    <w:lvl w:ilvl="0" w:tentative="0">
      <w:start w:val="4"/>
      <w:numFmt w:val="decimal"/>
      <w:lvlText w:val="3.%1"/>
      <w:lvlJc w:val="left"/>
    </w:lvl>
    <w:lvl w:ilvl="1" w:tentative="0">
      <w:start w:val="1"/>
      <w:numFmt w:val="decimal"/>
      <w:lvlText w:val="3.4.%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55063886"/>
    <w:multiLevelType w:val="singleLevel"/>
    <w:tmpl w:val="55063886"/>
    <w:lvl w:ilvl="0" w:tentative="0">
      <w:start w:val="4"/>
      <w:numFmt w:val="chineseCounting"/>
      <w:suff w:val="space"/>
      <w:lvlText w:val="第%1条"/>
      <w:lvlJc w:val="left"/>
      <w:rPr>
        <w:rFonts w:hint="eastAsia"/>
        <w:b/>
        <w:bCs/>
      </w:rPr>
    </w:lvl>
  </w:abstractNum>
  <w:abstractNum w:abstractNumId="8">
    <w:nsid w:val="6B4FB451"/>
    <w:multiLevelType w:val="singleLevel"/>
    <w:tmpl w:val="6B4FB451"/>
    <w:lvl w:ilvl="0" w:tentative="0">
      <w:start w:val="1"/>
      <w:numFmt w:val="decimal"/>
      <w:suff w:val="nothing"/>
      <w:lvlText w:val="（%1）"/>
      <w:lvlJc w:val="left"/>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C15F0"/>
    <w:rsid w:val="0ABB4D8C"/>
    <w:rsid w:val="0D247653"/>
    <w:rsid w:val="0D7F3E0A"/>
    <w:rsid w:val="0EAC1E34"/>
    <w:rsid w:val="10F30745"/>
    <w:rsid w:val="14620595"/>
    <w:rsid w:val="18FA716E"/>
    <w:rsid w:val="210773F6"/>
    <w:rsid w:val="42837D76"/>
    <w:rsid w:val="429307A5"/>
    <w:rsid w:val="532519F5"/>
    <w:rsid w:val="5BD6253E"/>
    <w:rsid w:val="61841D35"/>
    <w:rsid w:val="6E970B96"/>
    <w:rsid w:val="6F285C41"/>
    <w:rsid w:val="75F5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1"/>
    <w:qFormat/>
    <w:uiPriority w:val="0"/>
    <w:pPr>
      <w:keepNext/>
      <w:keepLines/>
      <w:spacing w:line="360" w:lineRule="auto"/>
      <w:outlineLvl w:val="0"/>
    </w:pPr>
    <w:rPr>
      <w:b/>
      <w:bCs/>
      <w:kern w:val="44"/>
      <w:sz w:val="32"/>
      <w:szCs w:val="44"/>
    </w:rPr>
  </w:style>
  <w:style w:type="paragraph" w:styleId="4">
    <w:name w:val="heading 2"/>
    <w:basedOn w:val="1"/>
    <w:next w:val="1"/>
    <w:link w:val="19"/>
    <w:qFormat/>
    <w:uiPriority w:val="1"/>
    <w:pPr>
      <w:ind w:left="1726" w:right="1793"/>
      <w:jc w:val="center"/>
      <w:outlineLvl w:val="1"/>
    </w:pPr>
    <w:rPr>
      <w:rFonts w:ascii="宋体" w:hAnsi="宋体" w:eastAsia="宋体" w:cs="宋体"/>
      <w:b/>
      <w:bCs/>
      <w:sz w:val="24"/>
      <w:szCs w:val="24"/>
      <w:lang w:val="zh-CN" w:eastAsia="zh-CN" w:bidi="zh-CN"/>
    </w:rPr>
  </w:style>
  <w:style w:type="paragraph" w:styleId="5">
    <w:name w:val="heading 3"/>
    <w:basedOn w:val="1"/>
    <w:next w:val="1"/>
    <w:qFormat/>
    <w:uiPriority w:val="0"/>
    <w:pPr>
      <w:keepNext/>
      <w:keepLines/>
      <w:autoSpaceDE w:val="0"/>
      <w:autoSpaceDN w:val="0"/>
      <w:adjustRightInd w:val="0"/>
      <w:spacing w:before="260" w:after="260" w:line="413" w:lineRule="auto"/>
      <w:jc w:val="left"/>
      <w:outlineLvl w:val="2"/>
    </w:pPr>
    <w:rPr>
      <w:rFonts w:ascii="宋体"/>
      <w:b/>
      <w:kern w:val="0"/>
      <w:sz w:val="32"/>
      <w:lang w:val="zh-CN"/>
    </w:rPr>
  </w:style>
  <w:style w:type="paragraph" w:styleId="2">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next w:val="1"/>
    <w:qFormat/>
    <w:uiPriority w:val="0"/>
    <w:pPr>
      <w:adjustRightInd w:val="0"/>
      <w:spacing w:line="360" w:lineRule="atLeast"/>
      <w:jc w:val="left"/>
      <w:textAlignment w:val="baseline"/>
    </w:pPr>
    <w:rPr>
      <w:rFonts w:ascii="宋体"/>
      <w:kern w:val="0"/>
      <w:sz w:val="24"/>
    </w:rPr>
  </w:style>
  <w:style w:type="paragraph" w:styleId="7">
    <w:name w:val="Body Text"/>
    <w:basedOn w:val="1"/>
    <w:next w:val="1"/>
    <w:qFormat/>
    <w:uiPriority w:val="0"/>
    <w:pPr>
      <w:ind w:left="240"/>
    </w:pPr>
    <w:rPr>
      <w:rFonts w:ascii="Droid Sans Fallback" w:hAnsi="Droid Sans Fallback" w:eastAsia="Droid Sans Fallback" w:cs="Droid Sans Fallback"/>
      <w:sz w:val="21"/>
      <w:szCs w:val="21"/>
      <w:lang w:val="zh-CN" w:eastAsia="zh-CN" w:bidi="zh-CN"/>
    </w:rPr>
  </w:style>
  <w:style w:type="paragraph" w:styleId="8">
    <w:name w:val="toc 3"/>
    <w:basedOn w:val="1"/>
    <w:next w:val="1"/>
    <w:qFormat/>
    <w:uiPriority w:val="39"/>
    <w:pPr>
      <w:tabs>
        <w:tab w:val="right" w:leader="dot" w:pos="8721"/>
      </w:tabs>
      <w:spacing w:line="360" w:lineRule="auto"/>
      <w:ind w:left="1120" w:leftChars="4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7"/>
    <w:qFormat/>
    <w:uiPriority w:val="0"/>
    <w:pPr>
      <w:spacing w:line="500" w:lineRule="exact"/>
    </w:pPr>
    <w:rPr>
      <w:rFonts w:ascii="宋体"/>
      <w:sz w:val="24"/>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olor w:val="000000"/>
      <w:kern w:val="0"/>
      <w:sz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
    <w:name w:val="正文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8">
    <w:name w:val="正文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19">
    <w:name w:val="标题 2 Char"/>
    <w:link w:val="4"/>
    <w:qFormat/>
    <w:uiPriority w:val="1"/>
    <w:rPr>
      <w:rFonts w:ascii="宋体" w:hAnsi="宋体" w:eastAsia="宋体" w:cs="宋体"/>
      <w:b/>
      <w:bCs/>
      <w:sz w:val="24"/>
      <w:szCs w:val="24"/>
      <w:lang w:val="zh-CN" w:eastAsia="zh-CN" w:bidi="zh-CN"/>
    </w:rPr>
  </w:style>
  <w:style w:type="paragraph" w:customStyle="1" w:styleId="20">
    <w:name w:val="Table Paragraph"/>
    <w:basedOn w:val="1"/>
    <w:qFormat/>
    <w:uiPriority w:val="0"/>
    <w:rPr>
      <w:rFonts w:ascii="Droid Sans Fallback" w:hAnsi="Droid Sans Fallback" w:eastAsia="Droid Sans Fallback" w:cs="Droid Sans Fallback"/>
      <w:lang w:val="zh-CN" w:eastAsia="zh-CN" w:bidi="zh-CN"/>
    </w:rPr>
  </w:style>
  <w:style w:type="character" w:customStyle="1" w:styleId="21">
    <w:name w:val="标题 1 Char"/>
    <w:link w:val="3"/>
    <w:qFormat/>
    <w:uiPriority w:val="0"/>
    <w:rPr>
      <w:b/>
      <w:bCs/>
      <w:kern w:val="44"/>
      <w:sz w:val="32"/>
      <w:szCs w:val="44"/>
    </w:rPr>
  </w:style>
  <w:style w:type="character" w:customStyle="1" w:styleId="22">
    <w:name w:val="NormalCharacter"/>
    <w:semiHidden/>
    <w:qFormat/>
    <w:uiPriority w:val="0"/>
  </w:style>
  <w:style w:type="paragraph" w:customStyle="1" w:styleId="23">
    <w:name w:val="CM1"/>
    <w:basedOn w:val="24"/>
    <w:next w:val="24"/>
    <w:qFormat/>
    <w:uiPriority w:val="0"/>
    <w:rPr>
      <w:rFonts w:cs="宋体"/>
      <w:color w:val="auto"/>
      <w:szCs w:val="24"/>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Plain Text"/>
    <w:basedOn w:val="1"/>
    <w:qFormat/>
    <w:uiPriority w:val="0"/>
    <w:pPr>
      <w:adjustRightInd w:val="0"/>
      <w:textAlignment w:val="baseline"/>
    </w:pPr>
    <w:rPr>
      <w:rFonts w:ascii="宋体"/>
      <w:kern w:val="0"/>
      <w:sz w:val="24"/>
    </w:rPr>
  </w:style>
  <w:style w:type="paragraph" w:customStyle="1" w:styleId="26">
    <w:name w:val="CM91"/>
    <w:basedOn w:val="24"/>
    <w:next w:val="24"/>
    <w:qFormat/>
    <w:uiPriority w:val="0"/>
    <w:pPr>
      <w:spacing w:after="160"/>
    </w:pPr>
    <w:rPr>
      <w:rFonts w:cs="宋体"/>
      <w:color w:val="auto"/>
      <w:szCs w:val="24"/>
    </w:rPr>
  </w:style>
  <w:style w:type="paragraph" w:customStyle="1" w:styleId="27">
    <w:name w:val="CM97"/>
    <w:basedOn w:val="24"/>
    <w:next w:val="24"/>
    <w:qFormat/>
    <w:uiPriority w:val="0"/>
    <w:pPr>
      <w:spacing w:after="373"/>
    </w:pPr>
    <w:rPr>
      <w:rFonts w:cs="宋体"/>
      <w:color w:val="auto"/>
      <w:szCs w:val="24"/>
    </w:rPr>
  </w:style>
  <w:style w:type="paragraph" w:customStyle="1" w:styleId="28">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13309</Words>
  <Characters>14882</Characters>
  <Lines>0</Lines>
  <Paragraphs>0</Paragraphs>
  <TotalTime>12</TotalTime>
  <ScaleCrop>false</ScaleCrop>
  <LinksUpToDate>false</LinksUpToDate>
  <CharactersWithSpaces>15135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2026-01-13T09:18:00Z</dcterms:created>
  <dc:creator>Administrator</dc:creator>
  <cp:lastModifiedBy>明正</cp:lastModifiedBy>
  <dcterms:modified xsi:type="dcterms:W3CDTF">2026-01-16T04:05:14Z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eyJoZGlkIjoiY2ZiMzI0MGUwZmU4OTk2OGQwYTNlYmNmYzRlNTVkMmIiLCJ1c2VySWQiOiIzMjI4NDYzOTkifQ==</vt:lpwstr>
  </property>
  <property fmtid="{D5CDD505-2E9C-101B-9397-08002B2CF9AE}" pid="4" name="ICV">
    <vt:lpwstr>7107DB5AD61B42E087E110FBDD41A1EA_13</vt:lpwstr>
  </property>
</Properties>
</file>